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7B2BE80E">
      <w:pPr>
        <w:snapToGrid w:val="0"/>
        <w:jc w:val="center"/>
        <w:rPr>
          <w:rFonts w:hint="eastAsia" w:ascii="宋体" w:hAnsi="宋体" w:eastAsia="宋体"/>
          <w:sz w:val="48"/>
          <w:szCs w:val="48"/>
          <w:lang w:val="en-US" w:eastAsia="zh-CN"/>
        </w:rPr>
      </w:pPr>
      <w:r>
        <w:rPr>
          <w:rFonts w:hint="eastAsia" w:ascii="宋体" w:hAnsi="宋体"/>
          <w:sz w:val="48"/>
          <w:szCs w:val="48"/>
        </w:rPr>
        <w:t>中国重汽集团</w:t>
      </w:r>
      <w:r>
        <w:rPr>
          <w:rFonts w:hint="eastAsia" w:ascii="宋体" w:hAnsi="宋体"/>
          <w:sz w:val="48"/>
          <w:szCs w:val="48"/>
          <w:lang w:eastAsia="zh-CN"/>
        </w:rPr>
        <w:t>大同齿轮有限公司</w:t>
      </w:r>
      <w:r>
        <w:rPr>
          <w:rFonts w:hint="eastAsia" w:ascii="宋体" w:hAnsi="宋体"/>
          <w:sz w:val="48"/>
          <w:szCs w:val="48"/>
          <w:lang w:val="en-US" w:eastAsia="zh-CN"/>
        </w:rPr>
        <w:t>2026年度潍柴雷沃</w:t>
      </w:r>
      <w:r>
        <w:rPr>
          <w:rFonts w:hint="eastAsia" w:ascii="宋体" w:hAnsi="宋体"/>
          <w:sz w:val="48"/>
          <w:szCs w:val="48"/>
          <w:lang w:eastAsia="zh-CN"/>
        </w:rPr>
        <w:t>仓储服务项目</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80D70AD">
      <w:pPr>
        <w:snapToGrid w:val="0"/>
        <w:jc w:val="center"/>
        <w:rPr>
          <w:rFonts w:hint="eastAsia" w:ascii="黑体" w:hAnsi="宋体" w:eastAsia="黑体"/>
          <w:sz w:val="56"/>
          <w:szCs w:val="84"/>
        </w:rPr>
      </w:pPr>
      <w:r>
        <w:rPr>
          <w:rFonts w:hint="eastAsia" w:ascii="黑体" w:hAnsi="宋体" w:eastAsia="黑体"/>
          <w:sz w:val="56"/>
          <w:szCs w:val="84"/>
        </w:rPr>
        <w:t>招</w:t>
      </w:r>
    </w:p>
    <w:p w14:paraId="136DE43D">
      <w:pPr>
        <w:snapToGrid w:val="0"/>
        <w:jc w:val="center"/>
        <w:rPr>
          <w:rFonts w:hint="eastAsia" w:ascii="黑体" w:hAnsi="宋体" w:eastAsia="黑体"/>
          <w:sz w:val="32"/>
          <w:szCs w:val="40"/>
        </w:rPr>
      </w:pPr>
    </w:p>
    <w:p w14:paraId="5B03CD08">
      <w:pPr>
        <w:snapToGrid w:val="0"/>
        <w:jc w:val="center"/>
        <w:rPr>
          <w:rFonts w:hint="eastAsia" w:ascii="黑体" w:hAnsi="宋体" w:eastAsia="黑体"/>
          <w:sz w:val="56"/>
          <w:szCs w:val="84"/>
        </w:rPr>
      </w:pPr>
      <w:r>
        <w:rPr>
          <w:rFonts w:hint="eastAsia" w:ascii="黑体" w:hAnsi="宋体" w:eastAsia="黑体"/>
          <w:sz w:val="56"/>
          <w:szCs w:val="84"/>
        </w:rPr>
        <w:t>标</w:t>
      </w:r>
    </w:p>
    <w:p w14:paraId="570A9865">
      <w:pPr>
        <w:snapToGrid w:val="0"/>
        <w:jc w:val="center"/>
        <w:rPr>
          <w:rFonts w:hint="eastAsia" w:ascii="黑体" w:hAnsi="宋体" w:eastAsia="黑体"/>
          <w:sz w:val="32"/>
          <w:szCs w:val="40"/>
        </w:rPr>
      </w:pPr>
    </w:p>
    <w:p w14:paraId="03BA63DE">
      <w:pPr>
        <w:snapToGrid w:val="0"/>
        <w:jc w:val="center"/>
        <w:rPr>
          <w:rFonts w:hint="eastAsia" w:ascii="宋体" w:hAnsi="宋体"/>
          <w:sz w:val="52"/>
          <w:szCs w:val="72"/>
        </w:rPr>
      </w:pPr>
      <w:r>
        <w:rPr>
          <w:rFonts w:hint="eastAsia" w:ascii="黑体" w:hAnsi="宋体" w:eastAsia="黑体"/>
          <w:sz w:val="56"/>
          <w:szCs w:val="84"/>
        </w:rPr>
        <w:t>书</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3D971625">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单 位</w:t>
      </w:r>
      <w:r>
        <w:rPr>
          <w:rFonts w:hint="eastAsia" w:ascii="宋体" w:hAnsi="宋体"/>
          <w:sz w:val="28"/>
          <w:szCs w:val="28"/>
        </w:rPr>
        <w:t>：中国重汽集团</w:t>
      </w:r>
      <w:r>
        <w:rPr>
          <w:rFonts w:hint="eastAsia" w:ascii="宋体" w:hAnsi="宋体"/>
          <w:sz w:val="28"/>
          <w:szCs w:val="28"/>
          <w:lang w:val="en-US" w:eastAsia="zh-CN"/>
        </w:rPr>
        <w:t>大同齿轮有限公司</w:t>
      </w:r>
    </w:p>
    <w:p w14:paraId="5D8C41F0">
      <w:pPr>
        <w:jc w:val="center"/>
        <w:rPr>
          <w:rFonts w:hint="eastAsia" w:ascii="宋体" w:hAnsi="宋体"/>
          <w:sz w:val="28"/>
          <w:szCs w:val="28"/>
        </w:rPr>
      </w:pPr>
    </w:p>
    <w:p w14:paraId="648AC2E9">
      <w:pPr>
        <w:jc w:val="center"/>
        <w:rPr>
          <w:rFonts w:ascii="黑体" w:eastAsia="黑体"/>
          <w:b/>
          <w:bCs/>
          <w:sz w:val="36"/>
          <w:szCs w:val="36"/>
        </w:rPr>
      </w:pPr>
      <w:r>
        <w:rPr>
          <w:rFonts w:ascii="宋体" w:hAnsi="宋体"/>
          <w:sz w:val="28"/>
          <w:szCs w:val="28"/>
          <w:u w:val="single"/>
        </w:rPr>
        <w:t>202</w:t>
      </w:r>
      <w:r>
        <w:rPr>
          <w:rFonts w:hint="eastAsia" w:ascii="宋体" w:hAnsi="宋体"/>
          <w:sz w:val="28"/>
          <w:szCs w:val="28"/>
          <w:u w:val="single"/>
          <w:lang w:val="en-US" w:eastAsia="zh-CN"/>
        </w:rPr>
        <w:t>5</w:t>
      </w:r>
      <w:r>
        <w:rPr>
          <w:rFonts w:hint="eastAsia" w:ascii="宋体" w:hAnsi="宋体"/>
          <w:sz w:val="28"/>
          <w:szCs w:val="28"/>
        </w:rPr>
        <w:t>年</w:t>
      </w:r>
      <w:r>
        <w:rPr>
          <w:rFonts w:hint="eastAsia" w:ascii="宋体" w:hAnsi="宋体"/>
          <w:sz w:val="28"/>
          <w:szCs w:val="28"/>
          <w:u w:val="single"/>
          <w:lang w:val="en-US" w:eastAsia="zh-CN"/>
        </w:rPr>
        <w:t>12</w:t>
      </w:r>
      <w:r>
        <w:rPr>
          <w:rFonts w:hint="eastAsia" w:ascii="宋体" w:hAnsi="宋体"/>
          <w:sz w:val="28"/>
          <w:szCs w:val="28"/>
        </w:rPr>
        <w:t>月</w:t>
      </w:r>
      <w:r>
        <w:rPr>
          <w:rFonts w:ascii="黑体" w:eastAsia="黑体"/>
          <w:b/>
          <w:bCs/>
          <w:sz w:val="36"/>
          <w:szCs w:val="36"/>
        </w:rPr>
        <w:br w:type="page"/>
      </w:r>
    </w:p>
    <w:p w14:paraId="5ABF1FB9">
      <w:pPr>
        <w:pStyle w:val="6"/>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p>
    <w:p w14:paraId="7B821463">
      <w:pPr>
        <w:pStyle w:val="6"/>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4780A4D">
      <w:pPr>
        <w:pStyle w:val="6"/>
        <w:spacing w:line="360" w:lineRule="auto"/>
        <w:rPr>
          <w:rFonts w:hint="eastAsia" w:ascii="黑体" w:eastAsia="黑体"/>
          <w:b/>
          <w:bCs/>
          <w:sz w:val="28"/>
        </w:rPr>
      </w:pPr>
      <w:r>
        <w:rPr>
          <w:rFonts w:hint="eastAsia" w:ascii="黑体" w:eastAsia="黑体"/>
          <w:b/>
          <w:bCs/>
          <w:sz w:val="28"/>
        </w:rPr>
        <w:t>一、项目名称</w:t>
      </w:r>
    </w:p>
    <w:p w14:paraId="7363B2D7">
      <w:pPr>
        <w:pStyle w:val="6"/>
        <w:spacing w:line="360" w:lineRule="auto"/>
        <w:ind w:left="420"/>
        <w:rPr>
          <w:rFonts w:hint="eastAsia"/>
          <w:lang w:eastAsia="zh-CN"/>
        </w:rPr>
      </w:pPr>
      <w:r>
        <w:rPr>
          <w:rFonts w:hint="eastAsia"/>
        </w:rPr>
        <w:t>项目名称：</w:t>
      </w:r>
      <w:r>
        <w:rPr>
          <w:rFonts w:hint="eastAsia"/>
          <w:lang w:eastAsia="zh-CN"/>
        </w:rPr>
        <w:t>2026年度</w:t>
      </w:r>
      <w:r>
        <w:rPr>
          <w:rFonts w:hint="eastAsia"/>
          <w:lang w:val="en-US" w:eastAsia="zh-CN"/>
        </w:rPr>
        <w:t>潍柴雷沃</w:t>
      </w:r>
      <w:r>
        <w:rPr>
          <w:rFonts w:hint="eastAsia"/>
          <w:lang w:eastAsia="zh-CN"/>
        </w:rPr>
        <w:t>仓储服务项目</w:t>
      </w:r>
    </w:p>
    <w:p w14:paraId="7CE24266">
      <w:pPr>
        <w:pStyle w:val="6"/>
        <w:spacing w:line="360" w:lineRule="auto"/>
        <w:ind w:left="420"/>
        <w:rPr>
          <w:rFonts w:hint="default"/>
          <w:lang w:val="en-US" w:eastAsia="zh-CN"/>
        </w:rPr>
      </w:pPr>
      <w:r>
        <w:rPr>
          <w:rFonts w:hint="eastAsia"/>
          <w:lang w:val="en-US" w:eastAsia="zh-CN"/>
        </w:rPr>
        <w:t>项目编号：FSCZB2025120083</w:t>
      </w:r>
    </w:p>
    <w:p w14:paraId="113BE078">
      <w:pPr>
        <w:pStyle w:val="6"/>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5D753BCC">
      <w:pPr>
        <w:pStyle w:val="6"/>
        <w:spacing w:line="360" w:lineRule="auto"/>
        <w:ind w:firstLine="420" w:firstLineChars="200"/>
        <w:rPr>
          <w:rFonts w:hint="eastAsia"/>
          <w:i w:val="0"/>
          <w:iCs w:val="0"/>
          <w:lang w:val="en-US" w:eastAsia="zh-CN"/>
        </w:rPr>
      </w:pPr>
      <w:r>
        <w:rPr>
          <w:rFonts w:hint="eastAsia"/>
          <w:i w:val="0"/>
          <w:iCs w:val="0"/>
          <w:lang w:val="en-US" w:eastAsia="zh-CN"/>
        </w:rPr>
        <w:t>1、主要负责对潍柴雷沃上线前的零件进行仓储、管理，按照潍柴雷沃上线计划将零件配送至指定地点，并确保账务一致。。</w:t>
      </w:r>
    </w:p>
    <w:p w14:paraId="3A242CD1">
      <w:pPr>
        <w:pStyle w:val="6"/>
        <w:spacing w:line="360" w:lineRule="auto"/>
        <w:ind w:firstLine="420" w:firstLineChars="200"/>
        <w:rPr>
          <w:rFonts w:hint="eastAsia" w:eastAsia="宋体"/>
          <w:lang w:val="en-US" w:eastAsia="zh-CN"/>
        </w:rPr>
      </w:pPr>
      <w:r>
        <w:rPr>
          <w:rFonts w:hint="eastAsia"/>
          <w:lang w:val="en-US" w:eastAsia="zh-CN"/>
        </w:rPr>
        <w:t>2、</w:t>
      </w:r>
      <w:r>
        <w:rPr>
          <w:rFonts w:hint="eastAsia"/>
        </w:rPr>
        <w:t>招标形式：</w:t>
      </w:r>
      <w:r>
        <w:rPr>
          <w:rFonts w:hint="eastAsia"/>
          <w:lang w:eastAsia="zh-CN"/>
        </w:rPr>
        <w:t>公开招标</w:t>
      </w:r>
      <w:r>
        <w:rPr>
          <w:rFonts w:hint="eastAsia"/>
        </w:rPr>
        <w:t>。</w:t>
      </w:r>
    </w:p>
    <w:p w14:paraId="52124B55">
      <w:pPr>
        <w:pStyle w:val="6"/>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5C9A9FAC">
      <w:pPr>
        <w:pStyle w:val="18"/>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1、服务</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：潍柴雷沃智慧农业科技股份有限公司</w:t>
      </w:r>
    </w:p>
    <w:p w14:paraId="0B065210">
      <w:pPr>
        <w:pStyle w:val="6"/>
        <w:numPr>
          <w:ilvl w:val="0"/>
          <w:numId w:val="0"/>
        </w:numPr>
        <w:spacing w:line="360" w:lineRule="auto"/>
        <w:ind w:firstLine="422" w:firstLineChars="200"/>
        <w:rPr>
          <w:rFonts w:hint="eastAsia" w:ascii="Calibri" w:hAnsi="Calibri" w:eastAsia="宋体"/>
          <w:highlight w:val="none"/>
          <w:lang w:eastAsia="zh-CN"/>
        </w:rPr>
      </w:pPr>
      <w:r>
        <w:rPr>
          <w:rFonts w:hint="eastAsia" w:hAnsi="宋体" w:cs="宋体"/>
          <w:b/>
          <w:bCs/>
          <w:sz w:val="21"/>
          <w:szCs w:val="21"/>
          <w:highlight w:val="none"/>
          <w:lang w:val="en-US" w:eastAsia="zh-CN"/>
        </w:rPr>
        <w:t>2、</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lang w:val="en-US" w:eastAsia="zh-CN"/>
        </w:rPr>
        <w:t>转账</w:t>
      </w:r>
    </w:p>
    <w:p w14:paraId="34F1853B">
      <w:pPr>
        <w:pStyle w:val="18"/>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Calibri" w:hAnsi="Calibri" w:eastAsia="宋体" w:cs="Times New Roman"/>
          <w:b w:val="0"/>
          <w:bCs w:val="0"/>
          <w:kern w:val="2"/>
          <w:sz w:val="21"/>
          <w:highlight w:val="none"/>
          <w:u w:val="single"/>
          <w:lang w:val="en-US" w:eastAsia="zh-CN" w:bidi="ar-SA"/>
        </w:rPr>
      </w:pPr>
      <w:r>
        <w:rPr>
          <w:rFonts w:hint="eastAsia" w:ascii="Calibri" w:hAnsi="Calibri" w:eastAsia="宋体" w:cs="Times New Roman"/>
          <w:b w:val="0"/>
          <w:bCs w:val="0"/>
          <w:kern w:val="2"/>
          <w:sz w:val="21"/>
          <w:highlight w:val="none"/>
          <w:u w:val="single"/>
          <w:lang w:val="en-US" w:eastAsia="zh-CN" w:bidi="ar-SA"/>
        </w:rPr>
        <w:t>乙方完成甲方的需求，乙方开具合同价款100%的收据并增值税专用发票，经甲方核对无误后支付。</w:t>
      </w:r>
    </w:p>
    <w:p w14:paraId="5F4B0B6F">
      <w:pPr>
        <w:pStyle w:val="6"/>
        <w:spacing w:line="360" w:lineRule="auto"/>
        <w:ind w:firstLine="422" w:firstLineChars="200"/>
        <w:rPr>
          <w:rFonts w:hint="eastAsia" w:ascii="黑体" w:eastAsia="黑体"/>
          <w:b/>
          <w:bCs/>
          <w:sz w:val="28"/>
        </w:rPr>
      </w:pPr>
      <w:r>
        <w:rPr>
          <w:rFonts w:hint="eastAsia" w:ascii="宋体" w:hAnsi="宋体" w:eastAsia="宋体" w:cs="宋体"/>
          <w:b/>
          <w:bCs/>
          <w:color w:val="auto"/>
          <w:sz w:val="21"/>
          <w:szCs w:val="21"/>
          <w:highlight w:val="none"/>
        </w:rPr>
        <w:t>*注：付款方式及付款比例不允许偏离。</w:t>
      </w:r>
    </w:p>
    <w:p w14:paraId="6DE2646B">
      <w:pPr>
        <w:pStyle w:val="6"/>
        <w:spacing w:line="360" w:lineRule="auto"/>
        <w:rPr>
          <w:rFonts w:hint="eastAsia" w:ascii="黑体" w:eastAsia="黑体"/>
          <w:b/>
          <w:bCs/>
          <w:sz w:val="28"/>
        </w:rPr>
      </w:pPr>
      <w:r>
        <w:rPr>
          <w:rFonts w:hint="eastAsia" w:ascii="黑体" w:eastAsia="黑体"/>
          <w:b/>
          <w:bCs/>
          <w:sz w:val="28"/>
        </w:rPr>
        <w:t xml:space="preserve">四、议程安排 </w:t>
      </w:r>
    </w:p>
    <w:p w14:paraId="1185BE2D">
      <w:pPr>
        <w:pStyle w:val="6"/>
        <w:numPr>
          <w:ilvl w:val="0"/>
          <w:numId w:val="3"/>
        </w:numPr>
        <w:spacing w:line="360" w:lineRule="auto"/>
        <w:ind w:left="425" w:leftChars="0" w:hanging="425" w:firstLineChars="0"/>
        <w:rPr>
          <w:rFonts w:hint="eastAsia"/>
          <w:highlight w:val="none"/>
        </w:rPr>
      </w:pPr>
      <w:r>
        <w:rPr>
          <w:rFonts w:hint="eastAsia"/>
          <w:highlight w:val="none"/>
        </w:rPr>
        <w:t>报名截止时间：</w:t>
      </w:r>
      <w:r>
        <w:rPr>
          <w:rFonts w:hint="eastAsia"/>
          <w:color w:val="auto"/>
          <w:highlight w:val="yellow"/>
        </w:rPr>
        <w:t>202</w:t>
      </w:r>
      <w:r>
        <w:rPr>
          <w:rFonts w:hint="eastAsia"/>
          <w:color w:val="auto"/>
          <w:highlight w:val="yellow"/>
          <w:lang w:val="en-US" w:eastAsia="zh-CN"/>
        </w:rPr>
        <w:t>5</w:t>
      </w:r>
      <w:r>
        <w:rPr>
          <w:rFonts w:hint="eastAsia"/>
          <w:color w:val="auto"/>
          <w:highlight w:val="yellow"/>
        </w:rPr>
        <w:t>年</w:t>
      </w:r>
      <w:r>
        <w:rPr>
          <w:rFonts w:hint="eastAsia"/>
          <w:color w:val="auto"/>
          <w:highlight w:val="yellow"/>
          <w:lang w:val="en-US" w:eastAsia="zh-CN"/>
        </w:rPr>
        <w:t>12</w:t>
      </w:r>
      <w:r>
        <w:rPr>
          <w:rFonts w:hint="eastAsia"/>
          <w:color w:val="auto"/>
          <w:highlight w:val="yellow"/>
        </w:rPr>
        <w:t>月</w:t>
      </w:r>
      <w:r>
        <w:rPr>
          <w:rFonts w:hint="eastAsia"/>
          <w:color w:val="auto"/>
          <w:highlight w:val="yellow"/>
          <w:lang w:val="en-US" w:eastAsia="zh-CN"/>
        </w:rPr>
        <w:t>20</w:t>
      </w:r>
      <w:r>
        <w:rPr>
          <w:rFonts w:hint="eastAsia"/>
          <w:color w:val="auto"/>
          <w:highlight w:val="yellow"/>
        </w:rPr>
        <w:t>日下午</w:t>
      </w:r>
      <w:r>
        <w:rPr>
          <w:rFonts w:hint="eastAsia"/>
          <w:color w:val="auto"/>
          <w:highlight w:val="yellow"/>
          <w:lang w:val="en-US" w:eastAsia="zh-CN"/>
        </w:rPr>
        <w:t>17</w:t>
      </w:r>
      <w:r>
        <w:rPr>
          <w:rFonts w:hint="eastAsia"/>
          <w:color w:val="auto"/>
          <w:highlight w:val="yellow"/>
        </w:rPr>
        <w:t>时。</w:t>
      </w:r>
    </w:p>
    <w:p w14:paraId="7376D370">
      <w:pPr>
        <w:pStyle w:val="6"/>
        <w:numPr>
          <w:ilvl w:val="0"/>
          <w:numId w:val="3"/>
        </w:numPr>
        <w:spacing w:line="360" w:lineRule="auto"/>
        <w:ind w:left="425" w:leftChars="0" w:hanging="425" w:firstLineChars="0"/>
        <w:rPr>
          <w:rFonts w:hint="eastAsia"/>
          <w:highlight w:val="none"/>
        </w:rPr>
      </w:pPr>
      <w:r>
        <w:rPr>
          <w:rFonts w:hint="eastAsia"/>
          <w:highlight w:val="none"/>
        </w:rPr>
        <w:t>答疑时间：截止至202</w:t>
      </w:r>
      <w:r>
        <w:rPr>
          <w:rFonts w:hint="eastAsia"/>
          <w:highlight w:val="none"/>
          <w:lang w:val="en-US" w:eastAsia="zh-CN"/>
        </w:rPr>
        <w:t>5</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22</w:t>
      </w:r>
      <w:r>
        <w:rPr>
          <w:rFonts w:hint="eastAsia"/>
          <w:highlight w:val="none"/>
        </w:rPr>
        <w:t>日1</w:t>
      </w:r>
      <w:r>
        <w:rPr>
          <w:highlight w:val="none"/>
        </w:rPr>
        <w:t>7</w:t>
      </w:r>
      <w:r>
        <w:rPr>
          <w:rFonts w:hint="eastAsia"/>
          <w:highlight w:val="none"/>
        </w:rPr>
        <w:t>点前（若有变动另行通知）。</w:t>
      </w:r>
    </w:p>
    <w:p w14:paraId="3431B862">
      <w:pPr>
        <w:pStyle w:val="6"/>
        <w:spacing w:line="360" w:lineRule="auto"/>
        <w:ind w:firstLine="630" w:firstLineChars="300"/>
        <w:rPr>
          <w:rFonts w:hint="eastAsia"/>
          <w:highlight w:val="none"/>
          <w:lang w:val="en-US" w:eastAsia="zh-CN"/>
        </w:rPr>
      </w:pPr>
      <w:r>
        <w:rPr>
          <w:rFonts w:hint="eastAsia"/>
          <w:highlight w:val="none"/>
          <w:lang w:val="en-US" w:eastAsia="zh-CN"/>
        </w:rPr>
        <w:t>技术</w:t>
      </w:r>
      <w:r>
        <w:rPr>
          <w:rFonts w:hint="eastAsia"/>
          <w:highlight w:val="none"/>
        </w:rPr>
        <w:t>答疑联系人：</w:t>
      </w:r>
      <w:r>
        <w:rPr>
          <w:rFonts w:hint="eastAsia"/>
          <w:highlight w:val="none"/>
          <w:lang w:val="en-US" w:eastAsia="zh-CN"/>
        </w:rPr>
        <w:t xml:space="preserve">杨守财 </w:t>
      </w:r>
      <w:r>
        <w:rPr>
          <w:rFonts w:hint="eastAsia"/>
          <w:highlight w:val="none"/>
        </w:rPr>
        <w:t xml:space="preserve">   答疑联系电话：18735397025</w:t>
      </w:r>
    </w:p>
    <w:p w14:paraId="459D11E7">
      <w:pPr>
        <w:pStyle w:val="6"/>
        <w:numPr>
          <w:ilvl w:val="0"/>
          <w:numId w:val="3"/>
        </w:numPr>
        <w:spacing w:line="360" w:lineRule="auto"/>
        <w:ind w:left="425" w:leftChars="0" w:hanging="425" w:firstLineChars="0"/>
        <w:rPr>
          <w:rFonts w:hint="eastAsia"/>
          <w:highlight w:val="none"/>
        </w:rPr>
      </w:pPr>
      <w:r>
        <w:rPr>
          <w:rFonts w:hint="eastAsia"/>
          <w:highlight w:val="none"/>
          <w:lang w:val="en-US" w:eastAsia="zh-CN"/>
        </w:rPr>
        <w:t>投标截止</w:t>
      </w:r>
      <w:r>
        <w:rPr>
          <w:rFonts w:hint="eastAsia"/>
          <w:highlight w:val="none"/>
        </w:rPr>
        <w:t>时间：</w:t>
      </w:r>
      <w:r>
        <w:rPr>
          <w:rFonts w:hint="eastAsia"/>
          <w:highlight w:val="yellow"/>
        </w:rPr>
        <w:t>202</w:t>
      </w:r>
      <w:r>
        <w:rPr>
          <w:rFonts w:hint="eastAsia"/>
          <w:highlight w:val="yellow"/>
          <w:lang w:val="en-US" w:eastAsia="zh-CN"/>
        </w:rPr>
        <w:t>5</w:t>
      </w:r>
      <w:r>
        <w:rPr>
          <w:rFonts w:hint="eastAsia"/>
          <w:highlight w:val="yellow"/>
        </w:rPr>
        <w:t>年</w:t>
      </w:r>
      <w:r>
        <w:rPr>
          <w:rFonts w:hint="eastAsia"/>
          <w:highlight w:val="yellow"/>
          <w:lang w:val="en-US" w:eastAsia="zh-CN"/>
        </w:rPr>
        <w:t>12</w:t>
      </w:r>
      <w:r>
        <w:rPr>
          <w:rFonts w:hint="eastAsia"/>
          <w:highlight w:val="yellow"/>
        </w:rPr>
        <w:t>月</w:t>
      </w:r>
      <w:r>
        <w:rPr>
          <w:rFonts w:hint="eastAsia"/>
          <w:highlight w:val="yellow"/>
          <w:lang w:val="en-US" w:eastAsia="zh-CN"/>
        </w:rPr>
        <w:t>27</w:t>
      </w:r>
      <w:r>
        <w:rPr>
          <w:rFonts w:hint="eastAsia"/>
          <w:highlight w:val="yellow"/>
        </w:rPr>
        <w:t>日上午</w:t>
      </w:r>
      <w:r>
        <w:rPr>
          <w:highlight w:val="yellow"/>
        </w:rPr>
        <w:t>9</w:t>
      </w:r>
      <w:r>
        <w:rPr>
          <w:rFonts w:hint="eastAsia"/>
          <w:highlight w:val="yellow"/>
        </w:rPr>
        <w:t>时。</w:t>
      </w:r>
    </w:p>
    <w:p w14:paraId="6508B90A">
      <w:pPr>
        <w:pStyle w:val="6"/>
        <w:numPr>
          <w:ilvl w:val="0"/>
          <w:numId w:val="3"/>
        </w:numPr>
        <w:spacing w:line="360" w:lineRule="auto"/>
        <w:ind w:left="425" w:leftChars="0" w:hanging="425" w:firstLineChars="0"/>
        <w:rPr>
          <w:rFonts w:hint="eastAsia"/>
          <w:highlight w:val="none"/>
        </w:rPr>
      </w:pPr>
      <w:r>
        <w:rPr>
          <w:rFonts w:hint="eastAsia"/>
          <w:highlight w:val="yellow"/>
          <w:lang w:val="en-US" w:eastAsia="zh-CN"/>
        </w:rPr>
        <w:t>开标时间：暂定2025年12月30日上午9：00，线上开标，如有变动，另行通知</w:t>
      </w:r>
    </w:p>
    <w:p w14:paraId="2BCC9D58">
      <w:pPr>
        <w:pStyle w:val="6"/>
        <w:numPr>
          <w:ilvl w:val="0"/>
          <w:numId w:val="3"/>
        </w:numPr>
        <w:spacing w:line="360" w:lineRule="auto"/>
        <w:ind w:left="425" w:leftChars="0" w:hanging="425" w:firstLineChars="0"/>
        <w:rPr>
          <w:rFonts w:hint="eastAsia" w:eastAsia="宋体"/>
          <w:highlight w:val="none"/>
          <w:lang w:eastAsia="zh-CN"/>
        </w:rPr>
      </w:pPr>
      <w:r>
        <w:rPr>
          <w:rFonts w:hint="eastAsia"/>
          <w:highlight w:val="none"/>
        </w:rPr>
        <w:t>报名及商务事宜联系人：</w:t>
      </w:r>
      <w:r>
        <w:rPr>
          <w:rFonts w:hint="eastAsia"/>
          <w:color w:val="auto"/>
          <w:highlight w:val="none"/>
          <w:lang w:val="en-US" w:eastAsia="zh-CN"/>
        </w:rPr>
        <w:t>侯晓雪</w:t>
      </w:r>
    </w:p>
    <w:p w14:paraId="66772D76">
      <w:pPr>
        <w:pStyle w:val="6"/>
        <w:spacing w:line="360" w:lineRule="auto"/>
        <w:ind w:firstLine="420" w:firstLineChars="200"/>
        <w:rPr>
          <w:rFonts w:hint="eastAsia"/>
          <w:highlight w:val="none"/>
        </w:rPr>
      </w:pPr>
      <w:r>
        <w:rPr>
          <w:rFonts w:hint="eastAsia"/>
          <w:highlight w:val="none"/>
        </w:rPr>
        <w:t>联系电话：</w:t>
      </w:r>
      <w:r>
        <w:rPr>
          <w:rFonts w:hint="eastAsia"/>
          <w:highlight w:val="none"/>
          <w:lang w:val="en-US" w:eastAsia="zh-CN"/>
        </w:rPr>
        <w:t>18844092253</w:t>
      </w:r>
      <w:r>
        <w:rPr>
          <w:highlight w:val="none"/>
        </w:rPr>
        <w:t xml:space="preserve">  </w:t>
      </w:r>
      <w:r>
        <w:rPr>
          <w:rFonts w:hint="eastAsia"/>
          <w:highlight w:val="none"/>
        </w:rPr>
        <w:t>邮箱：houxiaoxue1@sinotruk.com</w:t>
      </w:r>
    </w:p>
    <w:p w14:paraId="509E3EB9">
      <w:pPr>
        <w:pStyle w:val="6"/>
        <w:spacing w:line="360" w:lineRule="auto"/>
        <w:ind w:firstLine="420" w:firstLineChars="200"/>
        <w:rPr>
          <w:rFonts w:hint="eastAsia"/>
          <w:highlight w:val="none"/>
          <w:lang w:val="en-US" w:eastAsia="zh-CN"/>
        </w:rPr>
      </w:pPr>
      <w:r>
        <w:rPr>
          <w:rFonts w:hint="eastAsia"/>
          <w:highlight w:val="none"/>
          <w:lang w:val="en-US" w:eastAsia="zh-CN"/>
        </w:rPr>
        <w:t>项目联系人：李春霞   联系方式：13754929867</w:t>
      </w:r>
    </w:p>
    <w:p w14:paraId="44402383">
      <w:pPr>
        <w:pStyle w:val="6"/>
        <w:spacing w:line="360" w:lineRule="auto"/>
        <w:ind w:firstLine="420" w:firstLineChars="200"/>
        <w:rPr>
          <w:rFonts w:hint="default"/>
          <w:highlight w:val="none"/>
          <w:lang w:val="en-US" w:eastAsia="zh-CN"/>
        </w:rPr>
      </w:pPr>
      <w:r>
        <w:rPr>
          <w:rFonts w:hint="eastAsia"/>
          <w:highlight w:val="none"/>
          <w:lang w:val="en-US" w:eastAsia="zh-CN"/>
        </w:rPr>
        <w:t>项目联系人：丰淼   联系方式：15135207575</w:t>
      </w:r>
    </w:p>
    <w:p w14:paraId="6A01369D">
      <w:pPr>
        <w:pStyle w:val="6"/>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19"/>
        <w:numPr>
          <w:ilvl w:val="0"/>
          <w:numId w:val="4"/>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13</w:t>
      </w:r>
      <w:bookmarkStart w:id="17" w:name="_GoBack"/>
      <w:bookmarkEnd w:id="17"/>
      <w:r>
        <w:rPr>
          <w:rFonts w:hint="eastAsia" w:ascii="宋体" w:hAnsi="Courier New" w:eastAsia="宋体" w:cs="Times New Roman"/>
          <w:highlight w:val="yellow"/>
          <w:lang w:val="en-US" w:eastAsia="zh-CN"/>
        </w:rPr>
        <w:t>日</w:t>
      </w:r>
    </w:p>
    <w:p w14:paraId="04ACA6F8">
      <w:pPr>
        <w:pStyle w:val="19"/>
        <w:numPr>
          <w:ilvl w:val="0"/>
          <w:numId w:val="4"/>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04E9F52B">
      <w:pPr>
        <w:pStyle w:val="19"/>
        <w:numPr>
          <w:ilvl w:val="0"/>
          <w:numId w:val="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19"/>
        <w:numPr>
          <w:ilvl w:val="0"/>
          <w:numId w:val="4"/>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12</w:t>
      </w:r>
      <w:r>
        <w:rPr>
          <w:rFonts w:hint="eastAsia" w:eastAsia="宋体" w:cs="宋体"/>
          <w:highlight w:val="yellow"/>
        </w:rPr>
        <w:t>月</w:t>
      </w:r>
      <w:r>
        <w:rPr>
          <w:rFonts w:hint="eastAsia" w:cs="宋体"/>
          <w:highlight w:val="yellow"/>
          <w:lang w:val="en-US" w:eastAsia="zh-CN"/>
        </w:rPr>
        <w:t>20</w:t>
      </w:r>
      <w:r>
        <w:rPr>
          <w:rFonts w:hint="eastAsia" w:eastAsia="宋体" w:cs="宋体"/>
          <w:highlight w:val="yellow"/>
        </w:rPr>
        <w:t>日17时00分00秒</w:t>
      </w:r>
    </w:p>
    <w:p w14:paraId="2521BCA0">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6"/>
        <w:spacing w:line="360" w:lineRule="auto"/>
        <w:rPr>
          <w:rFonts w:hint="eastAsia" w:ascii="黑体" w:eastAsia="黑体"/>
          <w:b/>
          <w:bCs/>
          <w:sz w:val="28"/>
        </w:rPr>
      </w:pPr>
      <w:r>
        <w:rPr>
          <w:rFonts w:hint="eastAsia" w:ascii="黑体" w:eastAsia="黑体"/>
          <w:b/>
          <w:bCs/>
          <w:sz w:val="28"/>
        </w:rPr>
        <w:t>六、投标须知</w:t>
      </w:r>
    </w:p>
    <w:p w14:paraId="0E6E3488">
      <w:pPr>
        <w:pStyle w:val="6"/>
        <w:spacing w:line="360" w:lineRule="auto"/>
        <w:ind w:firstLine="422" w:firstLineChars="200"/>
        <w:rPr>
          <w:rFonts w:hint="eastAsia"/>
          <w:b/>
        </w:rPr>
      </w:pPr>
      <w:r>
        <w:rPr>
          <w:rFonts w:hint="eastAsia"/>
          <w:b/>
        </w:rPr>
        <w:t>1.合格投标人：</w:t>
      </w:r>
    </w:p>
    <w:p w14:paraId="3C8DE851">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50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68"/>
        <w:keepNext w:val="0"/>
        <w:keepLines w:val="0"/>
        <w:pageBreakBefore w:val="0"/>
        <w:widowControl w:val="0"/>
        <w:numPr>
          <w:ilvl w:val="0"/>
          <w:numId w:val="5"/>
        </w:numPr>
        <w:kinsoku/>
        <w:wordWrap/>
        <w:overflowPunct/>
        <w:topLinePunct w:val="0"/>
        <w:autoSpaceDE/>
        <w:autoSpaceDN/>
        <w:bidi w:val="0"/>
        <w:adjustRightInd/>
        <w:snapToGrid/>
        <w:ind w:left="0" w:firstLine="420" w:firstLineChars="200"/>
        <w:textAlignment w:val="auto"/>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68"/>
        <w:keepNext w:val="0"/>
        <w:keepLines w:val="0"/>
        <w:pageBreakBefore w:val="0"/>
        <w:widowControl w:val="0"/>
        <w:numPr>
          <w:ilvl w:val="0"/>
          <w:numId w:val="5"/>
        </w:numPr>
        <w:kinsoku/>
        <w:wordWrap/>
        <w:overflowPunct/>
        <w:topLinePunct w:val="0"/>
        <w:autoSpaceDE/>
        <w:autoSpaceDN/>
        <w:bidi w:val="0"/>
        <w:adjustRightInd/>
        <w:snapToGrid/>
        <w:ind w:left="0" w:firstLine="420" w:firstLineChars="200"/>
        <w:textAlignment w:val="auto"/>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51CA03DF">
      <w:pPr>
        <w:pStyle w:val="6"/>
        <w:spacing w:line="360" w:lineRule="auto"/>
        <w:ind w:firstLine="420" w:firstLineChars="200"/>
        <w:rPr>
          <w:rFonts w:hint="eastAsia" w:ascii="宋体" w:hAnsi="Courier New" w:eastAsia="宋体" w:cs="Times New Roman"/>
          <w:kern w:val="2"/>
          <w:sz w:val="21"/>
          <w:lang w:val="en-US" w:eastAsia="zh-CN" w:bidi="ar-SA"/>
        </w:rPr>
      </w:pPr>
      <w:r>
        <w:rPr>
          <w:rFonts w:hint="eastAsia"/>
          <w:b w:val="0"/>
          <w:bCs/>
          <w:strike w:val="0"/>
          <w:dstrike w:val="0"/>
          <w:highlight w:val="none"/>
          <w:lang w:val="en-US" w:eastAsia="zh-CN"/>
        </w:rPr>
        <w:t>投标人</w:t>
      </w:r>
      <w:r>
        <w:rPr>
          <w:rFonts w:hint="eastAsia"/>
          <w:b w:val="0"/>
          <w:bCs/>
          <w:strike w:val="0"/>
          <w:dstrike w:val="0"/>
          <w:highlight w:val="none"/>
        </w:rPr>
        <w:t>是招标</w:t>
      </w:r>
      <w:r>
        <w:rPr>
          <w:rFonts w:hint="eastAsia"/>
          <w:b w:val="0"/>
          <w:bCs/>
          <w:strike w:val="0"/>
          <w:dstrike w:val="0"/>
          <w:highlight w:val="none"/>
          <w:lang w:val="en-US" w:eastAsia="zh-CN"/>
        </w:rPr>
        <w:t>服务</w:t>
      </w:r>
      <w:r>
        <w:rPr>
          <w:rFonts w:hint="eastAsia"/>
          <w:b w:val="0"/>
          <w:bCs/>
          <w:strike w:val="0"/>
          <w:dstrike w:val="0"/>
          <w:highlight w:val="none"/>
        </w:rPr>
        <w:t>的</w:t>
      </w:r>
      <w:r>
        <w:rPr>
          <w:rFonts w:hint="eastAsia"/>
          <w:b w:val="0"/>
          <w:bCs/>
          <w:strike w:val="0"/>
          <w:dstrike w:val="0"/>
          <w:highlight w:val="none"/>
          <w:lang w:val="en-US" w:eastAsia="zh-CN"/>
        </w:rPr>
        <w:t>直接提供者，不接受代理投标。</w:t>
      </w:r>
    </w:p>
    <w:p w14:paraId="64CDEC52">
      <w:pPr>
        <w:pStyle w:val="6"/>
        <w:spacing w:line="360" w:lineRule="auto"/>
        <w:ind w:firstLine="422" w:firstLineChars="200"/>
        <w:rPr>
          <w:rFonts w:hint="eastAsia"/>
          <w:b/>
          <w:highlight w:val="none"/>
        </w:rPr>
      </w:pPr>
      <w:r>
        <w:rPr>
          <w:rFonts w:hint="eastAsia"/>
          <w:b/>
        </w:rPr>
        <w:t>2.投标文件格式</w:t>
      </w:r>
    </w:p>
    <w:p w14:paraId="64A790F7">
      <w:pPr>
        <w:pStyle w:val="6"/>
        <w:spacing w:line="360" w:lineRule="auto"/>
        <w:ind w:firstLine="422" w:firstLineChars="200"/>
        <w:rPr>
          <w:rFonts w:hint="eastAsia"/>
          <w:b/>
        </w:rPr>
      </w:pPr>
      <w:r>
        <w:rPr>
          <w:rFonts w:hint="eastAsia"/>
          <w:b/>
        </w:rPr>
        <w:t>（1）资质文件</w:t>
      </w:r>
    </w:p>
    <w:p w14:paraId="0B30A1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bookmarkStart w:id="1" w:name="_Toc47976601"/>
      <w:r>
        <w:rPr>
          <w:rFonts w:hint="eastAsia"/>
          <w:b w:val="0"/>
          <w:bCs/>
        </w:rPr>
        <w:t>1.1营业执照副本复印件（需加盖公章）；</w:t>
      </w:r>
    </w:p>
    <w:p w14:paraId="63B44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1.2投标函；</w:t>
      </w:r>
    </w:p>
    <w:p w14:paraId="155E58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14B6A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1.4出具近</w:t>
      </w:r>
      <w:r>
        <w:rPr>
          <w:rFonts w:hint="eastAsia"/>
          <w:b w:val="0"/>
          <w:bCs/>
          <w:lang w:val="en-US" w:eastAsia="zh-CN"/>
        </w:rPr>
        <w:t>三</w:t>
      </w:r>
      <w:r>
        <w:rPr>
          <w:rFonts w:hint="eastAsia"/>
          <w:b w:val="0"/>
          <w:bCs/>
        </w:rPr>
        <w:t>年的财务审计报告，并加盖公章，包括但不限于报告页、经审计的资产负债表、利润表、现金流量表</w:t>
      </w:r>
      <w:r>
        <w:rPr>
          <w:rFonts w:hint="eastAsia"/>
          <w:b w:val="0"/>
          <w:bCs/>
          <w:lang w:eastAsia="zh-CN"/>
        </w:rPr>
        <w:t>。</w:t>
      </w:r>
      <w:r>
        <w:rPr>
          <w:rFonts w:hint="eastAsia"/>
          <w:b w:val="0"/>
          <w:bCs/>
        </w:rPr>
        <w:t>（如投标人公司没有经审计的财务报告，可提供加盖公章的近</w:t>
      </w:r>
      <w:r>
        <w:rPr>
          <w:rFonts w:hint="eastAsia"/>
          <w:b w:val="0"/>
          <w:bCs/>
          <w:lang w:val="en-US" w:eastAsia="zh-CN"/>
        </w:rPr>
        <w:t>三</w:t>
      </w:r>
      <w:r>
        <w:rPr>
          <w:rFonts w:hint="eastAsia"/>
          <w:b w:val="0"/>
          <w:bCs/>
        </w:rPr>
        <w:t>年财务报表，包括但不限于资产负债表、利润表、现金流量表）</w:t>
      </w:r>
      <w:r>
        <w:rPr>
          <w:rFonts w:hint="eastAsia"/>
          <w:b w:val="0"/>
          <w:bCs/>
          <w:lang w:eastAsia="zh-CN"/>
        </w:rPr>
        <w:t>，</w:t>
      </w:r>
      <w:r>
        <w:rPr>
          <w:rFonts w:hint="eastAsia"/>
          <w:b w:val="0"/>
          <w:bCs/>
        </w:rPr>
        <w:t>必须连续</w:t>
      </w:r>
      <w:r>
        <w:rPr>
          <w:rFonts w:hint="eastAsia"/>
          <w:b w:val="0"/>
          <w:bCs/>
          <w:lang w:eastAsia="zh-CN"/>
        </w:rPr>
        <w:t>；</w:t>
      </w:r>
    </w:p>
    <w:p w14:paraId="3385D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1.5近三年内在经营活动中无与本项目有关的违法及重大违规行为的声明；</w:t>
      </w:r>
    </w:p>
    <w:p w14:paraId="3E0884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1.6投标人在国家企业信用信息公示系统中无与本项目有关的行政处罚、经营异常和失信信息的声明；</w:t>
      </w:r>
    </w:p>
    <w:p w14:paraId="47510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1.7企业对外担保说明（写明贵单位对外有无对外担保和质押业务，需加盖公章）；</w:t>
      </w:r>
    </w:p>
    <w:p w14:paraId="572AE4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8</w:t>
      </w:r>
      <w:r>
        <w:rPr>
          <w:rFonts w:hint="eastAsia"/>
          <w:b w:val="0"/>
          <w:bCs/>
        </w:rPr>
        <w:t>企业最近半年的完税证明，并附年度纳税信用评价信息（可从电子税务局查询截图）；</w:t>
      </w:r>
    </w:p>
    <w:p w14:paraId="097D2D9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b w:val="0"/>
          <w:bCs/>
        </w:rPr>
      </w:pPr>
      <w:r>
        <w:rPr>
          <w:rFonts w:hint="eastAsia"/>
          <w:b w:val="0"/>
          <w:bCs/>
        </w:rPr>
        <w:t>1.</w:t>
      </w:r>
      <w:r>
        <w:rPr>
          <w:rFonts w:hint="eastAsia"/>
          <w:b w:val="0"/>
          <w:bCs/>
          <w:lang w:val="en-US" w:eastAsia="zh-CN"/>
        </w:rPr>
        <w:t>9</w:t>
      </w:r>
      <w:r>
        <w:rPr>
          <w:rFonts w:hint="eastAsia"/>
          <w:b w:val="0"/>
          <w:bCs/>
        </w:rPr>
        <w:t xml:space="preserve"> 202</w:t>
      </w:r>
      <w:r>
        <w:rPr>
          <w:rFonts w:hint="eastAsia"/>
          <w:b w:val="0"/>
          <w:bCs/>
          <w:lang w:val="en-US" w:eastAsia="zh-CN"/>
        </w:rPr>
        <w:t>2</w:t>
      </w:r>
      <w:r>
        <w:rPr>
          <w:rFonts w:hint="eastAsia"/>
          <w:b w:val="0"/>
          <w:bCs/>
        </w:rPr>
        <w:t>年1月1日至今，企业近三年同类项目业绩证明，须提供用户清单、采购合同复印件；</w:t>
      </w:r>
    </w:p>
    <w:p w14:paraId="25EA88A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b w:val="0"/>
          <w:bCs/>
          <w:lang w:val="en-US" w:eastAsia="zh-CN"/>
        </w:rPr>
      </w:pPr>
      <w:r>
        <w:rPr>
          <w:rFonts w:hint="eastAsia"/>
          <w:b w:val="0"/>
          <w:bCs/>
        </w:rPr>
        <w:t>1.1</w:t>
      </w:r>
      <w:r>
        <w:rPr>
          <w:rFonts w:hint="eastAsia"/>
          <w:b w:val="0"/>
          <w:bCs/>
          <w:lang w:val="en-US" w:eastAsia="zh-CN"/>
        </w:rPr>
        <w:t>0</w:t>
      </w:r>
      <w:r>
        <w:rPr>
          <w:rFonts w:hint="eastAsia"/>
          <w:b w:val="0"/>
          <w:bCs/>
        </w:rPr>
        <w:t>投标保证金缴纳凭证，同时正文描述付款账号、户名、开户行名称、开户行行号、保证金金额。</w:t>
      </w:r>
      <w:r>
        <w:rPr>
          <w:rFonts w:hint="eastAsia" w:ascii="宋体" w:hAnsi="宋体" w:eastAsia="宋体" w:cs="宋体"/>
          <w:b w:val="0"/>
          <w:bCs w:val="0"/>
          <w:color w:val="000000"/>
          <w:kern w:val="2"/>
          <w:sz w:val="21"/>
          <w:szCs w:val="21"/>
          <w:highlight w:val="none"/>
          <w:u w:val="none"/>
          <w:lang w:val="en-US" w:eastAsia="zh-CN" w:bidi="ar"/>
        </w:rPr>
        <w:t>（</w:t>
      </w:r>
      <w:r>
        <w:rPr>
          <w:rFonts w:hint="eastAsia" w:ascii="宋体" w:hAnsi="宋体" w:cs="宋体"/>
          <w:b w:val="0"/>
          <w:bCs w:val="0"/>
          <w:color w:val="000000"/>
          <w:kern w:val="2"/>
          <w:sz w:val="21"/>
          <w:szCs w:val="21"/>
          <w:highlight w:val="none"/>
          <w:u w:val="none"/>
          <w:lang w:val="en-US" w:eastAsia="zh-CN" w:bidi="ar"/>
        </w:rPr>
        <w:t>应标时不做要求，</w:t>
      </w:r>
      <w:r>
        <w:rPr>
          <w:rFonts w:hint="eastAsia" w:ascii="宋体" w:hAnsi="宋体" w:eastAsia="宋体" w:cs="宋体"/>
          <w:b w:val="0"/>
          <w:bCs w:val="0"/>
          <w:sz w:val="21"/>
          <w:szCs w:val="21"/>
          <w:highlight w:val="none"/>
          <w:u w:val="none"/>
          <w:lang w:val="en-US" w:eastAsia="zh-CN"/>
        </w:rPr>
        <w:t>投标时需随投标资质文件一起上传）</w:t>
      </w:r>
    </w:p>
    <w:bookmarkEnd w:id="1"/>
    <w:p w14:paraId="609F8F44">
      <w:pPr>
        <w:pStyle w:val="6"/>
        <w:spacing w:line="360" w:lineRule="auto"/>
        <w:ind w:firstLine="422" w:firstLineChars="200"/>
        <w:rPr>
          <w:rFonts w:hint="eastAsia"/>
          <w:b/>
        </w:rPr>
      </w:pPr>
      <w:r>
        <w:rPr>
          <w:rFonts w:hint="eastAsia"/>
          <w:b/>
        </w:rPr>
        <w:t>(</w:t>
      </w:r>
      <w:r>
        <w:rPr>
          <w:rFonts w:hint="eastAsia"/>
          <w:b/>
          <w:lang w:val="en-US" w:eastAsia="zh-CN"/>
        </w:rPr>
        <w:t>2</w:t>
      </w:r>
      <w:r>
        <w:rPr>
          <w:rFonts w:hint="eastAsia"/>
          <w:b/>
        </w:rPr>
        <w:t>) 商务标</w:t>
      </w:r>
    </w:p>
    <w:p w14:paraId="4F5BA4F9">
      <w:pPr>
        <w:pStyle w:val="6"/>
        <w:spacing w:line="360" w:lineRule="auto"/>
        <w:ind w:firstLine="422" w:firstLineChars="200"/>
        <w:rPr>
          <w:b/>
          <w:bCs w:val="0"/>
          <w:highlight w:val="none"/>
        </w:rPr>
      </w:pPr>
      <w:r>
        <w:rPr>
          <w:rFonts w:hint="eastAsia"/>
          <w:b/>
          <w:bCs w:val="0"/>
          <w:highlight w:val="none"/>
          <w:lang w:val="en-US" w:eastAsia="zh-CN"/>
        </w:rPr>
        <w:t>1、</w:t>
      </w:r>
      <w:r>
        <w:rPr>
          <w:rFonts w:hint="eastAsia"/>
          <w:b/>
          <w:bCs w:val="0"/>
          <w:highlight w:val="none"/>
        </w:rPr>
        <w:t>投标函；</w:t>
      </w:r>
    </w:p>
    <w:p w14:paraId="01B22EC5">
      <w:pPr>
        <w:pStyle w:val="6"/>
        <w:spacing w:line="360" w:lineRule="auto"/>
        <w:ind w:firstLine="422" w:firstLineChars="200"/>
        <w:rPr>
          <w:b/>
          <w:bCs w:val="0"/>
          <w:highlight w:val="none"/>
        </w:rPr>
      </w:pPr>
      <w:r>
        <w:rPr>
          <w:rFonts w:hint="eastAsia"/>
          <w:b/>
          <w:bCs w:val="0"/>
          <w:highlight w:val="none"/>
          <w:lang w:val="en-US" w:eastAsia="zh-CN"/>
        </w:rPr>
        <w:t>2、</w:t>
      </w:r>
      <w:r>
        <w:rPr>
          <w:rFonts w:hint="eastAsia"/>
          <w:b/>
          <w:bCs w:val="0"/>
          <w:highlight w:val="none"/>
        </w:rPr>
        <w:t>开标一览表；</w:t>
      </w:r>
    </w:p>
    <w:p w14:paraId="36F12D36">
      <w:pPr>
        <w:pStyle w:val="6"/>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hAnsi="Courier New" w:eastAsia="宋体" w:cs="Times New Roman"/>
          <w:b/>
          <w:bCs w:val="0"/>
          <w:highlight w:val="none"/>
          <w:lang w:eastAsia="zh-CN"/>
        </w:rPr>
        <w:t>；</w:t>
      </w:r>
    </w:p>
    <w:p w14:paraId="5645C824">
      <w:pPr>
        <w:pStyle w:val="6"/>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24A5AFE8">
      <w:pPr>
        <w:pStyle w:val="6"/>
        <w:spacing w:line="360" w:lineRule="auto"/>
        <w:ind w:firstLine="420" w:firstLineChars="200"/>
      </w:pPr>
      <w:r>
        <w:rPr>
          <w:rFonts w:hint="eastAsia" w:hAnsi="宋体"/>
        </w:rPr>
        <w:t>⑴</w:t>
      </w:r>
      <w:r>
        <w:rPr>
          <w:rFonts w:hint="eastAsia"/>
        </w:rPr>
        <w:t>本次招标为</w:t>
      </w:r>
      <w:r>
        <w:rPr>
          <w:rFonts w:hint="eastAsia"/>
          <w:lang w:eastAsia="zh-CN"/>
        </w:rPr>
        <w:t>公开招标</w:t>
      </w:r>
      <w:r>
        <w:rPr>
          <w:rFonts w:hint="eastAsia"/>
        </w:rPr>
        <w:t>，报价应为：投标方与招标人或其指派的答疑人员充分沟通确认基础上，由投标人在满足招标人所提出的、与本项目所有相关环节有关的所有费用；</w:t>
      </w:r>
    </w:p>
    <w:p w14:paraId="462EAF85">
      <w:pPr>
        <w:pStyle w:val="6"/>
        <w:spacing w:line="360" w:lineRule="auto"/>
        <w:ind w:firstLine="420" w:firstLineChars="200"/>
        <w:rPr>
          <w:rFonts w:hint="default" w:eastAsia="宋体"/>
          <w:highlight w:val="none"/>
          <w:lang w:val="en-US" w:eastAsia="zh-CN"/>
        </w:rPr>
      </w:pPr>
      <w:r>
        <w:rPr>
          <w:rFonts w:hint="eastAsia" w:ascii="宋体" w:hAnsi="宋体"/>
          <w:highlight w:val="none"/>
        </w:rPr>
        <w:t>⑵</w:t>
      </w:r>
      <w:r>
        <w:rPr>
          <w:rFonts w:hint="eastAsia" w:ascii="宋体" w:hAnsi="宋体"/>
          <w:highlight w:val="none"/>
          <w:lang w:val="en-US" w:eastAsia="zh-CN"/>
        </w:rPr>
        <w:t>投标方报价上限</w:t>
      </w:r>
      <w:r>
        <w:rPr>
          <w:rFonts w:hint="eastAsia" w:hAnsi="宋体"/>
          <w:b/>
          <w:bCs/>
          <w:highlight w:val="none"/>
          <w:lang w:val="en-US" w:eastAsia="zh-CN"/>
        </w:rPr>
        <w:t>16</w:t>
      </w:r>
      <w:r>
        <w:rPr>
          <w:rFonts w:hint="eastAsia" w:ascii="宋体" w:hAnsi="宋体"/>
          <w:highlight w:val="none"/>
          <w:lang w:val="en-US" w:eastAsia="zh-CN"/>
        </w:rPr>
        <w:t>万元（含税）；</w:t>
      </w:r>
    </w:p>
    <w:p w14:paraId="180D368F">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13EFA712">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55C76DB3">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4DA2F9A0">
      <w:pPr>
        <w:spacing w:line="360" w:lineRule="auto"/>
        <w:ind w:firstLine="420" w:firstLineChars="200"/>
        <w:rPr>
          <w:rFonts w:hint="eastAsia" w:hAnsi="宋体"/>
          <w:highlight w:val="none"/>
        </w:rPr>
      </w:pPr>
      <w:r>
        <w:rPr>
          <w:rFonts w:hint="eastAsia" w:hAnsi="宋体"/>
          <w:highlight w:val="none"/>
        </w:rPr>
        <w:t>⑸投标价格含合同签订的委托检验检测、测试报告编制、提供中文版校验报告及合同包含的所有风险、责任等各项应有费用。评标小组有权根据报价情况要求所有投标人进行澄清。</w:t>
      </w:r>
    </w:p>
    <w:p w14:paraId="16B2F163">
      <w:pPr>
        <w:spacing w:line="360" w:lineRule="auto"/>
        <w:ind w:firstLine="420" w:firstLineChars="200"/>
        <w:rPr>
          <w:rFonts w:hint="eastAsia" w:hAnsi="宋体"/>
          <w:highlight w:val="none"/>
        </w:rPr>
      </w:pPr>
      <w:r>
        <w:rPr>
          <w:rFonts w:hint="eastAsia" w:hAnsi="宋体"/>
          <w:highlight w:val="none"/>
        </w:rPr>
        <w:t>⑹投标人所提供的单价和合价在合同实施期间不因市场变化因素而变动，投标人在计算报价时可考虑一定的风险系数；凡漏项报价者，中标后不得调整价格。</w:t>
      </w:r>
      <w:r>
        <w:rPr>
          <w:rFonts w:hint="eastAsia" w:hAnsi="宋体"/>
          <w:highlight w:val="none"/>
          <w:lang w:eastAsia="zh-CN"/>
        </w:rPr>
        <w:t>（</w:t>
      </w:r>
      <w:r>
        <w:rPr>
          <w:rFonts w:hint="eastAsia" w:hAnsi="宋体"/>
          <w:highlight w:val="none"/>
        </w:rPr>
        <w:t>报价应明确含税价格，不含税价格以及开具发票税率）。</w:t>
      </w:r>
    </w:p>
    <w:p w14:paraId="052ECD14">
      <w:pPr>
        <w:spacing w:line="360" w:lineRule="auto"/>
        <w:ind w:firstLine="420" w:firstLineChars="200"/>
        <w:rPr>
          <w:rFonts w:hint="eastAsia" w:hAnsi="宋体" w:eastAsia="宋体"/>
          <w:highlight w:val="none"/>
          <w:lang w:val="en-US"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106FB2E2">
      <w:pPr>
        <w:pStyle w:val="6"/>
        <w:numPr>
          <w:ilvl w:val="0"/>
          <w:numId w:val="0"/>
        </w:numPr>
        <w:spacing w:line="360" w:lineRule="auto"/>
        <w:ind w:firstLine="422" w:firstLineChars="200"/>
        <w:rPr>
          <w:rFonts w:hint="eastAsia" w:ascii="Calibri" w:hAnsi="Calibri"/>
          <w:highlight w:val="none"/>
        </w:rPr>
      </w:pPr>
      <w:r>
        <w:rPr>
          <w:rFonts w:hint="eastAsia"/>
          <w:b/>
          <w:highlight w:val="none"/>
          <w:lang w:val="en-US" w:eastAsia="zh-CN"/>
        </w:rPr>
        <w:t>5、</w:t>
      </w:r>
      <w:r>
        <w:rPr>
          <w:rFonts w:hint="eastAsia"/>
          <w:b/>
          <w:highlight w:val="none"/>
        </w:rPr>
        <w:t>付款方式：</w:t>
      </w:r>
      <w:r>
        <w:rPr>
          <w:rFonts w:hint="eastAsia" w:ascii="宋体" w:hAnsi="Courier New" w:eastAsia="宋体" w:cs="Times New Roman"/>
          <w:bCs/>
          <w:highlight w:val="none"/>
          <w:u w:val="single"/>
          <w:lang w:val="en-US" w:eastAsia="zh-CN"/>
        </w:rPr>
        <w:t>验收通过后，</w:t>
      </w:r>
      <w:r>
        <w:rPr>
          <w:rFonts w:hint="eastAsia" w:eastAsia="宋体" w:cs="Times New Roman"/>
          <w:bCs/>
          <w:highlight w:val="none"/>
          <w:u w:val="single"/>
          <w:lang w:val="en-US" w:eastAsia="zh-CN"/>
        </w:rPr>
        <w:t>并</w:t>
      </w:r>
      <w:r>
        <w:rPr>
          <w:rFonts w:hint="eastAsia"/>
          <w:bCs/>
          <w:highlight w:val="none"/>
          <w:u w:val="single"/>
        </w:rPr>
        <w:t>对发票进行确认</w:t>
      </w:r>
      <w:r>
        <w:rPr>
          <w:rFonts w:hint="eastAsia"/>
          <w:bCs/>
          <w:highlight w:val="none"/>
          <w:u w:val="single"/>
          <w:lang w:val="en-US" w:eastAsia="zh-CN"/>
        </w:rPr>
        <w:t>后</w:t>
      </w:r>
      <w:r>
        <w:rPr>
          <w:rFonts w:hint="eastAsia"/>
          <w:bCs/>
          <w:highlight w:val="none"/>
          <w:u w:val="single"/>
        </w:rPr>
        <w:t>支付</w:t>
      </w:r>
      <w:r>
        <w:rPr>
          <w:rFonts w:hint="eastAsia" w:ascii="Calibri" w:hAnsi="Calibri"/>
          <w:bCs/>
          <w:highlight w:val="none"/>
        </w:rPr>
        <w:t>，具体以</w:t>
      </w:r>
      <w:r>
        <w:rPr>
          <w:rFonts w:hint="eastAsia" w:ascii="Calibri" w:hAnsi="Calibri"/>
          <w:highlight w:val="none"/>
        </w:rPr>
        <w:t>双方最终签署的合同为准。</w:t>
      </w:r>
    </w:p>
    <w:p w14:paraId="76560665">
      <w:pPr>
        <w:pStyle w:val="6"/>
        <w:numPr>
          <w:ilvl w:val="0"/>
          <w:numId w:val="0"/>
        </w:numPr>
        <w:spacing w:line="360" w:lineRule="auto"/>
        <w:ind w:firstLine="422" w:firstLineChars="200"/>
        <w:rPr>
          <w:rFonts w:hint="eastAsia" w:ascii="Calibri" w:hAnsi="Calibri" w:eastAsia="宋体"/>
          <w:highlight w:val="none"/>
          <w:lang w:eastAsia="zh-CN"/>
        </w:rPr>
      </w:pPr>
      <w:r>
        <w:rPr>
          <w:rFonts w:hint="eastAsia" w:ascii="Calibri" w:hAnsi="Calibri"/>
          <w:b/>
          <w:bCs/>
          <w:highlight w:val="none"/>
        </w:rPr>
        <w:t>付款结算方法：付款结算方法：</w:t>
      </w:r>
      <w:r>
        <w:rPr>
          <w:rFonts w:hint="eastAsia" w:ascii="Calibri" w:hAnsi="Calibri"/>
          <w:highlight w:val="none"/>
          <w:u w:val="single"/>
          <w:lang w:val="en-US" w:eastAsia="zh-CN"/>
        </w:rPr>
        <w:t>转账</w:t>
      </w:r>
    </w:p>
    <w:p w14:paraId="50E69BB7">
      <w:pPr>
        <w:pStyle w:val="18"/>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Calibri" w:hAnsi="Calibri" w:eastAsia="宋体" w:cs="Times New Roman"/>
          <w:b w:val="0"/>
          <w:bCs w:val="0"/>
          <w:kern w:val="2"/>
          <w:sz w:val="21"/>
          <w:highlight w:val="none"/>
          <w:u w:val="single"/>
          <w:lang w:val="en-US" w:eastAsia="zh-CN" w:bidi="ar-SA"/>
        </w:rPr>
      </w:pPr>
      <w:r>
        <w:rPr>
          <w:rFonts w:hint="eastAsia" w:ascii="Calibri" w:hAnsi="Calibri" w:eastAsia="宋体" w:cs="Times New Roman"/>
          <w:b w:val="0"/>
          <w:bCs w:val="0"/>
          <w:kern w:val="2"/>
          <w:sz w:val="21"/>
          <w:highlight w:val="none"/>
          <w:u w:val="single"/>
          <w:lang w:val="en-US" w:eastAsia="zh-CN" w:bidi="ar-SA"/>
        </w:rPr>
        <w:t>乙方完成甲方的需求，乙方开具合同价款100%的收据并增值税专用发票，经甲方核对无误后支付。</w:t>
      </w:r>
    </w:p>
    <w:p w14:paraId="73D415F5">
      <w:pPr>
        <w:pStyle w:val="18"/>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1629B102">
      <w:pPr>
        <w:pStyle w:val="6"/>
        <w:spacing w:line="360" w:lineRule="auto"/>
        <w:ind w:firstLine="422" w:firstLineChars="200"/>
        <w:rPr>
          <w:rFonts w:hint="default" w:hAnsi="Courier New" w:eastAsia="宋体" w:cs="Times New Roman"/>
          <w:bCs/>
          <w:highlight w:val="none"/>
          <w:lang w:val="en-US" w:eastAsia="zh-CN"/>
        </w:rPr>
      </w:pPr>
      <w:r>
        <w:rPr>
          <w:rFonts w:hint="eastAsia" w:hAnsi="Courier New" w:eastAsia="宋体" w:cs="Times New Roman"/>
          <w:b/>
          <w:bCs w:val="0"/>
          <w:highlight w:val="none"/>
          <w:lang w:val="en-US" w:eastAsia="zh-CN"/>
        </w:rPr>
        <w:t>6、</w:t>
      </w:r>
      <w:r>
        <w:rPr>
          <w:rFonts w:hint="eastAsia" w:hAnsi="Courier New" w:eastAsia="宋体" w:cs="Times New Roman"/>
          <w:bCs/>
          <w:highlight w:val="none"/>
        </w:rPr>
        <w:t>所有投标文件需</w:t>
      </w:r>
      <w:r>
        <w:rPr>
          <w:rFonts w:hint="eastAsia" w:cs="Times New Roman"/>
          <w:bCs/>
          <w:highlight w:val="none"/>
          <w:lang w:val="en-US" w:eastAsia="zh-CN"/>
        </w:rPr>
        <w:t>进行签章后扫描上传重汽e采通系统。</w:t>
      </w:r>
    </w:p>
    <w:p w14:paraId="270A4600">
      <w:pPr>
        <w:spacing w:line="360" w:lineRule="auto"/>
        <w:ind w:firstLine="422" w:firstLineChars="200"/>
        <w:rPr>
          <w:rFonts w:ascii="宋体" w:cs="宋体"/>
        </w:rPr>
      </w:pPr>
      <w:r>
        <w:rPr>
          <w:rFonts w:hint="eastAsia" w:hAnsi="Courier New" w:eastAsia="宋体" w:cs="Times New Roman"/>
          <w:b/>
          <w:bCs w:val="0"/>
          <w:highlight w:val="none"/>
          <w:lang w:val="en-US" w:eastAsia="zh-CN"/>
        </w:rPr>
        <w:t>7、</w:t>
      </w:r>
      <w:r>
        <w:rPr>
          <w:rFonts w:hint="eastAsia" w:ascii="宋体" w:hAnsi="宋体" w:cs="宋体"/>
        </w:rPr>
        <w:t>投标文件不得涂改和增删，如有修改错漏的地方，必须由法人代表或授权代表签字或盖章。</w:t>
      </w:r>
    </w:p>
    <w:p w14:paraId="297E3BE1">
      <w:pPr>
        <w:spacing w:line="360" w:lineRule="auto"/>
        <w:ind w:firstLine="422" w:firstLineChars="200"/>
        <w:rPr>
          <w:rFonts w:hint="eastAsia" w:ascii="宋体" w:hAnsi="宋体" w:cs="宋体"/>
        </w:rPr>
      </w:pPr>
      <w:r>
        <w:rPr>
          <w:rFonts w:hint="eastAsia" w:ascii="宋体" w:hAnsi="宋体" w:cs="宋体"/>
          <w:b/>
          <w:bCs/>
          <w:lang w:val="en-US" w:eastAsia="zh-CN"/>
        </w:rPr>
        <w:t>8</w:t>
      </w:r>
      <w:r>
        <w:rPr>
          <w:rFonts w:hint="eastAsia" w:ascii="宋体" w:hAnsi="宋体" w:cs="宋体"/>
          <w:b/>
          <w:bCs/>
        </w:rPr>
        <w:t>、</w:t>
      </w:r>
      <w:r>
        <w:rPr>
          <w:rFonts w:hint="eastAsia" w:ascii="宋体" w:hAnsi="宋体" w:cs="宋体"/>
        </w:rPr>
        <w:t>投标文件因字迹潦草或表达不清所引起的后果由投标人负责。</w:t>
      </w:r>
    </w:p>
    <w:p w14:paraId="088FE374">
      <w:pPr>
        <w:spacing w:line="360" w:lineRule="auto"/>
        <w:ind w:firstLine="422" w:firstLineChars="200"/>
        <w:rPr>
          <w:rFonts w:hint="eastAsia" w:ascii="宋体" w:hAnsi="宋体" w:cs="宋体"/>
          <w:lang w:val="en-US" w:eastAsia="zh-CN"/>
        </w:rPr>
      </w:pPr>
      <w:r>
        <w:rPr>
          <w:rFonts w:hint="eastAsia" w:ascii="宋体" w:hAnsi="宋体" w:cs="宋体"/>
          <w:b/>
          <w:bCs/>
          <w:lang w:val="en-US" w:eastAsia="zh-CN"/>
        </w:rPr>
        <w:t>9、</w:t>
      </w:r>
      <w:r>
        <w:rPr>
          <w:rFonts w:hint="eastAsia" w:ascii="宋体" w:hAnsi="宋体" w:cs="宋体"/>
          <w:lang w:val="en-US" w:eastAsia="zh-CN"/>
        </w:rPr>
        <w:t>投标文件格式详见标书附件。</w:t>
      </w:r>
    </w:p>
    <w:p w14:paraId="38BA47C5">
      <w:pPr>
        <w:pStyle w:val="6"/>
        <w:numPr>
          <w:ilvl w:val="0"/>
          <w:numId w:val="0"/>
        </w:numPr>
        <w:spacing w:line="360" w:lineRule="auto"/>
        <w:rPr>
          <w:rFonts w:hint="eastAsia"/>
          <w:b/>
        </w:rPr>
      </w:pPr>
    </w:p>
    <w:p w14:paraId="3A3A4146">
      <w:pPr>
        <w:pStyle w:val="6"/>
        <w:spacing w:line="360" w:lineRule="auto"/>
        <w:rPr>
          <w:rFonts w:hint="eastAsia" w:ascii="黑体" w:eastAsia="黑体"/>
          <w:b/>
          <w:bCs/>
          <w:sz w:val="28"/>
        </w:rPr>
      </w:pPr>
      <w:r>
        <w:rPr>
          <w:rFonts w:hint="eastAsia" w:ascii="黑体" w:eastAsia="黑体"/>
          <w:b/>
          <w:bCs/>
          <w:sz w:val="28"/>
        </w:rPr>
        <w:t>七、投标、开标、评标</w:t>
      </w:r>
    </w:p>
    <w:p w14:paraId="4E3A1A95">
      <w:pPr>
        <w:pStyle w:val="6"/>
        <w:spacing w:line="360" w:lineRule="auto"/>
        <w:ind w:firstLine="420" w:firstLineChars="200"/>
        <w:rPr>
          <w:rFonts w:hint="eastAsia"/>
        </w:rPr>
      </w:pPr>
      <w:r>
        <w:rPr>
          <w:rFonts w:hint="eastAsia"/>
        </w:rPr>
        <w:t>1.投标保证金：</w:t>
      </w:r>
    </w:p>
    <w:p w14:paraId="6AC01F6A">
      <w:pPr>
        <w:pStyle w:val="20"/>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投标人须向招标人缴纳投标保证金，投标保证金为5000元（人民币大写伍仟元整），本次招标收取的投标保证金公对公（基本账户）以现汇形式进行交款，不允许以个人名义交款，汇款时必须注明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集团2026年度东风柳汽仓储服务项目投标保证金</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yellow"/>
        </w:rPr>
      </w:pPr>
      <w:r>
        <w:rPr>
          <w:rFonts w:hint="eastAsia" w:ascii="宋体" w:hAnsi="宋体" w:eastAsia="宋体" w:cs="宋体"/>
          <w:b/>
          <w:bCs/>
          <w:kern w:val="2"/>
          <w:sz w:val="21"/>
          <w:szCs w:val="21"/>
          <w:highlight w:val="yellow"/>
          <w:lang w:val="en-US" w:eastAsia="zh-CN" w:bidi="ar"/>
        </w:rPr>
        <w:t>投标保证金的金额：</w:t>
      </w:r>
      <w:r>
        <w:rPr>
          <w:rFonts w:hint="eastAsia" w:ascii="宋体" w:hAnsi="宋体" w:eastAsia="宋体" w:cs="宋体"/>
          <w:b w:val="0"/>
          <w:bCs w:val="0"/>
          <w:kern w:val="2"/>
          <w:sz w:val="21"/>
          <w:szCs w:val="21"/>
          <w:highlight w:val="yellow"/>
          <w:lang w:val="en-US" w:eastAsia="zh-CN" w:bidi="ar"/>
        </w:rPr>
        <w:t>人民币5000元</w:t>
      </w:r>
    </w:p>
    <w:p w14:paraId="1064FCC3">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收款名称：中国重汽集团大同齿轮有限公司</w:t>
      </w:r>
    </w:p>
    <w:p w14:paraId="1F3C5B05">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收款行账号：04272001040026121</w:t>
      </w:r>
    </w:p>
    <w:p w14:paraId="0FBEAA7B">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收款行：中国农业银行股份有限公司大同城区支行</w:t>
      </w:r>
    </w:p>
    <w:p w14:paraId="6773F29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联行号：103162027204</w:t>
      </w:r>
    </w:p>
    <w:p w14:paraId="427458D6">
      <w:pPr>
        <w:pStyle w:val="20"/>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w:t>
      </w:r>
      <w:r>
        <w:rPr>
          <w:rFonts w:hint="eastAsia" w:hAnsi="Courier New" w:eastAsia="宋体" w:cs="Times New Roman"/>
          <w:color w:val="auto"/>
          <w:kern w:val="2"/>
          <w:sz w:val="21"/>
          <w:szCs w:val="20"/>
          <w:lang w:val="en-US" w:eastAsia="zh-CN" w:bidi="ar-SA"/>
        </w:rPr>
        <w:t>付款周期</w:t>
      </w:r>
      <w:r>
        <w:rPr>
          <w:rFonts w:hint="eastAsia" w:ascii="宋体" w:hAnsi="Courier New" w:eastAsia="宋体" w:cs="Times New Roman"/>
          <w:color w:val="auto"/>
          <w:kern w:val="2"/>
          <w:sz w:val="21"/>
          <w:szCs w:val="20"/>
          <w:lang w:val="en-US" w:eastAsia="zh-CN" w:bidi="ar-SA"/>
        </w:rPr>
        <w:t>返还到交纳账户。保证金均为无息返还。</w:t>
      </w:r>
    </w:p>
    <w:p w14:paraId="1FD177E5">
      <w:pPr>
        <w:pStyle w:val="6"/>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14:paraId="78BB9DE2">
      <w:pPr>
        <w:pStyle w:val="6"/>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6"/>
        <w:spacing w:line="360" w:lineRule="auto"/>
        <w:ind w:firstLine="420" w:firstLineChars="200"/>
        <w:rPr>
          <w:rFonts w:hint="eastAsia"/>
        </w:rPr>
      </w:pPr>
      <w:r>
        <w:rPr>
          <w:rFonts w:hint="eastAsia"/>
        </w:rPr>
        <w:t>(b)投标人在向招标人出示《投标保证金缴纳凭证》后方可进行投标。</w:t>
      </w:r>
    </w:p>
    <w:p w14:paraId="25EDD17B">
      <w:pPr>
        <w:pStyle w:val="6"/>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14:paraId="4A78781A">
      <w:pPr>
        <w:pStyle w:val="6"/>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14:paraId="02367AB3">
      <w:pPr>
        <w:pStyle w:val="6"/>
        <w:spacing w:line="360" w:lineRule="auto"/>
        <w:ind w:firstLine="420" w:firstLineChars="200"/>
        <w:rPr>
          <w:rFonts w:hint="eastAsia"/>
          <w:szCs w:val="22"/>
        </w:rPr>
      </w:pPr>
      <w:r>
        <w:rPr>
          <w:rFonts w:hint="eastAsia"/>
          <w:szCs w:val="22"/>
        </w:rPr>
        <w:t>b）投标人递送投标文件后，无正当理由放弃投标的；</w:t>
      </w:r>
    </w:p>
    <w:p w14:paraId="57BC6CE6">
      <w:pPr>
        <w:pStyle w:val="6"/>
        <w:spacing w:line="360" w:lineRule="auto"/>
        <w:ind w:firstLine="420" w:firstLineChars="200"/>
        <w:rPr>
          <w:rFonts w:hint="eastAsia"/>
          <w:szCs w:val="22"/>
        </w:rPr>
      </w:pPr>
      <w:r>
        <w:rPr>
          <w:rFonts w:hint="eastAsia"/>
          <w:szCs w:val="22"/>
        </w:rPr>
        <w:t>c）自中标通知书发出之日起30日内，中标人无正当理由不签订合同的；</w:t>
      </w:r>
    </w:p>
    <w:p w14:paraId="1526EC32">
      <w:pPr>
        <w:pStyle w:val="6"/>
        <w:spacing w:line="360" w:lineRule="auto"/>
        <w:ind w:firstLine="420" w:firstLineChars="200"/>
        <w:rPr>
          <w:rFonts w:hint="eastAsia"/>
          <w:szCs w:val="22"/>
        </w:rPr>
      </w:pPr>
      <w:r>
        <w:rPr>
          <w:rFonts w:hint="eastAsia"/>
          <w:szCs w:val="22"/>
        </w:rPr>
        <w:t>d）投标人在投标过程中被查实有串标、围标、陪标等违规违纪行为的；</w:t>
      </w:r>
    </w:p>
    <w:p w14:paraId="5B859DB6">
      <w:pPr>
        <w:pStyle w:val="6"/>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14:paraId="31A6BAC8">
      <w:pPr>
        <w:pStyle w:val="6"/>
        <w:spacing w:line="360" w:lineRule="auto"/>
        <w:ind w:firstLine="420" w:firstLineChars="200"/>
        <w:rPr>
          <w:rFonts w:hint="eastAsia" w:eastAsia="宋体"/>
          <w:lang w:eastAsia="zh-CN"/>
        </w:rPr>
      </w:pPr>
      <w:r>
        <w:rPr>
          <w:rFonts w:hint="eastAsia"/>
        </w:rPr>
        <w:t>2.开</w:t>
      </w:r>
      <w:r>
        <w:rPr>
          <w:rFonts w:hint="eastAsia"/>
          <w:lang w:val="en-US" w:eastAsia="zh-CN"/>
        </w:rPr>
        <w:t>评标：评标方法：资质标审核→技术方案讲解→商务标评审。原则上选取合理最低价中标。</w:t>
      </w:r>
    </w:p>
    <w:p w14:paraId="1E0D3F70">
      <w:pPr>
        <w:pStyle w:val="6"/>
        <w:spacing w:line="360" w:lineRule="auto"/>
        <w:ind w:firstLine="420" w:firstLineChars="200"/>
        <w:rPr>
          <w:rFonts w:hint="eastAsia"/>
        </w:rPr>
      </w:pPr>
      <w:r>
        <w:rPr>
          <w:rFonts w:hint="eastAsia"/>
        </w:rPr>
        <w:t>本次招标采用</w:t>
      </w:r>
      <w:bookmarkStart w:id="2" w:name="_Toc33266628"/>
      <w:bookmarkStart w:id="3" w:name="_Toc33267002"/>
      <w:bookmarkStart w:id="4" w:name="_Toc33265753"/>
      <w:bookmarkStart w:id="5" w:name="_Toc33266951"/>
      <w:bookmarkStart w:id="6" w:name="_Toc33265654"/>
      <w:bookmarkStart w:id="7" w:name="_Toc33285489"/>
      <w:bookmarkStart w:id="8" w:name="_Toc33266915"/>
      <w:bookmarkStart w:id="9" w:name="_Toc395116634"/>
      <w:r>
        <w:rPr>
          <w:rFonts w:hint="eastAsia"/>
          <w:b/>
          <w:bCs/>
        </w:rPr>
        <w:t>技术</w:t>
      </w:r>
      <w:r>
        <w:rPr>
          <w:rFonts w:hint="eastAsia"/>
          <w:b/>
          <w:bCs/>
          <w:lang w:val="en-US" w:eastAsia="zh-CN"/>
        </w:rPr>
        <w:t>方案讲解</w:t>
      </w:r>
      <w:r>
        <w:rPr>
          <w:rFonts w:hint="eastAsia"/>
          <w:b/>
          <w:bCs/>
        </w:rPr>
        <w:t>后</w:t>
      </w:r>
      <w:r>
        <w:rPr>
          <w:rFonts w:hint="eastAsia"/>
        </w:rPr>
        <w:t>，原则上</w:t>
      </w:r>
      <w:r>
        <w:rPr>
          <w:rFonts w:hint="eastAsia"/>
          <w:b/>
          <w:bCs/>
        </w:rPr>
        <w:t>合理最低价</w:t>
      </w:r>
      <w:r>
        <w:rPr>
          <w:rFonts w:hint="eastAsia"/>
        </w:rPr>
        <w:t>中标。本着公平、公正、公开的原则，在满足技术要求的前提下，选择合理最低价确定中标人，对未中标单位不做任何解释。</w:t>
      </w:r>
    </w:p>
    <w:bookmarkEnd w:id="2"/>
    <w:bookmarkEnd w:id="3"/>
    <w:bookmarkEnd w:id="4"/>
    <w:bookmarkEnd w:id="5"/>
    <w:bookmarkEnd w:id="6"/>
    <w:bookmarkEnd w:id="7"/>
    <w:bookmarkEnd w:id="8"/>
    <w:bookmarkEnd w:id="9"/>
    <w:p w14:paraId="7D476C92">
      <w:pPr>
        <w:pStyle w:val="6"/>
        <w:spacing w:line="360" w:lineRule="auto"/>
        <w:ind w:firstLine="420" w:firstLineChars="200"/>
        <w:rPr>
          <w:rFonts w:hint="eastAsia"/>
        </w:rPr>
      </w:pPr>
      <w:r>
        <w:rPr>
          <w:rFonts w:hint="eastAsia"/>
        </w:rPr>
        <w:t>评标流程：</w:t>
      </w:r>
    </w:p>
    <w:p w14:paraId="381D28C8">
      <w:pPr>
        <w:pStyle w:val="6"/>
        <w:spacing w:line="360" w:lineRule="auto"/>
        <w:ind w:firstLine="420" w:firstLineChars="200"/>
        <w:rPr>
          <w:rFonts w:hint="eastAsia"/>
        </w:rPr>
      </w:pPr>
      <w:r>
        <w:rPr>
          <w:rFonts w:hint="eastAsia"/>
        </w:rPr>
        <w:t>投标文件包含《投标文件（资质标）》、《投标文件（技术标）》、《投标文件（商务标）》（开标一览表），共计三个文件。</w:t>
      </w:r>
    </w:p>
    <w:p w14:paraId="51B2515A">
      <w:pPr>
        <w:pStyle w:val="6"/>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14:paraId="40E7DB96">
      <w:pPr>
        <w:pStyle w:val="6"/>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14:paraId="19DFE6EE">
      <w:pPr>
        <w:pStyle w:val="6"/>
        <w:spacing w:line="360" w:lineRule="auto"/>
        <w:ind w:firstLine="420" w:firstLineChars="200"/>
        <w:rPr>
          <w:rFonts w:hint="eastAsia"/>
        </w:rPr>
      </w:pPr>
      <w:r>
        <w:rPr>
          <w:rFonts w:hint="eastAsia"/>
        </w:rPr>
        <w:t>资质标评审：资质标审核通过的单位，可以进入公开唱标环节；</w:t>
      </w:r>
    </w:p>
    <w:p w14:paraId="3DAAFF58">
      <w:pPr>
        <w:pStyle w:val="6"/>
        <w:spacing w:line="360" w:lineRule="auto"/>
        <w:ind w:firstLine="420" w:firstLineChars="200"/>
        <w:rPr>
          <w:rFonts w:hint="eastAsia"/>
        </w:rPr>
      </w:pPr>
      <w:r>
        <w:rPr>
          <w:rFonts w:hint="eastAsia"/>
        </w:rPr>
        <w:t>公开唱标：公示资质标入围单位的开标价格及商务条款响应情况；</w:t>
      </w:r>
    </w:p>
    <w:p w14:paraId="3A851DFE">
      <w:pPr>
        <w:pStyle w:val="6"/>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14:paraId="1FDC7BCE">
      <w:pPr>
        <w:pStyle w:val="6"/>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14:paraId="68866234">
      <w:pPr>
        <w:pStyle w:val="6"/>
        <w:spacing w:line="360" w:lineRule="auto"/>
        <w:ind w:firstLine="420" w:firstLineChars="200"/>
        <w:rPr>
          <w:rFonts w:hint="eastAsia"/>
        </w:rPr>
      </w:pPr>
      <w:r>
        <w:rPr>
          <w:rFonts w:hint="eastAsia"/>
        </w:rPr>
        <w:t>中标人确定：技术</w:t>
      </w:r>
      <w:r>
        <w:rPr>
          <w:rFonts w:hint="eastAsia"/>
          <w:lang w:val="en-US" w:eastAsia="zh-CN"/>
        </w:rPr>
        <w:t>方案讲解</w:t>
      </w:r>
      <w:r>
        <w:rPr>
          <w:rFonts w:hint="eastAsia"/>
        </w:rPr>
        <w:t>后，原则上合理最低价中标。</w:t>
      </w:r>
    </w:p>
    <w:p w14:paraId="50B9A27E">
      <w:pPr>
        <w:pStyle w:val="6"/>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2C5A85E">
      <w:pPr>
        <w:pStyle w:val="6"/>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01C07833">
      <w:pPr>
        <w:pStyle w:val="6"/>
        <w:spacing w:line="360" w:lineRule="auto"/>
        <w:rPr>
          <w:rFonts w:hint="eastAsia" w:ascii="黑体" w:eastAsia="黑体"/>
          <w:b/>
          <w:bCs/>
          <w:sz w:val="28"/>
        </w:rPr>
      </w:pPr>
    </w:p>
    <w:p w14:paraId="2B4F185B">
      <w:pPr>
        <w:pStyle w:val="6"/>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p>
    <w:p w14:paraId="04A82986">
      <w:pPr>
        <w:spacing w:line="360" w:lineRule="auto"/>
        <w:ind w:right="2" w:firstLine="420" w:firstLineChars="200"/>
        <w:jc w:val="left"/>
        <w:rPr>
          <w:rFonts w:hint="default" w:eastAsia="宋体"/>
          <w:lang w:val="en-US"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Courier New"/>
        </w:rPr>
      </w:pPr>
      <w:r>
        <w:rPr>
          <w:rFonts w:hint="eastAsia" w:ascii="宋体" w:hAnsi="Courier New"/>
        </w:rPr>
        <w:t>⑴出现影响采购公正的违法、违规行为的。</w:t>
      </w:r>
    </w:p>
    <w:p w14:paraId="15F57AF9">
      <w:pPr>
        <w:spacing w:line="360" w:lineRule="auto"/>
        <w:ind w:right="2" w:firstLine="420" w:firstLineChars="200"/>
        <w:rPr>
          <w:rFonts w:hint="eastAsia" w:ascii="宋体" w:hAnsi="Courier New"/>
        </w:rPr>
      </w:pPr>
      <w:r>
        <w:rPr>
          <w:rFonts w:hint="eastAsia" w:ascii="宋体" w:hAnsi="Courier New"/>
        </w:rPr>
        <w:t>⑵因重大变故，采购任务取消的。</w:t>
      </w:r>
    </w:p>
    <w:p w14:paraId="78525B85">
      <w:pPr>
        <w:spacing w:line="360" w:lineRule="auto"/>
        <w:ind w:right="2" w:firstLine="420" w:firstLineChars="200"/>
        <w:rPr>
          <w:rFonts w:hint="eastAsia" w:ascii="宋体" w:hAnsi="宋体"/>
        </w:rPr>
      </w:pPr>
      <w:r>
        <w:rPr>
          <w:rFonts w:hint="eastAsia" w:ascii="宋体" w:hAnsi="宋体"/>
        </w:rPr>
        <w:t>⑶招标人认为其他应终止招标的情形。</w:t>
      </w:r>
    </w:p>
    <w:p w14:paraId="7220B219">
      <w:pPr>
        <w:numPr>
          <w:ilvl w:val="0"/>
          <w:numId w:val="6"/>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1）符合条件的投标人或者对招标文件做实质响应的投标人不足三家的；（2）评标委员会经评审，认为所有投标都不符合招标文件要求的；（3）投标人承诺并同意因招标人公司政策变化引起的随时终止项目的情形，并自行承担由此带来的一切损失。</w:t>
      </w:r>
    </w:p>
    <w:p w14:paraId="52B21C84">
      <w:pPr>
        <w:pStyle w:val="6"/>
        <w:spacing w:line="360" w:lineRule="auto"/>
        <w:rPr>
          <w:rFonts w:ascii="黑体" w:eastAsia="黑体"/>
          <w:b/>
          <w:bCs/>
          <w:sz w:val="28"/>
        </w:rPr>
      </w:pPr>
      <w:r>
        <w:rPr>
          <w:rFonts w:hint="eastAsia" w:ascii="黑体" w:eastAsia="黑体"/>
          <w:b/>
          <w:bCs/>
          <w:sz w:val="28"/>
        </w:rPr>
        <w:t>十、中标人瑕疵滞后发现的处理原则</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14:paraId="0BC144CE">
      <w:pPr>
        <w:spacing w:line="360" w:lineRule="auto"/>
        <w:ind w:right="2" w:firstLine="420" w:firstLineChars="200"/>
        <w:rPr>
          <w:rFonts w:hint="eastAsia" w:ascii="宋体" w:hAnsi="Courier New"/>
        </w:rPr>
      </w:pPr>
    </w:p>
    <w:p w14:paraId="132C0B87">
      <w:pPr>
        <w:pStyle w:val="6"/>
        <w:spacing w:line="360" w:lineRule="auto"/>
        <w:rPr>
          <w:rFonts w:hint="eastAsia" w:ascii="黑体" w:eastAsia="黑体"/>
          <w:b/>
          <w:bCs/>
          <w:sz w:val="28"/>
        </w:rPr>
      </w:pPr>
      <w:r>
        <w:rPr>
          <w:rFonts w:hint="eastAsia" w:ascii="黑体" w:eastAsia="黑体"/>
          <w:b/>
          <w:bCs/>
          <w:sz w:val="28"/>
        </w:rPr>
        <w:t>十一、技术要求</w:t>
      </w:r>
    </w:p>
    <w:p w14:paraId="29AA87AE">
      <w:pPr>
        <w:pStyle w:val="6"/>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421A3F88">
      <w:pPr>
        <w:rPr>
          <w:rFonts w:hint="eastAsia" w:ascii="黑体" w:hAnsi="Courier New" w:eastAsia="黑体"/>
          <w:b/>
          <w:bCs/>
          <w:sz w:val="36"/>
          <w:szCs w:val="36"/>
        </w:rPr>
      </w:pPr>
      <w:r>
        <w:rPr>
          <w:rFonts w:hint="eastAsia" w:ascii="黑体" w:hAnsi="Courier New" w:eastAsia="黑体"/>
          <w:b/>
          <w:bCs/>
          <w:sz w:val="36"/>
          <w:szCs w:val="36"/>
        </w:rPr>
        <w:br w:type="page"/>
      </w:r>
    </w:p>
    <w:p w14:paraId="1416B78C">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6CA4258B">
      <w:pPr>
        <w:pStyle w:val="6"/>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6"/>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438344B9">
      <w:pPr>
        <w:pStyle w:val="6"/>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14:paraId="25667B96">
      <w:pPr>
        <w:pStyle w:val="6"/>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54015F60">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04F674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1.1营业执照副本复印件（需加盖公章）；</w:t>
      </w:r>
    </w:p>
    <w:p w14:paraId="107ECD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1.2投标函；</w:t>
      </w:r>
    </w:p>
    <w:p w14:paraId="508A4F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5CE92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1.4出具近</w:t>
      </w:r>
      <w:r>
        <w:rPr>
          <w:rFonts w:hint="eastAsia"/>
          <w:b w:val="0"/>
          <w:bCs/>
          <w:lang w:val="en-US" w:eastAsia="zh-CN"/>
        </w:rPr>
        <w:t>三</w:t>
      </w:r>
      <w:r>
        <w:rPr>
          <w:rFonts w:hint="eastAsia"/>
          <w:b w:val="0"/>
          <w:bCs/>
        </w:rPr>
        <w:t>年的财务审计报告，并加盖公章，包括但不限于报告页、经审计的资产负债表、利润表、现金流量表</w:t>
      </w:r>
      <w:r>
        <w:rPr>
          <w:rFonts w:hint="eastAsia"/>
          <w:b w:val="0"/>
          <w:bCs/>
          <w:lang w:eastAsia="zh-CN"/>
        </w:rPr>
        <w:t>。</w:t>
      </w:r>
      <w:r>
        <w:rPr>
          <w:rFonts w:hint="eastAsia"/>
          <w:b w:val="0"/>
          <w:bCs/>
        </w:rPr>
        <w:t>（如投标人公司没有经审计的财务报告，可提供加盖公章的近</w:t>
      </w:r>
      <w:r>
        <w:rPr>
          <w:rFonts w:hint="eastAsia"/>
          <w:b w:val="0"/>
          <w:bCs/>
          <w:lang w:val="en-US" w:eastAsia="zh-CN"/>
        </w:rPr>
        <w:t>三</w:t>
      </w:r>
      <w:r>
        <w:rPr>
          <w:rFonts w:hint="eastAsia"/>
          <w:b w:val="0"/>
          <w:bCs/>
        </w:rPr>
        <w:t>年财务报表，包括但不限于资产负债表、利润表、现金流量表）</w:t>
      </w:r>
      <w:r>
        <w:rPr>
          <w:rFonts w:hint="eastAsia"/>
          <w:b w:val="0"/>
          <w:bCs/>
          <w:lang w:eastAsia="zh-CN"/>
        </w:rPr>
        <w:t>，</w:t>
      </w:r>
      <w:r>
        <w:rPr>
          <w:rFonts w:hint="eastAsia"/>
          <w:b w:val="0"/>
          <w:bCs/>
        </w:rPr>
        <w:t>必须连续</w:t>
      </w:r>
      <w:r>
        <w:rPr>
          <w:rFonts w:hint="eastAsia"/>
          <w:b w:val="0"/>
          <w:bCs/>
          <w:lang w:eastAsia="zh-CN"/>
        </w:rPr>
        <w:t>；</w:t>
      </w:r>
    </w:p>
    <w:p w14:paraId="47462A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1.5近三年内在经营活动中无与本项目有关的违法及重大违规行为的声明；</w:t>
      </w:r>
    </w:p>
    <w:p w14:paraId="7A98D7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1.6投标人在国家企业信用信息公示系统中无与本项目有关的行政处罚、经营异常和失信信息的声明；</w:t>
      </w:r>
    </w:p>
    <w:p w14:paraId="67E2E5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1.7企业对外担保说明（写明贵单位对外有无对外担保和质押业务，需加盖公章）；</w:t>
      </w:r>
    </w:p>
    <w:p w14:paraId="47660A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8</w:t>
      </w:r>
      <w:r>
        <w:rPr>
          <w:rFonts w:hint="eastAsia"/>
          <w:b w:val="0"/>
          <w:bCs/>
        </w:rPr>
        <w:t>企业最近半年的完税证明，并附年度纳税信用评价信息（可从电子税务局查询截图）；</w:t>
      </w:r>
    </w:p>
    <w:p w14:paraId="10B7400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b w:val="0"/>
          <w:bCs/>
        </w:rPr>
      </w:pPr>
      <w:r>
        <w:rPr>
          <w:rFonts w:hint="eastAsia"/>
          <w:b w:val="0"/>
          <w:bCs/>
        </w:rPr>
        <w:t>1.</w:t>
      </w:r>
      <w:r>
        <w:rPr>
          <w:rFonts w:hint="eastAsia"/>
          <w:b w:val="0"/>
          <w:bCs/>
          <w:lang w:val="en-US" w:eastAsia="zh-CN"/>
        </w:rPr>
        <w:t>9</w:t>
      </w:r>
      <w:r>
        <w:rPr>
          <w:rFonts w:hint="eastAsia"/>
          <w:b w:val="0"/>
          <w:bCs/>
        </w:rPr>
        <w:t xml:space="preserve"> 202</w:t>
      </w:r>
      <w:r>
        <w:rPr>
          <w:rFonts w:hint="eastAsia"/>
          <w:b w:val="0"/>
          <w:bCs/>
          <w:lang w:val="en-US" w:eastAsia="zh-CN"/>
        </w:rPr>
        <w:t>2</w:t>
      </w:r>
      <w:r>
        <w:rPr>
          <w:rFonts w:hint="eastAsia"/>
          <w:b w:val="0"/>
          <w:bCs/>
        </w:rPr>
        <w:t>年1月1日至今，企业近三年同类项目业绩证明，须提供用户清单、采购合同复印件；</w:t>
      </w:r>
    </w:p>
    <w:p w14:paraId="0D0162D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b w:val="0"/>
          <w:bCs/>
          <w:lang w:val="en-US" w:eastAsia="zh-CN"/>
        </w:rPr>
      </w:pPr>
      <w:r>
        <w:rPr>
          <w:rFonts w:hint="eastAsia"/>
          <w:b w:val="0"/>
          <w:bCs/>
        </w:rPr>
        <w:t>1.1</w:t>
      </w:r>
      <w:r>
        <w:rPr>
          <w:rFonts w:hint="eastAsia"/>
          <w:b w:val="0"/>
          <w:bCs/>
          <w:lang w:val="en-US" w:eastAsia="zh-CN"/>
        </w:rPr>
        <w:t>0</w:t>
      </w:r>
      <w:r>
        <w:rPr>
          <w:rFonts w:hint="eastAsia"/>
          <w:b w:val="0"/>
          <w:bCs/>
        </w:rPr>
        <w:t>投标保证金缴纳凭证，同时正文描述付款账号、户名、开户行名称、开户行行号、保证金金额。</w:t>
      </w:r>
      <w:r>
        <w:rPr>
          <w:rFonts w:hint="eastAsia" w:ascii="宋体" w:hAnsi="宋体" w:eastAsia="宋体" w:cs="宋体"/>
          <w:b w:val="0"/>
          <w:bCs w:val="0"/>
          <w:color w:val="000000"/>
          <w:kern w:val="2"/>
          <w:sz w:val="21"/>
          <w:szCs w:val="21"/>
          <w:highlight w:val="none"/>
          <w:u w:val="none"/>
          <w:lang w:val="en-US" w:eastAsia="zh-CN" w:bidi="ar"/>
        </w:rPr>
        <w:t>（</w:t>
      </w:r>
      <w:r>
        <w:rPr>
          <w:rFonts w:hint="eastAsia" w:ascii="宋体" w:hAnsi="宋体" w:cs="宋体"/>
          <w:b w:val="0"/>
          <w:bCs w:val="0"/>
          <w:color w:val="000000"/>
          <w:kern w:val="2"/>
          <w:sz w:val="21"/>
          <w:szCs w:val="21"/>
          <w:highlight w:val="none"/>
          <w:u w:val="none"/>
          <w:lang w:val="en-US" w:eastAsia="zh-CN" w:bidi="ar"/>
        </w:rPr>
        <w:t>应标时不做要求，</w:t>
      </w:r>
      <w:r>
        <w:rPr>
          <w:rFonts w:hint="eastAsia" w:ascii="宋体" w:hAnsi="宋体" w:eastAsia="宋体" w:cs="宋体"/>
          <w:b w:val="0"/>
          <w:bCs w:val="0"/>
          <w:sz w:val="21"/>
          <w:szCs w:val="21"/>
          <w:highlight w:val="none"/>
          <w:u w:val="none"/>
          <w:lang w:val="en-US" w:eastAsia="zh-CN"/>
        </w:rPr>
        <w:t>投标时需随投标资质文件一起上传）</w:t>
      </w:r>
    </w:p>
    <w:p w14:paraId="60716535">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B505C66">
      <w:pPr>
        <w:spacing w:line="336" w:lineRule="auto"/>
        <w:ind w:firstLine="403" w:firstLineChars="185"/>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1、技术规格偏离表，必须先进行两列要求一一对照，不允许直接写无偏离；</w:t>
      </w:r>
    </w:p>
    <w:p w14:paraId="51E9EBDC">
      <w:pPr>
        <w:spacing w:line="336" w:lineRule="auto"/>
        <w:ind w:firstLine="403" w:firstLineChars="185"/>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2、投标人需提交的其它资料。</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3FA3C255">
      <w:pPr>
        <w:pStyle w:val="6"/>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 xml:space="preserve"> 开标一览表；</w:t>
      </w:r>
    </w:p>
    <w:p w14:paraId="3BF91DB6">
      <w:pPr>
        <w:spacing w:line="336" w:lineRule="auto"/>
        <w:ind w:firstLine="596" w:firstLineChars="284"/>
        <w:rPr>
          <w:rFonts w:hint="eastAsia" w:ascii="宋体" w:hAnsi="宋体" w:cs="宋体"/>
          <w:bCs/>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)投标分项报价表</w:t>
      </w:r>
    </w:p>
    <w:p w14:paraId="0AF7A3A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13431ACB">
      <w:pPr>
        <w:spacing w:line="336" w:lineRule="auto"/>
        <w:ind w:firstLine="596" w:firstLineChars="284"/>
        <w:rPr>
          <w:rFonts w:hint="eastAsia" w:hAnsi="宋体" w:eastAsia="宋体" w:cs="宋体"/>
          <w:bCs/>
          <w:szCs w:val="21"/>
          <w:highlight w:val="none"/>
          <w:lang w:val="en-US" w:eastAsia="zh-CN"/>
        </w:rPr>
      </w:pPr>
      <w:r>
        <w:rPr>
          <w:rFonts w:hint="eastAsia" w:hAnsi="宋体" w:cs="宋体"/>
          <w:bCs/>
          <w:szCs w:val="21"/>
          <w:highlight w:val="none"/>
          <w:lang w:val="en-US" w:eastAsia="zh-CN"/>
        </w:rPr>
        <w:t>(五</w:t>
      </w:r>
      <w:r>
        <w:rPr>
          <w:rFonts w:hint="eastAsia" w:hAnsi="宋体" w:cs="宋体"/>
          <w:bCs/>
          <w:szCs w:val="21"/>
          <w:highlight w:val="none"/>
        </w:rPr>
        <w:t>)企业情况、从业经历、服务承诺一览表</w:t>
      </w:r>
      <w:r>
        <w:rPr>
          <w:rFonts w:hint="eastAsia" w:hAnsi="宋体" w:cs="宋体"/>
          <w:bCs/>
          <w:szCs w:val="21"/>
          <w:highlight w:val="none"/>
          <w:lang w:eastAsia="zh-CN"/>
        </w:rPr>
        <w:t>。</w:t>
      </w:r>
    </w:p>
    <w:p w14:paraId="3B844C2F">
      <w:pPr>
        <w:spacing w:line="336" w:lineRule="auto"/>
        <w:ind w:firstLine="596" w:firstLineChars="284"/>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)投标承诺书</w:t>
      </w:r>
    </w:p>
    <w:p w14:paraId="55FEEDCD">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6425FAAE">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14:paraId="34686FCD">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14:paraId="4DBABB88">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14:paraId="2B0B971C">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6B30E8EC">
      <w:pPr>
        <w:pStyle w:val="6"/>
        <w:numPr>
          <w:ilvl w:val="0"/>
          <w:numId w:val="7"/>
        </w:numPr>
        <w:spacing w:line="360" w:lineRule="auto"/>
        <w:jc w:val="center"/>
        <w:outlineLvl w:val="0"/>
        <w:rPr>
          <w:rFonts w:hint="eastAsia" w:ascii="黑体" w:eastAsia="黑体"/>
          <w:b/>
          <w:bCs/>
          <w:sz w:val="36"/>
          <w:szCs w:val="36"/>
        </w:rPr>
      </w:pPr>
      <w:r>
        <w:rPr>
          <w:rFonts w:hint="eastAsia" w:eastAsia="黑体"/>
          <w:b/>
          <w:bCs/>
          <w:sz w:val="28"/>
        </w:rPr>
        <w:br w:type="page"/>
      </w:r>
      <w:r>
        <w:rPr>
          <w:rFonts w:hint="eastAsia" w:ascii="黑体" w:eastAsia="黑体"/>
          <w:b/>
          <w:bCs/>
          <w:sz w:val="36"/>
          <w:szCs w:val="36"/>
        </w:rPr>
        <w:t xml:space="preserve"> </w:t>
      </w:r>
      <w:bookmarkStart w:id="11" w:name="_Toc13248"/>
      <w:r>
        <w:rPr>
          <w:rFonts w:ascii="黑体" w:eastAsia="黑体"/>
          <w:b/>
          <w:bCs/>
          <w:sz w:val="36"/>
          <w:szCs w:val="36"/>
        </w:rPr>
        <w:t>技术</w:t>
      </w:r>
      <w:r>
        <w:rPr>
          <w:rFonts w:hint="eastAsia" w:ascii="黑体" w:eastAsia="黑体"/>
          <w:b/>
          <w:bCs/>
          <w:sz w:val="36"/>
          <w:szCs w:val="36"/>
        </w:rPr>
        <w:t>要求</w:t>
      </w:r>
      <w:bookmarkEnd w:id="11"/>
    </w:p>
    <w:p w14:paraId="2C601043">
      <w:pPr>
        <w:pStyle w:val="6"/>
        <w:spacing w:line="360" w:lineRule="auto"/>
        <w:rPr>
          <w:rFonts w:hAnsi="宋体"/>
          <w:b/>
          <w:bCs/>
        </w:rPr>
      </w:pPr>
      <w:r>
        <w:rPr>
          <w:rFonts w:hint="eastAsia" w:hAnsi="宋体" w:eastAsia="宋体" w:cs="Times New Roman"/>
          <w:b/>
          <w:bCs/>
          <w:lang w:val="en-US" w:eastAsia="zh-CN"/>
        </w:rPr>
        <w:t>一、</w:t>
      </w:r>
      <w:r>
        <w:rPr>
          <w:rFonts w:hint="eastAsia" w:hAnsi="宋体"/>
          <w:b/>
          <w:bCs/>
        </w:rPr>
        <w:t>一、业务介绍</w:t>
      </w:r>
    </w:p>
    <w:p w14:paraId="15FDE677">
      <w:pPr>
        <w:pStyle w:val="6"/>
        <w:spacing w:line="360" w:lineRule="auto"/>
        <w:ind w:firstLine="422" w:firstLineChars="200"/>
        <w:rPr>
          <w:rFonts w:hAnsi="宋体"/>
          <w:b/>
          <w:bCs/>
        </w:rPr>
      </w:pPr>
      <w:r>
        <w:rPr>
          <w:rFonts w:hint="eastAsia" w:hAnsi="宋体"/>
          <w:b/>
          <w:bCs/>
        </w:rPr>
        <w:t>1、业务范围</w:t>
      </w:r>
    </w:p>
    <w:p w14:paraId="5605BC81">
      <w:pPr>
        <w:pStyle w:val="6"/>
        <w:spacing w:line="360" w:lineRule="auto"/>
        <w:ind w:firstLine="420" w:firstLineChars="200"/>
        <w:rPr>
          <w:rFonts w:hAnsi="宋体"/>
        </w:rPr>
      </w:pPr>
      <w:r>
        <w:rPr>
          <w:rFonts w:hint="eastAsia" w:hAnsi="宋体"/>
        </w:rPr>
        <w:t>投标人需投入必要的仓库、物流运输设备和服务人员完成变速箱、变速箱零部件的仓储、分拣排序及发交业务，具体如下：</w:t>
      </w:r>
    </w:p>
    <w:p w14:paraId="67348755">
      <w:pPr>
        <w:pStyle w:val="6"/>
        <w:numPr>
          <w:ilvl w:val="0"/>
          <w:numId w:val="8"/>
        </w:numPr>
        <w:spacing w:line="360" w:lineRule="auto"/>
        <w:ind w:firstLine="420" w:firstLineChars="200"/>
        <w:rPr>
          <w:rFonts w:hAnsi="宋体"/>
        </w:rPr>
      </w:pPr>
      <w:r>
        <w:rPr>
          <w:rFonts w:hint="eastAsia" w:hAnsi="宋体"/>
        </w:rPr>
        <w:t>按要求完成招标方来货零部件的卸车、接收、入库、保管、下架、排序、发交（含正常计划发交、紧急计划发交、配件计划发交等）；</w:t>
      </w:r>
    </w:p>
    <w:p w14:paraId="7D07AB16">
      <w:pPr>
        <w:pStyle w:val="6"/>
        <w:numPr>
          <w:ilvl w:val="0"/>
          <w:numId w:val="8"/>
        </w:numPr>
        <w:spacing w:line="360" w:lineRule="auto"/>
        <w:ind w:firstLine="420" w:firstLineChars="200"/>
        <w:rPr>
          <w:rFonts w:hAnsi="宋体"/>
        </w:rPr>
      </w:pPr>
      <w:r>
        <w:rPr>
          <w:rFonts w:hint="eastAsia" w:hAnsi="宋体"/>
        </w:rPr>
        <w:t>熟练使用潍柴雷沃智慧农业科技股份有限公司系统（货单、计划等均在系统中体现），依据工厂生产计划，关注主机厂生产排序情况，并按要求在确保产品质量的前提下格产品准时、足额配送发交到雷沃工厂后，与接收单位办理签收手续，做到货单同步、日清日结。</w:t>
      </w:r>
    </w:p>
    <w:p w14:paraId="6CEA6B65">
      <w:pPr>
        <w:pStyle w:val="6"/>
        <w:spacing w:line="360" w:lineRule="auto"/>
        <w:ind w:firstLine="420" w:firstLineChars="200"/>
        <w:rPr>
          <w:rFonts w:hAnsi="宋体"/>
        </w:rPr>
      </w:pPr>
      <w:r>
        <w:rPr>
          <w:rFonts w:hint="eastAsia" w:hAnsi="宋体"/>
        </w:rPr>
        <w:t>3）根据主机厂配送计划，将产品翻包（如有）并按顺序摆放到对应的工位器具（要求满足雷沃工厂上线标准）上，做好产品的器具防护后入待发区缓存：根据配送计划要求派车将满载器具分批次运输至主机厂厂区内指定地点，同时需要关注主机厂上线零件的质量情况。</w:t>
      </w:r>
    </w:p>
    <w:p w14:paraId="166DDF4A">
      <w:pPr>
        <w:pStyle w:val="6"/>
        <w:spacing w:line="360" w:lineRule="auto"/>
        <w:ind w:firstLine="420" w:firstLineChars="200"/>
        <w:rPr>
          <w:rFonts w:hAnsi="宋体"/>
        </w:rPr>
      </w:pPr>
      <w:r>
        <w:rPr>
          <w:rFonts w:hint="eastAsia" w:hAnsi="宋体"/>
        </w:rPr>
        <w:t>4）投入相应设备，包括叉车、载货车等；</w:t>
      </w:r>
    </w:p>
    <w:p w14:paraId="691D842B">
      <w:pPr>
        <w:pStyle w:val="6"/>
        <w:spacing w:line="360" w:lineRule="auto"/>
        <w:ind w:firstLine="420" w:firstLineChars="200"/>
        <w:rPr>
          <w:rFonts w:hAnsi="宋体"/>
        </w:rPr>
      </w:pPr>
      <w:r>
        <w:rPr>
          <w:rFonts w:hint="eastAsia" w:hAnsi="宋体"/>
        </w:rPr>
        <w:t>5）投标人负责仓储、配送过程中使用的器具存储和管理工作，按时完成器具的盘点工作，无条件接受招标方工位器具或包装的变更，同时对变更后的工位器具按要求进行保管、盘点、定期检查。</w:t>
      </w:r>
    </w:p>
    <w:p w14:paraId="288BF5C0">
      <w:pPr>
        <w:pStyle w:val="6"/>
        <w:spacing w:line="360" w:lineRule="auto"/>
        <w:ind w:firstLine="420" w:firstLineChars="200"/>
        <w:rPr>
          <w:rFonts w:hAnsi="宋体"/>
        </w:rPr>
      </w:pPr>
      <w:r>
        <w:rPr>
          <w:rFonts w:hint="eastAsia" w:hAnsi="宋体"/>
        </w:rPr>
        <w:t>6）积极配合招标方进行零件及工位器具的定期盘点，确保账实相符。接受招标方的出、入产品的盘点稽核。仓库内账物一致率100%，资产损失由投标方承担：</w:t>
      </w:r>
    </w:p>
    <w:p w14:paraId="67119101">
      <w:pPr>
        <w:pStyle w:val="6"/>
        <w:spacing w:line="360" w:lineRule="auto"/>
        <w:ind w:firstLine="420" w:firstLineChars="200"/>
        <w:rPr>
          <w:rFonts w:hAnsi="宋体"/>
        </w:rPr>
      </w:pPr>
      <w:r>
        <w:rPr>
          <w:rFonts w:hint="eastAsia" w:hAnsi="宋体"/>
        </w:rPr>
        <w:t>7）投标人负责配件计划、KD件计划（如有）的物流配送工作。</w:t>
      </w:r>
    </w:p>
    <w:p w14:paraId="45FDCF0E">
      <w:pPr>
        <w:pStyle w:val="6"/>
        <w:spacing w:line="360" w:lineRule="auto"/>
        <w:ind w:firstLine="420" w:firstLineChars="200"/>
        <w:rPr>
          <w:rFonts w:hAnsi="宋体"/>
        </w:rPr>
      </w:pPr>
      <w:r>
        <w:rPr>
          <w:rFonts w:hint="eastAsia" w:hAnsi="宋体"/>
        </w:rPr>
        <w:t>8）配合招标方做好逆向物流、随车工具发交相关物流工作。</w:t>
      </w:r>
    </w:p>
    <w:p w14:paraId="62B88CB1">
      <w:pPr>
        <w:pStyle w:val="6"/>
        <w:spacing w:line="360" w:lineRule="auto"/>
        <w:ind w:firstLine="420" w:firstLineChars="200"/>
        <w:rPr>
          <w:rFonts w:hAnsi="宋体"/>
        </w:rPr>
      </w:pPr>
      <w:r>
        <w:rPr>
          <w:rFonts w:hint="eastAsia" w:hAnsi="宋体"/>
        </w:rPr>
        <w:t>9）配合招标方完成已经发运至库房的零件的维修或维护（如需）工作。</w:t>
      </w:r>
    </w:p>
    <w:p w14:paraId="6F48815E">
      <w:pPr>
        <w:pStyle w:val="6"/>
        <w:spacing w:line="360" w:lineRule="auto"/>
        <w:ind w:firstLine="420" w:firstLineChars="200"/>
        <w:rPr>
          <w:rFonts w:hAnsi="宋体"/>
        </w:rPr>
      </w:pPr>
      <w:r>
        <w:rPr>
          <w:rFonts w:hint="eastAsia" w:hAnsi="宋体"/>
        </w:rPr>
        <w:t>10）投标人负责以上过程中的物资安全和质量防护。</w:t>
      </w:r>
    </w:p>
    <w:p w14:paraId="0E5AD51D">
      <w:pPr>
        <w:pStyle w:val="6"/>
        <w:spacing w:line="360" w:lineRule="auto"/>
        <w:ind w:firstLine="420" w:firstLineChars="200"/>
        <w:rPr>
          <w:rFonts w:hAnsi="宋体"/>
        </w:rPr>
      </w:pPr>
      <w:r>
        <w:rPr>
          <w:rFonts w:hint="eastAsia" w:hAnsi="宋体"/>
        </w:rPr>
        <w:t>11）保证人员及车辆在厂区内的安全作业符合招标方相关规定。</w:t>
      </w:r>
    </w:p>
    <w:p w14:paraId="61CCCB84">
      <w:pPr>
        <w:pStyle w:val="6"/>
        <w:spacing w:line="360" w:lineRule="auto"/>
        <w:ind w:firstLine="420" w:firstLineChars="200"/>
        <w:rPr>
          <w:rFonts w:hAnsi="宋体"/>
        </w:rPr>
      </w:pPr>
      <w:r>
        <w:rPr>
          <w:rFonts w:hint="eastAsia" w:hAnsi="宋体"/>
        </w:rPr>
        <w:t>12）按照招标方“5s”制度标准，做好现场管理。</w:t>
      </w:r>
    </w:p>
    <w:p w14:paraId="71E6BFF0">
      <w:pPr>
        <w:pStyle w:val="6"/>
        <w:spacing w:line="360" w:lineRule="auto"/>
        <w:ind w:firstLine="422" w:firstLineChars="200"/>
        <w:rPr>
          <w:rFonts w:hAnsi="宋体"/>
          <w:b/>
          <w:bCs/>
        </w:rPr>
      </w:pPr>
      <w:r>
        <w:rPr>
          <w:rFonts w:hint="eastAsia" w:hAnsi="宋体"/>
          <w:b/>
          <w:bCs/>
        </w:rPr>
        <w:t>2、资质和能力要求</w:t>
      </w:r>
    </w:p>
    <w:p w14:paraId="2A9F1091">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1）持有有效营业执照，具有独立法人资格和承担民事责任的能力</w:t>
      </w:r>
      <w:r>
        <w:rPr>
          <w:rFonts w:ascii="Arial" w:hAnsi="Arial" w:cs="Arial"/>
          <w:color w:val="222222"/>
          <w:sz w:val="19"/>
          <w:szCs w:val="19"/>
          <w:shd w:val="clear" w:color="auto" w:fill="FFFFFF"/>
        </w:rPr>
        <w:t>。</w:t>
      </w:r>
    </w:p>
    <w:p w14:paraId="395A740D">
      <w:pPr>
        <w:pStyle w:val="6"/>
        <w:spacing w:line="360" w:lineRule="auto"/>
        <w:ind w:firstLine="420" w:firstLineChars="200"/>
        <w:rPr>
          <w:rFonts w:ascii="Arial" w:hAnsi="Arial" w:cs="Arial"/>
          <w:color w:val="222222"/>
          <w:sz w:val="19"/>
          <w:szCs w:val="19"/>
          <w:shd w:val="clear" w:color="auto" w:fill="FFFFFF"/>
        </w:rPr>
      </w:pPr>
      <w:bookmarkStart w:id="12" w:name="OLE_LINK1"/>
      <w:r>
        <w:rPr>
          <w:rFonts w:hint="eastAsia" w:hAnsi="宋体"/>
        </w:rPr>
        <w:t>2）</w:t>
      </w:r>
      <w:bookmarkEnd w:id="12"/>
      <w:r>
        <w:rPr>
          <w:rFonts w:ascii="Arial" w:hAnsi="Arial" w:cs="Arial"/>
          <w:color w:val="222222"/>
          <w:sz w:val="19"/>
          <w:szCs w:val="19"/>
          <w:shd w:val="clear" w:color="auto" w:fill="FFFFFF"/>
        </w:rPr>
        <w:t>具有三年以上</w:t>
      </w:r>
      <w:r>
        <w:rPr>
          <w:rFonts w:hint="eastAsia" w:ascii="Arial" w:hAnsi="Arial" w:cs="Arial"/>
          <w:color w:val="222222"/>
          <w:sz w:val="19"/>
          <w:szCs w:val="19"/>
          <w:shd w:val="clear" w:color="auto" w:fill="FFFFFF"/>
        </w:rPr>
        <w:t>齿轮、轴类零件</w:t>
      </w:r>
      <w:r>
        <w:rPr>
          <w:rFonts w:ascii="Arial" w:hAnsi="Arial" w:cs="Arial"/>
          <w:color w:val="222222"/>
          <w:sz w:val="19"/>
          <w:szCs w:val="19"/>
          <w:shd w:val="clear" w:color="auto" w:fill="FFFFFF"/>
        </w:rPr>
        <w:t>仓储</w:t>
      </w:r>
      <w:r>
        <w:rPr>
          <w:rFonts w:hint="eastAsia" w:ascii="Arial" w:hAnsi="Arial" w:cs="Arial"/>
          <w:color w:val="222222"/>
          <w:sz w:val="19"/>
          <w:szCs w:val="19"/>
          <w:shd w:val="clear" w:color="auto" w:fill="FFFFFF"/>
        </w:rPr>
        <w:t>服务</w:t>
      </w:r>
      <w:r>
        <w:rPr>
          <w:rFonts w:ascii="Arial" w:hAnsi="Arial" w:cs="Arial"/>
          <w:color w:val="222222"/>
          <w:sz w:val="19"/>
          <w:szCs w:val="19"/>
          <w:shd w:val="clear" w:color="auto" w:fill="FFFFFF"/>
        </w:rPr>
        <w:t>经验；具备履行合同所需的仓库、设备、人员和专业物流组织能力。</w:t>
      </w:r>
    </w:p>
    <w:p w14:paraId="1EA5D1D6">
      <w:pPr>
        <w:pStyle w:val="6"/>
        <w:spacing w:line="360" w:lineRule="auto"/>
        <w:ind w:firstLine="420" w:firstLineChars="200"/>
        <w:rPr>
          <w:rFonts w:hAnsi="宋体"/>
        </w:rPr>
      </w:pPr>
      <w:r>
        <w:rPr>
          <w:rFonts w:hint="eastAsia" w:hAnsi="宋体"/>
        </w:rPr>
        <w:t>3）在潍坊地区能够有库房用来存齿轮、轴类零件，离雷沃工厂不要很远（15公里内），保障配送及时性；</w:t>
      </w:r>
    </w:p>
    <w:p w14:paraId="6594496C">
      <w:pPr>
        <w:pStyle w:val="6"/>
        <w:spacing w:line="360" w:lineRule="auto"/>
        <w:ind w:firstLine="420" w:firstLineChars="200"/>
        <w:rPr>
          <w:rFonts w:hint="eastAsia" w:hAnsi="宋体"/>
        </w:rPr>
      </w:pPr>
      <w:r>
        <w:rPr>
          <w:rFonts w:hint="eastAsia" w:hAnsi="宋体"/>
        </w:rPr>
        <w:t>4）需要有专业吊装工具用来倒变齿轮、轴类零件；</w:t>
      </w:r>
    </w:p>
    <w:p w14:paraId="2BA49420">
      <w:pPr>
        <w:pStyle w:val="6"/>
        <w:spacing w:line="360" w:lineRule="auto"/>
        <w:ind w:firstLine="420" w:firstLineChars="200"/>
        <w:rPr>
          <w:rFonts w:hAnsi="宋体"/>
        </w:rPr>
      </w:pPr>
      <w:r>
        <w:rPr>
          <w:rFonts w:hint="eastAsia" w:hAnsi="宋体"/>
        </w:rPr>
        <w:t xml:space="preserve"> 5）需要对接工厂物流科，完成票据的入库，扫描等工作（由物流直接完成）；</w:t>
      </w:r>
    </w:p>
    <w:p w14:paraId="3D55EA3F">
      <w:pPr>
        <w:pStyle w:val="6"/>
        <w:spacing w:line="360" w:lineRule="auto"/>
        <w:ind w:firstLine="420" w:firstLineChars="200"/>
        <w:rPr>
          <w:rFonts w:hAnsi="宋体"/>
        </w:rPr>
      </w:pPr>
      <w:r>
        <w:rPr>
          <w:rFonts w:hint="eastAsia" w:hAnsi="宋体"/>
        </w:rPr>
        <w:t>6）招标方发货至投标方，投标方配送进入工厂，在</w:t>
      </w:r>
      <w:r>
        <w:rPr>
          <w:rFonts w:hAnsi="宋体"/>
        </w:rPr>
        <w:t>”</w:t>
      </w:r>
      <w:r>
        <w:rPr>
          <w:rFonts w:hint="eastAsia" w:hAnsi="宋体"/>
        </w:rPr>
        <w:t>投标方配送进入工厂</w:t>
      </w:r>
      <w:r>
        <w:rPr>
          <w:rFonts w:hAnsi="宋体"/>
        </w:rPr>
        <w:t>”</w:t>
      </w:r>
      <w:r>
        <w:rPr>
          <w:rFonts w:hint="eastAsia" w:hAnsi="宋体"/>
        </w:rPr>
        <w:t>过程中，由物流对接工厂，对接方包括不限于工厂RDC，物流科，外检等；</w:t>
      </w:r>
    </w:p>
    <w:p w14:paraId="100BF228">
      <w:pPr>
        <w:pStyle w:val="6"/>
        <w:spacing w:line="360" w:lineRule="auto"/>
        <w:ind w:firstLine="420" w:firstLineChars="200"/>
        <w:rPr>
          <w:rFonts w:hAnsi="宋体"/>
        </w:rPr>
      </w:pPr>
      <w:r>
        <w:rPr>
          <w:rFonts w:hint="eastAsia" w:hAnsi="宋体"/>
        </w:rPr>
        <w:t>7）可以满足主机厂上线要求，按时配送，满足主机厂送货要求；</w:t>
      </w:r>
    </w:p>
    <w:p w14:paraId="47A25676">
      <w:pPr>
        <w:pStyle w:val="6"/>
        <w:spacing w:line="360" w:lineRule="auto"/>
        <w:ind w:firstLine="422" w:firstLineChars="200"/>
        <w:rPr>
          <w:rFonts w:hAnsi="宋体"/>
          <w:b/>
          <w:bCs/>
        </w:rPr>
      </w:pPr>
      <w:r>
        <w:rPr>
          <w:rFonts w:hint="eastAsia" w:hAnsi="宋体"/>
          <w:b/>
          <w:bCs/>
        </w:rPr>
        <w:t>3、财务及信誉要求</w:t>
      </w:r>
    </w:p>
    <w:p w14:paraId="070DBE93">
      <w:pPr>
        <w:pStyle w:val="6"/>
        <w:spacing w:line="360" w:lineRule="auto"/>
        <w:ind w:firstLine="380" w:firstLineChars="200"/>
        <w:rPr>
          <w:rFonts w:ascii="Arial" w:hAnsi="Arial" w:cs="Arial"/>
          <w:color w:val="222222"/>
          <w:sz w:val="19"/>
          <w:szCs w:val="19"/>
          <w:shd w:val="clear" w:color="auto" w:fill="FFFFFF"/>
        </w:rPr>
      </w:pPr>
      <w:r>
        <w:rPr>
          <w:rFonts w:ascii="Arial" w:hAnsi="Arial" w:cs="Arial"/>
          <w:color w:val="222222"/>
          <w:sz w:val="19"/>
          <w:szCs w:val="19"/>
          <w:shd w:val="clear" w:color="auto" w:fill="FFFFFF"/>
        </w:rPr>
        <w:t>投标人必须具备良好的税收和会计保障资金记录</w:t>
      </w:r>
      <w:r>
        <w:rPr>
          <w:rFonts w:hint="eastAsia" w:ascii="Arial" w:hAnsi="Arial" w:cs="Arial"/>
          <w:color w:val="222222"/>
          <w:sz w:val="19"/>
          <w:szCs w:val="19"/>
          <w:shd w:val="clear" w:color="auto" w:fill="FFFFFF"/>
        </w:rPr>
        <w:t>。</w:t>
      </w:r>
      <w:r>
        <w:rPr>
          <w:rFonts w:ascii="Arial" w:hAnsi="Arial" w:cs="Arial"/>
          <w:color w:val="222222"/>
          <w:sz w:val="19"/>
          <w:szCs w:val="19"/>
          <w:shd w:val="clear" w:color="auto" w:fill="FFFFFF"/>
        </w:rPr>
        <w:t>此外，投标人不得处于财产被接管、冻结或随产状态，</w:t>
      </w:r>
      <w:r>
        <w:rPr>
          <w:rFonts w:hint="eastAsia" w:ascii="Arial" w:hAnsi="Arial" w:cs="Arial"/>
          <w:color w:val="222222"/>
          <w:sz w:val="19"/>
          <w:szCs w:val="19"/>
          <w:shd w:val="clear" w:color="auto" w:fill="FFFFFF"/>
        </w:rPr>
        <w:t>无对方抵押担保</w:t>
      </w:r>
      <w:r>
        <w:rPr>
          <w:rFonts w:ascii="Arial" w:hAnsi="Arial" w:cs="Arial"/>
          <w:color w:val="222222"/>
          <w:sz w:val="19"/>
          <w:szCs w:val="19"/>
          <w:shd w:val="clear" w:color="auto" w:fill="FFFFFF"/>
        </w:rPr>
        <w:t>，确保不影响合作项目的顺利进行。</w:t>
      </w:r>
    </w:p>
    <w:p w14:paraId="1D0ECCCF">
      <w:pPr>
        <w:pStyle w:val="6"/>
        <w:numPr>
          <w:ilvl w:val="0"/>
          <w:numId w:val="9"/>
        </w:numPr>
        <w:spacing w:line="360" w:lineRule="auto"/>
        <w:rPr>
          <w:rFonts w:hAnsi="宋体"/>
          <w:b/>
          <w:bCs/>
        </w:rPr>
      </w:pPr>
      <w:r>
        <w:rPr>
          <w:rFonts w:hint="eastAsia" w:hAnsi="宋体"/>
          <w:b/>
          <w:bCs/>
        </w:rPr>
        <w:t>服务要求</w:t>
      </w:r>
    </w:p>
    <w:p w14:paraId="15E1B1D4">
      <w:pPr>
        <w:pStyle w:val="6"/>
        <w:spacing w:line="360" w:lineRule="auto"/>
        <w:ind w:firstLine="422" w:firstLineChars="200"/>
        <w:rPr>
          <w:rFonts w:hAnsi="宋体"/>
          <w:b/>
          <w:bCs/>
        </w:rPr>
      </w:pPr>
      <w:r>
        <w:rPr>
          <w:rFonts w:hint="eastAsia" w:hAnsi="宋体"/>
          <w:b/>
          <w:bCs/>
        </w:rPr>
        <w:t>1、仓储要求</w:t>
      </w:r>
    </w:p>
    <w:p w14:paraId="3BA4640F">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1）在潍坊地区有库房（可租赁），面积</w:t>
      </w:r>
      <w:r>
        <w:rPr>
          <w:rFonts w:hint="eastAsia" w:ascii="Arial" w:hAnsi="Arial" w:cs="Arial"/>
          <w:color w:val="222222"/>
          <w:sz w:val="19"/>
          <w:szCs w:val="19"/>
          <w:shd w:val="clear" w:color="auto" w:fill="FFFFFF"/>
          <w:lang w:val="en-US" w:eastAsia="zh-CN"/>
        </w:rPr>
        <w:t>100平方米以上</w:t>
      </w:r>
      <w:r>
        <w:rPr>
          <w:rFonts w:hint="eastAsia" w:ascii="Arial" w:hAnsi="Arial" w:cs="Arial"/>
          <w:color w:val="222222"/>
          <w:sz w:val="19"/>
          <w:szCs w:val="19"/>
          <w:shd w:val="clear" w:color="auto" w:fill="FFFFFF"/>
        </w:rPr>
        <w:t>，但需无条件接受投标方发运货物的量，确保所有产品的正确防护，确保在仓储过程中质量完好。</w:t>
      </w:r>
    </w:p>
    <w:p w14:paraId="55DAC104">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3）投标人购置相应的物资保险、添置消防、防盗等设备，确保物资仓储安全。</w:t>
      </w:r>
    </w:p>
    <w:p w14:paraId="67A70E1C">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4）入库清单，并配合招标方核对账物体。如发运过程中产生包装破损，投标方需要予以更换包装，如产生磕碰或者损坏，需要及时告知投标方，确保责任清楚。</w:t>
      </w:r>
    </w:p>
    <w:p w14:paraId="56E38B3F">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5）入库、出库满足目视化管理要求，先进先出。</w:t>
      </w:r>
    </w:p>
    <w:p w14:paraId="76725C3D">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6）发现不合格品，及时报告给招标方，并进行隔离，配合招标方进行妥善处置，包括但不限于异地维修、返回等。</w:t>
      </w:r>
    </w:p>
    <w:p w14:paraId="35119EB2">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7）账物一致，日清日结，按招标方要求进行月度盘点、极度盘点和年度盘点，如投标方造成丢夫，由投标方负责。</w:t>
      </w:r>
    </w:p>
    <w:p w14:paraId="35EB1CCE">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8）确保零件清洁，按要求放置。异地磕碰问题由投标方负责。</w:t>
      </w:r>
    </w:p>
    <w:p w14:paraId="6B15F4EB">
      <w:pPr>
        <w:pStyle w:val="6"/>
        <w:spacing w:line="360" w:lineRule="auto"/>
        <w:ind w:firstLine="422" w:firstLineChars="200"/>
        <w:rPr>
          <w:rFonts w:hAnsi="宋体"/>
          <w:b/>
          <w:bCs/>
        </w:rPr>
      </w:pPr>
      <w:r>
        <w:rPr>
          <w:rFonts w:hint="eastAsia" w:hAnsi="宋体"/>
          <w:b/>
          <w:bCs/>
        </w:rPr>
        <w:t>2、配送要求</w:t>
      </w:r>
    </w:p>
    <w:p w14:paraId="072551EB">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1）需要有专业吊装工具进行零件反包，将公司包装更换为符合主机厂要求的包装。</w:t>
      </w:r>
    </w:p>
    <w:p w14:paraId="189F799D">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2）熟练使用雷沃的系统，关注生产计划和配送的要求。</w:t>
      </w:r>
    </w:p>
    <w:p w14:paraId="4FB3B1E2">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3）反包后零件的工位器具、清洁度符合主机厂要求。数量能够满足主机厂的上线需求。产品到位，但是由于投标方为及时关注排序、配送延误导致的停线，招标方追究投标方责任，按主机厂考核的1.3倍进行考核。</w:t>
      </w:r>
    </w:p>
    <w:p w14:paraId="42260D36">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4）反包过程轻拿轻放，造成磕碰由投标方负责。</w:t>
      </w:r>
    </w:p>
    <w:p w14:paraId="0F0D717B">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5）主机厂上线时，需要跟踪，如有零公里等问题，需要投标方解决，并对及时性负责。</w:t>
      </w:r>
    </w:p>
    <w:p w14:paraId="1D441A13">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6）配送时进入主机厂内，需要按主机厂要求进行行驶，包括速度、道路等，防护用品符合主机厂的安全要求。</w:t>
      </w:r>
    </w:p>
    <w:p w14:paraId="04E2B409">
      <w:pPr>
        <w:pStyle w:val="6"/>
        <w:spacing w:line="360" w:lineRule="auto"/>
        <w:ind w:firstLine="422" w:firstLineChars="200"/>
        <w:rPr>
          <w:rFonts w:hAnsi="宋体"/>
          <w:b/>
          <w:bCs/>
        </w:rPr>
      </w:pPr>
      <w:r>
        <w:rPr>
          <w:rFonts w:hint="eastAsia" w:hAnsi="宋体"/>
          <w:b/>
          <w:bCs/>
        </w:rPr>
        <w:t>3、工位器具及包装的管理要求</w:t>
      </w:r>
    </w:p>
    <w:p w14:paraId="5ACC00C1">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1）无条件接受招标方的器具和包装变动；</w:t>
      </w:r>
    </w:p>
    <w:p w14:paraId="5FB5DB9F">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2）合理保护、按期配合维修工位器具，确保工位器具无磕碰、清洁。</w:t>
      </w:r>
    </w:p>
    <w:p w14:paraId="2F450481">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3）一次性包装需征得招标方同意后进行处置。</w:t>
      </w:r>
    </w:p>
    <w:p w14:paraId="6C7A73AA">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4）配合逆向物流返回工位器具，负责工位器具的装载。装载过程中轻拿轻放，避免磕碰和损坏。</w:t>
      </w:r>
    </w:p>
    <w:p w14:paraId="10967C3D">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5）长时间滞留器具能够得到较好的防护，定期检查，报告破损情况。</w:t>
      </w:r>
    </w:p>
    <w:p w14:paraId="4BDF93E0">
      <w:pPr>
        <w:pStyle w:val="6"/>
        <w:spacing w:line="360" w:lineRule="auto"/>
        <w:ind w:firstLine="380" w:firstLineChars="200"/>
        <w:rPr>
          <w:rFonts w:hint="eastAsia" w:ascii="Arial" w:hAnsi="Arial" w:cs="Arial"/>
          <w:color w:val="222222"/>
          <w:sz w:val="19"/>
          <w:szCs w:val="19"/>
          <w:shd w:val="clear" w:color="auto" w:fill="FFFFFF"/>
        </w:rPr>
      </w:pPr>
      <w:r>
        <w:rPr>
          <w:rFonts w:hint="eastAsia" w:ascii="Arial" w:hAnsi="Arial" w:cs="Arial"/>
          <w:color w:val="222222"/>
          <w:sz w:val="19"/>
          <w:szCs w:val="19"/>
          <w:shd w:val="clear" w:color="auto" w:fill="FFFFFF"/>
        </w:rPr>
        <w:t>6）配合工位器具的定期盘点，包括但不限于月度盘点，季度盘点和年度盘点。</w:t>
      </w:r>
    </w:p>
    <w:p w14:paraId="3BB36A1E">
      <w:pPr>
        <w:pStyle w:val="6"/>
        <w:spacing w:line="360" w:lineRule="auto"/>
        <w:ind w:firstLine="380" w:firstLineChars="200"/>
        <w:rPr>
          <w:rFonts w:hint="eastAsia" w:ascii="Arial" w:hAnsi="Arial" w:cs="Arial"/>
          <w:color w:val="222222"/>
          <w:sz w:val="19"/>
          <w:szCs w:val="19"/>
          <w:shd w:val="clear" w:color="auto" w:fill="FFFFFF"/>
        </w:rPr>
      </w:pPr>
    </w:p>
    <w:p w14:paraId="02211EA9">
      <w:pPr>
        <w:pStyle w:val="6"/>
        <w:spacing w:line="360" w:lineRule="auto"/>
        <w:ind w:firstLine="380" w:firstLineChars="200"/>
        <w:rPr>
          <w:rFonts w:hint="default" w:ascii="Arial" w:hAnsi="Arial" w:eastAsia="宋体" w:cs="Arial"/>
          <w:color w:val="222222"/>
          <w:sz w:val="19"/>
          <w:szCs w:val="19"/>
          <w:shd w:val="clear" w:color="auto" w:fill="FFFFFF"/>
          <w:lang w:val="en-US" w:eastAsia="zh-CN"/>
        </w:rPr>
      </w:pPr>
      <w:r>
        <w:rPr>
          <w:rFonts w:hint="eastAsia" w:ascii="Arial" w:hAnsi="Arial" w:cs="Arial"/>
          <w:color w:val="222222"/>
          <w:sz w:val="19"/>
          <w:szCs w:val="19"/>
          <w:shd w:val="clear" w:color="auto" w:fill="FFFFFF"/>
          <w:lang w:val="en-US" w:eastAsia="zh-CN"/>
        </w:rPr>
        <w:t>技术标负责人：</w:t>
      </w:r>
      <w:r>
        <w:rPr>
          <w:rFonts w:hint="eastAsia" w:hAnsi="宋体"/>
        </w:rPr>
        <w:t>丰淼15135207575</w:t>
      </w:r>
    </w:p>
    <w:p w14:paraId="78CD9EE1">
      <w:pPr>
        <w:pStyle w:val="6"/>
        <w:numPr>
          <w:ilvl w:val="0"/>
          <w:numId w:val="0"/>
        </w:numPr>
        <w:spacing w:line="360" w:lineRule="auto"/>
        <w:ind w:firstLine="380" w:firstLineChars="200"/>
        <w:rPr>
          <w:rFonts w:hint="default" w:ascii="Arial" w:hAnsi="Arial" w:cs="Arial"/>
          <w:i w:val="0"/>
          <w:iCs w:val="0"/>
          <w:caps w:val="0"/>
          <w:color w:val="222222"/>
          <w:spacing w:val="0"/>
          <w:sz w:val="19"/>
          <w:szCs w:val="19"/>
          <w:u w:val="none"/>
          <w:shd w:val="clear" w:fill="FFFFFF"/>
          <w:lang w:val="en-US" w:eastAsia="zh-CN"/>
        </w:rPr>
      </w:pPr>
    </w:p>
    <w:p w14:paraId="36A67D6D">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9BAF3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 w:name="_Toc639004"/>
      <w:bookmarkStart w:id="14" w:name="_Toc353881012"/>
      <w:bookmarkStart w:id="15" w:name="_Toc25811"/>
      <w:bookmarkStart w:id="16"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
      <w:bookmarkEnd w:id="14"/>
      <w:bookmarkEnd w:id="15"/>
      <w:bookmarkEnd w:id="16"/>
    </w:p>
    <w:p w14:paraId="6B434C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eastAsia="zh-CN"/>
        </w:rPr>
        <w:t>大同齿轮有限公司</w:t>
      </w:r>
      <w:r>
        <w:rPr>
          <w:rFonts w:hint="eastAsia" w:ascii="宋体" w:hAnsi="宋体" w:eastAsia="宋体" w:cs="Times New Roman"/>
          <w:color w:val="000000"/>
          <w:sz w:val="24"/>
          <w:szCs w:val="24"/>
        </w:rPr>
        <w:t>：</w:t>
      </w:r>
    </w:p>
    <w:p w14:paraId="4689B528">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b/>
          <w:bCs/>
          <w:sz w:val="22"/>
          <w:szCs w:val="21"/>
          <w:lang w:eastAsia="zh-CN"/>
        </w:rPr>
        <w:t>2026年度</w:t>
      </w:r>
      <w:r>
        <w:rPr>
          <w:rFonts w:hint="eastAsia"/>
          <w:b/>
          <w:bCs/>
          <w:sz w:val="22"/>
          <w:szCs w:val="21"/>
          <w:lang w:val="en-US" w:eastAsia="zh-CN"/>
        </w:rPr>
        <w:t>潍柴雷沃</w:t>
      </w:r>
      <w:r>
        <w:rPr>
          <w:rFonts w:hint="eastAsia"/>
          <w:b/>
          <w:bCs/>
          <w:sz w:val="22"/>
          <w:szCs w:val="21"/>
          <w:lang w:eastAsia="zh-CN"/>
        </w:rPr>
        <w:t>仓储服务项目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75BC68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F4E7D2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A14D0A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ED9EE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79B436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445230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075C7B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74F81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B111F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FB577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2AD40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156CD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35854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26488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67CF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AF93E8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BE6F399">
      <w:pPr>
        <w:rPr>
          <w:rFonts w:ascii="黑体" w:hAnsi="Calibri" w:eastAsia="黑体" w:cs="Times New Roman"/>
          <w:color w:val="000000"/>
          <w:sz w:val="24"/>
          <w:szCs w:val="24"/>
        </w:rPr>
      </w:pPr>
    </w:p>
    <w:p w14:paraId="69DD60BE">
      <w:pPr>
        <w:pStyle w:val="6"/>
        <w:rPr>
          <w:rFonts w:ascii="黑体" w:hAnsi="Calibri" w:eastAsia="黑体" w:cs="Times New Roman"/>
          <w:color w:val="000000"/>
          <w:sz w:val="24"/>
          <w:szCs w:val="24"/>
        </w:rPr>
      </w:pPr>
    </w:p>
    <w:p w14:paraId="3CA332A9">
      <w:pPr>
        <w:pStyle w:val="6"/>
        <w:rPr>
          <w:rFonts w:ascii="黑体" w:hAnsi="Calibri" w:eastAsia="黑体" w:cs="Times New Roman"/>
          <w:color w:val="000000"/>
          <w:sz w:val="24"/>
          <w:szCs w:val="24"/>
        </w:rPr>
      </w:pPr>
    </w:p>
    <w:p w14:paraId="0E68CCB8">
      <w:pPr>
        <w:pStyle w:val="6"/>
        <w:rPr>
          <w:rFonts w:ascii="黑体" w:hAnsi="Calibri" w:eastAsia="黑体" w:cs="Times New Roman"/>
          <w:color w:val="000000"/>
          <w:sz w:val="24"/>
          <w:szCs w:val="24"/>
        </w:rPr>
      </w:pPr>
    </w:p>
    <w:p w14:paraId="719F9883">
      <w:pPr>
        <w:pStyle w:val="6"/>
        <w:rPr>
          <w:rFonts w:ascii="黑体" w:hAnsi="Calibri" w:eastAsia="黑体" w:cs="Times New Roman"/>
          <w:color w:val="000000"/>
          <w:sz w:val="24"/>
          <w:szCs w:val="24"/>
        </w:rPr>
      </w:pPr>
    </w:p>
    <w:p w14:paraId="13392F15">
      <w:pPr>
        <w:rPr>
          <w:rFonts w:ascii="黑体" w:hAnsi="Calibri" w:eastAsia="黑体" w:cs="Times New Roman"/>
          <w:color w:val="000000"/>
          <w:sz w:val="24"/>
          <w:szCs w:val="24"/>
        </w:rPr>
      </w:pPr>
    </w:p>
    <w:p w14:paraId="78E5B441">
      <w:pPr>
        <w:spacing w:line="360" w:lineRule="auto"/>
        <w:ind w:left="795"/>
        <w:rPr>
          <w:rFonts w:hint="eastAsia"/>
        </w:rPr>
      </w:pPr>
    </w:p>
    <w:p w14:paraId="07A4B409">
      <w:pPr>
        <w:keepNext/>
        <w:keepLines/>
        <w:outlineLvl w:val="2"/>
        <w:rPr>
          <w:rFonts w:ascii="Times New Roman" w:hAnsi="Times New Roman" w:eastAsia="宋体" w:cs="Times New Roman"/>
          <w:b/>
          <w:bCs/>
          <w:color w:val="000000"/>
          <w:sz w:val="24"/>
          <w:szCs w:val="24"/>
        </w:rPr>
      </w:pPr>
      <w:r>
        <w:rPr>
          <w:rFonts w:hint="eastAsia" w:eastAsia="黑体"/>
          <w:b/>
          <w:bCs/>
          <w:sz w:val="28"/>
        </w:rPr>
        <w:br w:type="page"/>
      </w: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772DFC6">
      <w:pPr>
        <w:adjustRightInd w:val="0"/>
        <w:snapToGrid w:val="0"/>
        <w:spacing w:before="93" w:beforeLines="30" w:line="240" w:lineRule="exact"/>
        <w:jc w:val="center"/>
        <w:rPr>
          <w:rFonts w:ascii="宋体" w:hAnsi="Calibri" w:eastAsia="宋体" w:cs="Times New Roman"/>
          <w:sz w:val="24"/>
          <w:szCs w:val="20"/>
        </w:rPr>
      </w:pPr>
    </w:p>
    <w:p w14:paraId="37749D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b/>
          <w:bCs/>
          <w:sz w:val="22"/>
          <w:szCs w:val="21"/>
          <w:lang w:eastAsia="zh-CN"/>
        </w:rPr>
        <w:t>2026年度</w:t>
      </w:r>
      <w:r>
        <w:rPr>
          <w:rFonts w:hint="eastAsia"/>
          <w:b/>
          <w:bCs/>
          <w:sz w:val="22"/>
          <w:szCs w:val="21"/>
          <w:lang w:val="en-US" w:eastAsia="zh-CN"/>
        </w:rPr>
        <w:t>潍柴雷沃</w:t>
      </w:r>
      <w:r>
        <w:rPr>
          <w:rFonts w:hint="eastAsia"/>
          <w:b/>
          <w:bCs/>
          <w:sz w:val="22"/>
          <w:szCs w:val="21"/>
          <w:lang w:eastAsia="zh-CN"/>
        </w:rPr>
        <w:t>仓储服务项目</w:t>
      </w:r>
      <w:r>
        <w:rPr>
          <w:rFonts w:hint="eastAsia" w:ascii="宋体" w:hAnsi="宋体" w:eastAsia="宋体" w:cs="Times New Roman"/>
          <w:b/>
          <w:bCs/>
          <w:color w:val="000000"/>
          <w:sz w:val="24"/>
          <w:szCs w:val="24"/>
          <w:u w:val="single"/>
          <w:lang w:eastAsia="zh-CN"/>
        </w:rPr>
        <w:t>（</w:t>
      </w:r>
      <w:r>
        <w:rPr>
          <w:rFonts w:hint="eastAsia" w:ascii="宋体" w:hAnsi="宋体" w:cs="宋体"/>
          <w:b/>
          <w:bCs/>
          <w:sz w:val="24"/>
          <w:szCs w:val="24"/>
          <w:highlight w:val="none"/>
          <w:lang w:val="en-US" w:eastAsia="zh-CN"/>
        </w:rPr>
        <w:t>FSCZB2025120083</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5E426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CE62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5D4225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7668FE6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8D5CD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1C0E0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4488B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E123F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8CEB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5298F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6DA26C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988F6B3">
      <w:pPr>
        <w:rPr>
          <w:rFonts w:ascii="Calibri" w:hAnsi="Calibri" w:eastAsia="黑体" w:cs="Times New Roman"/>
          <w:b/>
          <w:bCs/>
          <w:color w:val="000000"/>
          <w:sz w:val="28"/>
          <w:szCs w:val="20"/>
        </w:rPr>
      </w:pPr>
    </w:p>
    <w:p w14:paraId="2B255B19">
      <w:pPr>
        <w:pStyle w:val="6"/>
        <w:rPr>
          <w:rFonts w:ascii="Calibri" w:hAnsi="Calibri" w:eastAsia="黑体" w:cs="Times New Roman"/>
          <w:b/>
          <w:bCs/>
          <w:color w:val="000000"/>
          <w:sz w:val="28"/>
          <w:szCs w:val="20"/>
        </w:rPr>
        <w:sectPr>
          <w:footerReference r:id="rId7" w:type="first"/>
          <w:headerReference r:id="rId5" w:type="default"/>
          <w:footerReference r:id="rId6" w:type="default"/>
          <w:pgSz w:w="11906" w:h="16838"/>
          <w:pgMar w:top="1588" w:right="1418" w:bottom="1134" w:left="1418" w:header="851" w:footer="992" w:gutter="0"/>
          <w:cols w:space="720" w:num="1"/>
          <w:titlePg/>
          <w:docGrid w:type="lines" w:linePitch="312" w:charSpace="0"/>
        </w:sectPr>
      </w:pPr>
    </w:p>
    <w:p w14:paraId="746ACF65">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54A6ED7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D080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3C50E8C">
            <w:pPr>
              <w:pStyle w:val="21"/>
              <w:spacing w:before="114"/>
              <w:ind w:left="720"/>
            </w:pPr>
            <w:r>
              <w:t xml:space="preserve">企业名称 </w:t>
            </w:r>
          </w:p>
        </w:tc>
        <w:tc>
          <w:tcPr>
            <w:tcW w:w="4680" w:type="dxa"/>
            <w:gridSpan w:val="4"/>
            <w:vAlign w:val="center"/>
          </w:tcPr>
          <w:p w14:paraId="0CAD4417">
            <w:pPr>
              <w:widowControl/>
              <w:jc w:val="center"/>
              <w:textAlignment w:val="center"/>
              <w:rPr>
                <w:rFonts w:ascii="宋体" w:hAnsi="宋体" w:eastAsia="宋体" w:cs="宋体"/>
                <w:color w:val="000000"/>
              </w:rPr>
            </w:pPr>
          </w:p>
        </w:tc>
        <w:tc>
          <w:tcPr>
            <w:tcW w:w="1310" w:type="dxa"/>
          </w:tcPr>
          <w:p w14:paraId="0A7032B4">
            <w:pPr>
              <w:pStyle w:val="21"/>
              <w:spacing w:before="106"/>
              <w:ind w:left="154" w:right="26"/>
              <w:jc w:val="center"/>
              <w:rPr>
                <w:color w:val="000000"/>
              </w:rPr>
            </w:pPr>
            <w:r>
              <w:rPr>
                <w:color w:val="000000"/>
              </w:rPr>
              <w:t xml:space="preserve">联系人 </w:t>
            </w:r>
          </w:p>
        </w:tc>
        <w:tc>
          <w:tcPr>
            <w:tcW w:w="1510" w:type="dxa"/>
            <w:vAlign w:val="center"/>
          </w:tcPr>
          <w:p w14:paraId="625436B1">
            <w:pPr>
              <w:widowControl/>
              <w:jc w:val="center"/>
              <w:textAlignment w:val="center"/>
              <w:rPr>
                <w:rFonts w:ascii="宋体" w:hAnsi="宋体" w:eastAsia="宋体" w:cs="宋体"/>
                <w:color w:val="000000"/>
                <w:szCs w:val="21"/>
              </w:rPr>
            </w:pPr>
          </w:p>
        </w:tc>
      </w:tr>
      <w:tr w14:paraId="1FB0C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DB549DA">
            <w:pPr>
              <w:pStyle w:val="21"/>
              <w:spacing w:before="114"/>
              <w:ind w:left="720"/>
            </w:pPr>
            <w:r>
              <w:t xml:space="preserve">企业地址 </w:t>
            </w:r>
          </w:p>
        </w:tc>
        <w:tc>
          <w:tcPr>
            <w:tcW w:w="4680" w:type="dxa"/>
            <w:gridSpan w:val="4"/>
            <w:vAlign w:val="center"/>
          </w:tcPr>
          <w:p w14:paraId="154756E6">
            <w:pPr>
              <w:widowControl/>
              <w:jc w:val="center"/>
              <w:textAlignment w:val="center"/>
              <w:rPr>
                <w:rFonts w:ascii="宋体" w:hAnsi="宋体" w:eastAsia="宋体" w:cs="宋体"/>
                <w:color w:val="000000"/>
              </w:rPr>
            </w:pPr>
          </w:p>
        </w:tc>
        <w:tc>
          <w:tcPr>
            <w:tcW w:w="1310" w:type="dxa"/>
          </w:tcPr>
          <w:p w14:paraId="7A4E1213">
            <w:pPr>
              <w:pStyle w:val="21"/>
              <w:spacing w:before="106"/>
              <w:ind w:left="154" w:right="26"/>
              <w:jc w:val="center"/>
              <w:rPr>
                <w:color w:val="000000"/>
              </w:rPr>
            </w:pPr>
            <w:r>
              <w:rPr>
                <w:color w:val="000000"/>
              </w:rPr>
              <w:t xml:space="preserve">联系人电话 </w:t>
            </w:r>
          </w:p>
        </w:tc>
        <w:tc>
          <w:tcPr>
            <w:tcW w:w="1510" w:type="dxa"/>
            <w:vAlign w:val="center"/>
          </w:tcPr>
          <w:p w14:paraId="12595D21">
            <w:pPr>
              <w:widowControl/>
              <w:jc w:val="center"/>
              <w:textAlignment w:val="center"/>
              <w:rPr>
                <w:rFonts w:ascii="宋体" w:hAnsi="宋体" w:eastAsia="宋体" w:cs="宋体"/>
                <w:color w:val="000000"/>
                <w:szCs w:val="21"/>
              </w:rPr>
            </w:pPr>
          </w:p>
        </w:tc>
      </w:tr>
      <w:tr w14:paraId="0D788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B051698">
            <w:pPr>
              <w:pStyle w:val="21"/>
              <w:spacing w:before="111"/>
              <w:ind w:left="720"/>
            </w:pPr>
            <w:r>
              <w:t xml:space="preserve">企业性质 </w:t>
            </w:r>
          </w:p>
        </w:tc>
        <w:tc>
          <w:tcPr>
            <w:tcW w:w="4680" w:type="dxa"/>
            <w:gridSpan w:val="4"/>
            <w:vAlign w:val="center"/>
          </w:tcPr>
          <w:p w14:paraId="2128BB7C">
            <w:pPr>
              <w:widowControl/>
              <w:jc w:val="center"/>
              <w:textAlignment w:val="center"/>
              <w:rPr>
                <w:rFonts w:ascii="宋体" w:hAnsi="宋体" w:eastAsia="宋体" w:cs="宋体"/>
                <w:color w:val="000000"/>
              </w:rPr>
            </w:pPr>
          </w:p>
        </w:tc>
        <w:tc>
          <w:tcPr>
            <w:tcW w:w="1310" w:type="dxa"/>
          </w:tcPr>
          <w:p w14:paraId="5FFE835D">
            <w:pPr>
              <w:pStyle w:val="2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098A52AC">
            <w:pPr>
              <w:widowControl/>
              <w:jc w:val="center"/>
              <w:textAlignment w:val="center"/>
              <w:rPr>
                <w:rFonts w:ascii="宋体" w:hAnsi="宋体" w:eastAsia="宋体" w:cs="宋体"/>
                <w:color w:val="000000"/>
                <w:szCs w:val="21"/>
              </w:rPr>
            </w:pPr>
          </w:p>
        </w:tc>
      </w:tr>
      <w:tr w14:paraId="3972B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13CE508">
            <w:pPr>
              <w:pStyle w:val="21"/>
              <w:spacing w:before="111"/>
              <w:ind w:left="509"/>
              <w:rPr>
                <w:highlight w:val="yellow"/>
              </w:rPr>
            </w:pPr>
            <w:r>
              <w:t xml:space="preserve">企业法人代表  </w:t>
            </w:r>
          </w:p>
        </w:tc>
        <w:tc>
          <w:tcPr>
            <w:tcW w:w="4680" w:type="dxa"/>
            <w:gridSpan w:val="4"/>
          </w:tcPr>
          <w:p w14:paraId="7F8464F8">
            <w:pPr>
              <w:pStyle w:val="3"/>
              <w:keepNext w:val="0"/>
              <w:keepLines w:val="0"/>
              <w:widowControl/>
              <w:shd w:val="clear" w:color="auto" w:fill="FFFFFF"/>
              <w:spacing w:before="0" w:after="0" w:line="450" w:lineRule="atLeast"/>
              <w:rPr>
                <w:rFonts w:ascii="宋体" w:hAnsi="宋体" w:cs="宋体"/>
                <w:color w:val="000000"/>
              </w:rPr>
            </w:pPr>
          </w:p>
        </w:tc>
        <w:tc>
          <w:tcPr>
            <w:tcW w:w="1310" w:type="dxa"/>
          </w:tcPr>
          <w:p w14:paraId="73C572FB">
            <w:pPr>
              <w:pStyle w:val="21"/>
              <w:spacing w:before="103"/>
              <w:ind w:right="26"/>
              <w:jc w:val="center"/>
              <w:rPr>
                <w:color w:val="000000"/>
              </w:rPr>
            </w:pPr>
            <w:r>
              <w:rPr>
                <w:color w:val="000000"/>
              </w:rPr>
              <w:t>企业资质</w:t>
            </w:r>
          </w:p>
        </w:tc>
        <w:tc>
          <w:tcPr>
            <w:tcW w:w="1510" w:type="dxa"/>
            <w:vAlign w:val="center"/>
          </w:tcPr>
          <w:p w14:paraId="2E022DC7">
            <w:pPr>
              <w:widowControl/>
              <w:jc w:val="center"/>
              <w:textAlignment w:val="center"/>
              <w:rPr>
                <w:rFonts w:ascii="宋体" w:hAnsi="宋体" w:eastAsia="宋体" w:cs="宋体"/>
                <w:color w:val="000000"/>
                <w:szCs w:val="21"/>
              </w:rPr>
            </w:pPr>
          </w:p>
        </w:tc>
      </w:tr>
      <w:tr w14:paraId="219E4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EC52E41">
            <w:pPr>
              <w:pStyle w:val="21"/>
              <w:spacing w:before="114"/>
              <w:ind w:left="720"/>
            </w:pPr>
            <w:r>
              <w:t xml:space="preserve">品牌区分 </w:t>
            </w:r>
          </w:p>
        </w:tc>
        <w:tc>
          <w:tcPr>
            <w:tcW w:w="7500" w:type="dxa"/>
            <w:gridSpan w:val="6"/>
          </w:tcPr>
          <w:p w14:paraId="1656B0FF">
            <w:pPr>
              <w:pStyle w:val="2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DA74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7CB9604">
            <w:pPr>
              <w:pStyle w:val="21"/>
              <w:spacing w:before="178"/>
              <w:ind w:left="720"/>
            </w:pPr>
            <w:r>
              <w:t xml:space="preserve">品牌名称 </w:t>
            </w:r>
          </w:p>
        </w:tc>
        <w:tc>
          <w:tcPr>
            <w:tcW w:w="3583" w:type="dxa"/>
            <w:gridSpan w:val="3"/>
            <w:vAlign w:val="center"/>
          </w:tcPr>
          <w:p w14:paraId="4A5838A8">
            <w:pPr>
              <w:widowControl/>
              <w:rPr>
                <w:rFonts w:ascii="宋体" w:hAnsi="宋体" w:eastAsia="仿宋_GB2312"/>
                <w:kern w:val="0"/>
                <w:szCs w:val="21"/>
              </w:rPr>
            </w:pPr>
          </w:p>
        </w:tc>
        <w:tc>
          <w:tcPr>
            <w:tcW w:w="1097" w:type="dxa"/>
          </w:tcPr>
          <w:p w14:paraId="6855799B">
            <w:pPr>
              <w:pStyle w:val="21"/>
              <w:spacing w:before="15"/>
              <w:ind w:left="279"/>
            </w:pPr>
            <w:r>
              <w:rPr>
                <w:spacing w:val="-2"/>
              </w:rPr>
              <w:t>质量</w:t>
            </w:r>
            <w:r>
              <w:t xml:space="preserve"> </w:t>
            </w:r>
          </w:p>
          <w:p w14:paraId="3E011E44">
            <w:pPr>
              <w:pStyle w:val="21"/>
              <w:spacing w:before="30" w:line="277" w:lineRule="exact"/>
              <w:ind w:left="279"/>
            </w:pPr>
            <w:r>
              <w:rPr>
                <w:rFonts w:hint="eastAsia"/>
              </w:rPr>
              <w:t>体系</w:t>
            </w:r>
          </w:p>
        </w:tc>
        <w:tc>
          <w:tcPr>
            <w:tcW w:w="2820" w:type="dxa"/>
            <w:gridSpan w:val="2"/>
          </w:tcPr>
          <w:p w14:paraId="1105E90A">
            <w:pPr>
              <w:pStyle w:val="21"/>
              <w:spacing w:before="158"/>
              <w:jc w:val="center"/>
              <w:rPr>
                <w:sz w:val="24"/>
              </w:rPr>
            </w:pPr>
          </w:p>
        </w:tc>
      </w:tr>
      <w:tr w14:paraId="6B5EB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4D04B05">
            <w:pPr>
              <w:pStyle w:val="21"/>
              <w:spacing w:before="149"/>
              <w:ind w:left="3345" w:right="3223"/>
              <w:jc w:val="center"/>
            </w:pPr>
            <w:r>
              <w:rPr>
                <w:rFonts w:hint="eastAsia"/>
                <w:szCs w:val="21"/>
              </w:rPr>
              <w:t>单位概况</w:t>
            </w:r>
          </w:p>
        </w:tc>
      </w:tr>
      <w:tr w14:paraId="7832E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08A9140">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2DDB58E">
            <w:pPr>
              <w:widowControl/>
              <w:textAlignment w:val="center"/>
              <w:rPr>
                <w:rFonts w:ascii="宋体" w:hAnsi="宋体" w:eastAsia="宋体" w:cs="宋体"/>
                <w:szCs w:val="21"/>
              </w:rPr>
            </w:pPr>
          </w:p>
        </w:tc>
        <w:tc>
          <w:tcPr>
            <w:tcW w:w="1530" w:type="dxa"/>
            <w:vAlign w:val="center"/>
          </w:tcPr>
          <w:p w14:paraId="02F9954C">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20A6B2E">
            <w:pPr>
              <w:widowControl/>
              <w:jc w:val="center"/>
              <w:textAlignment w:val="center"/>
              <w:rPr>
                <w:rFonts w:ascii="宋体" w:hAnsi="宋体" w:eastAsia="宋体" w:cs="宋体"/>
                <w:szCs w:val="21"/>
              </w:rPr>
            </w:pPr>
          </w:p>
        </w:tc>
        <w:tc>
          <w:tcPr>
            <w:tcW w:w="1097" w:type="dxa"/>
            <w:vAlign w:val="center"/>
          </w:tcPr>
          <w:p w14:paraId="5417AD1B">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F95F832">
            <w:pPr>
              <w:widowControl/>
              <w:jc w:val="center"/>
              <w:textAlignment w:val="center"/>
              <w:rPr>
                <w:rFonts w:ascii="宋体" w:hAnsi="宋体" w:eastAsia="宋体" w:cs="宋体"/>
                <w:szCs w:val="21"/>
              </w:rPr>
            </w:pPr>
          </w:p>
        </w:tc>
      </w:tr>
      <w:tr w14:paraId="53B89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3E164C4">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3259897E">
            <w:pPr>
              <w:widowControl/>
              <w:jc w:val="left"/>
              <w:rPr>
                <w:rFonts w:ascii="宋体" w:hAnsi="宋体" w:eastAsia="宋体" w:cs="宋体"/>
                <w:szCs w:val="21"/>
              </w:rPr>
            </w:pPr>
            <w:r>
              <w:rPr>
                <w:rFonts w:hint="eastAsia" w:ascii="宋体" w:hAnsi="宋体" w:eastAsia="宋体" w:cs="宋体"/>
                <w:kern w:val="0"/>
                <w:szCs w:val="21"/>
              </w:rPr>
              <w:t>　</w:t>
            </w:r>
          </w:p>
        </w:tc>
      </w:tr>
      <w:tr w14:paraId="74D04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8A58A9">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512DB270">
            <w:pPr>
              <w:widowControl/>
              <w:jc w:val="left"/>
              <w:rPr>
                <w:rFonts w:ascii="宋体" w:hAnsi="宋体" w:eastAsia="宋体" w:cs="宋体"/>
                <w:szCs w:val="21"/>
              </w:rPr>
            </w:pPr>
            <w:r>
              <w:rPr>
                <w:rFonts w:hint="eastAsia" w:ascii="宋体" w:hAnsi="宋体" w:eastAsia="宋体" w:cs="宋体"/>
                <w:kern w:val="0"/>
                <w:szCs w:val="21"/>
              </w:rPr>
              <w:t>　</w:t>
            </w:r>
          </w:p>
        </w:tc>
      </w:tr>
      <w:tr w14:paraId="70C00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1BBBFF5">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64BE9C0">
            <w:pPr>
              <w:widowControl/>
              <w:jc w:val="left"/>
              <w:rPr>
                <w:rFonts w:ascii="宋体" w:hAnsi="宋体" w:eastAsia="宋体" w:cs="宋体"/>
                <w:szCs w:val="21"/>
              </w:rPr>
            </w:pPr>
            <w:r>
              <w:rPr>
                <w:rFonts w:hint="eastAsia" w:ascii="宋体" w:hAnsi="宋体" w:eastAsia="宋体" w:cs="宋体"/>
                <w:kern w:val="0"/>
                <w:szCs w:val="21"/>
              </w:rPr>
              <w:t>　</w:t>
            </w:r>
          </w:p>
        </w:tc>
      </w:tr>
      <w:tr w14:paraId="0DF0E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CEF1385">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292971FB">
            <w:pPr>
              <w:widowControl/>
              <w:jc w:val="left"/>
              <w:rPr>
                <w:rFonts w:ascii="宋体" w:hAnsi="宋体" w:eastAsia="宋体" w:cs="宋体"/>
                <w:szCs w:val="21"/>
              </w:rPr>
            </w:pPr>
            <w:r>
              <w:rPr>
                <w:rFonts w:hint="eastAsia" w:ascii="宋体" w:hAnsi="宋体" w:eastAsia="宋体" w:cs="宋体"/>
                <w:kern w:val="0"/>
                <w:szCs w:val="21"/>
              </w:rPr>
              <w:t>　</w:t>
            </w:r>
          </w:p>
        </w:tc>
      </w:tr>
      <w:tr w14:paraId="6B381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F019884">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73F5DFA4">
            <w:pPr>
              <w:widowControl/>
              <w:jc w:val="left"/>
              <w:rPr>
                <w:rFonts w:ascii="宋体" w:hAnsi="宋体" w:eastAsia="宋体" w:cs="宋体"/>
                <w:szCs w:val="21"/>
              </w:rPr>
            </w:pPr>
            <w:r>
              <w:rPr>
                <w:rFonts w:hint="eastAsia" w:ascii="宋体" w:hAnsi="宋体" w:eastAsia="宋体" w:cs="宋体"/>
                <w:kern w:val="0"/>
                <w:szCs w:val="21"/>
              </w:rPr>
              <w:t>　</w:t>
            </w:r>
          </w:p>
        </w:tc>
      </w:tr>
      <w:tr w14:paraId="7EFB3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73A8EAE">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BA321AC">
            <w:pPr>
              <w:widowControl/>
              <w:jc w:val="left"/>
              <w:rPr>
                <w:rFonts w:ascii="宋体" w:hAnsi="宋体" w:eastAsia="宋体" w:cs="宋体"/>
                <w:kern w:val="0"/>
                <w:szCs w:val="21"/>
              </w:rPr>
            </w:pPr>
          </w:p>
        </w:tc>
      </w:tr>
    </w:tbl>
    <w:p w14:paraId="670D79BD">
      <w:pPr>
        <w:pStyle w:val="6"/>
        <w:rPr>
          <w:rFonts w:ascii="Times New Roman" w:hAnsi="Times New Roman" w:eastAsia="宋体" w:cs="Times New Roman"/>
          <w:b/>
          <w:bCs/>
          <w:color w:val="000000"/>
          <w:sz w:val="24"/>
          <w:szCs w:val="24"/>
        </w:rPr>
      </w:pPr>
    </w:p>
    <w:p w14:paraId="7BAA91C8">
      <w:pPr>
        <w:pStyle w:val="6"/>
        <w:rPr>
          <w:rFonts w:ascii="Times New Roman" w:hAnsi="Times New Roman" w:eastAsia="宋体" w:cs="Times New Roman"/>
          <w:b/>
          <w:bCs/>
          <w:color w:val="000000"/>
          <w:sz w:val="24"/>
          <w:szCs w:val="24"/>
        </w:rPr>
      </w:pPr>
    </w:p>
    <w:p w14:paraId="22761893">
      <w:pPr>
        <w:pStyle w:val="6"/>
        <w:rPr>
          <w:rFonts w:ascii="Times New Roman" w:hAnsi="Times New Roman" w:eastAsia="宋体" w:cs="Times New Roman"/>
          <w:b/>
          <w:bCs/>
          <w:color w:val="000000"/>
          <w:sz w:val="24"/>
          <w:szCs w:val="24"/>
        </w:rPr>
      </w:pPr>
    </w:p>
    <w:p w14:paraId="75A7E600">
      <w:pPr>
        <w:pStyle w:val="6"/>
        <w:rPr>
          <w:rFonts w:ascii="Times New Roman" w:hAnsi="Times New Roman" w:eastAsia="宋体" w:cs="Times New Roman"/>
          <w:b/>
          <w:bCs/>
          <w:color w:val="000000"/>
          <w:sz w:val="24"/>
          <w:szCs w:val="24"/>
        </w:rPr>
      </w:pPr>
    </w:p>
    <w:p w14:paraId="396F729D">
      <w:pPr>
        <w:pStyle w:val="6"/>
        <w:rPr>
          <w:rFonts w:ascii="Times New Roman" w:hAnsi="Times New Roman" w:eastAsia="宋体" w:cs="Times New Roman"/>
          <w:b/>
          <w:bCs/>
          <w:color w:val="000000"/>
          <w:sz w:val="24"/>
          <w:szCs w:val="24"/>
        </w:rPr>
      </w:pPr>
    </w:p>
    <w:p w14:paraId="3C034D5B">
      <w:pPr>
        <w:pStyle w:val="6"/>
        <w:rPr>
          <w:rFonts w:ascii="Times New Roman" w:hAnsi="Times New Roman" w:eastAsia="宋体" w:cs="Times New Roman"/>
          <w:b/>
          <w:bCs/>
          <w:color w:val="000000"/>
          <w:sz w:val="24"/>
          <w:szCs w:val="24"/>
        </w:rPr>
      </w:pPr>
    </w:p>
    <w:p w14:paraId="213182D5">
      <w:pPr>
        <w:pStyle w:val="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4C65C34">
      <w:pPr>
        <w:pStyle w:val="6"/>
        <w:outlineLvl w:val="3"/>
        <w:rPr>
          <w:rFonts w:hint="eastAsia" w:ascii="Times New Roman" w:hAnsi="Times New Roman" w:eastAsia="宋体" w:cs="Times New Roman"/>
          <w:b/>
          <w:bCs/>
          <w:color w:val="000000"/>
          <w:sz w:val="24"/>
          <w:szCs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133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00BDC46">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2934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E412F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53B937BD">
            <w:pPr>
              <w:spacing w:line="440" w:lineRule="exact"/>
              <w:jc w:val="center"/>
              <w:rPr>
                <w:rFonts w:ascii="宋体" w:hAnsi="宋体"/>
                <w:color w:val="000000"/>
                <w:sz w:val="24"/>
                <w:szCs w:val="24"/>
                <w:highlight w:val="none"/>
              </w:rPr>
            </w:pPr>
          </w:p>
        </w:tc>
      </w:tr>
      <w:tr w14:paraId="0036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F136B7">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036E3722">
            <w:pPr>
              <w:spacing w:line="440" w:lineRule="exact"/>
              <w:jc w:val="center"/>
              <w:rPr>
                <w:rFonts w:ascii="宋体" w:hAnsi="宋体"/>
                <w:color w:val="000000"/>
                <w:sz w:val="24"/>
                <w:szCs w:val="24"/>
                <w:highlight w:val="none"/>
              </w:rPr>
            </w:pPr>
          </w:p>
        </w:tc>
      </w:tr>
      <w:tr w14:paraId="42DF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D12D9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316A8E8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30F4F66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1AB82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3A9F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3A715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58CDC2F">
            <w:pPr>
              <w:spacing w:line="440" w:lineRule="exact"/>
              <w:jc w:val="center"/>
              <w:rPr>
                <w:rFonts w:ascii="宋体" w:hAnsi="宋体"/>
                <w:color w:val="000000"/>
                <w:sz w:val="24"/>
                <w:szCs w:val="24"/>
                <w:highlight w:val="none"/>
              </w:rPr>
            </w:pPr>
          </w:p>
        </w:tc>
        <w:tc>
          <w:tcPr>
            <w:tcW w:w="1288" w:type="dxa"/>
          </w:tcPr>
          <w:p w14:paraId="25E6B42D">
            <w:pPr>
              <w:spacing w:line="440" w:lineRule="exact"/>
              <w:jc w:val="center"/>
              <w:rPr>
                <w:rFonts w:ascii="宋体" w:hAnsi="宋体"/>
                <w:color w:val="000000"/>
                <w:sz w:val="24"/>
                <w:szCs w:val="24"/>
                <w:highlight w:val="none"/>
              </w:rPr>
            </w:pPr>
          </w:p>
        </w:tc>
        <w:tc>
          <w:tcPr>
            <w:tcW w:w="1288" w:type="dxa"/>
          </w:tcPr>
          <w:p w14:paraId="3FF2EFC2">
            <w:pPr>
              <w:spacing w:line="440" w:lineRule="exact"/>
              <w:jc w:val="center"/>
              <w:rPr>
                <w:rFonts w:ascii="宋体" w:hAnsi="宋体"/>
                <w:color w:val="000000"/>
                <w:sz w:val="24"/>
                <w:szCs w:val="24"/>
                <w:highlight w:val="none"/>
              </w:rPr>
            </w:pPr>
          </w:p>
        </w:tc>
      </w:tr>
      <w:tr w14:paraId="54B4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684B2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0C4F4700">
            <w:pPr>
              <w:spacing w:line="440" w:lineRule="exact"/>
              <w:jc w:val="center"/>
              <w:rPr>
                <w:rFonts w:ascii="宋体" w:hAnsi="宋体"/>
                <w:color w:val="000000"/>
                <w:sz w:val="24"/>
                <w:szCs w:val="24"/>
                <w:highlight w:val="none"/>
              </w:rPr>
            </w:pPr>
          </w:p>
        </w:tc>
        <w:tc>
          <w:tcPr>
            <w:tcW w:w="1288" w:type="dxa"/>
          </w:tcPr>
          <w:p w14:paraId="66B378DD">
            <w:pPr>
              <w:spacing w:line="440" w:lineRule="exact"/>
              <w:jc w:val="center"/>
              <w:rPr>
                <w:rFonts w:ascii="宋体" w:hAnsi="宋体"/>
                <w:color w:val="000000"/>
                <w:sz w:val="24"/>
                <w:szCs w:val="24"/>
                <w:highlight w:val="none"/>
              </w:rPr>
            </w:pPr>
          </w:p>
        </w:tc>
        <w:tc>
          <w:tcPr>
            <w:tcW w:w="1288" w:type="dxa"/>
          </w:tcPr>
          <w:p w14:paraId="39BDA792">
            <w:pPr>
              <w:spacing w:line="440" w:lineRule="exact"/>
              <w:jc w:val="center"/>
              <w:rPr>
                <w:rFonts w:ascii="宋体" w:hAnsi="宋体"/>
                <w:color w:val="000000"/>
                <w:sz w:val="24"/>
                <w:szCs w:val="24"/>
                <w:highlight w:val="none"/>
              </w:rPr>
            </w:pPr>
          </w:p>
        </w:tc>
      </w:tr>
      <w:tr w14:paraId="6371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BF74F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F7FA291">
            <w:pPr>
              <w:spacing w:line="440" w:lineRule="exact"/>
              <w:jc w:val="center"/>
              <w:rPr>
                <w:rFonts w:ascii="宋体" w:hAnsi="宋体"/>
                <w:color w:val="000000"/>
                <w:sz w:val="24"/>
                <w:szCs w:val="24"/>
                <w:highlight w:val="none"/>
              </w:rPr>
            </w:pPr>
          </w:p>
        </w:tc>
        <w:tc>
          <w:tcPr>
            <w:tcW w:w="1288" w:type="dxa"/>
          </w:tcPr>
          <w:p w14:paraId="49FD50C7">
            <w:pPr>
              <w:spacing w:line="440" w:lineRule="exact"/>
              <w:jc w:val="center"/>
              <w:rPr>
                <w:rFonts w:ascii="宋体" w:hAnsi="宋体"/>
                <w:color w:val="000000"/>
                <w:sz w:val="24"/>
                <w:szCs w:val="24"/>
                <w:highlight w:val="none"/>
              </w:rPr>
            </w:pPr>
          </w:p>
        </w:tc>
        <w:tc>
          <w:tcPr>
            <w:tcW w:w="1288" w:type="dxa"/>
          </w:tcPr>
          <w:p w14:paraId="57E2199E">
            <w:pPr>
              <w:spacing w:line="440" w:lineRule="exact"/>
              <w:jc w:val="center"/>
              <w:rPr>
                <w:rFonts w:ascii="宋体" w:hAnsi="宋体"/>
                <w:color w:val="000000"/>
                <w:sz w:val="24"/>
                <w:szCs w:val="24"/>
                <w:highlight w:val="none"/>
              </w:rPr>
            </w:pPr>
          </w:p>
        </w:tc>
      </w:tr>
      <w:tr w14:paraId="3F55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31B02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25204010">
            <w:pPr>
              <w:spacing w:line="440" w:lineRule="exact"/>
              <w:jc w:val="center"/>
              <w:rPr>
                <w:rFonts w:ascii="宋体" w:hAnsi="宋体"/>
                <w:color w:val="000000"/>
                <w:sz w:val="24"/>
                <w:szCs w:val="24"/>
                <w:highlight w:val="none"/>
              </w:rPr>
            </w:pPr>
          </w:p>
        </w:tc>
        <w:tc>
          <w:tcPr>
            <w:tcW w:w="1288" w:type="dxa"/>
          </w:tcPr>
          <w:p w14:paraId="221C0B06">
            <w:pPr>
              <w:spacing w:line="440" w:lineRule="exact"/>
              <w:jc w:val="center"/>
              <w:rPr>
                <w:rFonts w:ascii="宋体" w:hAnsi="宋体"/>
                <w:color w:val="000000"/>
                <w:sz w:val="24"/>
                <w:szCs w:val="24"/>
                <w:highlight w:val="none"/>
              </w:rPr>
            </w:pPr>
          </w:p>
        </w:tc>
        <w:tc>
          <w:tcPr>
            <w:tcW w:w="1288" w:type="dxa"/>
          </w:tcPr>
          <w:p w14:paraId="6A9072CF">
            <w:pPr>
              <w:spacing w:line="440" w:lineRule="exact"/>
              <w:jc w:val="center"/>
              <w:rPr>
                <w:rFonts w:ascii="宋体" w:hAnsi="宋体"/>
                <w:color w:val="000000"/>
                <w:sz w:val="24"/>
                <w:szCs w:val="24"/>
                <w:highlight w:val="none"/>
              </w:rPr>
            </w:pPr>
          </w:p>
        </w:tc>
      </w:tr>
      <w:tr w14:paraId="2042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C0FCB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5E329014">
            <w:pPr>
              <w:spacing w:line="440" w:lineRule="exact"/>
              <w:jc w:val="center"/>
              <w:rPr>
                <w:rFonts w:ascii="宋体" w:hAnsi="宋体"/>
                <w:color w:val="000000"/>
                <w:sz w:val="24"/>
                <w:szCs w:val="24"/>
                <w:highlight w:val="none"/>
              </w:rPr>
            </w:pPr>
          </w:p>
        </w:tc>
        <w:tc>
          <w:tcPr>
            <w:tcW w:w="1288" w:type="dxa"/>
          </w:tcPr>
          <w:p w14:paraId="5ACF2F5D">
            <w:pPr>
              <w:spacing w:line="440" w:lineRule="exact"/>
              <w:jc w:val="center"/>
              <w:rPr>
                <w:rFonts w:ascii="宋体" w:hAnsi="宋体"/>
                <w:color w:val="000000"/>
                <w:sz w:val="24"/>
                <w:szCs w:val="24"/>
                <w:highlight w:val="none"/>
              </w:rPr>
            </w:pPr>
          </w:p>
        </w:tc>
        <w:tc>
          <w:tcPr>
            <w:tcW w:w="1288" w:type="dxa"/>
          </w:tcPr>
          <w:p w14:paraId="24A1B5D5">
            <w:pPr>
              <w:spacing w:line="440" w:lineRule="exact"/>
              <w:jc w:val="center"/>
              <w:rPr>
                <w:rFonts w:ascii="宋体" w:hAnsi="宋体"/>
                <w:color w:val="000000"/>
                <w:sz w:val="24"/>
                <w:szCs w:val="24"/>
                <w:highlight w:val="none"/>
              </w:rPr>
            </w:pPr>
          </w:p>
        </w:tc>
      </w:tr>
      <w:tr w14:paraId="08D4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B26F0">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5D85963B">
            <w:pPr>
              <w:spacing w:line="440" w:lineRule="exact"/>
              <w:jc w:val="center"/>
              <w:rPr>
                <w:rFonts w:ascii="宋体" w:hAnsi="宋体"/>
                <w:color w:val="000000"/>
                <w:sz w:val="24"/>
                <w:szCs w:val="24"/>
                <w:highlight w:val="none"/>
              </w:rPr>
            </w:pPr>
          </w:p>
        </w:tc>
        <w:tc>
          <w:tcPr>
            <w:tcW w:w="1288" w:type="dxa"/>
          </w:tcPr>
          <w:p w14:paraId="00A2A5D4">
            <w:pPr>
              <w:spacing w:line="440" w:lineRule="exact"/>
              <w:jc w:val="center"/>
              <w:rPr>
                <w:rFonts w:ascii="宋体" w:hAnsi="宋体"/>
                <w:color w:val="000000"/>
                <w:sz w:val="24"/>
                <w:szCs w:val="24"/>
                <w:highlight w:val="none"/>
              </w:rPr>
            </w:pPr>
          </w:p>
        </w:tc>
        <w:tc>
          <w:tcPr>
            <w:tcW w:w="1288" w:type="dxa"/>
          </w:tcPr>
          <w:p w14:paraId="426DB36D">
            <w:pPr>
              <w:spacing w:line="440" w:lineRule="exact"/>
              <w:jc w:val="center"/>
              <w:rPr>
                <w:rFonts w:ascii="宋体" w:hAnsi="宋体"/>
                <w:color w:val="000000"/>
                <w:sz w:val="24"/>
                <w:szCs w:val="24"/>
                <w:highlight w:val="none"/>
              </w:rPr>
            </w:pPr>
          </w:p>
        </w:tc>
      </w:tr>
      <w:tr w14:paraId="5059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BC326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2000AA46">
            <w:pPr>
              <w:spacing w:line="440" w:lineRule="exact"/>
              <w:jc w:val="center"/>
              <w:rPr>
                <w:rFonts w:ascii="宋体" w:hAnsi="宋体"/>
                <w:color w:val="000000"/>
                <w:sz w:val="24"/>
                <w:szCs w:val="24"/>
                <w:highlight w:val="none"/>
              </w:rPr>
            </w:pPr>
          </w:p>
        </w:tc>
        <w:tc>
          <w:tcPr>
            <w:tcW w:w="1288" w:type="dxa"/>
          </w:tcPr>
          <w:p w14:paraId="546FF81A">
            <w:pPr>
              <w:spacing w:line="440" w:lineRule="exact"/>
              <w:jc w:val="center"/>
              <w:rPr>
                <w:rFonts w:ascii="宋体" w:hAnsi="宋体"/>
                <w:color w:val="000000"/>
                <w:sz w:val="24"/>
                <w:szCs w:val="24"/>
                <w:highlight w:val="none"/>
              </w:rPr>
            </w:pPr>
          </w:p>
        </w:tc>
        <w:tc>
          <w:tcPr>
            <w:tcW w:w="1288" w:type="dxa"/>
          </w:tcPr>
          <w:p w14:paraId="51A540AA">
            <w:pPr>
              <w:spacing w:line="440" w:lineRule="exact"/>
              <w:jc w:val="center"/>
              <w:rPr>
                <w:rFonts w:ascii="宋体" w:hAnsi="宋体"/>
                <w:color w:val="000000"/>
                <w:sz w:val="24"/>
                <w:szCs w:val="24"/>
                <w:highlight w:val="none"/>
              </w:rPr>
            </w:pPr>
          </w:p>
        </w:tc>
      </w:tr>
      <w:tr w14:paraId="6187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68E18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3A5FB98F">
            <w:pPr>
              <w:spacing w:line="440" w:lineRule="exact"/>
              <w:jc w:val="center"/>
              <w:rPr>
                <w:rFonts w:ascii="宋体" w:hAnsi="宋体"/>
                <w:color w:val="000000"/>
                <w:sz w:val="24"/>
                <w:szCs w:val="24"/>
                <w:highlight w:val="none"/>
              </w:rPr>
            </w:pPr>
          </w:p>
        </w:tc>
        <w:tc>
          <w:tcPr>
            <w:tcW w:w="1288" w:type="dxa"/>
          </w:tcPr>
          <w:p w14:paraId="07203EAC">
            <w:pPr>
              <w:spacing w:line="440" w:lineRule="exact"/>
              <w:jc w:val="center"/>
              <w:rPr>
                <w:rFonts w:ascii="宋体" w:hAnsi="宋体"/>
                <w:color w:val="000000"/>
                <w:sz w:val="24"/>
                <w:szCs w:val="24"/>
                <w:highlight w:val="none"/>
              </w:rPr>
            </w:pPr>
          </w:p>
        </w:tc>
        <w:tc>
          <w:tcPr>
            <w:tcW w:w="1288" w:type="dxa"/>
          </w:tcPr>
          <w:p w14:paraId="70ED70C0">
            <w:pPr>
              <w:spacing w:line="440" w:lineRule="exact"/>
              <w:jc w:val="center"/>
              <w:rPr>
                <w:rFonts w:ascii="宋体" w:hAnsi="宋体"/>
                <w:color w:val="000000"/>
                <w:sz w:val="24"/>
                <w:szCs w:val="24"/>
                <w:highlight w:val="none"/>
              </w:rPr>
            </w:pPr>
          </w:p>
        </w:tc>
      </w:tr>
      <w:tr w14:paraId="44C2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503769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3BC15564">
            <w:pPr>
              <w:spacing w:line="440" w:lineRule="exact"/>
              <w:jc w:val="center"/>
              <w:rPr>
                <w:rFonts w:ascii="宋体" w:hAnsi="宋体"/>
                <w:color w:val="000000"/>
                <w:sz w:val="24"/>
                <w:szCs w:val="24"/>
                <w:highlight w:val="none"/>
              </w:rPr>
            </w:pPr>
          </w:p>
        </w:tc>
        <w:tc>
          <w:tcPr>
            <w:tcW w:w="1288" w:type="dxa"/>
          </w:tcPr>
          <w:p w14:paraId="4930E756">
            <w:pPr>
              <w:spacing w:line="440" w:lineRule="exact"/>
              <w:jc w:val="center"/>
              <w:rPr>
                <w:rFonts w:ascii="宋体" w:hAnsi="宋体"/>
                <w:color w:val="000000"/>
                <w:sz w:val="24"/>
                <w:szCs w:val="24"/>
                <w:highlight w:val="none"/>
              </w:rPr>
            </w:pPr>
          </w:p>
        </w:tc>
        <w:tc>
          <w:tcPr>
            <w:tcW w:w="1288" w:type="dxa"/>
          </w:tcPr>
          <w:p w14:paraId="227F869A">
            <w:pPr>
              <w:spacing w:line="440" w:lineRule="exact"/>
              <w:jc w:val="center"/>
              <w:rPr>
                <w:rFonts w:ascii="宋体" w:hAnsi="宋体"/>
                <w:color w:val="000000"/>
                <w:sz w:val="24"/>
                <w:szCs w:val="24"/>
                <w:highlight w:val="none"/>
              </w:rPr>
            </w:pPr>
          </w:p>
        </w:tc>
      </w:tr>
      <w:tr w14:paraId="7F74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9CAA7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0349FAC3">
            <w:pPr>
              <w:spacing w:line="440" w:lineRule="exact"/>
              <w:jc w:val="center"/>
              <w:rPr>
                <w:rFonts w:ascii="宋体" w:hAnsi="宋体"/>
                <w:color w:val="000000"/>
                <w:sz w:val="24"/>
                <w:szCs w:val="24"/>
                <w:highlight w:val="none"/>
              </w:rPr>
            </w:pPr>
          </w:p>
        </w:tc>
        <w:tc>
          <w:tcPr>
            <w:tcW w:w="1288" w:type="dxa"/>
          </w:tcPr>
          <w:p w14:paraId="34C5DC23">
            <w:pPr>
              <w:spacing w:line="440" w:lineRule="exact"/>
              <w:jc w:val="center"/>
              <w:rPr>
                <w:rFonts w:ascii="宋体" w:hAnsi="宋体"/>
                <w:color w:val="000000"/>
                <w:sz w:val="24"/>
                <w:szCs w:val="24"/>
                <w:highlight w:val="none"/>
              </w:rPr>
            </w:pPr>
          </w:p>
        </w:tc>
        <w:tc>
          <w:tcPr>
            <w:tcW w:w="1288" w:type="dxa"/>
          </w:tcPr>
          <w:p w14:paraId="6AB75564">
            <w:pPr>
              <w:spacing w:line="440" w:lineRule="exact"/>
              <w:jc w:val="center"/>
              <w:rPr>
                <w:rFonts w:ascii="宋体" w:hAnsi="宋体"/>
                <w:color w:val="000000"/>
                <w:sz w:val="24"/>
                <w:szCs w:val="24"/>
                <w:highlight w:val="none"/>
              </w:rPr>
            </w:pPr>
          </w:p>
        </w:tc>
      </w:tr>
    </w:tbl>
    <w:p w14:paraId="3A229F5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7AE443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41DC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9DA8D3E">
      <w:pPr>
        <w:rPr>
          <w:rFonts w:ascii="宋体" w:hAnsi="Calibri" w:eastAsia="宋体" w:cs="宋体"/>
          <w:b/>
          <w:bCs/>
          <w:color w:val="000000"/>
          <w:sz w:val="28"/>
          <w:szCs w:val="20"/>
        </w:rPr>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14:paraId="0B13CA40">
      <w:pPr>
        <w:pStyle w:val="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5"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仓储配送</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智能物流中心</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3AC016A">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6"/>
                    <a:stretch>
                      <a:fillRect/>
                    </a:stretch>
                  </pic:blipFill>
                  <pic:spPr>
                    <a:xfrm>
                      <a:off x="0" y="0"/>
                      <a:ext cx="5486400" cy="2661285"/>
                    </a:xfrm>
                    <a:prstGeom prst="rect">
                      <a:avLst/>
                    </a:prstGeom>
                    <a:noFill/>
                    <a:ln>
                      <a:noFill/>
                    </a:ln>
                  </pic:spPr>
                </pic:pic>
              </a:graphicData>
            </a:graphic>
          </wp:inline>
        </w:drawing>
      </w:r>
    </w:p>
    <w:p w14:paraId="1D419B5D">
      <w:pPr>
        <w:pStyle w:val="18"/>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eastAsia="宋体" w:cs="宋体"/>
          <w:sz w:val="24"/>
          <w:szCs w:val="24"/>
        </w:rPr>
        <w:t>http</w:t>
      </w:r>
      <w:r>
        <w:rPr>
          <w:rStyle w:val="16"/>
          <w:rFonts w:hint="eastAsia" w:ascii="宋体" w:hAnsi="宋体" w:eastAsia="宋体" w:cs="宋体"/>
          <w:sz w:val="24"/>
          <w:szCs w:val="24"/>
          <w:lang w:val="en-US" w:eastAsia="zh-CN"/>
        </w:rPr>
        <w:t>s</w:t>
      </w:r>
      <w:r>
        <w:rPr>
          <w:rStyle w:val="16"/>
          <w:rFonts w:hint="eastAsia" w:ascii="宋体" w:hAnsi="宋体" w:eastAsia="宋体" w:cs="宋体"/>
          <w:sz w:val="24"/>
          <w:szCs w:val="24"/>
        </w:rPr>
        <w:t>://ecaitong.sinotruk.com:8012/</w:t>
      </w:r>
      <w:r>
        <w:rPr>
          <w:rStyle w:val="16"/>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7" cstate="print"/>
                    <a:srcRect/>
                    <a:stretch>
                      <a:fillRect/>
                    </a:stretch>
                  </pic:blipFill>
                  <pic:spPr>
                    <a:xfrm>
                      <a:off x="0" y="0"/>
                      <a:ext cx="5760085" cy="2269490"/>
                    </a:xfrm>
                    <a:prstGeom prst="rect">
                      <a:avLst/>
                    </a:prstGeom>
                  </pic:spPr>
                </pic:pic>
              </a:graphicData>
            </a:graphic>
          </wp:inline>
        </w:drawing>
      </w:r>
    </w:p>
    <w:p w14:paraId="7F5F97E1">
      <w:pPr>
        <w:pStyle w:val="6"/>
      </w:pPr>
    </w:p>
    <w:p w14:paraId="44F04E35">
      <w:pPr>
        <w:pStyle w:val="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8"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9"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0"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1"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2" cstate="print"/>
                    <a:srcRect/>
                    <a:stretch>
                      <a:fillRect/>
                    </a:stretch>
                  </pic:blipFill>
                  <pic:spPr>
                    <a:xfrm>
                      <a:off x="0" y="0"/>
                      <a:ext cx="5760085" cy="1956435"/>
                    </a:xfrm>
                    <a:prstGeom prst="rect">
                      <a:avLst/>
                    </a:prstGeom>
                  </pic:spPr>
                </pic:pic>
              </a:graphicData>
            </a:graphic>
          </wp:inline>
        </w:drawing>
      </w:r>
    </w:p>
    <w:p w14:paraId="3FF7DF5D">
      <w:pPr>
        <w:pStyle w:val="6"/>
        <w:rPr>
          <w:rFonts w:hAnsi="宋体" w:eastAsia="宋体" w:cs="Times New Roman"/>
          <w:b/>
          <w:color w:val="000000"/>
          <w:sz w:val="24"/>
          <w:szCs w:val="24"/>
        </w:rPr>
      </w:pPr>
    </w:p>
    <w:p w14:paraId="3CEE3B78">
      <w:pPr>
        <w:pStyle w:val="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19"/>
        <w:rPr>
          <w:rFonts w:hint="default" w:hAnsi="宋体"/>
          <w:sz w:val="24"/>
          <w:lang w:val="en-US"/>
        </w:rPr>
      </w:pPr>
    </w:p>
    <w:p w14:paraId="7AF3479E">
      <w:pPr>
        <w:pStyle w:val="19"/>
        <w:rPr>
          <w:rFonts w:hint="default" w:hAnsi="宋体"/>
          <w:sz w:val="24"/>
          <w:lang w:val="en-US"/>
        </w:rPr>
      </w:pPr>
    </w:p>
    <w:p w14:paraId="690F0775">
      <w:pPr>
        <w:pStyle w:val="2"/>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SOF0B7949D1">
    <w:panose1 w:val="02010600040101010101"/>
    <w:charset w:val="86"/>
    <w:family w:val="auto"/>
    <w:pitch w:val="default"/>
    <w:sig w:usb0="00000001"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7"/>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88276">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897E2F">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4897E2F">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19010">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157D2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3F157D2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ACFC4">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842BFF5">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1842BFF5">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0F72C">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14ABD5D">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114ABD5D">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7E4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7ECC4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OjFcwckBAACSAwAADgAAAAAAAAABACAAAAAfAQAAZHJzL2Uyb0Rv&#10;Yy54bWxQSwUGAAAAAAYABgBZAQAAWgUAAAAA&#10;">
              <v:fill on="f" focussize="0,0"/>
              <v:stroke on="f"/>
              <v:imagedata o:title=""/>
              <o:lock v:ext="edit" aspectratio="f"/>
              <v:textbox inset="0mm,0mm,0mm,0mm" style="mso-fit-shape-to-text:t;">
                <w:txbxContent>
                  <w:p w14:paraId="257ECC4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E43D2">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F8588C">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2QziackBAACSAwAADgAAAAAAAAABACAAAAAfAQAAZHJzL2Uyb0Rv&#10;Yy54bWxQSwUGAAAAAAYABgBZAQAAWgUAAAAA&#10;">
              <v:fill on="f" focussize="0,0"/>
              <v:stroke on="f"/>
              <v:imagedata o:title=""/>
              <o:lock v:ext="edit" aspectratio="f"/>
              <v:textbox inset="0mm,0mm,0mm,0mm" style="mso-fit-shape-to-text:t;">
                <w:txbxContent>
                  <w:p w14:paraId="0FF8588C">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8"/>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C7EFD">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817CE">
    <w:pPr>
      <w:pStyle w:val="8"/>
    </w:pPr>
  </w:p>
  <w:p w14:paraId="0A8AD883">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A8A4C">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E9DDACA4"/>
    <w:multiLevelType w:val="singleLevel"/>
    <w:tmpl w:val="E9DDACA4"/>
    <w:lvl w:ilvl="0" w:tentative="0">
      <w:start w:val="3"/>
      <w:numFmt w:val="decimal"/>
      <w:lvlText w:val="%1."/>
      <w:lvlJc w:val="left"/>
      <w:pPr>
        <w:tabs>
          <w:tab w:val="left" w:pos="312"/>
        </w:tabs>
      </w:p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6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1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A04D9AD"/>
    <w:multiLevelType w:val="singleLevel"/>
    <w:tmpl w:val="6A04D9AD"/>
    <w:lvl w:ilvl="0" w:tentative="0">
      <w:start w:val="2"/>
      <w:numFmt w:val="chineseCounting"/>
      <w:suff w:val="nothing"/>
      <w:lvlText w:val="%1、"/>
      <w:lvlJc w:val="left"/>
      <w:rPr>
        <w:rFonts w:hint="eastAsia"/>
      </w:rPr>
    </w:lvl>
  </w:abstractNum>
  <w:abstractNum w:abstractNumId="10">
    <w:nsid w:val="6AF5568C"/>
    <w:multiLevelType w:val="singleLevel"/>
    <w:tmpl w:val="6AF5568C"/>
    <w:lvl w:ilvl="0" w:tentative="0">
      <w:start w:val="1"/>
      <w:numFmt w:val="decimal"/>
      <w:suff w:val="nothing"/>
      <w:lvlText w:val="%1）"/>
      <w:lvlJc w:val="left"/>
    </w:lvl>
  </w:abstractNum>
  <w:abstractNum w:abstractNumId="11">
    <w:nsid w:val="70EB3FAA"/>
    <w:multiLevelType w:val="singleLevel"/>
    <w:tmpl w:val="70EB3FAA"/>
    <w:lvl w:ilvl="0" w:tentative="0">
      <w:start w:val="1"/>
      <w:numFmt w:val="decimal"/>
      <w:lvlText w:val="%1."/>
      <w:lvlJc w:val="left"/>
      <w:pPr>
        <w:ind w:left="425" w:hanging="425"/>
      </w:pPr>
      <w:rPr>
        <w:rFonts w:hint="default"/>
      </w:rPr>
    </w:lvl>
  </w:abstractNum>
  <w:num w:numId="1">
    <w:abstractNumId w:val="8"/>
  </w:num>
  <w:num w:numId="2">
    <w:abstractNumId w:val="7"/>
  </w:num>
  <w:num w:numId="3">
    <w:abstractNumId w:val="11"/>
  </w:num>
  <w:num w:numId="4">
    <w:abstractNumId w:val="1"/>
  </w:num>
  <w:num w:numId="5">
    <w:abstractNumId w:val="5"/>
  </w:num>
  <w:num w:numId="6">
    <w:abstractNumId w:val="2"/>
  </w:num>
  <w:num w:numId="7">
    <w:abstractNumId w:val="0"/>
  </w:num>
  <w:num w:numId="8">
    <w:abstractNumId w:val="10"/>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40645B1"/>
    <w:rsid w:val="04275653"/>
    <w:rsid w:val="0462668B"/>
    <w:rsid w:val="05720B50"/>
    <w:rsid w:val="05850883"/>
    <w:rsid w:val="05FE0636"/>
    <w:rsid w:val="0754675F"/>
    <w:rsid w:val="07660241"/>
    <w:rsid w:val="07AB0349"/>
    <w:rsid w:val="09727371"/>
    <w:rsid w:val="09AE43B9"/>
    <w:rsid w:val="0A256191"/>
    <w:rsid w:val="0A434869"/>
    <w:rsid w:val="0BC33EB3"/>
    <w:rsid w:val="0BF347E8"/>
    <w:rsid w:val="0CC021A1"/>
    <w:rsid w:val="0D083FB4"/>
    <w:rsid w:val="0D5A377C"/>
    <w:rsid w:val="0DCF4A41"/>
    <w:rsid w:val="0EE7610B"/>
    <w:rsid w:val="0EFE3455"/>
    <w:rsid w:val="0F010326"/>
    <w:rsid w:val="0F946D68"/>
    <w:rsid w:val="0FB104C7"/>
    <w:rsid w:val="103F3D25"/>
    <w:rsid w:val="10991687"/>
    <w:rsid w:val="11286567"/>
    <w:rsid w:val="1147185D"/>
    <w:rsid w:val="115B2DE0"/>
    <w:rsid w:val="118B27F3"/>
    <w:rsid w:val="119A3908"/>
    <w:rsid w:val="121E1ADF"/>
    <w:rsid w:val="125515DD"/>
    <w:rsid w:val="12DD37BE"/>
    <w:rsid w:val="136E6A2E"/>
    <w:rsid w:val="139D4FEA"/>
    <w:rsid w:val="13FD2512"/>
    <w:rsid w:val="1517661E"/>
    <w:rsid w:val="15657D89"/>
    <w:rsid w:val="16C44F84"/>
    <w:rsid w:val="16D76A65"/>
    <w:rsid w:val="16EA2C3C"/>
    <w:rsid w:val="17032A46"/>
    <w:rsid w:val="17726840"/>
    <w:rsid w:val="17BA0860"/>
    <w:rsid w:val="193A152D"/>
    <w:rsid w:val="19444B5F"/>
    <w:rsid w:val="19722A75"/>
    <w:rsid w:val="19CE23A1"/>
    <w:rsid w:val="1A134258"/>
    <w:rsid w:val="1CAA49F8"/>
    <w:rsid w:val="1CBE2546"/>
    <w:rsid w:val="1D623FD6"/>
    <w:rsid w:val="1E1E766F"/>
    <w:rsid w:val="1F8A033E"/>
    <w:rsid w:val="200F794B"/>
    <w:rsid w:val="20801F1B"/>
    <w:rsid w:val="215B7B93"/>
    <w:rsid w:val="21B93937"/>
    <w:rsid w:val="220D5A31"/>
    <w:rsid w:val="22160D89"/>
    <w:rsid w:val="23244DE0"/>
    <w:rsid w:val="235B27CC"/>
    <w:rsid w:val="23714228"/>
    <w:rsid w:val="23CB7951"/>
    <w:rsid w:val="23E9442E"/>
    <w:rsid w:val="24694FDB"/>
    <w:rsid w:val="249A35D5"/>
    <w:rsid w:val="24D665AE"/>
    <w:rsid w:val="259C2031"/>
    <w:rsid w:val="25A5657F"/>
    <w:rsid w:val="26C07516"/>
    <w:rsid w:val="2702378F"/>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4D2E05"/>
    <w:rsid w:val="2CDA6E57"/>
    <w:rsid w:val="2D236108"/>
    <w:rsid w:val="2D50441C"/>
    <w:rsid w:val="2D962D7E"/>
    <w:rsid w:val="2E026666"/>
    <w:rsid w:val="2F61560E"/>
    <w:rsid w:val="2FF47BED"/>
    <w:rsid w:val="308E2433"/>
    <w:rsid w:val="30F027A5"/>
    <w:rsid w:val="31DD5420"/>
    <w:rsid w:val="32BA306B"/>
    <w:rsid w:val="341E587B"/>
    <w:rsid w:val="34E73EBF"/>
    <w:rsid w:val="35E0728C"/>
    <w:rsid w:val="36B67FED"/>
    <w:rsid w:val="370451FC"/>
    <w:rsid w:val="373A29CC"/>
    <w:rsid w:val="382A0C93"/>
    <w:rsid w:val="38523D46"/>
    <w:rsid w:val="387651EF"/>
    <w:rsid w:val="398F2A5E"/>
    <w:rsid w:val="39A20CFD"/>
    <w:rsid w:val="39A71E6F"/>
    <w:rsid w:val="3A033549"/>
    <w:rsid w:val="3AEA4709"/>
    <w:rsid w:val="3B365BA1"/>
    <w:rsid w:val="3B4756B8"/>
    <w:rsid w:val="3BC1546A"/>
    <w:rsid w:val="3C4D6CFE"/>
    <w:rsid w:val="3CCF1E09"/>
    <w:rsid w:val="3D8B21D4"/>
    <w:rsid w:val="3F144495"/>
    <w:rsid w:val="3F760C61"/>
    <w:rsid w:val="3F863274"/>
    <w:rsid w:val="3FE61943"/>
    <w:rsid w:val="3FF322B2"/>
    <w:rsid w:val="40EC18A8"/>
    <w:rsid w:val="414D154E"/>
    <w:rsid w:val="41656898"/>
    <w:rsid w:val="41962EF5"/>
    <w:rsid w:val="41AC44C7"/>
    <w:rsid w:val="42141C1A"/>
    <w:rsid w:val="423A5F76"/>
    <w:rsid w:val="42D54FED"/>
    <w:rsid w:val="434B5F61"/>
    <w:rsid w:val="439416B6"/>
    <w:rsid w:val="43F54DA9"/>
    <w:rsid w:val="44A27E03"/>
    <w:rsid w:val="45A35BE1"/>
    <w:rsid w:val="45CD0EAF"/>
    <w:rsid w:val="47BC567F"/>
    <w:rsid w:val="49CA5E32"/>
    <w:rsid w:val="4A7657F2"/>
    <w:rsid w:val="4C325F10"/>
    <w:rsid w:val="4C432784"/>
    <w:rsid w:val="4CDA761C"/>
    <w:rsid w:val="4D6F029E"/>
    <w:rsid w:val="4D996326"/>
    <w:rsid w:val="4E832A53"/>
    <w:rsid w:val="4F732AC8"/>
    <w:rsid w:val="4FC926E8"/>
    <w:rsid w:val="50367907"/>
    <w:rsid w:val="507029B3"/>
    <w:rsid w:val="50A72271"/>
    <w:rsid w:val="512A365A"/>
    <w:rsid w:val="51300A07"/>
    <w:rsid w:val="517C731C"/>
    <w:rsid w:val="52A66D10"/>
    <w:rsid w:val="52EA12F3"/>
    <w:rsid w:val="53226CDE"/>
    <w:rsid w:val="53277100"/>
    <w:rsid w:val="53934391"/>
    <w:rsid w:val="5435659E"/>
    <w:rsid w:val="5663112E"/>
    <w:rsid w:val="569021B1"/>
    <w:rsid w:val="575E405D"/>
    <w:rsid w:val="57B65C47"/>
    <w:rsid w:val="57B8376D"/>
    <w:rsid w:val="57D936E4"/>
    <w:rsid w:val="57EF1159"/>
    <w:rsid w:val="59280444"/>
    <w:rsid w:val="5BDF6DA3"/>
    <w:rsid w:val="5C5531DE"/>
    <w:rsid w:val="5CDF79EE"/>
    <w:rsid w:val="5D465377"/>
    <w:rsid w:val="5D4E06D0"/>
    <w:rsid w:val="5D973E25"/>
    <w:rsid w:val="5DC50992"/>
    <w:rsid w:val="5DD159D8"/>
    <w:rsid w:val="5DDE1A77"/>
    <w:rsid w:val="5E2F405E"/>
    <w:rsid w:val="5E3873B6"/>
    <w:rsid w:val="5EA031AD"/>
    <w:rsid w:val="5F38643B"/>
    <w:rsid w:val="60EE1FAE"/>
    <w:rsid w:val="611A2DA3"/>
    <w:rsid w:val="616B0B5C"/>
    <w:rsid w:val="619568CD"/>
    <w:rsid w:val="61EA1238"/>
    <w:rsid w:val="62051CA5"/>
    <w:rsid w:val="621C2B4B"/>
    <w:rsid w:val="63293771"/>
    <w:rsid w:val="63343EC4"/>
    <w:rsid w:val="63B41E9C"/>
    <w:rsid w:val="63C70946"/>
    <w:rsid w:val="646F3406"/>
    <w:rsid w:val="64BA4740"/>
    <w:rsid w:val="64E01C52"/>
    <w:rsid w:val="654E019A"/>
    <w:rsid w:val="654F3237"/>
    <w:rsid w:val="65624F9A"/>
    <w:rsid w:val="658F7EFB"/>
    <w:rsid w:val="661F2C0A"/>
    <w:rsid w:val="66650F64"/>
    <w:rsid w:val="666D1BC7"/>
    <w:rsid w:val="67874F0A"/>
    <w:rsid w:val="683F57E5"/>
    <w:rsid w:val="6874548F"/>
    <w:rsid w:val="68993147"/>
    <w:rsid w:val="68993A9E"/>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53042"/>
    <w:rsid w:val="73DE4104"/>
    <w:rsid w:val="73F77193"/>
    <w:rsid w:val="73FD2E3F"/>
    <w:rsid w:val="7416564C"/>
    <w:rsid w:val="745B39A7"/>
    <w:rsid w:val="7476258E"/>
    <w:rsid w:val="74CC6652"/>
    <w:rsid w:val="74F945A2"/>
    <w:rsid w:val="753665B1"/>
    <w:rsid w:val="75AC3A76"/>
    <w:rsid w:val="75E654F2"/>
    <w:rsid w:val="761B163F"/>
    <w:rsid w:val="76515061"/>
    <w:rsid w:val="770E0474"/>
    <w:rsid w:val="77437B39"/>
    <w:rsid w:val="77A60107"/>
    <w:rsid w:val="77EB3293"/>
    <w:rsid w:val="78063C29"/>
    <w:rsid w:val="781C1D7F"/>
    <w:rsid w:val="786F2FE2"/>
    <w:rsid w:val="797E7695"/>
    <w:rsid w:val="7A6B246A"/>
    <w:rsid w:val="7B7B048A"/>
    <w:rsid w:val="7B8A691F"/>
    <w:rsid w:val="7D0F17D2"/>
    <w:rsid w:val="7DA168CE"/>
    <w:rsid w:val="7DC720AD"/>
    <w:rsid w:val="7E105802"/>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semiHidden/>
    <w:qFormat/>
    <w:uiPriority w:val="0"/>
    <w:pPr>
      <w:keepNext/>
      <w:keepLines/>
      <w:spacing w:line="416" w:lineRule="auto"/>
      <w:outlineLvl w:val="2"/>
    </w:pPr>
    <w:rPr>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sz w:val="32"/>
    </w:rPr>
  </w:style>
  <w:style w:type="paragraph" w:customStyle="1" w:styleId="5">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Plain Text"/>
    <w:basedOn w:val="1"/>
    <w:qFormat/>
    <w:uiPriority w:val="0"/>
    <w:rPr>
      <w:rFonts w:ascii="宋体" w:hAnsi="Courier New"/>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0">
    <w:name w:val="List"/>
    <w:basedOn w:val="1"/>
    <w:qFormat/>
    <w:uiPriority w:val="0"/>
    <w:pPr>
      <w:ind w:left="200" w:hanging="200" w:hangingChars="200"/>
    </w:pPr>
  </w:style>
  <w:style w:type="paragraph" w:styleId="11">
    <w:name w:val="Normal (Web)"/>
    <w:basedOn w:val="1"/>
    <w:qFormat/>
    <w:uiPriority w:val="0"/>
    <w:rPr>
      <w:sz w:val="24"/>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basedOn w:val="14"/>
    <w:semiHidden/>
    <w:qFormat/>
    <w:uiPriority w:val="99"/>
    <w:rPr>
      <w:rFonts w:cs="Times New Roman"/>
      <w:color w:val="1F4F88"/>
      <w:u w:val="none"/>
    </w:rPr>
  </w:style>
  <w:style w:type="paragraph" w:styleId="17">
    <w:name w:val="List Paragraph"/>
    <w:basedOn w:val="1"/>
    <w:qFormat/>
    <w:uiPriority w:val="99"/>
    <w:pPr>
      <w:ind w:firstLine="420" w:firstLineChars="200"/>
    </w:pPr>
  </w:style>
  <w:style w:type="paragraph" w:customStyle="1" w:styleId="18">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19">
    <w:name w:val="标书正文"/>
    <w:basedOn w:val="6"/>
    <w:qFormat/>
    <w:uiPriority w:val="9"/>
    <w:pPr>
      <w:spacing w:line="360" w:lineRule="auto"/>
      <w:jc w:val="left"/>
    </w:pPr>
  </w:style>
  <w:style w:type="paragraph" w:customStyle="1" w:styleId="20">
    <w:name w:val="标书正文格式"/>
    <w:basedOn w:val="6"/>
    <w:qFormat/>
    <w:uiPriority w:val="0"/>
    <w:pPr>
      <w:spacing w:line="360" w:lineRule="auto"/>
      <w:ind w:firstLine="200" w:firstLineChars="200"/>
    </w:pPr>
    <w:rPr>
      <w:rFonts w:hAnsi="宋体" w:eastAsiaTheme="minorEastAsia"/>
      <w:color w:val="000000"/>
      <w:sz w:val="24"/>
      <w:szCs w:val="24"/>
    </w:rPr>
  </w:style>
  <w:style w:type="paragraph" w:customStyle="1" w:styleId="21">
    <w:name w:val="Table Paragraph"/>
    <w:basedOn w:val="1"/>
    <w:autoRedefine/>
    <w:qFormat/>
    <w:uiPriority w:val="1"/>
    <w:rPr>
      <w:rFonts w:ascii="宋体" w:hAnsi="宋体" w:eastAsia="宋体" w:cs="宋体"/>
    </w:rPr>
  </w:style>
  <w:style w:type="table" w:customStyle="1" w:styleId="22">
    <w:name w:val="Table Normal"/>
    <w:autoRedefine/>
    <w:qFormat/>
    <w:uiPriority w:val="0"/>
    <w:tblPr>
      <w:tblCellMar>
        <w:top w:w="0" w:type="dxa"/>
        <w:left w:w="0" w:type="dxa"/>
        <w:bottom w:w="0" w:type="dxa"/>
        <w:right w:w="0" w:type="dxa"/>
      </w:tblCellMar>
    </w:tblPr>
  </w:style>
  <w:style w:type="paragraph" w:customStyle="1" w:styleId="23">
    <w:name w:val="null22"/>
    <w:qFormat/>
    <w:uiPriority w:val="0"/>
    <w:rPr>
      <w:rFonts w:ascii="Times New Roman" w:hAnsi="Times New Roman" w:eastAsia="宋体" w:cs="Times New Roman"/>
      <w:szCs w:val="21"/>
      <w:lang w:val="en-US" w:eastAsia="zh-CN" w:bidi="ar-SA"/>
    </w:rPr>
  </w:style>
  <w:style w:type="paragraph" w:customStyle="1" w:styleId="24">
    <w:name w:val="null23"/>
    <w:qFormat/>
    <w:uiPriority w:val="0"/>
    <w:rPr>
      <w:rFonts w:ascii="Times New Roman" w:hAnsi="Times New Roman" w:eastAsia="宋体" w:cs="Times New Roman"/>
      <w:szCs w:val="21"/>
      <w:lang w:val="en-US" w:eastAsia="zh-CN" w:bidi="ar-SA"/>
    </w:rPr>
  </w:style>
  <w:style w:type="paragraph" w:customStyle="1" w:styleId="25">
    <w:name w:val="null24"/>
    <w:qFormat/>
    <w:uiPriority w:val="0"/>
    <w:rPr>
      <w:rFonts w:ascii="Times New Roman" w:hAnsi="Times New Roman" w:eastAsia="宋体" w:cs="Times New Roman"/>
      <w:szCs w:val="21"/>
      <w:lang w:val="en-US" w:eastAsia="zh-CN" w:bidi="ar-SA"/>
    </w:rPr>
  </w:style>
  <w:style w:type="paragraph" w:customStyle="1" w:styleId="26">
    <w:name w:val="null25"/>
    <w:qFormat/>
    <w:uiPriority w:val="0"/>
    <w:rPr>
      <w:rFonts w:ascii="Times New Roman" w:hAnsi="Times New Roman" w:eastAsia="宋体" w:cs="Times New Roman"/>
      <w:szCs w:val="21"/>
      <w:lang w:val="en-US" w:eastAsia="zh-CN" w:bidi="ar-SA"/>
    </w:rPr>
  </w:style>
  <w:style w:type="paragraph" w:customStyle="1" w:styleId="27">
    <w:name w:val="null26"/>
    <w:qFormat/>
    <w:uiPriority w:val="0"/>
    <w:rPr>
      <w:rFonts w:ascii="Times New Roman" w:hAnsi="Times New Roman" w:eastAsia="宋体" w:cs="Times New Roman"/>
      <w:szCs w:val="21"/>
      <w:lang w:val="en-US" w:eastAsia="zh-CN" w:bidi="ar-SA"/>
    </w:rPr>
  </w:style>
  <w:style w:type="paragraph" w:customStyle="1" w:styleId="28">
    <w:name w:val="null27"/>
    <w:qFormat/>
    <w:uiPriority w:val="0"/>
    <w:rPr>
      <w:rFonts w:ascii="Times New Roman" w:hAnsi="Times New Roman" w:eastAsia="宋体" w:cs="Times New Roman"/>
      <w:szCs w:val="21"/>
      <w:lang w:val="en-US" w:eastAsia="zh-CN" w:bidi="ar-SA"/>
    </w:rPr>
  </w:style>
  <w:style w:type="paragraph" w:customStyle="1" w:styleId="29">
    <w:name w:val="null28"/>
    <w:qFormat/>
    <w:uiPriority w:val="0"/>
    <w:rPr>
      <w:rFonts w:ascii="Times New Roman" w:hAnsi="Times New Roman" w:eastAsia="宋体" w:cs="Times New Roman"/>
      <w:szCs w:val="21"/>
      <w:lang w:val="en-US" w:eastAsia="zh-CN" w:bidi="ar-SA"/>
    </w:rPr>
  </w:style>
  <w:style w:type="paragraph" w:customStyle="1" w:styleId="30">
    <w:name w:val="null29"/>
    <w:qFormat/>
    <w:uiPriority w:val="0"/>
    <w:rPr>
      <w:rFonts w:ascii="Times New Roman" w:hAnsi="Times New Roman" w:eastAsia="宋体" w:cs="Times New Roman"/>
      <w:szCs w:val="21"/>
      <w:lang w:val="en-US" w:eastAsia="zh-CN" w:bidi="ar-SA"/>
    </w:rPr>
  </w:style>
  <w:style w:type="paragraph" w:customStyle="1" w:styleId="31">
    <w:name w:val="null30"/>
    <w:qFormat/>
    <w:uiPriority w:val="0"/>
    <w:rPr>
      <w:rFonts w:ascii="Times New Roman" w:hAnsi="Times New Roman" w:eastAsia="宋体" w:cs="Times New Roman"/>
      <w:szCs w:val="21"/>
      <w:lang w:val="en-US" w:eastAsia="zh-CN" w:bidi="ar-SA"/>
    </w:rPr>
  </w:style>
  <w:style w:type="paragraph" w:customStyle="1" w:styleId="32">
    <w:name w:val="null31"/>
    <w:qFormat/>
    <w:uiPriority w:val="0"/>
    <w:rPr>
      <w:rFonts w:ascii="Times New Roman" w:hAnsi="Times New Roman" w:eastAsia="宋体" w:cs="Times New Roman"/>
      <w:szCs w:val="21"/>
      <w:lang w:val="en-US" w:eastAsia="zh-CN" w:bidi="ar-SA"/>
    </w:rPr>
  </w:style>
  <w:style w:type="paragraph" w:customStyle="1" w:styleId="33">
    <w:name w:val="null32"/>
    <w:qFormat/>
    <w:uiPriority w:val="0"/>
    <w:rPr>
      <w:rFonts w:ascii="Times New Roman" w:hAnsi="Times New Roman" w:eastAsia="宋体" w:cs="Times New Roman"/>
      <w:szCs w:val="21"/>
      <w:lang w:val="en-US" w:eastAsia="zh-CN" w:bidi="ar-SA"/>
    </w:rPr>
  </w:style>
  <w:style w:type="paragraph" w:customStyle="1" w:styleId="34">
    <w:name w:val="null33"/>
    <w:qFormat/>
    <w:uiPriority w:val="0"/>
    <w:rPr>
      <w:rFonts w:ascii="Times New Roman" w:hAnsi="Times New Roman" w:eastAsia="宋体" w:cs="Times New Roman"/>
      <w:szCs w:val="21"/>
      <w:lang w:val="en-US" w:eastAsia="zh-CN" w:bidi="ar-SA"/>
    </w:rPr>
  </w:style>
  <w:style w:type="paragraph" w:customStyle="1" w:styleId="35">
    <w:name w:val="null34"/>
    <w:qFormat/>
    <w:uiPriority w:val="0"/>
    <w:rPr>
      <w:rFonts w:ascii="Times New Roman" w:hAnsi="Times New Roman" w:eastAsia="宋体" w:cs="Times New Roman"/>
      <w:szCs w:val="21"/>
      <w:lang w:val="en-US" w:eastAsia="zh-CN" w:bidi="ar-SA"/>
    </w:rPr>
  </w:style>
  <w:style w:type="paragraph" w:customStyle="1" w:styleId="36">
    <w:name w:val="null35"/>
    <w:qFormat/>
    <w:uiPriority w:val="0"/>
    <w:rPr>
      <w:rFonts w:ascii="Times New Roman" w:hAnsi="Times New Roman" w:eastAsia="宋体" w:cs="Times New Roman"/>
      <w:szCs w:val="21"/>
      <w:lang w:val="en-US" w:eastAsia="zh-CN" w:bidi="ar-SA"/>
    </w:rPr>
  </w:style>
  <w:style w:type="paragraph" w:customStyle="1" w:styleId="37">
    <w:name w:val="null36"/>
    <w:qFormat/>
    <w:uiPriority w:val="0"/>
    <w:rPr>
      <w:rFonts w:ascii="Times New Roman" w:hAnsi="Times New Roman" w:eastAsia="宋体" w:cs="Times New Roman"/>
      <w:szCs w:val="21"/>
      <w:lang w:val="en-US" w:eastAsia="zh-CN" w:bidi="ar-SA"/>
    </w:rPr>
  </w:style>
  <w:style w:type="paragraph" w:customStyle="1" w:styleId="38">
    <w:name w:val="null37"/>
    <w:qFormat/>
    <w:uiPriority w:val="0"/>
    <w:rPr>
      <w:rFonts w:ascii="Times New Roman" w:hAnsi="Times New Roman" w:eastAsia="宋体" w:cs="Times New Roman"/>
      <w:szCs w:val="21"/>
      <w:lang w:val="en-US" w:eastAsia="zh-CN" w:bidi="ar-SA"/>
    </w:rPr>
  </w:style>
  <w:style w:type="paragraph" w:customStyle="1" w:styleId="39">
    <w:name w:val="null38"/>
    <w:qFormat/>
    <w:uiPriority w:val="0"/>
    <w:rPr>
      <w:rFonts w:ascii="Times New Roman" w:hAnsi="Times New Roman" w:eastAsia="宋体" w:cs="Times New Roman"/>
      <w:szCs w:val="21"/>
      <w:lang w:val="en-US" w:eastAsia="zh-CN" w:bidi="ar-SA"/>
    </w:rPr>
  </w:style>
  <w:style w:type="paragraph" w:customStyle="1" w:styleId="40">
    <w:name w:val="null39"/>
    <w:qFormat/>
    <w:uiPriority w:val="0"/>
    <w:rPr>
      <w:rFonts w:ascii="Times New Roman" w:hAnsi="Times New Roman" w:eastAsia="宋体" w:cs="Times New Roman"/>
      <w:szCs w:val="21"/>
      <w:lang w:val="en-US" w:eastAsia="zh-CN" w:bidi="ar-SA"/>
    </w:rPr>
  </w:style>
  <w:style w:type="paragraph" w:customStyle="1" w:styleId="41">
    <w:name w:val="null40"/>
    <w:qFormat/>
    <w:uiPriority w:val="0"/>
    <w:rPr>
      <w:rFonts w:ascii="Times New Roman" w:hAnsi="Times New Roman" w:eastAsia="宋体" w:cs="Times New Roman"/>
      <w:szCs w:val="21"/>
      <w:lang w:val="en-US" w:eastAsia="zh-CN" w:bidi="ar-SA"/>
    </w:rPr>
  </w:style>
  <w:style w:type="paragraph" w:customStyle="1" w:styleId="42">
    <w:name w:val="null41"/>
    <w:qFormat/>
    <w:uiPriority w:val="0"/>
    <w:rPr>
      <w:rFonts w:ascii="Times New Roman" w:hAnsi="Times New Roman" w:eastAsia="宋体" w:cs="Times New Roman"/>
      <w:szCs w:val="21"/>
      <w:lang w:val="en-US" w:eastAsia="zh-CN" w:bidi="ar-SA"/>
    </w:rPr>
  </w:style>
  <w:style w:type="paragraph" w:customStyle="1" w:styleId="43">
    <w:name w:val="null42"/>
    <w:qFormat/>
    <w:uiPriority w:val="0"/>
    <w:rPr>
      <w:rFonts w:ascii="Times New Roman" w:hAnsi="Times New Roman" w:eastAsia="宋体" w:cs="Times New Roman"/>
      <w:szCs w:val="21"/>
      <w:lang w:val="en-US" w:eastAsia="zh-CN" w:bidi="ar-SA"/>
    </w:rPr>
  </w:style>
  <w:style w:type="paragraph" w:customStyle="1" w:styleId="44">
    <w:name w:val="null43"/>
    <w:qFormat/>
    <w:uiPriority w:val="0"/>
    <w:rPr>
      <w:rFonts w:ascii="Times New Roman" w:hAnsi="Times New Roman" w:eastAsia="宋体" w:cs="Times New Roman"/>
      <w:szCs w:val="21"/>
      <w:lang w:val="en-US" w:eastAsia="zh-CN" w:bidi="ar-SA"/>
    </w:rPr>
  </w:style>
  <w:style w:type="paragraph" w:customStyle="1" w:styleId="45">
    <w:name w:val="null44"/>
    <w:qFormat/>
    <w:uiPriority w:val="0"/>
    <w:rPr>
      <w:rFonts w:ascii="Times New Roman" w:hAnsi="Times New Roman" w:eastAsia="宋体" w:cs="Times New Roman"/>
      <w:szCs w:val="21"/>
      <w:lang w:val="en-US" w:eastAsia="zh-CN" w:bidi="ar-SA"/>
    </w:rPr>
  </w:style>
  <w:style w:type="paragraph" w:customStyle="1" w:styleId="46">
    <w:name w:val="null45"/>
    <w:qFormat/>
    <w:uiPriority w:val="0"/>
    <w:rPr>
      <w:rFonts w:ascii="Times New Roman" w:hAnsi="Times New Roman" w:eastAsia="宋体" w:cs="Times New Roman"/>
      <w:szCs w:val="21"/>
      <w:lang w:val="en-US" w:eastAsia="zh-CN" w:bidi="ar-SA"/>
    </w:rPr>
  </w:style>
  <w:style w:type="paragraph" w:customStyle="1" w:styleId="47">
    <w:name w:val="null46"/>
    <w:qFormat/>
    <w:uiPriority w:val="0"/>
    <w:rPr>
      <w:rFonts w:ascii="Times New Roman" w:hAnsi="Times New Roman" w:eastAsia="宋体" w:cs="Times New Roman"/>
      <w:szCs w:val="21"/>
      <w:lang w:val="en-US" w:eastAsia="zh-CN" w:bidi="ar-SA"/>
    </w:rPr>
  </w:style>
  <w:style w:type="paragraph" w:customStyle="1" w:styleId="48">
    <w:name w:val="null47"/>
    <w:qFormat/>
    <w:uiPriority w:val="0"/>
    <w:rPr>
      <w:rFonts w:ascii="Times New Roman" w:hAnsi="Times New Roman" w:eastAsia="宋体" w:cs="Times New Roman"/>
      <w:szCs w:val="21"/>
      <w:lang w:val="en-US" w:eastAsia="zh-CN" w:bidi="ar-SA"/>
    </w:rPr>
  </w:style>
  <w:style w:type="paragraph" w:customStyle="1" w:styleId="49">
    <w:name w:val="null48"/>
    <w:qFormat/>
    <w:uiPriority w:val="0"/>
    <w:rPr>
      <w:rFonts w:ascii="Times New Roman" w:hAnsi="Times New Roman" w:eastAsia="宋体" w:cs="Times New Roman"/>
      <w:szCs w:val="21"/>
      <w:lang w:val="en-US" w:eastAsia="zh-CN" w:bidi="ar-SA"/>
    </w:rPr>
  </w:style>
  <w:style w:type="paragraph" w:customStyle="1" w:styleId="50">
    <w:name w:val="null58"/>
    <w:qFormat/>
    <w:uiPriority w:val="0"/>
    <w:rPr>
      <w:rFonts w:ascii="Times New Roman" w:hAnsi="Times New Roman" w:eastAsia="宋体" w:cs="Times New Roman"/>
      <w:szCs w:val="21"/>
      <w:lang w:val="en-US" w:eastAsia="zh-CN" w:bidi="ar-SA"/>
    </w:rPr>
  </w:style>
  <w:style w:type="paragraph" w:customStyle="1" w:styleId="51">
    <w:name w:val="null59"/>
    <w:qFormat/>
    <w:uiPriority w:val="0"/>
    <w:rPr>
      <w:rFonts w:ascii="Times New Roman" w:hAnsi="Times New Roman" w:eastAsia="宋体" w:cs="Times New Roman"/>
      <w:szCs w:val="21"/>
      <w:lang w:val="en-US" w:eastAsia="zh-CN" w:bidi="ar-SA"/>
    </w:rPr>
  </w:style>
  <w:style w:type="paragraph" w:customStyle="1" w:styleId="52">
    <w:name w:val="null60"/>
    <w:qFormat/>
    <w:uiPriority w:val="0"/>
    <w:rPr>
      <w:rFonts w:ascii="Times New Roman" w:hAnsi="Times New Roman" w:eastAsia="宋体" w:cs="Times New Roman"/>
      <w:szCs w:val="21"/>
      <w:lang w:val="en-US" w:eastAsia="zh-CN" w:bidi="ar-SA"/>
    </w:rPr>
  </w:style>
  <w:style w:type="paragraph" w:customStyle="1" w:styleId="53">
    <w:name w:val="null67"/>
    <w:qFormat/>
    <w:uiPriority w:val="0"/>
    <w:rPr>
      <w:rFonts w:ascii="Times New Roman" w:hAnsi="Times New Roman" w:eastAsia="宋体" w:cs="Times New Roman"/>
      <w:szCs w:val="21"/>
      <w:lang w:val="en-US" w:eastAsia="zh-CN" w:bidi="ar-SA"/>
    </w:rPr>
  </w:style>
  <w:style w:type="paragraph" w:customStyle="1" w:styleId="54">
    <w:name w:val="null68"/>
    <w:qFormat/>
    <w:uiPriority w:val="0"/>
    <w:rPr>
      <w:rFonts w:ascii="Times New Roman" w:hAnsi="Times New Roman" w:eastAsia="宋体" w:cs="Times New Roman"/>
      <w:szCs w:val="21"/>
      <w:lang w:val="en-US" w:eastAsia="zh-CN" w:bidi="ar-SA"/>
    </w:rPr>
  </w:style>
  <w:style w:type="paragraph" w:customStyle="1" w:styleId="55">
    <w:name w:val="null69"/>
    <w:qFormat/>
    <w:uiPriority w:val="0"/>
    <w:rPr>
      <w:rFonts w:ascii="Times New Roman" w:hAnsi="Times New Roman" w:eastAsia="宋体" w:cs="Times New Roman"/>
      <w:szCs w:val="21"/>
      <w:lang w:val="en-US" w:eastAsia="zh-CN" w:bidi="ar-SA"/>
    </w:rPr>
  </w:style>
  <w:style w:type="paragraph" w:customStyle="1" w:styleId="56">
    <w:name w:val="null70"/>
    <w:qFormat/>
    <w:uiPriority w:val="0"/>
    <w:rPr>
      <w:rFonts w:ascii="Times New Roman" w:hAnsi="Times New Roman" w:eastAsia="宋体" w:cs="Times New Roman"/>
      <w:szCs w:val="21"/>
      <w:lang w:val="en-US" w:eastAsia="zh-CN" w:bidi="ar-SA"/>
    </w:rPr>
  </w:style>
  <w:style w:type="paragraph" w:customStyle="1" w:styleId="57">
    <w:name w:val="null71"/>
    <w:qFormat/>
    <w:uiPriority w:val="0"/>
    <w:rPr>
      <w:rFonts w:ascii="Times New Roman" w:hAnsi="Times New Roman" w:eastAsia="宋体" w:cs="Times New Roman"/>
      <w:szCs w:val="21"/>
      <w:lang w:val="en-US" w:eastAsia="zh-CN" w:bidi="ar-SA"/>
    </w:rPr>
  </w:style>
  <w:style w:type="paragraph" w:customStyle="1" w:styleId="58">
    <w:name w:val="null72"/>
    <w:qFormat/>
    <w:uiPriority w:val="0"/>
    <w:rPr>
      <w:rFonts w:ascii="Times New Roman" w:hAnsi="Times New Roman" w:eastAsia="宋体" w:cs="Times New Roman"/>
      <w:szCs w:val="21"/>
      <w:lang w:val="en-US" w:eastAsia="zh-CN" w:bidi="ar-SA"/>
    </w:rPr>
  </w:style>
  <w:style w:type="paragraph" w:customStyle="1" w:styleId="59">
    <w:name w:val="null76"/>
    <w:qFormat/>
    <w:uiPriority w:val="0"/>
    <w:rPr>
      <w:rFonts w:ascii="Times New Roman" w:hAnsi="Times New Roman" w:eastAsia="宋体" w:cs="Times New Roman"/>
      <w:szCs w:val="21"/>
      <w:lang w:val="en-US" w:eastAsia="zh-CN" w:bidi="ar-SA"/>
    </w:rPr>
  </w:style>
  <w:style w:type="paragraph" w:customStyle="1" w:styleId="60">
    <w:name w:val="null77"/>
    <w:qFormat/>
    <w:uiPriority w:val="0"/>
    <w:rPr>
      <w:rFonts w:ascii="Times New Roman" w:hAnsi="Times New Roman" w:eastAsia="宋体" w:cs="Times New Roman"/>
      <w:szCs w:val="21"/>
      <w:lang w:val="en-US" w:eastAsia="zh-CN" w:bidi="ar-SA"/>
    </w:rPr>
  </w:style>
  <w:style w:type="paragraph" w:customStyle="1" w:styleId="61">
    <w:name w:val="null78"/>
    <w:qFormat/>
    <w:uiPriority w:val="0"/>
    <w:rPr>
      <w:rFonts w:ascii="Times New Roman" w:hAnsi="Times New Roman" w:eastAsia="宋体" w:cs="Times New Roman"/>
      <w:szCs w:val="21"/>
      <w:lang w:val="en-US" w:eastAsia="zh-CN" w:bidi="ar-SA"/>
    </w:rPr>
  </w:style>
  <w:style w:type="paragraph" w:customStyle="1" w:styleId="62">
    <w:name w:val="null82"/>
    <w:qFormat/>
    <w:uiPriority w:val="0"/>
    <w:rPr>
      <w:rFonts w:ascii="Times New Roman" w:hAnsi="Times New Roman" w:eastAsia="宋体" w:cs="Times New Roman"/>
      <w:szCs w:val="21"/>
      <w:lang w:val="en-US" w:eastAsia="zh-CN" w:bidi="ar-SA"/>
    </w:rPr>
  </w:style>
  <w:style w:type="paragraph" w:customStyle="1" w:styleId="63">
    <w:name w:val="null83"/>
    <w:qFormat/>
    <w:uiPriority w:val="0"/>
    <w:rPr>
      <w:rFonts w:ascii="Times New Roman" w:hAnsi="Times New Roman" w:eastAsia="宋体" w:cs="Times New Roman"/>
      <w:szCs w:val="21"/>
      <w:lang w:val="en-US" w:eastAsia="zh-CN" w:bidi="ar-SA"/>
    </w:rPr>
  </w:style>
  <w:style w:type="paragraph" w:customStyle="1" w:styleId="64">
    <w:name w:val="null84"/>
    <w:qFormat/>
    <w:uiPriority w:val="0"/>
    <w:rPr>
      <w:rFonts w:ascii="Times New Roman" w:hAnsi="Times New Roman" w:eastAsia="宋体" w:cs="Times New Roman"/>
      <w:szCs w:val="21"/>
      <w:lang w:val="en-US" w:eastAsia="zh-CN" w:bidi="ar-SA"/>
    </w:rPr>
  </w:style>
  <w:style w:type="paragraph" w:customStyle="1" w:styleId="65">
    <w:name w:val="null85"/>
    <w:qFormat/>
    <w:uiPriority w:val="0"/>
    <w:rPr>
      <w:rFonts w:ascii="Times New Roman" w:hAnsi="Times New Roman" w:eastAsia="宋体" w:cs="Times New Roman"/>
      <w:szCs w:val="21"/>
      <w:lang w:val="en-US" w:eastAsia="zh-CN" w:bidi="ar-SA"/>
    </w:rPr>
  </w:style>
  <w:style w:type="paragraph" w:customStyle="1" w:styleId="66">
    <w:name w:val="null86"/>
    <w:qFormat/>
    <w:uiPriority w:val="0"/>
    <w:rPr>
      <w:rFonts w:ascii="Times New Roman" w:hAnsi="Times New Roman" w:eastAsia="宋体" w:cs="Times New Roman"/>
      <w:szCs w:val="21"/>
      <w:lang w:val="en-US" w:eastAsia="zh-CN" w:bidi="ar-SA"/>
    </w:rPr>
  </w:style>
  <w:style w:type="paragraph" w:customStyle="1" w:styleId="67">
    <w:name w:val="null87"/>
    <w:qFormat/>
    <w:uiPriority w:val="0"/>
    <w:rPr>
      <w:rFonts w:ascii="Times New Roman" w:hAnsi="Times New Roman" w:eastAsia="宋体" w:cs="Times New Roman"/>
      <w:szCs w:val="21"/>
      <w:lang w:val="en-US" w:eastAsia="zh-CN" w:bidi="ar-SA"/>
    </w:rPr>
  </w:style>
  <w:style w:type="paragraph" w:customStyle="1" w:styleId="68">
    <w:name w:val="（二）级标题"/>
    <w:basedOn w:val="6"/>
    <w:qFormat/>
    <w:uiPriority w:val="2"/>
    <w:pPr>
      <w:numPr>
        <w:ilvl w:val="0"/>
        <w:numId w:val="2"/>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6329</Words>
  <Characters>6579</Characters>
  <Lines>0</Lines>
  <Paragraphs>0</Paragraphs>
  <TotalTime>4</TotalTime>
  <ScaleCrop>false</ScaleCrop>
  <LinksUpToDate>false</LinksUpToDate>
  <CharactersWithSpaces>6642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侯晓雪</cp:lastModifiedBy>
  <dcterms:modified xsi:type="dcterms:W3CDTF">2025-12-13T05:54:54Z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FB00008AF9734EEFAAAAF752AA3E152D_13</vt:lpwstr>
  </property>
  <property fmtid="{D5CDD505-2E9C-101B-9397-08002B2CF9AE}" pid="4" name="KSOTemplateDocerSaveRecord">
    <vt:lpwstr>eyJoZGlkIjoiZDllNDcwYTQ0Njc3YjY0MmIzZDU5NTA4NTE2NWUwNTEiLCJ1c2VySWQiOiI1MDI1OTUyMDkifQ==</vt:lpwstr>
  </property>
</Properties>
</file>