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jc w:val="center"/>
        <w:rPr>
          <w:i w:val="0"/>
          <w:iCs/>
          <w:sz w:val="32"/>
          <w:szCs w:val="32"/>
          <w:lang w:val="en-US"/>
        </w:rPr>
      </w:pPr>
      <w:bookmarkStart w:id="0" w:name="_Toc12866"/>
      <w:r>
        <w:rPr>
          <w:rFonts w:hint="eastAsia" w:cs="宋体"/>
          <w:i w:val="0"/>
          <w:iCs/>
          <w:sz w:val="32"/>
          <w:szCs w:val="32"/>
          <w:lang w:val="en-US" w:eastAsia="zh-CN"/>
        </w:rPr>
        <w:t>中国重汽集团国际有限公司海外KD工厂焊接线招标公告</w:t>
      </w:r>
      <w:bookmarkEnd w:id="0"/>
    </w:p>
    <w:p>
      <w:pPr>
        <w:pStyle w:val="2"/>
        <w:widowControl/>
        <w:jc w:val="center"/>
        <w:rPr>
          <w:rFonts w:hint="eastAsia" w:ascii="Cambria" w:hAnsi="Cambria" w:eastAsia="宋体" w:cs="宋体"/>
          <w:b/>
          <w:bCs/>
          <w:i w:val="0"/>
          <w:iCs/>
          <w:sz w:val="22"/>
          <w:szCs w:val="22"/>
          <w:highlight w:val="none"/>
          <w:lang w:eastAsia="zh-CN"/>
        </w:rPr>
      </w:pPr>
      <w:bookmarkStart w:id="1" w:name="_Toc27465"/>
      <w:r>
        <w:rPr>
          <w:rFonts w:hint="eastAsia" w:ascii="Cambria" w:hAnsi="Cambria" w:eastAsia="宋体" w:cs="宋体"/>
          <w:b/>
          <w:bCs/>
          <w:i w:val="0"/>
          <w:iCs/>
          <w:sz w:val="22"/>
          <w:szCs w:val="22"/>
          <w:highlight w:val="none"/>
          <w:lang w:eastAsia="zh-CN"/>
        </w:rPr>
        <w:t>招标编号：（</w:t>
      </w:r>
      <w:r>
        <w:rPr>
          <w:rFonts w:hint="eastAsia" w:cs="宋体"/>
          <w:b/>
          <w:bCs/>
          <w:i w:val="0"/>
          <w:iCs/>
          <w:sz w:val="22"/>
          <w:szCs w:val="22"/>
          <w:highlight w:val="yellow"/>
          <w:lang w:val="en-US" w:eastAsia="zh-CN"/>
        </w:rPr>
        <w:t>ZBGL2026010265</w:t>
      </w:r>
      <w:r>
        <w:rPr>
          <w:rFonts w:hint="eastAsia" w:ascii="Cambria" w:hAnsi="Cambria" w:eastAsia="宋体" w:cs="宋体"/>
          <w:b/>
          <w:bCs/>
          <w:i w:val="0"/>
          <w:iCs/>
          <w:sz w:val="22"/>
          <w:szCs w:val="22"/>
          <w:highlight w:val="none"/>
          <w:lang w:eastAsia="zh-CN"/>
        </w:rPr>
        <w:t>）</w:t>
      </w:r>
      <w:bookmarkEnd w:id="1"/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tbl>
      <w:tblPr>
        <w:tblStyle w:val="9"/>
        <w:tblW w:w="9287" w:type="dxa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199"/>
        <w:gridCol w:w="2444"/>
        <w:gridCol w:w="2200"/>
        <w:gridCol w:w="2444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199" w:type="dxa"/>
            <w:shd w:val="clear" w:color="auto" w:fill="DEDEDE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300" w:lineRule="atLeast"/>
              <w:ind w:left="0" w:right="0"/>
              <w:jc w:val="center"/>
              <w:rPr>
                <w:rFonts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 xml:space="preserve">有效起始日期 </w:t>
            </w:r>
          </w:p>
        </w:tc>
        <w:tc>
          <w:tcPr>
            <w:tcW w:w="2444" w:type="dxa"/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left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 xml:space="preserve">2026-1-22 </w:t>
            </w:r>
          </w:p>
        </w:tc>
        <w:tc>
          <w:tcPr>
            <w:tcW w:w="2200" w:type="dxa"/>
            <w:shd w:val="clear" w:color="auto" w:fill="DEDED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 xml:space="preserve">有效截止日期 </w:t>
            </w:r>
          </w:p>
        </w:tc>
        <w:tc>
          <w:tcPr>
            <w:tcW w:w="2444" w:type="dxa"/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left"/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>2026-1-27</w:t>
            </w:r>
          </w:p>
        </w:tc>
      </w:tr>
    </w:tbl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一、项目概况  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本项目为中国重汽集团海外项目，包括汕德卡及豪沃轻卡驾驶室焊装线。其中汕德卡焊装线夹具约20套，点焊机47台，焊钳51台；主拼线采用往复式自动化输送线，人工定位焊接，6台机器人补焊；豪沃轻卡焊装线夹具12套，点焊机33台，焊钳37台；主拼线采用往复式自动化输送线，人工定位焊接，4台机器人补焊。轻卡及重卡共用板式链调整线，采用激光跟踪仪+简易检具用于工装夹具及白皮车身的精度检测。</w:t>
      </w:r>
    </w:p>
    <w:p>
      <w:pPr>
        <w:ind w:firstLine="480"/>
        <w:rPr>
          <w:rFonts w:hint="default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  <w:t>（若需详情，请联系技术联系人，或应标后见招标文件技术标书）</w:t>
      </w: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二、项目基本情况 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项目名称：</w:t>
      </w:r>
      <w:bookmarkStart w:id="2" w:name="_GoBack"/>
      <w:bookmarkEnd w:id="2"/>
      <w: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  <w:t>海外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KD工厂焊接线</w:t>
      </w:r>
    </w:p>
    <w:p>
      <w:pPr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2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项目类别：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非生产货物</w:t>
      </w:r>
    </w:p>
    <w:p>
      <w:pPr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3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采购方式：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公开招标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</w:t>
      </w: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三、供应商资格条件  </w:t>
      </w:r>
    </w:p>
    <w:p>
      <w:pPr>
        <w:pStyle w:val="22"/>
        <w:numPr>
          <w:ilvl w:val="0"/>
          <w:numId w:val="0"/>
        </w:numPr>
        <w:ind w:leftChars="0"/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1.投标人须遵守《中华人民共和国招标投标法》及其它有关的法律和法规；为中华人民共和国境内注册的独立法人机构，具有独立承担民事责任能力；</w:t>
      </w:r>
    </w:p>
    <w:p>
      <w:pPr>
        <w:pStyle w:val="22"/>
        <w:numPr>
          <w:ilvl w:val="0"/>
          <w:numId w:val="0"/>
        </w:numPr>
        <w:ind w:leftChars="0"/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2.拟标投人必须是在中华人民共和国境内注册的独立法人机构，具有独立承担民事责任能力；注册资金不少于1000万人民币（或等值其他货币）；公司成立5年以上（以营业执照成立日期到开标当日满5年为准），且经营范围满足招标人需求；并在人员、设备、资金等方面具有承担本项目的能力；</w:t>
      </w:r>
    </w:p>
    <w:p>
      <w:pPr>
        <w:pStyle w:val="22"/>
        <w:numPr>
          <w:ilvl w:val="0"/>
          <w:numId w:val="0"/>
        </w:numPr>
        <w:ind w:leftChars="0"/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3.投标人须具有良好的商业信誉和健全的财务会计制度，财务状况和市场行为良好。没有处于被有权机关吊销营业执照、吊销资质、停业整顿、取消投标资格以及财产被接管、冻结或进入破产程序等；</w:t>
      </w:r>
    </w:p>
    <w:p>
      <w:pPr>
        <w:pStyle w:val="22"/>
        <w:numPr>
          <w:ilvl w:val="0"/>
          <w:numId w:val="0"/>
        </w:numPr>
        <w:ind w:leftChars="0"/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4.投标人在“信用中国”中未列入联合惩戒失信人名单，且工商行政管理局的《国家企业信用信息公示系统》中查询不存在不良记录；</w:t>
      </w:r>
    </w:p>
    <w:p>
      <w:pPr>
        <w:pStyle w:val="22"/>
        <w:numPr>
          <w:ilvl w:val="0"/>
          <w:numId w:val="0"/>
        </w:numPr>
        <w:ind w:leftChars="0"/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5.无招标违规、谎报年度报告信息、提供虚假资质资料等行为或其他行政处罚记录；</w:t>
      </w:r>
    </w:p>
    <w:p>
      <w:pPr>
        <w:pStyle w:val="22"/>
        <w:numPr>
          <w:ilvl w:val="0"/>
          <w:numId w:val="0"/>
        </w:numPr>
        <w:ind w:leftChars="0"/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6.近三年内在经营活动中无与本项目有关的违法及重大违规情况；</w:t>
      </w:r>
    </w:p>
    <w:p>
      <w:pPr>
        <w:pStyle w:val="22"/>
        <w:numPr>
          <w:ilvl w:val="0"/>
          <w:numId w:val="0"/>
        </w:numPr>
        <w:ind w:leftChars="0"/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7.投标人没有被列入招标人处《黑名单》（《黑名单》指投标人与招标人在以往或正在进行的合作中，存在招标人认为的违反合同约定或违反法律法规等的失信行为）的；</w:t>
      </w:r>
    </w:p>
    <w:p>
      <w:pPr>
        <w:pStyle w:val="22"/>
        <w:numPr>
          <w:ilvl w:val="0"/>
          <w:numId w:val="0"/>
        </w:numPr>
        <w:ind w:leftChars="0"/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8.公司经营范围满足招标项目需求；</w:t>
      </w:r>
    </w:p>
    <w:p>
      <w:pPr>
        <w:pStyle w:val="22"/>
        <w:numPr>
          <w:ilvl w:val="0"/>
          <w:numId w:val="0"/>
        </w:numPr>
        <w:ind w:leftChars="0"/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9.投标人须具有履行招标文件所有设备、专业技术等要求的能力；</w:t>
      </w:r>
    </w:p>
    <w:p>
      <w:pPr>
        <w:pStyle w:val="22"/>
        <w:numPr>
          <w:ilvl w:val="0"/>
          <w:numId w:val="0"/>
        </w:numPr>
        <w:ind w:leftChars="0"/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10.投标人须有依法缴纳税收和社会保障资金的良好记录；</w:t>
      </w:r>
    </w:p>
    <w:p>
      <w:pPr>
        <w:pStyle w:val="22"/>
        <w:numPr>
          <w:ilvl w:val="0"/>
          <w:numId w:val="0"/>
        </w:numPr>
        <w:ind w:leftChars="0"/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11.具有本次招标货物的供货、安装、售后服务等的相应资质；</w:t>
      </w:r>
    </w:p>
    <w:p>
      <w:pPr>
        <w:pStyle w:val="22"/>
        <w:numPr>
          <w:ilvl w:val="0"/>
          <w:numId w:val="0"/>
        </w:numPr>
        <w:ind w:leftChars="0"/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12.投标人须负责提供合理的便于运输的包装物，并承担相关费用；</w:t>
      </w:r>
    </w:p>
    <w:p>
      <w:pPr>
        <w:pStyle w:val="22"/>
        <w:numPr>
          <w:ilvl w:val="0"/>
          <w:numId w:val="0"/>
        </w:numPr>
        <w:ind w:leftChars="0"/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13.投标人须认可招标人的工作指令，包括节、假日能正常开展工作的要求。</w:t>
      </w:r>
    </w:p>
    <w:p>
      <w:pPr>
        <w:pStyle w:val="22"/>
        <w:numPr>
          <w:ilvl w:val="0"/>
          <w:numId w:val="0"/>
        </w:numPr>
        <w:ind w:leftChars="0"/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14.拟投标人的直接或间接股东、法定代表人、董事、监事、高管非重汽员工及其亲属；</w:t>
      </w:r>
    </w:p>
    <w:p>
      <w:pPr>
        <w:pStyle w:val="22"/>
        <w:numPr>
          <w:ilvl w:val="0"/>
          <w:numId w:val="0"/>
        </w:numPr>
        <w:ind w:leftChars="0"/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15.投标人必须是最终投标、签订合同的单位，不得以任何理由将已中标项目以任何形式转包或者分包给其他单位；</w:t>
      </w:r>
    </w:p>
    <w:p>
      <w:pPr>
        <w:pStyle w:val="22"/>
        <w:numPr>
          <w:ilvl w:val="0"/>
          <w:numId w:val="0"/>
        </w:numPr>
        <w:ind w:leftChars="0"/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16.本次招标项目不接受联合体投标；</w:t>
      </w:r>
    </w:p>
    <w:p>
      <w:pPr>
        <w:pStyle w:val="22"/>
        <w:numPr>
          <w:ilvl w:val="0"/>
          <w:numId w:val="0"/>
        </w:numPr>
        <w:ind w:leftChars="0"/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17.法律、行政法规规定的其他条件；</w:t>
      </w:r>
    </w:p>
    <w:p>
      <w:pPr>
        <w:pStyle w:val="22"/>
        <w:numPr>
          <w:ilvl w:val="0"/>
          <w:numId w:val="0"/>
        </w:numPr>
        <w:ind w:leftChars="0"/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</w:pPr>
      <w:r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18.投标人是招标货物的制造商或制造商授权的经销商；一个制造商对同一品牌同一型号的货物,仅能委托一个代理商参加投标。如为代理商投标，需获得生产厂家正式授权，提供授权书原件，保证提供原厂售后服务并提供原厂售后服务承诺书原件。</w:t>
      </w:r>
    </w:p>
    <w:p>
      <w:pPr>
        <w:pStyle w:val="22"/>
        <w:numPr>
          <w:ilvl w:val="0"/>
          <w:numId w:val="0"/>
        </w:numPr>
        <w:ind w:leftChars="0"/>
        <w:rPr>
          <w:rFonts w:hint="default" w:ascii="Times New Roman" w:hAnsi="Times New Roman" w:cs="Times New Roman"/>
          <w:highlight w:val="yellow"/>
        </w:rPr>
      </w:pPr>
      <w:r>
        <w:rPr>
          <w:rFonts w:hint="eastAsia" w:ascii="宋体" w:eastAsia="宋体" w:cs="Times New Roman"/>
          <w:b/>
          <w:bCs w:val="0"/>
          <w:kern w:val="2"/>
          <w:sz w:val="21"/>
          <w:lang w:val="en-US" w:eastAsia="zh-CN" w:bidi="ar-SA"/>
        </w:rPr>
        <w:t>19.</w:t>
      </w:r>
      <w:r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拟投标人近5年（2021年1月1日至采购截止时间，以销售合同签订时间为准）有总承包经验，合同额不低于2000万，且有商用车</w:t>
      </w:r>
      <w:r>
        <w:rPr>
          <w:rFonts w:hint="eastAsia" w:ascii="宋体" w:eastAsia="宋体" w:cs="Times New Roman"/>
          <w:b/>
          <w:bCs w:val="0"/>
          <w:kern w:val="2"/>
          <w:sz w:val="21"/>
          <w:lang w:val="en-US" w:eastAsia="zh-CN" w:bidi="ar-SA"/>
        </w:rPr>
        <w:t>或乘用车</w:t>
      </w:r>
      <w:r>
        <w:rPr>
          <w:rFonts w:hint="default" w:ascii="宋体" w:hAnsi="Courier New" w:eastAsia="宋体" w:cs="Times New Roman"/>
          <w:b/>
          <w:bCs w:val="0"/>
          <w:kern w:val="2"/>
          <w:sz w:val="21"/>
          <w:lang w:val="en-US" w:eastAsia="zh-CN" w:bidi="ar-SA"/>
        </w:rPr>
        <w:t>主拼线业绩。须提供中标通知书（如有）、合同协议书扫描件（须包含合同标的、签字盖章等关键页）等相关证明材料，且近3年内无因服务不当而造成重大事故</w:t>
      </w:r>
      <w:r>
        <w:rPr>
          <w:rFonts w:hint="eastAsia" w:ascii="宋体" w:eastAsia="宋体" w:cs="Times New Roman"/>
          <w:b/>
          <w:bCs w:val="0"/>
          <w:kern w:val="2"/>
          <w:sz w:val="21"/>
          <w:lang w:val="en-US" w:eastAsia="zh-CN" w:bidi="ar-SA"/>
        </w:rPr>
        <w:t>。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四、采购文件领取 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采购文件领取方式：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线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上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2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采购文件领取截止时间：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202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6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-1-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27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17:00:00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3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采购文件领取地点：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重汽e采通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jc w:val="left"/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五、响应文件提交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递交方式：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线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上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2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递交截止时间：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2026-0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2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-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10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09:00:00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3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递交地点：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重汽e采通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六、开标时间和地点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开标时间：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2026-0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2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-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10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09:00:00 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  <w:t>（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暂定，以实际通知为准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  <w:t>）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ind w:firstLine="481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2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开标地点：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山东省济南市历城区华奥路777号重汽科技大厦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三楼会议室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  <w:t>（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暂定，以实际通知为准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  <w:t>）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ind w:firstLine="481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七、发布公告的媒介  </w:t>
      </w:r>
    </w:p>
    <w:p>
      <w:pPr>
        <w:rPr>
          <w:rFonts w:hint="default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阳光采购服务平台（www.ygcgfw.com） 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  <w:t>中国重汽</w:t>
      </w:r>
      <w:r>
        <w:rPr>
          <w:rFonts w:hint="default" w:asciiTheme="majorEastAsia" w:hAnsiTheme="majorEastAsia" w:eastAsiaTheme="majorEastAsia" w:cstheme="majorEastAsia"/>
          <w:sz w:val="24"/>
          <w:szCs w:val="24"/>
          <w:highlight w:val="yellow"/>
          <w:lang w:eastAsia="zh-CN"/>
        </w:rPr>
        <w:t>集团官网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  <w:t>（ww.cnhtc.com.cn）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八、联系方式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采购人信息：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名称：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中国重汽集团国际有限公司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地址：山东省济南市历城区华奥路777号中国重型汽车集团有限公司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联系人：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杨淑超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联系电话：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17860605820</w:t>
      </w:r>
    </w:p>
    <w:p>
      <w:pPr>
        <w:ind w:firstLine="480"/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技术联系人：朱自成</w:t>
      </w:r>
    </w:p>
    <w:p>
      <w:pPr>
        <w:ind w:firstLine="480"/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联系电话：18363036202</w:t>
      </w:r>
    </w:p>
    <w:p>
      <w:pPr>
        <w:ind w:firstLine="480"/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九、其他说明 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供应商需在重汽官网搜索本项目招标公告，根据要求准备报名资料。</w:t>
      </w:r>
    </w:p>
    <w:p>
      <w:pPr>
        <w:ind w:firstLine="480" w:firstLineChars="20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 w:firstLineChars="20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注：</w:t>
      </w:r>
    </w:p>
    <w:p>
      <w:pPr>
        <w:ind w:left="479" w:leftChars="228" w:firstLine="0" w:firstLineChars="0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eastAsia="宋体" w:cs="宋体"/>
          <w:sz w:val="24"/>
          <w:szCs w:val="24"/>
          <w:highlight w:val="none"/>
        </w:rPr>
        <w:t>拟投标人根据招标人在中国重汽官网</w:t>
      </w:r>
      <w:r>
        <w:rPr>
          <w:rFonts w:hint="eastAsia" w:eastAsia="宋体" w:cs="宋体"/>
          <w:sz w:val="24"/>
          <w:szCs w:val="24"/>
          <w:highlight w:val="none"/>
          <w:lang w:val="en-US" w:eastAsia="zh-CN"/>
        </w:rPr>
        <w:t>公开媒体</w:t>
      </w:r>
      <w:r>
        <w:rPr>
          <w:rFonts w:hint="eastAsia" w:eastAsia="宋体" w:cs="宋体"/>
          <w:sz w:val="24"/>
          <w:szCs w:val="24"/>
          <w:highlight w:val="none"/>
        </w:rPr>
        <w:t>上发布的招标信息，</w:t>
      </w:r>
      <w:r>
        <w:rPr>
          <w:rFonts w:hint="eastAsia" w:ascii="宋体" w:hAnsi="Courier New" w:eastAsia="宋体" w:cs="Times New Roman"/>
          <w:color w:val="000000"/>
          <w:sz w:val="24"/>
          <w:szCs w:val="24"/>
          <w:highlight w:val="none"/>
          <w:lang w:val="en-US" w:eastAsia="zh-CN"/>
        </w:rPr>
        <w:t>在“中国重汽e采通”平台</w:t>
      </w:r>
      <w:r>
        <w:rPr>
          <w:rFonts w:hint="eastAsia" w:ascii="宋体" w:hAnsi="Courier New" w:eastAsia="宋体" w:cs="Times New Roman"/>
          <w:color w:val="000000"/>
          <w:sz w:val="24"/>
          <w:szCs w:val="24"/>
          <w:highlight w:val="none"/>
        </w:rPr>
        <w:t>报名</w:t>
      </w:r>
      <w:r>
        <w:rPr>
          <w:rFonts w:hint="eastAsia" w:cs="Times New Roman"/>
          <w:color w:val="000000"/>
          <w:sz w:val="24"/>
          <w:szCs w:val="24"/>
          <w:highlight w:val="none"/>
          <w:lang w:eastAsia="zh-CN"/>
        </w:rPr>
        <w:t>，</w:t>
      </w:r>
      <w:r>
        <w:rPr>
          <w:rFonts w:hint="eastAsia" w:cs="Times New Roman"/>
          <w:color w:val="000000"/>
          <w:sz w:val="24"/>
          <w:szCs w:val="24"/>
          <w:highlight w:val="none"/>
          <w:lang w:val="en-US" w:eastAsia="zh-CN"/>
        </w:rPr>
        <w:t>具体流程如下：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b/>
          <w:bCs/>
          <w:sz w:val="24"/>
          <w:szCs w:val="24"/>
        </w:rPr>
        <w:t>①系统注册与信息维护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</w:t>
      </w:r>
      <w:r>
        <w:rPr>
          <w:rFonts w:ascii="宋体" w:hAnsi="宋体" w:eastAsia="宋体" w:cs="宋体"/>
          <w:b/>
          <w:bCs/>
          <w:sz w:val="24"/>
          <w:szCs w:val="24"/>
        </w:rPr>
        <w:t>首次注册供应商</w:t>
      </w:r>
      <w:r>
        <w:rPr>
          <w:rFonts w:ascii="宋体" w:hAnsi="宋体" w:eastAsia="宋体" w:cs="宋体"/>
          <w:sz w:val="24"/>
          <w:szCs w:val="24"/>
        </w:rPr>
        <w:t>：请根据《SRM非生产供应商注册手册》（附件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一</w:t>
      </w:r>
      <w:r>
        <w:rPr>
          <w:rFonts w:ascii="宋体" w:hAnsi="宋体" w:eastAsia="宋体" w:cs="宋体"/>
          <w:sz w:val="24"/>
          <w:szCs w:val="24"/>
        </w:rPr>
        <w:t>）完成平台账号注册。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</w:t>
      </w:r>
      <w:r>
        <w:rPr>
          <w:rFonts w:ascii="宋体" w:hAnsi="宋体" w:eastAsia="宋体" w:cs="宋体"/>
          <w:b/>
          <w:bCs/>
          <w:sz w:val="24"/>
          <w:szCs w:val="24"/>
        </w:rPr>
        <w:t>已注册供应商</w:t>
      </w:r>
      <w:r>
        <w:rPr>
          <w:rFonts w:ascii="宋体" w:hAnsi="宋体" w:eastAsia="宋体" w:cs="宋体"/>
          <w:sz w:val="24"/>
          <w:szCs w:val="24"/>
        </w:rPr>
        <w:t>：</w:t>
      </w: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>已注册的投标人注意去重汽e采通平台检查更新近三年的经营概况，财务信息更新到近三年，</w:t>
      </w:r>
      <w:r>
        <w:rPr>
          <w:rFonts w:ascii="宋体" w:hAnsi="宋体" w:eastAsia="宋体" w:cs="宋体"/>
          <w:sz w:val="24"/>
          <w:szCs w:val="24"/>
          <w:highlight w:val="yellow"/>
        </w:rPr>
        <w:t>确保信息真实、完整</w:t>
      </w: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>且不许有空余，若因此造成应标不成功，后果由投标人自行承担。（更新路径：重汽e采通-供应商中心-供应商变更-供应商财务数据变更管理-右上角：发起变更；详见SRM系统供应商用户近三年财务数据更新附件3）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pStyle w:val="6"/>
        <w:outlineLvl w:val="2"/>
        <w:rPr>
          <w:rFonts w:hint="eastAsia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  <w:lang w:val="en-US" w:eastAsia="zh-CN"/>
        </w:rPr>
        <w:t>附件1：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SRM非生产供应商注册操作手册</w:t>
      </w:r>
    </w:p>
    <w:p>
      <w:pPr>
        <w:pStyle w:val="6"/>
        <w:rPr>
          <w:rFonts w:eastAsia="宋体"/>
        </w:rPr>
      </w:pPr>
    </w:p>
    <w:p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浏览器中输入地址;</w:t>
      </w:r>
    </w:p>
    <w:p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fldChar w:fldCharType="begin"/>
      </w:r>
      <w:r>
        <w:instrText xml:space="preserve"> HYPERLINK "http://ecaitong.sinotruk.com:8012/" \l "/login" \t "dlt" </w:instrText>
      </w:r>
      <w:r>
        <w:fldChar w:fldCharType="separate"/>
      </w:r>
      <w:r>
        <w:rPr>
          <w:rFonts w:ascii="宋体" w:hAnsi="宋体" w:eastAsia="宋体" w:cs="宋体"/>
          <w:sz w:val="24"/>
          <w:szCs w:val="24"/>
        </w:rPr>
        <w:t>http</w:t>
      </w:r>
      <w:r>
        <w:rPr>
          <w:rFonts w:hint="eastAsia" w:ascii="宋体" w:hAnsi="宋体" w:eastAsia="宋体" w:cs="宋体"/>
          <w:sz w:val="24"/>
          <w:szCs w:val="24"/>
        </w:rPr>
        <w:t>s</w:t>
      </w:r>
      <w:r>
        <w:rPr>
          <w:rFonts w:ascii="宋体" w:hAnsi="宋体" w:eastAsia="宋体" w:cs="宋体"/>
          <w:sz w:val="24"/>
          <w:szCs w:val="24"/>
        </w:rPr>
        <w:t>://ecaitong.sinotruk.com:8012/#/login</w:t>
      </w:r>
      <w:r>
        <w:rPr>
          <w:rFonts w:ascii="宋体" w:hAnsi="宋体" w:eastAsia="宋体" w:cs="宋体"/>
          <w:sz w:val="24"/>
          <w:szCs w:val="24"/>
        </w:rPr>
        <w:fldChar w:fldCharType="end"/>
      </w:r>
    </w:p>
    <w:p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1.点击立即注册</w:t>
      </w:r>
    </w:p>
    <w:p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933065"/>
            <wp:effectExtent l="0" t="0" r="12065" b="635"/>
            <wp:docPr id="19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" descr="descript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333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2.</w:t>
      </w:r>
      <w:r>
        <w:rPr>
          <w:rFonts w:ascii="宋体" w:hAnsi="宋体" w:eastAsia="宋体" w:cs="宋体"/>
          <w:color w:val="000000"/>
          <w:sz w:val="24"/>
          <w:szCs w:val="28"/>
        </w:rPr>
        <w:t>填写手机号码（没有注册过的）</w:t>
      </w:r>
    </w:p>
    <w:p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766695"/>
            <wp:effectExtent l="0" t="0" r="12065" b="14605"/>
            <wp:docPr id="2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" descr="descript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7667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3.</w:t>
      </w:r>
      <w:r>
        <w:rPr>
          <w:rFonts w:ascii="宋体" w:hAnsi="宋体" w:eastAsia="宋体" w:cs="宋体"/>
          <w:color w:val="000000"/>
          <w:sz w:val="24"/>
          <w:szCs w:val="28"/>
        </w:rPr>
        <w:t>注册成功登录这个手机号码的账号进入系统，点击供应商注册</w:t>
      </w:r>
    </w:p>
    <w:p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869565"/>
            <wp:effectExtent l="0" t="0" r="12065" b="6985"/>
            <wp:docPr id="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" descr="descript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70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4.</w:t>
      </w:r>
      <w:r>
        <w:rPr>
          <w:rFonts w:ascii="宋体" w:hAnsi="宋体" w:eastAsia="宋体" w:cs="宋体"/>
          <w:color w:val="000000"/>
          <w:sz w:val="24"/>
          <w:szCs w:val="28"/>
        </w:rPr>
        <w:t>点击新增</w:t>
      </w:r>
    </w:p>
    <w:p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853055"/>
            <wp:effectExtent l="0" t="0" r="12065" b="4445"/>
            <wp:docPr id="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" descr="descript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5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5</w:t>
      </w:r>
      <w:r>
        <w:rPr>
          <w:rFonts w:hint="eastAsia" w:ascii="宋体" w:hAnsi="宋体" w:eastAsia="宋体" w:cs="宋体"/>
          <w:color w:val="000000"/>
          <w:sz w:val="24"/>
          <w:szCs w:val="28"/>
        </w:rPr>
        <w:t>.</w:t>
      </w:r>
      <w:r>
        <w:rPr>
          <w:rFonts w:ascii="宋体" w:hAnsi="宋体" w:eastAsia="宋体" w:cs="宋体"/>
          <w:color w:val="000000"/>
          <w:sz w:val="24"/>
          <w:szCs w:val="28"/>
        </w:rPr>
        <w:t>按要求填写所有信息，注意非生产类要填写合作单位，最后提交审批</w:t>
      </w:r>
    </w:p>
    <w:p>
      <w:pPr>
        <w:pStyle w:val="6"/>
      </w:pPr>
    </w:p>
    <w:p>
      <w:pPr>
        <w:rPr>
          <w:rFonts w:hint="eastAsia"/>
        </w:rPr>
      </w:pPr>
      <w:r>
        <w:drawing>
          <wp:inline distT="0" distB="0" distL="0" distR="0">
            <wp:extent cx="5760085" cy="2809875"/>
            <wp:effectExtent l="0" t="0" r="12065" b="9525"/>
            <wp:docPr id="12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" descr="descript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10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6"/>
      </w:pPr>
      <w:r>
        <w:drawing>
          <wp:inline distT="0" distB="0" distL="0" distR="0">
            <wp:extent cx="5760085" cy="2820035"/>
            <wp:effectExtent l="0" t="0" r="12065" b="18415"/>
            <wp:docPr id="24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" descr="descript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200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6"/>
      </w:pPr>
    </w:p>
    <w:p>
      <w:pP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  <w:t>注：</w:t>
      </w:r>
    </w:p>
    <w:p>
      <w:pP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  <w:t>1.“项目名称”和“采购形式编号”见投标须知前附表1.1；</w:t>
      </w:r>
    </w:p>
    <w:p>
      <w:pPr>
        <w:pStyle w:val="6"/>
      </w:pP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yellow"/>
        </w:rPr>
        <w:t>2.配套能力“供货类别”填“”，业务主管部门选择“”。</w:t>
      </w:r>
    </w:p>
    <w:p>
      <w:pPr>
        <w:pStyle w:val="6"/>
        <w:sectPr>
          <w:pgSz w:w="11906" w:h="16838"/>
          <w:pgMar w:top="1588" w:right="1418" w:bottom="1134" w:left="1418" w:header="851" w:footer="992" w:gutter="0"/>
          <w:cols w:space="720" w:num="1"/>
          <w:titlePg/>
          <w:docGrid w:type="lines" w:linePitch="312" w:charSpace="0"/>
        </w:sectPr>
      </w:pPr>
    </w:p>
    <w:p>
      <w:pPr>
        <w:pStyle w:val="6"/>
        <w:outlineLvl w:val="2"/>
        <w:rPr>
          <w:rFonts w:hint="eastAsia" w:hAnsi="宋体" w:eastAsia="宋体" w:cs="Times New Roman"/>
          <w:b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附件</w:t>
      </w:r>
      <w:r>
        <w:rPr>
          <w:rFonts w:hint="eastAsia" w:hAnsi="宋体" w:eastAsia="宋体" w:cs="宋体"/>
          <w:b/>
          <w:bCs/>
          <w:color w:val="000000"/>
          <w:sz w:val="24"/>
          <w:szCs w:val="24"/>
          <w:lang w:val="en-US" w:eastAsia="zh-CN"/>
        </w:rPr>
        <w:t>2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 xml:space="preserve"> </w:t>
      </w:r>
      <w:r>
        <w:rPr>
          <w:rFonts w:hint="eastAsia" w:hAnsi="宋体" w:eastAsia="宋体" w:cs="Times New Roman"/>
          <w:b/>
          <w:color w:val="000000"/>
          <w:sz w:val="24"/>
          <w:szCs w:val="24"/>
        </w:rPr>
        <w:t>SRM系统供应商用户手册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系统网址：</w:t>
      </w:r>
      <w:r>
        <w:fldChar w:fldCharType="begin"/>
      </w:r>
      <w:r>
        <w:instrText xml:space="preserve"> HYPERLINK "http://ecaitong.sinotruk.com:8012/" \t "dlt" </w:instrText>
      </w:r>
      <w:r>
        <w:fldChar w:fldCharType="separate"/>
      </w:r>
      <w:r>
        <w:rPr>
          <w:rStyle w:val="17"/>
          <w:rFonts w:hint="eastAsia" w:ascii="宋体" w:hAnsi="宋体" w:eastAsia="宋体" w:cs="宋体"/>
          <w:sz w:val="24"/>
          <w:szCs w:val="24"/>
        </w:rPr>
        <w:t>https://ecaitong.sinotruk.com:8012/</w:t>
      </w:r>
      <w:r>
        <w:rPr>
          <w:rStyle w:val="17"/>
          <w:rFonts w:hint="eastAsia" w:ascii="宋体" w:hAnsi="宋体" w:eastAsia="宋体" w:cs="宋体"/>
          <w:sz w:val="24"/>
          <w:szCs w:val="24"/>
        </w:rPr>
        <w:fldChar w:fldCharType="end"/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用 户 名：gys+供应商代码（</w:t>
      </w:r>
      <w:r>
        <w:rPr>
          <w:rFonts w:hint="eastAsia" w:ascii="宋体" w:hAnsi="宋体" w:eastAsia="宋体" w:cs="宋体"/>
          <w:color w:val="FF0000"/>
          <w:sz w:val="24"/>
          <w:szCs w:val="24"/>
        </w:rPr>
        <w:t>注意：注册完毕后，用户名不要用手机号登录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）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初始密码：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yellow"/>
        </w:rPr>
        <w:t>scm@2022</w:t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1.供应商应标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供应商应标</w:t>
      </w:r>
    </w:p>
    <w:p>
      <w:pPr>
        <w:spacing w:line="360" w:lineRule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点击应标，上传文件之后点击提交。</w:t>
      </w:r>
    </w:p>
    <w:p>
      <w:pPr>
        <w:rPr>
          <w:rFonts w:hint="eastAsia"/>
        </w:rPr>
      </w:pPr>
      <w:r>
        <w:drawing>
          <wp:inline distT="0" distB="0" distL="0" distR="0">
            <wp:extent cx="5760085" cy="2269490"/>
            <wp:effectExtent l="0" t="0" r="12065" b="16510"/>
            <wp:docPr id="25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" descr="descript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269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</w:rPr>
      </w:pP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2.供应商投标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供应商投标</w:t>
      </w:r>
    </w:p>
    <w:p>
      <w:pPr>
        <w:rPr>
          <w:rFonts w:hint="eastAsia" w:ascii="宋体" w:hAnsi="宋体" w:eastAsia="宋体" w:cs="宋体"/>
          <w:color w:val="000000"/>
        </w:rPr>
      </w:pPr>
      <w:r>
        <w:rPr>
          <w:rFonts w:ascii="宋体" w:hAnsi="宋体" w:eastAsia="宋体" w:cs="宋体"/>
          <w:color w:val="000000"/>
        </w:rPr>
        <w:drawing>
          <wp:inline distT="0" distB="0" distL="0" distR="0">
            <wp:extent cx="5760085" cy="2125345"/>
            <wp:effectExtent l="0" t="0" r="12065" b="8255"/>
            <wp:docPr id="2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" descr="descript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125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color w:val="000000"/>
          <w:sz w:val="24"/>
          <w:szCs w:val="28"/>
        </w:rPr>
      </w:pPr>
      <w:r>
        <w:rPr>
          <w:rFonts w:ascii="宋体" w:hAnsi="宋体" w:eastAsia="宋体" w:cs="宋体"/>
          <w:color w:val="000000"/>
          <w:sz w:val="24"/>
          <w:szCs w:val="28"/>
        </w:rPr>
        <w:t>点击投标按钮，进入详情页，输入投标报价并上传相应的附件。</w:t>
      </w:r>
    </w:p>
    <w:p>
      <w:pPr>
        <w:pStyle w:val="6"/>
      </w:pPr>
      <w:r>
        <w:rPr>
          <w:rFonts w:hint="eastAsia" w:hAnsi="宋体" w:eastAsia="宋体" w:cs="宋体"/>
          <w:color w:val="000000"/>
          <w:sz w:val="24"/>
          <w:szCs w:val="28"/>
          <w:highlight w:val="yellow"/>
        </w:rPr>
        <w:t>注意：系统内的投标报价单位为“万元”，如开标现场发现填错报价，即直接淘汰。</w:t>
      </w:r>
    </w:p>
    <w:p>
      <w:pPr>
        <w:pStyle w:val="6"/>
        <w:bidi w:val="0"/>
      </w:pPr>
      <w:r>
        <w:drawing>
          <wp:inline distT="0" distB="0" distL="0" distR="0">
            <wp:extent cx="5490210" cy="2668905"/>
            <wp:effectExtent l="0" t="0" r="15240" b="17145"/>
            <wp:docPr id="2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" descr="descript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6694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3.供应商技术标澄清函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供应商技术标澄清函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点击编辑按钮进入系统，上传技术标澄清函。</w:t>
      </w:r>
    </w:p>
    <w:p>
      <w:pPr>
        <w:spacing w:line="360" w:lineRule="auto"/>
        <w:rPr>
          <w:rFonts w:ascii="Arial" w:hAnsi="Arial" w:eastAsia="Arial" w:cs="Arial"/>
          <w:color w:val="000000"/>
          <w:sz w:val="28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开标之后所有投标的供应商都可编辑提交，技术标入围之后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 xml:space="preserve"> </w:t>
      </w:r>
      <w:r>
        <w:rPr>
          <w:rFonts w:ascii="宋体" w:hAnsi="宋体" w:eastAsia="宋体" w:cs="宋体"/>
          <w:color w:val="000000"/>
          <w:sz w:val="24"/>
          <w:szCs w:val="24"/>
        </w:rPr>
        <w:t>都不可编辑</w:t>
      </w:r>
      <w:r>
        <w:rPr>
          <w:rFonts w:ascii="Arial" w:hAnsi="Arial" w:eastAsia="Arial" w:cs="Arial"/>
          <w:color w:val="000000"/>
          <w:sz w:val="28"/>
        </w:rPr>
        <w:drawing>
          <wp:inline distT="0" distB="0" distL="0" distR="0">
            <wp:extent cx="5490210" cy="1992630"/>
            <wp:effectExtent l="0" t="0" r="15240" b="7620"/>
            <wp:docPr id="28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" descr="descript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19927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4.供应商报价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供应商报价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点击报价按钮进入报价详情界面，请在此轮报价起止时间内报价，否则无法报价。</w:t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5.供应商澄清报价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供应商澄清报价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招标发起人接收建议价的同时会给供应商发送澄清报价，供应商在此界面进行澄清报价，点击编辑按钮进入澄清报价详细界面，输入价格并上传澄清函，之后点击提交。</w:t>
      </w:r>
    </w:p>
    <w:p>
      <w:pPr>
        <w:pStyle w:val="6"/>
        <w:bidi w:val="0"/>
      </w:pPr>
      <w:r>
        <w:drawing>
          <wp:inline distT="0" distB="0" distL="0" distR="0">
            <wp:extent cx="5490210" cy="2544445"/>
            <wp:effectExtent l="0" t="0" r="15240" b="8255"/>
            <wp:docPr id="29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" descr="descript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5446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6.供应商查看中标通知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中标项目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点击查看进入查看中标项目详情</w:t>
      </w:r>
    </w:p>
    <w:p>
      <w:pPr>
        <w:rPr>
          <w:rFonts w:hint="eastAsia"/>
        </w:rPr>
      </w:pPr>
      <w:r>
        <w:drawing>
          <wp:inline distT="0" distB="0" distL="0" distR="0">
            <wp:extent cx="5760085" cy="1956435"/>
            <wp:effectExtent l="0" t="0" r="12065" b="5715"/>
            <wp:docPr id="30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picture" descr="descript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195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6"/>
        <w:rPr>
          <w:rFonts w:hint="eastAsia" w:hAnsi="宋体" w:eastAsia="宋体" w:cs="Times New Roman"/>
          <w:b/>
          <w:color w:val="000000"/>
          <w:sz w:val="24"/>
          <w:szCs w:val="24"/>
        </w:rPr>
      </w:pPr>
    </w:p>
    <w:p>
      <w:pPr>
        <w:pStyle w:val="6"/>
        <w:rPr>
          <w:rFonts w:hint="eastAsia" w:hAnsi="宋体" w:eastAsia="宋体" w:cs="Times New Roman"/>
          <w:b/>
          <w:color w:val="000000"/>
          <w:sz w:val="24"/>
          <w:szCs w:val="24"/>
        </w:rPr>
      </w:pPr>
    </w:p>
    <w:p>
      <w:pPr>
        <w:pStyle w:val="6"/>
        <w:bidi w:val="0"/>
        <w:rPr>
          <w:rFonts w:hint="eastAsia"/>
        </w:rPr>
      </w:pPr>
    </w:p>
    <w:p>
      <w:pPr>
        <w:pStyle w:val="6"/>
        <w:outlineLvl w:val="2"/>
        <w:rPr>
          <w:rFonts w:hint="eastAsia" w:hAnsi="宋体" w:eastAsia="宋体" w:cs="Times New Roman"/>
          <w:b/>
          <w:color w:val="000000"/>
          <w:sz w:val="24"/>
          <w:szCs w:val="24"/>
          <w:lang w:val="en-US" w:eastAsia="zh-CN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附件</w:t>
      </w:r>
      <w:r>
        <w:rPr>
          <w:rFonts w:hint="eastAsia" w:hAnsi="宋体" w:eastAsia="宋体" w:cs="宋体"/>
          <w:b/>
          <w:bCs/>
          <w:color w:val="000000"/>
          <w:sz w:val="24"/>
          <w:szCs w:val="24"/>
          <w:lang w:val="en-US" w:eastAsia="zh-CN"/>
        </w:rPr>
        <w:t>3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 xml:space="preserve"> </w:t>
      </w:r>
      <w:r>
        <w:rPr>
          <w:rFonts w:hint="eastAsia" w:hAnsi="宋体" w:eastAsia="宋体" w:cs="Times New Roman"/>
          <w:b/>
          <w:color w:val="000000"/>
          <w:sz w:val="24"/>
          <w:szCs w:val="24"/>
        </w:rPr>
        <w:t>SRM系统供应商</w:t>
      </w:r>
      <w:r>
        <w:rPr>
          <w:rFonts w:hint="eastAsia" w:hAnsi="宋体" w:eastAsia="宋体" w:cs="Times New Roman"/>
          <w:b/>
          <w:color w:val="000000"/>
          <w:sz w:val="24"/>
          <w:szCs w:val="24"/>
          <w:lang w:val="en-US" w:eastAsia="zh-CN"/>
        </w:rPr>
        <w:t>近三年数据更新</w:t>
      </w:r>
    </w:p>
    <w:p>
      <w:pPr>
        <w:pStyle w:val="6"/>
        <w:outlineLvl w:val="2"/>
      </w:pPr>
      <w:r>
        <w:drawing>
          <wp:inline distT="0" distB="0" distL="114300" distR="114300">
            <wp:extent cx="5749290" cy="2501265"/>
            <wp:effectExtent l="0" t="0" r="3810" b="63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49290" cy="2501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6"/>
        <w:outlineLvl w:val="2"/>
      </w:pPr>
      <w:r>
        <w:drawing>
          <wp:inline distT="0" distB="0" distL="114300" distR="114300">
            <wp:extent cx="5746750" cy="3303270"/>
            <wp:effectExtent l="0" t="0" r="6350" b="1143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46750" cy="3303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6"/>
        <w:outlineLvl w:val="2"/>
        <w:rPr>
          <w:rFonts w:hint="default"/>
          <w:lang w:val="en-US" w:eastAsia="zh-CN"/>
        </w:rPr>
      </w:pPr>
      <w:r>
        <w:drawing>
          <wp:inline distT="0" distB="0" distL="114300" distR="114300">
            <wp:extent cx="5742940" cy="2099310"/>
            <wp:effectExtent l="0" t="0" r="10160" b="8890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42940" cy="2099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742940" cy="2925445"/>
            <wp:effectExtent l="0" t="0" r="10160" b="8255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42940" cy="2925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>
      <w:pPr>
        <w:rPr>
          <w:rFonts w:hint="eastAsia"/>
        </w:rPr>
      </w:pPr>
    </w:p>
    <w:p>
      <w:pPr>
        <w:rPr>
          <w:rFonts w:hint="eastAsia" w:ascii="仿宋_GB2312" w:hAnsi="仿宋_GB2312" w:eastAsia="仿宋_GB2312" w:cs="仿宋_GB2312"/>
        </w:rPr>
      </w:pPr>
    </w:p>
    <w:p>
      <w:pPr>
        <w:rPr>
          <w:rFonts w:hint="eastAsia" w:ascii="仿宋_GB2312" w:hAnsi="仿宋_GB2312" w:eastAsia="仿宋_GB2312" w:cs="仿宋_GB2312"/>
        </w:rPr>
      </w:pPr>
    </w:p>
    <w:p>
      <w:pPr>
        <w:rPr>
          <w:rFonts w:hint="eastAsia" w:ascii="仿宋_GB2312" w:hAnsi="仿宋_GB2312" w:eastAsia="仿宋_GB2312" w:cs="仿宋_GB2312"/>
        </w:rPr>
      </w:pPr>
    </w:p>
    <w:p>
      <w:pPr>
        <w:jc w:val="both"/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6D20133"/>
    <w:multiLevelType w:val="multilevel"/>
    <w:tmpl w:val="56D20133"/>
    <w:lvl w:ilvl="0" w:tentative="0">
      <w:start w:val="1"/>
      <w:numFmt w:val="chineseCountingThousand"/>
      <w:pStyle w:val="23"/>
      <w:lvlText w:val="(%1)"/>
      <w:lvlJc w:val="left"/>
      <w:pPr>
        <w:ind w:left="1130" w:hanging="420"/>
      </w:pPr>
      <w:rPr>
        <w:rFonts w:hint="eastAsia"/>
        <w:b/>
      </w:rPr>
    </w:lvl>
    <w:lvl w:ilvl="1" w:tentative="0">
      <w:start w:val="1"/>
      <w:numFmt w:val="decimal"/>
      <w:lvlText w:val="%2."/>
      <w:lvlJc w:val="left"/>
      <w:pPr>
        <w:ind w:left="1200" w:hanging="360"/>
      </w:pPr>
      <w:rPr>
        <w:rFonts w:hint="default"/>
        <w:b w:val="0"/>
      </w:rPr>
    </w:lvl>
    <w:lvl w:ilvl="2" w:tentative="0">
      <w:start w:val="1"/>
      <w:numFmt w:val="lowerRoman"/>
      <w:lvlText w:val="%3."/>
      <w:lvlJc w:val="right"/>
      <w:pPr>
        <w:ind w:left="1680" w:hanging="420"/>
      </w:pPr>
      <w:rPr>
        <w:rFonts w:hint="eastAsia"/>
      </w:rPr>
    </w:lvl>
    <w:lvl w:ilvl="3" w:tentative="0">
      <w:start w:val="1"/>
      <w:numFmt w:val="decimal"/>
      <w:lvlText w:val="（%4）"/>
      <w:lvlJc w:val="left"/>
      <w:pPr>
        <w:ind w:left="2400" w:hanging="72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ind w:left="252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94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336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78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4200" w:hanging="420"/>
      </w:pPr>
      <w:rPr>
        <w:rFonts w:hint="eastAsia"/>
      </w:rPr>
    </w:lvl>
  </w:abstractNum>
  <w:abstractNum w:abstractNumId="1">
    <w:nsid w:val="656A6EAE"/>
    <w:multiLevelType w:val="multilevel"/>
    <w:tmpl w:val="656A6EAE"/>
    <w:lvl w:ilvl="0" w:tentative="0">
      <w:start w:val="1"/>
      <w:numFmt w:val="chineseCountingThousand"/>
      <w:pStyle w:val="22"/>
      <w:suff w:val="nothing"/>
      <w:lvlText w:val="%1、"/>
      <w:lvlJc w:val="left"/>
      <w:pPr>
        <w:ind w:left="2972" w:hanging="420"/>
      </w:pPr>
      <w:rPr>
        <w:rFonts w:hint="eastAsia" w:ascii="黑体" w:hAnsi="黑体" w:eastAsia="黑体"/>
        <w:sz w:val="28"/>
        <w:szCs w:val="28"/>
        <w:highlight w:val="none"/>
        <w:lang w:val="en-US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834A75"/>
    <w:rsid w:val="04301453"/>
    <w:rsid w:val="0C682624"/>
    <w:rsid w:val="0FAC178F"/>
    <w:rsid w:val="127F037D"/>
    <w:rsid w:val="1A5F0822"/>
    <w:rsid w:val="1CBE329F"/>
    <w:rsid w:val="1E7605AB"/>
    <w:rsid w:val="27316EAA"/>
    <w:rsid w:val="283D5FEB"/>
    <w:rsid w:val="289522DC"/>
    <w:rsid w:val="31A659F3"/>
    <w:rsid w:val="3E2F1D4C"/>
    <w:rsid w:val="415E038C"/>
    <w:rsid w:val="449032CF"/>
    <w:rsid w:val="44907102"/>
    <w:rsid w:val="47DD599F"/>
    <w:rsid w:val="48031288"/>
    <w:rsid w:val="48EF075C"/>
    <w:rsid w:val="4D7E2F30"/>
    <w:rsid w:val="4E25790F"/>
    <w:rsid w:val="536770A5"/>
    <w:rsid w:val="57BF3EB6"/>
    <w:rsid w:val="594B58EE"/>
    <w:rsid w:val="5E8A6999"/>
    <w:rsid w:val="6B0F2793"/>
    <w:rsid w:val="6DC224EC"/>
    <w:rsid w:val="7D0A7D18"/>
    <w:rsid w:val="7DA44D30"/>
    <w:rsid w:val="7E5A5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qFormat="1"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">
    <w:name w:val="heading 4"/>
    <w:basedOn w:val="1"/>
    <w:next w:val="1"/>
    <w:semiHidden/>
    <w:unhideWhenUsed/>
    <w:qFormat/>
    <w:uiPriority w:val="0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5"/>
    <w:qFormat/>
    <w:uiPriority w:val="0"/>
    <w:rPr>
      <w:rFonts w:ascii="仿宋_GB2312" w:eastAsia="仿宋_GB2312" w:hAnsiTheme="minorHAnsi" w:cstheme="minorBidi"/>
      <w:sz w:val="32"/>
      <w:szCs w:val="22"/>
    </w:rPr>
  </w:style>
  <w:style w:type="paragraph" w:customStyle="1" w:styleId="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Calibri" w:eastAsia="仿宋_GB2312" w:cs="仿宋_GB2312"/>
      <w:color w:val="000000"/>
      <w:sz w:val="24"/>
      <w:szCs w:val="24"/>
      <w:lang w:val="en-US" w:eastAsia="zh-CN" w:bidi="ar-SA"/>
    </w:rPr>
  </w:style>
  <w:style w:type="paragraph" w:styleId="6">
    <w:name w:val="Plain Text"/>
    <w:basedOn w:val="1"/>
    <w:qFormat/>
    <w:uiPriority w:val="0"/>
    <w:rPr>
      <w:rFonts w:ascii="宋体"/>
      <w:szCs w:val="20"/>
    </w:rPr>
  </w:style>
  <w:style w:type="paragraph" w:styleId="7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FollowedHyperlink"/>
    <w:basedOn w:val="10"/>
    <w:qFormat/>
    <w:uiPriority w:val="0"/>
    <w:rPr>
      <w:color w:val="800080"/>
      <w:u w:val="none"/>
    </w:rPr>
  </w:style>
  <w:style w:type="character" w:styleId="13">
    <w:name w:val="HTML Definition"/>
    <w:basedOn w:val="10"/>
    <w:qFormat/>
    <w:uiPriority w:val="0"/>
  </w:style>
  <w:style w:type="character" w:styleId="14">
    <w:name w:val="HTML Typewriter"/>
    <w:basedOn w:val="10"/>
    <w:qFormat/>
    <w:uiPriority w:val="0"/>
    <w:rPr>
      <w:rFonts w:hint="default" w:ascii="monospace" w:hAnsi="monospace" w:eastAsia="monospace" w:cs="monospace"/>
      <w:sz w:val="20"/>
    </w:rPr>
  </w:style>
  <w:style w:type="character" w:styleId="15">
    <w:name w:val="HTML Acronym"/>
    <w:basedOn w:val="10"/>
    <w:qFormat/>
    <w:uiPriority w:val="0"/>
  </w:style>
  <w:style w:type="character" w:styleId="16">
    <w:name w:val="HTML Variable"/>
    <w:basedOn w:val="10"/>
    <w:qFormat/>
    <w:uiPriority w:val="0"/>
  </w:style>
  <w:style w:type="character" w:styleId="17">
    <w:name w:val="Hyperlink"/>
    <w:basedOn w:val="10"/>
    <w:qFormat/>
    <w:uiPriority w:val="0"/>
    <w:rPr>
      <w:color w:val="0000FF"/>
      <w:u w:val="none"/>
    </w:rPr>
  </w:style>
  <w:style w:type="character" w:styleId="18">
    <w:name w:val="HTML Code"/>
    <w:basedOn w:val="10"/>
    <w:qFormat/>
    <w:uiPriority w:val="0"/>
    <w:rPr>
      <w:rFonts w:hint="default" w:ascii="monospace" w:hAnsi="monospace" w:eastAsia="monospace" w:cs="monospace"/>
      <w:sz w:val="20"/>
    </w:rPr>
  </w:style>
  <w:style w:type="character" w:styleId="19">
    <w:name w:val="HTML Cite"/>
    <w:basedOn w:val="10"/>
    <w:qFormat/>
    <w:uiPriority w:val="0"/>
  </w:style>
  <w:style w:type="character" w:styleId="20">
    <w:name w:val="HTML Keyboard"/>
    <w:basedOn w:val="10"/>
    <w:qFormat/>
    <w:uiPriority w:val="0"/>
    <w:rPr>
      <w:rFonts w:ascii="monospace" w:hAnsi="monospace" w:eastAsia="monospace" w:cs="monospace"/>
      <w:sz w:val="20"/>
    </w:rPr>
  </w:style>
  <w:style w:type="character" w:styleId="21">
    <w:name w:val="HTML Sample"/>
    <w:basedOn w:val="10"/>
    <w:qFormat/>
    <w:uiPriority w:val="0"/>
    <w:rPr>
      <w:rFonts w:hint="default" w:ascii="monospace" w:hAnsi="monospace" w:eastAsia="monospace" w:cs="monospace"/>
    </w:rPr>
  </w:style>
  <w:style w:type="paragraph" w:customStyle="1" w:styleId="22">
    <w:name w:val="一级标题"/>
    <w:basedOn w:val="6"/>
    <w:qFormat/>
    <w:uiPriority w:val="1"/>
    <w:pPr>
      <w:numPr>
        <w:ilvl w:val="0"/>
        <w:numId w:val="1"/>
      </w:numPr>
      <w:spacing w:line="360" w:lineRule="auto"/>
      <w:ind w:left="420"/>
      <w:outlineLvl w:val="1"/>
    </w:pPr>
    <w:rPr>
      <w:rFonts w:ascii="黑体" w:eastAsia="黑体"/>
      <w:b/>
      <w:bCs/>
      <w:sz w:val="28"/>
    </w:rPr>
  </w:style>
  <w:style w:type="paragraph" w:customStyle="1" w:styleId="23">
    <w:name w:val="（二）级标题"/>
    <w:basedOn w:val="6"/>
    <w:qFormat/>
    <w:uiPriority w:val="2"/>
    <w:pPr>
      <w:numPr>
        <w:ilvl w:val="0"/>
        <w:numId w:val="2"/>
      </w:numPr>
      <w:spacing w:line="360" w:lineRule="auto"/>
      <w:outlineLvl w:val="2"/>
    </w:pPr>
    <w:rPr>
      <w:b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1" Type="http://schemas.openxmlformats.org/officeDocument/2006/relationships/fontTable" Target="fontTable.xml"/><Relationship Id="rId20" Type="http://schemas.openxmlformats.org/officeDocument/2006/relationships/numbering" Target="numbering.xml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1428</Words>
  <Characters>1581</Characters>
  <Lines>0</Lines>
  <Paragraphs>0</Paragraphs>
  <TotalTime>0</TotalTime>
  <ScaleCrop>false</ScaleCrop>
  <LinksUpToDate>false</LinksUpToDate>
  <CharactersWithSpaces>1769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2025-12-25T08:41:00Z</dcterms:created>
  <dc:creator>Administrator</dc:creator>
  <cp:lastModifiedBy>轻途</cp:lastModifiedBy>
  <dcterms:modified xsi:type="dcterms:W3CDTF">2026-01-22T07:27:04Z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KSOTemplateDocerSaveRecord">
    <vt:lpwstr>eyJoZGlkIjoiMjU1MjU2NmRlYWJmZWVkYjQ3ZmQ4OTdkM2JiNmI3ZjUiLCJ1c2VySWQiOiIzODEwMDEwNTMifQ==</vt:lpwstr>
  </property>
  <property fmtid="{D5CDD505-2E9C-101B-9397-08002B2CF9AE}" pid="4" name="ICV">
    <vt:lpwstr>36BA767B9B1647D78DB7367FAC05A487_13</vt:lpwstr>
  </property>
</Properties>
</file>