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6"/>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hint="eastAsia"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特种设备检验检测</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5</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0"/>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2"/>
            <w:adjustRightInd w:val="0"/>
            <w:snapToGrid w:val="0"/>
            <w:spacing w:line="360" w:lineRule="auto"/>
            <w:rPr>
              <w:sz w:val="24"/>
              <w:szCs w:val="24"/>
            </w:rPr>
          </w:pPr>
          <w:r>
            <w:rPr>
              <w:rFonts w:hint="eastAsia"/>
              <w:bCs/>
              <w:kern w:val="44"/>
              <w:sz w:val="24"/>
              <w:szCs w:val="24"/>
            </w:rPr>
            <w:fldChar w:fldCharType="end"/>
          </w:r>
        </w:p>
      </w:sdtContent>
    </w:sdt>
    <w:p>
      <w:pPr>
        <w:pStyle w:val="16"/>
        <w:tabs>
          <w:tab w:val="left" w:pos="2940"/>
        </w:tabs>
        <w:adjustRightInd w:val="0"/>
        <w:snapToGrid w:val="0"/>
        <w:spacing w:line="360" w:lineRule="auto"/>
        <w:jc w:val="left"/>
        <w:rPr>
          <w:rFonts w:hAnsi="宋体"/>
          <w:sz w:val="24"/>
          <w:szCs w:val="24"/>
        </w:rPr>
      </w:pPr>
      <w:r>
        <w:rPr>
          <w:rFonts w:hAnsi="宋体"/>
          <w:sz w:val="24"/>
          <w:szCs w:val="24"/>
        </w:rPr>
        <w:tab/>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3"/>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pPr>
        <w:pStyle w:val="74"/>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8"/>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特种设备检验检测</w:t>
      </w:r>
    </w:p>
    <w:p>
      <w:pPr>
        <w:pStyle w:val="78"/>
        <w:numPr>
          <w:ilvl w:val="0"/>
          <w:numId w:val="9"/>
        </w:numPr>
        <w:adjustRightInd w:val="0"/>
        <w:snapToGrid w:val="0"/>
        <w:rPr>
          <w:rFonts w:hAnsi="宋体"/>
          <w:sz w:val="24"/>
          <w:szCs w:val="24"/>
        </w:rPr>
      </w:pPr>
      <w:r>
        <w:rPr>
          <w:rFonts w:hint="eastAsia" w:hAnsi="宋体"/>
          <w:sz w:val="24"/>
          <w:szCs w:val="24"/>
        </w:rPr>
        <w:t>项目编号：</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8"/>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w:t>
      </w:r>
      <w:r>
        <w:rPr>
          <w:rFonts w:hint="eastAsia" w:hAnsi="宋体"/>
          <w:sz w:val="24"/>
          <w:szCs w:val="24"/>
          <w:lang w:val="en-US" w:eastAsia="zh-CN"/>
        </w:rPr>
        <w:t>特种设备检验检测</w:t>
      </w:r>
      <w:r>
        <w:rPr>
          <w:rFonts w:hint="eastAsia" w:hAnsi="宋体" w:cs="Times New Roman"/>
          <w:sz w:val="24"/>
          <w:szCs w:val="24"/>
          <w:lang w:val="en-US" w:eastAsia="zh-CN"/>
        </w:rPr>
        <w:t>进行采购。</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8"/>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78"/>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5.6051</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pPr>
        <w:pStyle w:val="78"/>
        <w:numPr>
          <w:ilvl w:val="0"/>
          <w:numId w:val="9"/>
        </w:numPr>
        <w:adjustRightInd w:val="0"/>
        <w:snapToGrid w:val="0"/>
        <w:rPr>
          <w:rFonts w:hAnsi="宋体"/>
          <w:sz w:val="24"/>
          <w:szCs w:val="24"/>
        </w:rPr>
      </w:pPr>
      <w:r>
        <w:rPr>
          <w:rFonts w:hint="eastAsia" w:hAnsi="宋体"/>
          <w:sz w:val="24"/>
          <w:szCs w:val="24"/>
        </w:rPr>
        <w:t>合同有效期：</w:t>
      </w:r>
      <w:r>
        <w:rPr>
          <w:rFonts w:hint="eastAsia" w:hAnsi="宋体"/>
          <w:sz w:val="24"/>
          <w:szCs w:val="24"/>
          <w:lang w:val="en-US" w:eastAsia="zh-CN"/>
        </w:rPr>
        <w:t>三</w:t>
      </w:r>
      <w:r>
        <w:rPr>
          <w:rFonts w:hint="eastAsia" w:hAnsi="宋体"/>
          <w:sz w:val="24"/>
          <w:szCs w:val="24"/>
        </w:rPr>
        <w:t>年</w:t>
      </w:r>
    </w:p>
    <w:p>
      <w:pPr>
        <w:pStyle w:val="78"/>
        <w:numPr>
          <w:ilvl w:val="0"/>
          <w:numId w:val="9"/>
        </w:numPr>
        <w:adjustRightInd w:val="0"/>
        <w:snapToGrid w:val="0"/>
        <w:rPr>
          <w:rFonts w:hAnsi="宋体"/>
          <w:sz w:val="24"/>
          <w:szCs w:val="24"/>
        </w:rPr>
      </w:pPr>
      <w:r>
        <w:rPr>
          <w:rFonts w:hAnsi="宋体"/>
          <w:sz w:val="24"/>
          <w:szCs w:val="24"/>
        </w:rPr>
        <w:t>资金来源：企业自筹，已落实。</w:t>
      </w:r>
    </w:p>
    <w:p>
      <w:pPr>
        <w:pStyle w:val="78"/>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张扬</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电话：18225369056</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邮箱：zhangyang2@sinotruk.com</w:t>
      </w:r>
    </w:p>
    <w:bookmarkEnd w:id="3"/>
    <w:p>
      <w:pPr>
        <w:pStyle w:val="74"/>
        <w:adjustRightInd w:val="0"/>
        <w:snapToGrid w:val="0"/>
        <w:ind w:left="0" w:firstLine="0"/>
        <w:jc w:val="left"/>
        <w:outlineLvl w:val="9"/>
        <w:rPr>
          <w:rFonts w:ascii="宋体" w:hAnsi="宋体" w:eastAsia="宋体"/>
          <w:color w:val="auto"/>
          <w:sz w:val="24"/>
          <w:szCs w:val="24"/>
        </w:rPr>
      </w:pPr>
      <w:bookmarkStart w:id="4" w:name="_Toc47976598"/>
      <w:r>
        <w:rPr>
          <w:rFonts w:hint="eastAsia" w:ascii="宋体" w:hAnsi="宋体" w:eastAsia="宋体"/>
          <w:color w:val="auto"/>
          <w:sz w:val="24"/>
          <w:szCs w:val="24"/>
        </w:rPr>
        <w:t>投标人</w:t>
      </w:r>
      <w:bookmarkEnd w:id="4"/>
      <w:r>
        <w:rPr>
          <w:rFonts w:hint="eastAsia" w:ascii="宋体" w:hAnsi="宋体" w:eastAsia="宋体"/>
          <w:color w:val="auto"/>
          <w:sz w:val="24"/>
          <w:szCs w:val="24"/>
          <w:lang w:val="en-US" w:eastAsia="zh-CN"/>
        </w:rPr>
        <w:t>资质要求</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1.满足《中华人民共和国政府采购法》第二十二条规定，未被“信用中国”（www.creditchina.gov.cn)、中国政府采购网（www.ccgp.gov.cn）列入失信被执行人、重大税收违法案件当事人名单、政府采购严重违法失信行为记录名单。</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2.具有有效营业执照，注册资本不低于100万元人民币（或等值其他货币）。</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3.3年内执行</w:t>
      </w:r>
      <w:r>
        <w:rPr>
          <w:rFonts w:hint="eastAsia" w:hAnsi="宋体"/>
          <w:sz w:val="24"/>
          <w:szCs w:val="24"/>
          <w:lang w:val="en-US" w:eastAsia="zh-CN"/>
        </w:rPr>
        <w:t>特种设备检验检测</w:t>
      </w:r>
      <w:r>
        <w:rPr>
          <w:rFonts w:hint="eastAsia" w:ascii="宋体" w:hAnsi="宋体" w:eastAsia="宋体" w:cs="Times New Roman"/>
          <w:kern w:val="2"/>
          <w:sz w:val="24"/>
          <w:szCs w:val="24"/>
          <w:lang w:val="en-US" w:eastAsia="zh-CN" w:bidi="ar-SA"/>
        </w:rPr>
        <w:t>项目3个及以上。</w:t>
      </w:r>
      <w:bookmarkStart w:id="5" w:name="OLE_LINK1"/>
    </w:p>
    <w:p>
      <w:pPr>
        <w:pStyle w:val="64"/>
        <w:numPr>
          <w:ilvl w:val="0"/>
          <w:numId w:val="0"/>
        </w:numPr>
        <w:adjustRightInd w:val="0"/>
        <w:snapToGrid w:val="0"/>
        <w:spacing w:line="360" w:lineRule="auto"/>
        <w:jc w:val="left"/>
        <w:rPr>
          <w:rFonts w:hint="eastAsia" w:ascii="宋体" w:hAnsi="宋体" w:cs="Times New Roman"/>
          <w:color w:val="auto"/>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cs="Times New Roman"/>
          <w:color w:val="auto"/>
          <w:kern w:val="2"/>
          <w:sz w:val="24"/>
          <w:szCs w:val="24"/>
          <w:lang w:val="en-US" w:eastAsia="zh-CN" w:bidi="ar-SA"/>
        </w:rPr>
        <w:t>需</w:t>
      </w:r>
      <w:r>
        <w:rPr>
          <w:rFonts w:hint="eastAsia" w:ascii="宋体" w:hAnsi="宋体" w:eastAsia="宋体" w:cs="Times New Roman"/>
          <w:color w:val="auto"/>
          <w:kern w:val="2"/>
          <w:sz w:val="24"/>
          <w:szCs w:val="24"/>
          <w:lang w:val="en-US" w:eastAsia="zh-CN" w:bidi="ar-SA"/>
        </w:rPr>
        <w:t>具备省级以上市场监督管理局发放的RD1或RD2或RD3资质（一、二类固定压力容器检验）</w:t>
      </w:r>
      <w:r>
        <w:rPr>
          <w:rFonts w:hint="eastAsia" w:ascii="宋体" w:hAnsi="宋体" w:cs="Times New Roman"/>
          <w:color w:val="auto"/>
          <w:kern w:val="2"/>
          <w:sz w:val="24"/>
          <w:szCs w:val="24"/>
          <w:lang w:val="en-US" w:eastAsia="zh-CN" w:bidi="ar-SA"/>
        </w:rPr>
        <w:t>、</w:t>
      </w:r>
      <w:r>
        <w:rPr>
          <w:rFonts w:hint="eastAsia" w:ascii="宋体" w:hAnsi="宋体" w:eastAsia="宋体" w:cs="Times New Roman"/>
          <w:color w:val="auto"/>
          <w:kern w:val="2"/>
          <w:sz w:val="24"/>
          <w:szCs w:val="24"/>
          <w:lang w:val="en-US" w:eastAsia="zh-CN" w:bidi="ar-SA"/>
        </w:rPr>
        <w:t>RD6资质（气瓶检验）</w:t>
      </w:r>
      <w:r>
        <w:rPr>
          <w:rFonts w:hint="eastAsia" w:ascii="宋体" w:hAnsi="宋体" w:cs="Times New Roman"/>
          <w:color w:val="auto"/>
          <w:kern w:val="2"/>
          <w:sz w:val="24"/>
          <w:szCs w:val="24"/>
          <w:lang w:val="en-US" w:eastAsia="zh-CN" w:bidi="ar-SA"/>
        </w:rPr>
        <w:t>、</w:t>
      </w:r>
      <w:r>
        <w:rPr>
          <w:rFonts w:hint="eastAsia" w:ascii="宋体" w:hAnsi="宋体" w:eastAsia="宋体" w:cs="Times New Roman"/>
          <w:color w:val="auto"/>
          <w:kern w:val="2"/>
          <w:sz w:val="24"/>
          <w:szCs w:val="24"/>
          <w:lang w:val="en-US" w:eastAsia="zh-CN" w:bidi="ar-SA"/>
        </w:rPr>
        <w:t>FD1或FD2（整定压力小于10MPa的安全阀校验）</w:t>
      </w:r>
      <w:r>
        <w:rPr>
          <w:rFonts w:hint="eastAsia" w:ascii="宋体" w:hAnsi="宋体" w:cs="Times New Roman"/>
          <w:color w:val="auto"/>
          <w:kern w:val="2"/>
          <w:sz w:val="24"/>
          <w:szCs w:val="24"/>
          <w:lang w:val="en-US" w:eastAsia="zh-CN" w:bidi="ar-SA"/>
        </w:rPr>
        <w:t>等资质，确保特种设备检验检测符合相关法律、法规、规章、行业规范，并提供检验检测报告。</w:t>
      </w:r>
    </w:p>
    <w:bookmarkEnd w:id="5"/>
    <w:p>
      <w:pPr>
        <w:pStyle w:val="64"/>
        <w:numPr>
          <w:ilvl w:val="0"/>
          <w:numId w:val="0"/>
        </w:numPr>
        <w:tabs>
          <w:tab w:val="left" w:pos="454"/>
        </w:tabs>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7.没有被中国重汽集团列入黑名单。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8.法律法规对合格投标方的其他要求、规定。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9.不接受联合体投标。</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8"/>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5</w:t>
      </w:r>
      <w:r>
        <w:rPr>
          <w:rFonts w:hint="eastAsia" w:hAnsi="宋体"/>
          <w:sz w:val="24"/>
          <w:szCs w:val="24"/>
          <w:u w:val="single"/>
        </w:rPr>
        <w:t>月</w:t>
      </w:r>
      <w:r>
        <w:rPr>
          <w:rFonts w:hint="eastAsia" w:hAnsi="宋体"/>
          <w:sz w:val="24"/>
          <w:szCs w:val="24"/>
          <w:u w:val="single"/>
          <w:lang w:val="en-US" w:eastAsia="zh-CN"/>
        </w:rPr>
        <w:t>14</w:t>
      </w:r>
      <w:r>
        <w:rPr>
          <w:rFonts w:hint="eastAsia" w:hAnsi="宋体"/>
          <w:sz w:val="24"/>
          <w:szCs w:val="24"/>
          <w:u w:val="single"/>
        </w:rPr>
        <w:t>日；</w:t>
      </w:r>
    </w:p>
    <w:p>
      <w:pPr>
        <w:pStyle w:val="78"/>
        <w:numPr>
          <w:ilvl w:val="0"/>
          <w:numId w:val="10"/>
        </w:numPr>
        <w:adjustRightInd w:val="0"/>
        <w:snapToGrid w:val="0"/>
        <w:rPr>
          <w:rFonts w:hAnsi="宋体"/>
          <w:sz w:val="24"/>
          <w:szCs w:val="24"/>
        </w:rPr>
      </w:pPr>
      <w:r>
        <w:rPr>
          <w:rFonts w:hint="eastAsia" w:hAnsi="宋体"/>
          <w:sz w:val="24"/>
          <w:szCs w:val="24"/>
        </w:rPr>
        <w:t>投标报名</w:t>
      </w:r>
    </w:p>
    <w:p>
      <w:pPr>
        <w:pStyle w:val="78"/>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5</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21</w:t>
      </w:r>
      <w:r>
        <w:rPr>
          <w:rFonts w:hint="eastAsia" w:hAnsi="宋体" w:cs="宋体"/>
          <w:sz w:val="24"/>
          <w:szCs w:val="24"/>
          <w:highlight w:val="none"/>
          <w:u w:val="single"/>
        </w:rPr>
        <w:t>日17:00:00（北京时间）</w:t>
      </w:r>
      <w:r>
        <w:rPr>
          <w:rFonts w:hint="eastAsia" w:hAnsi="宋体"/>
          <w:sz w:val="24"/>
          <w:szCs w:val="24"/>
          <w:u w:val="single"/>
        </w:rPr>
        <w:t>；</w:t>
      </w:r>
    </w:p>
    <w:p>
      <w:pPr>
        <w:pStyle w:val="78"/>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8"/>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8"/>
        <w:numPr>
          <w:ilvl w:val="0"/>
          <w:numId w:val="10"/>
        </w:numPr>
        <w:adjustRightInd w:val="0"/>
        <w:snapToGrid w:val="0"/>
        <w:rPr>
          <w:rFonts w:hAnsi="宋体"/>
          <w:sz w:val="24"/>
          <w:szCs w:val="24"/>
        </w:rPr>
      </w:pPr>
      <w:r>
        <w:rPr>
          <w:rFonts w:hint="eastAsia" w:hAnsi="宋体"/>
          <w:sz w:val="24"/>
          <w:szCs w:val="24"/>
        </w:rPr>
        <w:t>招标文件获取</w:t>
      </w:r>
    </w:p>
    <w:p>
      <w:pPr>
        <w:pStyle w:val="78"/>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8"/>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8"/>
        <w:numPr>
          <w:ilvl w:val="0"/>
          <w:numId w:val="10"/>
        </w:numPr>
        <w:adjustRightInd w:val="0"/>
        <w:snapToGrid w:val="0"/>
        <w:rPr>
          <w:rFonts w:hAnsi="宋体"/>
          <w:sz w:val="24"/>
          <w:szCs w:val="24"/>
        </w:rPr>
      </w:pPr>
      <w:r>
        <w:rPr>
          <w:rFonts w:hint="eastAsia" w:hAnsi="宋体"/>
          <w:sz w:val="24"/>
          <w:szCs w:val="24"/>
        </w:rPr>
        <w:t>疑问提交</w:t>
      </w:r>
    </w:p>
    <w:p>
      <w:pPr>
        <w:pStyle w:val="78"/>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5</w:t>
      </w:r>
      <w:r>
        <w:rPr>
          <w:rFonts w:hint="eastAsia" w:hAnsi="宋体"/>
          <w:sz w:val="24"/>
          <w:szCs w:val="24"/>
          <w:u w:val="single"/>
        </w:rPr>
        <w:t>月</w:t>
      </w:r>
      <w:r>
        <w:rPr>
          <w:rFonts w:hint="eastAsia" w:hAnsi="宋体"/>
          <w:sz w:val="24"/>
          <w:szCs w:val="24"/>
          <w:u w:val="single"/>
          <w:lang w:val="en-US" w:eastAsia="zh-CN"/>
        </w:rPr>
        <w:t>23</w:t>
      </w:r>
      <w:r>
        <w:rPr>
          <w:rFonts w:hint="eastAsia" w:hAnsi="宋体"/>
          <w:sz w:val="24"/>
          <w:szCs w:val="24"/>
          <w:u w:val="single"/>
        </w:rPr>
        <w:t>日17:00:00（北京时间）；</w:t>
      </w:r>
    </w:p>
    <w:p>
      <w:pPr>
        <w:pStyle w:val="78"/>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8"/>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8"/>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24</w:t>
      </w:r>
      <w:bookmarkStart w:id="21" w:name="_GoBack"/>
      <w:bookmarkEnd w:id="21"/>
      <w:r>
        <w:rPr>
          <w:rFonts w:hint="eastAsia" w:hAnsi="宋体"/>
          <w:sz w:val="24"/>
          <w:szCs w:val="24"/>
          <w:highlight w:val="none"/>
          <w:u w:val="single"/>
        </w:rPr>
        <w:t>日17:00前；</w:t>
      </w:r>
    </w:p>
    <w:p>
      <w:pPr>
        <w:pStyle w:val="78"/>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8"/>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8"/>
        <w:numPr>
          <w:ilvl w:val="0"/>
          <w:numId w:val="16"/>
        </w:numPr>
        <w:adjustRightInd w:val="0"/>
        <w:snapToGrid w:val="0"/>
        <w:rPr>
          <w:rFonts w:hAnsi="宋体"/>
          <w:sz w:val="24"/>
          <w:szCs w:val="24"/>
        </w:rPr>
      </w:pPr>
      <w:r>
        <w:rPr>
          <w:rFonts w:hint="eastAsia" w:hAnsi="宋体" w:cs="黑体"/>
          <w:bCs/>
          <w:sz w:val="24"/>
          <w:szCs w:val="24"/>
        </w:rPr>
        <w:t>资质文件</w:t>
      </w:r>
    </w:p>
    <w:p>
      <w:pPr>
        <w:pStyle w:val="78"/>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8"/>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8"/>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保密承诺函（附件2，需加盖章）；</w:t>
      </w:r>
    </w:p>
    <w:p>
      <w:pPr>
        <w:pStyle w:val="78"/>
        <w:numPr>
          <w:ilvl w:val="0"/>
          <w:numId w:val="17"/>
        </w:numPr>
        <w:adjustRightInd w:val="0"/>
        <w:snapToGrid w:val="0"/>
        <w:ind w:left="420" w:leftChars="200"/>
        <w:rPr>
          <w:rFonts w:hint="eastAsia" w:ascii="宋体" w:hAnsi="宋体" w:eastAsia="宋体" w:cs="Times New Roman"/>
          <w:color w:val="auto"/>
          <w:sz w:val="24"/>
          <w:szCs w:val="24"/>
          <w:lang w:val="en-US" w:eastAsia="zh-CN"/>
        </w:rPr>
      </w:pPr>
      <w:r>
        <w:rPr>
          <w:rFonts w:hint="eastAsia" w:ascii="宋体" w:hAnsi="宋体" w:eastAsia="宋体" w:cs="Times New Roman"/>
          <w:color w:val="auto"/>
          <w:sz w:val="24"/>
          <w:szCs w:val="24"/>
        </w:rPr>
        <w:t>投标保证金缴纳凭证，同时正文描述付款账号、户名、开户行名称、开户行行号、保证金金额。</w:t>
      </w:r>
    </w:p>
    <w:p>
      <w:pPr>
        <w:pStyle w:val="78"/>
        <w:numPr>
          <w:ilvl w:val="0"/>
          <w:numId w:val="17"/>
        </w:numPr>
        <w:adjustRightInd w:val="0"/>
        <w:snapToGrid w:val="0"/>
        <w:ind w:left="420" w:leftChars="200"/>
        <w:rPr>
          <w:rFonts w:hint="eastAsia" w:ascii="宋体" w:hAnsi="宋体" w:eastAsia="宋体" w:cs="Times New Roman"/>
          <w:color w:val="auto"/>
          <w:sz w:val="24"/>
          <w:szCs w:val="24"/>
        </w:rPr>
      </w:pPr>
      <w:r>
        <w:rPr>
          <w:rFonts w:hint="eastAsia" w:ascii="宋体" w:hAnsi="宋体" w:eastAsia="宋体" w:cs="Times New Roman"/>
          <w:color w:val="auto"/>
          <w:sz w:val="24"/>
          <w:szCs w:val="24"/>
          <w:lang w:val="en-US" w:eastAsia="zh-CN"/>
        </w:rPr>
        <w:t>省级以上市场监督管理局发放的FD1或FD2资质（整定压力小于10MPa的安全阀校验）</w:t>
      </w:r>
      <w:r>
        <w:rPr>
          <w:rFonts w:hint="eastAsia" w:hAnsi="宋体" w:cs="Times New Roman"/>
          <w:color w:val="auto"/>
          <w:sz w:val="24"/>
          <w:szCs w:val="24"/>
          <w:lang w:val="en-US" w:eastAsia="zh-CN"/>
        </w:rPr>
        <w:t>、</w:t>
      </w:r>
      <w:r>
        <w:rPr>
          <w:rFonts w:hint="eastAsia" w:ascii="宋体" w:hAnsi="宋体" w:eastAsia="宋体" w:cs="Times New Roman"/>
          <w:color w:val="auto"/>
          <w:sz w:val="24"/>
          <w:szCs w:val="24"/>
          <w:lang w:val="en-US" w:eastAsia="zh-CN"/>
        </w:rPr>
        <w:t>RD1或RD2或RD3资质（一、二类固定压力容器检验）</w:t>
      </w:r>
      <w:r>
        <w:rPr>
          <w:rFonts w:hint="eastAsia" w:hAnsi="宋体" w:cs="Times New Roman"/>
          <w:color w:val="auto"/>
          <w:sz w:val="24"/>
          <w:szCs w:val="24"/>
          <w:lang w:val="en-US" w:eastAsia="zh-CN"/>
        </w:rPr>
        <w:t>、</w:t>
      </w:r>
      <w:r>
        <w:rPr>
          <w:rFonts w:hint="eastAsia" w:ascii="宋体" w:hAnsi="宋体" w:eastAsia="宋体" w:cs="Times New Roman"/>
          <w:color w:val="auto"/>
          <w:sz w:val="24"/>
          <w:szCs w:val="24"/>
          <w:lang w:val="en-US" w:eastAsia="zh-CN"/>
        </w:rPr>
        <w:t>RD6资质（气瓶检验）</w:t>
      </w:r>
      <w:r>
        <w:rPr>
          <w:rFonts w:hint="eastAsia" w:hAnsi="宋体" w:cs="Times New Roman"/>
          <w:color w:val="auto"/>
          <w:sz w:val="24"/>
          <w:szCs w:val="24"/>
          <w:lang w:val="en-US" w:eastAsia="zh-CN"/>
        </w:rPr>
        <w:t>等资质证书。</w:t>
      </w:r>
    </w:p>
    <w:p>
      <w:pPr>
        <w:pStyle w:val="78"/>
        <w:numPr>
          <w:ilvl w:val="0"/>
          <w:numId w:val="17"/>
        </w:numPr>
        <w:adjustRightInd w:val="0"/>
        <w:snapToGrid w:val="0"/>
        <w:ind w:left="420" w:leftChars="200"/>
        <w:rPr>
          <w:rFonts w:hAnsi="宋体"/>
          <w:b/>
          <w:bCs/>
          <w:color w:val="auto"/>
          <w:sz w:val="24"/>
          <w:szCs w:val="24"/>
        </w:rPr>
      </w:pPr>
      <w:r>
        <w:rPr>
          <w:rFonts w:hint="eastAsia" w:hAnsi="宋体"/>
          <w:b/>
          <w:bCs/>
          <w:color w:val="auto"/>
          <w:sz w:val="24"/>
          <w:szCs w:val="24"/>
        </w:rPr>
        <w:t>对于投标人资质审核不通过的，招标人有权拒绝其投标。</w:t>
      </w:r>
    </w:p>
    <w:p>
      <w:pPr>
        <w:pStyle w:val="78"/>
        <w:numPr>
          <w:ilvl w:val="0"/>
          <w:numId w:val="16"/>
        </w:numPr>
        <w:adjustRightInd w:val="0"/>
        <w:snapToGrid w:val="0"/>
        <w:rPr>
          <w:rFonts w:hAnsi="宋体" w:cs="黑体"/>
          <w:bCs/>
          <w:color w:val="auto"/>
          <w:sz w:val="24"/>
          <w:szCs w:val="24"/>
        </w:rPr>
      </w:pPr>
      <w:r>
        <w:rPr>
          <w:rFonts w:hint="eastAsia" w:hAnsi="宋体" w:cs="黑体"/>
          <w:bCs/>
          <w:color w:val="auto"/>
          <w:sz w:val="24"/>
          <w:szCs w:val="24"/>
        </w:rPr>
        <w:t>商务标</w:t>
      </w:r>
    </w:p>
    <w:p>
      <w:pPr>
        <w:pStyle w:val="78"/>
        <w:numPr>
          <w:ilvl w:val="0"/>
          <w:numId w:val="18"/>
        </w:numPr>
        <w:adjustRightInd w:val="0"/>
        <w:snapToGrid w:val="0"/>
        <w:ind w:left="420" w:leftChars="200"/>
        <w:rPr>
          <w:rFonts w:hAnsi="宋体"/>
          <w:color w:val="auto"/>
          <w:sz w:val="24"/>
          <w:szCs w:val="24"/>
        </w:rPr>
      </w:pPr>
      <w:r>
        <w:rPr>
          <w:rFonts w:hint="eastAsia" w:hAnsi="宋体"/>
          <w:color w:val="auto"/>
          <w:sz w:val="24"/>
          <w:szCs w:val="24"/>
        </w:rPr>
        <w:t>开标一览表（附件</w:t>
      </w:r>
      <w:r>
        <w:rPr>
          <w:rFonts w:hAnsi="宋体"/>
          <w:color w:val="auto"/>
          <w:sz w:val="24"/>
          <w:szCs w:val="24"/>
        </w:rPr>
        <w:t>3</w:t>
      </w:r>
      <w:r>
        <w:rPr>
          <w:rFonts w:hint="eastAsia" w:hAnsi="宋体"/>
          <w:color w:val="auto"/>
          <w:sz w:val="24"/>
          <w:szCs w:val="24"/>
        </w:rPr>
        <w:t>）</w:t>
      </w:r>
      <w:r>
        <w:rPr>
          <w:rFonts w:hint="eastAsia" w:hAnsi="宋体"/>
          <w:color w:val="auto"/>
          <w:sz w:val="24"/>
          <w:szCs w:val="24"/>
          <w:lang w:eastAsia="zh-CN"/>
        </w:rPr>
        <w:t>：</w:t>
      </w:r>
      <w:r>
        <w:rPr>
          <w:rFonts w:hint="eastAsia" w:ascii="宋体" w:hAnsi="宋体" w:eastAsia="宋体" w:cs="黑体"/>
          <w:color w:val="auto"/>
          <w:sz w:val="24"/>
          <w:szCs w:val="24"/>
          <w:highlight w:val="none"/>
          <w:lang w:val="en-US" w:eastAsia="zh-CN"/>
        </w:rPr>
        <w:t>投标方根据自身的资质</w:t>
      </w:r>
      <w:r>
        <w:rPr>
          <w:rFonts w:hint="eastAsia" w:hAnsi="宋体" w:cs="黑体"/>
          <w:color w:val="auto"/>
          <w:sz w:val="24"/>
          <w:szCs w:val="24"/>
          <w:highlight w:val="none"/>
          <w:lang w:val="en-US" w:eastAsia="zh-CN"/>
        </w:rPr>
        <w:t>及</w:t>
      </w:r>
      <w:r>
        <w:rPr>
          <w:rFonts w:hint="eastAsia" w:ascii="宋体" w:hAnsi="宋体" w:eastAsia="宋体" w:cs="黑体"/>
          <w:color w:val="auto"/>
          <w:sz w:val="24"/>
          <w:szCs w:val="24"/>
          <w:highlight w:val="none"/>
          <w:lang w:val="en-US" w:eastAsia="zh-CN"/>
        </w:rPr>
        <w:t>检验检测</w:t>
      </w:r>
      <w:r>
        <w:rPr>
          <w:rFonts w:hint="eastAsia" w:hAnsi="宋体" w:cs="黑体"/>
          <w:color w:val="auto"/>
          <w:sz w:val="24"/>
          <w:szCs w:val="24"/>
          <w:highlight w:val="none"/>
          <w:lang w:val="en-US" w:eastAsia="zh-CN"/>
        </w:rPr>
        <w:t>能力，在《</w:t>
      </w:r>
      <w:r>
        <w:rPr>
          <w:rFonts w:hint="eastAsia" w:ascii="宋体" w:hAnsi="宋体" w:eastAsia="宋体" w:cs="黑体"/>
          <w:color w:val="auto"/>
          <w:sz w:val="24"/>
          <w:szCs w:val="24"/>
          <w:highlight w:val="none"/>
          <w:lang w:val="en-US" w:eastAsia="zh-CN"/>
        </w:rPr>
        <w:t>开标一览表》中</w:t>
      </w:r>
      <w:r>
        <w:rPr>
          <w:rFonts w:hint="eastAsia" w:hAnsi="宋体" w:cs="黑体"/>
          <w:color w:val="auto"/>
          <w:sz w:val="24"/>
          <w:szCs w:val="24"/>
          <w:highlight w:val="none"/>
          <w:lang w:val="en-US" w:eastAsia="zh-CN"/>
        </w:rPr>
        <w:t>对可开展的</w:t>
      </w:r>
      <w:r>
        <w:rPr>
          <w:rFonts w:hint="eastAsia" w:ascii="宋体" w:hAnsi="宋体" w:eastAsia="宋体" w:cs="黑体"/>
          <w:color w:val="auto"/>
          <w:sz w:val="24"/>
          <w:szCs w:val="24"/>
          <w:highlight w:val="none"/>
          <w:lang w:val="en-US" w:eastAsia="zh-CN"/>
        </w:rPr>
        <w:t>特种设备检验检测</w:t>
      </w:r>
      <w:r>
        <w:rPr>
          <w:rFonts w:hint="eastAsia" w:hAnsi="宋体" w:cs="黑体"/>
          <w:color w:val="auto"/>
          <w:sz w:val="24"/>
          <w:szCs w:val="24"/>
          <w:highlight w:val="none"/>
          <w:lang w:val="en-US" w:eastAsia="zh-CN"/>
        </w:rPr>
        <w:t>项目进行报价</w:t>
      </w:r>
      <w:r>
        <w:rPr>
          <w:rFonts w:hint="eastAsia" w:hAnsi="宋体"/>
          <w:color w:val="auto"/>
          <w:sz w:val="24"/>
          <w:szCs w:val="24"/>
        </w:rPr>
        <w:t>；</w:t>
      </w:r>
    </w:p>
    <w:p>
      <w:pPr>
        <w:pStyle w:val="78"/>
        <w:numPr>
          <w:ilvl w:val="0"/>
          <w:numId w:val="18"/>
        </w:numPr>
        <w:adjustRightInd w:val="0"/>
        <w:snapToGrid w:val="0"/>
        <w:ind w:left="420" w:leftChars="200"/>
        <w:rPr>
          <w:rFonts w:hAnsi="宋体"/>
          <w:color w:val="auto"/>
          <w:sz w:val="24"/>
          <w:szCs w:val="24"/>
        </w:rPr>
      </w:pPr>
      <w:r>
        <w:rPr>
          <w:rFonts w:hint="eastAsia" w:hAnsi="宋体"/>
          <w:color w:val="auto"/>
          <w:sz w:val="24"/>
          <w:szCs w:val="24"/>
        </w:rPr>
        <w:t>投标函（附件</w:t>
      </w:r>
      <w:r>
        <w:rPr>
          <w:rFonts w:hAnsi="宋体"/>
          <w:color w:val="auto"/>
          <w:sz w:val="24"/>
          <w:szCs w:val="24"/>
        </w:rPr>
        <w:t>4</w:t>
      </w:r>
      <w:r>
        <w:rPr>
          <w:rFonts w:hint="eastAsia" w:hAnsi="宋体"/>
          <w:color w:val="auto"/>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8"/>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8"/>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28</w:t>
      </w:r>
      <w:r>
        <w:rPr>
          <w:rFonts w:hint="eastAsia" w:hAnsi="宋体"/>
          <w:sz w:val="24"/>
          <w:szCs w:val="24"/>
          <w:highlight w:val="none"/>
          <w:u w:val="single"/>
        </w:rPr>
        <w:t>日17:00:00（北京时间）</w:t>
      </w:r>
    </w:p>
    <w:p>
      <w:pPr>
        <w:pStyle w:val="74"/>
        <w:adjustRightInd w:val="0"/>
        <w:snapToGrid w:val="0"/>
        <w:ind w:left="0" w:firstLine="0"/>
        <w:jc w:val="left"/>
        <w:outlineLvl w:val="9"/>
        <w:rPr>
          <w:rFonts w:ascii="宋体" w:hAnsi="宋体" w:eastAsia="宋体"/>
          <w:sz w:val="24"/>
          <w:szCs w:val="24"/>
        </w:rPr>
      </w:pPr>
      <w:bookmarkStart w:id="6" w:name="_Toc47976601"/>
      <w:r>
        <w:rPr>
          <w:rFonts w:hint="eastAsia" w:ascii="宋体" w:hAnsi="宋体" w:eastAsia="宋体"/>
          <w:sz w:val="24"/>
          <w:szCs w:val="24"/>
        </w:rPr>
        <w:t>投标保证金收取、缴纳有效期及罚没</w:t>
      </w:r>
    </w:p>
    <w:p>
      <w:pPr>
        <w:pStyle w:val="74"/>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8"/>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8"/>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8"/>
        <w:adjustRightInd w:val="0"/>
        <w:snapToGrid w:val="0"/>
        <w:ind w:left="420" w:leftChars="200"/>
        <w:rPr>
          <w:rFonts w:hAnsi="宋体"/>
          <w:sz w:val="24"/>
          <w:szCs w:val="24"/>
        </w:rPr>
      </w:pPr>
      <w:r>
        <w:rPr>
          <w:rFonts w:hint="eastAsia" w:hAnsi="宋体"/>
          <w:sz w:val="24"/>
          <w:szCs w:val="24"/>
        </w:rPr>
        <w:t>收款账号：8112501012801267437</w:t>
      </w:r>
    </w:p>
    <w:p>
      <w:pPr>
        <w:pStyle w:val="78"/>
        <w:adjustRightInd w:val="0"/>
        <w:snapToGrid w:val="0"/>
        <w:ind w:left="420" w:leftChars="200"/>
        <w:rPr>
          <w:rFonts w:hAnsi="宋体"/>
          <w:sz w:val="24"/>
          <w:szCs w:val="24"/>
        </w:rPr>
      </w:pPr>
      <w:r>
        <w:rPr>
          <w:rFonts w:hint="eastAsia" w:hAnsi="宋体"/>
          <w:sz w:val="24"/>
          <w:szCs w:val="24"/>
        </w:rPr>
        <w:t>开户行名称：中信银行济南舜耕支行</w:t>
      </w:r>
    </w:p>
    <w:p>
      <w:pPr>
        <w:pStyle w:val="78"/>
        <w:adjustRightInd w:val="0"/>
        <w:snapToGrid w:val="0"/>
        <w:ind w:left="420" w:leftChars="200"/>
        <w:rPr>
          <w:rFonts w:hAnsi="宋体"/>
          <w:sz w:val="24"/>
          <w:szCs w:val="24"/>
        </w:rPr>
      </w:pPr>
      <w:r>
        <w:rPr>
          <w:rFonts w:hint="eastAsia" w:hAnsi="宋体"/>
          <w:sz w:val="24"/>
          <w:szCs w:val="24"/>
        </w:rPr>
        <w:t>开户行行号：302451037264</w:t>
      </w:r>
    </w:p>
    <w:p>
      <w:pPr>
        <w:pStyle w:val="78"/>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8"/>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5</w:t>
      </w:r>
      <w:r>
        <w:rPr>
          <w:rFonts w:hint="eastAsia" w:hAnsi="宋体" w:eastAsia="答疑"/>
          <w:sz w:val="24"/>
          <w:szCs w:val="24"/>
          <w:highlight w:val="none"/>
          <w:u w:val="single"/>
        </w:rPr>
        <w:t>月</w:t>
      </w:r>
      <w:r>
        <w:rPr>
          <w:rFonts w:hint="eastAsia" w:hAnsi="宋体"/>
          <w:sz w:val="24"/>
          <w:szCs w:val="24"/>
          <w:highlight w:val="none"/>
          <w:u w:val="single"/>
          <w:lang w:val="en-US" w:eastAsia="zh-CN"/>
        </w:rPr>
        <w:t>28</w:t>
      </w:r>
      <w:r>
        <w:rPr>
          <w:rFonts w:hint="eastAsia" w:hAnsi="宋体" w:eastAsia="答疑"/>
          <w:sz w:val="24"/>
          <w:szCs w:val="24"/>
          <w:highlight w:val="none"/>
          <w:u w:val="single"/>
        </w:rPr>
        <w:t>日17:00:00（北京时间）</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8"/>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8"/>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8"/>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8"/>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8"/>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8"/>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8"/>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8"/>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6"/>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8"/>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5</w:t>
      </w:r>
      <w:r>
        <w:rPr>
          <w:rFonts w:hint="eastAsia" w:hAnsi="宋体" w:cs="宋体"/>
          <w:sz w:val="24"/>
          <w:szCs w:val="24"/>
          <w:highlight w:val="none"/>
        </w:rPr>
        <w:t>月</w:t>
      </w:r>
      <w:r>
        <w:rPr>
          <w:rFonts w:hint="eastAsia" w:hAnsi="宋体" w:cs="宋体"/>
          <w:sz w:val="24"/>
          <w:szCs w:val="24"/>
          <w:highlight w:val="none"/>
          <w:lang w:val="en-US" w:eastAsia="zh-CN"/>
        </w:rPr>
        <w:t>29</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8"/>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8"/>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4"/>
        <w:numPr>
          <w:ilvl w:val="0"/>
          <w:numId w:val="23"/>
        </w:numPr>
        <w:adjustRightInd w:val="0"/>
        <w:snapToGrid w:val="0"/>
        <w:jc w:val="left"/>
        <w:outlineLvl w:val="9"/>
        <w:rPr>
          <w:rFonts w:hint="eastAsia" w:ascii="宋体" w:hAnsi="宋体" w:eastAsia="宋体" w:cs="黑体"/>
          <w:b w:val="0"/>
          <w:bCs w:val="0"/>
          <w:color w:val="auto"/>
          <w:sz w:val="24"/>
          <w:szCs w:val="24"/>
          <w:highlight w:val="none"/>
          <w:lang w:val="en-US" w:eastAsia="zh-CN"/>
        </w:rPr>
      </w:pPr>
      <w:r>
        <w:rPr>
          <w:rFonts w:hint="eastAsia" w:ascii="宋体" w:hAnsi="宋体" w:eastAsia="宋体" w:cs="黑体"/>
          <w:b w:val="0"/>
          <w:bCs w:val="0"/>
          <w:color w:val="auto"/>
          <w:sz w:val="24"/>
          <w:szCs w:val="24"/>
          <w:highlight w:val="none"/>
        </w:rPr>
        <w:t>评标方法：</w:t>
      </w:r>
      <w:r>
        <w:rPr>
          <w:rFonts w:hint="eastAsia" w:ascii="宋体" w:hAnsi="宋体" w:eastAsia="宋体" w:cs="黑体"/>
          <w:color w:val="auto"/>
          <w:sz w:val="24"/>
          <w:szCs w:val="24"/>
          <w:highlight w:val="none"/>
        </w:rPr>
        <w:t>合理最低价</w:t>
      </w:r>
      <w:r>
        <w:rPr>
          <w:rFonts w:hint="eastAsia" w:ascii="宋体" w:hAnsi="宋体" w:eastAsia="宋体" w:cs="黑体"/>
          <w:color w:val="auto"/>
          <w:sz w:val="24"/>
          <w:szCs w:val="24"/>
          <w:highlight w:val="none"/>
          <w:u w:val="none"/>
        </w:rPr>
        <w:t>中标</w:t>
      </w:r>
      <w:r>
        <w:rPr>
          <w:rFonts w:hint="eastAsia" w:ascii="宋体" w:hAnsi="宋体" w:eastAsia="宋体" w:cs="黑体"/>
          <w:b w:val="0"/>
          <w:bCs w:val="0"/>
          <w:color w:val="auto"/>
          <w:sz w:val="24"/>
          <w:szCs w:val="24"/>
          <w:highlight w:val="none"/>
          <w:lang w:val="en-US" w:eastAsia="zh-CN"/>
        </w:rPr>
        <w:t>。</w:t>
      </w:r>
    </w:p>
    <w:p>
      <w:pPr>
        <w:pStyle w:val="74"/>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2"/>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投标人在近三年内有类似标的特种设备检验检测项目业绩，以合同复印件加盖公章为准（须有客户联系方式及联系人以供招标人核实确认）</w:t>
            </w:r>
            <w:r>
              <w:rPr>
                <w:rFonts w:hint="default" w:ascii="宋体" w:hAnsi="宋体" w:eastAsia="宋体" w:cs="宋体"/>
                <w:b w:val="0"/>
                <w:bCs w:val="0"/>
                <w:kern w:val="2"/>
                <w:sz w:val="24"/>
                <w:szCs w:val="24"/>
                <w:lang w:val="en-US" w:eastAsia="zh-CN" w:bidi="ar-SA"/>
              </w:rPr>
              <w:t>，每个</w:t>
            </w:r>
            <w:r>
              <w:rPr>
                <w:rFonts w:hint="eastAsia" w:ascii="宋体" w:hAnsi="宋体" w:eastAsia="宋体" w:cs="宋体"/>
                <w:b w:val="0"/>
                <w:bCs w:val="0"/>
                <w:kern w:val="2"/>
                <w:sz w:val="24"/>
                <w:szCs w:val="24"/>
                <w:lang w:val="en-US" w:eastAsia="zh-CN" w:bidi="ar-SA"/>
              </w:rPr>
              <w:t>特种设备检验检测</w:t>
            </w:r>
            <w:r>
              <w:rPr>
                <w:rFonts w:hint="default" w:ascii="宋体" w:hAnsi="宋体" w:eastAsia="宋体" w:cs="宋体"/>
                <w:b w:val="0"/>
                <w:bCs w:val="0"/>
                <w:kern w:val="2"/>
                <w:sz w:val="24"/>
                <w:szCs w:val="24"/>
                <w:lang w:val="en-US" w:eastAsia="zh-CN" w:bidi="ar-SA"/>
              </w:rPr>
              <w:t>合同加</w:t>
            </w:r>
            <w:r>
              <w:rPr>
                <w:rFonts w:hint="eastAsia" w:ascii="宋体" w:hAnsi="宋体" w:eastAsia="宋体" w:cs="宋体"/>
                <w:b w:val="0"/>
                <w:bCs w:val="0"/>
                <w:kern w:val="2"/>
                <w:sz w:val="24"/>
                <w:szCs w:val="24"/>
                <w:lang w:val="en-US" w:eastAsia="zh-CN" w:bidi="ar-SA"/>
              </w:rPr>
              <w:t>10</w:t>
            </w:r>
            <w:r>
              <w:rPr>
                <w:rFonts w:hint="default" w:ascii="宋体" w:hAnsi="宋体" w:eastAsia="宋体" w:cs="宋体"/>
                <w:b w:val="0"/>
                <w:bCs w:val="0"/>
                <w:kern w:val="2"/>
                <w:sz w:val="24"/>
                <w:szCs w:val="24"/>
                <w:lang w:val="en-US" w:eastAsia="zh-CN" w:bidi="ar-SA"/>
              </w:rPr>
              <w:t>分</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满分</w:t>
            </w:r>
            <w:r>
              <w:rPr>
                <w:rFonts w:hint="eastAsia" w:ascii="宋体" w:hAnsi="宋体" w:eastAsia="宋体" w:cs="宋体"/>
                <w:b w:val="0"/>
                <w:bCs w:val="0"/>
                <w:kern w:val="2"/>
                <w:sz w:val="24"/>
                <w:szCs w:val="24"/>
                <w:lang w:val="en-US" w:eastAsia="zh-CN" w:bidi="ar-SA"/>
              </w:rPr>
              <w:t>30</w:t>
            </w:r>
            <w:r>
              <w:rPr>
                <w:rFonts w:hint="default" w:ascii="宋体" w:hAnsi="宋体" w:eastAsia="宋体" w:cs="宋体"/>
                <w:b w:val="0"/>
                <w:bCs w:val="0"/>
                <w:kern w:val="2"/>
                <w:sz w:val="24"/>
                <w:szCs w:val="24"/>
                <w:lang w:val="en-US" w:eastAsia="zh-CN" w:bidi="ar-SA"/>
              </w:rPr>
              <w:t>分，没有不得分。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检验检测工作使用的方法、工艺及对检验检测操作人员的安全、职业健康保障措施等。满分30分，评委根据投标文件情况分为一般、良、优，分别酌情得10-15分、15-25分、25-30分，内容不合理酌情扣分，每项酌情减分，减完为止。</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供应商能力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widowControl/>
              <w:numPr>
                <w:ilvl w:val="0"/>
                <w:numId w:val="25"/>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拥有由市场监督管理局颁发的特种设备检验检测资质证书，以满足本项目基本需求（FD2、RD3、RD6）为基础，得15分；在此基础上，每额外多拥有一项由市场监督管理局颁发的特种设备检验检测资质，加1分，总分20分。</w:t>
            </w:r>
          </w:p>
          <w:p>
            <w:pPr>
              <w:widowControl/>
              <w:numPr>
                <w:ilvl w:val="0"/>
                <w:numId w:val="25"/>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供应商实力：注册资本100万元以上，得3分，每多100万元，加1分，总分5分。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3、供应商检验检测设备设施：提供特种设备检验检测的专业设备设施清单和资产证明，评委根据实际情况进行赋分1-5分。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方案讲解及答疑</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针对检验检测方案讲解，根据供应商表现赋分5-10分。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w:t>
      </w:r>
      <w:r>
        <w:rPr>
          <w:rFonts w:hint="eastAsia" w:hAnsi="宋体"/>
          <w:color w:val="auto"/>
          <w:sz w:val="24"/>
          <w:szCs w:val="24"/>
          <w:u w:val="single"/>
        </w:rPr>
        <w:t>览表》</w:t>
      </w:r>
      <w:r>
        <w:rPr>
          <w:rFonts w:hint="eastAsia" w:hAnsi="宋体"/>
          <w:color w:val="auto"/>
          <w:sz w:val="24"/>
          <w:szCs w:val="24"/>
          <w:u w:val="single"/>
          <w:lang w:val="en-US" w:eastAsia="zh-CN"/>
        </w:rPr>
        <w:t>中各项</w:t>
      </w:r>
      <w:r>
        <w:rPr>
          <w:rFonts w:hint="eastAsia" w:hAnsi="宋体"/>
          <w:color w:val="auto"/>
          <w:sz w:val="24"/>
          <w:szCs w:val="24"/>
          <w:u w:val="single"/>
        </w:rPr>
        <w:t>（未税）</w:t>
      </w:r>
      <w:r>
        <w:rPr>
          <w:rFonts w:hint="eastAsia" w:hAnsi="宋体"/>
          <w:color w:val="auto"/>
          <w:sz w:val="24"/>
          <w:szCs w:val="24"/>
          <w:u w:val="single"/>
          <w:lang w:val="en-US" w:eastAsia="zh-CN"/>
        </w:rPr>
        <w:t>单价</w:t>
      </w:r>
      <w:r>
        <w:rPr>
          <w:rFonts w:hint="eastAsia" w:hAnsi="宋体"/>
          <w:color w:val="auto"/>
          <w:sz w:val="24"/>
          <w:szCs w:val="24"/>
          <w:u w:val="single"/>
        </w:rPr>
        <w:t>最低的投标人为本项目</w:t>
      </w:r>
      <w:r>
        <w:rPr>
          <w:rFonts w:hint="eastAsia" w:hAnsi="宋体"/>
          <w:color w:val="auto"/>
          <w:sz w:val="24"/>
          <w:szCs w:val="24"/>
          <w:u w:val="single"/>
          <w:lang w:val="en-US" w:eastAsia="zh-CN"/>
        </w:rPr>
        <w:t>中标人，本项目中标人可为一家或多家投标人</w:t>
      </w:r>
      <w:r>
        <w:rPr>
          <w:rFonts w:hint="eastAsia" w:hAnsi="宋体"/>
          <w:color w:val="auto"/>
          <w:sz w:val="24"/>
          <w:szCs w:val="24"/>
          <w:u w:val="single"/>
        </w:rPr>
        <w:t>。</w:t>
      </w:r>
      <w:r>
        <w:rPr>
          <w:rFonts w:hint="eastAsia" w:ascii="宋体" w:hAnsi="宋体" w:eastAsia="宋体"/>
          <w:color w:val="auto"/>
          <w:sz w:val="24"/>
          <w:szCs w:val="24"/>
          <w:u w:val="single"/>
        </w:rPr>
        <w:t>本</w:t>
      </w:r>
      <w:r>
        <w:rPr>
          <w:rFonts w:hint="eastAsia" w:ascii="宋体" w:hAnsi="宋体" w:eastAsia="宋体"/>
          <w:sz w:val="24"/>
          <w:szCs w:val="24"/>
          <w:u w:val="single"/>
        </w:rPr>
        <w:t>次招标本着公平、公正、公开的原则，以</w:t>
      </w:r>
      <w:r>
        <w:rPr>
          <w:rFonts w:hint="eastAsia" w:ascii="宋体" w:hAnsi="宋体" w:eastAsia="宋体"/>
          <w:sz w:val="24"/>
          <w:szCs w:val="24"/>
          <w:u w:val="single"/>
          <w:lang w:val="en-US" w:eastAsia="zh-CN"/>
        </w:rPr>
        <w:t>合理最低价</w:t>
      </w:r>
      <w:r>
        <w:rPr>
          <w:rFonts w:hint="eastAsia" w:ascii="宋体" w:hAnsi="宋体" w:eastAsia="宋体"/>
          <w:sz w:val="24"/>
          <w:szCs w:val="24"/>
          <w:u w:val="single"/>
        </w:rPr>
        <w:t>确定中标人，对未中标单位不做任何解释。</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8"/>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8"/>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8"/>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lang w:val="en-US" w:eastAsia="zh-CN"/>
        </w:rPr>
        <w:t>多</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8"/>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8"/>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78"/>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8"/>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78"/>
        <w:numPr>
          <w:ilvl w:val="1"/>
          <w:numId w:val="28"/>
        </w:numPr>
        <w:adjustRightInd w:val="0"/>
        <w:snapToGrid w:val="0"/>
        <w:rPr>
          <w:rFonts w:hAnsi="宋体"/>
          <w:sz w:val="24"/>
          <w:szCs w:val="24"/>
        </w:rPr>
      </w:pPr>
      <w:r>
        <w:rPr>
          <w:rFonts w:hint="eastAsia" w:hAnsi="宋体"/>
          <w:sz w:val="24"/>
          <w:szCs w:val="24"/>
        </w:rPr>
        <w:t>投标人串通投标；</w:t>
      </w:r>
    </w:p>
    <w:p>
      <w:pPr>
        <w:pStyle w:val="78"/>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78"/>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8"/>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8"/>
        <w:numPr>
          <w:ilvl w:val="1"/>
          <w:numId w:val="28"/>
        </w:numPr>
        <w:adjustRightInd w:val="0"/>
        <w:snapToGrid w:val="0"/>
        <w:rPr>
          <w:rFonts w:hAnsi="宋体"/>
          <w:sz w:val="24"/>
          <w:szCs w:val="24"/>
        </w:rPr>
      </w:pPr>
      <w:r>
        <w:rPr>
          <w:rFonts w:hint="eastAsia" w:hAnsi="宋体"/>
          <w:sz w:val="24"/>
          <w:szCs w:val="24"/>
        </w:rPr>
        <w:t>有效投标不足三家；</w:t>
      </w:r>
    </w:p>
    <w:p>
      <w:pPr>
        <w:pStyle w:val="78"/>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8"/>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78"/>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8"/>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8"/>
        <w:numPr>
          <w:ilvl w:val="1"/>
          <w:numId w:val="28"/>
        </w:numPr>
        <w:adjustRightInd w:val="0"/>
        <w:snapToGrid w:val="0"/>
        <w:rPr>
          <w:rFonts w:hAnsi="宋体"/>
          <w:sz w:val="24"/>
          <w:szCs w:val="24"/>
        </w:rPr>
      </w:pPr>
      <w:r>
        <w:rPr>
          <w:rFonts w:hint="eastAsia" w:hAnsi="宋体"/>
          <w:sz w:val="24"/>
          <w:szCs w:val="24"/>
        </w:rPr>
        <w:t>法律、法规规定的其他情况。</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7" w:name="OLE_LINK29"/>
      <w:bookmarkStart w:id="8" w:name="OLE_LINK26"/>
      <w:bookmarkStart w:id="9" w:name="OLE_LINK28"/>
      <w:bookmarkStart w:id="10" w:name="OLE_LINK25"/>
      <w:bookmarkStart w:id="11" w:name="OLE_LINK27"/>
      <w:r>
        <w:rPr>
          <w:rFonts w:hint="eastAsia" w:ascii="宋体" w:hAnsi="宋体" w:cs="宋体"/>
          <w:sz w:val="24"/>
          <w:szCs w:val="24"/>
        </w:rPr>
        <w:t>；</w:t>
      </w:r>
      <w:bookmarkEnd w:id="7"/>
      <w:bookmarkEnd w:id="8"/>
      <w:bookmarkEnd w:id="9"/>
      <w:bookmarkEnd w:id="10"/>
      <w:bookmarkEnd w:id="11"/>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4"/>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8"/>
        <w:numPr>
          <w:ilvl w:val="0"/>
          <w:numId w:val="31"/>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付款方式：银行转账；</w:t>
      </w:r>
    </w:p>
    <w:p>
      <w:pPr>
        <w:pStyle w:val="78"/>
        <w:numPr>
          <w:ilvl w:val="0"/>
          <w:numId w:val="31"/>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付款节点：按批次结算，以当批次实际检验检测设备数量为准进行结</w:t>
      </w:r>
      <w:r>
        <w:rPr>
          <w:rFonts w:hint="eastAsia" w:ascii="宋体" w:hAnsi="宋体" w:eastAsia="宋体" w:cs="宋体"/>
          <w:bCs/>
          <w:color w:val="auto"/>
          <w:kern w:val="2"/>
          <w:sz w:val="24"/>
          <w:szCs w:val="24"/>
          <w:lang w:val="en-US" w:eastAsia="zh-CN" w:bidi="ar-SA"/>
        </w:rPr>
        <w:t>算，</w:t>
      </w:r>
      <w:r>
        <w:rPr>
          <w:rFonts w:hint="eastAsia" w:hAnsi="宋体" w:cs="宋体"/>
          <w:bCs/>
          <w:color w:val="auto"/>
          <w:kern w:val="2"/>
          <w:sz w:val="24"/>
          <w:szCs w:val="24"/>
          <w:lang w:val="en-US" w:eastAsia="zh-CN" w:bidi="ar-SA"/>
        </w:rPr>
        <w:t>费用清单经招标人审核无误</w:t>
      </w:r>
      <w:r>
        <w:rPr>
          <w:rFonts w:hint="eastAsia" w:ascii="宋体" w:hAnsi="宋体" w:eastAsia="宋体" w:cs="宋体"/>
          <w:bCs/>
          <w:color w:val="auto"/>
          <w:kern w:val="2"/>
          <w:sz w:val="24"/>
          <w:szCs w:val="24"/>
          <w:lang w:val="en-US" w:eastAsia="zh-CN" w:bidi="ar-SA"/>
        </w:rPr>
        <w:t>后</w:t>
      </w:r>
      <w:r>
        <w:rPr>
          <w:rFonts w:hint="eastAsia" w:hAnsi="宋体" w:cs="宋体"/>
          <w:bCs/>
          <w:color w:val="auto"/>
          <w:kern w:val="2"/>
          <w:sz w:val="24"/>
          <w:szCs w:val="24"/>
          <w:lang w:val="en-US" w:eastAsia="zh-CN" w:bidi="ar-SA"/>
        </w:rPr>
        <w:t>，</w:t>
      </w:r>
      <w:r>
        <w:rPr>
          <w:rFonts w:hint="eastAsia" w:ascii="宋体" w:hAnsi="宋体" w:eastAsia="宋体" w:cs="宋体"/>
          <w:bCs/>
          <w:color w:val="auto"/>
          <w:kern w:val="2"/>
          <w:sz w:val="24"/>
          <w:szCs w:val="24"/>
          <w:lang w:val="en-US" w:eastAsia="zh-CN" w:bidi="ar-SA"/>
        </w:rPr>
        <w:t>通知中标方开具有效增值税发票到招标人财务挂账，</w:t>
      </w:r>
      <w:r>
        <w:rPr>
          <w:rFonts w:hint="eastAsia" w:ascii="宋体" w:hAnsi="宋体" w:eastAsia="宋体" w:cs="宋体"/>
          <w:bCs/>
          <w:kern w:val="2"/>
          <w:sz w:val="24"/>
          <w:szCs w:val="24"/>
          <w:lang w:val="en-US" w:eastAsia="zh-CN" w:bidi="ar-SA"/>
        </w:rPr>
        <w:t>挂账后次月付款。</w:t>
      </w:r>
    </w:p>
    <w:p>
      <w:pPr>
        <w:pStyle w:val="78"/>
        <w:adjustRightInd w:val="0"/>
        <w:snapToGrid w:val="0"/>
        <w:rPr>
          <w:rFonts w:hAnsi="宋体"/>
          <w:b/>
          <w:bCs/>
          <w:sz w:val="24"/>
          <w:szCs w:val="24"/>
        </w:rPr>
      </w:pPr>
      <w:r>
        <w:rPr>
          <w:rFonts w:hint="eastAsia" w:hAnsi="宋体"/>
          <w:b/>
          <w:bCs/>
          <w:sz w:val="24"/>
          <w:szCs w:val="24"/>
        </w:rPr>
        <w:t>付款方式及节点不允许偏离。</w:t>
      </w:r>
    </w:p>
    <w:p>
      <w:pPr>
        <w:pStyle w:val="74"/>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2" w:name="_Toc47976607"/>
    </w:p>
    <w:p>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p>
    <w:p>
      <w:pPr>
        <w:pStyle w:val="73"/>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2"/>
      <w:r>
        <w:rPr>
          <w:rFonts w:hint="eastAsia" w:ascii="宋体" w:hAnsi="宋体" w:eastAsia="宋体"/>
          <w:sz w:val="24"/>
          <w:szCs w:val="24"/>
        </w:rPr>
        <w:t>技术标书</w:t>
      </w:r>
      <w:bookmarkEnd w:id="13"/>
    </w:p>
    <w:p>
      <w:pPr>
        <w:adjustRightInd w:val="0"/>
        <w:snapToGrid w:val="0"/>
        <w:spacing w:line="360" w:lineRule="auto"/>
        <w:jc w:val="center"/>
        <w:rPr>
          <w:rFonts w:hint="eastAsia" w:asciiTheme="minorEastAsia" w:hAnsiTheme="minorEastAsia" w:eastAsiaTheme="minorEastAsia" w:cstheme="minorEastAsia"/>
          <w:b/>
          <w:i w:val="0"/>
          <w:iCs w:val="0"/>
          <w:sz w:val="24"/>
          <w:szCs w:val="24"/>
        </w:rPr>
      </w:pPr>
      <w:r>
        <w:rPr>
          <w:rFonts w:hint="eastAsia" w:ascii="宋体" w:hAnsi="宋体" w:eastAsia="宋体" w:cs="Times New Roman"/>
          <w:sz w:val="24"/>
          <w:szCs w:val="24"/>
          <w:lang w:val="en-US" w:eastAsia="zh-CN"/>
        </w:rPr>
        <w:t>特种设备检验检测</w:t>
      </w:r>
      <w:r>
        <w:rPr>
          <w:rFonts w:hint="eastAsia" w:ascii="宋体" w:hAnsi="宋体" w:eastAsia="宋体" w:cs="Times New Roman"/>
          <w:sz w:val="24"/>
          <w:szCs w:val="24"/>
        </w:rPr>
        <w:t>项技术</w:t>
      </w:r>
      <w:r>
        <w:rPr>
          <w:rFonts w:hint="eastAsia" w:ascii="宋体" w:hAnsi="宋体"/>
          <w:sz w:val="24"/>
          <w:szCs w:val="24"/>
        </w:rPr>
        <w:t>要求</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项目概述</w:t>
      </w:r>
    </w:p>
    <w:p>
      <w:pPr>
        <w:keepNext w:val="0"/>
        <w:keepLines w:val="0"/>
        <w:pageBreakBefore w:val="0"/>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本项目为重汽（重庆）轻型汽车有限公司（以下简称甲方）所使用的特种设备中，根据相关规定已实行市场化的检验检测项目，检验检测服务供应商（以下简称乙方）负责按照相关法律、法规、规章、行业规范中的要求对甲方所使用的特种设备进行检验检测，并提供明确注明检验结论的检验检测报告。本项目主要内容如下：</w:t>
      </w:r>
    </w:p>
    <w:p>
      <w:pPr>
        <w:keepNext w:val="0"/>
        <w:keepLines w:val="0"/>
        <w:pageBreakBefore w:val="0"/>
        <w:numPr>
          <w:ilvl w:val="1"/>
          <w:numId w:val="33"/>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项目名称及地点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firstLine="48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项目名称：重庆汽车厂区特种设备检验检测项目</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firstLine="48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项目地点：重庆市江津区双福新区工业园潍柴路2号（甲方双福厂区）</w:t>
      </w:r>
    </w:p>
    <w:p>
      <w:pPr>
        <w:keepNext w:val="0"/>
        <w:keepLines w:val="0"/>
        <w:pageBreakBefore w:val="0"/>
        <w:numPr>
          <w:ilvl w:val="1"/>
          <w:numId w:val="33"/>
        </w:numPr>
        <w:kinsoku/>
        <w:wordWrap/>
        <w:overflowPunct/>
        <w:topLinePunct w:val="0"/>
        <w:autoSpaceDE/>
        <w:autoSpaceDN/>
        <w:bidi w:val="0"/>
        <w:adjustRightInd/>
        <w:snapToGrid/>
        <w:spacing w:line="360" w:lineRule="auto"/>
        <w:ind w:left="0" w:leftChars="0"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项目内容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1.2.1、压力容器定期检验</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1.2.2、安全阀校验</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1.2.3、气瓶定期检验</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技术要求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2.1、压力容器定期检验要求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对于已登记注册的压力容器，定期检验应采用在线检验，及时将检验结果及过程上传至：重庆市特种设备信息化管理平台。</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检验完成并合格后应当及时出具《定期检验报告》和《特种设备使用标志》。</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2.2、安全阀校验要求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根据安全阀有效期制定下一周期校验计划并发至乙方，乙方应根据计划，在安全阀有效期到期前一个月内主动联系沟通校验送检时间，并应在有效期到期日前一周完成校验并送回，以便到期日前及时换下已到期的安全阀。</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2.3、气瓶定期检验要求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甲方根据不同类型气瓶的检验有效期，制定检验计划，乙方应根据甲方制定的检验计划，在气瓶定期检验有效期前一个月内主动联系甲方沟通检验送检时间。</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双方责任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3.1、甲方责任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甲方负责根据各类特种设备（及安全附件）的检验有效期，制定检验计划并至少提前30天以上发送给乙方。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对于必须设备停机进行的检验，甲方应当在与乙方协商确定时间后，在约定的时间为乙方的检验工作提供必要的安全工作条件。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3.2、乙方责任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乙方按相关国家法律法规及行业标准，实施检验，并对检验结果负责。</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针对固定式特种设备，乙方应当合理安排检验工作实施时间，保证在检验有效期之前完成检验工作并出具检验报告。</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针对移动式特种设备及附件，乙方应当在检验有效期到期前完成检验检测并出具检验检测报告，并为甲方预留转运、更换的必要时间。</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乙方若在检验检测过程中发现设备存在隐患或故障，应当在发现后第一时间以书面（含电子记录）形式告知甲方，告知内容应明确隐患或故障的发生地点、危急程度等内容。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乙方在进入甲方厂区前，应当主动配合门卫履行登记义务；进入厂区时应当接受相关安全教育培训；在厂区内的活动应当遵守甲方相关安全规定，若因违反相关安全规定导致的后果，由乙方全权负责。</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检验检测服务期间发生的必要的耗材和检验检测设备的损耗由乙方自行承担。</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验收要求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4.1、验收条件：按批次验收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在检验有效期到期前完成检验检测工作，若检验检测结果合格，及时出具相关检验检测报告，以邮件（电子报告）、邮寄（纸质报告）、随设备附带（移动式设备）等形式发送至甲方业务归口管理部门，经甲方业务归口管理部门确认无误后，方发起当批次的验收流程。</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违约责任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5.1、若在乙方已提前收到甲方确定的检验检测计划的情况下，因乙方自身原因导致检验检测超期，从而引发的后果，应由乙方承担责任。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5.2、其中一方无法继续履行合同的，应当提前30天通知另一方，并由责任方承担因合同解约而造成的损失。</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免责条件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若因自然灾害或其他不可抗力事件发生导致设备损毁、丢失的情况，合同双方免于承担责任。</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其他</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其余未尽事宜，由甲乙双方共同商议决定，如有重大调整，另行签订补充协议。</w:t>
      </w:r>
    </w:p>
    <w:p>
      <w:pPr>
        <w:snapToGrid w:val="0"/>
        <w:spacing w:line="360" w:lineRule="auto"/>
        <w:rPr>
          <w:rFonts w:hint="eastAsia" w:ascii="宋体" w:hAnsi="宋体" w:eastAsia="宋体" w:cs="仿宋"/>
          <w:b/>
          <w:sz w:val="24"/>
          <w:szCs w:val="24"/>
          <w:lang w:val="en-US" w:eastAsia="zh-CN"/>
        </w:rPr>
      </w:pPr>
    </w:p>
    <w:p>
      <w:pPr>
        <w:pStyle w:val="16"/>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3"/>
        <w:adjustRightInd w:val="0"/>
        <w:snapToGrid w:val="0"/>
        <w:jc w:val="left"/>
        <w:outlineLvl w:val="9"/>
        <w:rPr>
          <w:rFonts w:ascii="宋体" w:hAnsi="宋体" w:eastAsia="宋体"/>
          <w:color w:val="000000"/>
          <w:sz w:val="24"/>
          <w:szCs w:val="24"/>
        </w:rPr>
      </w:pPr>
      <w:bookmarkStart w:id="14" w:name="_Toc47976615"/>
      <w:bookmarkStart w:id="15" w:name="_Toc16500"/>
      <w:r>
        <w:rPr>
          <w:rFonts w:hint="eastAsia" w:ascii="宋体" w:hAnsi="宋体" w:eastAsia="宋体"/>
          <w:sz w:val="24"/>
          <w:szCs w:val="24"/>
        </w:rPr>
        <w:t>第三部分　</w:t>
      </w:r>
      <w:bookmarkEnd w:id="14"/>
      <w:r>
        <w:rPr>
          <w:rFonts w:hint="eastAsia" w:ascii="宋体" w:hAnsi="宋体" w:eastAsia="宋体"/>
          <w:sz w:val="24"/>
          <w:szCs w:val="24"/>
        </w:rPr>
        <w:t>投标文件附件</w:t>
      </w:r>
      <w:bookmarkEnd w:id="15"/>
    </w:p>
    <w:p>
      <w:pPr>
        <w:pStyle w:val="16"/>
        <w:adjustRightInd w:val="0"/>
        <w:snapToGrid w:val="0"/>
        <w:spacing w:line="360" w:lineRule="auto"/>
        <w:jc w:val="left"/>
        <w:rPr>
          <w:rFonts w:hAnsi="宋体"/>
          <w:sz w:val="24"/>
          <w:szCs w:val="24"/>
        </w:rPr>
      </w:pPr>
    </w:p>
    <w:p>
      <w:pPr>
        <w:pStyle w:val="74"/>
        <w:numPr>
          <w:ilvl w:val="0"/>
          <w:numId w:val="0"/>
        </w:numPr>
        <w:adjustRightInd w:val="0"/>
        <w:snapToGrid w:val="0"/>
        <w:jc w:val="left"/>
        <w:outlineLvl w:val="9"/>
        <w:rPr>
          <w:rFonts w:ascii="宋体" w:hAnsi="宋体" w:eastAsia="宋体" w:cs="宋体"/>
          <w:sz w:val="24"/>
          <w:szCs w:val="24"/>
        </w:rPr>
      </w:pPr>
      <w:bookmarkStart w:id="16" w:name="_Toc47976618"/>
      <w:bookmarkStart w:id="17" w:name="_Toc29366869"/>
      <w:bookmarkStart w:id="18" w:name="_Toc29366865"/>
      <w:r>
        <w:rPr>
          <w:rFonts w:hint="eastAsia" w:ascii="宋体" w:hAnsi="宋体" w:eastAsia="宋体" w:cs="宋体"/>
          <w:sz w:val="24"/>
          <w:szCs w:val="24"/>
        </w:rPr>
        <w:t>附件1 法定代表人授权委托书</w:t>
      </w:r>
    </w:p>
    <w:bookmarkEnd w:id="16"/>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eastAsia="宋体" w:cs="Times New Roman"/>
          <w:b/>
          <w:bCs/>
          <w:color w:val="000000"/>
          <w:sz w:val="24"/>
          <w:szCs w:val="24"/>
          <w:u w:val="single"/>
          <w:lang w:val="en-US" w:eastAsia="zh-CN"/>
        </w:rPr>
        <w:t>特种设备检验检测</w:t>
      </w:r>
      <w:r>
        <w:rPr>
          <w:rFonts w:hint="eastAsia" w:ascii="宋体" w:hAnsi="宋体" w:eastAsia="宋体" w:cs="Times New Roman"/>
          <w:b/>
          <w:bCs/>
          <w:color w:val="000000"/>
          <w:sz w:val="24"/>
          <w:szCs w:val="24"/>
          <w:u w:val="single"/>
        </w:rPr>
        <w:t>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hint="eastAsia" w:ascii="宋体" w:hAnsi="宋体" w:eastAsia="宋体" w:cs="宋体"/>
          <w:b/>
          <w:bCs/>
          <w:sz w:val="24"/>
          <w:szCs w:val="24"/>
          <w:u w:val="single"/>
        </w:rPr>
      </w:pPr>
      <w:r>
        <w:rPr>
          <w:rFonts w:hint="eastAsia" w:ascii="宋体" w:hAnsi="宋体"/>
          <w:sz w:val="24"/>
          <w:szCs w:val="24"/>
        </w:rPr>
        <w:t>项目名称：</w:t>
      </w:r>
      <w:r>
        <w:rPr>
          <w:rFonts w:hint="eastAsia" w:ascii="宋体" w:hAnsi="宋体" w:eastAsia="宋体" w:cs="宋体"/>
          <w:b/>
          <w:bCs/>
          <w:sz w:val="24"/>
          <w:szCs w:val="24"/>
          <w:u w:val="single"/>
          <w:lang w:val="en-US" w:eastAsia="zh-CN"/>
        </w:rPr>
        <w:t>特种设备检验检测</w:t>
      </w:r>
      <w:r>
        <w:rPr>
          <w:rFonts w:hint="eastAsia" w:ascii="宋体" w:hAnsi="宋体" w:eastAsia="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7"/>
    <w:bookmarkEnd w:id="18"/>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bookmarkStart w:id="19" w:name="_Toc4225"/>
      <w:bookmarkStart w:id="20" w:name="_Toc47976616"/>
      <w:r>
        <w:rPr>
          <w:rFonts w:hint="eastAsia" w:ascii="宋体" w:hAnsi="宋体" w:eastAsia="宋体" w:cs="宋体"/>
          <w:sz w:val="24"/>
          <w:szCs w:val="24"/>
        </w:rPr>
        <w:t>附件</w:t>
      </w:r>
      <w:bookmarkEnd w:id="19"/>
      <w:bookmarkEnd w:id="20"/>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eastAsia="宋体" w:cs="Times New Roman"/>
          <w:color w:val="000000"/>
          <w:sz w:val="24"/>
          <w:szCs w:val="24"/>
          <w:u w:val="single"/>
          <w:lang w:val="en-US" w:eastAsia="zh-CN"/>
        </w:rPr>
        <w:t>特种设备检验检测项</w:t>
      </w:r>
      <w:r>
        <w:rPr>
          <w:rFonts w:hint="eastAsia" w:ascii="宋体" w:hAnsi="宋体" w:eastAsia="宋体" w:cs="Times New Roman"/>
          <w:color w:val="000000"/>
          <w:sz w:val="24"/>
          <w:szCs w:val="24"/>
          <w:u w:val="single"/>
        </w:rPr>
        <w:t>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3"/>
        <w:adjustRightInd w:val="0"/>
        <w:snapToGrid w:val="0"/>
        <w:spacing w:line="360" w:lineRule="auto"/>
        <w:jc w:val="left"/>
        <w:rPr>
          <w:rFonts w:ascii="宋体" w:hAnsi="宋体" w:eastAsia="宋体"/>
          <w:sz w:val="24"/>
          <w:szCs w:val="24"/>
        </w:rPr>
      </w:pPr>
    </w:p>
    <w:p>
      <w:pPr>
        <w:pStyle w:val="78"/>
        <w:adjustRightInd w:val="0"/>
        <w:snapToGrid w:val="0"/>
        <w:rPr>
          <w:rFonts w:hAnsi="宋体"/>
          <w:sz w:val="24"/>
          <w:szCs w:val="24"/>
        </w:rPr>
      </w:pP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3"/>
        <w:adjustRightInd w:val="0"/>
        <w:snapToGrid w:val="0"/>
        <w:spacing w:line="360" w:lineRule="auto"/>
        <w:jc w:val="left"/>
        <w:rPr>
          <w:rFonts w:ascii="宋体" w:hAnsi="宋体" w:eastAsia="宋体"/>
          <w:b/>
          <w:sz w:val="24"/>
          <w:szCs w:val="24"/>
        </w:rPr>
      </w:pPr>
    </w:p>
    <w:p>
      <w:pPr>
        <w:pStyle w:val="13"/>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4"/>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78"/>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end"/>
    </w:r>
  </w:p>
  <w:p>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379E85"/>
    <w:multiLevelType w:val="multilevel"/>
    <w:tmpl w:val="A8379E85"/>
    <w:lvl w:ilvl="0" w:tentative="0">
      <w:start w:val="1"/>
      <w:numFmt w:val="decimal"/>
      <w:suff w:val="nothing"/>
      <w:lvlText w:val="%1、"/>
      <w:lvlJc w:val="left"/>
      <w:pPr>
        <w:ind w:left="0" w:leftChars="0" w:firstLine="0" w:firstLineChars="0"/>
      </w:pPr>
      <w:rPr>
        <w:rFonts w:hint="default"/>
      </w:rPr>
    </w:lvl>
    <w:lvl w:ilvl="1" w:tentative="0">
      <w:start w:val="1"/>
      <w:numFmt w:val="decimal"/>
      <w:suff w:val="nothing"/>
      <w:lvlText w:val="%1.%2、"/>
      <w:lvlJc w:val="left"/>
      <w:pPr>
        <w:ind w:left="0" w:leftChars="0" w:firstLine="0" w:firstLineChars="0"/>
      </w:pPr>
      <w:rPr>
        <w:rFonts w:hint="default"/>
      </w:rPr>
    </w:lvl>
    <w:lvl w:ilvl="2" w:tentative="0">
      <w:start w:val="1"/>
      <w:numFmt w:val="decimal"/>
      <w:suff w:val="nothing"/>
      <w:lvlText w:val="%1.%2.%3、"/>
      <w:lvlJc w:val="left"/>
      <w:pPr>
        <w:ind w:left="0" w:leftChars="0" w:firstLine="0" w:firstLineChars="0"/>
      </w:pPr>
      <w:rPr>
        <w:rFonts w:hint="default"/>
      </w:rPr>
    </w:lvl>
    <w:lvl w:ilvl="3" w:tentative="0">
      <w:start w:val="1"/>
      <w:numFmt w:val="decimal"/>
      <w:suff w:val="nothing"/>
      <w:lvlText w:val="%1.%2.%3.%4、"/>
      <w:lvlJc w:val="left"/>
      <w:pPr>
        <w:ind w:left="0" w:leftChars="0" w:firstLine="0" w:firstLineChars="0"/>
      </w:pPr>
      <w:rPr>
        <w:rFonts w:hint="default"/>
      </w:rPr>
    </w:lvl>
    <w:lvl w:ilvl="4" w:tentative="0">
      <w:start w:val="1"/>
      <w:numFmt w:val="decimal"/>
      <w:suff w:val="nothing"/>
      <w:lvlText w:val="%1.%2.%3.%4.%5、"/>
      <w:lvlJc w:val="left"/>
      <w:pPr>
        <w:ind w:left="0" w:leftChars="0" w:firstLine="0" w:firstLineChars="0"/>
      </w:pPr>
      <w:rPr>
        <w:rFonts w:hint="default"/>
      </w:rPr>
    </w:lvl>
    <w:lvl w:ilvl="5" w:tentative="0">
      <w:start w:val="1"/>
      <w:numFmt w:val="decimal"/>
      <w:suff w:val="nothing"/>
      <w:lvlText w:val="%1.%2.%3.%4.%5.%6、"/>
      <w:lvlJc w:val="left"/>
      <w:pPr>
        <w:ind w:left="0" w:leftChars="0" w:firstLine="0" w:firstLineChars="0"/>
      </w:pPr>
      <w:rPr>
        <w:rFonts w:hint="default"/>
      </w:rPr>
    </w:lvl>
    <w:lvl w:ilvl="6" w:tentative="0">
      <w:start w:val="1"/>
      <w:numFmt w:val="decimal"/>
      <w:suff w:val="nothing"/>
      <w:lvlText w:val="%1.%2.%3.%4.%5.%6.%7、"/>
      <w:lvlJc w:val="left"/>
      <w:pPr>
        <w:ind w:left="0" w:leftChars="0" w:firstLine="0" w:firstLineChars="0"/>
      </w:pPr>
      <w:rPr>
        <w:rFonts w:hint="default"/>
      </w:rPr>
    </w:lvl>
    <w:lvl w:ilvl="7" w:tentative="0">
      <w:start w:val="1"/>
      <w:numFmt w:val="decimal"/>
      <w:suff w:val="nothing"/>
      <w:lvlText w:val="%1.%2.%3.%4.%5.%6.%7.%8、"/>
      <w:lvlJc w:val="left"/>
      <w:pPr>
        <w:ind w:left="0" w:leftChars="0" w:firstLine="0" w:firstLineChars="0"/>
      </w:pPr>
      <w:rPr>
        <w:rFonts w:hint="default"/>
      </w:rPr>
    </w:lvl>
    <w:lvl w:ilvl="8" w:tentative="0">
      <w:start w:val="1"/>
      <w:numFmt w:val="decimal"/>
      <w:suff w:val="nothing"/>
      <w:lvlText w:val="%1.%2.%3.%4.%5.%6.%7.%8.%9、"/>
      <w:lvlJc w:val="left"/>
      <w:pPr>
        <w:ind w:left="0" w:leftChars="0" w:firstLine="0" w:firstLineChars="0"/>
      </w:pPr>
      <w:rPr>
        <w:rFonts w:hint="default"/>
      </w:rPr>
    </w:lvl>
  </w:abstractNum>
  <w:abstractNum w:abstractNumId="1">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6B0173F"/>
    <w:multiLevelType w:val="singleLevel"/>
    <w:tmpl w:val="46B0173F"/>
    <w:lvl w:ilvl="0" w:tentative="0">
      <w:start w:val="1"/>
      <w:numFmt w:val="chineseCounting"/>
      <w:suff w:val="nothing"/>
      <w:lvlText w:val="%1、"/>
      <w:lvlJc w:val="left"/>
      <w:rPr>
        <w:rFonts w:hint="eastAsia"/>
      </w:rPr>
    </w:lvl>
  </w:abstractNum>
  <w:abstractNum w:abstractNumId="23">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26A4DE6"/>
    <w:multiLevelType w:val="singleLevel"/>
    <w:tmpl w:val="526A4DE6"/>
    <w:lvl w:ilvl="0" w:tentative="0">
      <w:start w:val="1"/>
      <w:numFmt w:val="decimal"/>
      <w:suff w:val="nothing"/>
      <w:lvlText w:val="%1、"/>
      <w:lvlJc w:val="left"/>
    </w:lvl>
  </w:abstractNum>
  <w:abstractNum w:abstractNumId="28">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4"/>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4"/>
  </w:num>
  <w:num w:numId="2">
    <w:abstractNumId w:val="33"/>
  </w:num>
  <w:num w:numId="3">
    <w:abstractNumId w:val="29"/>
  </w:num>
  <w:num w:numId="4">
    <w:abstractNumId w:val="26"/>
  </w:num>
  <w:num w:numId="5">
    <w:abstractNumId w:val="7"/>
  </w:num>
  <w:num w:numId="6">
    <w:abstractNumId w:val="10"/>
  </w:num>
  <w:num w:numId="7">
    <w:abstractNumId w:val="12"/>
  </w:num>
  <w:num w:numId="8">
    <w:abstractNumId w:val="28"/>
  </w:num>
  <w:num w:numId="9">
    <w:abstractNumId w:val="30"/>
  </w:num>
  <w:num w:numId="10">
    <w:abstractNumId w:val="8"/>
  </w:num>
  <w:num w:numId="11">
    <w:abstractNumId w:val="21"/>
  </w:num>
  <w:num w:numId="12">
    <w:abstractNumId w:val="23"/>
  </w:num>
  <w:num w:numId="13">
    <w:abstractNumId w:val="4"/>
  </w:num>
  <w:num w:numId="14">
    <w:abstractNumId w:val="6"/>
  </w:num>
  <w:num w:numId="15">
    <w:abstractNumId w:val="2"/>
  </w:num>
  <w:num w:numId="16">
    <w:abstractNumId w:val="32"/>
  </w:num>
  <w:num w:numId="17">
    <w:abstractNumId w:val="19"/>
  </w:num>
  <w:num w:numId="18">
    <w:abstractNumId w:val="11"/>
  </w:num>
  <w:num w:numId="19">
    <w:abstractNumId w:val="25"/>
  </w:num>
  <w:num w:numId="20">
    <w:abstractNumId w:val="5"/>
  </w:num>
  <w:num w:numId="21">
    <w:abstractNumId w:val="14"/>
  </w:num>
  <w:num w:numId="22">
    <w:abstractNumId w:val="9"/>
  </w:num>
  <w:num w:numId="23">
    <w:abstractNumId w:val="31"/>
  </w:num>
  <w:num w:numId="24">
    <w:abstractNumId w:val="18"/>
  </w:num>
  <w:num w:numId="25">
    <w:abstractNumId w:val="27"/>
  </w:num>
  <w:num w:numId="26">
    <w:abstractNumId w:val="34"/>
  </w:num>
  <w:num w:numId="27">
    <w:abstractNumId w:val="1"/>
  </w:num>
  <w:num w:numId="28">
    <w:abstractNumId w:val="15"/>
  </w:num>
  <w:num w:numId="29">
    <w:abstractNumId w:val="16"/>
  </w:num>
  <w:num w:numId="30">
    <w:abstractNumId w:val="17"/>
  </w:num>
  <w:num w:numId="31">
    <w:abstractNumId w:val="20"/>
  </w:num>
  <w:num w:numId="32">
    <w:abstractNumId w:val="22"/>
  </w:num>
  <w:num w:numId="33">
    <w:abstractNumId w:val="0"/>
  </w:num>
  <w:num w:numId="34">
    <w:abstractNumId w:val="13"/>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0EC756C7"/>
    <w:rsid w:val="10DC2AA3"/>
    <w:rsid w:val="10FA7C8C"/>
    <w:rsid w:val="11240C8A"/>
    <w:rsid w:val="12F64B6E"/>
    <w:rsid w:val="130B198F"/>
    <w:rsid w:val="13B54178"/>
    <w:rsid w:val="13FA68E0"/>
    <w:rsid w:val="15BB1367"/>
    <w:rsid w:val="16040658"/>
    <w:rsid w:val="160B29C0"/>
    <w:rsid w:val="16A918E4"/>
    <w:rsid w:val="17D966D6"/>
    <w:rsid w:val="19517BDA"/>
    <w:rsid w:val="19E33213"/>
    <w:rsid w:val="1A463A67"/>
    <w:rsid w:val="1B481CDF"/>
    <w:rsid w:val="1BA3160C"/>
    <w:rsid w:val="1BC71D3B"/>
    <w:rsid w:val="1C59115B"/>
    <w:rsid w:val="1D596BD7"/>
    <w:rsid w:val="1E296445"/>
    <w:rsid w:val="1EFD1680"/>
    <w:rsid w:val="1FB23E60"/>
    <w:rsid w:val="1FBA79B4"/>
    <w:rsid w:val="20AF25DE"/>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5F776C"/>
    <w:rsid w:val="2D663463"/>
    <w:rsid w:val="2E112A52"/>
    <w:rsid w:val="2EF96EE4"/>
    <w:rsid w:val="31E37A09"/>
    <w:rsid w:val="32C207BF"/>
    <w:rsid w:val="3380787D"/>
    <w:rsid w:val="33822A0F"/>
    <w:rsid w:val="34936B2B"/>
    <w:rsid w:val="34F565DC"/>
    <w:rsid w:val="3573482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E9E17F5"/>
    <w:rsid w:val="3F9D2397"/>
    <w:rsid w:val="418D0CE6"/>
    <w:rsid w:val="41A5482C"/>
    <w:rsid w:val="4275481E"/>
    <w:rsid w:val="428B617A"/>
    <w:rsid w:val="42947BD5"/>
    <w:rsid w:val="42CE288A"/>
    <w:rsid w:val="433D7BDC"/>
    <w:rsid w:val="4342379F"/>
    <w:rsid w:val="437E1813"/>
    <w:rsid w:val="43A427AA"/>
    <w:rsid w:val="43F95365"/>
    <w:rsid w:val="444E2202"/>
    <w:rsid w:val="45354CBC"/>
    <w:rsid w:val="45BD47FC"/>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05D37"/>
    <w:rsid w:val="552A3C28"/>
    <w:rsid w:val="555A2DA3"/>
    <w:rsid w:val="56901A99"/>
    <w:rsid w:val="582B65CE"/>
    <w:rsid w:val="58A86DDE"/>
    <w:rsid w:val="58EA204C"/>
    <w:rsid w:val="59154AD7"/>
    <w:rsid w:val="5A542AB4"/>
    <w:rsid w:val="5ADF548D"/>
    <w:rsid w:val="5B547A6B"/>
    <w:rsid w:val="5BF95104"/>
    <w:rsid w:val="5C4627AE"/>
    <w:rsid w:val="5C9249CA"/>
    <w:rsid w:val="5D5C60B4"/>
    <w:rsid w:val="5D637427"/>
    <w:rsid w:val="5D8073BF"/>
    <w:rsid w:val="5F4F52F9"/>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DCB7BD8"/>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6D10D63"/>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9"/>
    <w:semiHidden/>
    <w:qFormat/>
    <w:uiPriority w:val="0"/>
    <w:pPr>
      <w:keepNext/>
      <w:keepLines/>
      <w:spacing w:before="340" w:after="330" w:line="578" w:lineRule="auto"/>
      <w:outlineLvl w:val="0"/>
    </w:pPr>
    <w:rPr>
      <w:b/>
      <w:bCs/>
      <w:kern w:val="44"/>
      <w:sz w:val="44"/>
      <w:szCs w:val="44"/>
    </w:rPr>
  </w:style>
  <w:style w:type="paragraph" w:styleId="2">
    <w:name w:val="heading 2"/>
    <w:basedOn w:val="1"/>
    <w:next w:val="1"/>
    <w:link w:val="83"/>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3"/>
    <w:semiHidden/>
    <w:qFormat/>
    <w:uiPriority w:val="0"/>
    <w:pPr>
      <w:keepNext/>
      <w:keepLines/>
      <w:spacing w:line="416" w:lineRule="auto"/>
      <w:outlineLvl w:val="2"/>
    </w:pPr>
    <w:rPr>
      <w:b/>
      <w:bCs/>
      <w:sz w:val="32"/>
      <w:szCs w:val="32"/>
    </w:rPr>
  </w:style>
  <w:style w:type="paragraph" w:styleId="5">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6"/>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sz w:val="20"/>
      <w:szCs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7"/>
    <w:qFormat/>
    <w:uiPriority w:val="99"/>
    <w:pPr>
      <w:jc w:val="left"/>
    </w:pPr>
  </w:style>
  <w:style w:type="paragraph" w:styleId="12">
    <w:name w:val="index 6"/>
    <w:basedOn w:val="1"/>
    <w:next w:val="1"/>
    <w:qFormat/>
    <w:uiPriority w:val="0"/>
    <w:rPr>
      <w:rFonts w:ascii="宋体" w:hAnsi="宋体"/>
      <w:color w:val="000000"/>
      <w:sz w:val="20"/>
      <w:szCs w:val="20"/>
    </w:rPr>
  </w:style>
  <w:style w:type="paragraph" w:styleId="13">
    <w:name w:val="Body Text"/>
    <w:basedOn w:val="1"/>
    <w:link w:val="43"/>
    <w:semiHidden/>
    <w:qFormat/>
    <w:uiPriority w:val="98"/>
    <w:rPr>
      <w:rFonts w:ascii="仿宋_GB2312" w:eastAsia="仿宋_GB2312"/>
      <w:sz w:val="32"/>
    </w:rPr>
  </w:style>
  <w:style w:type="paragraph" w:styleId="14">
    <w:name w:val="Body Text Indent"/>
    <w:basedOn w:val="1"/>
    <w:next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1"/>
    <w:next w:val="11"/>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3"/>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1"/>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paragraph" w:customStyle="1" w:styleId="67">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8">
    <w:name w:val="style61"/>
    <w:semiHidden/>
    <w:qFormat/>
    <w:uiPriority w:val="98"/>
  </w:style>
  <w:style w:type="character" w:customStyle="1" w:styleId="69">
    <w:name w:val="标题 1 字符"/>
    <w:basedOn w:val="34"/>
    <w:link w:val="3"/>
    <w:semiHidden/>
    <w:qFormat/>
    <w:uiPriority w:val="0"/>
    <w:rPr>
      <w:b/>
      <w:bCs/>
      <w:kern w:val="44"/>
      <w:sz w:val="44"/>
      <w:szCs w:val="44"/>
    </w:rPr>
  </w:style>
  <w:style w:type="paragraph" w:customStyle="1" w:styleId="70">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3">
    <w:name w:val="章节"/>
    <w:basedOn w:val="16"/>
    <w:qFormat/>
    <w:uiPriority w:val="0"/>
    <w:pPr>
      <w:spacing w:line="360" w:lineRule="auto"/>
      <w:jc w:val="center"/>
      <w:outlineLvl w:val="0"/>
    </w:pPr>
    <w:rPr>
      <w:rFonts w:ascii="黑体" w:eastAsia="黑体"/>
      <w:b/>
      <w:bCs/>
      <w:sz w:val="36"/>
      <w:szCs w:val="36"/>
    </w:rPr>
  </w:style>
  <w:style w:type="paragraph" w:customStyle="1" w:styleId="74">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6"/>
    <w:qFormat/>
    <w:uiPriority w:val="2"/>
    <w:pPr>
      <w:numPr>
        <w:ilvl w:val="0"/>
        <w:numId w:val="3"/>
      </w:numPr>
      <w:spacing w:line="360" w:lineRule="auto"/>
      <w:outlineLvl w:val="2"/>
    </w:pPr>
    <w:rPr>
      <w:b/>
    </w:rPr>
  </w:style>
  <w:style w:type="paragraph" w:customStyle="1" w:styleId="76">
    <w:name w:val="3级标题"/>
    <w:basedOn w:val="16"/>
    <w:link w:val="104"/>
    <w:qFormat/>
    <w:uiPriority w:val="3"/>
    <w:pPr>
      <w:numPr>
        <w:ilvl w:val="0"/>
        <w:numId w:val="4"/>
      </w:numPr>
      <w:spacing w:line="360" w:lineRule="auto"/>
      <w:outlineLvl w:val="3"/>
    </w:pPr>
    <w:rPr>
      <w:b/>
    </w:rPr>
  </w:style>
  <w:style w:type="paragraph" w:customStyle="1" w:styleId="77">
    <w:name w:val="（4）级标题"/>
    <w:basedOn w:val="16"/>
    <w:qFormat/>
    <w:uiPriority w:val="8"/>
    <w:pPr>
      <w:numPr>
        <w:ilvl w:val="0"/>
        <w:numId w:val="5"/>
      </w:numPr>
      <w:spacing w:line="360" w:lineRule="auto"/>
      <w:outlineLvl w:val="4"/>
    </w:pPr>
  </w:style>
  <w:style w:type="paragraph" w:customStyle="1" w:styleId="78">
    <w:name w:val="标书正文"/>
    <w:basedOn w:val="16"/>
    <w:link w:val="99"/>
    <w:qFormat/>
    <w:uiPriority w:val="9"/>
    <w:pPr>
      <w:spacing w:line="360" w:lineRule="auto"/>
      <w:jc w:val="left"/>
    </w:pPr>
  </w:style>
  <w:style w:type="character" w:customStyle="1" w:styleId="79">
    <w:name w:val="标题 4 字符"/>
    <w:basedOn w:val="34"/>
    <w:link w:val="5"/>
    <w:semiHidden/>
    <w:qFormat/>
    <w:uiPriority w:val="0"/>
    <w:rPr>
      <w:rFonts w:ascii="Arial" w:hAnsi="Arial"/>
      <w:b/>
      <w:bCs/>
      <w:kern w:val="2"/>
      <w:sz w:val="21"/>
      <w:szCs w:val="28"/>
    </w:rPr>
  </w:style>
  <w:style w:type="character" w:customStyle="1" w:styleId="80">
    <w:name w:val="标题 5 字符"/>
    <w:basedOn w:val="34"/>
    <w:link w:val="6"/>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字符1"/>
    <w:link w:val="2"/>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4"/>
    <w:link w:val="24"/>
    <w:semiHidden/>
    <w:qFormat/>
    <w:uiPriority w:val="0"/>
    <w:rPr>
      <w:rFonts w:ascii="宋体" w:hAnsi="宋体"/>
      <w:color w:val="FF0000"/>
      <w:kern w:val="2"/>
      <w:sz w:val="24"/>
      <w:szCs w:val="24"/>
    </w:rPr>
  </w:style>
  <w:style w:type="paragraph" w:customStyle="1" w:styleId="86">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4"/>
    <w:link w:val="18"/>
    <w:semiHidden/>
    <w:qFormat/>
    <w:uiPriority w:val="0"/>
    <w:rPr>
      <w:sz w:val="24"/>
    </w:rPr>
  </w:style>
  <w:style w:type="character" w:customStyle="1" w:styleId="89">
    <w:name w:val="日期 字符"/>
    <w:basedOn w:val="34"/>
    <w:link w:val="17"/>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4"/>
    <w:semiHidden/>
    <w:qFormat/>
    <w:uiPriority w:val="98"/>
    <w:rPr>
      <w:rFonts w:ascii="Microsoft YaHei UI" w:eastAsia="Microsoft YaHei UI"/>
      <w:kern w:val="2"/>
      <w:sz w:val="18"/>
      <w:szCs w:val="18"/>
    </w:rPr>
  </w:style>
  <w:style w:type="character" w:customStyle="1" w:styleId="95">
    <w:name w:val="文档结构图 字符1"/>
    <w:basedOn w:val="34"/>
    <w:link w:val="10"/>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4"/>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2"/>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4"/>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2"/>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7"/>
    <w:semiHidden/>
    <w:qFormat/>
    <w:locked/>
    <w:uiPriority w:val="99"/>
    <w:rPr>
      <w:sz w:val="21"/>
      <w:szCs w:val="21"/>
    </w:rPr>
  </w:style>
  <w:style w:type="character" w:customStyle="1" w:styleId="107">
    <w:name w:val="电子邮件签名 字符1"/>
    <w:basedOn w:val="34"/>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7"/>
    <w:semiHidden/>
    <w:qFormat/>
    <w:locked/>
    <w:uiPriority w:val="99"/>
    <w:rPr>
      <w:rFonts w:ascii="Cambria" w:hAnsi="Cambria" w:cs="Cambria"/>
      <w:sz w:val="24"/>
      <w:szCs w:val="24"/>
      <w:shd w:val="pct20" w:color="auto" w:fill="auto"/>
    </w:rPr>
  </w:style>
  <w:style w:type="character" w:customStyle="1" w:styleId="111">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character" w:customStyle="1" w:styleId="113">
    <w:name w:val="标题 3 字符1"/>
    <w:link w:val="4"/>
    <w:qFormat/>
    <w:uiPriority w:val="0"/>
    <w:rPr>
      <w:b/>
      <w:sz w:val="32"/>
    </w:rPr>
  </w:style>
  <w:style w:type="paragraph" w:customStyle="1" w:styleId="114">
    <w:name w:val="Table Paragraph"/>
    <w:basedOn w:val="1"/>
    <w:qFormat/>
    <w:uiPriority w:val="1"/>
    <w:rPr>
      <w:rFonts w:ascii="宋体" w:hAnsi="宋体" w:cs="宋体"/>
    </w:rPr>
  </w:style>
  <w:style w:type="table" w:customStyle="1" w:styleId="115">
    <w:name w:val="Table Normal"/>
    <w:qFormat/>
    <w:uiPriority w:val="0"/>
    <w:tblPr>
      <w:tblCellMar>
        <w:top w:w="0" w:type="dxa"/>
        <w:left w:w="0" w:type="dxa"/>
        <w:bottom w:w="0" w:type="dxa"/>
        <w:right w:w="0" w:type="dxa"/>
      </w:tblCellMar>
    </w:tblPr>
  </w:style>
  <w:style w:type="paragraph" w:styleId="116">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7">
    <w:name w:val="font11"/>
    <w:basedOn w:val="34"/>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8926</Words>
  <Characters>9372</Characters>
  <Lines>79</Lines>
  <Paragraphs>22</Paragraphs>
  <TotalTime>12</TotalTime>
  <ScaleCrop>false</ScaleCrop>
  <LinksUpToDate>false</LinksUpToDate>
  <CharactersWithSpaces>10641</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2026-05-14T01:07:38Z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