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eastAsia="宋体"/>
          <w:color w:val="000000"/>
          <w:sz w:val="30"/>
          <w:szCs w:val="30"/>
        </w:rPr>
      </w:pPr>
    </w:p>
    <w:p>
      <w:pPr>
        <w:jc w:val="center"/>
        <w:rPr>
          <w:rFonts w:ascii="宋体" w:hAnsi="宋体" w:eastAsia="宋体"/>
          <w:color w:val="000000"/>
          <w:sz w:val="30"/>
          <w:szCs w:val="30"/>
        </w:rPr>
      </w:pPr>
    </w:p>
    <w:p>
      <w:pPr>
        <w:jc w:val="center"/>
        <w:rPr>
          <w:rFonts w:ascii="宋体" w:hAnsi="宋体" w:eastAsia="宋体"/>
          <w:color w:val="000000"/>
          <w:sz w:val="30"/>
          <w:szCs w:val="30"/>
        </w:rPr>
      </w:pPr>
    </w:p>
    <w:p>
      <w:pPr>
        <w:spacing w:line="600" w:lineRule="exact"/>
        <w:ind w:firstLine="141"/>
        <w:jc w:val="center"/>
        <w:rPr>
          <w:rFonts w:asciiTheme="minorEastAsia" w:hAnsiTheme="minorEastAsia"/>
          <w:b/>
          <w:bCs/>
          <w:color w:val="000000"/>
          <w:spacing w:val="-8"/>
          <w:sz w:val="48"/>
          <w:szCs w:val="48"/>
        </w:rPr>
      </w:pPr>
      <w:r>
        <w:rPr>
          <w:rFonts w:hint="eastAsia" w:asciiTheme="minorEastAsia" w:hAnsiTheme="minorEastAsia"/>
          <w:b/>
          <w:bCs/>
          <w:color w:val="000000"/>
          <w:spacing w:val="-8"/>
          <w:sz w:val="48"/>
          <w:szCs w:val="48"/>
        </w:rPr>
        <w:t>中国重汽集团济南动力有限公司</w:t>
      </w:r>
    </w:p>
    <w:p>
      <w:pPr>
        <w:spacing w:line="600" w:lineRule="exact"/>
        <w:ind w:firstLine="141"/>
        <w:jc w:val="center"/>
        <w:rPr>
          <w:rFonts w:asciiTheme="minorEastAsia" w:hAnsiTheme="minorEastAsia"/>
          <w:b/>
          <w:color w:val="000000"/>
          <w:sz w:val="48"/>
          <w:szCs w:val="48"/>
          <w:shd w:val="clear" w:color="auto" w:fill="FCFCFC"/>
        </w:rPr>
      </w:pPr>
      <w:bookmarkStart w:id="0" w:name="OLE_LINK1"/>
      <w:r>
        <w:rPr>
          <w:rFonts w:hint="eastAsia" w:asciiTheme="minorEastAsia" w:hAnsiTheme="minorEastAsia"/>
          <w:b/>
          <w:color w:val="000000"/>
          <w:spacing w:val="-20"/>
          <w:sz w:val="48"/>
          <w:szCs w:val="48"/>
          <w:shd w:val="clear" w:color="auto" w:fill="FCFCFC"/>
        </w:rPr>
        <w:t>工规级自动驾驶控制器通信中间件技术开发</w:t>
      </w:r>
      <w:bookmarkEnd w:id="0"/>
    </w:p>
    <w:p>
      <w:pPr>
        <w:jc w:val="center"/>
        <w:rPr>
          <w:rFonts w:ascii="宋体" w:hAnsi="宋体" w:eastAsia="宋体"/>
          <w:color w:val="000000"/>
          <w:sz w:val="28"/>
          <w:szCs w:val="28"/>
        </w:rPr>
      </w:pPr>
    </w:p>
    <w:p>
      <w:pPr>
        <w:pStyle w:val="2"/>
      </w:pPr>
    </w:p>
    <w:p>
      <w:pPr>
        <w:jc w:val="center"/>
        <w:rPr>
          <w:rFonts w:ascii="宋体" w:hAnsi="宋体" w:eastAsia="宋体"/>
          <w:color w:val="000000"/>
          <w:sz w:val="28"/>
          <w:szCs w:val="28"/>
        </w:rPr>
      </w:pPr>
    </w:p>
    <w:p>
      <w:pPr>
        <w:jc w:val="center"/>
        <w:rPr>
          <w:rFonts w:ascii="黑体" w:hAnsi="黑体" w:eastAsia="黑体"/>
          <w:color w:val="000000"/>
          <w:sz w:val="84"/>
          <w:szCs w:val="84"/>
        </w:rPr>
      </w:pPr>
      <w:r>
        <w:rPr>
          <w:rFonts w:hint="eastAsia" w:ascii="黑体" w:hAnsi="黑体" w:eastAsia="黑体"/>
          <w:color w:val="000000"/>
          <w:sz w:val="84"/>
          <w:szCs w:val="84"/>
        </w:rPr>
        <w:t>招</w:t>
      </w:r>
    </w:p>
    <w:p>
      <w:pPr>
        <w:jc w:val="center"/>
        <w:rPr>
          <w:rFonts w:ascii="宋体" w:hAnsi="宋体" w:eastAsia="宋体"/>
          <w:color w:val="000000"/>
          <w:sz w:val="84"/>
          <w:szCs w:val="84"/>
        </w:rPr>
      </w:pPr>
    </w:p>
    <w:p>
      <w:pPr>
        <w:jc w:val="center"/>
        <w:rPr>
          <w:rFonts w:ascii="黑体" w:hAnsi="黑体" w:eastAsia="黑体"/>
          <w:color w:val="000000"/>
          <w:sz w:val="84"/>
          <w:szCs w:val="84"/>
        </w:rPr>
      </w:pPr>
      <w:r>
        <w:rPr>
          <w:rFonts w:hint="eastAsia" w:ascii="黑体" w:hAnsi="黑体" w:eastAsia="黑体"/>
          <w:color w:val="000000"/>
          <w:sz w:val="84"/>
          <w:szCs w:val="84"/>
        </w:rPr>
        <w:t>标</w:t>
      </w:r>
    </w:p>
    <w:p>
      <w:pPr>
        <w:jc w:val="center"/>
        <w:rPr>
          <w:rFonts w:ascii="宋体" w:hAnsi="宋体" w:eastAsia="宋体"/>
          <w:color w:val="000000"/>
          <w:sz w:val="84"/>
          <w:szCs w:val="84"/>
        </w:rPr>
      </w:pPr>
    </w:p>
    <w:p>
      <w:pPr>
        <w:jc w:val="center"/>
        <w:rPr>
          <w:rFonts w:ascii="黑体" w:hAnsi="黑体" w:eastAsia="黑体"/>
          <w:color w:val="000000"/>
          <w:sz w:val="72"/>
          <w:szCs w:val="72"/>
        </w:rPr>
      </w:pPr>
      <w:r>
        <w:rPr>
          <w:rFonts w:hint="eastAsia" w:ascii="黑体" w:hAnsi="黑体" w:eastAsia="黑体"/>
          <w:color w:val="000000"/>
          <w:sz w:val="84"/>
          <w:szCs w:val="84"/>
        </w:rPr>
        <w:t>书</w:t>
      </w:r>
    </w:p>
    <w:p>
      <w:pPr>
        <w:jc w:val="center"/>
        <w:rPr>
          <w:rFonts w:ascii="宋体" w:hAnsi="宋体" w:eastAsia="宋体"/>
          <w:color w:val="000000"/>
          <w:sz w:val="28"/>
          <w:szCs w:val="28"/>
        </w:rPr>
      </w:pPr>
    </w:p>
    <w:p>
      <w:pPr>
        <w:jc w:val="center"/>
        <w:rPr>
          <w:rFonts w:ascii="宋体" w:hAnsi="宋体" w:eastAsia="宋体"/>
          <w:color w:val="000000"/>
          <w:sz w:val="28"/>
          <w:szCs w:val="28"/>
        </w:rPr>
      </w:pPr>
      <w:r>
        <w:rPr>
          <w:rFonts w:hint="eastAsia" w:ascii="宋体" w:hAnsi="宋体" w:eastAsia="宋体"/>
          <w:color w:val="000000"/>
          <w:sz w:val="28"/>
          <w:szCs w:val="28"/>
        </w:rPr>
        <w:t>招标人：中国重汽集团济南动力有限公司</w:t>
      </w:r>
    </w:p>
    <w:p>
      <w:pPr>
        <w:jc w:val="center"/>
        <w:rPr>
          <w:rFonts w:ascii="宋体" w:hAnsi="宋体" w:eastAsia="宋体"/>
          <w:color w:val="000000"/>
          <w:sz w:val="28"/>
          <w:szCs w:val="28"/>
        </w:rPr>
      </w:pPr>
      <w:r>
        <w:rPr>
          <w:rFonts w:ascii="宋体" w:hAnsi="宋体" w:eastAsia="宋体"/>
          <w:color w:val="000000"/>
          <w:sz w:val="28"/>
          <w:szCs w:val="28"/>
        </w:rPr>
        <w:t>2024</w:t>
      </w:r>
      <w:r>
        <w:rPr>
          <w:rFonts w:hint="eastAsia" w:ascii="宋体" w:hAnsi="宋体" w:eastAsia="宋体"/>
          <w:color w:val="000000"/>
          <w:sz w:val="28"/>
          <w:szCs w:val="28"/>
        </w:rPr>
        <w:t>年</w:t>
      </w:r>
      <w:r>
        <w:rPr>
          <w:rFonts w:ascii="宋体" w:hAnsi="宋体" w:eastAsia="宋体"/>
          <w:color w:val="000000"/>
          <w:sz w:val="28"/>
          <w:szCs w:val="28"/>
        </w:rPr>
        <w:t xml:space="preserve"> </w:t>
      </w:r>
      <w:r>
        <w:rPr>
          <w:rFonts w:hint="eastAsia" w:ascii="宋体" w:hAnsi="宋体" w:eastAsia="宋体"/>
          <w:color w:val="000000"/>
          <w:sz w:val="28"/>
          <w:szCs w:val="28"/>
        </w:rPr>
        <w:t>11</w:t>
      </w:r>
      <w:r>
        <w:rPr>
          <w:rFonts w:ascii="宋体" w:hAnsi="宋体" w:eastAsia="宋体"/>
          <w:color w:val="000000"/>
          <w:sz w:val="28"/>
          <w:szCs w:val="28"/>
        </w:rPr>
        <w:t>月</w:t>
      </w:r>
    </w:p>
    <w:p/>
    <w:p/>
    <w:p>
      <w:pPr>
        <w:pStyle w:val="30"/>
      </w:pPr>
      <w:r>
        <w:rPr>
          <w:rFonts w:hint="eastAsia"/>
        </w:rPr>
        <w:t>第一章 招标公告</w:t>
      </w:r>
    </w:p>
    <w:p>
      <w:pPr>
        <w:pStyle w:val="26"/>
        <w:rPr>
          <w:rFonts w:ascii="黑体" w:hAnsi="黑体"/>
          <w:szCs w:val="28"/>
        </w:rPr>
      </w:pPr>
      <w:r>
        <w:rPr>
          <w:rFonts w:hint="eastAsia" w:ascii="黑体" w:hAnsi="黑体"/>
          <w:szCs w:val="28"/>
        </w:rPr>
        <w:t>一、项目名称及编号</w:t>
      </w:r>
    </w:p>
    <w:p>
      <w:pPr>
        <w:spacing w:line="600" w:lineRule="exact"/>
        <w:ind w:firstLine="141"/>
        <w:jc w:val="left"/>
        <w:rPr>
          <w:rFonts w:asciiTheme="minorEastAsia" w:hAnsiTheme="minorEastAsia"/>
          <w:color w:val="000000"/>
          <w:sz w:val="24"/>
          <w:szCs w:val="24"/>
          <w:u w:val="single"/>
        </w:rPr>
      </w:pPr>
      <w:r>
        <w:rPr>
          <w:rFonts w:hint="eastAsia" w:ascii="宋体" w:hAnsi="宋体" w:eastAsia="宋体"/>
          <w:color w:val="000000"/>
          <w:sz w:val="24"/>
          <w:szCs w:val="24"/>
          <w:u w:val="single"/>
        </w:rPr>
        <w:t>项目名称：</w:t>
      </w:r>
      <w:r>
        <w:rPr>
          <w:rFonts w:hint="eastAsia" w:eastAsia="宋体" w:asciiTheme="minorEastAsia" w:hAnsiTheme="minorEastAsia"/>
          <w:color w:val="000000"/>
          <w:sz w:val="24"/>
          <w:szCs w:val="24"/>
          <w:u w:val="single"/>
        </w:rPr>
        <w:t>工规级自动驾驶控制器通信中间件技术开发</w:t>
      </w:r>
      <w:r>
        <w:rPr>
          <w:rFonts w:hint="eastAsia" w:asciiTheme="minorEastAsia" w:hAnsiTheme="minorEastAsia"/>
          <w:color w:val="000000"/>
          <w:sz w:val="24"/>
          <w:szCs w:val="24"/>
          <w:u w:val="single"/>
        </w:rPr>
        <w:t>项目</w:t>
      </w:r>
      <w:r>
        <w:rPr>
          <w:rFonts w:asciiTheme="minorEastAsia" w:hAnsiTheme="minorEastAsia"/>
          <w:color w:val="000000"/>
          <w:sz w:val="24"/>
          <w:szCs w:val="24"/>
          <w:u w:val="single"/>
        </w:rPr>
        <w:t xml:space="preserve">           </w:t>
      </w:r>
    </w:p>
    <w:p>
      <w:pPr>
        <w:spacing w:line="600" w:lineRule="exact"/>
        <w:ind w:firstLine="141"/>
        <w:jc w:val="left"/>
        <w:rPr>
          <w:rFonts w:ascii="宋体" w:hAnsi="宋体" w:eastAsia="宋体"/>
          <w:color w:val="000000"/>
          <w:sz w:val="24"/>
          <w:szCs w:val="24"/>
          <w:u w:val="single"/>
        </w:rPr>
      </w:pPr>
      <w:r>
        <w:rPr>
          <w:rFonts w:hint="eastAsia" w:ascii="宋体" w:hAnsi="宋体" w:eastAsia="宋体"/>
          <w:color w:val="000000"/>
          <w:sz w:val="24"/>
          <w:szCs w:val="24"/>
          <w:u w:val="single"/>
        </w:rPr>
        <w:t>项目编号：</w:t>
      </w:r>
      <w:r>
        <w:rPr>
          <w:rFonts w:hint="eastAsia" w:ascii="仿宋_GB2312" w:eastAsia="仿宋_GB2312"/>
          <w:kern w:val="0"/>
          <w:sz w:val="28"/>
          <w:szCs w:val="28"/>
          <w:u w:val="single"/>
        </w:rPr>
        <w:t>CGZX2024110097</w:t>
      </w:r>
      <w:r>
        <w:rPr>
          <w:rFonts w:ascii="仿宋_GB2312" w:eastAsia="仿宋_GB2312"/>
          <w:kern w:val="0"/>
          <w:sz w:val="28"/>
          <w:szCs w:val="28"/>
          <w:u w:val="single"/>
        </w:rPr>
        <w:t xml:space="preserve">                </w:t>
      </w:r>
      <w:r>
        <w:rPr>
          <w:rFonts w:hint="eastAsia" w:ascii="仿宋_GB2312" w:eastAsia="仿宋_GB2312"/>
          <w:kern w:val="0"/>
          <w:sz w:val="28"/>
          <w:szCs w:val="28"/>
          <w:u w:val="single"/>
        </w:rPr>
        <w:t xml:space="preserve">           </w:t>
      </w:r>
      <w:r>
        <w:rPr>
          <w:rFonts w:ascii="仿宋_GB2312" w:eastAsia="仿宋_GB2312"/>
          <w:kern w:val="0"/>
          <w:sz w:val="28"/>
          <w:szCs w:val="28"/>
          <w:u w:val="single"/>
        </w:rPr>
        <w:t xml:space="preserve">    </w:t>
      </w:r>
    </w:p>
    <w:p>
      <w:pPr>
        <w:pStyle w:val="26"/>
        <w:rPr>
          <w:rFonts w:ascii="黑体" w:hAnsi="黑体"/>
          <w:szCs w:val="28"/>
        </w:rPr>
      </w:pPr>
      <w:r>
        <w:rPr>
          <w:rFonts w:hint="eastAsia" w:ascii="黑体" w:hAnsi="黑体"/>
          <w:szCs w:val="28"/>
        </w:rPr>
        <w:t>二、招标内容及形式</w:t>
      </w:r>
    </w:p>
    <w:p>
      <w:pPr>
        <w:spacing w:line="600" w:lineRule="exact"/>
        <w:ind w:firstLine="240" w:firstLineChars="100"/>
        <w:jc w:val="left"/>
        <w:rPr>
          <w:rFonts w:asciiTheme="minorEastAsia" w:hAnsiTheme="minorEastAsia"/>
          <w:color w:val="000000"/>
          <w:sz w:val="24"/>
          <w:szCs w:val="24"/>
          <w:u w:val="single"/>
        </w:rPr>
      </w:pPr>
      <w:r>
        <w:rPr>
          <w:rFonts w:hint="eastAsia" w:hAnsi="宋体"/>
          <w:color w:val="000000"/>
          <w:sz w:val="24"/>
          <w:szCs w:val="24"/>
        </w:rPr>
        <w:t>1、招标内容：</w:t>
      </w:r>
      <w:r>
        <w:rPr>
          <w:rFonts w:hint="eastAsia"/>
          <w:color w:val="000000"/>
          <w:sz w:val="24"/>
          <w:szCs w:val="24"/>
        </w:rPr>
        <w:t>工规级自动驾驶控制器通信中间件技术开发源码及技术服务</w:t>
      </w:r>
    </w:p>
    <w:p>
      <w:pPr>
        <w:pStyle w:val="2"/>
        <w:spacing w:line="360" w:lineRule="auto"/>
        <w:ind w:firstLine="240" w:firstLineChars="100"/>
        <w:rPr>
          <w:rFonts w:hAnsi="宋体"/>
          <w:color w:val="000000"/>
          <w:sz w:val="24"/>
          <w:szCs w:val="24"/>
        </w:rPr>
      </w:pPr>
      <w:r>
        <w:rPr>
          <w:rFonts w:hint="eastAsia" w:hAnsi="宋体"/>
          <w:color w:val="000000"/>
          <w:sz w:val="24"/>
          <w:szCs w:val="24"/>
        </w:rPr>
        <w:t xml:space="preserve">2、招标形式：公开招标 </w:t>
      </w:r>
    </w:p>
    <w:p>
      <w:pPr>
        <w:pStyle w:val="2"/>
        <w:spacing w:line="360" w:lineRule="auto"/>
        <w:ind w:firstLine="482" w:firstLineChars="200"/>
        <w:rPr>
          <w:b/>
          <w:color w:val="000000"/>
          <w:sz w:val="24"/>
          <w:szCs w:val="24"/>
        </w:rPr>
      </w:pPr>
      <w:r>
        <w:rPr>
          <w:rFonts w:hint="eastAsia"/>
          <w:b/>
          <w:color w:val="000000"/>
          <w:sz w:val="24"/>
          <w:szCs w:val="24"/>
        </w:rPr>
        <w:t>具体要求详见《技术协议书》：见附件。</w:t>
      </w:r>
    </w:p>
    <w:p>
      <w:pPr>
        <w:pStyle w:val="26"/>
        <w:rPr>
          <w:rFonts w:ascii="黑体" w:hAnsi="黑体"/>
          <w:szCs w:val="28"/>
        </w:rPr>
      </w:pPr>
      <w:r>
        <w:rPr>
          <w:rFonts w:hint="eastAsia" w:ascii="黑体" w:hAnsi="黑体"/>
          <w:szCs w:val="28"/>
        </w:rPr>
        <w:t>三、交货及付款</w:t>
      </w:r>
    </w:p>
    <w:p>
      <w:pPr>
        <w:pStyle w:val="2"/>
        <w:spacing w:line="360" w:lineRule="auto"/>
        <w:ind w:firstLine="480" w:firstLineChars="200"/>
        <w:rPr>
          <w:rFonts w:hAnsi="宋体" w:cs="Times New Roman"/>
          <w:bCs/>
          <w:color w:val="000000"/>
          <w:sz w:val="24"/>
          <w:szCs w:val="24"/>
        </w:rPr>
      </w:pPr>
      <w:r>
        <w:rPr>
          <w:rFonts w:hint="eastAsia" w:hAnsi="宋体" w:cs="Times New Roman"/>
          <w:bCs/>
          <w:color w:val="000000"/>
          <w:sz w:val="24"/>
          <w:szCs w:val="24"/>
        </w:rPr>
        <w:t>1、交货期：</w:t>
      </w:r>
      <w:r>
        <w:rPr>
          <w:rFonts w:hint="eastAsia" w:hAnsi="宋体"/>
          <w:color w:val="000000"/>
          <w:sz w:val="24"/>
          <w:szCs w:val="24"/>
        </w:rPr>
        <w:t>以最终签署的协议（或合同）约定为准</w:t>
      </w:r>
      <w:r>
        <w:rPr>
          <w:rFonts w:hint="eastAsia" w:hAnsi="宋体" w:cs="Times New Roman"/>
          <w:bCs/>
          <w:color w:val="000000"/>
          <w:sz w:val="24"/>
          <w:szCs w:val="24"/>
        </w:rPr>
        <w:t>。</w:t>
      </w:r>
    </w:p>
    <w:p>
      <w:pPr>
        <w:pStyle w:val="2"/>
        <w:spacing w:line="360" w:lineRule="auto"/>
        <w:ind w:firstLine="480" w:firstLineChars="200"/>
        <w:rPr>
          <w:color w:val="000000" w:themeColor="text1"/>
          <w:sz w:val="24"/>
          <w:szCs w:val="24"/>
          <w14:textFill>
            <w14:solidFill>
              <w14:schemeClr w14:val="tx1"/>
            </w14:solidFill>
          </w14:textFill>
        </w:rPr>
      </w:pPr>
      <w:r>
        <w:rPr>
          <w:rFonts w:hint="eastAsia" w:hAnsi="宋体" w:cs="Times New Roman"/>
          <w:bCs/>
          <w:color w:val="000000"/>
          <w:sz w:val="24"/>
          <w:szCs w:val="24"/>
        </w:rPr>
        <w:t>2、交货地点：</w:t>
      </w:r>
      <w:r>
        <w:rPr>
          <w:rFonts w:hint="eastAsia"/>
          <w:color w:val="000000" w:themeColor="text1"/>
          <w:sz w:val="24"/>
          <w:szCs w:val="24"/>
          <w14:textFill>
            <w14:solidFill>
              <w14:schemeClr w14:val="tx1"/>
            </w14:solidFill>
          </w14:textFill>
        </w:rPr>
        <w:t>济南市高新区华奥路777号。</w:t>
      </w:r>
    </w:p>
    <w:p>
      <w:pPr>
        <w:pStyle w:val="2"/>
        <w:spacing w:line="360" w:lineRule="auto"/>
        <w:ind w:firstLine="480" w:firstLineChars="200"/>
        <w:rPr>
          <w:rFonts w:hAnsi="宋体" w:cs="Times New Roman"/>
          <w:bCs/>
          <w:sz w:val="24"/>
          <w:szCs w:val="24"/>
        </w:rPr>
      </w:pPr>
      <w:r>
        <w:rPr>
          <w:rFonts w:hint="eastAsia" w:hAnsi="宋体" w:cs="Times New Roman"/>
          <w:bCs/>
          <w:color w:val="000000"/>
          <w:sz w:val="24"/>
          <w:szCs w:val="24"/>
        </w:rPr>
        <w:t>3、交货方式</w:t>
      </w:r>
      <w:r>
        <w:rPr>
          <w:rFonts w:hint="eastAsia" w:hAnsi="宋体" w:cs="Times New Roman"/>
          <w:bCs/>
          <w:sz w:val="24"/>
          <w:szCs w:val="24"/>
        </w:rPr>
        <w:t>：</w:t>
      </w:r>
      <w:r>
        <w:rPr>
          <w:rFonts w:hint="eastAsia" w:hAnsi="宋体"/>
          <w:color w:val="000000"/>
          <w:sz w:val="24"/>
          <w:szCs w:val="24"/>
        </w:rPr>
        <w:t>以最终签署的协议（或合同）约定为准</w:t>
      </w:r>
      <w:r>
        <w:rPr>
          <w:rFonts w:hint="eastAsia" w:hAnsi="宋体" w:cs="Times New Roman"/>
          <w:bCs/>
          <w:sz w:val="24"/>
          <w:szCs w:val="24"/>
        </w:rPr>
        <w:t>。</w:t>
      </w:r>
    </w:p>
    <w:p>
      <w:pPr>
        <w:pStyle w:val="2"/>
        <w:spacing w:line="360" w:lineRule="auto"/>
        <w:ind w:firstLine="480" w:firstLineChars="200"/>
        <w:rPr>
          <w:rFonts w:hAnsi="宋体" w:cs="Times New Roman"/>
          <w:bCs/>
          <w:color w:val="000000"/>
          <w:sz w:val="24"/>
          <w:szCs w:val="24"/>
        </w:rPr>
      </w:pPr>
      <w:r>
        <w:rPr>
          <w:rFonts w:hint="eastAsia" w:hAnsi="宋体" w:cs="Times New Roman"/>
          <w:bCs/>
          <w:color w:val="000000"/>
          <w:sz w:val="24"/>
          <w:szCs w:val="24"/>
        </w:rPr>
        <w:t>4、付款方式：半年期商业汇票（包括银行承兑汇票和商业承兑汇票）</w:t>
      </w:r>
      <w:r>
        <w:rPr>
          <w:rFonts w:hint="eastAsia" w:hAnsi="宋体"/>
          <w:color w:val="000000"/>
          <w:sz w:val="24"/>
          <w:szCs w:val="24"/>
        </w:rPr>
        <w:t>。</w:t>
      </w:r>
    </w:p>
    <w:p>
      <w:pPr>
        <w:pStyle w:val="2"/>
        <w:spacing w:line="360" w:lineRule="auto"/>
        <w:ind w:firstLine="480" w:firstLineChars="200"/>
        <w:rPr>
          <w:rFonts w:hAnsi="宋体" w:cs="Times New Roman"/>
          <w:bCs/>
          <w:color w:val="000000"/>
          <w:sz w:val="24"/>
          <w:szCs w:val="24"/>
        </w:rPr>
      </w:pPr>
      <w:r>
        <w:rPr>
          <w:rFonts w:hint="eastAsia" w:hAnsi="宋体" w:cs="Times New Roman"/>
          <w:bCs/>
          <w:color w:val="000000"/>
          <w:sz w:val="24"/>
          <w:szCs w:val="24"/>
        </w:rPr>
        <w:t>中标人与中国重汽集团济南动力有限公司签订合同，根据《技术协议书》规定的项目阶段性交付及验收情况，按表1（具体付款方式）通知开具增值税发票，由中国重汽集团济南动力有限公司按照其财务制度进行审核后支付。</w:t>
      </w:r>
    </w:p>
    <w:p>
      <w:pPr>
        <w:pStyle w:val="2"/>
        <w:spacing w:before="156" w:beforeLines="50" w:after="156" w:afterLines="50" w:line="360" w:lineRule="auto"/>
        <w:ind w:firstLine="422" w:firstLineChars="200"/>
        <w:jc w:val="center"/>
        <w:rPr>
          <w:rFonts w:ascii="黑体" w:hAnsi="黑体" w:eastAsia="黑体" w:cs="Times New Roman"/>
          <w:bCs/>
          <w:color w:val="000000"/>
          <w:sz w:val="24"/>
          <w:szCs w:val="24"/>
        </w:rPr>
      </w:pPr>
      <w:r>
        <w:rPr>
          <w:rFonts w:hint="eastAsia" w:ascii="黑体" w:hAnsi="黑体" w:eastAsia="黑体"/>
          <w:b/>
        </w:rPr>
        <w:t>表1：具体付款方式</w:t>
      </w:r>
    </w:p>
    <w:tbl>
      <w:tblPr>
        <w:tblStyle w:val="16"/>
        <w:tblW w:w="89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104"/>
        <w:gridCol w:w="4976"/>
        <w:gridCol w:w="16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63" w:type="dxa"/>
            <w:tcBorders>
              <w:top w:val="single" w:color="auto" w:sz="4" w:space="0"/>
              <w:left w:val="single" w:color="auto" w:sz="4" w:space="0"/>
              <w:bottom w:val="single" w:color="auto" w:sz="4" w:space="0"/>
              <w:right w:val="single" w:color="auto" w:sz="4" w:space="0"/>
            </w:tcBorders>
            <w:vAlign w:val="center"/>
          </w:tcPr>
          <w:p>
            <w:pPr>
              <w:pStyle w:val="28"/>
              <w:rPr>
                <w:rFonts w:ascii="仿宋" w:hAnsi="仿宋" w:eastAsia="仿宋"/>
                <w:b w:val="0"/>
                <w:highlight w:val="yellow"/>
              </w:rPr>
            </w:pPr>
            <w:r>
              <w:rPr>
                <w:rFonts w:hint="eastAsia" w:ascii="仿宋" w:hAnsi="仿宋" w:eastAsia="仿宋"/>
                <w:b w:val="0"/>
              </w:rPr>
              <w:t>项目</w:t>
            </w:r>
          </w:p>
        </w:tc>
        <w:tc>
          <w:tcPr>
            <w:tcW w:w="1104" w:type="dxa"/>
            <w:tcBorders>
              <w:top w:val="single" w:color="auto" w:sz="4" w:space="0"/>
              <w:left w:val="single" w:color="auto" w:sz="4" w:space="0"/>
              <w:bottom w:val="single" w:color="auto" w:sz="4" w:space="0"/>
              <w:right w:val="single" w:color="auto" w:sz="4" w:space="0"/>
            </w:tcBorders>
            <w:vAlign w:val="center"/>
          </w:tcPr>
          <w:p>
            <w:pPr>
              <w:pStyle w:val="28"/>
              <w:rPr>
                <w:rFonts w:ascii="仿宋" w:hAnsi="仿宋" w:eastAsia="仿宋"/>
                <w:b w:val="0"/>
              </w:rPr>
            </w:pPr>
            <w:r>
              <w:rPr>
                <w:rFonts w:hint="eastAsia" w:ascii="仿宋" w:hAnsi="仿宋" w:eastAsia="仿宋"/>
                <w:b w:val="0"/>
              </w:rPr>
              <w:t>序号</w:t>
            </w:r>
          </w:p>
        </w:tc>
        <w:tc>
          <w:tcPr>
            <w:tcW w:w="4976" w:type="dxa"/>
            <w:tcBorders>
              <w:top w:val="single" w:color="auto" w:sz="4" w:space="0"/>
              <w:left w:val="single" w:color="auto" w:sz="4" w:space="0"/>
              <w:bottom w:val="single" w:color="auto" w:sz="4" w:space="0"/>
              <w:right w:val="single" w:color="auto" w:sz="4" w:space="0"/>
            </w:tcBorders>
            <w:vAlign w:val="center"/>
          </w:tcPr>
          <w:p>
            <w:pPr>
              <w:pStyle w:val="28"/>
              <w:rPr>
                <w:rFonts w:ascii="仿宋" w:hAnsi="仿宋" w:eastAsia="仿宋"/>
                <w:b w:val="0"/>
              </w:rPr>
            </w:pPr>
            <w:r>
              <w:rPr>
                <w:rFonts w:hint="eastAsia" w:ascii="仿宋" w:hAnsi="仿宋" w:eastAsia="仿宋"/>
                <w:b w:val="0"/>
              </w:rPr>
              <w:t>节点</w:t>
            </w:r>
          </w:p>
        </w:tc>
        <w:tc>
          <w:tcPr>
            <w:tcW w:w="1683" w:type="dxa"/>
            <w:tcBorders>
              <w:top w:val="single" w:color="auto" w:sz="4" w:space="0"/>
              <w:left w:val="single" w:color="auto" w:sz="4" w:space="0"/>
              <w:bottom w:val="single" w:color="auto" w:sz="4" w:space="0"/>
              <w:right w:val="single" w:color="auto" w:sz="4" w:space="0"/>
            </w:tcBorders>
            <w:vAlign w:val="center"/>
          </w:tcPr>
          <w:p>
            <w:pPr>
              <w:pStyle w:val="28"/>
              <w:rPr>
                <w:rFonts w:ascii="仿宋" w:hAnsi="仿宋" w:eastAsia="仿宋"/>
                <w:b w:val="0"/>
              </w:rPr>
            </w:pPr>
            <w:r>
              <w:rPr>
                <w:rFonts w:hint="eastAsia" w:ascii="仿宋" w:hAnsi="仿宋" w:eastAsia="仿宋"/>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63" w:type="dxa"/>
            <w:vMerge w:val="restart"/>
            <w:tcBorders>
              <w:top w:val="single" w:color="auto" w:sz="4" w:space="0"/>
              <w:left w:val="single" w:color="auto" w:sz="4" w:space="0"/>
              <w:right w:val="single" w:color="auto" w:sz="4" w:space="0"/>
            </w:tcBorders>
            <w:vAlign w:val="center"/>
          </w:tcPr>
          <w:p>
            <w:pPr>
              <w:pStyle w:val="28"/>
              <w:rPr>
                <w:rFonts w:ascii="仿宋" w:hAnsi="仿宋" w:eastAsia="仿宋"/>
                <w:b w:val="0"/>
                <w:highlight w:val="yellow"/>
              </w:rPr>
            </w:pPr>
            <w:r>
              <w:rPr>
                <w:rFonts w:hint="eastAsia" w:ascii="仿宋" w:hAnsi="仿宋" w:eastAsia="仿宋"/>
                <w:b w:val="0"/>
              </w:rPr>
              <w:t>工规级自动驾驶控制器通信中间件技术开发</w:t>
            </w:r>
          </w:p>
        </w:tc>
        <w:tc>
          <w:tcPr>
            <w:tcW w:w="1104" w:type="dxa"/>
            <w:tcBorders>
              <w:top w:val="single" w:color="auto" w:sz="4" w:space="0"/>
              <w:left w:val="single" w:color="auto" w:sz="4" w:space="0"/>
              <w:bottom w:val="single" w:color="auto" w:sz="4" w:space="0"/>
              <w:right w:val="single" w:color="auto" w:sz="4" w:space="0"/>
            </w:tcBorders>
            <w:vAlign w:val="center"/>
          </w:tcPr>
          <w:p>
            <w:pPr>
              <w:pStyle w:val="28"/>
              <w:rPr>
                <w:rFonts w:ascii="仿宋" w:hAnsi="仿宋" w:eastAsia="仿宋"/>
                <w:b w:val="0"/>
              </w:rPr>
            </w:pPr>
            <w:r>
              <w:rPr>
                <w:rFonts w:hint="eastAsia" w:ascii="仿宋" w:hAnsi="仿宋" w:eastAsia="仿宋"/>
                <w:b w:val="0"/>
              </w:rPr>
              <w:t>1</w:t>
            </w:r>
          </w:p>
        </w:tc>
        <w:tc>
          <w:tcPr>
            <w:tcW w:w="4976" w:type="dxa"/>
            <w:tcBorders>
              <w:top w:val="single" w:color="auto" w:sz="4" w:space="0"/>
              <w:left w:val="single" w:color="auto" w:sz="4" w:space="0"/>
              <w:bottom w:val="single" w:color="auto" w:sz="4" w:space="0"/>
              <w:right w:val="single" w:color="auto" w:sz="4" w:space="0"/>
            </w:tcBorders>
            <w:vAlign w:val="center"/>
          </w:tcPr>
          <w:p>
            <w:pPr>
              <w:pStyle w:val="28"/>
              <w:rPr>
                <w:rFonts w:ascii="仿宋" w:hAnsi="仿宋" w:eastAsia="仿宋"/>
                <w:b w:val="0"/>
              </w:rPr>
            </w:pPr>
            <w:r>
              <w:rPr>
                <w:rFonts w:hint="eastAsia" w:ascii="仿宋" w:hAnsi="仿宋" w:eastAsia="仿宋"/>
                <w:b w:val="0"/>
              </w:rPr>
              <w:t>完成技术开发方案制订并交付文档，基于乙方开发方案完成通信延时性能优化、数据录制优化开发，并交付相关代码、文档和使用手册，验收完成。</w:t>
            </w:r>
          </w:p>
        </w:tc>
        <w:tc>
          <w:tcPr>
            <w:tcW w:w="1683" w:type="dxa"/>
            <w:tcBorders>
              <w:top w:val="single" w:color="auto" w:sz="4" w:space="0"/>
              <w:left w:val="single" w:color="auto" w:sz="4" w:space="0"/>
              <w:bottom w:val="single" w:color="auto" w:sz="4" w:space="0"/>
              <w:right w:val="single" w:color="auto" w:sz="4" w:space="0"/>
            </w:tcBorders>
            <w:vAlign w:val="center"/>
          </w:tcPr>
          <w:p>
            <w:pPr>
              <w:pStyle w:val="28"/>
              <w:rPr>
                <w:rFonts w:ascii="仿宋" w:hAnsi="仿宋" w:eastAsia="仿宋"/>
                <w:b w:val="0"/>
              </w:rPr>
            </w:pPr>
            <w:r>
              <w:rPr>
                <w:rFonts w:hint="eastAsia" w:ascii="仿宋" w:hAnsi="仿宋" w:eastAsia="仿宋"/>
                <w:b w:val="0"/>
              </w:rPr>
              <w:t>3</w:t>
            </w:r>
            <w:r>
              <w:rPr>
                <w:rFonts w:ascii="仿宋" w:hAnsi="仿宋" w:eastAsia="仿宋"/>
                <w:b w:val="0"/>
              </w:rPr>
              <w:t>0</w:t>
            </w:r>
            <w:r>
              <w:rPr>
                <w:rFonts w:hint="eastAsia" w:ascii="仿宋" w:hAnsi="仿宋" w:eastAsia="仿宋"/>
                <w:b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63" w:type="dxa"/>
            <w:vMerge w:val="continue"/>
            <w:tcBorders>
              <w:left w:val="single" w:color="auto" w:sz="4" w:space="0"/>
              <w:right w:val="single" w:color="auto" w:sz="4" w:space="0"/>
            </w:tcBorders>
            <w:vAlign w:val="center"/>
          </w:tcPr>
          <w:p>
            <w:pPr>
              <w:pStyle w:val="28"/>
              <w:rPr>
                <w:rFonts w:ascii="仿宋" w:hAnsi="仿宋" w:eastAsia="仿宋"/>
                <w:b w:val="0"/>
                <w:highlight w:val="yellow"/>
              </w:rPr>
            </w:pPr>
          </w:p>
        </w:tc>
        <w:tc>
          <w:tcPr>
            <w:tcW w:w="1104" w:type="dxa"/>
            <w:tcBorders>
              <w:top w:val="single" w:color="auto" w:sz="4" w:space="0"/>
              <w:left w:val="single" w:color="auto" w:sz="4" w:space="0"/>
              <w:bottom w:val="single" w:color="auto" w:sz="4" w:space="0"/>
              <w:right w:val="single" w:color="auto" w:sz="4" w:space="0"/>
            </w:tcBorders>
            <w:vAlign w:val="center"/>
          </w:tcPr>
          <w:p>
            <w:pPr>
              <w:pStyle w:val="28"/>
              <w:rPr>
                <w:rFonts w:ascii="仿宋" w:hAnsi="仿宋" w:eastAsia="仿宋"/>
                <w:b w:val="0"/>
              </w:rPr>
            </w:pPr>
            <w:r>
              <w:rPr>
                <w:rFonts w:hint="eastAsia" w:ascii="仿宋" w:hAnsi="仿宋" w:eastAsia="仿宋"/>
                <w:b w:val="0"/>
              </w:rPr>
              <w:t>2</w:t>
            </w:r>
          </w:p>
        </w:tc>
        <w:tc>
          <w:tcPr>
            <w:tcW w:w="4976" w:type="dxa"/>
            <w:tcBorders>
              <w:top w:val="single" w:color="auto" w:sz="4" w:space="0"/>
              <w:left w:val="single" w:color="auto" w:sz="4" w:space="0"/>
              <w:right w:val="single" w:color="auto" w:sz="4" w:space="0"/>
            </w:tcBorders>
            <w:vAlign w:val="center"/>
          </w:tcPr>
          <w:p>
            <w:pPr>
              <w:pStyle w:val="28"/>
              <w:rPr>
                <w:rFonts w:ascii="仿宋" w:hAnsi="仿宋" w:eastAsia="仿宋"/>
                <w:b w:val="0"/>
              </w:rPr>
            </w:pPr>
            <w:r>
              <w:rPr>
                <w:rFonts w:hint="eastAsia" w:ascii="仿宋" w:hAnsi="仿宋" w:eastAsia="仿宋"/>
                <w:b w:val="0"/>
              </w:rPr>
              <w:t>完成</w:t>
            </w:r>
            <w:r>
              <w:rPr>
                <w:rFonts w:hint="eastAsia" w:ascii="仿宋" w:hAnsi="仿宋" w:eastAsia="仿宋"/>
                <w:b w:val="0"/>
                <w:lang w:val="en-US" w:eastAsia="zh-CN"/>
              </w:rPr>
              <w:t>实车自动驾驶系统</w:t>
            </w:r>
            <w:r>
              <w:rPr>
                <w:rFonts w:hint="eastAsia" w:ascii="仿宋" w:hAnsi="仿宋" w:eastAsia="仿宋"/>
                <w:b w:val="0"/>
              </w:rPr>
              <w:t>通信性能稳定性测试，并输出测试报告。</w:t>
            </w:r>
          </w:p>
        </w:tc>
        <w:tc>
          <w:tcPr>
            <w:tcW w:w="1683" w:type="dxa"/>
            <w:tcBorders>
              <w:top w:val="single" w:color="auto" w:sz="4" w:space="0"/>
              <w:left w:val="single" w:color="auto" w:sz="4" w:space="0"/>
              <w:right w:val="single" w:color="auto" w:sz="4" w:space="0"/>
            </w:tcBorders>
            <w:vAlign w:val="center"/>
          </w:tcPr>
          <w:p>
            <w:pPr>
              <w:pStyle w:val="28"/>
              <w:rPr>
                <w:rFonts w:ascii="仿宋" w:hAnsi="仿宋" w:eastAsia="仿宋"/>
                <w:b w:val="0"/>
              </w:rPr>
            </w:pPr>
            <w:r>
              <w:rPr>
                <w:rFonts w:hint="eastAsia" w:ascii="仿宋" w:hAnsi="仿宋" w:eastAsia="仿宋"/>
                <w:b w:val="0"/>
              </w:rPr>
              <w:t>6</w:t>
            </w:r>
            <w:r>
              <w:rPr>
                <w:rFonts w:ascii="仿宋" w:hAnsi="仿宋" w:eastAsia="仿宋"/>
                <w:b w:val="0"/>
              </w:rPr>
              <w:t>0</w:t>
            </w:r>
            <w:r>
              <w:rPr>
                <w:rFonts w:hint="eastAsia" w:ascii="仿宋" w:hAnsi="仿宋" w:eastAsia="仿宋"/>
                <w:b w:val="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163" w:type="dxa"/>
            <w:vMerge w:val="continue"/>
            <w:tcBorders>
              <w:left w:val="single" w:color="auto" w:sz="4" w:space="0"/>
              <w:right w:val="single" w:color="auto" w:sz="4" w:space="0"/>
            </w:tcBorders>
            <w:vAlign w:val="center"/>
          </w:tcPr>
          <w:p>
            <w:pPr>
              <w:pStyle w:val="28"/>
              <w:rPr>
                <w:rFonts w:ascii="仿宋" w:hAnsi="仿宋" w:eastAsia="仿宋"/>
                <w:b w:val="0"/>
                <w:highlight w:val="yellow"/>
              </w:rPr>
            </w:pPr>
          </w:p>
        </w:tc>
        <w:tc>
          <w:tcPr>
            <w:tcW w:w="1104" w:type="dxa"/>
            <w:tcBorders>
              <w:top w:val="single" w:color="auto" w:sz="4" w:space="0"/>
              <w:left w:val="single" w:color="auto" w:sz="4" w:space="0"/>
              <w:bottom w:val="single" w:color="auto" w:sz="4" w:space="0"/>
              <w:right w:val="single" w:color="auto" w:sz="4" w:space="0"/>
            </w:tcBorders>
            <w:vAlign w:val="center"/>
          </w:tcPr>
          <w:p>
            <w:pPr>
              <w:pStyle w:val="28"/>
              <w:rPr>
                <w:rFonts w:ascii="仿宋" w:hAnsi="仿宋" w:eastAsia="仿宋"/>
                <w:b w:val="0"/>
              </w:rPr>
            </w:pPr>
            <w:r>
              <w:rPr>
                <w:rFonts w:hint="eastAsia" w:ascii="仿宋" w:hAnsi="仿宋" w:eastAsia="仿宋"/>
                <w:b w:val="0"/>
              </w:rPr>
              <w:t>3</w:t>
            </w:r>
          </w:p>
        </w:tc>
        <w:tc>
          <w:tcPr>
            <w:tcW w:w="4976" w:type="dxa"/>
            <w:tcBorders>
              <w:left w:val="single" w:color="auto" w:sz="4" w:space="0"/>
              <w:right w:val="single" w:color="auto" w:sz="4" w:space="0"/>
            </w:tcBorders>
            <w:vAlign w:val="center"/>
          </w:tcPr>
          <w:p>
            <w:pPr>
              <w:pStyle w:val="28"/>
              <w:rPr>
                <w:rFonts w:ascii="仿宋" w:hAnsi="仿宋" w:eastAsia="仿宋"/>
                <w:b w:val="0"/>
              </w:rPr>
            </w:pPr>
            <w:r>
              <w:rPr>
                <w:rFonts w:hint="eastAsia" w:ascii="仿宋" w:hAnsi="仿宋" w:eastAsia="仿宋"/>
                <w:b w:val="0"/>
              </w:rPr>
              <w:t>质量保证金</w:t>
            </w:r>
          </w:p>
        </w:tc>
        <w:tc>
          <w:tcPr>
            <w:tcW w:w="1683" w:type="dxa"/>
            <w:tcBorders>
              <w:left w:val="single" w:color="auto" w:sz="4" w:space="0"/>
              <w:right w:val="single" w:color="auto" w:sz="4" w:space="0"/>
            </w:tcBorders>
            <w:vAlign w:val="center"/>
          </w:tcPr>
          <w:p>
            <w:pPr>
              <w:pStyle w:val="28"/>
              <w:rPr>
                <w:rFonts w:ascii="仿宋" w:hAnsi="仿宋" w:eastAsia="仿宋"/>
                <w:b w:val="0"/>
              </w:rPr>
            </w:pPr>
            <w:r>
              <w:rPr>
                <w:rFonts w:hint="eastAsia" w:ascii="仿宋" w:hAnsi="仿宋" w:eastAsia="仿宋"/>
                <w:b w:val="0"/>
              </w:rPr>
              <w:t>1</w:t>
            </w:r>
            <w:r>
              <w:rPr>
                <w:rFonts w:ascii="仿宋" w:hAnsi="仿宋" w:eastAsia="仿宋"/>
                <w:b w:val="0"/>
              </w:rPr>
              <w:t>0</w:t>
            </w:r>
            <w:r>
              <w:rPr>
                <w:rFonts w:hint="eastAsia" w:ascii="仿宋" w:hAnsi="仿宋" w:eastAsia="仿宋"/>
                <w:b w:val="0"/>
              </w:rPr>
              <w:t>%</w:t>
            </w:r>
          </w:p>
        </w:tc>
      </w:tr>
    </w:tbl>
    <w:p>
      <w:pPr>
        <w:pStyle w:val="2"/>
        <w:spacing w:line="360" w:lineRule="auto"/>
        <w:ind w:firstLine="480" w:firstLineChars="200"/>
        <w:rPr>
          <w:rFonts w:hAnsi="宋体" w:cs="Times New Roman"/>
          <w:bCs/>
          <w:color w:val="000000"/>
          <w:sz w:val="24"/>
          <w:szCs w:val="24"/>
        </w:rPr>
      </w:pPr>
      <w:r>
        <w:rPr>
          <w:rFonts w:hint="eastAsia" w:hAnsi="宋体" w:cs="Times New Roman"/>
          <w:bCs/>
          <w:color w:val="000000"/>
          <w:sz w:val="24"/>
          <w:szCs w:val="24"/>
        </w:rPr>
        <w:t>合同总价款的10%作为本合同约定的合作保证金，保证金在六个月内不计利息。待合作完成满6个月后，卖方向买方提出书面付款账单，经买方审核无误后</w:t>
      </w:r>
      <w:r>
        <w:rPr>
          <w:rFonts w:hAnsi="宋体" w:cs="Times New Roman"/>
          <w:bCs/>
          <w:color w:val="000000"/>
          <w:sz w:val="24"/>
          <w:szCs w:val="24"/>
        </w:rPr>
        <w:t>3</w:t>
      </w:r>
      <w:r>
        <w:rPr>
          <w:rFonts w:hint="eastAsia" w:hAnsi="宋体" w:cs="Times New Roman"/>
          <w:bCs/>
          <w:color w:val="000000"/>
          <w:sz w:val="24"/>
          <w:szCs w:val="24"/>
        </w:rPr>
        <w:t>0个工作日内支付；如有问题，保证金予以扣除。买方将保证金返还给卖方，并不代表对卖方合作期内责任的免除，卖方应在合作期内履行其应尽的义务。</w:t>
      </w:r>
    </w:p>
    <w:p>
      <w:pPr>
        <w:pStyle w:val="26"/>
        <w:rPr>
          <w:rFonts w:ascii="黑体" w:hAnsi="黑体"/>
          <w:szCs w:val="28"/>
        </w:rPr>
      </w:pPr>
      <w:r>
        <w:rPr>
          <w:rFonts w:hint="eastAsia" w:ascii="黑体" w:hAnsi="黑体"/>
          <w:szCs w:val="28"/>
        </w:rPr>
        <w:t>四、投标说明</w:t>
      </w:r>
    </w:p>
    <w:p>
      <w:pPr>
        <w:pStyle w:val="32"/>
        <w:rPr>
          <w:rFonts w:ascii="宋体" w:hAnsi="宋体"/>
        </w:rPr>
      </w:pPr>
      <w:r>
        <w:rPr>
          <w:rFonts w:hint="eastAsia" w:ascii="宋体" w:hAnsi="宋体"/>
        </w:rPr>
        <w:t>1、报名方式</w:t>
      </w:r>
    </w:p>
    <w:p>
      <w:pPr>
        <w:pStyle w:val="25"/>
        <w:ind w:firstLine="480"/>
      </w:pPr>
      <w:r>
        <w:rPr>
          <w:rFonts w:hint="eastAsia"/>
        </w:rPr>
        <w:t>拟投标人根据招标人在中国重汽的官网、阳光采购平台上发布的招标信息，邮件报名。报名邮箱：</w:t>
      </w:r>
      <w:r>
        <w:fldChar w:fldCharType="begin"/>
      </w:r>
      <w:r>
        <w:instrText xml:space="preserve"> HYPERLINK "mailto:%20ninglei@sinotruk.com" </w:instrText>
      </w:r>
      <w:r>
        <w:fldChar w:fldCharType="separate"/>
      </w:r>
      <w:r>
        <w:rPr>
          <w:rStyle w:val="19"/>
        </w:rPr>
        <w:t xml:space="preserve"> </w:t>
      </w:r>
      <w:r>
        <w:rPr>
          <w:rStyle w:val="19"/>
          <w:rFonts w:hint="eastAsia"/>
        </w:rPr>
        <w:t>zhengjiahao@sinotruk.com</w:t>
      </w:r>
      <w:r>
        <w:rPr>
          <w:rStyle w:val="19"/>
          <w:rFonts w:hint="eastAsia"/>
        </w:rPr>
        <w:fldChar w:fldCharType="end"/>
      </w:r>
      <w:r>
        <w:rPr>
          <w:rFonts w:hint="eastAsia"/>
        </w:rPr>
        <w:t>公示期间请尽快报名，报名后</w:t>
      </w:r>
      <w:r>
        <w:rPr>
          <w:rFonts w:hint="eastAsia"/>
          <w:b/>
        </w:rPr>
        <w:t>无须电话询问</w:t>
      </w:r>
      <w:r>
        <w:rPr>
          <w:rFonts w:hint="eastAsia"/>
        </w:rPr>
        <w:t>是否报名成功，我单位会通过邮件回复贵单位招标事项。</w:t>
      </w:r>
    </w:p>
    <w:p>
      <w:pPr>
        <w:pStyle w:val="2"/>
        <w:spacing w:line="360" w:lineRule="auto"/>
        <w:ind w:firstLine="480" w:firstLineChars="200"/>
        <w:rPr>
          <w:b/>
          <w:color w:val="000000"/>
          <w:sz w:val="24"/>
          <w:szCs w:val="24"/>
        </w:rPr>
      </w:pPr>
      <w:r>
        <w:rPr>
          <w:rFonts w:hint="eastAsia"/>
          <w:color w:val="000000"/>
          <w:sz w:val="24"/>
          <w:szCs w:val="24"/>
        </w:rPr>
        <w:t>投标邮件主题：</w:t>
      </w:r>
      <w:r>
        <w:rPr>
          <w:rFonts w:hint="eastAsia"/>
          <w:b/>
          <w:color w:val="000000"/>
          <w:sz w:val="24"/>
          <w:szCs w:val="24"/>
        </w:rPr>
        <w:t>某单位授权某代表参与投标某项目+电话</w:t>
      </w:r>
    </w:p>
    <w:p>
      <w:pPr>
        <w:pStyle w:val="2"/>
        <w:spacing w:line="360" w:lineRule="auto"/>
        <w:ind w:firstLine="480" w:firstLineChars="200"/>
        <w:rPr>
          <w:b/>
          <w:color w:val="000000"/>
          <w:sz w:val="24"/>
          <w:szCs w:val="24"/>
        </w:rPr>
      </w:pPr>
      <w:r>
        <w:rPr>
          <w:rFonts w:hint="eastAsia"/>
          <w:color w:val="000000"/>
          <w:sz w:val="24"/>
          <w:szCs w:val="24"/>
        </w:rPr>
        <w:t>投标邮件附件：</w:t>
      </w:r>
      <w:r>
        <w:rPr>
          <w:rFonts w:hint="eastAsia"/>
          <w:b/>
          <w:color w:val="000000"/>
          <w:sz w:val="24"/>
          <w:szCs w:val="24"/>
        </w:rPr>
        <w:t>营业执照，授权书（含法人及授权人身份信息）</w:t>
      </w:r>
    </w:p>
    <w:p>
      <w:pPr>
        <w:pStyle w:val="2"/>
        <w:spacing w:line="360" w:lineRule="auto"/>
        <w:ind w:firstLine="480" w:firstLineChars="200"/>
        <w:rPr>
          <w:color w:val="000000"/>
          <w:sz w:val="24"/>
          <w:szCs w:val="24"/>
        </w:rPr>
      </w:pPr>
      <w:r>
        <w:rPr>
          <w:rFonts w:hint="eastAsia"/>
          <w:color w:val="000000"/>
          <w:sz w:val="24"/>
          <w:szCs w:val="24"/>
        </w:rPr>
        <w:t>（附件单独存放，不要发压缩包，不要</w:t>
      </w:r>
      <w:r>
        <w:rPr>
          <w:rFonts w:hint="eastAsia" w:hAnsi="宋体"/>
          <w:bCs/>
          <w:sz w:val="24"/>
          <w:szCs w:val="24"/>
        </w:rPr>
        <w:t>使用</w:t>
      </w:r>
      <w:r>
        <w:rPr>
          <w:rFonts w:hint="eastAsia"/>
          <w:color w:val="000000"/>
          <w:sz w:val="24"/>
          <w:szCs w:val="24"/>
        </w:rPr>
        <w:t>1</w:t>
      </w:r>
      <w:r>
        <w:rPr>
          <w:color w:val="000000"/>
          <w:sz w:val="24"/>
          <w:szCs w:val="24"/>
        </w:rPr>
        <w:t>26</w:t>
      </w:r>
      <w:r>
        <w:rPr>
          <w:rFonts w:hint="eastAsia"/>
          <w:color w:val="000000"/>
          <w:sz w:val="24"/>
          <w:szCs w:val="24"/>
        </w:rPr>
        <w:t>或者1</w:t>
      </w:r>
      <w:r>
        <w:rPr>
          <w:color w:val="000000"/>
          <w:sz w:val="24"/>
          <w:szCs w:val="24"/>
        </w:rPr>
        <w:t>23</w:t>
      </w:r>
      <w:r>
        <w:rPr>
          <w:rFonts w:hint="eastAsia"/>
          <w:color w:val="000000"/>
          <w:sz w:val="24"/>
          <w:szCs w:val="24"/>
        </w:rPr>
        <w:t>邮箱报名，我公司无法打开下载）。</w:t>
      </w:r>
    </w:p>
    <w:p>
      <w:pPr>
        <w:pStyle w:val="2"/>
        <w:spacing w:line="360" w:lineRule="auto"/>
        <w:ind w:firstLine="480" w:firstLineChars="200"/>
        <w:rPr>
          <w:color w:val="000000"/>
          <w:sz w:val="24"/>
          <w:szCs w:val="24"/>
        </w:rPr>
      </w:pPr>
      <w:r>
        <w:rPr>
          <w:rFonts w:hint="eastAsia"/>
          <w:color w:val="000000"/>
          <w:sz w:val="24"/>
          <w:szCs w:val="24"/>
        </w:rPr>
        <w:t>不按要求报名的，需投标单位承担。报名后无需电话询问是否报名成功，我单位会通过邮件一一回复。</w:t>
      </w:r>
    </w:p>
    <w:p>
      <w:pPr>
        <w:pStyle w:val="32"/>
        <w:rPr>
          <w:rFonts w:ascii="宋体" w:hAnsi="宋体"/>
        </w:rPr>
      </w:pPr>
      <w:r>
        <w:rPr>
          <w:rFonts w:hint="eastAsia" w:ascii="宋体" w:hAnsi="宋体"/>
        </w:rPr>
        <w:t>2、投标条件</w:t>
      </w:r>
    </w:p>
    <w:p>
      <w:pPr>
        <w:pStyle w:val="2"/>
        <w:spacing w:line="360" w:lineRule="auto"/>
        <w:ind w:firstLine="480" w:firstLineChars="200"/>
        <w:rPr>
          <w:rFonts w:hAnsi="宋体"/>
          <w:strike/>
          <w:sz w:val="24"/>
          <w:szCs w:val="24"/>
        </w:rPr>
      </w:pPr>
      <w:r>
        <w:rPr>
          <w:rFonts w:hint="eastAsia"/>
          <w:color w:val="000000"/>
          <w:sz w:val="24"/>
          <w:szCs w:val="24"/>
        </w:rPr>
        <w:t>（1）</w:t>
      </w:r>
      <w:r>
        <w:rPr>
          <w:rStyle w:val="27"/>
          <w:rFonts w:hint="eastAsia"/>
        </w:rPr>
        <w:t>拟标投人必须是在中华人民共和国境内注册的独立法人机构，具有独立承担民事责任能力，注册资金不少于</w:t>
      </w:r>
      <w:r>
        <w:rPr>
          <w:rStyle w:val="27"/>
          <w:rFonts w:hint="eastAsia"/>
          <w:highlight w:val="yellow"/>
        </w:rPr>
        <w:t>1</w:t>
      </w:r>
      <w:r>
        <w:rPr>
          <w:rStyle w:val="27"/>
          <w:highlight w:val="yellow"/>
        </w:rPr>
        <w:t>0</w:t>
      </w:r>
      <w:r>
        <w:rPr>
          <w:rStyle w:val="27"/>
          <w:rFonts w:hint="eastAsia"/>
          <w:highlight w:val="yellow"/>
        </w:rPr>
        <w:t>0万人民币</w:t>
      </w:r>
      <w:r>
        <w:rPr>
          <w:rStyle w:val="27"/>
          <w:rFonts w:hint="eastAsia"/>
        </w:rPr>
        <w:t>；公司成立三年以上（以营业执照成立日期到开标当日满三年为准）；且经营范围满足招标人需求；并在人员、设备、资金等方面具有承担本项目的能力。投标人为该标的物的制造商或其在中国境内有完善的技术以及售后服务体系；投标人为代理商的须具有制造商出具的授权书或经销代理证明以及售后服务承诺。</w:t>
      </w:r>
    </w:p>
    <w:p>
      <w:pPr>
        <w:pStyle w:val="2"/>
        <w:spacing w:line="360" w:lineRule="auto"/>
        <w:ind w:firstLine="480" w:firstLineChars="200"/>
        <w:rPr>
          <w:rFonts w:hAnsi="宋体"/>
          <w:color w:val="000000"/>
          <w:sz w:val="24"/>
          <w:szCs w:val="24"/>
        </w:rPr>
      </w:pPr>
      <w:r>
        <w:rPr>
          <w:rFonts w:hint="eastAsia" w:hAnsi="宋体"/>
          <w:color w:val="000000"/>
          <w:sz w:val="24"/>
          <w:szCs w:val="24"/>
        </w:rPr>
        <w:t>（</w:t>
      </w:r>
      <w:r>
        <w:rPr>
          <w:rFonts w:hAnsi="宋体"/>
          <w:color w:val="000000"/>
          <w:sz w:val="24"/>
          <w:szCs w:val="24"/>
        </w:rPr>
        <w:t>2</w:t>
      </w:r>
      <w:r>
        <w:rPr>
          <w:rFonts w:hint="eastAsia" w:hAnsi="宋体"/>
          <w:color w:val="000000"/>
          <w:sz w:val="24"/>
          <w:szCs w:val="24"/>
        </w:rPr>
        <w:t>）拟投标人应提供三证合一的营业执照</w:t>
      </w:r>
      <w:r>
        <w:rPr>
          <w:rFonts w:hint="eastAsia" w:hAnsi="宋体"/>
          <w:color w:val="000000" w:themeColor="text1"/>
          <w:sz w:val="24"/>
          <w:szCs w:val="24"/>
          <w14:textFill>
            <w14:solidFill>
              <w14:schemeClr w14:val="tx1"/>
            </w14:solidFill>
          </w14:textFill>
        </w:rPr>
        <w:t>副本原件或复印件（需盖章）。</w:t>
      </w:r>
    </w:p>
    <w:p>
      <w:pPr>
        <w:pStyle w:val="2"/>
        <w:spacing w:line="360" w:lineRule="auto"/>
        <w:ind w:firstLine="480" w:firstLineChars="200"/>
        <w:rPr>
          <w:rFonts w:hAnsi="宋体"/>
          <w:color w:val="000000"/>
          <w:sz w:val="24"/>
          <w:szCs w:val="24"/>
        </w:rPr>
      </w:pPr>
      <w:r>
        <w:rPr>
          <w:rFonts w:hint="eastAsia" w:hAnsi="宋体"/>
          <w:color w:val="000000"/>
          <w:sz w:val="24"/>
          <w:szCs w:val="24"/>
        </w:rPr>
        <w:t>（</w:t>
      </w:r>
      <w:r>
        <w:rPr>
          <w:rFonts w:hAnsi="宋体"/>
          <w:color w:val="000000"/>
          <w:sz w:val="24"/>
          <w:szCs w:val="24"/>
        </w:rPr>
        <w:t>3</w:t>
      </w:r>
      <w:r>
        <w:rPr>
          <w:rFonts w:hint="eastAsia" w:hAnsi="宋体"/>
          <w:color w:val="000000"/>
          <w:sz w:val="24"/>
          <w:szCs w:val="24"/>
        </w:rPr>
        <w:t>）拟投标人应提供法定代表人资格证明文件。</w:t>
      </w:r>
    </w:p>
    <w:p>
      <w:pPr>
        <w:pStyle w:val="2"/>
        <w:spacing w:line="360" w:lineRule="auto"/>
        <w:ind w:firstLine="480" w:firstLineChars="200"/>
        <w:rPr>
          <w:rFonts w:hAnsi="宋体"/>
          <w:color w:val="000000"/>
          <w:sz w:val="24"/>
          <w:szCs w:val="24"/>
        </w:rPr>
      </w:pPr>
      <w:r>
        <w:rPr>
          <w:rFonts w:hint="eastAsia" w:hAnsi="宋体"/>
          <w:color w:val="000000"/>
          <w:sz w:val="24"/>
          <w:szCs w:val="24"/>
        </w:rPr>
        <w:t>（</w:t>
      </w:r>
      <w:r>
        <w:rPr>
          <w:rFonts w:hAnsi="宋体"/>
          <w:color w:val="000000"/>
          <w:sz w:val="24"/>
          <w:szCs w:val="24"/>
        </w:rPr>
        <w:t>4</w:t>
      </w:r>
      <w:r>
        <w:rPr>
          <w:rFonts w:hint="eastAsia" w:hAnsi="宋体"/>
          <w:color w:val="000000"/>
          <w:sz w:val="24"/>
          <w:szCs w:val="24"/>
        </w:rPr>
        <w:t>）拟投标人信用证明材料（中国人民银行企业征信报告）未显示异常；</w:t>
      </w:r>
    </w:p>
    <w:p>
      <w:pPr>
        <w:pStyle w:val="2"/>
        <w:spacing w:line="360" w:lineRule="auto"/>
        <w:ind w:firstLine="480" w:firstLineChars="200"/>
        <w:rPr>
          <w:rFonts w:hAnsi="宋体"/>
          <w:color w:val="000000"/>
          <w:sz w:val="24"/>
          <w:szCs w:val="24"/>
        </w:rPr>
      </w:pPr>
      <w:r>
        <w:rPr>
          <w:rFonts w:hint="eastAsia" w:hAnsi="宋体"/>
          <w:color w:val="000000"/>
          <w:sz w:val="24"/>
          <w:szCs w:val="24"/>
        </w:rPr>
        <w:t>（</w:t>
      </w:r>
      <w:r>
        <w:rPr>
          <w:rFonts w:hAnsi="宋体"/>
          <w:color w:val="000000"/>
          <w:sz w:val="24"/>
          <w:szCs w:val="24"/>
        </w:rPr>
        <w:t>5</w:t>
      </w:r>
      <w:r>
        <w:rPr>
          <w:rFonts w:hint="eastAsia" w:hAnsi="宋体"/>
          <w:color w:val="000000"/>
          <w:sz w:val="24"/>
          <w:szCs w:val="24"/>
        </w:rPr>
        <w:t>）拟投标人不存在严重违规或被列入招标人“黑名单”的声明。</w:t>
      </w:r>
    </w:p>
    <w:p>
      <w:pPr>
        <w:pStyle w:val="25"/>
        <w:ind w:firstLine="480"/>
        <w:jc w:val="left"/>
      </w:pPr>
      <w:r>
        <w:rPr>
          <w:rFonts w:hint="eastAsia"/>
        </w:rPr>
        <w:t>（</w:t>
      </w:r>
      <w:r>
        <w:t>6</w:t>
      </w:r>
      <w:r>
        <w:rPr>
          <w:rFonts w:hint="eastAsia"/>
        </w:rPr>
        <w:t>）近3年内无因服务不当而造成重大事故。三年内无与本项目有关的违法及重大违规情况。</w:t>
      </w:r>
    </w:p>
    <w:p>
      <w:pPr>
        <w:pStyle w:val="2"/>
        <w:spacing w:line="360" w:lineRule="auto"/>
        <w:ind w:firstLine="480" w:firstLineChars="200"/>
        <w:rPr>
          <w:rFonts w:hAnsi="宋体"/>
          <w:color w:val="000000"/>
          <w:sz w:val="24"/>
          <w:szCs w:val="24"/>
        </w:rPr>
      </w:pPr>
      <w:r>
        <w:rPr>
          <w:rFonts w:hint="eastAsia" w:hAnsi="宋体"/>
          <w:color w:val="000000"/>
          <w:sz w:val="24"/>
          <w:szCs w:val="24"/>
        </w:rPr>
        <w:t>（</w:t>
      </w:r>
      <w:r>
        <w:rPr>
          <w:rFonts w:hAnsi="宋体"/>
          <w:color w:val="000000"/>
          <w:sz w:val="24"/>
          <w:szCs w:val="24"/>
        </w:rPr>
        <w:t>7</w:t>
      </w:r>
      <w:r>
        <w:rPr>
          <w:rFonts w:hint="eastAsia" w:hAnsi="宋体"/>
          <w:color w:val="000000"/>
          <w:sz w:val="24"/>
          <w:szCs w:val="24"/>
        </w:rPr>
        <w:t>）</w:t>
      </w:r>
      <w:r>
        <w:rPr>
          <w:rFonts w:hAnsi="宋体"/>
          <w:color w:val="000000"/>
          <w:sz w:val="24"/>
          <w:szCs w:val="24"/>
        </w:rPr>
        <w:t>各投标人的法定代表人或负责人为同一人，以及存在控股、管理关系的不同投标人，不得参加同一包次的投标。</w:t>
      </w:r>
    </w:p>
    <w:p>
      <w:pPr>
        <w:pStyle w:val="2"/>
        <w:spacing w:line="360" w:lineRule="auto"/>
        <w:ind w:firstLine="480" w:firstLineChars="200"/>
        <w:rPr>
          <w:rFonts w:hAnsi="宋体"/>
          <w:color w:val="000000"/>
          <w:sz w:val="24"/>
          <w:szCs w:val="24"/>
        </w:rPr>
      </w:pPr>
      <w:r>
        <w:rPr>
          <w:rFonts w:hint="eastAsia" w:hAnsi="宋体"/>
          <w:color w:val="000000"/>
          <w:sz w:val="24"/>
          <w:szCs w:val="24"/>
        </w:rPr>
        <w:t>（</w:t>
      </w:r>
      <w:r>
        <w:rPr>
          <w:rFonts w:hAnsi="宋体"/>
          <w:color w:val="000000"/>
          <w:sz w:val="24"/>
          <w:szCs w:val="24"/>
        </w:rPr>
        <w:t>8</w:t>
      </w:r>
      <w:r>
        <w:rPr>
          <w:rFonts w:hint="eastAsia" w:hAnsi="宋体"/>
          <w:color w:val="000000"/>
          <w:sz w:val="24"/>
          <w:szCs w:val="24"/>
        </w:rPr>
        <w:t>）</w:t>
      </w:r>
      <w:r>
        <w:rPr>
          <w:rFonts w:hAnsi="宋体"/>
          <w:color w:val="000000"/>
          <w:sz w:val="24"/>
          <w:szCs w:val="24"/>
        </w:rPr>
        <w:t>投标人须认可招标人的工作指令，包括节、假日能正常开展工作的要求</w:t>
      </w:r>
      <w:r>
        <w:rPr>
          <w:rFonts w:hint="eastAsia" w:hAnsi="宋体"/>
          <w:color w:val="000000"/>
          <w:sz w:val="24"/>
          <w:szCs w:val="24"/>
        </w:rPr>
        <w:t>。</w:t>
      </w:r>
    </w:p>
    <w:p>
      <w:pPr>
        <w:pStyle w:val="2"/>
        <w:spacing w:line="360" w:lineRule="auto"/>
        <w:ind w:firstLine="480" w:firstLineChars="200"/>
        <w:rPr>
          <w:rFonts w:hAnsi="宋体"/>
          <w:color w:val="000000"/>
          <w:sz w:val="24"/>
          <w:szCs w:val="24"/>
        </w:rPr>
      </w:pPr>
      <w:r>
        <w:rPr>
          <w:rFonts w:hint="eastAsia" w:hAnsi="宋体"/>
          <w:color w:val="000000"/>
          <w:sz w:val="24"/>
          <w:szCs w:val="24"/>
        </w:rPr>
        <w:t>（</w:t>
      </w:r>
      <w:r>
        <w:rPr>
          <w:rFonts w:hAnsi="宋体"/>
          <w:color w:val="000000"/>
          <w:sz w:val="24"/>
          <w:szCs w:val="24"/>
        </w:rPr>
        <w:t>9</w:t>
      </w:r>
      <w:r>
        <w:rPr>
          <w:rFonts w:hint="eastAsia" w:hAnsi="宋体"/>
          <w:color w:val="000000"/>
          <w:sz w:val="24"/>
          <w:szCs w:val="24"/>
        </w:rPr>
        <w:t>）拟投标人有与本次招标项目同类的项目经验，有营运资质和丰富的用车经验；投标时需提供同类项目用户清单，同时需提供用户合同复印件或验收报告复印件即可。</w:t>
      </w:r>
    </w:p>
    <w:p>
      <w:pPr>
        <w:pStyle w:val="2"/>
        <w:ind w:firstLine="480" w:firstLineChars="200"/>
        <w:rPr>
          <w:rFonts w:hAnsi="宋体" w:cs="宋体"/>
          <w:color w:val="000000"/>
          <w:sz w:val="24"/>
          <w:szCs w:val="24"/>
        </w:rPr>
      </w:pPr>
      <w:r>
        <w:rPr>
          <w:rFonts w:hint="eastAsia" w:hAnsi="宋体"/>
          <w:color w:val="000000"/>
          <w:sz w:val="24"/>
          <w:szCs w:val="24"/>
        </w:rPr>
        <w:t>（1</w:t>
      </w:r>
      <w:r>
        <w:rPr>
          <w:rFonts w:hAnsi="宋体"/>
          <w:color w:val="000000"/>
          <w:sz w:val="24"/>
          <w:szCs w:val="24"/>
        </w:rPr>
        <w:t>1</w:t>
      </w:r>
      <w:r>
        <w:rPr>
          <w:rFonts w:hint="eastAsia" w:hAnsi="宋体"/>
          <w:color w:val="000000"/>
          <w:sz w:val="24"/>
          <w:szCs w:val="24"/>
        </w:rPr>
        <w:t>）拟投标人的直接或间接股东、法定代表人、董事、监事、高管非重汽员工及其亲属。</w:t>
      </w:r>
    </w:p>
    <w:p>
      <w:pPr>
        <w:pStyle w:val="32"/>
        <w:spacing w:line="360" w:lineRule="auto"/>
        <w:rPr>
          <w:rFonts w:ascii="宋体" w:hAnsi="宋体"/>
        </w:rPr>
      </w:pPr>
      <w:r>
        <w:rPr>
          <w:rFonts w:hint="eastAsia" w:ascii="宋体" w:hAnsi="宋体"/>
        </w:rPr>
        <w:t>3、应标与投标说明</w:t>
      </w:r>
    </w:p>
    <w:p>
      <w:pPr>
        <w:spacing w:line="360" w:lineRule="auto"/>
        <w:ind w:firstLine="482" w:firstLineChars="200"/>
        <w:rPr>
          <w:rFonts w:ascii="宋体" w:hAnsi="Courier New" w:eastAsia="宋体" w:cs="Times New Roman"/>
          <w:color w:val="000000"/>
          <w:sz w:val="24"/>
          <w:szCs w:val="24"/>
        </w:rPr>
      </w:pPr>
      <w:r>
        <w:rPr>
          <w:rFonts w:hint="eastAsia" w:ascii="宋体" w:hAnsi="宋体" w:eastAsia="宋体" w:cs="Times New Roman"/>
          <w:b/>
          <w:bCs/>
          <w:color w:val="000000"/>
          <w:sz w:val="24"/>
          <w:szCs w:val="24"/>
        </w:rPr>
        <w:t>应标说明：</w:t>
      </w:r>
      <w:r>
        <w:rPr>
          <w:rFonts w:hint="eastAsia" w:ascii="宋体" w:hAnsi="Courier New" w:eastAsia="宋体" w:cs="Times New Roman"/>
          <w:color w:val="000000"/>
          <w:sz w:val="24"/>
          <w:szCs w:val="24"/>
        </w:rPr>
        <w:t>拟标投人在发送报名邮件后，应按照中国重汽e采通“SRM非生产供应商注册手册（附件</w:t>
      </w:r>
      <w:r>
        <w:rPr>
          <w:rFonts w:hint="eastAsia" w:ascii="宋体" w:hAnsi="Courier New" w:eastAsia="宋体" w:cs="Times New Roman"/>
          <w:sz w:val="24"/>
          <w:szCs w:val="24"/>
        </w:rPr>
        <w:t>13</w:t>
      </w:r>
      <w:r>
        <w:rPr>
          <w:rFonts w:hint="eastAsia" w:ascii="宋体" w:hAnsi="Courier New" w:eastAsia="宋体" w:cs="Times New Roman"/>
          <w:color w:val="000000"/>
          <w:sz w:val="24"/>
          <w:szCs w:val="24"/>
        </w:rPr>
        <w:t>）”进行注册e采通。注册完成后，选择对应的项目，点击“应标”后按照招标文件9.1资质证明文件组成要求准备资料并上传，资质审查通过即为应标成功。</w:t>
      </w:r>
    </w:p>
    <w:p>
      <w:pPr>
        <w:pStyle w:val="25"/>
        <w:ind w:firstLine="480"/>
        <w:rPr>
          <w:rFonts w:hAnsi="Courier New" w:cs="Times New Roman"/>
        </w:rPr>
      </w:pPr>
      <w:r>
        <w:rPr>
          <w:rFonts w:hint="eastAsia" w:hAnsi="Courier New" w:cs="Times New Roman"/>
        </w:rPr>
        <w:t>应标截止时间：</w:t>
      </w:r>
      <w:r>
        <w:rPr>
          <w:rFonts w:hint="eastAsia" w:hAnsi="Courier New" w:cs="Times New Roman"/>
          <w:highlight w:val="yellow"/>
        </w:rPr>
        <w:t>2024年</w:t>
      </w:r>
      <w:r>
        <w:rPr>
          <w:rFonts w:hAnsi="Courier New" w:cs="Times New Roman"/>
          <w:highlight w:val="yellow"/>
        </w:rPr>
        <w:t>1</w:t>
      </w:r>
      <w:r>
        <w:rPr>
          <w:rFonts w:hint="eastAsia" w:hAnsi="Courier New" w:cs="Times New Roman"/>
          <w:highlight w:val="yellow"/>
        </w:rPr>
        <w:t>2月6日18时00分00秒</w:t>
      </w:r>
    </w:p>
    <w:p>
      <w:pPr>
        <w:pStyle w:val="2"/>
        <w:spacing w:line="360" w:lineRule="auto"/>
        <w:ind w:firstLine="480" w:firstLineChars="200"/>
        <w:rPr>
          <w:rFonts w:cs="Times New Roman"/>
          <w:color w:val="000000"/>
          <w:sz w:val="24"/>
          <w:szCs w:val="24"/>
        </w:rPr>
      </w:pPr>
      <w:r>
        <w:rPr>
          <w:rFonts w:hint="eastAsia" w:cs="Times New Roman"/>
          <w:color w:val="000000"/>
          <w:sz w:val="24"/>
          <w:szCs w:val="24"/>
        </w:rPr>
        <w:t>注：请务必在应标截止时间前完成注册及应标操作，注册审核需2-4日，应标截止时间精确到秒，逾期将无法应标。请自行掌握时间安排，避免无法应标。</w:t>
      </w:r>
    </w:p>
    <w:p>
      <w:pPr>
        <w:pStyle w:val="25"/>
        <w:ind w:firstLine="482"/>
        <w:rPr>
          <w:rFonts w:hAnsi="Courier New" w:cs="Times New Roman"/>
        </w:rPr>
      </w:pPr>
      <w:r>
        <w:rPr>
          <w:rFonts w:hint="eastAsia" w:hAnsi="Courier New" w:cs="Times New Roman"/>
          <w:b/>
          <w:bCs/>
        </w:rPr>
        <w:t>投标方式：</w:t>
      </w:r>
      <w:r>
        <w:rPr>
          <w:rFonts w:hint="eastAsia" w:hAnsi="Courier New" w:cs="Times New Roman"/>
        </w:rPr>
        <w:t>在重汽e采通平台应标成功后，进入“供应商投标”环节，投递盖章扫描版电子标书（包含资质标书、技术标书、商务标书），若逾期未完成重汽e采通上传标书，一律视为无效投标。</w:t>
      </w:r>
    </w:p>
    <w:p>
      <w:pPr>
        <w:pStyle w:val="2"/>
        <w:spacing w:line="360" w:lineRule="auto"/>
        <w:ind w:firstLine="480" w:firstLineChars="200"/>
        <w:rPr>
          <w:rFonts w:cs="Times New Roman"/>
          <w:color w:val="000000"/>
          <w:sz w:val="24"/>
          <w:szCs w:val="24"/>
        </w:rPr>
      </w:pPr>
      <w:r>
        <w:rPr>
          <w:rFonts w:hint="eastAsia" w:cs="Times New Roman"/>
          <w:color w:val="000000"/>
          <w:sz w:val="24"/>
          <w:szCs w:val="24"/>
        </w:rPr>
        <w:t>投标文件递交截止时间：</w:t>
      </w:r>
      <w:r>
        <w:rPr>
          <w:rFonts w:hint="eastAsia" w:cs="Times New Roman"/>
          <w:color w:val="000000"/>
          <w:sz w:val="24"/>
          <w:szCs w:val="24"/>
          <w:highlight w:val="yellow"/>
        </w:rPr>
        <w:t>2024年</w:t>
      </w:r>
      <w:r>
        <w:rPr>
          <w:rFonts w:cs="Times New Roman"/>
          <w:color w:val="000000"/>
          <w:sz w:val="24"/>
          <w:szCs w:val="24"/>
          <w:highlight w:val="yellow"/>
        </w:rPr>
        <w:t>10</w:t>
      </w:r>
      <w:r>
        <w:rPr>
          <w:rFonts w:hint="eastAsia" w:cs="Times New Roman"/>
          <w:color w:val="000000"/>
          <w:sz w:val="24"/>
          <w:szCs w:val="24"/>
          <w:highlight w:val="yellow"/>
        </w:rPr>
        <w:t>月</w:t>
      </w:r>
      <w:r>
        <w:rPr>
          <w:rFonts w:cs="Times New Roman"/>
          <w:color w:val="000000"/>
          <w:sz w:val="24"/>
          <w:szCs w:val="24"/>
          <w:highlight w:val="yellow"/>
        </w:rPr>
        <w:t>25</w:t>
      </w:r>
      <w:r>
        <w:rPr>
          <w:rFonts w:hint="eastAsia" w:cs="Times New Roman"/>
          <w:color w:val="000000"/>
          <w:sz w:val="24"/>
          <w:szCs w:val="24"/>
          <w:highlight w:val="yellow"/>
        </w:rPr>
        <w:t>日下午13时00分00秒</w:t>
      </w:r>
    </w:p>
    <w:p>
      <w:pPr>
        <w:pStyle w:val="25"/>
        <w:ind w:firstLine="480"/>
        <w:rPr>
          <w:rFonts w:hAnsi="Courier New" w:cs="Times New Roman"/>
        </w:rPr>
      </w:pPr>
      <w:r>
        <w:rPr>
          <w:rFonts w:hint="eastAsia" w:hAnsi="Courier New" w:cs="Times New Roman"/>
        </w:rPr>
        <w:t>注：请务必在投标文件递交截止时间前完成投标文件的递交操作，投标截止时间精确到秒，逾期将无法投标。请自行掌握时间安排，避免无法投标。</w:t>
      </w:r>
    </w:p>
    <w:p>
      <w:pPr>
        <w:pStyle w:val="32"/>
        <w:rPr>
          <w:rFonts w:ascii="宋体" w:hAnsi="宋体"/>
        </w:rPr>
      </w:pPr>
      <w:r>
        <w:rPr>
          <w:rFonts w:hint="eastAsia" w:ascii="宋体" w:hAnsi="宋体"/>
        </w:rPr>
        <w:t>4、报价</w:t>
      </w:r>
    </w:p>
    <w:p>
      <w:pPr>
        <w:pStyle w:val="2"/>
        <w:spacing w:line="360" w:lineRule="auto"/>
        <w:ind w:firstLine="480" w:firstLineChars="200"/>
        <w:rPr>
          <w:sz w:val="24"/>
          <w:szCs w:val="24"/>
        </w:rPr>
      </w:pPr>
      <w:r>
        <w:rPr>
          <w:rFonts w:hint="eastAsia"/>
          <w:sz w:val="24"/>
          <w:szCs w:val="24"/>
        </w:rPr>
        <w:t>（1）本次招投标为公开招标，投标报价及保修政策应一次性报定，投标人自行勘察软件使用环境，进行合理报价。报价为投标总报价应包括但不限于的软件购买费、原厂服务费、安装调试、与其他专业配合及可预见的风险、以及其它不可预见等全部费用。投标人经与招标人或其指派的答疑人员充分沟通确认基础上，由投标人在满足招标人所提出的、与本项目所有相关环节有关的所有费用，即固定总价。</w:t>
      </w:r>
    </w:p>
    <w:p>
      <w:pPr>
        <w:pStyle w:val="2"/>
        <w:spacing w:line="360" w:lineRule="auto"/>
        <w:ind w:firstLine="480" w:firstLineChars="200"/>
        <w:rPr>
          <w:sz w:val="24"/>
          <w:szCs w:val="24"/>
        </w:rPr>
      </w:pPr>
      <w:r>
        <w:rPr>
          <w:rFonts w:hint="eastAsia"/>
          <w:sz w:val="24"/>
          <w:szCs w:val="24"/>
        </w:rPr>
        <w:t>（2）本次报价不包括后续升级、维保费用。</w:t>
      </w:r>
    </w:p>
    <w:p>
      <w:pPr>
        <w:pStyle w:val="2"/>
        <w:spacing w:line="360" w:lineRule="auto"/>
        <w:ind w:firstLine="480" w:firstLineChars="200"/>
        <w:rPr>
          <w:b/>
          <w:bCs/>
          <w:sz w:val="24"/>
          <w:szCs w:val="24"/>
        </w:rPr>
      </w:pPr>
      <w:r>
        <w:rPr>
          <w:rFonts w:hint="eastAsia"/>
          <w:sz w:val="24"/>
          <w:szCs w:val="24"/>
        </w:rPr>
        <w:t>（3）投标文件中附件4、附件5的报价货币单位为：  （人民币）元（请务必报含税价和不含税价并写明税率）。</w:t>
      </w:r>
      <w:r>
        <w:rPr>
          <w:rFonts w:hint="eastAsia"/>
          <w:b/>
          <w:bCs/>
          <w:sz w:val="24"/>
          <w:szCs w:val="24"/>
        </w:rPr>
        <w:t>E采通投标报价网页上报价总价的单位为万元（含税），请务必看清楚单位再填写提交。</w:t>
      </w:r>
    </w:p>
    <w:p>
      <w:pPr>
        <w:pStyle w:val="32"/>
        <w:rPr>
          <w:rFonts w:ascii="宋体" w:hAnsi="宋体"/>
        </w:rPr>
      </w:pPr>
      <w:r>
        <w:rPr>
          <w:rFonts w:hint="eastAsia" w:ascii="宋体" w:hAnsi="宋体"/>
        </w:rPr>
        <w:t>5、技术规范</w:t>
      </w:r>
      <w:r>
        <w:rPr>
          <w:rFonts w:ascii="宋体" w:hAnsi="宋体"/>
        </w:rPr>
        <w:t>及服务</w:t>
      </w:r>
    </w:p>
    <w:p>
      <w:pPr>
        <w:pStyle w:val="25"/>
        <w:ind w:firstLine="480"/>
      </w:pPr>
      <w:r>
        <w:rPr>
          <w:rFonts w:hint="eastAsia"/>
        </w:rPr>
        <w:t>投标人应在</w:t>
      </w:r>
      <w:r>
        <w:rPr>
          <w:rFonts w:hint="eastAsia" w:cs="Times New Roman"/>
          <w:b/>
        </w:rPr>
        <w:t>投标文件递交截止时间前</w:t>
      </w:r>
      <w:r>
        <w:rPr>
          <w:rFonts w:hint="eastAsia"/>
        </w:rPr>
        <w:t>与招标人指派的答疑人员充分沟通，理解认可并接受相关技术规范及服务要求。</w:t>
      </w:r>
    </w:p>
    <w:p>
      <w:pPr>
        <w:pStyle w:val="25"/>
        <w:ind w:firstLine="480"/>
        <w:rPr>
          <w:rFonts w:ascii="Times New Roman" w:hAnsi="Times New Roman" w:cs="Times New Roman"/>
        </w:rPr>
      </w:pPr>
      <w:r>
        <w:rPr>
          <w:rFonts w:ascii="Times New Roman" w:hAnsi="Times New Roman" w:cs="Times New Roman"/>
        </w:rPr>
        <w:t>本项目涉及的所有知识产权归中国重汽集团济南动力有限公司所有，中国重汽集团济南动力有限公司享有申请专利的权利及著作权。</w:t>
      </w:r>
    </w:p>
    <w:p>
      <w:pPr>
        <w:pStyle w:val="32"/>
      </w:pPr>
      <w:r>
        <w:rPr>
          <w:rFonts w:hint="eastAsia"/>
        </w:rPr>
        <w:t>6、投标文件资料</w:t>
      </w:r>
    </w:p>
    <w:p>
      <w:pPr>
        <w:pStyle w:val="25"/>
        <w:ind w:firstLine="480"/>
      </w:pPr>
      <w:r>
        <w:rPr>
          <w:rFonts w:hint="eastAsia"/>
        </w:rPr>
        <w:t>（1）投标书一份正本；</w:t>
      </w:r>
    </w:p>
    <w:p>
      <w:pPr>
        <w:pStyle w:val="25"/>
        <w:ind w:firstLine="480"/>
      </w:pPr>
      <w:r>
        <w:rPr>
          <w:rFonts w:hint="eastAsia"/>
        </w:rPr>
        <w:t>（2）投标人所投标软件详细技术资料清单，在标书中列示说明；</w:t>
      </w:r>
    </w:p>
    <w:p>
      <w:pPr>
        <w:pStyle w:val="25"/>
        <w:ind w:firstLine="480"/>
      </w:pPr>
      <w:r>
        <w:rPr>
          <w:rFonts w:hint="eastAsia"/>
        </w:rPr>
        <w:t>（3）投标人完整的技术服务与售后服务实施方案，在标书中列示说明。</w:t>
      </w:r>
    </w:p>
    <w:p>
      <w:pPr>
        <w:pStyle w:val="25"/>
        <w:ind w:firstLine="439" w:firstLineChars="183"/>
      </w:pPr>
      <w:r>
        <w:rPr>
          <w:rFonts w:hint="eastAsia"/>
        </w:rPr>
        <w:t>（4）投标人关于软件的安装、调试、培训等方案，均需在标书中列示说明。</w:t>
      </w:r>
    </w:p>
    <w:p>
      <w:pPr>
        <w:pStyle w:val="25"/>
        <w:ind w:firstLine="480"/>
      </w:pPr>
      <w:r>
        <w:rPr>
          <w:rFonts w:hint="eastAsia"/>
        </w:rPr>
        <w:t>（5）软件的安装、调试、培训、结算、售后服务等，按《技术协议书》要求，在标书中列示说明，最终以合同约定为准。</w:t>
      </w:r>
    </w:p>
    <w:p>
      <w:pPr>
        <w:pStyle w:val="25"/>
        <w:ind w:firstLine="480"/>
      </w:pPr>
      <w:r>
        <w:rPr>
          <w:rFonts w:hint="eastAsia"/>
        </w:rPr>
        <w:t>（6）投标人要求招标人提供何种配合，需在标书中说明。</w:t>
      </w:r>
    </w:p>
    <w:p>
      <w:pPr>
        <w:pStyle w:val="25"/>
        <w:ind w:firstLine="480"/>
      </w:pPr>
      <w:r>
        <w:rPr>
          <w:rFonts w:hint="eastAsia"/>
        </w:rPr>
        <w:t>（7）凡对本次招标提出的询问，均以招标方的书面答复为准。</w:t>
      </w:r>
    </w:p>
    <w:p>
      <w:pPr>
        <w:pStyle w:val="32"/>
        <w:spacing w:line="360" w:lineRule="auto"/>
        <w:rPr>
          <w:rFonts w:ascii="宋体" w:hAnsi="宋体"/>
        </w:rPr>
      </w:pPr>
      <w:r>
        <w:rPr>
          <w:rFonts w:hint="eastAsia" w:ascii="宋体" w:hAnsi="宋体"/>
        </w:rPr>
        <w:t>7、询标</w:t>
      </w:r>
    </w:p>
    <w:p>
      <w:pPr>
        <w:pStyle w:val="25"/>
        <w:ind w:firstLine="480"/>
      </w:pPr>
      <w:r>
        <w:rPr>
          <w:rFonts w:hint="eastAsia"/>
        </w:rPr>
        <w:t>凡对本次招标提出的询问，均以招标方的书面答复为准。</w:t>
      </w:r>
    </w:p>
    <w:p>
      <w:pPr>
        <w:pStyle w:val="32"/>
        <w:spacing w:line="360" w:lineRule="auto"/>
        <w:rPr>
          <w:rFonts w:ascii="宋体" w:hAnsi="宋体"/>
        </w:rPr>
      </w:pPr>
      <w:r>
        <w:rPr>
          <w:rFonts w:hint="eastAsia" w:ascii="宋体" w:hAnsi="宋体"/>
        </w:rPr>
        <w:t>8、投标文件的编制</w:t>
      </w:r>
    </w:p>
    <w:p>
      <w:pPr>
        <w:pStyle w:val="25"/>
        <w:ind w:firstLine="480"/>
      </w:pPr>
      <w:r>
        <w:rPr>
          <w:rFonts w:hint="eastAsia"/>
        </w:rPr>
        <w:t>（1）</w:t>
      </w:r>
      <w:r>
        <w:t>投标文件和与投标有关的所有文件均应使用</w:t>
      </w:r>
      <w:r>
        <w:rPr>
          <w:rFonts w:hint="eastAsia"/>
        </w:rPr>
        <w:t>中文。</w:t>
      </w:r>
    </w:p>
    <w:p>
      <w:pPr>
        <w:pStyle w:val="25"/>
        <w:ind w:firstLine="480"/>
      </w:pPr>
      <w:r>
        <w:rPr>
          <w:rFonts w:hint="eastAsia"/>
        </w:rPr>
        <w:t>（2）除投标文件的技术规格中另有规定外，投标文件中所使用的计量单位应为中华人民共和国法定计量单位。</w:t>
      </w:r>
    </w:p>
    <w:p>
      <w:pPr>
        <w:pStyle w:val="32"/>
        <w:rPr>
          <w:rFonts w:ascii="宋体" w:hAnsi="宋体"/>
        </w:rPr>
      </w:pPr>
      <w:r>
        <w:rPr>
          <w:rFonts w:hint="eastAsia" w:ascii="宋体" w:hAnsi="宋体"/>
        </w:rPr>
        <w:t>9、投标文件的组成</w:t>
      </w:r>
    </w:p>
    <w:p>
      <w:pPr>
        <w:pStyle w:val="25"/>
        <w:ind w:firstLine="480"/>
      </w:pPr>
      <w:r>
        <w:rPr>
          <w:rFonts w:hint="eastAsia"/>
        </w:rPr>
        <w:t>本项目商务标书、技术标书、资质文件分开。参照重汽E采通系统非生产类供方操作手册中应标投标操作说明，将盖章签字版正本投标文件扫描件上传E采通系统。</w:t>
      </w:r>
    </w:p>
    <w:p>
      <w:pPr>
        <w:pStyle w:val="25"/>
        <w:ind w:firstLine="480"/>
        <w:rPr>
          <w:b/>
        </w:rPr>
      </w:pPr>
      <w:r>
        <w:rPr>
          <w:rFonts w:hint="eastAsia"/>
        </w:rPr>
        <w:t>若为现场开标，营业执照和授权书需在开标现场出示；若为视频开标，则需在视频端呈现即可。若没有携带营业执照原件，将根据现场所有参与开标的投标单位和专家共同判定得出认可情况。详见附件格式1—13，其余未尽事宜请按各单位习惯制定即可。</w:t>
      </w:r>
    </w:p>
    <w:p>
      <w:pPr>
        <w:pStyle w:val="25"/>
        <w:ind w:firstLine="482"/>
        <w:rPr>
          <w:b/>
          <w:bCs/>
        </w:rPr>
      </w:pPr>
      <w:r>
        <w:rPr>
          <w:rFonts w:hint="eastAsia"/>
          <w:b/>
          <w:bCs/>
        </w:rPr>
        <w:t>9.</w:t>
      </w:r>
      <w:r>
        <w:rPr>
          <w:b/>
          <w:bCs/>
        </w:rPr>
        <w:t>1</w:t>
      </w:r>
      <w:r>
        <w:rPr>
          <w:rFonts w:hint="eastAsia"/>
          <w:b/>
          <w:bCs/>
        </w:rPr>
        <w:t xml:space="preserve"> 资质证明文件包括：</w:t>
      </w:r>
    </w:p>
    <w:p>
      <w:pPr>
        <w:pStyle w:val="25"/>
        <w:ind w:firstLine="480"/>
      </w:pPr>
      <w:r>
        <w:rPr>
          <w:rFonts w:hint="eastAsia"/>
        </w:rPr>
        <w:t>（1）有统一社会信用代码的三证合一新版营业执照副本复印件；</w:t>
      </w:r>
    </w:p>
    <w:p>
      <w:pPr>
        <w:pStyle w:val="25"/>
        <w:ind w:firstLine="480"/>
      </w:pPr>
      <w:r>
        <w:rPr>
          <w:rFonts w:hint="eastAsia"/>
        </w:rPr>
        <w:t>（</w:t>
      </w:r>
      <w:r>
        <w:t>2</w:t>
      </w:r>
      <w:r>
        <w:rPr>
          <w:rFonts w:hint="eastAsia"/>
        </w:rPr>
        <w:t>）投标函（附件</w:t>
      </w:r>
      <w:r>
        <w:t>1</w:t>
      </w:r>
      <w:r>
        <w:rPr>
          <w:rFonts w:hint="eastAsia"/>
        </w:rPr>
        <w:t>）；</w:t>
      </w:r>
    </w:p>
    <w:p>
      <w:pPr>
        <w:pStyle w:val="25"/>
        <w:ind w:firstLine="480"/>
        <w:rPr>
          <w:b/>
        </w:rPr>
      </w:pPr>
      <w:r>
        <w:rPr>
          <w:rFonts w:hint="eastAsia"/>
        </w:rPr>
        <w:t>（</w:t>
      </w:r>
      <w:r>
        <w:t>3</w:t>
      </w:r>
      <w:r>
        <w:rPr>
          <w:rFonts w:hint="eastAsia"/>
        </w:rPr>
        <w:t>）法定代表人授权书（附件2）法定代表人参加投标的，提供法人身份证明文件即可；授权人参加投标的，需提供法定代表人授权委托书</w:t>
      </w:r>
      <w:r>
        <w:rPr>
          <w:rFonts w:hint="eastAsia"/>
          <w:b/>
        </w:rPr>
        <w:t>（含法人身份证和被授权人身份证）；</w:t>
      </w:r>
    </w:p>
    <w:p>
      <w:pPr>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4）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pStyle w:val="34"/>
        <w:ind w:firstLine="480"/>
      </w:pPr>
      <w:r>
        <w:rPr>
          <w:rFonts w:hint="eastAsia"/>
        </w:rPr>
        <w:t>（5）近三年内在经营活动中没有违法违纪行为的声明；</w:t>
      </w:r>
    </w:p>
    <w:p>
      <w:pPr>
        <w:pStyle w:val="34"/>
        <w:ind w:firstLine="480"/>
      </w:pPr>
      <w:r>
        <w:rPr>
          <w:rFonts w:hint="eastAsia"/>
        </w:rPr>
        <w:t>（6）企业最近半年完税证明、信用证明材料（中国人民银行信用代码证+征信报告）；</w:t>
      </w:r>
    </w:p>
    <w:p>
      <w:pPr>
        <w:pStyle w:val="34"/>
        <w:ind w:firstLine="480"/>
      </w:pPr>
      <w:r>
        <w:rPr>
          <w:rFonts w:hint="eastAsia"/>
        </w:rPr>
        <w:t>（7）年度纳税信用评价信息（可从电子税务局查询截图，需加盖公章）；</w:t>
      </w:r>
    </w:p>
    <w:p>
      <w:pPr>
        <w:pStyle w:val="25"/>
        <w:ind w:firstLine="480"/>
        <w:rPr>
          <w:b/>
        </w:rPr>
      </w:pPr>
      <w:r>
        <w:rPr>
          <w:rFonts w:hint="eastAsia"/>
        </w:rPr>
        <w:t>（8）企业对外担保说明（写明贵单位对外有无对外担保和质押业务，需加盖公章）。</w:t>
      </w:r>
    </w:p>
    <w:p>
      <w:pPr>
        <w:pStyle w:val="25"/>
        <w:ind w:firstLine="482"/>
        <w:rPr>
          <w:b/>
          <w:bCs/>
        </w:rPr>
      </w:pPr>
      <w:r>
        <w:rPr>
          <w:rFonts w:hint="eastAsia"/>
          <w:b/>
          <w:bCs/>
        </w:rPr>
        <w:t>9.2技术部分：</w:t>
      </w:r>
    </w:p>
    <w:p>
      <w:pPr>
        <w:pStyle w:val="34"/>
        <w:numPr>
          <w:ilvl w:val="0"/>
          <w:numId w:val="2"/>
        </w:numPr>
        <w:ind w:firstLine="480"/>
        <w:rPr>
          <w:lang w:val="zh-TW" w:eastAsia="zh-TW"/>
        </w:rPr>
      </w:pPr>
      <w:r>
        <w:rPr>
          <w:rFonts w:hint="eastAsia"/>
          <w:lang w:val="zh-TW" w:eastAsia="zh-TW"/>
        </w:rPr>
        <w:t>技术规格偏离表（附件</w:t>
      </w:r>
      <w:r>
        <w:t>3</w:t>
      </w:r>
      <w:r>
        <w:rPr>
          <w:rFonts w:hint="eastAsia"/>
          <w:lang w:val="zh-TW" w:eastAsia="zh-TW"/>
        </w:rPr>
        <w:t>）；必须先进行两列要求一一对照，不允许直接写无偏离；</w:t>
      </w:r>
    </w:p>
    <w:p>
      <w:pPr>
        <w:pStyle w:val="34"/>
        <w:numPr>
          <w:ilvl w:val="0"/>
          <w:numId w:val="2"/>
        </w:numPr>
        <w:ind w:firstLine="480"/>
        <w:rPr>
          <w:lang w:val="zh-TW" w:eastAsia="zh-TW"/>
        </w:rPr>
      </w:pPr>
      <w:r>
        <w:rPr>
          <w:rFonts w:hint="eastAsia"/>
        </w:rPr>
        <w:t>近三年</w:t>
      </w:r>
      <w:r>
        <w:rPr>
          <w:rFonts w:hint="eastAsia"/>
          <w:lang w:val="zh-TW" w:eastAsia="zh-TW"/>
        </w:rPr>
        <w:t>同类项目业绩一览表及有效合同复印件（附件</w:t>
      </w:r>
      <w:r>
        <w:rPr>
          <w:rFonts w:hint="eastAsia"/>
        </w:rPr>
        <w:t>11</w:t>
      </w:r>
      <w:r>
        <w:rPr>
          <w:rFonts w:hint="eastAsia"/>
          <w:lang w:val="zh-TW" w:eastAsia="zh-TW"/>
        </w:rPr>
        <w:t>）；</w:t>
      </w:r>
    </w:p>
    <w:p>
      <w:pPr>
        <w:pStyle w:val="34"/>
        <w:numPr>
          <w:ilvl w:val="0"/>
          <w:numId w:val="2"/>
        </w:numPr>
        <w:ind w:firstLine="480"/>
        <w:rPr>
          <w:lang w:val="zh-TW" w:eastAsia="zh-TW"/>
        </w:rPr>
      </w:pPr>
      <w:r>
        <w:rPr>
          <w:rFonts w:hint="eastAsia"/>
        </w:rPr>
        <w:t>针对项目的技术服务团队情况（人员数量、姓名、电话、专业资质等）；</w:t>
      </w:r>
    </w:p>
    <w:p>
      <w:pPr>
        <w:pStyle w:val="34"/>
        <w:numPr>
          <w:ilvl w:val="0"/>
          <w:numId w:val="2"/>
        </w:numPr>
        <w:ind w:firstLine="480"/>
        <w:rPr>
          <w:lang w:val="zh-TW" w:eastAsia="zh-TW"/>
        </w:rPr>
      </w:pPr>
      <w:r>
        <w:rPr>
          <w:rFonts w:hint="eastAsia"/>
          <w:lang w:val="zh-TW" w:eastAsia="zh-TW"/>
        </w:rPr>
        <w:t>服务承诺函（附件</w:t>
      </w:r>
      <w:r>
        <w:t>6</w:t>
      </w:r>
      <w:r>
        <w:rPr>
          <w:rFonts w:hint="eastAsia"/>
          <w:lang w:val="zh-TW" w:eastAsia="zh-TW"/>
        </w:rPr>
        <w:t>）；</w:t>
      </w:r>
    </w:p>
    <w:p>
      <w:pPr>
        <w:pStyle w:val="34"/>
        <w:numPr>
          <w:ilvl w:val="0"/>
          <w:numId w:val="2"/>
        </w:numPr>
        <w:ind w:firstLine="480"/>
        <w:rPr>
          <w:lang w:val="zh-TW" w:eastAsia="zh-TW"/>
        </w:rPr>
      </w:pPr>
      <w:r>
        <w:rPr>
          <w:rFonts w:hint="eastAsia"/>
          <w:lang w:val="zh-TW" w:eastAsia="zh-TW"/>
        </w:rPr>
        <w:t>投标人需提交的其它资料（若有）。</w:t>
      </w:r>
    </w:p>
    <w:p>
      <w:pPr>
        <w:pStyle w:val="25"/>
        <w:ind w:firstLine="482"/>
        <w:rPr>
          <w:b/>
          <w:bCs/>
        </w:rPr>
      </w:pPr>
      <w:r>
        <w:rPr>
          <w:rFonts w:hint="eastAsia"/>
          <w:b/>
          <w:bCs/>
        </w:rPr>
        <w:t>9</w:t>
      </w:r>
      <w:r>
        <w:rPr>
          <w:b/>
          <w:bCs/>
        </w:rPr>
        <w:t>.3</w:t>
      </w:r>
      <w:r>
        <w:rPr>
          <w:rFonts w:hint="eastAsia"/>
          <w:b/>
          <w:bCs/>
        </w:rPr>
        <w:t>商务部分：</w:t>
      </w:r>
    </w:p>
    <w:p>
      <w:pPr>
        <w:pStyle w:val="25"/>
        <w:ind w:firstLine="480"/>
      </w:pPr>
      <w:r>
        <w:rPr>
          <w:rFonts w:hint="eastAsia"/>
        </w:rPr>
        <w:t>（</w:t>
      </w:r>
      <w:r>
        <w:t>1</w:t>
      </w:r>
      <w:r>
        <w:rPr>
          <w:rFonts w:hint="eastAsia"/>
        </w:rPr>
        <w:t>）开标一览表（附件</w:t>
      </w:r>
      <w:r>
        <w:t>4</w:t>
      </w:r>
      <w:r>
        <w:rPr>
          <w:rFonts w:hint="eastAsia"/>
        </w:rPr>
        <w:t>）</w:t>
      </w:r>
    </w:p>
    <w:p>
      <w:pPr>
        <w:pStyle w:val="25"/>
        <w:ind w:firstLine="480"/>
        <w:rPr>
          <w:b/>
        </w:rPr>
      </w:pPr>
      <w:r>
        <w:rPr>
          <w:rFonts w:hint="eastAsia"/>
        </w:rPr>
        <w:t>（</w:t>
      </w:r>
      <w:r>
        <w:t>2</w:t>
      </w:r>
      <w:r>
        <w:rPr>
          <w:rFonts w:hint="eastAsia"/>
        </w:rPr>
        <w:t>）投标报价明细表（附件</w:t>
      </w:r>
      <w:r>
        <w:t>5</w:t>
      </w:r>
      <w:r>
        <w:rPr>
          <w:rFonts w:hint="eastAsia"/>
        </w:rPr>
        <w:t>）</w:t>
      </w:r>
    </w:p>
    <w:p>
      <w:pPr>
        <w:pStyle w:val="25"/>
        <w:ind w:firstLine="480"/>
        <w:rPr>
          <w:b/>
        </w:rPr>
      </w:pPr>
      <w:r>
        <w:rPr>
          <w:rFonts w:hint="eastAsia"/>
        </w:rPr>
        <w:t>（</w:t>
      </w:r>
      <w:r>
        <w:t>3</w:t>
      </w:r>
      <w:r>
        <w:rPr>
          <w:rFonts w:hint="eastAsia"/>
        </w:rPr>
        <w:t>）服务承诺函(附件</w:t>
      </w:r>
      <w:r>
        <w:t>6</w:t>
      </w:r>
      <w:r>
        <w:rPr>
          <w:rFonts w:hint="eastAsia"/>
        </w:rPr>
        <w:t>)</w:t>
      </w:r>
      <w:r>
        <w:rPr>
          <w:rFonts w:hint="eastAsia"/>
          <w:b/>
        </w:rPr>
        <w:t>需写明能提供的服务内容等情况；</w:t>
      </w:r>
    </w:p>
    <w:p>
      <w:pPr>
        <w:pStyle w:val="25"/>
        <w:ind w:firstLine="480"/>
        <w:rPr>
          <w:b/>
        </w:rPr>
      </w:pPr>
      <w:r>
        <w:rPr>
          <w:rFonts w:hint="eastAsia"/>
        </w:rPr>
        <w:t>（4）商务条款偏离表(附件7)</w:t>
      </w:r>
      <w:r>
        <w:rPr>
          <w:rFonts w:hint="eastAsia"/>
          <w:b/>
        </w:rPr>
        <w:t>附件</w:t>
      </w:r>
      <w:r>
        <w:rPr>
          <w:b/>
        </w:rPr>
        <w:t>4</w:t>
      </w:r>
      <w:r>
        <w:rPr>
          <w:rFonts w:hint="eastAsia"/>
          <w:b/>
        </w:rPr>
        <w:t>、</w:t>
      </w:r>
      <w:r>
        <w:rPr>
          <w:b/>
        </w:rPr>
        <w:t>5</w:t>
      </w:r>
      <w:r>
        <w:rPr>
          <w:rFonts w:hint="eastAsia"/>
          <w:b/>
        </w:rPr>
        <w:t>、7需要一起单独封装</w:t>
      </w:r>
      <w:r>
        <w:rPr>
          <w:b/>
        </w:rPr>
        <w:t>1</w:t>
      </w:r>
      <w:r>
        <w:rPr>
          <w:rFonts w:hint="eastAsia"/>
          <w:b/>
        </w:rPr>
        <w:t>份。</w:t>
      </w:r>
    </w:p>
    <w:p>
      <w:pPr>
        <w:pStyle w:val="25"/>
        <w:ind w:firstLine="480"/>
      </w:pPr>
      <w:r>
        <w:rPr>
          <w:rFonts w:hint="eastAsia"/>
        </w:rPr>
        <w:t>（5）按招标文件投标人须知和技术规格书中要求提供的有关文件</w:t>
      </w:r>
      <w:r>
        <w:rPr>
          <w:rFonts w:hint="eastAsia" w:ascii="仿宋" w:hAnsi="仿宋" w:cs="仿宋"/>
        </w:rPr>
        <w:t>（若有）；</w:t>
      </w:r>
    </w:p>
    <w:p>
      <w:pPr>
        <w:pStyle w:val="25"/>
        <w:ind w:firstLine="480"/>
      </w:pPr>
      <w:r>
        <w:rPr>
          <w:rFonts w:hint="eastAsia"/>
        </w:rPr>
        <w:t>（6）本项目最高投标总价限价为10万元（含税）。</w:t>
      </w:r>
    </w:p>
    <w:p>
      <w:pPr>
        <w:pStyle w:val="32"/>
      </w:pPr>
      <w:r>
        <w:rPr>
          <w:rFonts w:hint="eastAsia"/>
        </w:rPr>
        <w:t>10、投标文件的格式</w:t>
      </w:r>
    </w:p>
    <w:p>
      <w:pPr>
        <w:pStyle w:val="25"/>
        <w:ind w:firstLine="480"/>
        <w:rPr>
          <w:b/>
        </w:rPr>
      </w:pPr>
      <w:r>
        <w:rPr>
          <w:rFonts w:hint="eastAsia"/>
        </w:rPr>
        <w:t>详见附件格式</w:t>
      </w:r>
      <w:r>
        <w:rPr>
          <w:rFonts w:hint="eastAsia" w:ascii="Times New Roman" w:hAnsi="Times New Roman"/>
        </w:rPr>
        <w:t>1—</w:t>
      </w:r>
      <w:r>
        <w:rPr>
          <w:rFonts w:ascii="Times New Roman" w:hAnsi="Times New Roman"/>
        </w:rPr>
        <w:t>1</w:t>
      </w:r>
      <w:r>
        <w:rPr>
          <w:rFonts w:hint="eastAsia" w:ascii="Times New Roman" w:hAnsi="Times New Roman"/>
        </w:rPr>
        <w:t>2</w:t>
      </w:r>
      <w:r>
        <w:rPr>
          <w:rFonts w:hint="eastAsia"/>
          <w:b/>
        </w:rPr>
        <w:t>，其余未尽事宜请按各单位习惯制定即可。</w:t>
      </w:r>
    </w:p>
    <w:p>
      <w:pPr>
        <w:widowControl/>
        <w:jc w:val="left"/>
      </w:pPr>
      <w:r>
        <w:br w:type="page"/>
      </w:r>
    </w:p>
    <w:p>
      <w:pPr>
        <w:pStyle w:val="32"/>
      </w:pPr>
      <w:r>
        <w:rPr>
          <w:rFonts w:hint="eastAsia"/>
        </w:rPr>
        <w:t>附件</w:t>
      </w:r>
      <w:r>
        <w:t>1</w:t>
      </w:r>
      <w:bookmarkStart w:id="1" w:name="_Toc212369550"/>
      <w:bookmarkStart w:id="2" w:name="_Toc353881012"/>
      <w:bookmarkStart w:id="3" w:name="_Toc25811"/>
      <w:bookmarkStart w:id="4" w:name="_Toc639004"/>
      <w:r>
        <w:t xml:space="preserve"> </w:t>
      </w:r>
      <w:r>
        <w:rPr>
          <w:rFonts w:hint="eastAsia"/>
        </w:rPr>
        <w:t>投标函</w:t>
      </w:r>
      <w:bookmarkEnd w:id="1"/>
      <w:bookmarkEnd w:id="2"/>
      <w:bookmarkEnd w:id="3"/>
      <w:bookmarkEnd w:id="4"/>
    </w:p>
    <w:p>
      <w:pPr>
        <w:pStyle w:val="25"/>
        <w:ind w:firstLine="480"/>
      </w:pPr>
      <w:r>
        <w:rPr>
          <w:rFonts w:hint="eastAsia"/>
        </w:rPr>
        <w:t>致：中国重汽集团济南动力有限公司：</w:t>
      </w:r>
    </w:p>
    <w:p>
      <w:pPr>
        <w:pStyle w:val="25"/>
        <w:ind w:firstLine="480"/>
      </w:pPr>
      <w:r>
        <w:rPr>
          <w:rFonts w:hint="eastAsia" w:asciiTheme="minorEastAsia" w:hAnsiTheme="minorEastAsia" w:eastAsiaTheme="minorEastAsia"/>
          <w:u w:val="single"/>
        </w:rPr>
        <w:t>根据贵方</w:t>
      </w:r>
      <w:r>
        <w:rPr>
          <w:rFonts w:asciiTheme="minorEastAsia" w:hAnsiTheme="minorEastAsia" w:eastAsiaTheme="minorEastAsia"/>
          <w:u w:val="single"/>
        </w:rPr>
        <w:t xml:space="preserve"> </w:t>
      </w:r>
      <w:r>
        <w:rPr>
          <w:rFonts w:hint="eastAsia" w:asciiTheme="minorEastAsia" w:hAnsiTheme="minorEastAsia" w:eastAsiaTheme="minorEastAsia"/>
          <w:b/>
          <w:u w:val="single"/>
        </w:rPr>
        <w:t>工规级自动驾驶控制器通信中间件技术开发项目</w:t>
      </w:r>
      <w:r>
        <w:rPr>
          <w:rFonts w:hint="eastAsia" w:asciiTheme="minorEastAsia" w:hAnsiTheme="minorEastAsia"/>
          <w:b/>
          <w:bCs/>
          <w:u w:val="single"/>
        </w:rPr>
        <w:t>招标公告</w:t>
      </w:r>
      <w:r>
        <w:rPr>
          <w:b/>
          <w:bCs/>
          <w:snapToGrid w:val="0"/>
          <w:kern w:val="0"/>
          <w:u w:val="single"/>
        </w:rPr>
        <w:t xml:space="preserve">  </w:t>
      </w:r>
      <w:r>
        <w:rPr>
          <w:rFonts w:hint="eastAsia"/>
        </w:rPr>
        <w:t>，</w:t>
      </w:r>
      <w:r>
        <w:rPr>
          <w:rFonts w:hint="eastAsia"/>
          <w:b/>
          <w:u w:val="single"/>
        </w:rPr>
        <w:t xml:space="preserve"> 投标公司</w:t>
      </w:r>
      <w:r>
        <w:rPr>
          <w:rFonts w:hint="eastAsia"/>
          <w:u w:val="single"/>
        </w:rPr>
        <w:t xml:space="preserve"> </w:t>
      </w:r>
      <w:r>
        <w:rPr>
          <w:rFonts w:hint="eastAsia"/>
        </w:rPr>
        <w:t>， 法人代表人为</w:t>
      </w:r>
      <w:r>
        <w:rPr>
          <w:u w:val="single"/>
        </w:rPr>
        <w:t xml:space="preserve">    </w:t>
      </w:r>
      <w:r>
        <w:rPr>
          <w:rFonts w:hint="eastAsia"/>
          <w:u w:val="single"/>
        </w:rPr>
        <w:t>法人名字</w:t>
      </w:r>
      <w:r>
        <w:rPr>
          <w:u w:val="single"/>
        </w:rPr>
        <w:t xml:space="preserve">  </w:t>
      </w:r>
      <w:r>
        <w:rPr>
          <w:rFonts w:hint="eastAsia"/>
          <w:u w:val="single"/>
        </w:rPr>
        <w:t xml:space="preserve"> </w:t>
      </w:r>
      <w:r>
        <w:rPr>
          <w:u w:val="single"/>
        </w:rPr>
        <w:t xml:space="preserve">  </w:t>
      </w:r>
      <w:r>
        <w:rPr>
          <w:rFonts w:hint="eastAsia"/>
        </w:rPr>
        <w:t>，正式授权</w:t>
      </w:r>
      <w:r>
        <w:rPr>
          <w:rFonts w:hint="eastAsia"/>
          <w:u w:val="single"/>
        </w:rPr>
        <w:t xml:space="preserve"> </w:t>
      </w:r>
      <w:r>
        <w:rPr>
          <w:u w:val="single"/>
        </w:rPr>
        <w:t xml:space="preserve">     </w:t>
      </w:r>
      <w:r>
        <w:rPr>
          <w:rFonts w:hint="eastAsia"/>
          <w:u w:val="single"/>
        </w:rPr>
        <w:t>被授权人名字</w:t>
      </w:r>
      <w:r>
        <w:rPr>
          <w:u w:val="single"/>
        </w:rPr>
        <w:t xml:space="preserve">     </w:t>
      </w:r>
      <w:r>
        <w:rPr>
          <w:rFonts w:hint="eastAsia"/>
        </w:rPr>
        <w:t xml:space="preserve"> 提交纸质投标文件：商务和技术文件、资质证明文件正本</w:t>
      </w:r>
      <w:r>
        <w:rPr>
          <w:rFonts w:hint="eastAsia"/>
          <w:u w:val="single"/>
        </w:rPr>
        <w:t xml:space="preserve"> </w:t>
      </w:r>
      <w:r>
        <w:rPr>
          <w:u w:val="single"/>
        </w:rPr>
        <w:t xml:space="preserve"> </w:t>
      </w:r>
      <w:r>
        <w:rPr>
          <w:rFonts w:hint="eastAsia"/>
          <w:u w:val="single"/>
        </w:rPr>
        <w:t>1</w:t>
      </w:r>
      <w:r>
        <w:rPr>
          <w:u w:val="single"/>
        </w:rPr>
        <w:t xml:space="preserve">  </w:t>
      </w:r>
      <w:r>
        <w:rPr>
          <w:rFonts w:hint="eastAsia"/>
        </w:rPr>
        <w:t>份。电子版投标文件1份。</w:t>
      </w:r>
    </w:p>
    <w:p>
      <w:pPr>
        <w:pStyle w:val="25"/>
        <w:ind w:firstLine="480"/>
      </w:pPr>
      <w:r>
        <w:rPr>
          <w:rFonts w:hint="eastAsia"/>
        </w:rPr>
        <w:t>据此函，签字代表宣布同意如下：</w:t>
      </w:r>
    </w:p>
    <w:p>
      <w:pPr>
        <w:pStyle w:val="25"/>
        <w:ind w:firstLine="480"/>
      </w:pPr>
      <w:r>
        <w:rPr>
          <w:rFonts w:hint="eastAsia"/>
        </w:rPr>
        <w:t>1、投标人已详细审查全部“招标文件”，包括修改文件（如有的话）以及全部参考资料和有关附件，已经了解我方对于招标文件、采购过程、采购结果有依法进行询问、质疑、投诉的权利及相关渠道和要求。</w:t>
      </w:r>
    </w:p>
    <w:p>
      <w:pPr>
        <w:pStyle w:val="25"/>
        <w:ind w:firstLine="480"/>
      </w:pPr>
      <w:r>
        <w:rPr>
          <w:rFonts w:hint="eastAsia"/>
        </w:rPr>
        <w:t>2、投标人在投标之前已经与贵方进行了充分的沟通，完全理解并接受招标文件的各项规定和要求，对招标文件的合理性、合法性不再有异议。</w:t>
      </w:r>
    </w:p>
    <w:p>
      <w:pPr>
        <w:pStyle w:val="25"/>
        <w:ind w:firstLine="480"/>
      </w:pPr>
      <w:r>
        <w:rPr>
          <w:rFonts w:hint="eastAsia"/>
        </w:rPr>
        <w:t>3、本投标有效期自开标日起</w:t>
      </w:r>
      <w:r>
        <w:rPr>
          <w:rFonts w:hint="eastAsia"/>
          <w:bCs/>
          <w:u w:val="single"/>
        </w:rPr>
        <w:t xml:space="preserve"> </w:t>
      </w:r>
      <w:r>
        <w:rPr>
          <w:bCs/>
          <w:u w:val="single"/>
        </w:rPr>
        <w:t>30</w:t>
      </w:r>
      <w:r>
        <w:rPr>
          <w:rFonts w:hint="eastAsia"/>
        </w:rPr>
        <w:t>个日历日。</w:t>
      </w:r>
    </w:p>
    <w:p>
      <w:pPr>
        <w:pStyle w:val="25"/>
        <w:ind w:firstLine="480"/>
      </w:pPr>
      <w:r>
        <w:rPr>
          <w:rFonts w:hint="eastAsia"/>
        </w:rPr>
        <w:t>4、如中标，本投标文件至本项目合同履行完毕止均保持有效，本投标人将按“招标文件”及政府采购法律、法规的规定履行合同责任和义务。</w:t>
      </w:r>
    </w:p>
    <w:p>
      <w:pPr>
        <w:pStyle w:val="25"/>
        <w:ind w:firstLine="480"/>
      </w:pPr>
      <w:r>
        <w:rPr>
          <w:rFonts w:hint="eastAsia"/>
        </w:rPr>
        <w:t>5、投标人同意按照贵方要求提供与投标有关的一切数据或资料。</w:t>
      </w:r>
    </w:p>
    <w:p>
      <w:pPr>
        <w:pStyle w:val="25"/>
        <w:ind w:firstLine="480"/>
      </w:pPr>
      <w:r>
        <w:rPr>
          <w:rFonts w:hint="eastAsia"/>
        </w:rPr>
        <w:t>6、与本投标有关的一切正式往来信函请寄：</w:t>
      </w:r>
    </w:p>
    <w:p>
      <w:pPr>
        <w:pStyle w:val="25"/>
        <w:ind w:firstLine="480"/>
      </w:pPr>
      <w:r>
        <w:rPr>
          <w:rFonts w:hint="eastAsia"/>
        </w:rPr>
        <w:t xml:space="preserve">地址：                            </w:t>
      </w:r>
      <w:r>
        <w:t xml:space="preserve"> </w:t>
      </w:r>
    </w:p>
    <w:p>
      <w:pPr>
        <w:pStyle w:val="25"/>
        <w:ind w:firstLine="480"/>
      </w:pPr>
      <w:r>
        <w:rPr>
          <w:rFonts w:hint="eastAsia"/>
        </w:rPr>
        <w:t xml:space="preserve">邮编：        </w:t>
      </w:r>
    </w:p>
    <w:p>
      <w:pPr>
        <w:pStyle w:val="25"/>
        <w:ind w:firstLine="480"/>
      </w:pPr>
      <w:r>
        <w:rPr>
          <w:rFonts w:hint="eastAsia"/>
        </w:rPr>
        <w:t xml:space="preserve">电话：        传真：                   </w:t>
      </w:r>
    </w:p>
    <w:p>
      <w:pPr>
        <w:pStyle w:val="25"/>
        <w:ind w:firstLine="480"/>
      </w:pPr>
      <w:r>
        <w:rPr>
          <w:rFonts w:hint="eastAsia"/>
        </w:rPr>
        <w:t xml:space="preserve">投标人代表姓名：__   _____职务：          </w:t>
      </w:r>
    </w:p>
    <w:p>
      <w:pPr>
        <w:pStyle w:val="25"/>
        <w:ind w:firstLine="480"/>
      </w:pPr>
      <w:r>
        <w:rPr>
          <w:rFonts w:hint="eastAsia"/>
        </w:rPr>
        <w:t xml:space="preserve">开户银行：                  </w:t>
      </w:r>
      <w:r>
        <w:t xml:space="preserve"> </w:t>
      </w:r>
    </w:p>
    <w:p>
      <w:pPr>
        <w:pStyle w:val="25"/>
        <w:ind w:firstLine="480"/>
      </w:pPr>
      <w:r>
        <w:rPr>
          <w:rFonts w:hint="eastAsia"/>
        </w:rPr>
        <w:t xml:space="preserve">银行帐号：                   </w:t>
      </w:r>
    </w:p>
    <w:p>
      <w:pPr>
        <w:pStyle w:val="25"/>
        <w:ind w:firstLine="480"/>
      </w:pPr>
      <w:r>
        <w:rPr>
          <w:rFonts w:hint="eastAsia"/>
        </w:rPr>
        <w:t>投标人名称（</w:t>
      </w:r>
      <w:r>
        <w:rPr>
          <w:rFonts w:hint="eastAsia"/>
          <w:bCs/>
        </w:rPr>
        <w:t>盖章）</w:t>
      </w:r>
      <w:r>
        <w:rPr>
          <w:rFonts w:hint="eastAsia"/>
        </w:rPr>
        <w:t xml:space="preserve">: </w:t>
      </w:r>
    </w:p>
    <w:p>
      <w:pPr>
        <w:pStyle w:val="25"/>
        <w:ind w:firstLine="480"/>
      </w:pPr>
      <w:r>
        <w:rPr>
          <w:rFonts w:hint="eastAsia"/>
        </w:rPr>
        <w:t>授权代表签字</w:t>
      </w:r>
      <w:r>
        <w:rPr>
          <w:rFonts w:hint="eastAsia"/>
          <w:bCs/>
        </w:rPr>
        <w:t>：</w:t>
      </w:r>
    </w:p>
    <w:p>
      <w:pPr>
        <w:pStyle w:val="25"/>
        <w:ind w:firstLine="480"/>
      </w:pPr>
      <w:r>
        <w:rPr>
          <w:rFonts w:hint="eastAsia"/>
        </w:rPr>
        <w:t>日期：     年      月      日</w:t>
      </w:r>
    </w:p>
    <w:p>
      <w:pPr>
        <w:pStyle w:val="32"/>
      </w:pPr>
      <w:r>
        <w:br w:type="page"/>
      </w:r>
      <w:r>
        <w:rPr>
          <w:rFonts w:hint="eastAsia"/>
        </w:rPr>
        <w:t>附件2</w:t>
      </w:r>
      <w:r>
        <w:t xml:space="preserve"> </w:t>
      </w:r>
      <w:r>
        <w:rPr>
          <w:rFonts w:hint="eastAsia"/>
        </w:rPr>
        <w:t>法定代表人授权委托书</w:t>
      </w:r>
    </w:p>
    <w:p>
      <w:pPr>
        <w:pStyle w:val="9"/>
        <w:adjustRightInd w:val="0"/>
        <w:snapToGrid w:val="0"/>
        <w:spacing w:before="93" w:beforeLines="30" w:line="240" w:lineRule="exact"/>
        <w:jc w:val="center"/>
        <w:rPr>
          <w:rFonts w:ascii="宋体" w:hAnsi="宋体"/>
          <w:sz w:val="24"/>
        </w:rPr>
      </w:pPr>
    </w:p>
    <w:p>
      <w:pPr>
        <w:pStyle w:val="25"/>
        <w:ind w:firstLine="480"/>
      </w:pPr>
      <w:r>
        <w:rPr>
          <w:rFonts w:hint="eastAsia"/>
        </w:rPr>
        <w:t xml:space="preserve">本授权委托书声明：我＿＿＿＿＿＿＿（姓名）系＿＿＿＿＿＿＿＿＿＿＿＿＿＿＿＿＿＿＿＿＿＿＿＿＿＿＿＿（投标人全称）的法定代表人，就  </w:t>
      </w:r>
      <w:r>
        <w:t xml:space="preserve">  </w:t>
      </w:r>
      <w:r>
        <w:rPr>
          <w:rFonts w:hint="eastAsia"/>
        </w:rPr>
        <w:t>（项目名称）   （招标编号）现授权委托＿＿＿＿＿＿＿＿＿＿＿＿＿＿＿＿＿＿＿＿＿＿＿＿＿＿＿＿（单位名称）的＿＿＿＿＿＿＿＿（姓名、职务）为我公司全权代表，全权代表在投标文件、评标过程中的书面承诺、合同等所签署的一切文件和处理与之有关的一切事务，我均予以承认。</w:t>
      </w:r>
    </w:p>
    <w:p>
      <w:pPr>
        <w:pStyle w:val="25"/>
        <w:ind w:firstLine="480"/>
      </w:pPr>
      <w:r>
        <w:rPr>
          <w:rFonts w:hint="eastAsia"/>
        </w:rPr>
        <w:t>全权代表无转委权。特此委托。</w:t>
      </w:r>
    </w:p>
    <w:tbl>
      <w:tblPr>
        <w:tblStyle w:val="16"/>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ascii="宋体" w:hAnsi="宋体" w:eastAsia="宋体"/>
                <w:sz w:val="24"/>
              </w:rPr>
            </w:pPr>
            <w:r>
              <w:rPr>
                <w:rFonts w:hint="eastAsia" w:ascii="宋体" w:hAnsi="宋体" w:eastAsia="宋体"/>
                <w:sz w:val="24"/>
              </w:rPr>
              <w:t>（附法人身份证明复印件）</w:t>
            </w:r>
          </w:p>
          <w:p>
            <w:pPr>
              <w:adjustRightInd w:val="0"/>
              <w:snapToGrid w:val="0"/>
              <w:spacing w:before="93" w:beforeLines="30" w:line="312" w:lineRule="auto"/>
              <w:jc w:val="center"/>
              <w:rPr>
                <w:rFonts w:ascii="宋体" w:hAnsi="宋体"/>
                <w:sz w:val="24"/>
              </w:rPr>
            </w:pPr>
            <w:r>
              <w:rPr>
                <w:rFonts w:hint="eastAsia" w:ascii="宋体" w:hAnsi="宋体" w:eastAsia="宋体"/>
                <w:sz w:val="24"/>
              </w:rPr>
              <w:t>（附授权代理人身份证明复印件）</w:t>
            </w:r>
          </w:p>
        </w:tc>
      </w:tr>
    </w:tbl>
    <w:p>
      <w:pPr>
        <w:pStyle w:val="25"/>
        <w:ind w:firstLine="480"/>
      </w:pPr>
      <w:r>
        <w:rPr>
          <w:rFonts w:hint="eastAsia"/>
        </w:rPr>
        <w:t>全权代表姓名：            性别：          年龄：</w:t>
      </w:r>
    </w:p>
    <w:p>
      <w:pPr>
        <w:pStyle w:val="25"/>
        <w:ind w:firstLine="480"/>
      </w:pPr>
      <w:r>
        <w:rPr>
          <w:rFonts w:hint="eastAsia"/>
        </w:rPr>
        <w:t>单位：                    部门：          职务：</w:t>
      </w:r>
    </w:p>
    <w:p>
      <w:pPr>
        <w:pStyle w:val="25"/>
        <w:ind w:firstLine="480"/>
      </w:pPr>
      <w:r>
        <w:rPr>
          <w:rFonts w:hint="eastAsia"/>
        </w:rPr>
        <w:t xml:space="preserve">法定代表人签字或盖章                          </w:t>
      </w:r>
    </w:p>
    <w:p>
      <w:pPr>
        <w:pStyle w:val="25"/>
        <w:ind w:firstLine="480"/>
      </w:pPr>
      <w:r>
        <w:rPr>
          <w:rFonts w:hint="eastAsia"/>
        </w:rPr>
        <w:t xml:space="preserve">被授权人签字  </w:t>
      </w:r>
    </w:p>
    <w:p>
      <w:pPr>
        <w:pStyle w:val="25"/>
        <w:ind w:firstLine="480"/>
      </w:pPr>
      <w:r>
        <w:rPr>
          <w:rFonts w:hint="eastAsia"/>
        </w:rPr>
        <w:t xml:space="preserve">被授权人电话：                          </w:t>
      </w:r>
    </w:p>
    <w:p>
      <w:pPr>
        <w:pStyle w:val="25"/>
        <w:ind w:firstLine="480"/>
      </w:pPr>
      <w:r>
        <w:rPr>
          <w:rFonts w:hint="eastAsia"/>
        </w:rPr>
        <w:t xml:space="preserve">投标人名称（公章）                       </w:t>
      </w:r>
    </w:p>
    <w:p>
      <w:pPr>
        <w:spacing w:line="460" w:lineRule="exact"/>
        <w:ind w:firstLine="5520" w:firstLineChars="2300"/>
        <w:rPr>
          <w:rFonts w:ascii="宋体" w:hAnsi="宋体"/>
          <w:sz w:val="24"/>
          <w:u w:val="single"/>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rPr>
          <w:rFonts w:eastAsia="黑体"/>
          <w:b/>
          <w:bCs/>
          <w:color w:val="000000"/>
          <w:sz w:val="28"/>
        </w:rPr>
        <w:sectPr>
          <w:footerReference r:id="rId3" w:type="default"/>
          <w:pgSz w:w="11906" w:h="16838"/>
          <w:pgMar w:top="1588" w:right="1418" w:bottom="1134" w:left="1418" w:header="851" w:footer="680" w:gutter="0"/>
          <w:pgNumType w:start="0"/>
          <w:cols w:space="720" w:num="1"/>
          <w:titlePg/>
          <w:docGrid w:type="lines" w:linePitch="312" w:charSpace="0"/>
        </w:sectPr>
      </w:pPr>
    </w:p>
    <w:p>
      <w:pPr>
        <w:pStyle w:val="32"/>
      </w:pPr>
      <w:r>
        <w:rPr>
          <w:rFonts w:hint="eastAsia" w:cs="宋体"/>
        </w:rPr>
        <w:t>附件</w:t>
      </w:r>
      <w:r>
        <w:rPr>
          <w:rFonts w:cs="宋体"/>
        </w:rPr>
        <w:t xml:space="preserve">3 </w:t>
      </w:r>
      <w:r>
        <w:rPr>
          <w:rFonts w:hint="eastAsia"/>
          <w:color w:val="auto"/>
        </w:rPr>
        <w:t>技术规格偏离表</w:t>
      </w:r>
    </w:p>
    <w:p>
      <w:pPr>
        <w:pStyle w:val="25"/>
        <w:ind w:firstLine="480"/>
      </w:pPr>
      <w:r>
        <w:rPr>
          <w:rFonts w:hint="eastAsia"/>
        </w:rPr>
        <w:t xml:space="preserve">项目名称： 工规级自动驾驶控制器通信中间件技术开发项目                                                          </w:t>
      </w:r>
    </w:p>
    <w:tbl>
      <w:tblPr>
        <w:tblStyle w:val="16"/>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0"/>
        <w:gridCol w:w="3537"/>
        <w:gridCol w:w="2477"/>
        <w:gridCol w:w="1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3" w:type="pct"/>
            <w:vAlign w:val="center"/>
          </w:tcPr>
          <w:p>
            <w:pPr>
              <w:pStyle w:val="28"/>
              <w:ind w:firstLine="560"/>
            </w:pPr>
            <w:r>
              <w:rPr>
                <w:rFonts w:hint="eastAsia" w:ascii="宋体" w:hAnsi="宋体" w:cs="宋体"/>
              </w:rPr>
              <w:t>序号</w:t>
            </w:r>
          </w:p>
        </w:tc>
        <w:tc>
          <w:tcPr>
            <w:tcW w:w="1905" w:type="pct"/>
            <w:vAlign w:val="center"/>
          </w:tcPr>
          <w:p>
            <w:pPr>
              <w:pStyle w:val="28"/>
              <w:ind w:firstLine="560"/>
            </w:pPr>
            <w:r>
              <w:rPr>
                <w:rFonts w:hint="eastAsia" w:ascii="宋体" w:hAnsi="宋体" w:cs="宋体"/>
              </w:rPr>
              <w:t>招标要求</w:t>
            </w:r>
          </w:p>
        </w:tc>
        <w:tc>
          <w:tcPr>
            <w:tcW w:w="1334" w:type="pct"/>
            <w:vAlign w:val="center"/>
          </w:tcPr>
          <w:p>
            <w:pPr>
              <w:pStyle w:val="28"/>
              <w:ind w:firstLine="560"/>
            </w:pPr>
            <w:r>
              <w:rPr>
                <w:rFonts w:hint="eastAsia" w:ascii="宋体" w:hAnsi="宋体" w:cs="宋体"/>
              </w:rPr>
              <w:t>响应规格</w:t>
            </w:r>
          </w:p>
        </w:tc>
        <w:tc>
          <w:tcPr>
            <w:tcW w:w="886" w:type="pct"/>
            <w:vAlign w:val="center"/>
          </w:tcPr>
          <w:p>
            <w:pPr>
              <w:pStyle w:val="28"/>
            </w:pPr>
            <w:r>
              <w:rPr>
                <w:rFonts w:hint="eastAsia" w:ascii="宋体" w:hAnsi="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3" w:type="pct"/>
            <w:vAlign w:val="center"/>
          </w:tcPr>
          <w:p>
            <w:pPr>
              <w:pStyle w:val="28"/>
              <w:rPr>
                <w:rFonts w:ascii="宋体" w:hAnsi="宋体"/>
                <w:b w:val="0"/>
                <w:szCs w:val="21"/>
              </w:rPr>
            </w:pPr>
            <w:r>
              <w:rPr>
                <w:rFonts w:hint="eastAsia" w:ascii="宋体" w:hAnsi="宋体"/>
                <w:b w:val="0"/>
                <w:szCs w:val="21"/>
              </w:rPr>
              <w:t>1</w:t>
            </w:r>
          </w:p>
        </w:tc>
        <w:tc>
          <w:tcPr>
            <w:tcW w:w="1905" w:type="pct"/>
            <w:vAlign w:val="center"/>
          </w:tcPr>
          <w:p>
            <w:pPr>
              <w:pStyle w:val="28"/>
              <w:jc w:val="left"/>
              <w:rPr>
                <w:rFonts w:hint="default" w:ascii="宋体" w:hAnsi="宋体" w:eastAsia="宋体"/>
                <w:b w:val="0"/>
                <w:szCs w:val="21"/>
                <w:lang w:val="en-US" w:eastAsia="zh-CN"/>
              </w:rPr>
            </w:pPr>
            <w:r>
              <w:rPr>
                <w:rFonts w:hint="eastAsia" w:ascii="宋体" w:hAnsi="宋体" w:cs="宋体"/>
                <w:b w:val="0"/>
                <w:bCs/>
                <w:szCs w:val="21"/>
              </w:rPr>
              <w:t>输出</w:t>
            </w:r>
            <w:r>
              <w:rPr>
                <w:rFonts w:hint="eastAsia" w:ascii="宋体" w:hAnsi="宋体" w:cs="宋体"/>
                <w:b w:val="0"/>
                <w:bCs/>
                <w:szCs w:val="21"/>
                <w:lang w:val="en-US" w:eastAsia="zh-CN"/>
              </w:rPr>
              <w:t>知识产权一份</w:t>
            </w:r>
          </w:p>
        </w:tc>
        <w:tc>
          <w:tcPr>
            <w:tcW w:w="1334" w:type="pct"/>
            <w:vAlign w:val="center"/>
          </w:tcPr>
          <w:p>
            <w:pPr>
              <w:pStyle w:val="28"/>
              <w:ind w:firstLine="562"/>
              <w:rPr>
                <w:rFonts w:ascii="宋体" w:hAnsi="宋体"/>
                <w:b w:val="0"/>
                <w:szCs w:val="21"/>
              </w:rPr>
            </w:pPr>
          </w:p>
        </w:tc>
        <w:tc>
          <w:tcPr>
            <w:tcW w:w="886" w:type="pct"/>
            <w:vAlign w:val="center"/>
          </w:tcPr>
          <w:p>
            <w:pPr>
              <w:pStyle w:val="28"/>
              <w:ind w:firstLine="562"/>
              <w:rPr>
                <w:rFonts w:ascii="宋体" w:hAnsi="宋体"/>
                <w:b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3" w:type="pct"/>
            <w:vAlign w:val="center"/>
          </w:tcPr>
          <w:p>
            <w:pPr>
              <w:pStyle w:val="28"/>
              <w:rPr>
                <w:rFonts w:ascii="宋体" w:hAnsi="宋体"/>
                <w:b w:val="0"/>
                <w:szCs w:val="21"/>
              </w:rPr>
            </w:pPr>
            <w:r>
              <w:rPr>
                <w:rFonts w:ascii="宋体" w:hAnsi="宋体"/>
                <w:b w:val="0"/>
                <w:szCs w:val="21"/>
              </w:rPr>
              <w:t>2</w:t>
            </w:r>
          </w:p>
        </w:tc>
        <w:tc>
          <w:tcPr>
            <w:tcW w:w="1905" w:type="pct"/>
            <w:vAlign w:val="center"/>
          </w:tcPr>
          <w:p>
            <w:pPr>
              <w:pStyle w:val="28"/>
              <w:jc w:val="left"/>
              <w:rPr>
                <w:rFonts w:ascii="宋体" w:hAnsi="宋体"/>
                <w:b w:val="0"/>
                <w:szCs w:val="21"/>
              </w:rPr>
            </w:pPr>
            <w:r>
              <w:rPr>
                <w:rFonts w:hint="eastAsia" w:ascii="宋体" w:hAnsi="宋体"/>
                <w:b w:val="0"/>
                <w:szCs w:val="21"/>
              </w:rPr>
              <w:t>其余要求参照技术协议书第二章3.1-3.3</w:t>
            </w:r>
          </w:p>
        </w:tc>
        <w:tc>
          <w:tcPr>
            <w:tcW w:w="1334" w:type="pct"/>
            <w:vAlign w:val="center"/>
          </w:tcPr>
          <w:p>
            <w:pPr>
              <w:pStyle w:val="28"/>
              <w:ind w:firstLine="562"/>
              <w:rPr>
                <w:rFonts w:ascii="宋体" w:hAnsi="宋体"/>
                <w:b w:val="0"/>
                <w:szCs w:val="21"/>
              </w:rPr>
            </w:pPr>
          </w:p>
        </w:tc>
        <w:tc>
          <w:tcPr>
            <w:tcW w:w="886" w:type="pct"/>
            <w:vAlign w:val="center"/>
          </w:tcPr>
          <w:p>
            <w:pPr>
              <w:pStyle w:val="28"/>
              <w:ind w:firstLine="562"/>
              <w:rPr>
                <w:rFonts w:ascii="宋体" w:hAnsi="宋体"/>
                <w:b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3" w:type="pct"/>
            <w:vAlign w:val="center"/>
          </w:tcPr>
          <w:p>
            <w:pPr>
              <w:pStyle w:val="28"/>
              <w:rPr>
                <w:rFonts w:ascii="宋体" w:hAnsi="宋体"/>
                <w:b w:val="0"/>
                <w:szCs w:val="21"/>
              </w:rPr>
            </w:pPr>
          </w:p>
        </w:tc>
        <w:tc>
          <w:tcPr>
            <w:tcW w:w="1905" w:type="pct"/>
            <w:vAlign w:val="center"/>
          </w:tcPr>
          <w:p>
            <w:pPr>
              <w:pStyle w:val="28"/>
              <w:jc w:val="left"/>
              <w:rPr>
                <w:rFonts w:ascii="宋体" w:hAnsi="宋体" w:cs="宋体"/>
                <w:b w:val="0"/>
                <w:bCs/>
                <w:szCs w:val="21"/>
              </w:rPr>
            </w:pPr>
          </w:p>
        </w:tc>
        <w:tc>
          <w:tcPr>
            <w:tcW w:w="1334" w:type="pct"/>
            <w:vAlign w:val="center"/>
          </w:tcPr>
          <w:p>
            <w:pPr>
              <w:pStyle w:val="28"/>
              <w:ind w:firstLine="562"/>
              <w:rPr>
                <w:rFonts w:ascii="宋体" w:hAnsi="宋体"/>
                <w:b w:val="0"/>
                <w:szCs w:val="21"/>
              </w:rPr>
            </w:pPr>
          </w:p>
        </w:tc>
        <w:tc>
          <w:tcPr>
            <w:tcW w:w="886" w:type="pct"/>
            <w:vAlign w:val="center"/>
          </w:tcPr>
          <w:p>
            <w:pPr>
              <w:pStyle w:val="28"/>
              <w:ind w:firstLine="562"/>
              <w:rPr>
                <w:rFonts w:ascii="宋体" w:hAnsi="宋体"/>
                <w:b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3" w:type="pct"/>
            <w:vAlign w:val="center"/>
          </w:tcPr>
          <w:p>
            <w:pPr>
              <w:pStyle w:val="28"/>
              <w:rPr>
                <w:rFonts w:ascii="宋体" w:hAnsi="宋体"/>
                <w:b w:val="0"/>
                <w:szCs w:val="21"/>
              </w:rPr>
            </w:pPr>
          </w:p>
        </w:tc>
        <w:tc>
          <w:tcPr>
            <w:tcW w:w="1905" w:type="pct"/>
            <w:vAlign w:val="center"/>
          </w:tcPr>
          <w:p>
            <w:pPr>
              <w:pStyle w:val="28"/>
              <w:jc w:val="left"/>
              <w:rPr>
                <w:rFonts w:ascii="宋体" w:hAnsi="宋体" w:cs="宋体"/>
                <w:b w:val="0"/>
                <w:bCs/>
                <w:szCs w:val="21"/>
              </w:rPr>
            </w:pPr>
          </w:p>
        </w:tc>
        <w:tc>
          <w:tcPr>
            <w:tcW w:w="1334" w:type="pct"/>
            <w:vAlign w:val="center"/>
          </w:tcPr>
          <w:p>
            <w:pPr>
              <w:pStyle w:val="28"/>
              <w:ind w:firstLine="562"/>
              <w:rPr>
                <w:rFonts w:ascii="宋体" w:hAnsi="宋体"/>
                <w:b w:val="0"/>
                <w:szCs w:val="21"/>
              </w:rPr>
            </w:pPr>
          </w:p>
        </w:tc>
        <w:tc>
          <w:tcPr>
            <w:tcW w:w="886" w:type="pct"/>
            <w:vAlign w:val="center"/>
          </w:tcPr>
          <w:p>
            <w:pPr>
              <w:pStyle w:val="28"/>
              <w:ind w:firstLine="562"/>
              <w:rPr>
                <w:rFonts w:ascii="宋体" w:hAnsi="宋体"/>
                <w:b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3" w:type="pct"/>
            <w:vAlign w:val="center"/>
          </w:tcPr>
          <w:p>
            <w:pPr>
              <w:pStyle w:val="28"/>
              <w:rPr>
                <w:rFonts w:ascii="宋体" w:hAnsi="宋体"/>
                <w:b w:val="0"/>
                <w:szCs w:val="21"/>
              </w:rPr>
            </w:pPr>
          </w:p>
        </w:tc>
        <w:tc>
          <w:tcPr>
            <w:tcW w:w="1905" w:type="pct"/>
            <w:vAlign w:val="center"/>
          </w:tcPr>
          <w:p>
            <w:pPr>
              <w:pStyle w:val="28"/>
              <w:rPr>
                <w:rFonts w:ascii="宋体" w:hAnsi="宋体" w:cs="宋体"/>
                <w:b w:val="0"/>
                <w:bCs/>
                <w:szCs w:val="21"/>
              </w:rPr>
            </w:pPr>
          </w:p>
        </w:tc>
        <w:tc>
          <w:tcPr>
            <w:tcW w:w="1334" w:type="pct"/>
            <w:vAlign w:val="center"/>
          </w:tcPr>
          <w:p>
            <w:pPr>
              <w:pStyle w:val="28"/>
              <w:ind w:firstLine="562"/>
              <w:rPr>
                <w:rFonts w:ascii="宋体" w:hAnsi="宋体"/>
                <w:b w:val="0"/>
                <w:szCs w:val="21"/>
              </w:rPr>
            </w:pPr>
          </w:p>
        </w:tc>
        <w:tc>
          <w:tcPr>
            <w:tcW w:w="886" w:type="pct"/>
            <w:vAlign w:val="center"/>
          </w:tcPr>
          <w:p>
            <w:pPr>
              <w:pStyle w:val="28"/>
              <w:ind w:firstLine="562"/>
              <w:rPr>
                <w:rFonts w:ascii="宋体" w:hAnsi="宋体"/>
                <w:b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exact"/>
        </w:trPr>
        <w:tc>
          <w:tcPr>
            <w:tcW w:w="873" w:type="pct"/>
            <w:vAlign w:val="center"/>
          </w:tcPr>
          <w:p>
            <w:pPr>
              <w:pStyle w:val="28"/>
              <w:rPr>
                <w:rFonts w:ascii="宋体" w:hAnsi="宋体"/>
                <w:b w:val="0"/>
                <w:szCs w:val="21"/>
              </w:rPr>
            </w:pPr>
          </w:p>
        </w:tc>
        <w:tc>
          <w:tcPr>
            <w:tcW w:w="1905" w:type="pct"/>
            <w:vAlign w:val="center"/>
          </w:tcPr>
          <w:p>
            <w:pPr>
              <w:pStyle w:val="28"/>
              <w:rPr>
                <w:rFonts w:ascii="宋体" w:hAnsi="宋体"/>
                <w:b w:val="0"/>
                <w:szCs w:val="21"/>
              </w:rPr>
            </w:pPr>
          </w:p>
        </w:tc>
        <w:tc>
          <w:tcPr>
            <w:tcW w:w="1334" w:type="pct"/>
            <w:vAlign w:val="center"/>
          </w:tcPr>
          <w:p>
            <w:pPr>
              <w:pStyle w:val="28"/>
              <w:ind w:firstLine="562"/>
              <w:rPr>
                <w:rFonts w:ascii="宋体" w:hAnsi="宋体"/>
                <w:b w:val="0"/>
                <w:szCs w:val="21"/>
              </w:rPr>
            </w:pPr>
          </w:p>
        </w:tc>
        <w:tc>
          <w:tcPr>
            <w:tcW w:w="886" w:type="pct"/>
            <w:vAlign w:val="center"/>
          </w:tcPr>
          <w:p>
            <w:pPr>
              <w:pStyle w:val="28"/>
              <w:ind w:firstLine="562"/>
              <w:rPr>
                <w:rFonts w:ascii="宋体" w:hAnsi="宋体"/>
                <w:b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3" w:type="pct"/>
            <w:vAlign w:val="center"/>
          </w:tcPr>
          <w:p>
            <w:pPr>
              <w:pStyle w:val="28"/>
              <w:rPr>
                <w:rFonts w:ascii="宋体" w:hAnsi="宋体"/>
                <w:b w:val="0"/>
                <w:szCs w:val="21"/>
              </w:rPr>
            </w:pPr>
          </w:p>
        </w:tc>
        <w:tc>
          <w:tcPr>
            <w:tcW w:w="1905" w:type="pct"/>
            <w:vAlign w:val="center"/>
          </w:tcPr>
          <w:p>
            <w:pPr>
              <w:pStyle w:val="28"/>
              <w:rPr>
                <w:rFonts w:ascii="宋体" w:hAnsi="宋体"/>
                <w:b w:val="0"/>
                <w:szCs w:val="21"/>
              </w:rPr>
            </w:pPr>
          </w:p>
        </w:tc>
        <w:tc>
          <w:tcPr>
            <w:tcW w:w="1334" w:type="pct"/>
            <w:vAlign w:val="center"/>
          </w:tcPr>
          <w:p>
            <w:pPr>
              <w:pStyle w:val="28"/>
              <w:ind w:firstLine="562"/>
              <w:rPr>
                <w:rFonts w:ascii="宋体" w:hAnsi="宋体"/>
                <w:b w:val="0"/>
                <w:szCs w:val="21"/>
              </w:rPr>
            </w:pPr>
          </w:p>
        </w:tc>
        <w:tc>
          <w:tcPr>
            <w:tcW w:w="886" w:type="pct"/>
            <w:vAlign w:val="center"/>
          </w:tcPr>
          <w:p>
            <w:pPr>
              <w:pStyle w:val="28"/>
              <w:ind w:firstLine="562"/>
              <w:rPr>
                <w:rFonts w:ascii="宋体" w:hAnsi="宋体"/>
                <w:b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3" w:type="pct"/>
            <w:vAlign w:val="center"/>
          </w:tcPr>
          <w:p>
            <w:pPr>
              <w:pStyle w:val="28"/>
              <w:rPr>
                <w:rFonts w:ascii="宋体" w:hAnsi="宋体"/>
                <w:b w:val="0"/>
                <w:szCs w:val="21"/>
              </w:rPr>
            </w:pPr>
          </w:p>
        </w:tc>
        <w:tc>
          <w:tcPr>
            <w:tcW w:w="1905" w:type="pct"/>
            <w:vAlign w:val="center"/>
          </w:tcPr>
          <w:p>
            <w:pPr>
              <w:pStyle w:val="28"/>
              <w:rPr>
                <w:rFonts w:ascii="宋体" w:hAnsi="宋体" w:cs="宋体"/>
              </w:rPr>
            </w:pPr>
          </w:p>
        </w:tc>
        <w:tc>
          <w:tcPr>
            <w:tcW w:w="1334" w:type="pct"/>
            <w:vAlign w:val="center"/>
          </w:tcPr>
          <w:p>
            <w:pPr>
              <w:pStyle w:val="28"/>
              <w:ind w:firstLine="562"/>
              <w:rPr>
                <w:rFonts w:ascii="宋体" w:hAnsi="宋体"/>
                <w:b w:val="0"/>
                <w:szCs w:val="21"/>
              </w:rPr>
            </w:pPr>
          </w:p>
        </w:tc>
        <w:tc>
          <w:tcPr>
            <w:tcW w:w="886" w:type="pct"/>
            <w:vAlign w:val="center"/>
          </w:tcPr>
          <w:p>
            <w:pPr>
              <w:pStyle w:val="28"/>
              <w:ind w:firstLine="562"/>
              <w:rPr>
                <w:rFonts w:ascii="宋体" w:hAnsi="宋体"/>
                <w:b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3" w:type="pct"/>
            <w:vAlign w:val="center"/>
          </w:tcPr>
          <w:p>
            <w:pPr>
              <w:pStyle w:val="28"/>
              <w:rPr>
                <w:rFonts w:ascii="宋体" w:hAnsi="宋体"/>
                <w:b w:val="0"/>
                <w:szCs w:val="21"/>
              </w:rPr>
            </w:pPr>
          </w:p>
        </w:tc>
        <w:tc>
          <w:tcPr>
            <w:tcW w:w="1905" w:type="pct"/>
            <w:vAlign w:val="center"/>
          </w:tcPr>
          <w:p>
            <w:pPr>
              <w:pStyle w:val="28"/>
              <w:rPr>
                <w:rFonts w:ascii="宋体" w:hAnsi="宋体" w:cs="宋体"/>
              </w:rPr>
            </w:pPr>
          </w:p>
        </w:tc>
        <w:tc>
          <w:tcPr>
            <w:tcW w:w="1334" w:type="pct"/>
            <w:vAlign w:val="center"/>
          </w:tcPr>
          <w:p>
            <w:pPr>
              <w:pStyle w:val="28"/>
              <w:ind w:firstLine="562"/>
              <w:rPr>
                <w:rFonts w:ascii="宋体" w:hAnsi="宋体"/>
                <w:b w:val="0"/>
                <w:szCs w:val="21"/>
              </w:rPr>
            </w:pPr>
          </w:p>
        </w:tc>
        <w:tc>
          <w:tcPr>
            <w:tcW w:w="886" w:type="pct"/>
            <w:vAlign w:val="center"/>
          </w:tcPr>
          <w:p>
            <w:pPr>
              <w:pStyle w:val="28"/>
              <w:ind w:firstLine="562"/>
              <w:rPr>
                <w:rFonts w:ascii="宋体" w:hAnsi="宋体"/>
                <w:b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3" w:type="pct"/>
            <w:vAlign w:val="center"/>
          </w:tcPr>
          <w:p>
            <w:pPr>
              <w:pStyle w:val="28"/>
              <w:rPr>
                <w:rFonts w:ascii="宋体" w:hAnsi="宋体"/>
                <w:b w:val="0"/>
                <w:szCs w:val="21"/>
              </w:rPr>
            </w:pPr>
          </w:p>
        </w:tc>
        <w:tc>
          <w:tcPr>
            <w:tcW w:w="1905" w:type="pct"/>
            <w:vAlign w:val="center"/>
          </w:tcPr>
          <w:p>
            <w:pPr>
              <w:pStyle w:val="28"/>
              <w:rPr>
                <w:rFonts w:ascii="宋体" w:hAnsi="宋体" w:cs="宋体"/>
              </w:rPr>
            </w:pPr>
          </w:p>
        </w:tc>
        <w:tc>
          <w:tcPr>
            <w:tcW w:w="1334" w:type="pct"/>
            <w:vAlign w:val="center"/>
          </w:tcPr>
          <w:p>
            <w:pPr>
              <w:pStyle w:val="28"/>
              <w:ind w:firstLine="560"/>
              <w:rPr>
                <w:rFonts w:ascii="宋体" w:hAnsi="宋体"/>
                <w:szCs w:val="21"/>
              </w:rPr>
            </w:pPr>
          </w:p>
        </w:tc>
        <w:tc>
          <w:tcPr>
            <w:tcW w:w="886" w:type="pct"/>
            <w:vAlign w:val="center"/>
          </w:tcPr>
          <w:p>
            <w:pPr>
              <w:pStyle w:val="28"/>
              <w:ind w:firstLine="56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3" w:type="pct"/>
            <w:vAlign w:val="center"/>
          </w:tcPr>
          <w:p>
            <w:pPr>
              <w:pStyle w:val="28"/>
              <w:rPr>
                <w:rFonts w:ascii="宋体" w:hAnsi="宋体"/>
                <w:b w:val="0"/>
                <w:szCs w:val="21"/>
              </w:rPr>
            </w:pPr>
          </w:p>
        </w:tc>
        <w:tc>
          <w:tcPr>
            <w:tcW w:w="1905" w:type="pct"/>
            <w:vAlign w:val="center"/>
          </w:tcPr>
          <w:p>
            <w:pPr>
              <w:pStyle w:val="28"/>
              <w:rPr>
                <w:rFonts w:ascii="宋体" w:hAnsi="宋体" w:cs="宋体"/>
              </w:rPr>
            </w:pPr>
          </w:p>
        </w:tc>
        <w:tc>
          <w:tcPr>
            <w:tcW w:w="1334" w:type="pct"/>
            <w:vAlign w:val="center"/>
          </w:tcPr>
          <w:p>
            <w:pPr>
              <w:pStyle w:val="28"/>
              <w:ind w:firstLine="560"/>
              <w:rPr>
                <w:rFonts w:ascii="宋体" w:hAnsi="宋体"/>
                <w:szCs w:val="21"/>
              </w:rPr>
            </w:pPr>
          </w:p>
        </w:tc>
        <w:tc>
          <w:tcPr>
            <w:tcW w:w="886" w:type="pct"/>
            <w:vAlign w:val="center"/>
          </w:tcPr>
          <w:p>
            <w:pPr>
              <w:pStyle w:val="28"/>
              <w:ind w:firstLine="56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3" w:type="pct"/>
            <w:vAlign w:val="center"/>
          </w:tcPr>
          <w:p>
            <w:pPr>
              <w:pStyle w:val="28"/>
              <w:rPr>
                <w:rFonts w:ascii="宋体" w:hAnsi="宋体"/>
                <w:b w:val="0"/>
                <w:szCs w:val="21"/>
              </w:rPr>
            </w:pPr>
          </w:p>
        </w:tc>
        <w:tc>
          <w:tcPr>
            <w:tcW w:w="1905" w:type="pct"/>
            <w:vAlign w:val="center"/>
          </w:tcPr>
          <w:p>
            <w:pPr>
              <w:pStyle w:val="28"/>
              <w:rPr>
                <w:rFonts w:ascii="宋体" w:hAnsi="宋体" w:cs="宋体"/>
              </w:rPr>
            </w:pPr>
          </w:p>
        </w:tc>
        <w:tc>
          <w:tcPr>
            <w:tcW w:w="1334" w:type="pct"/>
            <w:vAlign w:val="center"/>
          </w:tcPr>
          <w:p>
            <w:pPr>
              <w:pStyle w:val="28"/>
              <w:ind w:firstLine="560"/>
              <w:rPr>
                <w:rFonts w:ascii="宋体" w:hAnsi="宋体"/>
                <w:szCs w:val="21"/>
              </w:rPr>
            </w:pPr>
          </w:p>
        </w:tc>
        <w:tc>
          <w:tcPr>
            <w:tcW w:w="886" w:type="pct"/>
            <w:vAlign w:val="center"/>
          </w:tcPr>
          <w:p>
            <w:pPr>
              <w:pStyle w:val="28"/>
              <w:ind w:firstLine="56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3" w:type="pct"/>
            <w:vAlign w:val="center"/>
          </w:tcPr>
          <w:p>
            <w:pPr>
              <w:pStyle w:val="28"/>
              <w:rPr>
                <w:rFonts w:ascii="宋体" w:hAnsi="宋体"/>
                <w:b w:val="0"/>
                <w:szCs w:val="21"/>
              </w:rPr>
            </w:pPr>
          </w:p>
        </w:tc>
        <w:tc>
          <w:tcPr>
            <w:tcW w:w="1905" w:type="pct"/>
            <w:vAlign w:val="center"/>
          </w:tcPr>
          <w:p>
            <w:pPr>
              <w:pStyle w:val="28"/>
              <w:rPr>
                <w:rFonts w:ascii="宋体" w:hAnsi="宋体" w:cs="宋体"/>
              </w:rPr>
            </w:pPr>
          </w:p>
        </w:tc>
        <w:tc>
          <w:tcPr>
            <w:tcW w:w="1334" w:type="pct"/>
            <w:vAlign w:val="center"/>
          </w:tcPr>
          <w:p>
            <w:pPr>
              <w:pStyle w:val="28"/>
              <w:ind w:firstLine="560"/>
              <w:rPr>
                <w:rFonts w:ascii="宋体" w:hAnsi="宋体"/>
                <w:szCs w:val="21"/>
              </w:rPr>
            </w:pPr>
          </w:p>
        </w:tc>
        <w:tc>
          <w:tcPr>
            <w:tcW w:w="886" w:type="pct"/>
            <w:vAlign w:val="center"/>
          </w:tcPr>
          <w:p>
            <w:pPr>
              <w:pStyle w:val="28"/>
              <w:ind w:firstLine="56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3" w:type="pct"/>
            <w:vAlign w:val="center"/>
          </w:tcPr>
          <w:p>
            <w:pPr>
              <w:pStyle w:val="28"/>
              <w:rPr>
                <w:rFonts w:ascii="宋体" w:hAnsi="宋体"/>
                <w:b w:val="0"/>
                <w:szCs w:val="21"/>
              </w:rPr>
            </w:pPr>
          </w:p>
        </w:tc>
        <w:tc>
          <w:tcPr>
            <w:tcW w:w="1905" w:type="pct"/>
            <w:vAlign w:val="center"/>
          </w:tcPr>
          <w:p>
            <w:pPr>
              <w:pStyle w:val="28"/>
              <w:rPr>
                <w:rFonts w:ascii="宋体" w:hAnsi="宋体" w:cs="宋体"/>
              </w:rPr>
            </w:pPr>
          </w:p>
        </w:tc>
        <w:tc>
          <w:tcPr>
            <w:tcW w:w="1334" w:type="pct"/>
            <w:vAlign w:val="center"/>
          </w:tcPr>
          <w:p>
            <w:pPr>
              <w:pStyle w:val="28"/>
              <w:ind w:firstLine="560"/>
              <w:rPr>
                <w:rFonts w:ascii="宋体" w:hAnsi="宋体"/>
                <w:szCs w:val="21"/>
              </w:rPr>
            </w:pPr>
          </w:p>
        </w:tc>
        <w:tc>
          <w:tcPr>
            <w:tcW w:w="886" w:type="pct"/>
            <w:vAlign w:val="center"/>
          </w:tcPr>
          <w:p>
            <w:pPr>
              <w:pStyle w:val="28"/>
              <w:ind w:firstLine="560"/>
              <w:rPr>
                <w:rFonts w:ascii="宋体" w:hAnsi="宋体"/>
                <w:szCs w:val="21"/>
              </w:rPr>
            </w:pPr>
          </w:p>
        </w:tc>
      </w:tr>
    </w:tbl>
    <w:p>
      <w:pPr>
        <w:spacing w:line="660" w:lineRule="exact"/>
        <w:rPr>
          <w:rFonts w:ascii="宋体" w:hAnsi="宋体"/>
          <w:sz w:val="24"/>
        </w:rPr>
      </w:pPr>
      <w:r>
        <w:rPr>
          <w:rFonts w:hint="eastAsia" w:ascii="宋体" w:hAnsi="宋体"/>
          <w:sz w:val="24"/>
        </w:rPr>
        <w:t>投标人：（盖章）</w:t>
      </w:r>
    </w:p>
    <w:p>
      <w:pPr>
        <w:spacing w:line="660" w:lineRule="exact"/>
        <w:rPr>
          <w:rFonts w:ascii="宋体" w:hAnsi="宋体"/>
          <w:sz w:val="24"/>
        </w:rPr>
      </w:pPr>
      <w:r>
        <w:rPr>
          <w:rFonts w:hint="eastAsia" w:ascii="宋体" w:hAnsi="宋体"/>
          <w:sz w:val="24"/>
        </w:rPr>
        <w:t>法定代表人（委托代理人）：（签字）</w:t>
      </w:r>
    </w:p>
    <w:p>
      <w:pPr>
        <w:rPr>
          <w:rFonts w:ascii="黑体" w:eastAsia="黑体"/>
          <w:color w:val="000000"/>
          <w:sz w:val="24"/>
          <w:szCs w:val="24"/>
        </w:rPr>
      </w:pPr>
    </w:p>
    <w:p>
      <w:pPr>
        <w:pStyle w:val="32"/>
        <w:outlineLvl w:val="3"/>
        <w:rPr>
          <w:rFonts w:hint="eastAsia"/>
        </w:rPr>
      </w:pPr>
      <w:bookmarkStart w:id="5" w:name="_Toc353881017"/>
      <w:bookmarkStart w:id="6" w:name="_Toc639008"/>
      <w:bookmarkStart w:id="7" w:name="_Toc26556"/>
    </w:p>
    <w:p>
      <w:pPr>
        <w:rPr>
          <w:rFonts w:hint="eastAsia"/>
        </w:rPr>
      </w:pPr>
      <w:r>
        <w:rPr>
          <w:rFonts w:hint="eastAsia"/>
        </w:rPr>
        <w:br w:type="page"/>
      </w:r>
    </w:p>
    <w:p>
      <w:pPr>
        <w:pStyle w:val="32"/>
        <w:outlineLvl w:val="3"/>
      </w:pPr>
      <w:r>
        <w:rPr>
          <w:rFonts w:hint="eastAsia"/>
        </w:rPr>
        <w:t>附件4</w:t>
      </w:r>
      <w:r>
        <w:t xml:space="preserve"> </w:t>
      </w:r>
      <w:r>
        <w:rPr>
          <w:rFonts w:hint="eastAsia"/>
        </w:rPr>
        <w:t>开标一览表</w:t>
      </w:r>
    </w:p>
    <w:p>
      <w:pPr>
        <w:pStyle w:val="25"/>
        <w:ind w:firstLine="482"/>
        <w:rPr>
          <w:b/>
        </w:rPr>
      </w:pPr>
      <w:r>
        <w:rPr>
          <w:rFonts w:hint="eastAsia"/>
          <w:b/>
        </w:rPr>
        <w:t>《开标一览表》单独封存，以备唱标使用</w:t>
      </w:r>
    </w:p>
    <w:p>
      <w:pPr>
        <w:pStyle w:val="25"/>
        <w:ind w:firstLine="480"/>
      </w:pPr>
      <w:r>
        <w:rPr>
          <w:rFonts w:hint="eastAsia"/>
        </w:rPr>
        <w:t xml:space="preserve">项目名称： 工规级自动驾驶控制器通信中间件技术开发项目                                                       </w:t>
      </w: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575"/>
        <w:gridCol w:w="888"/>
        <w:gridCol w:w="2353"/>
        <w:gridCol w:w="1140"/>
        <w:gridCol w:w="1140"/>
        <w:gridCol w:w="741"/>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381" w:type="pct"/>
            <w:vAlign w:val="center"/>
          </w:tcPr>
          <w:p>
            <w:pPr>
              <w:pStyle w:val="28"/>
            </w:pPr>
            <w:r>
              <w:rPr>
                <w:rFonts w:hint="eastAsia"/>
              </w:rPr>
              <w:t>序号</w:t>
            </w:r>
          </w:p>
        </w:tc>
        <w:tc>
          <w:tcPr>
            <w:tcW w:w="848" w:type="pct"/>
            <w:vAlign w:val="center"/>
          </w:tcPr>
          <w:p>
            <w:pPr>
              <w:pStyle w:val="28"/>
            </w:pPr>
            <w:r>
              <w:rPr>
                <w:rFonts w:hint="eastAsia"/>
              </w:rPr>
              <w:t>货物名称</w:t>
            </w:r>
          </w:p>
        </w:tc>
        <w:tc>
          <w:tcPr>
            <w:tcW w:w="478" w:type="pct"/>
            <w:vAlign w:val="center"/>
          </w:tcPr>
          <w:p>
            <w:pPr>
              <w:pStyle w:val="28"/>
            </w:pPr>
            <w:r>
              <w:rPr>
                <w:rFonts w:hint="eastAsia"/>
              </w:rPr>
              <w:t>数量</w:t>
            </w:r>
          </w:p>
        </w:tc>
        <w:tc>
          <w:tcPr>
            <w:tcW w:w="1267" w:type="pct"/>
            <w:vAlign w:val="center"/>
          </w:tcPr>
          <w:p>
            <w:pPr>
              <w:pStyle w:val="28"/>
            </w:pPr>
            <w:r>
              <w:rPr>
                <w:rFonts w:hint="eastAsia"/>
              </w:rPr>
              <w:t>投标总价</w:t>
            </w:r>
            <w:r>
              <w:rPr>
                <w:rFonts w:hint="eastAsia" w:ascii="等线" w:hAnsi="等线" w:eastAsia="等线"/>
              </w:rPr>
              <w:t>（元）</w:t>
            </w:r>
          </w:p>
        </w:tc>
        <w:tc>
          <w:tcPr>
            <w:tcW w:w="614" w:type="pct"/>
            <w:vAlign w:val="center"/>
          </w:tcPr>
          <w:p>
            <w:pPr>
              <w:pStyle w:val="28"/>
            </w:pPr>
            <w:r>
              <w:rPr>
                <w:rFonts w:hint="eastAsia"/>
              </w:rPr>
              <w:t>质保期</w:t>
            </w:r>
          </w:p>
        </w:tc>
        <w:tc>
          <w:tcPr>
            <w:tcW w:w="614" w:type="pct"/>
            <w:vAlign w:val="center"/>
          </w:tcPr>
          <w:p>
            <w:pPr>
              <w:pStyle w:val="28"/>
            </w:pPr>
            <w:r>
              <w:rPr>
                <w:rFonts w:hint="eastAsia"/>
              </w:rPr>
              <w:t>交货及安装</w:t>
            </w:r>
          </w:p>
          <w:p>
            <w:pPr>
              <w:pStyle w:val="28"/>
            </w:pPr>
            <w:r>
              <w:rPr>
                <w:rFonts w:hint="eastAsia"/>
              </w:rPr>
              <w:t>时间</w:t>
            </w:r>
          </w:p>
        </w:tc>
        <w:tc>
          <w:tcPr>
            <w:tcW w:w="399" w:type="pct"/>
            <w:vAlign w:val="center"/>
          </w:tcPr>
          <w:p>
            <w:pPr>
              <w:pStyle w:val="28"/>
            </w:pPr>
            <w:r>
              <w:rPr>
                <w:rFonts w:hint="eastAsia" w:ascii="等线" w:hAnsi="等线" w:eastAsia="等线"/>
              </w:rPr>
              <w:t>付款方式及比例如何响应</w:t>
            </w:r>
          </w:p>
        </w:tc>
        <w:tc>
          <w:tcPr>
            <w:tcW w:w="399" w:type="pct"/>
            <w:vAlign w:val="center"/>
          </w:tcPr>
          <w:p>
            <w:pPr>
              <w:pStyle w:val="28"/>
              <w:rPr>
                <w:rFonts w:ascii="等线" w:hAnsi="等线" w:eastAsia="等线"/>
              </w:rPr>
            </w:pPr>
            <w:r>
              <w:rPr>
                <w:rFonts w:hint="eastAsia" w:ascii="等线" w:hAnsi="等线" w:eastAsia="等线"/>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381" w:type="pct"/>
            <w:vAlign w:val="center"/>
          </w:tcPr>
          <w:p>
            <w:pPr>
              <w:pStyle w:val="28"/>
            </w:pPr>
            <w:r>
              <w:rPr>
                <w:rFonts w:hint="eastAsia"/>
              </w:rPr>
              <w:t>1</w:t>
            </w:r>
          </w:p>
        </w:tc>
        <w:tc>
          <w:tcPr>
            <w:tcW w:w="848" w:type="pct"/>
            <w:vAlign w:val="center"/>
          </w:tcPr>
          <w:p>
            <w:pPr>
              <w:pStyle w:val="28"/>
            </w:pPr>
            <w:r>
              <w:rPr>
                <w:rFonts w:hint="eastAsia" w:asciiTheme="minorEastAsia" w:hAnsiTheme="minorEastAsia"/>
                <w:color w:val="000000"/>
                <w:szCs w:val="21"/>
              </w:rPr>
              <w:t>工规级自动驾驶控制器通信中间件技术开发</w:t>
            </w:r>
          </w:p>
        </w:tc>
        <w:tc>
          <w:tcPr>
            <w:tcW w:w="478" w:type="pct"/>
            <w:vAlign w:val="center"/>
          </w:tcPr>
          <w:p>
            <w:pPr>
              <w:pStyle w:val="28"/>
            </w:pPr>
            <w:r>
              <w:rPr>
                <w:rFonts w:hint="eastAsia"/>
              </w:rPr>
              <w:t>1</w:t>
            </w:r>
          </w:p>
        </w:tc>
        <w:tc>
          <w:tcPr>
            <w:tcW w:w="1267" w:type="pct"/>
            <w:vAlign w:val="center"/>
          </w:tcPr>
          <w:p>
            <w:pPr>
              <w:pStyle w:val="28"/>
              <w:rPr>
                <w:rFonts w:ascii="等线" w:hAnsi="等线" w:eastAsia="等线"/>
              </w:rPr>
            </w:pPr>
            <w:r>
              <w:rPr>
                <w:rFonts w:hint="eastAsia" w:ascii="等线" w:hAnsi="等线" w:eastAsia="等线"/>
              </w:rPr>
              <w:t>不含税价：</w:t>
            </w:r>
          </w:p>
          <w:p>
            <w:pPr>
              <w:pStyle w:val="28"/>
              <w:rPr>
                <w:rFonts w:ascii="等线" w:hAnsi="等线" w:eastAsia="等线"/>
              </w:rPr>
            </w:pPr>
            <w:r>
              <w:rPr>
                <w:rFonts w:hint="eastAsia" w:ascii="等线" w:hAnsi="等线" w:eastAsia="等线"/>
              </w:rPr>
              <w:t>含税价格：</w:t>
            </w:r>
          </w:p>
          <w:p>
            <w:pPr>
              <w:pStyle w:val="28"/>
            </w:pPr>
            <w:r>
              <w:rPr>
                <w:rFonts w:hint="eastAsia" w:ascii="等线" w:hAnsi="等线" w:eastAsia="等线"/>
              </w:rPr>
              <w:t>税率：</w:t>
            </w:r>
          </w:p>
        </w:tc>
        <w:tc>
          <w:tcPr>
            <w:tcW w:w="614" w:type="pct"/>
            <w:vAlign w:val="center"/>
          </w:tcPr>
          <w:p>
            <w:pPr>
              <w:pStyle w:val="28"/>
            </w:pPr>
          </w:p>
        </w:tc>
        <w:tc>
          <w:tcPr>
            <w:tcW w:w="614" w:type="pct"/>
            <w:vAlign w:val="center"/>
          </w:tcPr>
          <w:p>
            <w:pPr>
              <w:pStyle w:val="28"/>
            </w:pPr>
          </w:p>
        </w:tc>
        <w:tc>
          <w:tcPr>
            <w:tcW w:w="399" w:type="pct"/>
            <w:vAlign w:val="center"/>
          </w:tcPr>
          <w:p>
            <w:pPr>
              <w:pStyle w:val="28"/>
            </w:pPr>
          </w:p>
        </w:tc>
        <w:tc>
          <w:tcPr>
            <w:tcW w:w="399" w:type="pct"/>
            <w:vAlign w:val="center"/>
          </w:tcPr>
          <w:p>
            <w:pPr>
              <w:pStyle w:val="28"/>
            </w:pPr>
          </w:p>
        </w:tc>
      </w:tr>
    </w:tbl>
    <w:p>
      <w:pPr>
        <w:pStyle w:val="7"/>
        <w:spacing w:before="0"/>
        <w:rPr>
          <w:rFonts w:ascii="宋体" w:hAnsi="宋体" w:cs="Times New Roman"/>
        </w:rPr>
      </w:pPr>
    </w:p>
    <w:p>
      <w:pPr>
        <w:spacing w:line="400" w:lineRule="exact"/>
        <w:rPr>
          <w:rFonts w:ascii="宋体" w:hAnsi="宋体"/>
          <w:szCs w:val="21"/>
        </w:rPr>
      </w:pPr>
      <w:r>
        <w:rPr>
          <w:rFonts w:hint="eastAsia" w:ascii="宋体" w:hAnsi="宋体"/>
          <w:b/>
          <w:bCs/>
          <w:szCs w:val="21"/>
        </w:rPr>
        <w:t>注：</w:t>
      </w:r>
    </w:p>
    <w:p>
      <w:pPr>
        <w:spacing w:line="520" w:lineRule="exact"/>
        <w:rPr>
          <w:rFonts w:ascii="宋体" w:hAnsi="宋体" w:eastAsia="宋体" w:cs="Times New Roman"/>
          <w:b/>
          <w:bCs/>
          <w:szCs w:val="21"/>
        </w:rPr>
      </w:pPr>
      <w:r>
        <w:rPr>
          <w:rFonts w:hint="eastAsia" w:ascii="宋体" w:hAnsi="宋体"/>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宋体" w:eastAsia="宋体" w:cs="Times New Roman"/>
          <w:b/>
          <w:bCs/>
          <w:szCs w:val="21"/>
        </w:rPr>
      </w:pPr>
      <w:r>
        <w:rPr>
          <w:rFonts w:hint="eastAsia" w:ascii="宋体" w:hAnsi="宋体" w:eastAsia="宋体" w:cs="Times New Roman"/>
          <w:b/>
          <w:bCs/>
          <w:szCs w:val="21"/>
        </w:rPr>
        <w:t>2、附件</w:t>
      </w:r>
      <w:r>
        <w:rPr>
          <w:rFonts w:hint="eastAsia" w:ascii="宋体" w:hAnsi="宋体" w:eastAsia="宋体" w:cs="Times New Roman"/>
          <w:b/>
          <w:bCs/>
          <w:szCs w:val="21"/>
          <w:highlight w:val="yellow"/>
        </w:rPr>
        <w:t>457</w:t>
      </w:r>
      <w:r>
        <w:rPr>
          <w:rFonts w:hint="eastAsia" w:ascii="宋体" w:hAnsi="宋体" w:eastAsia="宋体" w:cs="Times New Roman"/>
          <w:b/>
          <w:bCs/>
          <w:szCs w:val="21"/>
        </w:rPr>
        <w:t>单独密封一份，否则不予唱标。</w:t>
      </w:r>
    </w:p>
    <w:p>
      <w:pPr>
        <w:spacing w:line="300" w:lineRule="auto"/>
        <w:rPr>
          <w:rFonts w:ascii="宋体" w:hAnsi="宋体" w:eastAsia="宋体" w:cs="Times New Roman"/>
          <w:b/>
          <w:bCs/>
          <w:szCs w:val="21"/>
        </w:rPr>
      </w:pPr>
      <w:r>
        <w:rPr>
          <w:rFonts w:hint="eastAsia" w:ascii="宋体" w:hAnsi="宋体" w:eastAsia="宋体" w:cs="Times New Roman"/>
          <w:b/>
          <w:bCs/>
          <w:szCs w:val="21"/>
        </w:rPr>
        <w:t>3、总价格需写明含税价、不含税价格、税率。单个报价无需报不含税价格。</w:t>
      </w:r>
    </w:p>
    <w:p>
      <w:pPr>
        <w:spacing w:line="660" w:lineRule="exact"/>
        <w:rPr>
          <w:rFonts w:ascii="宋体" w:hAnsi="宋体"/>
          <w:sz w:val="24"/>
        </w:rPr>
      </w:pPr>
    </w:p>
    <w:p>
      <w:pPr>
        <w:spacing w:line="300" w:lineRule="auto"/>
        <w:rPr>
          <w:rFonts w:ascii="宋体" w:hAnsi="宋体"/>
          <w:b/>
          <w:bCs/>
          <w:szCs w:val="21"/>
        </w:rPr>
      </w:pPr>
    </w:p>
    <w:p>
      <w:pPr>
        <w:spacing w:line="300" w:lineRule="auto"/>
        <w:rPr>
          <w:rFonts w:ascii="宋体" w:hAnsi="宋体"/>
          <w:sz w:val="24"/>
        </w:rPr>
      </w:pPr>
    </w:p>
    <w:p>
      <w:pPr>
        <w:spacing w:line="660" w:lineRule="exact"/>
        <w:rPr>
          <w:rFonts w:ascii="宋体" w:hAnsi="宋体" w:eastAsia="宋体" w:cs="宋体"/>
          <w:sz w:val="24"/>
        </w:rPr>
      </w:pPr>
      <w:r>
        <w:rPr>
          <w:rFonts w:hint="eastAsia" w:ascii="宋体" w:hAnsi="宋体" w:eastAsia="宋体" w:cs="宋体"/>
          <w:sz w:val="24"/>
        </w:rPr>
        <w:t>投标人：（盖章）</w:t>
      </w:r>
    </w:p>
    <w:p>
      <w:pPr>
        <w:spacing w:line="660" w:lineRule="exact"/>
        <w:rPr>
          <w:rFonts w:ascii="宋体" w:hAnsi="宋体" w:eastAsia="宋体" w:cs="宋体"/>
          <w:sz w:val="24"/>
        </w:rPr>
      </w:pPr>
      <w:r>
        <w:rPr>
          <w:rFonts w:hint="eastAsia" w:ascii="宋体" w:hAnsi="宋体" w:eastAsia="宋体" w:cs="宋体"/>
          <w:sz w:val="24"/>
        </w:rPr>
        <w:t>法定代表人（委托代理人）：（签字）</w:t>
      </w:r>
    </w:p>
    <w:p>
      <w:pPr>
        <w:spacing w:line="660" w:lineRule="exact"/>
        <w:rPr>
          <w:rFonts w:ascii="宋体" w:hAnsi="宋体" w:eastAsia="宋体" w:cs="宋体"/>
          <w:sz w:val="24"/>
        </w:rPr>
        <w:sectPr>
          <w:footerReference r:id="rId4" w:type="first"/>
          <w:pgSz w:w="11906" w:h="16838"/>
          <w:pgMar w:top="1588" w:right="1418" w:bottom="1134" w:left="1418" w:header="851" w:footer="992" w:gutter="0"/>
          <w:cols w:space="720" w:num="1"/>
          <w:titlePg/>
          <w:docGrid w:type="lines" w:linePitch="312" w:charSpace="0"/>
        </w:sect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pPr>
        <w:pStyle w:val="32"/>
      </w:pPr>
      <w:r>
        <w:rPr>
          <w:rFonts w:hint="eastAsia"/>
        </w:rPr>
        <w:t>附件</w:t>
      </w:r>
      <w:r>
        <w:t xml:space="preserve">5 </w:t>
      </w:r>
      <w:r>
        <w:rPr>
          <w:rFonts w:hint="eastAsia"/>
        </w:rPr>
        <w:t>投标报价明细表</w:t>
      </w:r>
      <w:bookmarkEnd w:id="5"/>
      <w:bookmarkEnd w:id="6"/>
      <w:bookmarkEnd w:id="7"/>
    </w:p>
    <w:p>
      <w:pPr>
        <w:pStyle w:val="25"/>
        <w:ind w:firstLine="480"/>
      </w:pPr>
      <w:r>
        <w:rPr>
          <w:rFonts w:hint="eastAsia"/>
        </w:rPr>
        <w:t>项目名称：</w:t>
      </w:r>
      <w:r>
        <w:rPr>
          <w:rFonts w:hint="eastAsia" w:asciiTheme="minorEastAsia" w:hAnsiTheme="minorEastAsia" w:eastAsiaTheme="minorEastAsia"/>
        </w:rPr>
        <w:t xml:space="preserve"> </w:t>
      </w:r>
      <w:r>
        <w:rPr>
          <w:rFonts w:hint="eastAsia" w:asciiTheme="minorEastAsia" w:hAnsiTheme="minorEastAsia" w:eastAsiaTheme="minorEastAsia"/>
          <w:shd w:val="clear" w:color="auto" w:fill="FCFCFC"/>
        </w:rPr>
        <w:t>工规级自动驾驶控制器通信中间件技术开发项目</w:t>
      </w:r>
      <w:r>
        <w:rPr>
          <w:rFonts w:hint="eastAsia"/>
        </w:rPr>
        <w:t xml:space="preserve">     </w:t>
      </w:r>
    </w:p>
    <w:tbl>
      <w:tblPr>
        <w:tblStyle w:val="16"/>
        <w:tblW w:w="503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 w:type="dxa"/>
          <w:bottom w:w="0" w:type="dxa"/>
          <w:right w:w="3" w:type="dxa"/>
        </w:tblCellMar>
      </w:tblPr>
      <w:tblGrid>
        <w:gridCol w:w="541"/>
        <w:gridCol w:w="1915"/>
        <w:gridCol w:w="885"/>
        <w:gridCol w:w="565"/>
        <w:gridCol w:w="574"/>
        <w:gridCol w:w="1019"/>
        <w:gridCol w:w="534"/>
        <w:gridCol w:w="892"/>
        <w:gridCol w:w="1095"/>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776" w:hRule="atLeast"/>
          <w:jc w:val="center"/>
        </w:trPr>
        <w:tc>
          <w:tcPr>
            <w:tcW w:w="296" w:type="pct"/>
            <w:vAlign w:val="center"/>
          </w:tcPr>
          <w:p>
            <w:pPr>
              <w:pStyle w:val="28"/>
            </w:pPr>
            <w:r>
              <w:rPr>
                <w:rFonts w:hint="eastAsia" w:ascii="宋体" w:hAnsi="宋体" w:cs="宋体"/>
              </w:rPr>
              <w:t>序</w:t>
            </w:r>
            <w:r>
              <w:rPr>
                <w:rFonts w:hint="eastAsia"/>
              </w:rPr>
              <w:t xml:space="preserve"> </w:t>
            </w:r>
            <w:r>
              <w:rPr>
                <w:rFonts w:hint="eastAsia" w:ascii="宋体" w:hAnsi="宋体" w:cs="宋体"/>
              </w:rPr>
              <w:t>号</w:t>
            </w:r>
          </w:p>
        </w:tc>
        <w:tc>
          <w:tcPr>
            <w:tcW w:w="1046" w:type="pct"/>
            <w:vAlign w:val="center"/>
          </w:tcPr>
          <w:p>
            <w:pPr>
              <w:pStyle w:val="28"/>
            </w:pPr>
            <w:r>
              <w:rPr>
                <w:rFonts w:hint="eastAsia" w:ascii="宋体" w:hAnsi="宋体" w:cs="宋体"/>
              </w:rPr>
              <w:t>部件名称</w:t>
            </w:r>
          </w:p>
        </w:tc>
        <w:tc>
          <w:tcPr>
            <w:tcW w:w="484" w:type="pct"/>
            <w:vAlign w:val="center"/>
          </w:tcPr>
          <w:p>
            <w:pPr>
              <w:pStyle w:val="28"/>
            </w:pPr>
            <w:r>
              <w:rPr>
                <w:rFonts w:hint="eastAsia" w:ascii="等线" w:hAnsi="等线" w:eastAsia="等线"/>
              </w:rPr>
              <w:t>规格型号</w:t>
            </w:r>
          </w:p>
        </w:tc>
        <w:tc>
          <w:tcPr>
            <w:tcW w:w="309" w:type="pct"/>
            <w:vAlign w:val="center"/>
          </w:tcPr>
          <w:p>
            <w:pPr>
              <w:pStyle w:val="28"/>
            </w:pPr>
            <w:r>
              <w:rPr>
                <w:rFonts w:hint="eastAsia" w:ascii="宋体" w:hAnsi="宋体" w:cs="宋体"/>
              </w:rPr>
              <w:t>单位</w:t>
            </w:r>
          </w:p>
        </w:tc>
        <w:tc>
          <w:tcPr>
            <w:tcW w:w="314" w:type="pct"/>
            <w:vAlign w:val="center"/>
          </w:tcPr>
          <w:p>
            <w:pPr>
              <w:pStyle w:val="28"/>
            </w:pPr>
            <w:r>
              <w:rPr>
                <w:rFonts w:hint="eastAsia" w:ascii="宋体" w:hAnsi="宋体" w:cs="宋体"/>
              </w:rPr>
              <w:t>数量</w:t>
            </w:r>
          </w:p>
        </w:tc>
        <w:tc>
          <w:tcPr>
            <w:tcW w:w="557" w:type="pct"/>
            <w:vAlign w:val="center"/>
          </w:tcPr>
          <w:p>
            <w:pPr>
              <w:pStyle w:val="28"/>
            </w:pPr>
            <w:r>
              <w:rPr>
                <w:rFonts w:hint="eastAsia" w:ascii="宋体" w:hAnsi="宋体" w:cs="宋体"/>
              </w:rPr>
              <w:t>生产厂商名称</w:t>
            </w:r>
          </w:p>
        </w:tc>
        <w:tc>
          <w:tcPr>
            <w:tcW w:w="292" w:type="pct"/>
            <w:vAlign w:val="center"/>
          </w:tcPr>
          <w:p>
            <w:pPr>
              <w:pStyle w:val="28"/>
            </w:pPr>
            <w:r>
              <w:rPr>
                <w:rFonts w:hint="eastAsia" w:ascii="宋体" w:hAnsi="宋体" w:cs="宋体"/>
              </w:rPr>
              <w:t>单价</w:t>
            </w:r>
          </w:p>
        </w:tc>
        <w:tc>
          <w:tcPr>
            <w:tcW w:w="488" w:type="pct"/>
            <w:vAlign w:val="center"/>
          </w:tcPr>
          <w:p>
            <w:pPr>
              <w:pStyle w:val="28"/>
            </w:pPr>
            <w:r>
              <w:rPr>
                <w:rFonts w:hint="eastAsia" w:ascii="宋体" w:hAnsi="宋体" w:cs="宋体"/>
              </w:rPr>
              <w:t>分项金额</w:t>
            </w:r>
          </w:p>
        </w:tc>
        <w:tc>
          <w:tcPr>
            <w:tcW w:w="599" w:type="pct"/>
            <w:vAlign w:val="center"/>
          </w:tcPr>
          <w:p>
            <w:pPr>
              <w:pStyle w:val="28"/>
            </w:pPr>
            <w:r>
              <w:rPr>
                <w:rFonts w:hint="eastAsia" w:ascii="宋体" w:hAnsi="宋体" w:cs="宋体"/>
              </w:rPr>
              <w:t>交货日期</w:t>
            </w:r>
          </w:p>
        </w:tc>
        <w:tc>
          <w:tcPr>
            <w:tcW w:w="611" w:type="pct"/>
            <w:vAlign w:val="center"/>
          </w:tcPr>
          <w:p>
            <w:pPr>
              <w:pStyle w:val="28"/>
            </w:pPr>
            <w:r>
              <w:rPr>
                <w:rFonts w:hint="eastAsia" w:ascii="宋体" w:hAnsi="宋体" w:cs="宋体"/>
              </w:rPr>
              <w:t>交货地点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296" w:type="pct"/>
            <w:vAlign w:val="center"/>
          </w:tcPr>
          <w:p>
            <w:pPr>
              <w:pStyle w:val="28"/>
            </w:pPr>
            <w:r>
              <w:rPr>
                <w:rFonts w:hint="eastAsia"/>
              </w:rPr>
              <w:t>1</w:t>
            </w:r>
          </w:p>
        </w:tc>
        <w:tc>
          <w:tcPr>
            <w:tcW w:w="1046" w:type="pct"/>
            <w:vAlign w:val="center"/>
          </w:tcPr>
          <w:p>
            <w:pPr>
              <w:pStyle w:val="28"/>
            </w:pPr>
            <w:r>
              <w:rPr>
                <w:rFonts w:hint="eastAsia"/>
              </w:rPr>
              <w:t>技术开发方案</w:t>
            </w:r>
          </w:p>
        </w:tc>
        <w:tc>
          <w:tcPr>
            <w:tcW w:w="484" w:type="pct"/>
            <w:vAlign w:val="center"/>
          </w:tcPr>
          <w:p>
            <w:pPr>
              <w:pStyle w:val="28"/>
            </w:pPr>
          </w:p>
        </w:tc>
        <w:tc>
          <w:tcPr>
            <w:tcW w:w="309" w:type="pct"/>
            <w:vAlign w:val="center"/>
          </w:tcPr>
          <w:p>
            <w:pPr>
              <w:pStyle w:val="28"/>
            </w:pPr>
          </w:p>
        </w:tc>
        <w:tc>
          <w:tcPr>
            <w:tcW w:w="314" w:type="pct"/>
            <w:vAlign w:val="center"/>
          </w:tcPr>
          <w:p>
            <w:pPr>
              <w:pStyle w:val="28"/>
            </w:pPr>
          </w:p>
        </w:tc>
        <w:tc>
          <w:tcPr>
            <w:tcW w:w="557" w:type="pct"/>
            <w:vAlign w:val="center"/>
          </w:tcPr>
          <w:p>
            <w:pPr>
              <w:pStyle w:val="28"/>
            </w:pPr>
          </w:p>
        </w:tc>
        <w:tc>
          <w:tcPr>
            <w:tcW w:w="292" w:type="pct"/>
            <w:vAlign w:val="center"/>
          </w:tcPr>
          <w:p>
            <w:pPr>
              <w:pStyle w:val="28"/>
            </w:pPr>
          </w:p>
        </w:tc>
        <w:tc>
          <w:tcPr>
            <w:tcW w:w="488" w:type="pct"/>
            <w:vAlign w:val="center"/>
          </w:tcPr>
          <w:p>
            <w:pPr>
              <w:pStyle w:val="28"/>
            </w:pPr>
          </w:p>
        </w:tc>
        <w:tc>
          <w:tcPr>
            <w:tcW w:w="599" w:type="pct"/>
            <w:vAlign w:val="center"/>
          </w:tcPr>
          <w:p>
            <w:pPr>
              <w:pStyle w:val="28"/>
            </w:pPr>
          </w:p>
        </w:tc>
        <w:tc>
          <w:tcPr>
            <w:tcW w:w="611" w:type="pct"/>
            <w:vAlign w:val="center"/>
          </w:tcPr>
          <w:p>
            <w:pPr>
              <w:pStyle w:val="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296" w:type="pct"/>
            <w:vAlign w:val="center"/>
          </w:tcPr>
          <w:p>
            <w:pPr>
              <w:pStyle w:val="28"/>
            </w:pPr>
            <w:r>
              <w:rPr>
                <w:rFonts w:hint="eastAsia"/>
              </w:rPr>
              <w:t>2</w:t>
            </w:r>
          </w:p>
        </w:tc>
        <w:tc>
          <w:tcPr>
            <w:tcW w:w="1046" w:type="pct"/>
            <w:vAlign w:val="center"/>
          </w:tcPr>
          <w:p>
            <w:pPr>
              <w:pStyle w:val="28"/>
            </w:pPr>
            <w:r>
              <w:rPr>
                <w:rFonts w:hint="eastAsia"/>
              </w:rPr>
              <w:t>通信延时性能优化</w:t>
            </w:r>
          </w:p>
        </w:tc>
        <w:tc>
          <w:tcPr>
            <w:tcW w:w="484" w:type="pct"/>
            <w:vAlign w:val="center"/>
          </w:tcPr>
          <w:p>
            <w:pPr>
              <w:pStyle w:val="28"/>
            </w:pPr>
          </w:p>
        </w:tc>
        <w:tc>
          <w:tcPr>
            <w:tcW w:w="309" w:type="pct"/>
            <w:vAlign w:val="center"/>
          </w:tcPr>
          <w:p>
            <w:pPr>
              <w:pStyle w:val="28"/>
            </w:pPr>
          </w:p>
        </w:tc>
        <w:tc>
          <w:tcPr>
            <w:tcW w:w="314" w:type="pct"/>
            <w:vAlign w:val="center"/>
          </w:tcPr>
          <w:p>
            <w:pPr>
              <w:pStyle w:val="28"/>
            </w:pPr>
          </w:p>
        </w:tc>
        <w:tc>
          <w:tcPr>
            <w:tcW w:w="557" w:type="pct"/>
            <w:vAlign w:val="center"/>
          </w:tcPr>
          <w:p>
            <w:pPr>
              <w:pStyle w:val="28"/>
            </w:pPr>
          </w:p>
        </w:tc>
        <w:tc>
          <w:tcPr>
            <w:tcW w:w="292" w:type="pct"/>
            <w:vAlign w:val="center"/>
          </w:tcPr>
          <w:p>
            <w:pPr>
              <w:pStyle w:val="28"/>
            </w:pPr>
          </w:p>
        </w:tc>
        <w:tc>
          <w:tcPr>
            <w:tcW w:w="488" w:type="pct"/>
            <w:vAlign w:val="center"/>
          </w:tcPr>
          <w:p>
            <w:pPr>
              <w:pStyle w:val="28"/>
            </w:pPr>
          </w:p>
        </w:tc>
        <w:tc>
          <w:tcPr>
            <w:tcW w:w="599" w:type="pct"/>
            <w:vAlign w:val="center"/>
          </w:tcPr>
          <w:p>
            <w:pPr>
              <w:pStyle w:val="28"/>
            </w:pPr>
          </w:p>
        </w:tc>
        <w:tc>
          <w:tcPr>
            <w:tcW w:w="611" w:type="pct"/>
            <w:vAlign w:val="center"/>
          </w:tcPr>
          <w:p>
            <w:pPr>
              <w:pStyle w:val="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296" w:type="pct"/>
            <w:vAlign w:val="center"/>
          </w:tcPr>
          <w:p>
            <w:pPr>
              <w:pStyle w:val="28"/>
            </w:pPr>
            <w:r>
              <w:rPr>
                <w:rFonts w:hint="eastAsia"/>
              </w:rPr>
              <w:t>3</w:t>
            </w:r>
          </w:p>
        </w:tc>
        <w:tc>
          <w:tcPr>
            <w:tcW w:w="1046" w:type="pct"/>
            <w:vAlign w:val="center"/>
          </w:tcPr>
          <w:p>
            <w:pPr>
              <w:pStyle w:val="28"/>
            </w:pPr>
            <w:r>
              <w:rPr>
                <w:rFonts w:hint="eastAsia"/>
              </w:rPr>
              <w:t>数据采集丢包优化</w:t>
            </w:r>
          </w:p>
        </w:tc>
        <w:tc>
          <w:tcPr>
            <w:tcW w:w="484" w:type="pct"/>
            <w:vAlign w:val="center"/>
          </w:tcPr>
          <w:p>
            <w:pPr>
              <w:pStyle w:val="28"/>
            </w:pPr>
          </w:p>
        </w:tc>
        <w:tc>
          <w:tcPr>
            <w:tcW w:w="309" w:type="pct"/>
            <w:vAlign w:val="center"/>
          </w:tcPr>
          <w:p>
            <w:pPr>
              <w:pStyle w:val="28"/>
            </w:pPr>
          </w:p>
        </w:tc>
        <w:tc>
          <w:tcPr>
            <w:tcW w:w="314" w:type="pct"/>
            <w:vAlign w:val="center"/>
          </w:tcPr>
          <w:p>
            <w:pPr>
              <w:pStyle w:val="28"/>
            </w:pPr>
          </w:p>
        </w:tc>
        <w:tc>
          <w:tcPr>
            <w:tcW w:w="557" w:type="pct"/>
            <w:vAlign w:val="center"/>
          </w:tcPr>
          <w:p>
            <w:pPr>
              <w:pStyle w:val="28"/>
            </w:pPr>
          </w:p>
        </w:tc>
        <w:tc>
          <w:tcPr>
            <w:tcW w:w="292" w:type="pct"/>
            <w:vAlign w:val="center"/>
          </w:tcPr>
          <w:p>
            <w:pPr>
              <w:pStyle w:val="28"/>
            </w:pPr>
          </w:p>
        </w:tc>
        <w:tc>
          <w:tcPr>
            <w:tcW w:w="488" w:type="pct"/>
            <w:vAlign w:val="center"/>
          </w:tcPr>
          <w:p>
            <w:pPr>
              <w:pStyle w:val="28"/>
            </w:pPr>
          </w:p>
        </w:tc>
        <w:tc>
          <w:tcPr>
            <w:tcW w:w="599" w:type="pct"/>
            <w:vAlign w:val="center"/>
          </w:tcPr>
          <w:p>
            <w:pPr>
              <w:pStyle w:val="28"/>
            </w:pPr>
          </w:p>
        </w:tc>
        <w:tc>
          <w:tcPr>
            <w:tcW w:w="611" w:type="pct"/>
            <w:vAlign w:val="center"/>
          </w:tcPr>
          <w:p>
            <w:pPr>
              <w:pStyle w:val="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296" w:type="pct"/>
            <w:vAlign w:val="center"/>
          </w:tcPr>
          <w:p>
            <w:pPr>
              <w:pStyle w:val="28"/>
            </w:pPr>
            <w:r>
              <w:rPr>
                <w:rFonts w:hint="eastAsia"/>
              </w:rPr>
              <w:t>4</w:t>
            </w:r>
          </w:p>
        </w:tc>
        <w:tc>
          <w:tcPr>
            <w:tcW w:w="1046" w:type="pct"/>
            <w:vAlign w:val="center"/>
          </w:tcPr>
          <w:p>
            <w:pPr>
              <w:pStyle w:val="28"/>
            </w:pPr>
            <w:r>
              <w:rPr>
                <w:rFonts w:hint="eastAsia"/>
              </w:rPr>
              <w:t>程序部署、调试</w:t>
            </w:r>
          </w:p>
        </w:tc>
        <w:tc>
          <w:tcPr>
            <w:tcW w:w="484" w:type="pct"/>
            <w:vAlign w:val="center"/>
          </w:tcPr>
          <w:p>
            <w:pPr>
              <w:pStyle w:val="28"/>
            </w:pPr>
          </w:p>
        </w:tc>
        <w:tc>
          <w:tcPr>
            <w:tcW w:w="309" w:type="pct"/>
            <w:vAlign w:val="center"/>
          </w:tcPr>
          <w:p>
            <w:pPr>
              <w:pStyle w:val="28"/>
            </w:pPr>
          </w:p>
        </w:tc>
        <w:tc>
          <w:tcPr>
            <w:tcW w:w="314" w:type="pct"/>
            <w:vAlign w:val="center"/>
          </w:tcPr>
          <w:p>
            <w:pPr>
              <w:pStyle w:val="28"/>
            </w:pPr>
          </w:p>
        </w:tc>
        <w:tc>
          <w:tcPr>
            <w:tcW w:w="557" w:type="pct"/>
            <w:vAlign w:val="center"/>
          </w:tcPr>
          <w:p>
            <w:pPr>
              <w:pStyle w:val="28"/>
            </w:pPr>
          </w:p>
        </w:tc>
        <w:tc>
          <w:tcPr>
            <w:tcW w:w="292" w:type="pct"/>
            <w:vAlign w:val="center"/>
          </w:tcPr>
          <w:p>
            <w:pPr>
              <w:pStyle w:val="28"/>
            </w:pPr>
          </w:p>
        </w:tc>
        <w:tc>
          <w:tcPr>
            <w:tcW w:w="488" w:type="pct"/>
            <w:vAlign w:val="center"/>
          </w:tcPr>
          <w:p>
            <w:pPr>
              <w:pStyle w:val="28"/>
            </w:pPr>
          </w:p>
        </w:tc>
        <w:tc>
          <w:tcPr>
            <w:tcW w:w="599" w:type="pct"/>
            <w:vAlign w:val="center"/>
          </w:tcPr>
          <w:p>
            <w:pPr>
              <w:pStyle w:val="28"/>
            </w:pPr>
          </w:p>
        </w:tc>
        <w:tc>
          <w:tcPr>
            <w:tcW w:w="611" w:type="pct"/>
            <w:vAlign w:val="center"/>
          </w:tcPr>
          <w:p>
            <w:pPr>
              <w:pStyle w:val="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296" w:type="pct"/>
            <w:vAlign w:val="center"/>
          </w:tcPr>
          <w:p>
            <w:pPr>
              <w:pStyle w:val="28"/>
            </w:pPr>
            <w:r>
              <w:rPr>
                <w:rFonts w:hint="eastAsia"/>
              </w:rPr>
              <w:t>5</w:t>
            </w:r>
          </w:p>
        </w:tc>
        <w:tc>
          <w:tcPr>
            <w:tcW w:w="1046" w:type="pct"/>
            <w:vAlign w:val="center"/>
          </w:tcPr>
          <w:p>
            <w:pPr>
              <w:pStyle w:val="28"/>
            </w:pPr>
            <w:r>
              <w:rPr>
                <w:rFonts w:hint="eastAsia"/>
                <w:lang w:val="en-US" w:eastAsia="zh-CN"/>
              </w:rPr>
              <w:t>实</w:t>
            </w:r>
            <w:r>
              <w:rPr>
                <w:rFonts w:hint="eastAsia"/>
              </w:rPr>
              <w:t>车自动驾驶系统通信性能测试报告</w:t>
            </w:r>
          </w:p>
        </w:tc>
        <w:tc>
          <w:tcPr>
            <w:tcW w:w="484" w:type="pct"/>
            <w:vAlign w:val="center"/>
          </w:tcPr>
          <w:p>
            <w:pPr>
              <w:pStyle w:val="28"/>
            </w:pPr>
          </w:p>
        </w:tc>
        <w:tc>
          <w:tcPr>
            <w:tcW w:w="309" w:type="pct"/>
            <w:vAlign w:val="center"/>
          </w:tcPr>
          <w:p>
            <w:pPr>
              <w:pStyle w:val="28"/>
            </w:pPr>
          </w:p>
        </w:tc>
        <w:tc>
          <w:tcPr>
            <w:tcW w:w="314" w:type="pct"/>
            <w:vAlign w:val="center"/>
          </w:tcPr>
          <w:p>
            <w:pPr>
              <w:pStyle w:val="28"/>
            </w:pPr>
          </w:p>
        </w:tc>
        <w:tc>
          <w:tcPr>
            <w:tcW w:w="557" w:type="pct"/>
            <w:vAlign w:val="center"/>
          </w:tcPr>
          <w:p>
            <w:pPr>
              <w:pStyle w:val="28"/>
            </w:pPr>
          </w:p>
        </w:tc>
        <w:tc>
          <w:tcPr>
            <w:tcW w:w="292" w:type="pct"/>
            <w:vAlign w:val="center"/>
          </w:tcPr>
          <w:p>
            <w:pPr>
              <w:pStyle w:val="28"/>
            </w:pPr>
          </w:p>
        </w:tc>
        <w:tc>
          <w:tcPr>
            <w:tcW w:w="488" w:type="pct"/>
            <w:vAlign w:val="center"/>
          </w:tcPr>
          <w:p>
            <w:pPr>
              <w:pStyle w:val="28"/>
            </w:pPr>
          </w:p>
        </w:tc>
        <w:tc>
          <w:tcPr>
            <w:tcW w:w="599" w:type="pct"/>
            <w:vAlign w:val="center"/>
          </w:tcPr>
          <w:p>
            <w:pPr>
              <w:pStyle w:val="28"/>
            </w:pPr>
          </w:p>
        </w:tc>
        <w:tc>
          <w:tcPr>
            <w:tcW w:w="611" w:type="pct"/>
            <w:vAlign w:val="center"/>
          </w:tcPr>
          <w:p>
            <w:pPr>
              <w:pStyle w:val="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296" w:type="pct"/>
            <w:vAlign w:val="center"/>
          </w:tcPr>
          <w:p>
            <w:pPr>
              <w:pStyle w:val="28"/>
            </w:pPr>
            <w:r>
              <w:rPr>
                <w:rFonts w:hint="eastAsia"/>
              </w:rPr>
              <w:t>6</w:t>
            </w:r>
          </w:p>
        </w:tc>
        <w:tc>
          <w:tcPr>
            <w:tcW w:w="1046" w:type="pct"/>
            <w:vAlign w:val="center"/>
          </w:tcPr>
          <w:p>
            <w:pPr>
              <w:pStyle w:val="28"/>
            </w:pPr>
            <w:r>
              <w:rPr>
                <w:rFonts w:hint="eastAsia"/>
              </w:rPr>
              <w:t>技术及程序使用方式培训</w:t>
            </w:r>
          </w:p>
        </w:tc>
        <w:tc>
          <w:tcPr>
            <w:tcW w:w="484" w:type="pct"/>
            <w:vAlign w:val="center"/>
          </w:tcPr>
          <w:p>
            <w:pPr>
              <w:pStyle w:val="28"/>
            </w:pPr>
          </w:p>
        </w:tc>
        <w:tc>
          <w:tcPr>
            <w:tcW w:w="309" w:type="pct"/>
            <w:vAlign w:val="center"/>
          </w:tcPr>
          <w:p>
            <w:pPr>
              <w:pStyle w:val="28"/>
            </w:pPr>
          </w:p>
        </w:tc>
        <w:tc>
          <w:tcPr>
            <w:tcW w:w="314" w:type="pct"/>
            <w:vAlign w:val="center"/>
          </w:tcPr>
          <w:p>
            <w:pPr>
              <w:pStyle w:val="28"/>
            </w:pPr>
          </w:p>
        </w:tc>
        <w:tc>
          <w:tcPr>
            <w:tcW w:w="557" w:type="pct"/>
            <w:vAlign w:val="center"/>
          </w:tcPr>
          <w:p>
            <w:pPr>
              <w:pStyle w:val="28"/>
            </w:pPr>
          </w:p>
        </w:tc>
        <w:tc>
          <w:tcPr>
            <w:tcW w:w="292" w:type="pct"/>
            <w:vAlign w:val="center"/>
          </w:tcPr>
          <w:p>
            <w:pPr>
              <w:pStyle w:val="28"/>
            </w:pPr>
          </w:p>
        </w:tc>
        <w:tc>
          <w:tcPr>
            <w:tcW w:w="488" w:type="pct"/>
            <w:vAlign w:val="center"/>
          </w:tcPr>
          <w:p>
            <w:pPr>
              <w:pStyle w:val="28"/>
            </w:pPr>
          </w:p>
        </w:tc>
        <w:tc>
          <w:tcPr>
            <w:tcW w:w="599" w:type="pct"/>
            <w:vAlign w:val="center"/>
          </w:tcPr>
          <w:p>
            <w:pPr>
              <w:pStyle w:val="28"/>
            </w:pPr>
          </w:p>
        </w:tc>
        <w:tc>
          <w:tcPr>
            <w:tcW w:w="611" w:type="pct"/>
            <w:vAlign w:val="center"/>
          </w:tcPr>
          <w:p>
            <w:pPr>
              <w:pStyle w:val="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296" w:type="pct"/>
            <w:vAlign w:val="center"/>
          </w:tcPr>
          <w:p>
            <w:pPr>
              <w:pStyle w:val="28"/>
              <w:tabs>
                <w:tab w:val="left" w:pos="251"/>
              </w:tabs>
              <w:jc w:val="left"/>
            </w:pPr>
            <w:r>
              <w:rPr>
                <w:rFonts w:hint="eastAsia"/>
              </w:rPr>
              <w:tab/>
            </w:r>
            <w:r>
              <w:rPr>
                <w:rFonts w:hint="eastAsia"/>
              </w:rPr>
              <w:t>7</w:t>
            </w:r>
          </w:p>
        </w:tc>
        <w:tc>
          <w:tcPr>
            <w:tcW w:w="1046" w:type="pct"/>
            <w:vAlign w:val="center"/>
          </w:tcPr>
          <w:p>
            <w:pPr>
              <w:pStyle w:val="28"/>
              <w:rPr>
                <w:rFonts w:hint="default" w:eastAsia="宋体"/>
                <w:lang w:val="en-US" w:eastAsia="zh-CN"/>
              </w:rPr>
            </w:pPr>
            <w:r>
              <w:rPr>
                <w:rFonts w:hint="eastAsia"/>
                <w:lang w:val="en-US" w:eastAsia="zh-CN"/>
              </w:rPr>
              <w:t>知识产权一份</w:t>
            </w:r>
          </w:p>
        </w:tc>
        <w:tc>
          <w:tcPr>
            <w:tcW w:w="484" w:type="pct"/>
            <w:vAlign w:val="center"/>
          </w:tcPr>
          <w:p>
            <w:pPr>
              <w:pStyle w:val="28"/>
            </w:pPr>
          </w:p>
        </w:tc>
        <w:tc>
          <w:tcPr>
            <w:tcW w:w="309" w:type="pct"/>
            <w:vAlign w:val="center"/>
          </w:tcPr>
          <w:p>
            <w:pPr>
              <w:pStyle w:val="28"/>
            </w:pPr>
          </w:p>
        </w:tc>
        <w:tc>
          <w:tcPr>
            <w:tcW w:w="314" w:type="pct"/>
            <w:vAlign w:val="center"/>
          </w:tcPr>
          <w:p>
            <w:pPr>
              <w:pStyle w:val="28"/>
            </w:pPr>
          </w:p>
        </w:tc>
        <w:tc>
          <w:tcPr>
            <w:tcW w:w="557" w:type="pct"/>
            <w:vAlign w:val="center"/>
          </w:tcPr>
          <w:p>
            <w:pPr>
              <w:pStyle w:val="28"/>
            </w:pPr>
          </w:p>
        </w:tc>
        <w:tc>
          <w:tcPr>
            <w:tcW w:w="292" w:type="pct"/>
            <w:vAlign w:val="center"/>
          </w:tcPr>
          <w:p>
            <w:pPr>
              <w:pStyle w:val="28"/>
            </w:pPr>
          </w:p>
        </w:tc>
        <w:tc>
          <w:tcPr>
            <w:tcW w:w="488" w:type="pct"/>
            <w:vAlign w:val="center"/>
          </w:tcPr>
          <w:p>
            <w:pPr>
              <w:pStyle w:val="28"/>
            </w:pPr>
          </w:p>
        </w:tc>
        <w:tc>
          <w:tcPr>
            <w:tcW w:w="599" w:type="pct"/>
            <w:vAlign w:val="center"/>
          </w:tcPr>
          <w:p>
            <w:pPr>
              <w:pStyle w:val="28"/>
            </w:pPr>
          </w:p>
        </w:tc>
        <w:tc>
          <w:tcPr>
            <w:tcW w:w="611" w:type="pct"/>
            <w:vAlign w:val="center"/>
          </w:tcPr>
          <w:p>
            <w:pPr>
              <w:pStyle w:val="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296" w:type="pct"/>
            <w:vAlign w:val="center"/>
          </w:tcPr>
          <w:p>
            <w:pPr>
              <w:pStyle w:val="28"/>
            </w:pPr>
          </w:p>
        </w:tc>
        <w:tc>
          <w:tcPr>
            <w:tcW w:w="1046" w:type="pct"/>
            <w:vAlign w:val="center"/>
          </w:tcPr>
          <w:p>
            <w:pPr>
              <w:pStyle w:val="28"/>
            </w:pPr>
          </w:p>
        </w:tc>
        <w:tc>
          <w:tcPr>
            <w:tcW w:w="484" w:type="pct"/>
            <w:vAlign w:val="center"/>
          </w:tcPr>
          <w:p>
            <w:pPr>
              <w:pStyle w:val="28"/>
            </w:pPr>
          </w:p>
        </w:tc>
        <w:tc>
          <w:tcPr>
            <w:tcW w:w="309" w:type="pct"/>
            <w:vAlign w:val="center"/>
          </w:tcPr>
          <w:p>
            <w:pPr>
              <w:pStyle w:val="28"/>
            </w:pPr>
          </w:p>
        </w:tc>
        <w:tc>
          <w:tcPr>
            <w:tcW w:w="314" w:type="pct"/>
            <w:vAlign w:val="center"/>
          </w:tcPr>
          <w:p>
            <w:pPr>
              <w:pStyle w:val="28"/>
            </w:pPr>
          </w:p>
        </w:tc>
        <w:tc>
          <w:tcPr>
            <w:tcW w:w="557" w:type="pct"/>
            <w:vAlign w:val="center"/>
          </w:tcPr>
          <w:p>
            <w:pPr>
              <w:pStyle w:val="28"/>
            </w:pPr>
          </w:p>
        </w:tc>
        <w:tc>
          <w:tcPr>
            <w:tcW w:w="292" w:type="pct"/>
            <w:vAlign w:val="center"/>
          </w:tcPr>
          <w:p>
            <w:pPr>
              <w:pStyle w:val="28"/>
            </w:pPr>
          </w:p>
        </w:tc>
        <w:tc>
          <w:tcPr>
            <w:tcW w:w="488" w:type="pct"/>
            <w:vAlign w:val="center"/>
          </w:tcPr>
          <w:p>
            <w:pPr>
              <w:pStyle w:val="28"/>
            </w:pPr>
          </w:p>
        </w:tc>
        <w:tc>
          <w:tcPr>
            <w:tcW w:w="599" w:type="pct"/>
            <w:vAlign w:val="center"/>
          </w:tcPr>
          <w:p>
            <w:pPr>
              <w:pStyle w:val="28"/>
            </w:pPr>
          </w:p>
        </w:tc>
        <w:tc>
          <w:tcPr>
            <w:tcW w:w="611" w:type="pct"/>
            <w:vAlign w:val="center"/>
          </w:tcPr>
          <w:p>
            <w:pPr>
              <w:pStyle w:val="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 w:type="dxa"/>
            <w:bottom w:w="0" w:type="dxa"/>
            <w:right w:w="3" w:type="dxa"/>
          </w:tblCellMar>
        </w:tblPrEx>
        <w:trPr>
          <w:cantSplit/>
          <w:trHeight w:val="586" w:hRule="atLeast"/>
          <w:jc w:val="center"/>
        </w:trPr>
        <w:tc>
          <w:tcPr>
            <w:tcW w:w="1343" w:type="pct"/>
            <w:gridSpan w:val="2"/>
            <w:vAlign w:val="center"/>
          </w:tcPr>
          <w:p>
            <w:pPr>
              <w:pStyle w:val="28"/>
            </w:pPr>
            <w:r>
              <w:rPr>
                <w:rFonts w:hint="eastAsia" w:ascii="宋体" w:hAnsi="宋体" w:cs="宋体"/>
              </w:rPr>
              <w:t>合计：</w:t>
            </w:r>
          </w:p>
        </w:tc>
        <w:tc>
          <w:tcPr>
            <w:tcW w:w="484" w:type="pct"/>
            <w:vAlign w:val="center"/>
          </w:tcPr>
          <w:p>
            <w:pPr>
              <w:pStyle w:val="28"/>
            </w:pPr>
          </w:p>
        </w:tc>
        <w:tc>
          <w:tcPr>
            <w:tcW w:w="3171" w:type="pct"/>
            <w:gridSpan w:val="7"/>
            <w:vAlign w:val="center"/>
          </w:tcPr>
          <w:p>
            <w:pPr>
              <w:pStyle w:val="28"/>
            </w:pPr>
          </w:p>
        </w:tc>
      </w:tr>
    </w:tbl>
    <w:p>
      <w:pPr>
        <w:pStyle w:val="25"/>
        <w:ind w:firstLine="480"/>
      </w:pPr>
      <w:r>
        <w:rPr>
          <w:rFonts w:hint="eastAsia"/>
        </w:rPr>
        <w:t xml:space="preserve">                                                 </w:t>
      </w:r>
    </w:p>
    <w:p>
      <w:pPr>
        <w:pStyle w:val="25"/>
        <w:ind w:firstLine="480"/>
      </w:pPr>
      <w:r>
        <w:rPr>
          <w:rFonts w:hint="eastAsia"/>
        </w:rPr>
        <w:t>注：</w:t>
      </w:r>
    </w:p>
    <w:p>
      <w:pPr>
        <w:pStyle w:val="25"/>
        <w:ind w:firstLine="480"/>
        <w:rPr>
          <w:rFonts w:ascii="仿宋" w:hAnsi="仿宋" w:eastAsia="仿宋" w:cs="仿宋"/>
        </w:rPr>
      </w:pPr>
      <w:r>
        <w:rPr>
          <w:rFonts w:ascii="仿宋" w:hAnsi="仿宋"/>
        </w:rPr>
        <w:t>1</w:t>
      </w:r>
      <w:r>
        <w:rPr>
          <w:rFonts w:hint="eastAsia" w:eastAsia="仿宋"/>
          <w:lang w:val="zh-TW" w:eastAsia="zh-TW"/>
        </w:rPr>
        <w:t>、以上报价均应基于对应法规的最新版本计算价格，</w:t>
      </w:r>
      <w:r>
        <w:rPr>
          <w:rFonts w:hint="eastAsia" w:eastAsia="SimSong Bold"/>
          <w:lang w:val="zh-TW" w:eastAsia="zh-TW"/>
        </w:rPr>
        <w:t>提供含税价和不含税价格并标明税率。</w:t>
      </w:r>
    </w:p>
    <w:p>
      <w:pPr>
        <w:pStyle w:val="25"/>
        <w:ind w:firstLine="480"/>
        <w:rPr>
          <w:rFonts w:ascii="仿宋" w:hAnsi="仿宋" w:eastAsia="仿宋" w:cs="仿宋"/>
        </w:rPr>
      </w:pPr>
      <w:r>
        <w:rPr>
          <w:rFonts w:ascii="仿宋" w:hAnsi="仿宋"/>
        </w:rPr>
        <w:t>2</w:t>
      </w:r>
      <w:r>
        <w:rPr>
          <w:rFonts w:hint="eastAsia" w:eastAsia="仿宋"/>
          <w:lang w:val="zh-TW" w:eastAsia="zh-TW"/>
        </w:rPr>
        <w:t>、系统实施服务费应</w:t>
      </w:r>
      <w:r>
        <w:rPr>
          <w:rFonts w:hint="eastAsia" w:eastAsia="仿宋"/>
        </w:rPr>
        <w:t>列名项目服务总人天数（可以按项目阶段分开列明）及人天单价</w:t>
      </w:r>
      <w:r>
        <w:rPr>
          <w:rFonts w:hint="eastAsia" w:eastAsia="仿宋"/>
          <w:lang w:val="zh-TW" w:eastAsia="zh-TW"/>
        </w:rPr>
        <w:t>。</w:t>
      </w:r>
    </w:p>
    <w:p>
      <w:pPr>
        <w:pStyle w:val="25"/>
        <w:ind w:firstLine="480"/>
        <w:rPr>
          <w:rFonts w:ascii="仿宋" w:hAnsi="仿宋" w:eastAsia="仿宋" w:cs="仿宋"/>
        </w:rPr>
      </w:pPr>
      <w:r>
        <w:rPr>
          <w:rFonts w:ascii="仿宋" w:hAnsi="仿宋"/>
        </w:rPr>
        <w:t>3</w:t>
      </w:r>
      <w:r>
        <w:rPr>
          <w:rFonts w:hint="eastAsia" w:eastAsia="仿宋"/>
          <w:lang w:val="zh-TW" w:eastAsia="zh-TW"/>
        </w:rPr>
        <w:t>、如上表中的有关费用投标人免费提供，请注明</w:t>
      </w:r>
      <w:r>
        <w:rPr>
          <w:rFonts w:ascii="仿宋" w:hAnsi="仿宋"/>
        </w:rPr>
        <w:t>“</w:t>
      </w:r>
      <w:r>
        <w:rPr>
          <w:rFonts w:hint="eastAsia" w:eastAsia="仿宋"/>
          <w:lang w:val="zh-TW" w:eastAsia="zh-TW"/>
        </w:rPr>
        <w:t>免费</w:t>
      </w:r>
      <w:r>
        <w:rPr>
          <w:rFonts w:ascii="仿宋" w:hAnsi="仿宋"/>
        </w:rPr>
        <w:t>”</w:t>
      </w:r>
      <w:r>
        <w:rPr>
          <w:rFonts w:hint="eastAsia" w:eastAsia="仿宋"/>
          <w:lang w:val="zh-TW" w:eastAsia="zh-TW"/>
        </w:rPr>
        <w:t>字样。</w:t>
      </w:r>
    </w:p>
    <w:p>
      <w:pPr>
        <w:pStyle w:val="25"/>
        <w:ind w:firstLine="480"/>
      </w:pPr>
    </w:p>
    <w:p>
      <w:pPr>
        <w:pStyle w:val="25"/>
        <w:ind w:firstLine="480"/>
      </w:pPr>
      <w:r>
        <w:rPr>
          <w:rFonts w:hint="eastAsia"/>
        </w:rPr>
        <w:t>投标人：（盖章）</w:t>
      </w:r>
    </w:p>
    <w:p>
      <w:pPr>
        <w:pStyle w:val="25"/>
        <w:ind w:firstLine="480"/>
      </w:pPr>
      <w:r>
        <w:rPr>
          <w:rFonts w:hint="eastAsia"/>
        </w:rPr>
        <w:t>法定代表人（委托代理人）：（签字）</w:t>
      </w:r>
    </w:p>
    <w:p>
      <w:pPr>
        <w:ind w:firstLine="420" w:firstLineChars="200"/>
        <w:rPr>
          <w:rFonts w:ascii="宋体" w:hAnsi="宋体" w:cs="宋体"/>
          <w:b/>
          <w:bCs/>
          <w:color w:val="000000"/>
          <w:sz w:val="28"/>
        </w:rPr>
        <w:sectPr>
          <w:pgSz w:w="11906" w:h="16838"/>
          <w:pgMar w:top="1588" w:right="1418" w:bottom="1134" w:left="1418" w:header="851" w:footer="992" w:gutter="0"/>
          <w:cols w:space="720" w:num="1"/>
          <w:titlePg/>
          <w:docGrid w:type="lines" w:linePitch="312" w:charSpace="0"/>
        </w:sectPr>
      </w:pPr>
      <w:r>
        <w:rPr>
          <w:rFonts w:hint="eastAsia"/>
        </w:rPr>
        <w:t>日  期：       年    月    日</w:t>
      </w:r>
    </w:p>
    <w:p>
      <w:pPr>
        <w:pStyle w:val="32"/>
      </w:pPr>
      <w:r>
        <w:rPr>
          <w:rFonts w:hint="eastAsia"/>
        </w:rPr>
        <w:t>附件</w:t>
      </w:r>
      <w:r>
        <w:t xml:space="preserve">6 </w:t>
      </w:r>
      <w:r>
        <w:rPr>
          <w:rFonts w:hint="eastAsia"/>
        </w:rPr>
        <w:t>服务承诺函</w:t>
      </w:r>
    </w:p>
    <w:p>
      <w:pPr>
        <w:spacing w:line="240" w:lineRule="exact"/>
        <w:jc w:val="center"/>
        <w:rPr>
          <w:rFonts w:ascii="宋体" w:hAnsi="宋体"/>
          <w:b/>
          <w:bCs/>
          <w:sz w:val="36"/>
        </w:rPr>
      </w:pPr>
    </w:p>
    <w:p>
      <w:pPr>
        <w:spacing w:line="360" w:lineRule="auto"/>
        <w:rPr>
          <w:rFonts w:ascii="宋体" w:hAnsi="宋体"/>
          <w:sz w:val="24"/>
        </w:rPr>
      </w:pPr>
      <w:r>
        <w:rPr>
          <w:rFonts w:hint="eastAsia" w:ascii="宋体" w:hAnsi="宋体"/>
          <w:sz w:val="24"/>
        </w:rPr>
        <w:t>项目名称：</w:t>
      </w:r>
      <w:r>
        <w:rPr>
          <w:rFonts w:hint="eastAsia" w:ascii="宋体" w:hAnsi="宋体"/>
          <w:sz w:val="24"/>
          <w:u w:val="single"/>
        </w:rPr>
        <w:t xml:space="preserve"> </w:t>
      </w:r>
      <w:r>
        <w:rPr>
          <w:rFonts w:hint="eastAsia" w:asciiTheme="minorEastAsia" w:hAnsiTheme="minorEastAsia"/>
          <w:color w:val="000000"/>
          <w:sz w:val="24"/>
          <w:szCs w:val="24"/>
          <w:u w:val="single"/>
        </w:rPr>
        <w:t>工规级自动驾驶控制器通信中间件技术开发项目</w:t>
      </w:r>
      <w:r>
        <w:rPr>
          <w:rFonts w:hint="eastAsia" w:ascii="宋体" w:hAnsi="宋体"/>
          <w:sz w:val="24"/>
          <w:u w:val="single"/>
        </w:rPr>
        <w:t xml:space="preserve">              </w:t>
      </w:r>
    </w:p>
    <w:p>
      <w:pPr>
        <w:spacing w:line="360" w:lineRule="auto"/>
        <w:rPr>
          <w:rFonts w:ascii="宋体" w:hAnsi="宋体"/>
          <w:b/>
          <w:bCs/>
          <w:sz w:val="24"/>
        </w:rPr>
      </w:pPr>
      <w:r>
        <w:rPr>
          <w:rFonts w:hint="eastAsia" w:ascii="宋体" w:hAnsi="宋体"/>
          <w:b/>
          <w:bCs/>
          <w:sz w:val="24"/>
        </w:rPr>
        <w:t>中国重汽集团济南动力有限公司：</w:t>
      </w:r>
    </w:p>
    <w:p>
      <w:pPr>
        <w:spacing w:line="360" w:lineRule="auto"/>
        <w:ind w:firstLine="480"/>
        <w:rPr>
          <w:rFonts w:ascii="宋体" w:hAnsi="宋体"/>
          <w:sz w:val="24"/>
        </w:rPr>
      </w:pPr>
      <w:r>
        <w:rPr>
          <w:rFonts w:hint="eastAsia" w:ascii="宋体" w:hAnsi="宋体"/>
          <w:sz w:val="24"/>
        </w:rPr>
        <w:t>我代表（投标单位名称）对中标合同的服务作如下承诺：</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p>
    <w:p>
      <w:pPr>
        <w:pStyle w:val="25"/>
        <w:ind w:firstLine="480"/>
      </w:pPr>
      <w:r>
        <w:rPr>
          <w:rFonts w:hint="eastAsia"/>
        </w:rPr>
        <w:t>投标人：（盖章）</w:t>
      </w:r>
    </w:p>
    <w:p>
      <w:pPr>
        <w:pStyle w:val="25"/>
        <w:ind w:firstLine="480"/>
      </w:pPr>
      <w:r>
        <w:rPr>
          <w:rFonts w:hint="eastAsia"/>
        </w:rPr>
        <w:t>法定代表人（委托代理人）：（签字）</w:t>
      </w:r>
    </w:p>
    <w:p>
      <w:pPr>
        <w:pStyle w:val="25"/>
        <w:ind w:firstLine="480"/>
      </w:pPr>
      <w:r>
        <w:rPr>
          <w:rFonts w:hint="eastAsia"/>
        </w:rPr>
        <w:t>日  期：       年    月    日</w:t>
      </w:r>
    </w:p>
    <w:p>
      <w:pPr>
        <w:rPr>
          <w:rFonts w:ascii="宋体" w:hAnsi="宋体" w:cs="宋体"/>
          <w:b/>
          <w:bCs/>
          <w:color w:val="000000"/>
          <w:sz w:val="28"/>
        </w:rPr>
      </w:pPr>
      <w:bookmarkStart w:id="8" w:name="_Toc353881022"/>
      <w:bookmarkStart w:id="9" w:name="_Toc9193"/>
      <w:bookmarkStart w:id="10" w:name="_Toc639013"/>
    </w:p>
    <w:p>
      <w:pPr>
        <w:rPr>
          <w:rFonts w:ascii="宋体" w:hAnsi="宋体" w:cs="宋体"/>
          <w:b/>
          <w:bCs/>
          <w:color w:val="000000"/>
          <w:sz w:val="28"/>
        </w:rPr>
        <w:sectPr>
          <w:pgSz w:w="11906" w:h="16838"/>
          <w:pgMar w:top="1588" w:right="1418" w:bottom="1134" w:left="1418" w:header="851" w:footer="992" w:gutter="0"/>
          <w:cols w:space="720" w:num="1"/>
          <w:titlePg/>
          <w:docGrid w:type="lines" w:linePitch="312" w:charSpace="0"/>
        </w:sectPr>
      </w:pPr>
    </w:p>
    <w:bookmarkEnd w:id="8"/>
    <w:bookmarkEnd w:id="9"/>
    <w:bookmarkEnd w:id="10"/>
    <w:p>
      <w:pPr>
        <w:pStyle w:val="32"/>
      </w:pPr>
      <w:r>
        <w:rPr>
          <w:rFonts w:hint="eastAsia"/>
        </w:rPr>
        <w:t>附件</w:t>
      </w:r>
      <w:r>
        <w:t>7</w:t>
      </w:r>
      <w:r>
        <w:rPr>
          <w:rFonts w:hint="eastAsia"/>
        </w:rPr>
        <w:t xml:space="preserve"> 商务条款偏离表</w:t>
      </w:r>
    </w:p>
    <w:p/>
    <w:tbl>
      <w:tblPr>
        <w:tblStyle w:val="16"/>
        <w:tblW w:w="4998"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91"/>
        <w:gridCol w:w="2947"/>
        <w:gridCol w:w="2958"/>
        <w:gridCol w:w="168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1" w:type="pct"/>
            <w:tcBorders>
              <w:top w:val="single" w:color="auto" w:sz="4" w:space="0"/>
              <w:left w:val="single" w:color="auto" w:sz="4" w:space="0"/>
              <w:bottom w:val="single" w:color="auto" w:sz="4" w:space="0"/>
              <w:right w:val="single" w:color="auto" w:sz="4" w:space="0"/>
            </w:tcBorders>
            <w:vAlign w:val="center"/>
          </w:tcPr>
          <w:p>
            <w:pPr>
              <w:pStyle w:val="28"/>
            </w:pPr>
            <w:r>
              <w:rPr>
                <w:rFonts w:hint="eastAsia" w:ascii="宋体" w:hAnsi="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pPr>
              <w:pStyle w:val="28"/>
            </w:pPr>
            <w:r>
              <w:rPr>
                <w:rFonts w:hint="eastAsia" w:ascii="宋体" w:hAnsi="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pPr>
              <w:pStyle w:val="28"/>
            </w:pPr>
            <w:r>
              <w:rPr>
                <w:rFonts w:hint="eastAsia" w:ascii="宋体" w:hAnsi="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28"/>
            </w:pPr>
            <w:r>
              <w:rPr>
                <w:rFonts w:hint="eastAsia" w:ascii="宋体" w:hAnsi="宋体" w:cs="宋体"/>
              </w:rPr>
              <w:t>是否偏离</w:t>
            </w:r>
          </w:p>
          <w:p>
            <w:pPr>
              <w:pStyle w:val="28"/>
            </w:pPr>
            <w:r>
              <w:rPr>
                <w:rFonts w:hint="eastAsia" w:ascii="宋体" w:hAnsi="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1" w:type="pct"/>
            <w:tcBorders>
              <w:top w:val="single" w:color="auto" w:sz="4" w:space="0"/>
              <w:left w:val="single" w:color="auto" w:sz="4" w:space="0"/>
              <w:bottom w:val="single" w:color="auto" w:sz="4" w:space="0"/>
              <w:right w:val="single" w:color="auto" w:sz="4" w:space="0"/>
            </w:tcBorders>
            <w:vAlign w:val="center"/>
          </w:tcPr>
          <w:p>
            <w:pPr>
              <w:pStyle w:val="28"/>
            </w:pPr>
            <w:r>
              <w:rPr>
                <w:rFonts w:hint="eastAsia" w:ascii="宋体" w:hAnsi="宋体" w:cs="宋体"/>
              </w:rPr>
              <w:t>质保期</w:t>
            </w:r>
          </w:p>
        </w:tc>
        <w:tc>
          <w:tcPr>
            <w:tcW w:w="1587" w:type="pct"/>
            <w:tcBorders>
              <w:top w:val="single" w:color="auto" w:sz="4" w:space="0"/>
              <w:left w:val="single" w:color="auto" w:sz="4" w:space="0"/>
              <w:bottom w:val="single" w:color="auto" w:sz="4" w:space="0"/>
              <w:right w:val="single" w:color="auto" w:sz="4" w:space="0"/>
            </w:tcBorders>
            <w:vAlign w:val="center"/>
          </w:tcPr>
          <w:p>
            <w:pPr>
              <w:pStyle w:val="28"/>
              <w:rPr>
                <w:szCs w:val="21"/>
              </w:rPr>
            </w:pPr>
            <w:r>
              <w:rPr>
                <w:rFonts w:hint="eastAsia"/>
                <w:szCs w:val="21"/>
              </w:rPr>
              <w:t>6个月</w:t>
            </w:r>
          </w:p>
        </w:tc>
        <w:tc>
          <w:tcPr>
            <w:tcW w:w="1593" w:type="pct"/>
            <w:tcBorders>
              <w:top w:val="single" w:color="auto" w:sz="4" w:space="0"/>
              <w:left w:val="single" w:color="auto" w:sz="4" w:space="0"/>
              <w:bottom w:val="single" w:color="auto" w:sz="4" w:space="0"/>
              <w:right w:val="single" w:color="auto" w:sz="4" w:space="0"/>
            </w:tcBorders>
            <w:vAlign w:val="center"/>
          </w:tcPr>
          <w:p>
            <w:pPr>
              <w:pStyle w:val="28"/>
              <w:rPr>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28"/>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1" w:type="pct"/>
            <w:tcBorders>
              <w:top w:val="single" w:color="auto" w:sz="4" w:space="0"/>
              <w:left w:val="single" w:color="auto" w:sz="4" w:space="0"/>
              <w:bottom w:val="single" w:color="auto" w:sz="4" w:space="0"/>
              <w:right w:val="single" w:color="auto" w:sz="4" w:space="0"/>
            </w:tcBorders>
            <w:vAlign w:val="center"/>
          </w:tcPr>
          <w:p>
            <w:pPr>
              <w:pStyle w:val="28"/>
            </w:pPr>
            <w:r>
              <w:rPr>
                <w:rFonts w:hint="eastAsia" w:ascii="宋体" w:hAnsi="宋体" w:cs="宋体"/>
              </w:rPr>
              <w:t>交货时间及地点</w:t>
            </w:r>
          </w:p>
        </w:tc>
        <w:tc>
          <w:tcPr>
            <w:tcW w:w="1587" w:type="pct"/>
            <w:tcBorders>
              <w:top w:val="single" w:color="auto" w:sz="4" w:space="0"/>
              <w:left w:val="single" w:color="auto" w:sz="4" w:space="0"/>
              <w:bottom w:val="single" w:color="auto" w:sz="4" w:space="0"/>
              <w:right w:val="single" w:color="auto" w:sz="4" w:space="0"/>
            </w:tcBorders>
            <w:vAlign w:val="center"/>
          </w:tcPr>
          <w:p>
            <w:pPr>
              <w:pStyle w:val="28"/>
              <w:rPr>
                <w:szCs w:val="21"/>
              </w:rPr>
            </w:pPr>
            <w:r>
              <w:rPr>
                <w:rFonts w:hint="eastAsia"/>
                <w:szCs w:val="21"/>
              </w:rPr>
              <w:t>以最终签订合同为准</w:t>
            </w:r>
          </w:p>
          <w:p>
            <w:pPr>
              <w:pStyle w:val="28"/>
              <w:rPr>
                <w:szCs w:val="21"/>
              </w:rPr>
            </w:pPr>
            <w:r>
              <w:rPr>
                <w:rFonts w:hint="eastAsia"/>
                <w:szCs w:val="21"/>
              </w:rPr>
              <w:t>济南市高新区华奥路</w:t>
            </w:r>
            <w:r>
              <w:rPr>
                <w:szCs w:val="21"/>
              </w:rPr>
              <w:t>777号</w:t>
            </w:r>
          </w:p>
        </w:tc>
        <w:tc>
          <w:tcPr>
            <w:tcW w:w="1593" w:type="pct"/>
            <w:tcBorders>
              <w:top w:val="single" w:color="auto" w:sz="4" w:space="0"/>
              <w:left w:val="single" w:color="auto" w:sz="4" w:space="0"/>
              <w:bottom w:val="single" w:color="auto" w:sz="4" w:space="0"/>
              <w:right w:val="single" w:color="auto" w:sz="4" w:space="0"/>
            </w:tcBorders>
            <w:vAlign w:val="center"/>
          </w:tcPr>
          <w:p>
            <w:pPr>
              <w:pStyle w:val="28"/>
              <w:rPr>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28"/>
              <w:rPr>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1" w:type="pct"/>
            <w:tcBorders>
              <w:top w:val="single" w:color="auto" w:sz="4" w:space="0"/>
              <w:left w:val="single" w:color="auto" w:sz="4" w:space="0"/>
              <w:bottom w:val="single" w:color="auto" w:sz="4" w:space="0"/>
              <w:right w:val="single" w:color="auto" w:sz="4" w:space="0"/>
            </w:tcBorders>
            <w:vAlign w:val="center"/>
          </w:tcPr>
          <w:p>
            <w:pPr>
              <w:pStyle w:val="28"/>
            </w:pPr>
            <w:r>
              <w:rPr>
                <w:rFonts w:hint="eastAsia" w:ascii="宋体" w:hAnsi="宋体" w:cs="宋体"/>
              </w:rPr>
              <w:t>付款条件</w:t>
            </w:r>
          </w:p>
        </w:tc>
        <w:tc>
          <w:tcPr>
            <w:tcW w:w="1587" w:type="pct"/>
            <w:tcBorders>
              <w:top w:val="single" w:color="auto" w:sz="4" w:space="0"/>
              <w:left w:val="single" w:color="auto" w:sz="4" w:space="0"/>
              <w:bottom w:val="single" w:color="auto" w:sz="4" w:space="0"/>
              <w:right w:val="single" w:color="auto" w:sz="4" w:space="0"/>
            </w:tcBorders>
          </w:tcPr>
          <w:p>
            <w:pPr>
              <w:pStyle w:val="28"/>
              <w:jc w:val="left"/>
              <w:rPr>
                <w:szCs w:val="21"/>
              </w:rPr>
            </w:pPr>
            <w:r>
              <w:rPr>
                <w:rFonts w:hint="eastAsia"/>
                <w:szCs w:val="21"/>
              </w:rPr>
              <w:t>半年期商业汇票，买卖双方共同签署各阶段验收报告，并移交、核对各阶段全部供货范围内物品</w:t>
            </w:r>
          </w:p>
        </w:tc>
        <w:tc>
          <w:tcPr>
            <w:tcW w:w="1593" w:type="pct"/>
            <w:tcBorders>
              <w:top w:val="single" w:color="auto" w:sz="4" w:space="0"/>
              <w:left w:val="single" w:color="auto" w:sz="4" w:space="0"/>
              <w:bottom w:val="single" w:color="auto" w:sz="4" w:space="0"/>
              <w:right w:val="single" w:color="auto" w:sz="4" w:space="0"/>
            </w:tcBorders>
          </w:tcPr>
          <w:p>
            <w:pPr>
              <w:pStyle w:val="28"/>
              <w:rPr>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28"/>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1" w:type="pct"/>
            <w:tcBorders>
              <w:top w:val="single" w:color="auto" w:sz="4" w:space="0"/>
              <w:left w:val="single" w:color="auto" w:sz="4" w:space="0"/>
              <w:bottom w:val="single" w:color="auto" w:sz="4" w:space="0"/>
              <w:right w:val="single" w:color="auto" w:sz="4" w:space="0"/>
            </w:tcBorders>
            <w:vAlign w:val="center"/>
          </w:tcPr>
          <w:p>
            <w:pPr>
              <w:pStyle w:val="28"/>
            </w:pPr>
            <w:r>
              <w:rPr>
                <w:rFonts w:hint="eastAsia" w:ascii="宋体" w:hAnsi="宋体" w:cs="宋体"/>
              </w:rPr>
              <w:t>售后技术服务要求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28"/>
              <w:jc w:val="left"/>
              <w:rPr>
                <w:szCs w:val="21"/>
              </w:rPr>
            </w:pPr>
            <w:r>
              <w:rPr>
                <w:rFonts w:hint="eastAsia"/>
                <w:szCs w:val="21"/>
              </w:rPr>
              <w:t>1</w:t>
            </w:r>
            <w:r>
              <w:rPr>
                <w:szCs w:val="21"/>
              </w:rPr>
              <w:t>.</w:t>
            </w:r>
            <w:r>
              <w:rPr>
                <w:rFonts w:hint="eastAsia"/>
                <w:szCs w:val="21"/>
              </w:rPr>
              <w:t>卖方提供的软件涉及的所有售后服务均由卖方负责。如果发生问题并且收到通知，卖方应当在</w:t>
            </w:r>
            <w:r>
              <w:rPr>
                <w:szCs w:val="21"/>
              </w:rPr>
              <w:t>1</w:t>
            </w:r>
            <w:r>
              <w:rPr>
                <w:rFonts w:hint="eastAsia"/>
                <w:szCs w:val="21"/>
              </w:rPr>
              <w:t>小时内响应，</w:t>
            </w:r>
            <w:r>
              <w:rPr>
                <w:szCs w:val="21"/>
              </w:rPr>
              <w:t>2小时内予以答复。</w:t>
            </w:r>
          </w:p>
          <w:p>
            <w:pPr>
              <w:pStyle w:val="28"/>
              <w:jc w:val="left"/>
              <w:rPr>
                <w:szCs w:val="21"/>
              </w:rPr>
            </w:pPr>
            <w:r>
              <w:rPr>
                <w:szCs w:val="21"/>
              </w:rPr>
              <w:t>2、如发现所提供的软件存在问题，</w:t>
            </w:r>
            <w:r>
              <w:rPr>
                <w:rFonts w:hint="eastAsia"/>
                <w:szCs w:val="21"/>
              </w:rPr>
              <w:t>线上无法解决，</w:t>
            </w:r>
            <w:r>
              <w:rPr>
                <w:szCs w:val="21"/>
              </w:rPr>
              <w:t>需要卖方</w:t>
            </w:r>
            <w:r>
              <w:rPr>
                <w:rFonts w:hint="eastAsia"/>
                <w:szCs w:val="21"/>
              </w:rPr>
              <w:t>现场</w:t>
            </w:r>
            <w:r>
              <w:rPr>
                <w:szCs w:val="21"/>
              </w:rPr>
              <w:t>解决时：在质保期之内，应在接到通知后 24小时内派有关人员到达现场；在质保期之外，应在接到通知后  48小时内派有关人员到达现场。</w:t>
            </w:r>
          </w:p>
          <w:p>
            <w:pPr>
              <w:pStyle w:val="28"/>
              <w:jc w:val="left"/>
              <w:rPr>
                <w:szCs w:val="21"/>
              </w:rPr>
            </w:pPr>
            <w:r>
              <w:rPr>
                <w:szCs w:val="21"/>
              </w:rPr>
              <w:t>3、卖方派往买方使用现场的人员，应具有较高的业务素质；现场解决问题时，不得无故拖延或推迟，应为买方提供最佳的服务。</w:t>
            </w:r>
          </w:p>
        </w:tc>
        <w:tc>
          <w:tcPr>
            <w:tcW w:w="1593" w:type="pct"/>
            <w:tcBorders>
              <w:top w:val="single" w:color="auto" w:sz="4" w:space="0"/>
              <w:left w:val="single" w:color="auto" w:sz="4" w:space="0"/>
              <w:bottom w:val="single" w:color="auto" w:sz="4" w:space="0"/>
              <w:right w:val="single" w:color="auto" w:sz="4" w:space="0"/>
            </w:tcBorders>
            <w:vAlign w:val="center"/>
          </w:tcPr>
          <w:p>
            <w:pPr>
              <w:pStyle w:val="28"/>
              <w:rPr>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28"/>
              <w:rPr>
                <w:szCs w:val="21"/>
              </w:rPr>
            </w:pPr>
          </w:p>
          <w:p>
            <w:pPr>
              <w:pStyle w:val="28"/>
              <w:rPr>
                <w:szCs w:val="21"/>
              </w:rPr>
            </w:pPr>
          </w:p>
          <w:p>
            <w:pPr>
              <w:pStyle w:val="28"/>
              <w:rPr>
                <w:szCs w:val="21"/>
              </w:rPr>
            </w:pPr>
          </w:p>
          <w:p>
            <w:pPr>
              <w:pStyle w:val="28"/>
              <w:rPr>
                <w:szCs w:val="21"/>
              </w:rPr>
            </w:pPr>
          </w:p>
          <w:p>
            <w:pPr>
              <w:pStyle w:val="28"/>
              <w:rPr>
                <w:szCs w:val="21"/>
              </w:rPr>
            </w:pPr>
          </w:p>
          <w:p>
            <w:pPr>
              <w:pStyle w:val="28"/>
              <w:rPr>
                <w:szCs w:val="21"/>
              </w:rPr>
            </w:pPr>
          </w:p>
          <w:p>
            <w:pPr>
              <w:pStyle w:val="28"/>
              <w:rPr>
                <w:szCs w:val="21"/>
              </w:rPr>
            </w:pPr>
          </w:p>
          <w:p>
            <w:pPr>
              <w:pStyle w:val="28"/>
              <w:rPr>
                <w:szCs w:val="21"/>
              </w:rPr>
            </w:pPr>
          </w:p>
          <w:p>
            <w:pPr>
              <w:pStyle w:val="28"/>
              <w:rPr>
                <w:szCs w:val="21"/>
              </w:rPr>
            </w:pPr>
          </w:p>
          <w:p>
            <w:pPr>
              <w:pStyle w:val="28"/>
              <w:rPr>
                <w:szCs w:val="21"/>
              </w:rPr>
            </w:pPr>
          </w:p>
          <w:p>
            <w:pPr>
              <w:pStyle w:val="28"/>
              <w:rPr>
                <w:szCs w:val="21"/>
              </w:rPr>
            </w:pPr>
          </w:p>
          <w:p>
            <w:pPr>
              <w:pStyle w:val="28"/>
              <w:rPr>
                <w:szCs w:val="21"/>
              </w:rPr>
            </w:pPr>
          </w:p>
          <w:p>
            <w:pPr>
              <w:pStyle w:val="28"/>
              <w:rPr>
                <w:szCs w:val="21"/>
              </w:rPr>
            </w:pPr>
          </w:p>
          <w:p>
            <w:pPr>
              <w:pStyle w:val="28"/>
              <w:rPr>
                <w:szCs w:val="21"/>
              </w:rPr>
            </w:pPr>
          </w:p>
          <w:p>
            <w:pPr>
              <w:pStyle w:val="28"/>
              <w:rPr>
                <w:szCs w:val="21"/>
              </w:rPr>
            </w:pPr>
          </w:p>
          <w:p>
            <w:pPr>
              <w:pStyle w:val="28"/>
              <w:rPr>
                <w:szCs w:val="21"/>
              </w:rPr>
            </w:pPr>
          </w:p>
          <w:p>
            <w:pPr>
              <w:pStyle w:val="28"/>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1" w:type="pct"/>
            <w:tcBorders>
              <w:top w:val="single" w:color="auto" w:sz="4" w:space="0"/>
              <w:left w:val="single" w:color="auto" w:sz="4" w:space="0"/>
              <w:bottom w:val="single" w:color="auto" w:sz="4" w:space="0"/>
              <w:right w:val="single" w:color="auto" w:sz="4" w:space="0"/>
            </w:tcBorders>
            <w:vAlign w:val="center"/>
          </w:tcPr>
          <w:p>
            <w:pPr>
              <w:pStyle w:val="28"/>
            </w:pPr>
            <w:r>
              <w:rPr>
                <w:rFonts w:hint="eastAsia" w:ascii="宋体" w:hAnsi="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pPr>
              <w:pStyle w:val="28"/>
              <w:jc w:val="left"/>
            </w:pPr>
            <w:r>
              <w:rPr>
                <w:rFonts w:hint="eastAsia" w:ascii="宋体" w:hAnsi="宋体" w:cs="宋体"/>
              </w:rPr>
              <w:t>按标书和合同要求提供相应备品备件及耗材</w:t>
            </w:r>
          </w:p>
        </w:tc>
        <w:tc>
          <w:tcPr>
            <w:tcW w:w="1593" w:type="pct"/>
            <w:tcBorders>
              <w:top w:val="single" w:color="auto" w:sz="4" w:space="0"/>
              <w:left w:val="single" w:color="auto" w:sz="4" w:space="0"/>
              <w:bottom w:val="single" w:color="auto" w:sz="4" w:space="0"/>
              <w:right w:val="single" w:color="auto" w:sz="4" w:space="0"/>
            </w:tcBorders>
            <w:vAlign w:val="center"/>
          </w:tcPr>
          <w:p>
            <w:pPr>
              <w:pStyle w:val="28"/>
            </w:pPr>
          </w:p>
        </w:tc>
        <w:tc>
          <w:tcPr>
            <w:tcW w:w="908" w:type="pct"/>
            <w:tcBorders>
              <w:top w:val="single" w:color="auto" w:sz="4" w:space="0"/>
              <w:left w:val="single" w:color="auto" w:sz="4" w:space="0"/>
              <w:bottom w:val="single" w:color="auto" w:sz="4" w:space="0"/>
              <w:right w:val="single" w:color="auto" w:sz="4" w:space="0"/>
            </w:tcBorders>
            <w:vAlign w:val="center"/>
          </w:tcPr>
          <w:p>
            <w:pPr>
              <w:pStyle w:val="28"/>
            </w:pPr>
          </w:p>
        </w:tc>
      </w:tr>
    </w:tbl>
    <w:p>
      <w:pPr>
        <w:pStyle w:val="25"/>
        <w:ind w:firstLine="480"/>
      </w:pPr>
      <w:r>
        <w:rPr>
          <w:rFonts w:hint="eastAsia"/>
        </w:rPr>
        <w:t>投标人名称：                   授权代表签字：            日期：</w:t>
      </w:r>
    </w:p>
    <w:p>
      <w:pPr>
        <w:pStyle w:val="25"/>
        <w:ind w:firstLine="480"/>
      </w:pPr>
      <w:r>
        <w:rPr>
          <w:rFonts w:hint="eastAsia"/>
        </w:rPr>
        <w:t>注：为避免歧义，无偏离也应要提报该表，并注明“无”字。如无该表则即使在其它部分已反映，将也被视为“无偏离”。</w:t>
      </w:r>
    </w:p>
    <w:p>
      <w:pPr>
        <w:pStyle w:val="25"/>
        <w:ind w:firstLine="480"/>
      </w:pPr>
    </w:p>
    <w:p>
      <w:pPr>
        <w:pStyle w:val="25"/>
        <w:ind w:firstLine="480"/>
      </w:pPr>
    </w:p>
    <w:p>
      <w:pPr>
        <w:pStyle w:val="25"/>
        <w:ind w:firstLine="480"/>
      </w:pPr>
    </w:p>
    <w:p>
      <w:pPr>
        <w:pStyle w:val="25"/>
        <w:ind w:firstLine="480"/>
      </w:pPr>
    </w:p>
    <w:p>
      <w:pPr>
        <w:pStyle w:val="25"/>
        <w:ind w:firstLine="480"/>
      </w:pPr>
    </w:p>
    <w:p>
      <w:pPr>
        <w:pStyle w:val="32"/>
      </w:pPr>
      <w:r>
        <w:rPr>
          <w:rFonts w:hint="eastAsia"/>
        </w:rPr>
        <w:t>附件</w:t>
      </w:r>
      <w:bookmarkStart w:id="11" w:name="_Toc92678174"/>
      <w:bookmarkStart w:id="12" w:name="_Toc353881023"/>
      <w:bookmarkStart w:id="13" w:name="_Toc212369556"/>
      <w:bookmarkStart w:id="14" w:name="_Toc639014"/>
      <w:bookmarkStart w:id="15" w:name="_Toc15535"/>
      <w:r>
        <w:t xml:space="preserve">8 </w:t>
      </w:r>
      <w:r>
        <w:rPr>
          <w:rFonts w:hint="eastAsia"/>
        </w:rPr>
        <w:t>投标文件封面及封口</w:t>
      </w:r>
      <w:bookmarkEnd w:id="11"/>
      <w:r>
        <w:rPr>
          <w:rFonts w:hint="eastAsia"/>
        </w:rPr>
        <w:t>格式</w:t>
      </w:r>
      <w:bookmarkEnd w:id="12"/>
      <w:bookmarkEnd w:id="13"/>
      <w:bookmarkEnd w:id="14"/>
      <w:bookmarkEnd w:id="15"/>
    </w:p>
    <w:p>
      <w:pPr>
        <w:pStyle w:val="25"/>
        <w:ind w:firstLine="480"/>
      </w:pPr>
      <w:r>
        <w:rPr>
          <w:rFonts w:hint="eastAsia"/>
        </w:rPr>
        <w:t>封面格式：</w:t>
      </w:r>
    </w:p>
    <w:tbl>
      <w:tblPr>
        <w:tblStyle w:val="16"/>
        <w:tblW w:w="91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184" w:type="dxa"/>
          </w:tcPr>
          <w:p>
            <w:pPr>
              <w:pStyle w:val="28"/>
            </w:pPr>
          </w:p>
          <w:p>
            <w:pPr>
              <w:pStyle w:val="28"/>
              <w:rPr>
                <w:rFonts w:ascii="宋体" w:hAnsi="宋体" w:cs="宋体"/>
                <w:sz w:val="30"/>
                <w:szCs w:val="30"/>
              </w:rPr>
            </w:pPr>
            <w:r>
              <w:rPr>
                <w:rFonts w:hint="eastAsia" w:ascii="宋体" w:hAnsi="宋体" w:cs="宋体"/>
                <w:sz w:val="30"/>
                <w:szCs w:val="30"/>
              </w:rPr>
              <w:t>技术/资质/商务文件</w:t>
            </w:r>
          </w:p>
          <w:p>
            <w:pPr>
              <w:pStyle w:val="28"/>
              <w:jc w:val="both"/>
              <w:rPr>
                <w:rFonts w:eastAsia="等线"/>
                <w:sz w:val="30"/>
                <w:szCs w:val="30"/>
              </w:rPr>
            </w:pPr>
          </w:p>
          <w:p>
            <w:pPr>
              <w:pStyle w:val="28"/>
              <w:rPr>
                <w:sz w:val="30"/>
                <w:szCs w:val="30"/>
              </w:rPr>
            </w:pPr>
            <w:r>
              <w:rPr>
                <w:rFonts w:hint="eastAsia" w:ascii="宋体" w:hAnsi="宋体" w:cs="宋体"/>
                <w:sz w:val="30"/>
                <w:szCs w:val="30"/>
              </w:rPr>
              <w:t>（</w:t>
            </w:r>
            <w:r>
              <w:rPr>
                <w:rFonts w:hint="eastAsia" w:ascii="等线" w:hAnsi="等线" w:eastAsia="等线"/>
                <w:sz w:val="30"/>
                <w:szCs w:val="30"/>
              </w:rPr>
              <w:t>1</w:t>
            </w:r>
            <w:r>
              <w:rPr>
                <w:rFonts w:hint="eastAsia" w:ascii="宋体" w:hAnsi="宋体" w:cs="宋体"/>
                <w:sz w:val="30"/>
                <w:szCs w:val="30"/>
              </w:rPr>
              <w:t>正本</w:t>
            </w:r>
            <w:r>
              <w:rPr>
                <w:rFonts w:hint="eastAsia"/>
                <w:sz w:val="30"/>
                <w:szCs w:val="30"/>
              </w:rPr>
              <w:t>/</w:t>
            </w:r>
            <w:r>
              <w:rPr>
                <w:rFonts w:ascii="等线" w:hAnsi="等线" w:eastAsia="等线"/>
                <w:sz w:val="30"/>
                <w:szCs w:val="30"/>
                <w:u w:val="single"/>
              </w:rPr>
              <w:t>5</w:t>
            </w:r>
            <w:r>
              <w:rPr>
                <w:rFonts w:hint="eastAsia" w:ascii="宋体" w:hAnsi="宋体" w:cs="宋体"/>
                <w:sz w:val="30"/>
                <w:szCs w:val="30"/>
              </w:rPr>
              <w:t>副本）</w:t>
            </w:r>
          </w:p>
          <w:p>
            <w:pPr>
              <w:pStyle w:val="28"/>
            </w:pPr>
          </w:p>
          <w:p>
            <w:pPr>
              <w:pStyle w:val="28"/>
            </w:pPr>
          </w:p>
          <w:p>
            <w:pPr>
              <w:pStyle w:val="28"/>
            </w:pPr>
            <w:r>
              <w:rPr>
                <w:rFonts w:hint="eastAsia" w:ascii="宋体" w:hAnsi="宋体" w:cs="宋体"/>
              </w:rPr>
              <w:t>项目名称：</w:t>
            </w:r>
            <w:r>
              <w:t xml:space="preserve"> </w:t>
            </w:r>
          </w:p>
          <w:p>
            <w:pPr>
              <w:pStyle w:val="28"/>
            </w:pPr>
            <w:r>
              <w:rPr>
                <w:rFonts w:hint="eastAsia" w:ascii="宋体" w:hAnsi="宋体" w:cs="宋体"/>
              </w:rPr>
              <w:t>投标人名称（公章）：</w:t>
            </w:r>
          </w:p>
          <w:p>
            <w:pPr>
              <w:pStyle w:val="28"/>
            </w:pPr>
            <w:r>
              <w:rPr>
                <w:rFonts w:hint="eastAsia" w:ascii="宋体" w:hAnsi="宋体" w:cs="宋体"/>
              </w:rPr>
              <w:t>地址：</w:t>
            </w:r>
          </w:p>
          <w:p>
            <w:pPr>
              <w:pStyle w:val="28"/>
            </w:pPr>
            <w:r>
              <w:rPr>
                <w:rFonts w:hint="eastAsia" w:ascii="宋体" w:hAnsi="宋体" w:cs="宋体"/>
              </w:rPr>
              <w:t>授权代表电话：</w:t>
            </w:r>
          </w:p>
          <w:p>
            <w:pPr>
              <w:pStyle w:val="28"/>
            </w:pPr>
            <w:r>
              <w:rPr>
                <w:rFonts w:hint="eastAsia" w:ascii="宋体" w:hAnsi="宋体" w:cs="宋体"/>
              </w:rPr>
              <w:t>传真：</w:t>
            </w:r>
          </w:p>
          <w:p>
            <w:pPr>
              <w:pStyle w:val="28"/>
            </w:pPr>
          </w:p>
          <w:p>
            <w:pPr>
              <w:pStyle w:val="28"/>
            </w:pPr>
          </w:p>
        </w:tc>
      </w:tr>
    </w:tbl>
    <w:p>
      <w:pPr>
        <w:pStyle w:val="25"/>
        <w:ind w:firstLine="480"/>
      </w:pPr>
      <w:r>
        <w:rPr>
          <w:rFonts w:hint="eastAsia"/>
        </w:rPr>
        <w:t>投标人：（盖章）</w:t>
      </w:r>
    </w:p>
    <w:p>
      <w:pPr>
        <w:pStyle w:val="25"/>
        <w:ind w:firstLine="480"/>
      </w:pPr>
      <w:r>
        <w:rPr>
          <w:rFonts w:hint="eastAsia"/>
        </w:rPr>
        <w:t>法定代表人（委托代理人）：（签字）</w:t>
      </w:r>
    </w:p>
    <w:p>
      <w:pPr>
        <w:pStyle w:val="25"/>
        <w:ind w:firstLine="480"/>
      </w:pPr>
      <w:r>
        <w:rPr>
          <w:rFonts w:hint="eastAsia"/>
        </w:rPr>
        <w:t>日  期：       年    月    日</w:t>
      </w:r>
    </w:p>
    <w:p>
      <w:pPr>
        <w:pStyle w:val="25"/>
        <w:ind w:firstLine="480"/>
      </w:pPr>
      <w:r>
        <w:br w:type="page"/>
      </w:r>
    </w:p>
    <w:p>
      <w:pPr>
        <w:pStyle w:val="32"/>
      </w:pPr>
      <w:r>
        <w:rPr>
          <w:rFonts w:hint="eastAsia"/>
        </w:rPr>
        <w:t>附件9</w:t>
      </w:r>
      <w:r>
        <w:t xml:space="preserve"> </w:t>
      </w:r>
      <w:r>
        <w:rPr>
          <w:rFonts w:hint="eastAsia"/>
        </w:rPr>
        <w:t>设备质量承诺函</w:t>
      </w:r>
    </w:p>
    <w:p>
      <w:pPr>
        <w:spacing w:line="240" w:lineRule="exact"/>
        <w:rPr>
          <w:rFonts w:ascii="宋体" w:hAnsi="宋体"/>
        </w:rPr>
      </w:pPr>
      <w:r>
        <w:rPr>
          <w:rFonts w:hint="eastAsia" w:ascii="宋体" w:hAnsi="宋体"/>
        </w:rPr>
        <w:t xml:space="preserve">                                               </w:t>
      </w:r>
    </w:p>
    <w:p>
      <w:pPr>
        <w:spacing w:line="360" w:lineRule="auto"/>
        <w:rPr>
          <w:rFonts w:ascii="宋体" w:hAnsi="宋体"/>
          <w:sz w:val="24"/>
          <w:u w:val="single"/>
        </w:rPr>
      </w:pPr>
      <w:r>
        <w:rPr>
          <w:rFonts w:hint="eastAsia" w:ascii="宋体" w:hAnsi="宋体"/>
          <w:sz w:val="24"/>
        </w:rPr>
        <w:t xml:space="preserve">项目名称: </w:t>
      </w:r>
      <w:r>
        <w:rPr>
          <w:rFonts w:hint="eastAsia" w:ascii="宋体" w:hAnsi="宋体"/>
          <w:sz w:val="24"/>
          <w:u w:val="single"/>
        </w:rPr>
        <w:t xml:space="preserve">                          </w:t>
      </w:r>
    </w:p>
    <w:p>
      <w:pPr>
        <w:spacing w:line="360" w:lineRule="auto"/>
        <w:rPr>
          <w:rFonts w:ascii="宋体" w:hAnsi="宋体"/>
          <w:b/>
          <w:bCs/>
          <w:sz w:val="24"/>
        </w:rPr>
      </w:pPr>
      <w:r>
        <w:rPr>
          <w:rFonts w:hint="eastAsia" w:ascii="宋体" w:hAnsi="宋体"/>
          <w:b/>
          <w:bCs/>
          <w:sz w:val="24"/>
        </w:rPr>
        <w:t>中国重汽集团济南动力有限公司：</w:t>
      </w:r>
    </w:p>
    <w:p>
      <w:pPr>
        <w:spacing w:line="360" w:lineRule="auto"/>
        <w:ind w:firstLine="480" w:firstLineChars="200"/>
        <w:rPr>
          <w:rFonts w:ascii="宋体" w:hAnsi="宋体"/>
          <w:sz w:val="24"/>
        </w:rPr>
      </w:pPr>
      <w:r>
        <w:rPr>
          <w:rFonts w:hint="eastAsia" w:ascii="宋体" w:hAnsi="宋体"/>
          <w:sz w:val="24"/>
        </w:rPr>
        <w:t>我代表(投标单位名称)为保证中标产品的质量特作如下承诺：</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firstLine="480" w:firstLineChars="200"/>
        <w:rPr>
          <w:rFonts w:ascii="宋体" w:hAnsi="宋体"/>
          <w:sz w:val="24"/>
          <w:u w:val="single"/>
        </w:rPr>
      </w:pPr>
      <w:r>
        <w:rPr>
          <w:rFonts w:hint="eastAsia" w:ascii="宋体" w:hAnsi="宋体"/>
          <w:sz w:val="24"/>
          <w:u w:val="single"/>
        </w:rPr>
        <w:t xml:space="preserve">                                                                       </w:t>
      </w:r>
    </w:p>
    <w:p>
      <w:pPr>
        <w:spacing w:line="360" w:lineRule="auto"/>
        <w:ind w:left="480"/>
        <w:rPr>
          <w:rFonts w:ascii="宋体" w:hAnsi="宋体"/>
          <w:sz w:val="24"/>
        </w:rPr>
      </w:pPr>
      <w:r>
        <w:rPr>
          <w:rFonts w:hint="eastAsia" w:ascii="宋体" w:hAnsi="宋体"/>
          <w:sz w:val="24"/>
        </w:rPr>
        <w:t xml:space="preserve">                           </w:t>
      </w:r>
    </w:p>
    <w:p>
      <w:pPr>
        <w:spacing w:line="660" w:lineRule="exact"/>
        <w:rPr>
          <w:rFonts w:ascii="宋体" w:hAnsi="宋体"/>
          <w:sz w:val="24"/>
        </w:rPr>
      </w:pPr>
      <w:r>
        <w:rPr>
          <w:rFonts w:hint="eastAsia" w:ascii="宋体" w:hAnsi="宋体"/>
          <w:sz w:val="24"/>
        </w:rPr>
        <w:t>投标人：（盖章）</w:t>
      </w:r>
    </w:p>
    <w:p>
      <w:pPr>
        <w:spacing w:line="660" w:lineRule="exact"/>
        <w:rPr>
          <w:rFonts w:ascii="宋体" w:hAnsi="宋体"/>
          <w:sz w:val="24"/>
        </w:rPr>
      </w:pPr>
      <w:r>
        <w:rPr>
          <w:rFonts w:hint="eastAsia" w:ascii="宋体" w:hAnsi="宋体"/>
          <w:sz w:val="24"/>
        </w:rPr>
        <w:t>法定代表人（委托代理人）：（签字）</w:t>
      </w:r>
    </w:p>
    <w:p>
      <w:pPr>
        <w:spacing w:line="660" w:lineRule="exact"/>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32"/>
      </w:pPr>
      <w:r>
        <w:rPr>
          <w:rFonts w:hint="eastAsia"/>
        </w:rPr>
        <w:t>附件10</w:t>
      </w:r>
      <w:r>
        <w:t xml:space="preserve"> </w:t>
      </w:r>
      <w:r>
        <w:rPr>
          <w:rFonts w:hint="eastAsia"/>
        </w:rPr>
        <w:t>备品备件、易损件和专用耗材明细表</w:t>
      </w:r>
    </w:p>
    <w:p>
      <w:pPr>
        <w:jc w:val="right"/>
      </w:pPr>
      <w:r>
        <w:rPr>
          <w:rFonts w:hint="eastAsia" w:ascii="宋体" w:hAnsi="宋体"/>
          <w:bCs/>
          <w:sz w:val="24"/>
        </w:rPr>
        <w:t>单位：元</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28"/>
            </w:pPr>
            <w:r>
              <w:rPr>
                <w:rFonts w:hint="eastAsia"/>
              </w:rPr>
              <w:t>序号</w:t>
            </w:r>
          </w:p>
        </w:tc>
        <w:tc>
          <w:tcPr>
            <w:tcW w:w="1924" w:type="dxa"/>
          </w:tcPr>
          <w:p>
            <w:pPr>
              <w:pStyle w:val="28"/>
            </w:pPr>
            <w:r>
              <w:rPr>
                <w:rFonts w:hint="eastAsia"/>
              </w:rPr>
              <w:t>名称</w:t>
            </w:r>
          </w:p>
        </w:tc>
        <w:tc>
          <w:tcPr>
            <w:tcW w:w="1236" w:type="dxa"/>
          </w:tcPr>
          <w:p>
            <w:pPr>
              <w:pStyle w:val="28"/>
            </w:pPr>
            <w:r>
              <w:rPr>
                <w:rFonts w:hint="eastAsia"/>
              </w:rPr>
              <w:t>型号规格</w:t>
            </w:r>
          </w:p>
        </w:tc>
        <w:tc>
          <w:tcPr>
            <w:tcW w:w="720" w:type="dxa"/>
          </w:tcPr>
          <w:p>
            <w:pPr>
              <w:pStyle w:val="28"/>
            </w:pPr>
            <w:r>
              <w:rPr>
                <w:rFonts w:hint="eastAsia"/>
              </w:rPr>
              <w:t>单位</w:t>
            </w:r>
          </w:p>
        </w:tc>
        <w:tc>
          <w:tcPr>
            <w:tcW w:w="720" w:type="dxa"/>
          </w:tcPr>
          <w:p>
            <w:pPr>
              <w:pStyle w:val="28"/>
            </w:pPr>
            <w:r>
              <w:rPr>
                <w:rFonts w:hint="eastAsia"/>
              </w:rPr>
              <w:t>数量</w:t>
            </w:r>
          </w:p>
        </w:tc>
        <w:tc>
          <w:tcPr>
            <w:tcW w:w="720" w:type="dxa"/>
          </w:tcPr>
          <w:p>
            <w:pPr>
              <w:pStyle w:val="28"/>
            </w:pPr>
            <w:r>
              <w:rPr>
                <w:rFonts w:hint="eastAsia"/>
              </w:rPr>
              <w:t>单价</w:t>
            </w:r>
          </w:p>
        </w:tc>
        <w:tc>
          <w:tcPr>
            <w:tcW w:w="720" w:type="dxa"/>
          </w:tcPr>
          <w:p>
            <w:pPr>
              <w:pStyle w:val="28"/>
            </w:pPr>
            <w:r>
              <w:rPr>
                <w:rFonts w:hint="eastAsia"/>
              </w:rPr>
              <w:t>总价</w:t>
            </w:r>
          </w:p>
        </w:tc>
        <w:tc>
          <w:tcPr>
            <w:tcW w:w="2235" w:type="dxa"/>
          </w:tcPr>
          <w:p>
            <w:pPr>
              <w:pStyle w:val="28"/>
            </w:pPr>
            <w:r>
              <w:rPr>
                <w:rFonts w:hint="eastAsia"/>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28"/>
            </w:pPr>
          </w:p>
        </w:tc>
        <w:tc>
          <w:tcPr>
            <w:tcW w:w="1924" w:type="dxa"/>
          </w:tcPr>
          <w:p>
            <w:pPr>
              <w:pStyle w:val="28"/>
            </w:pPr>
          </w:p>
        </w:tc>
        <w:tc>
          <w:tcPr>
            <w:tcW w:w="1236" w:type="dxa"/>
          </w:tcPr>
          <w:p>
            <w:pPr>
              <w:pStyle w:val="28"/>
            </w:pPr>
          </w:p>
        </w:tc>
        <w:tc>
          <w:tcPr>
            <w:tcW w:w="720" w:type="dxa"/>
          </w:tcPr>
          <w:p>
            <w:pPr>
              <w:pStyle w:val="28"/>
            </w:pPr>
          </w:p>
        </w:tc>
        <w:tc>
          <w:tcPr>
            <w:tcW w:w="720" w:type="dxa"/>
          </w:tcPr>
          <w:p>
            <w:pPr>
              <w:pStyle w:val="28"/>
            </w:pPr>
          </w:p>
        </w:tc>
        <w:tc>
          <w:tcPr>
            <w:tcW w:w="720" w:type="dxa"/>
          </w:tcPr>
          <w:p>
            <w:pPr>
              <w:pStyle w:val="28"/>
            </w:pPr>
          </w:p>
        </w:tc>
        <w:tc>
          <w:tcPr>
            <w:tcW w:w="720" w:type="dxa"/>
          </w:tcPr>
          <w:p>
            <w:pPr>
              <w:pStyle w:val="28"/>
            </w:pPr>
          </w:p>
        </w:tc>
        <w:tc>
          <w:tcPr>
            <w:tcW w:w="2235" w:type="dxa"/>
          </w:tcPr>
          <w:p>
            <w:pPr>
              <w:pStyle w:val="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28"/>
            </w:pPr>
          </w:p>
        </w:tc>
        <w:tc>
          <w:tcPr>
            <w:tcW w:w="1924" w:type="dxa"/>
          </w:tcPr>
          <w:p>
            <w:pPr>
              <w:pStyle w:val="28"/>
            </w:pPr>
          </w:p>
        </w:tc>
        <w:tc>
          <w:tcPr>
            <w:tcW w:w="1236" w:type="dxa"/>
          </w:tcPr>
          <w:p>
            <w:pPr>
              <w:pStyle w:val="28"/>
            </w:pPr>
          </w:p>
        </w:tc>
        <w:tc>
          <w:tcPr>
            <w:tcW w:w="720" w:type="dxa"/>
          </w:tcPr>
          <w:p>
            <w:pPr>
              <w:pStyle w:val="28"/>
            </w:pPr>
          </w:p>
        </w:tc>
        <w:tc>
          <w:tcPr>
            <w:tcW w:w="720" w:type="dxa"/>
          </w:tcPr>
          <w:p>
            <w:pPr>
              <w:pStyle w:val="28"/>
            </w:pPr>
          </w:p>
        </w:tc>
        <w:tc>
          <w:tcPr>
            <w:tcW w:w="720" w:type="dxa"/>
          </w:tcPr>
          <w:p>
            <w:pPr>
              <w:pStyle w:val="28"/>
            </w:pPr>
          </w:p>
        </w:tc>
        <w:tc>
          <w:tcPr>
            <w:tcW w:w="720" w:type="dxa"/>
          </w:tcPr>
          <w:p>
            <w:pPr>
              <w:pStyle w:val="28"/>
            </w:pPr>
          </w:p>
        </w:tc>
        <w:tc>
          <w:tcPr>
            <w:tcW w:w="2235" w:type="dxa"/>
          </w:tcPr>
          <w:p>
            <w:pPr>
              <w:pStyle w:val="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28"/>
            </w:pPr>
          </w:p>
        </w:tc>
        <w:tc>
          <w:tcPr>
            <w:tcW w:w="1924" w:type="dxa"/>
          </w:tcPr>
          <w:p>
            <w:pPr>
              <w:pStyle w:val="28"/>
            </w:pPr>
          </w:p>
        </w:tc>
        <w:tc>
          <w:tcPr>
            <w:tcW w:w="1236" w:type="dxa"/>
          </w:tcPr>
          <w:p>
            <w:pPr>
              <w:pStyle w:val="28"/>
            </w:pPr>
          </w:p>
        </w:tc>
        <w:tc>
          <w:tcPr>
            <w:tcW w:w="720" w:type="dxa"/>
          </w:tcPr>
          <w:p>
            <w:pPr>
              <w:pStyle w:val="28"/>
            </w:pPr>
          </w:p>
        </w:tc>
        <w:tc>
          <w:tcPr>
            <w:tcW w:w="720" w:type="dxa"/>
          </w:tcPr>
          <w:p>
            <w:pPr>
              <w:pStyle w:val="28"/>
            </w:pPr>
          </w:p>
        </w:tc>
        <w:tc>
          <w:tcPr>
            <w:tcW w:w="720" w:type="dxa"/>
          </w:tcPr>
          <w:p>
            <w:pPr>
              <w:pStyle w:val="28"/>
            </w:pPr>
          </w:p>
        </w:tc>
        <w:tc>
          <w:tcPr>
            <w:tcW w:w="720" w:type="dxa"/>
          </w:tcPr>
          <w:p>
            <w:pPr>
              <w:pStyle w:val="28"/>
            </w:pPr>
          </w:p>
        </w:tc>
        <w:tc>
          <w:tcPr>
            <w:tcW w:w="2235" w:type="dxa"/>
          </w:tcPr>
          <w:p>
            <w:pPr>
              <w:pStyle w:val="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28"/>
            </w:pPr>
          </w:p>
        </w:tc>
        <w:tc>
          <w:tcPr>
            <w:tcW w:w="1924" w:type="dxa"/>
          </w:tcPr>
          <w:p>
            <w:pPr>
              <w:pStyle w:val="28"/>
            </w:pPr>
          </w:p>
        </w:tc>
        <w:tc>
          <w:tcPr>
            <w:tcW w:w="1236" w:type="dxa"/>
          </w:tcPr>
          <w:p>
            <w:pPr>
              <w:pStyle w:val="28"/>
            </w:pPr>
          </w:p>
        </w:tc>
        <w:tc>
          <w:tcPr>
            <w:tcW w:w="720" w:type="dxa"/>
          </w:tcPr>
          <w:p>
            <w:pPr>
              <w:pStyle w:val="28"/>
            </w:pPr>
          </w:p>
        </w:tc>
        <w:tc>
          <w:tcPr>
            <w:tcW w:w="720" w:type="dxa"/>
          </w:tcPr>
          <w:p>
            <w:pPr>
              <w:pStyle w:val="28"/>
            </w:pPr>
          </w:p>
        </w:tc>
        <w:tc>
          <w:tcPr>
            <w:tcW w:w="720" w:type="dxa"/>
          </w:tcPr>
          <w:p>
            <w:pPr>
              <w:pStyle w:val="28"/>
            </w:pPr>
          </w:p>
        </w:tc>
        <w:tc>
          <w:tcPr>
            <w:tcW w:w="720" w:type="dxa"/>
          </w:tcPr>
          <w:p>
            <w:pPr>
              <w:pStyle w:val="28"/>
            </w:pPr>
          </w:p>
        </w:tc>
        <w:tc>
          <w:tcPr>
            <w:tcW w:w="2235" w:type="dxa"/>
          </w:tcPr>
          <w:p>
            <w:pPr>
              <w:pStyle w:val="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28"/>
            </w:pPr>
          </w:p>
        </w:tc>
        <w:tc>
          <w:tcPr>
            <w:tcW w:w="1924" w:type="dxa"/>
          </w:tcPr>
          <w:p>
            <w:pPr>
              <w:pStyle w:val="28"/>
            </w:pPr>
          </w:p>
        </w:tc>
        <w:tc>
          <w:tcPr>
            <w:tcW w:w="1236" w:type="dxa"/>
          </w:tcPr>
          <w:p>
            <w:pPr>
              <w:pStyle w:val="28"/>
            </w:pPr>
          </w:p>
        </w:tc>
        <w:tc>
          <w:tcPr>
            <w:tcW w:w="720" w:type="dxa"/>
          </w:tcPr>
          <w:p>
            <w:pPr>
              <w:pStyle w:val="28"/>
            </w:pPr>
          </w:p>
        </w:tc>
        <w:tc>
          <w:tcPr>
            <w:tcW w:w="720" w:type="dxa"/>
          </w:tcPr>
          <w:p>
            <w:pPr>
              <w:pStyle w:val="28"/>
            </w:pPr>
          </w:p>
        </w:tc>
        <w:tc>
          <w:tcPr>
            <w:tcW w:w="720" w:type="dxa"/>
          </w:tcPr>
          <w:p>
            <w:pPr>
              <w:pStyle w:val="28"/>
            </w:pPr>
          </w:p>
        </w:tc>
        <w:tc>
          <w:tcPr>
            <w:tcW w:w="720" w:type="dxa"/>
          </w:tcPr>
          <w:p>
            <w:pPr>
              <w:pStyle w:val="28"/>
            </w:pPr>
          </w:p>
        </w:tc>
        <w:tc>
          <w:tcPr>
            <w:tcW w:w="2235" w:type="dxa"/>
          </w:tcPr>
          <w:p>
            <w:pPr>
              <w:pStyle w:val="28"/>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28"/>
            </w:pPr>
          </w:p>
        </w:tc>
        <w:tc>
          <w:tcPr>
            <w:tcW w:w="1924" w:type="dxa"/>
          </w:tcPr>
          <w:p>
            <w:pPr>
              <w:pStyle w:val="28"/>
            </w:pPr>
          </w:p>
        </w:tc>
        <w:tc>
          <w:tcPr>
            <w:tcW w:w="1236" w:type="dxa"/>
          </w:tcPr>
          <w:p>
            <w:pPr>
              <w:pStyle w:val="28"/>
            </w:pPr>
          </w:p>
        </w:tc>
        <w:tc>
          <w:tcPr>
            <w:tcW w:w="720" w:type="dxa"/>
          </w:tcPr>
          <w:p>
            <w:pPr>
              <w:pStyle w:val="28"/>
            </w:pPr>
          </w:p>
        </w:tc>
        <w:tc>
          <w:tcPr>
            <w:tcW w:w="720" w:type="dxa"/>
          </w:tcPr>
          <w:p>
            <w:pPr>
              <w:pStyle w:val="28"/>
            </w:pPr>
          </w:p>
        </w:tc>
        <w:tc>
          <w:tcPr>
            <w:tcW w:w="720" w:type="dxa"/>
          </w:tcPr>
          <w:p>
            <w:pPr>
              <w:pStyle w:val="28"/>
            </w:pPr>
          </w:p>
        </w:tc>
        <w:tc>
          <w:tcPr>
            <w:tcW w:w="720" w:type="dxa"/>
          </w:tcPr>
          <w:p>
            <w:pPr>
              <w:pStyle w:val="28"/>
            </w:pPr>
          </w:p>
        </w:tc>
        <w:tc>
          <w:tcPr>
            <w:tcW w:w="2235" w:type="dxa"/>
          </w:tcPr>
          <w:p>
            <w:pPr>
              <w:pStyle w:val="28"/>
            </w:pPr>
          </w:p>
        </w:tc>
      </w:tr>
    </w:tbl>
    <w:p>
      <w:pPr>
        <w:spacing w:line="360" w:lineRule="auto"/>
        <w:ind w:left="990"/>
        <w:rPr>
          <w:rFonts w:ascii="宋体" w:hAnsi="宋体"/>
          <w:color w:val="000000" w:themeColor="text1"/>
          <w:sz w:val="24"/>
          <w:szCs w:val="24"/>
          <w14:textFill>
            <w14:solidFill>
              <w14:schemeClr w14:val="tx1"/>
            </w14:solidFill>
          </w14:textFill>
        </w:rPr>
      </w:pPr>
    </w:p>
    <w:p>
      <w:pPr>
        <w:widowControl/>
        <w:jc w:val="left"/>
        <w:rPr>
          <w:rFonts w:ascii="黑体" w:hAnsi="黑体" w:eastAsia="宋体"/>
          <w:color w:val="000000"/>
          <w:sz w:val="24"/>
          <w:szCs w:val="28"/>
        </w:rPr>
      </w:pPr>
      <w:r>
        <w:rPr>
          <w:rFonts w:ascii="黑体" w:hAnsi="黑体"/>
          <w:szCs w:val="28"/>
        </w:rPr>
        <w:br w:type="page"/>
      </w:r>
    </w:p>
    <w:p>
      <w:pPr>
        <w:pStyle w:val="32"/>
        <w:sectPr>
          <w:footerReference r:id="rId6" w:type="first"/>
          <w:footerReference r:id="rId5" w:type="default"/>
          <w:pgSz w:w="11906" w:h="16838"/>
          <w:pgMar w:top="1588" w:right="1418" w:bottom="1134" w:left="1418" w:header="851" w:footer="992" w:gutter="0"/>
          <w:cols w:space="720" w:num="1"/>
          <w:titlePg/>
          <w:docGrid w:type="lines" w:linePitch="312" w:charSpace="0"/>
        </w:sectPr>
      </w:pPr>
    </w:p>
    <w:p>
      <w:pPr>
        <w:pStyle w:val="32"/>
        <w:outlineLvl w:val="3"/>
      </w:pPr>
      <w:r>
        <w:rPr>
          <w:rFonts w:hint="eastAsia"/>
        </w:rPr>
        <w:t>附件11</w:t>
      </w:r>
      <w:r>
        <w:t xml:space="preserve"> </w:t>
      </w:r>
      <w:r>
        <w:rPr>
          <w:rFonts w:hint="eastAsia"/>
        </w:rPr>
        <w:t>近三年同类项目业绩一览表</w:t>
      </w:r>
    </w:p>
    <w:p>
      <w:pPr>
        <w:pStyle w:val="25"/>
        <w:ind w:firstLine="480"/>
      </w:pPr>
      <w:r>
        <w:rPr>
          <w:rFonts w:hint="eastAsia"/>
        </w:rPr>
        <w:t>项目名称：</w:t>
      </w:r>
      <w:r>
        <w:rPr>
          <w:rFonts w:hint="eastAsia" w:asciiTheme="minorEastAsia" w:hAnsiTheme="minorEastAsia"/>
        </w:rPr>
        <w:t>工规级自动驾驶控制器通信中间件技术开发项目</w:t>
      </w:r>
      <w:r>
        <w:rPr>
          <w:rFonts w:hint="eastAsia"/>
        </w:rPr>
        <w:t xml:space="preserve">                                                             </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2133"/>
        <w:gridCol w:w="1389"/>
        <w:gridCol w:w="847"/>
        <w:gridCol w:w="1354"/>
        <w:gridCol w:w="1050"/>
        <w:gridCol w:w="1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15"/>
              <w:jc w:val="center"/>
              <w:rPr>
                <w:rFonts w:ascii="宋体" w:hAnsi="宋体"/>
                <w:sz w:val="24"/>
                <w:szCs w:val="24"/>
              </w:rPr>
            </w:pPr>
            <w:r>
              <w:rPr>
                <w:rFonts w:hint="eastAsia" w:ascii="宋体" w:hAnsi="宋体"/>
                <w:sz w:val="24"/>
                <w:szCs w:val="24"/>
              </w:rPr>
              <w:t>序号</w:t>
            </w:r>
          </w:p>
        </w:tc>
        <w:tc>
          <w:tcPr>
            <w:tcW w:w="1148" w:type="pct"/>
            <w:vAlign w:val="center"/>
          </w:tcPr>
          <w:p>
            <w:pPr>
              <w:pStyle w:val="15"/>
              <w:jc w:val="center"/>
              <w:rPr>
                <w:rFonts w:ascii="宋体" w:hAnsi="宋体"/>
                <w:sz w:val="24"/>
                <w:szCs w:val="24"/>
              </w:rPr>
            </w:pPr>
            <w:r>
              <w:rPr>
                <w:rFonts w:hint="eastAsia" w:ascii="宋体" w:hAnsi="宋体"/>
                <w:sz w:val="24"/>
                <w:szCs w:val="24"/>
              </w:rPr>
              <w:t>采购单位</w:t>
            </w:r>
          </w:p>
        </w:tc>
        <w:tc>
          <w:tcPr>
            <w:tcW w:w="748" w:type="pct"/>
            <w:vAlign w:val="center"/>
          </w:tcPr>
          <w:p>
            <w:pPr>
              <w:pStyle w:val="15"/>
              <w:jc w:val="center"/>
              <w:rPr>
                <w:rFonts w:ascii="宋体" w:hAnsi="宋体"/>
                <w:sz w:val="24"/>
                <w:szCs w:val="24"/>
              </w:rPr>
            </w:pPr>
            <w:r>
              <w:rPr>
                <w:rFonts w:hint="eastAsia" w:ascii="宋体" w:hAnsi="宋体"/>
                <w:sz w:val="24"/>
                <w:szCs w:val="24"/>
              </w:rPr>
              <w:t>项目名称</w:t>
            </w:r>
          </w:p>
          <w:p>
            <w:pPr>
              <w:pStyle w:val="15"/>
              <w:jc w:val="center"/>
              <w:rPr>
                <w:rFonts w:ascii="宋体" w:hAnsi="宋体"/>
                <w:sz w:val="24"/>
                <w:szCs w:val="24"/>
              </w:rPr>
            </w:pPr>
            <w:r>
              <w:rPr>
                <w:rFonts w:hint="eastAsia" w:ascii="宋体" w:hAnsi="宋体"/>
                <w:sz w:val="24"/>
                <w:szCs w:val="24"/>
              </w:rPr>
              <w:t>（万元）</w:t>
            </w:r>
          </w:p>
        </w:tc>
        <w:tc>
          <w:tcPr>
            <w:tcW w:w="456" w:type="pct"/>
            <w:vAlign w:val="center"/>
          </w:tcPr>
          <w:p>
            <w:pPr>
              <w:pStyle w:val="15"/>
              <w:ind w:left="0" w:firstLine="0"/>
              <w:jc w:val="center"/>
              <w:rPr>
                <w:rFonts w:ascii="宋体" w:hAnsi="宋体"/>
                <w:sz w:val="24"/>
                <w:szCs w:val="24"/>
              </w:rPr>
            </w:pPr>
            <w:r>
              <w:rPr>
                <w:rFonts w:hint="eastAsia" w:ascii="宋体" w:hAnsi="宋体"/>
                <w:sz w:val="24"/>
                <w:szCs w:val="24"/>
              </w:rPr>
              <w:t>数量</w:t>
            </w:r>
          </w:p>
        </w:tc>
        <w:tc>
          <w:tcPr>
            <w:tcW w:w="729" w:type="pct"/>
            <w:vAlign w:val="center"/>
          </w:tcPr>
          <w:p>
            <w:pPr>
              <w:pStyle w:val="15"/>
              <w:ind w:left="0" w:firstLine="0"/>
              <w:jc w:val="center"/>
              <w:rPr>
                <w:rFonts w:ascii="宋体" w:hAnsi="宋体"/>
                <w:sz w:val="24"/>
                <w:szCs w:val="24"/>
              </w:rPr>
            </w:pPr>
            <w:r>
              <w:rPr>
                <w:rFonts w:hint="eastAsia" w:ascii="宋体" w:hAnsi="宋体"/>
                <w:sz w:val="24"/>
                <w:szCs w:val="24"/>
              </w:rPr>
              <w:t>合同金额</w:t>
            </w:r>
          </w:p>
        </w:tc>
        <w:tc>
          <w:tcPr>
            <w:tcW w:w="565" w:type="pct"/>
            <w:vAlign w:val="center"/>
          </w:tcPr>
          <w:p>
            <w:pPr>
              <w:pStyle w:val="15"/>
              <w:ind w:left="0" w:firstLine="0"/>
              <w:jc w:val="center"/>
              <w:rPr>
                <w:rFonts w:ascii="宋体" w:hAnsi="宋体"/>
                <w:sz w:val="24"/>
                <w:szCs w:val="24"/>
              </w:rPr>
            </w:pPr>
            <w:r>
              <w:rPr>
                <w:rFonts w:hint="eastAsia" w:ascii="宋体" w:hAnsi="宋体"/>
                <w:sz w:val="24"/>
                <w:szCs w:val="24"/>
              </w:rPr>
              <w:t>合同签订时间</w:t>
            </w:r>
          </w:p>
        </w:tc>
        <w:tc>
          <w:tcPr>
            <w:tcW w:w="877" w:type="pct"/>
            <w:vAlign w:val="center"/>
          </w:tcPr>
          <w:p>
            <w:pPr>
              <w:pStyle w:val="15"/>
              <w:jc w:val="center"/>
              <w:rPr>
                <w:rFonts w:ascii="宋体" w:hAnsi="宋体"/>
                <w:sz w:val="24"/>
                <w:szCs w:val="24"/>
              </w:rPr>
            </w:pPr>
            <w:r>
              <w:rPr>
                <w:rFonts w:hint="eastAsia" w:ascii="宋体" w:hAnsi="宋体"/>
                <w:sz w:val="24"/>
                <w:szCs w:val="24"/>
              </w:rPr>
              <w:t>联系人及</w:t>
            </w:r>
          </w:p>
          <w:p>
            <w:pPr>
              <w:pStyle w:val="15"/>
              <w:jc w:val="center"/>
              <w:rPr>
                <w:rFonts w:ascii="宋体" w:hAnsi="宋体"/>
                <w:sz w:val="24"/>
                <w:szCs w:val="24"/>
              </w:rPr>
            </w:pPr>
            <w:r>
              <w:rPr>
                <w:rFonts w:hint="eastAsia" w:ascii="宋体" w:hAnsi="宋体"/>
                <w:sz w:val="24"/>
                <w:szCs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15"/>
              <w:rPr>
                <w:rFonts w:ascii="宋体" w:hAnsi="宋体"/>
                <w:sz w:val="24"/>
                <w:szCs w:val="24"/>
              </w:rPr>
            </w:pPr>
          </w:p>
        </w:tc>
        <w:tc>
          <w:tcPr>
            <w:tcW w:w="1148" w:type="pct"/>
          </w:tcPr>
          <w:p>
            <w:pPr>
              <w:pStyle w:val="15"/>
              <w:rPr>
                <w:rFonts w:ascii="宋体" w:hAnsi="宋体"/>
                <w:sz w:val="24"/>
                <w:szCs w:val="24"/>
              </w:rPr>
            </w:pPr>
          </w:p>
        </w:tc>
        <w:tc>
          <w:tcPr>
            <w:tcW w:w="748" w:type="pct"/>
          </w:tcPr>
          <w:p>
            <w:pPr>
              <w:pStyle w:val="15"/>
              <w:rPr>
                <w:rFonts w:ascii="宋体" w:hAnsi="宋体"/>
                <w:sz w:val="24"/>
                <w:szCs w:val="24"/>
              </w:rPr>
            </w:pPr>
          </w:p>
        </w:tc>
        <w:tc>
          <w:tcPr>
            <w:tcW w:w="456" w:type="pct"/>
          </w:tcPr>
          <w:p>
            <w:pPr>
              <w:pStyle w:val="15"/>
              <w:rPr>
                <w:rFonts w:ascii="宋体" w:hAnsi="宋体"/>
                <w:sz w:val="24"/>
                <w:szCs w:val="24"/>
              </w:rPr>
            </w:pPr>
          </w:p>
        </w:tc>
        <w:tc>
          <w:tcPr>
            <w:tcW w:w="729" w:type="pct"/>
          </w:tcPr>
          <w:p>
            <w:pPr>
              <w:pStyle w:val="15"/>
              <w:rPr>
                <w:rFonts w:ascii="宋体" w:hAnsi="宋体"/>
                <w:sz w:val="24"/>
                <w:szCs w:val="24"/>
              </w:rPr>
            </w:pPr>
          </w:p>
        </w:tc>
        <w:tc>
          <w:tcPr>
            <w:tcW w:w="565" w:type="pct"/>
          </w:tcPr>
          <w:p>
            <w:pPr>
              <w:pStyle w:val="15"/>
              <w:rPr>
                <w:rFonts w:ascii="宋体" w:hAnsi="宋体"/>
                <w:sz w:val="24"/>
                <w:szCs w:val="24"/>
              </w:rPr>
            </w:pPr>
          </w:p>
        </w:tc>
        <w:tc>
          <w:tcPr>
            <w:tcW w:w="877" w:type="pct"/>
          </w:tcPr>
          <w:p>
            <w:pPr>
              <w:pStyle w:val="15"/>
              <w:rPr>
                <w:rFonts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15"/>
              <w:rPr>
                <w:rFonts w:ascii="宋体" w:hAnsi="宋体"/>
                <w:b/>
              </w:rPr>
            </w:pPr>
          </w:p>
        </w:tc>
        <w:tc>
          <w:tcPr>
            <w:tcW w:w="1148" w:type="pct"/>
          </w:tcPr>
          <w:p>
            <w:pPr>
              <w:pStyle w:val="15"/>
              <w:rPr>
                <w:rFonts w:ascii="宋体" w:hAnsi="宋体"/>
                <w:b/>
              </w:rPr>
            </w:pPr>
          </w:p>
        </w:tc>
        <w:tc>
          <w:tcPr>
            <w:tcW w:w="748" w:type="pct"/>
          </w:tcPr>
          <w:p>
            <w:pPr>
              <w:pStyle w:val="15"/>
              <w:rPr>
                <w:rFonts w:ascii="宋体" w:hAnsi="宋体"/>
                <w:b/>
              </w:rPr>
            </w:pPr>
          </w:p>
        </w:tc>
        <w:tc>
          <w:tcPr>
            <w:tcW w:w="456" w:type="pct"/>
          </w:tcPr>
          <w:p>
            <w:pPr>
              <w:pStyle w:val="15"/>
              <w:rPr>
                <w:rFonts w:ascii="宋体" w:hAnsi="宋体"/>
                <w:b/>
              </w:rPr>
            </w:pPr>
          </w:p>
        </w:tc>
        <w:tc>
          <w:tcPr>
            <w:tcW w:w="729" w:type="pct"/>
          </w:tcPr>
          <w:p>
            <w:pPr>
              <w:pStyle w:val="15"/>
              <w:rPr>
                <w:rFonts w:ascii="宋体" w:hAnsi="宋体"/>
                <w:b/>
              </w:rPr>
            </w:pPr>
          </w:p>
        </w:tc>
        <w:tc>
          <w:tcPr>
            <w:tcW w:w="565" w:type="pct"/>
          </w:tcPr>
          <w:p>
            <w:pPr>
              <w:pStyle w:val="15"/>
              <w:rPr>
                <w:rFonts w:ascii="宋体" w:hAnsi="宋体"/>
                <w:b/>
              </w:rPr>
            </w:pPr>
          </w:p>
        </w:tc>
        <w:tc>
          <w:tcPr>
            <w:tcW w:w="877" w:type="pct"/>
          </w:tcPr>
          <w:p>
            <w:pPr>
              <w:pStyle w:val="15"/>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15"/>
              <w:rPr>
                <w:rFonts w:ascii="宋体" w:hAnsi="宋体"/>
                <w:b/>
              </w:rPr>
            </w:pPr>
          </w:p>
        </w:tc>
        <w:tc>
          <w:tcPr>
            <w:tcW w:w="1148" w:type="pct"/>
          </w:tcPr>
          <w:p>
            <w:pPr>
              <w:pStyle w:val="15"/>
              <w:rPr>
                <w:rFonts w:ascii="宋体" w:hAnsi="宋体"/>
                <w:b/>
              </w:rPr>
            </w:pPr>
          </w:p>
        </w:tc>
        <w:tc>
          <w:tcPr>
            <w:tcW w:w="748" w:type="pct"/>
          </w:tcPr>
          <w:p>
            <w:pPr>
              <w:pStyle w:val="15"/>
              <w:rPr>
                <w:rFonts w:ascii="宋体" w:hAnsi="宋体"/>
                <w:b/>
              </w:rPr>
            </w:pPr>
          </w:p>
        </w:tc>
        <w:tc>
          <w:tcPr>
            <w:tcW w:w="456" w:type="pct"/>
          </w:tcPr>
          <w:p>
            <w:pPr>
              <w:pStyle w:val="15"/>
              <w:rPr>
                <w:rFonts w:ascii="宋体" w:hAnsi="宋体"/>
                <w:b/>
              </w:rPr>
            </w:pPr>
          </w:p>
        </w:tc>
        <w:tc>
          <w:tcPr>
            <w:tcW w:w="729" w:type="pct"/>
          </w:tcPr>
          <w:p>
            <w:pPr>
              <w:pStyle w:val="15"/>
              <w:rPr>
                <w:rFonts w:ascii="宋体" w:hAnsi="宋体"/>
                <w:b/>
              </w:rPr>
            </w:pPr>
          </w:p>
        </w:tc>
        <w:tc>
          <w:tcPr>
            <w:tcW w:w="565" w:type="pct"/>
          </w:tcPr>
          <w:p>
            <w:pPr>
              <w:pStyle w:val="15"/>
              <w:rPr>
                <w:rFonts w:ascii="宋体" w:hAnsi="宋体"/>
                <w:b/>
              </w:rPr>
            </w:pPr>
          </w:p>
        </w:tc>
        <w:tc>
          <w:tcPr>
            <w:tcW w:w="877" w:type="pct"/>
          </w:tcPr>
          <w:p>
            <w:pPr>
              <w:pStyle w:val="15"/>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15"/>
              <w:rPr>
                <w:rFonts w:ascii="宋体" w:hAnsi="宋体"/>
                <w:b/>
              </w:rPr>
            </w:pPr>
          </w:p>
        </w:tc>
        <w:tc>
          <w:tcPr>
            <w:tcW w:w="1148" w:type="pct"/>
          </w:tcPr>
          <w:p>
            <w:pPr>
              <w:pStyle w:val="15"/>
              <w:rPr>
                <w:rFonts w:ascii="宋体" w:hAnsi="宋体"/>
                <w:b/>
              </w:rPr>
            </w:pPr>
          </w:p>
        </w:tc>
        <w:tc>
          <w:tcPr>
            <w:tcW w:w="748" w:type="pct"/>
          </w:tcPr>
          <w:p>
            <w:pPr>
              <w:pStyle w:val="15"/>
              <w:rPr>
                <w:rFonts w:ascii="宋体" w:hAnsi="宋体"/>
                <w:b/>
              </w:rPr>
            </w:pPr>
          </w:p>
        </w:tc>
        <w:tc>
          <w:tcPr>
            <w:tcW w:w="456" w:type="pct"/>
          </w:tcPr>
          <w:p>
            <w:pPr>
              <w:pStyle w:val="15"/>
              <w:rPr>
                <w:rFonts w:ascii="宋体" w:hAnsi="宋体"/>
                <w:b/>
              </w:rPr>
            </w:pPr>
          </w:p>
        </w:tc>
        <w:tc>
          <w:tcPr>
            <w:tcW w:w="729" w:type="pct"/>
          </w:tcPr>
          <w:p>
            <w:pPr>
              <w:pStyle w:val="15"/>
              <w:rPr>
                <w:rFonts w:ascii="宋体" w:hAnsi="宋体"/>
                <w:b/>
              </w:rPr>
            </w:pPr>
          </w:p>
        </w:tc>
        <w:tc>
          <w:tcPr>
            <w:tcW w:w="565" w:type="pct"/>
          </w:tcPr>
          <w:p>
            <w:pPr>
              <w:pStyle w:val="15"/>
              <w:rPr>
                <w:rFonts w:ascii="宋体" w:hAnsi="宋体"/>
                <w:b/>
              </w:rPr>
            </w:pPr>
          </w:p>
        </w:tc>
        <w:tc>
          <w:tcPr>
            <w:tcW w:w="877" w:type="pct"/>
          </w:tcPr>
          <w:p>
            <w:pPr>
              <w:pStyle w:val="15"/>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15"/>
              <w:rPr>
                <w:rFonts w:ascii="宋体" w:hAnsi="宋体"/>
                <w:b/>
              </w:rPr>
            </w:pPr>
          </w:p>
        </w:tc>
        <w:tc>
          <w:tcPr>
            <w:tcW w:w="1148" w:type="pct"/>
          </w:tcPr>
          <w:p>
            <w:pPr>
              <w:pStyle w:val="15"/>
              <w:rPr>
                <w:rFonts w:ascii="宋体" w:hAnsi="宋体"/>
                <w:b/>
              </w:rPr>
            </w:pPr>
          </w:p>
        </w:tc>
        <w:tc>
          <w:tcPr>
            <w:tcW w:w="748" w:type="pct"/>
          </w:tcPr>
          <w:p>
            <w:pPr>
              <w:pStyle w:val="15"/>
              <w:rPr>
                <w:rFonts w:ascii="宋体" w:hAnsi="宋体"/>
                <w:b/>
              </w:rPr>
            </w:pPr>
          </w:p>
        </w:tc>
        <w:tc>
          <w:tcPr>
            <w:tcW w:w="456" w:type="pct"/>
          </w:tcPr>
          <w:p>
            <w:pPr>
              <w:pStyle w:val="15"/>
              <w:rPr>
                <w:rFonts w:ascii="宋体" w:hAnsi="宋体"/>
                <w:b/>
              </w:rPr>
            </w:pPr>
          </w:p>
        </w:tc>
        <w:tc>
          <w:tcPr>
            <w:tcW w:w="729" w:type="pct"/>
          </w:tcPr>
          <w:p>
            <w:pPr>
              <w:pStyle w:val="15"/>
              <w:rPr>
                <w:rFonts w:ascii="宋体" w:hAnsi="宋体"/>
                <w:b/>
              </w:rPr>
            </w:pPr>
          </w:p>
        </w:tc>
        <w:tc>
          <w:tcPr>
            <w:tcW w:w="565" w:type="pct"/>
          </w:tcPr>
          <w:p>
            <w:pPr>
              <w:pStyle w:val="15"/>
              <w:rPr>
                <w:rFonts w:ascii="宋体" w:hAnsi="宋体"/>
                <w:b/>
              </w:rPr>
            </w:pPr>
          </w:p>
        </w:tc>
        <w:tc>
          <w:tcPr>
            <w:tcW w:w="877" w:type="pct"/>
          </w:tcPr>
          <w:p>
            <w:pPr>
              <w:pStyle w:val="15"/>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15"/>
              <w:rPr>
                <w:rFonts w:ascii="宋体" w:hAnsi="宋体"/>
                <w:b/>
              </w:rPr>
            </w:pPr>
          </w:p>
        </w:tc>
        <w:tc>
          <w:tcPr>
            <w:tcW w:w="1148" w:type="pct"/>
          </w:tcPr>
          <w:p>
            <w:pPr>
              <w:pStyle w:val="15"/>
              <w:rPr>
                <w:rFonts w:ascii="宋体" w:hAnsi="宋体"/>
                <w:b/>
              </w:rPr>
            </w:pPr>
          </w:p>
        </w:tc>
        <w:tc>
          <w:tcPr>
            <w:tcW w:w="748" w:type="pct"/>
          </w:tcPr>
          <w:p>
            <w:pPr>
              <w:pStyle w:val="15"/>
              <w:rPr>
                <w:rFonts w:ascii="宋体" w:hAnsi="宋体"/>
                <w:b/>
              </w:rPr>
            </w:pPr>
          </w:p>
        </w:tc>
        <w:tc>
          <w:tcPr>
            <w:tcW w:w="456" w:type="pct"/>
          </w:tcPr>
          <w:p>
            <w:pPr>
              <w:pStyle w:val="15"/>
              <w:rPr>
                <w:rFonts w:ascii="宋体" w:hAnsi="宋体"/>
                <w:b/>
              </w:rPr>
            </w:pPr>
          </w:p>
        </w:tc>
        <w:tc>
          <w:tcPr>
            <w:tcW w:w="729" w:type="pct"/>
          </w:tcPr>
          <w:p>
            <w:pPr>
              <w:pStyle w:val="15"/>
              <w:rPr>
                <w:rFonts w:ascii="宋体" w:hAnsi="宋体"/>
                <w:b/>
              </w:rPr>
            </w:pPr>
          </w:p>
        </w:tc>
        <w:tc>
          <w:tcPr>
            <w:tcW w:w="565" w:type="pct"/>
          </w:tcPr>
          <w:p>
            <w:pPr>
              <w:pStyle w:val="15"/>
              <w:rPr>
                <w:rFonts w:ascii="宋体" w:hAnsi="宋体"/>
                <w:b/>
              </w:rPr>
            </w:pPr>
          </w:p>
        </w:tc>
        <w:tc>
          <w:tcPr>
            <w:tcW w:w="877" w:type="pct"/>
          </w:tcPr>
          <w:p>
            <w:pPr>
              <w:pStyle w:val="15"/>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15"/>
              <w:rPr>
                <w:rFonts w:ascii="宋体" w:hAnsi="宋体"/>
                <w:b/>
              </w:rPr>
            </w:pPr>
          </w:p>
        </w:tc>
        <w:tc>
          <w:tcPr>
            <w:tcW w:w="1148" w:type="pct"/>
          </w:tcPr>
          <w:p>
            <w:pPr>
              <w:pStyle w:val="15"/>
              <w:rPr>
                <w:rFonts w:ascii="宋体" w:hAnsi="宋体"/>
                <w:b/>
              </w:rPr>
            </w:pPr>
          </w:p>
        </w:tc>
        <w:tc>
          <w:tcPr>
            <w:tcW w:w="748" w:type="pct"/>
          </w:tcPr>
          <w:p>
            <w:pPr>
              <w:pStyle w:val="15"/>
              <w:rPr>
                <w:rFonts w:ascii="宋体" w:hAnsi="宋体"/>
                <w:b/>
              </w:rPr>
            </w:pPr>
          </w:p>
        </w:tc>
        <w:tc>
          <w:tcPr>
            <w:tcW w:w="456" w:type="pct"/>
          </w:tcPr>
          <w:p>
            <w:pPr>
              <w:pStyle w:val="15"/>
              <w:rPr>
                <w:rFonts w:ascii="宋体" w:hAnsi="宋体"/>
                <w:b/>
              </w:rPr>
            </w:pPr>
          </w:p>
        </w:tc>
        <w:tc>
          <w:tcPr>
            <w:tcW w:w="729" w:type="pct"/>
          </w:tcPr>
          <w:p>
            <w:pPr>
              <w:pStyle w:val="15"/>
              <w:rPr>
                <w:rFonts w:ascii="宋体" w:hAnsi="宋体"/>
                <w:b/>
              </w:rPr>
            </w:pPr>
          </w:p>
        </w:tc>
        <w:tc>
          <w:tcPr>
            <w:tcW w:w="565" w:type="pct"/>
          </w:tcPr>
          <w:p>
            <w:pPr>
              <w:pStyle w:val="15"/>
              <w:rPr>
                <w:rFonts w:ascii="宋体" w:hAnsi="宋体"/>
                <w:b/>
              </w:rPr>
            </w:pPr>
          </w:p>
        </w:tc>
        <w:tc>
          <w:tcPr>
            <w:tcW w:w="877" w:type="pct"/>
          </w:tcPr>
          <w:p>
            <w:pPr>
              <w:pStyle w:val="15"/>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15"/>
              <w:rPr>
                <w:rFonts w:ascii="宋体" w:hAnsi="宋体"/>
                <w:b/>
              </w:rPr>
            </w:pPr>
          </w:p>
        </w:tc>
        <w:tc>
          <w:tcPr>
            <w:tcW w:w="1148" w:type="pct"/>
          </w:tcPr>
          <w:p>
            <w:pPr>
              <w:pStyle w:val="15"/>
              <w:rPr>
                <w:rFonts w:ascii="宋体" w:hAnsi="宋体"/>
                <w:b/>
              </w:rPr>
            </w:pPr>
          </w:p>
        </w:tc>
        <w:tc>
          <w:tcPr>
            <w:tcW w:w="748" w:type="pct"/>
          </w:tcPr>
          <w:p>
            <w:pPr>
              <w:pStyle w:val="15"/>
              <w:rPr>
                <w:rFonts w:ascii="宋体" w:hAnsi="宋体"/>
                <w:b/>
              </w:rPr>
            </w:pPr>
          </w:p>
        </w:tc>
        <w:tc>
          <w:tcPr>
            <w:tcW w:w="456" w:type="pct"/>
          </w:tcPr>
          <w:p>
            <w:pPr>
              <w:pStyle w:val="15"/>
              <w:rPr>
                <w:rFonts w:ascii="宋体" w:hAnsi="宋体"/>
                <w:b/>
              </w:rPr>
            </w:pPr>
          </w:p>
        </w:tc>
        <w:tc>
          <w:tcPr>
            <w:tcW w:w="729" w:type="pct"/>
          </w:tcPr>
          <w:p>
            <w:pPr>
              <w:pStyle w:val="15"/>
              <w:rPr>
                <w:rFonts w:ascii="宋体" w:hAnsi="宋体"/>
                <w:b/>
              </w:rPr>
            </w:pPr>
          </w:p>
        </w:tc>
        <w:tc>
          <w:tcPr>
            <w:tcW w:w="565" w:type="pct"/>
          </w:tcPr>
          <w:p>
            <w:pPr>
              <w:pStyle w:val="15"/>
              <w:rPr>
                <w:rFonts w:ascii="宋体" w:hAnsi="宋体"/>
                <w:b/>
              </w:rPr>
            </w:pPr>
          </w:p>
        </w:tc>
        <w:tc>
          <w:tcPr>
            <w:tcW w:w="877" w:type="pct"/>
          </w:tcPr>
          <w:p>
            <w:pPr>
              <w:pStyle w:val="15"/>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15"/>
              <w:rPr>
                <w:rFonts w:ascii="宋体" w:hAnsi="宋体"/>
                <w:b/>
              </w:rPr>
            </w:pPr>
          </w:p>
        </w:tc>
        <w:tc>
          <w:tcPr>
            <w:tcW w:w="1148" w:type="pct"/>
          </w:tcPr>
          <w:p>
            <w:pPr>
              <w:pStyle w:val="15"/>
              <w:rPr>
                <w:rFonts w:ascii="宋体" w:hAnsi="宋体"/>
                <w:b/>
              </w:rPr>
            </w:pPr>
          </w:p>
        </w:tc>
        <w:tc>
          <w:tcPr>
            <w:tcW w:w="748" w:type="pct"/>
          </w:tcPr>
          <w:p>
            <w:pPr>
              <w:pStyle w:val="15"/>
              <w:rPr>
                <w:rFonts w:ascii="宋体" w:hAnsi="宋体"/>
                <w:b/>
              </w:rPr>
            </w:pPr>
          </w:p>
        </w:tc>
        <w:tc>
          <w:tcPr>
            <w:tcW w:w="456" w:type="pct"/>
          </w:tcPr>
          <w:p>
            <w:pPr>
              <w:pStyle w:val="15"/>
              <w:rPr>
                <w:rFonts w:ascii="宋体" w:hAnsi="宋体"/>
                <w:b/>
              </w:rPr>
            </w:pPr>
          </w:p>
        </w:tc>
        <w:tc>
          <w:tcPr>
            <w:tcW w:w="729" w:type="pct"/>
          </w:tcPr>
          <w:p>
            <w:pPr>
              <w:pStyle w:val="15"/>
              <w:rPr>
                <w:rFonts w:ascii="宋体" w:hAnsi="宋体"/>
                <w:b/>
              </w:rPr>
            </w:pPr>
          </w:p>
        </w:tc>
        <w:tc>
          <w:tcPr>
            <w:tcW w:w="565" w:type="pct"/>
          </w:tcPr>
          <w:p>
            <w:pPr>
              <w:pStyle w:val="15"/>
              <w:rPr>
                <w:rFonts w:ascii="宋体" w:hAnsi="宋体"/>
                <w:b/>
              </w:rPr>
            </w:pPr>
          </w:p>
        </w:tc>
        <w:tc>
          <w:tcPr>
            <w:tcW w:w="877" w:type="pct"/>
          </w:tcPr>
          <w:p>
            <w:pPr>
              <w:pStyle w:val="15"/>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15"/>
              <w:rPr>
                <w:rFonts w:ascii="宋体" w:hAnsi="宋体"/>
                <w:b/>
              </w:rPr>
            </w:pPr>
          </w:p>
        </w:tc>
        <w:tc>
          <w:tcPr>
            <w:tcW w:w="1148" w:type="pct"/>
          </w:tcPr>
          <w:p>
            <w:pPr>
              <w:pStyle w:val="15"/>
              <w:rPr>
                <w:rFonts w:ascii="宋体" w:hAnsi="宋体"/>
                <w:b/>
              </w:rPr>
            </w:pPr>
          </w:p>
        </w:tc>
        <w:tc>
          <w:tcPr>
            <w:tcW w:w="748" w:type="pct"/>
          </w:tcPr>
          <w:p>
            <w:pPr>
              <w:pStyle w:val="15"/>
              <w:rPr>
                <w:rFonts w:ascii="宋体" w:hAnsi="宋体"/>
                <w:b/>
              </w:rPr>
            </w:pPr>
          </w:p>
        </w:tc>
        <w:tc>
          <w:tcPr>
            <w:tcW w:w="456" w:type="pct"/>
          </w:tcPr>
          <w:p>
            <w:pPr>
              <w:pStyle w:val="15"/>
              <w:rPr>
                <w:rFonts w:ascii="宋体" w:hAnsi="宋体"/>
                <w:b/>
              </w:rPr>
            </w:pPr>
          </w:p>
        </w:tc>
        <w:tc>
          <w:tcPr>
            <w:tcW w:w="729" w:type="pct"/>
          </w:tcPr>
          <w:p>
            <w:pPr>
              <w:pStyle w:val="15"/>
              <w:rPr>
                <w:rFonts w:ascii="宋体" w:hAnsi="宋体"/>
                <w:b/>
              </w:rPr>
            </w:pPr>
          </w:p>
        </w:tc>
        <w:tc>
          <w:tcPr>
            <w:tcW w:w="565" w:type="pct"/>
          </w:tcPr>
          <w:p>
            <w:pPr>
              <w:pStyle w:val="15"/>
              <w:rPr>
                <w:rFonts w:ascii="宋体" w:hAnsi="宋体"/>
                <w:b/>
              </w:rPr>
            </w:pPr>
          </w:p>
        </w:tc>
        <w:tc>
          <w:tcPr>
            <w:tcW w:w="877" w:type="pct"/>
          </w:tcPr>
          <w:p>
            <w:pPr>
              <w:pStyle w:val="15"/>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15"/>
              <w:rPr>
                <w:rFonts w:ascii="宋体" w:hAnsi="宋体"/>
                <w:b/>
              </w:rPr>
            </w:pPr>
          </w:p>
        </w:tc>
        <w:tc>
          <w:tcPr>
            <w:tcW w:w="1148" w:type="pct"/>
          </w:tcPr>
          <w:p>
            <w:pPr>
              <w:pStyle w:val="15"/>
              <w:rPr>
                <w:rFonts w:ascii="宋体" w:hAnsi="宋体"/>
                <w:b/>
              </w:rPr>
            </w:pPr>
          </w:p>
        </w:tc>
        <w:tc>
          <w:tcPr>
            <w:tcW w:w="748" w:type="pct"/>
          </w:tcPr>
          <w:p>
            <w:pPr>
              <w:pStyle w:val="15"/>
              <w:rPr>
                <w:rFonts w:ascii="宋体" w:hAnsi="宋体"/>
                <w:b/>
              </w:rPr>
            </w:pPr>
          </w:p>
        </w:tc>
        <w:tc>
          <w:tcPr>
            <w:tcW w:w="456" w:type="pct"/>
          </w:tcPr>
          <w:p>
            <w:pPr>
              <w:pStyle w:val="15"/>
              <w:rPr>
                <w:rFonts w:ascii="宋体" w:hAnsi="宋体"/>
                <w:b/>
              </w:rPr>
            </w:pPr>
          </w:p>
        </w:tc>
        <w:tc>
          <w:tcPr>
            <w:tcW w:w="729" w:type="pct"/>
          </w:tcPr>
          <w:p>
            <w:pPr>
              <w:pStyle w:val="15"/>
              <w:rPr>
                <w:rFonts w:ascii="宋体" w:hAnsi="宋体"/>
                <w:b/>
              </w:rPr>
            </w:pPr>
          </w:p>
        </w:tc>
        <w:tc>
          <w:tcPr>
            <w:tcW w:w="565" w:type="pct"/>
          </w:tcPr>
          <w:p>
            <w:pPr>
              <w:pStyle w:val="15"/>
              <w:rPr>
                <w:rFonts w:ascii="宋体" w:hAnsi="宋体"/>
                <w:b/>
              </w:rPr>
            </w:pPr>
          </w:p>
        </w:tc>
        <w:tc>
          <w:tcPr>
            <w:tcW w:w="877" w:type="pct"/>
          </w:tcPr>
          <w:p>
            <w:pPr>
              <w:pStyle w:val="15"/>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15"/>
              <w:rPr>
                <w:rFonts w:ascii="宋体" w:hAnsi="宋体"/>
                <w:b/>
              </w:rPr>
            </w:pPr>
          </w:p>
        </w:tc>
        <w:tc>
          <w:tcPr>
            <w:tcW w:w="1148" w:type="pct"/>
          </w:tcPr>
          <w:p>
            <w:pPr>
              <w:pStyle w:val="15"/>
              <w:rPr>
                <w:rFonts w:ascii="宋体" w:hAnsi="宋体"/>
                <w:b/>
              </w:rPr>
            </w:pPr>
          </w:p>
        </w:tc>
        <w:tc>
          <w:tcPr>
            <w:tcW w:w="748" w:type="pct"/>
          </w:tcPr>
          <w:p>
            <w:pPr>
              <w:pStyle w:val="15"/>
              <w:rPr>
                <w:rFonts w:ascii="宋体" w:hAnsi="宋体"/>
                <w:b/>
              </w:rPr>
            </w:pPr>
          </w:p>
        </w:tc>
        <w:tc>
          <w:tcPr>
            <w:tcW w:w="456" w:type="pct"/>
          </w:tcPr>
          <w:p>
            <w:pPr>
              <w:pStyle w:val="15"/>
              <w:rPr>
                <w:rFonts w:ascii="宋体" w:hAnsi="宋体"/>
                <w:b/>
              </w:rPr>
            </w:pPr>
          </w:p>
        </w:tc>
        <w:tc>
          <w:tcPr>
            <w:tcW w:w="729" w:type="pct"/>
          </w:tcPr>
          <w:p>
            <w:pPr>
              <w:pStyle w:val="15"/>
              <w:rPr>
                <w:rFonts w:ascii="宋体" w:hAnsi="宋体"/>
                <w:b/>
              </w:rPr>
            </w:pPr>
          </w:p>
        </w:tc>
        <w:tc>
          <w:tcPr>
            <w:tcW w:w="565" w:type="pct"/>
          </w:tcPr>
          <w:p>
            <w:pPr>
              <w:pStyle w:val="15"/>
              <w:rPr>
                <w:rFonts w:ascii="宋体" w:hAnsi="宋体"/>
                <w:b/>
              </w:rPr>
            </w:pPr>
          </w:p>
        </w:tc>
        <w:tc>
          <w:tcPr>
            <w:tcW w:w="877" w:type="pct"/>
          </w:tcPr>
          <w:p>
            <w:pPr>
              <w:pStyle w:val="15"/>
              <w:rPr>
                <w:rFonts w:ascii="宋体" w:hAnsi="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15"/>
              <w:rPr>
                <w:rFonts w:ascii="宋体" w:hAnsi="宋体"/>
                <w:b/>
              </w:rPr>
            </w:pPr>
          </w:p>
        </w:tc>
        <w:tc>
          <w:tcPr>
            <w:tcW w:w="1148" w:type="pct"/>
          </w:tcPr>
          <w:p>
            <w:pPr>
              <w:pStyle w:val="15"/>
              <w:rPr>
                <w:rFonts w:ascii="宋体" w:hAnsi="宋体"/>
                <w:b/>
              </w:rPr>
            </w:pPr>
          </w:p>
        </w:tc>
        <w:tc>
          <w:tcPr>
            <w:tcW w:w="748" w:type="pct"/>
          </w:tcPr>
          <w:p>
            <w:pPr>
              <w:pStyle w:val="15"/>
              <w:rPr>
                <w:rFonts w:ascii="宋体" w:hAnsi="宋体"/>
                <w:b/>
              </w:rPr>
            </w:pPr>
          </w:p>
        </w:tc>
        <w:tc>
          <w:tcPr>
            <w:tcW w:w="456" w:type="pct"/>
          </w:tcPr>
          <w:p>
            <w:pPr>
              <w:pStyle w:val="15"/>
              <w:rPr>
                <w:rFonts w:ascii="宋体" w:hAnsi="宋体"/>
                <w:b/>
              </w:rPr>
            </w:pPr>
          </w:p>
        </w:tc>
        <w:tc>
          <w:tcPr>
            <w:tcW w:w="729" w:type="pct"/>
          </w:tcPr>
          <w:p>
            <w:pPr>
              <w:pStyle w:val="15"/>
              <w:rPr>
                <w:rFonts w:ascii="宋体" w:hAnsi="宋体"/>
                <w:b/>
              </w:rPr>
            </w:pPr>
          </w:p>
        </w:tc>
        <w:tc>
          <w:tcPr>
            <w:tcW w:w="565" w:type="pct"/>
          </w:tcPr>
          <w:p>
            <w:pPr>
              <w:pStyle w:val="15"/>
              <w:rPr>
                <w:rFonts w:ascii="宋体" w:hAnsi="宋体"/>
                <w:b/>
              </w:rPr>
            </w:pPr>
          </w:p>
        </w:tc>
        <w:tc>
          <w:tcPr>
            <w:tcW w:w="877" w:type="pct"/>
          </w:tcPr>
          <w:p>
            <w:pPr>
              <w:pStyle w:val="15"/>
              <w:rPr>
                <w:rFonts w:ascii="宋体" w:hAnsi="宋体"/>
                <w:b/>
              </w:rPr>
            </w:pPr>
          </w:p>
        </w:tc>
      </w:tr>
    </w:tbl>
    <w:p>
      <w:pPr>
        <w:spacing w:line="0" w:lineRule="atLeast"/>
        <w:rPr>
          <w:rFonts w:ascii="宋体" w:hAnsi="宋体" w:eastAsia="宋体" w:cs="宋体"/>
          <w:sz w:val="24"/>
          <w:szCs w:val="24"/>
        </w:rPr>
      </w:pPr>
      <w:r>
        <w:rPr>
          <w:rFonts w:hint="eastAsia" w:ascii="宋体" w:hAnsi="宋体" w:eastAsia="宋体" w:cs="宋体"/>
          <w:sz w:val="24"/>
          <w:szCs w:val="24"/>
        </w:rPr>
        <w:t>注：</w:t>
      </w:r>
      <w:r>
        <w:rPr>
          <w:rFonts w:hint="eastAsia" w:ascii="宋体" w:hAnsi="宋体" w:eastAsia="宋体" w:cs="宋体"/>
          <w:kern w:val="0"/>
          <w:sz w:val="24"/>
          <w:szCs w:val="24"/>
        </w:rPr>
        <w:t>提供近三年同类产品的制造销售业绩（用户名单、联系方式）</w:t>
      </w:r>
      <w:r>
        <w:rPr>
          <w:rFonts w:hint="eastAsia" w:ascii="宋体" w:hAnsi="宋体" w:eastAsia="宋体" w:cs="宋体"/>
          <w:sz w:val="24"/>
          <w:szCs w:val="24"/>
        </w:rPr>
        <w:t>，并附合同复印件。</w:t>
      </w:r>
    </w:p>
    <w:p>
      <w:pPr>
        <w:tabs>
          <w:tab w:val="left" w:pos="1578"/>
          <w:tab w:val="left" w:pos="10083"/>
        </w:tabs>
        <w:spacing w:line="500" w:lineRule="exact"/>
        <w:rPr>
          <w:rFonts w:ascii="宋体" w:hAnsi="宋体" w:eastAsia="宋体" w:cs="宋体"/>
          <w:sz w:val="24"/>
          <w:szCs w:val="24"/>
        </w:rPr>
      </w:pPr>
    </w:p>
    <w:p>
      <w:pPr>
        <w:spacing w:line="660" w:lineRule="exact"/>
        <w:rPr>
          <w:rFonts w:ascii="宋体" w:hAnsi="宋体" w:eastAsia="宋体" w:cs="宋体"/>
          <w:sz w:val="24"/>
          <w:szCs w:val="24"/>
        </w:rPr>
      </w:pPr>
      <w:r>
        <w:rPr>
          <w:rFonts w:hint="eastAsia" w:ascii="宋体" w:hAnsi="宋体" w:eastAsia="宋体" w:cs="宋体"/>
          <w:sz w:val="24"/>
          <w:szCs w:val="24"/>
        </w:rPr>
        <w:t>投标人：（盖章）</w:t>
      </w:r>
    </w:p>
    <w:p>
      <w:pPr>
        <w:spacing w:line="660" w:lineRule="exact"/>
        <w:rPr>
          <w:rFonts w:ascii="宋体" w:hAnsi="宋体" w:eastAsia="宋体" w:cs="宋体"/>
          <w:sz w:val="24"/>
          <w:szCs w:val="24"/>
        </w:rPr>
      </w:pPr>
      <w:r>
        <w:rPr>
          <w:rFonts w:hint="eastAsia" w:ascii="宋体" w:hAnsi="宋体" w:eastAsia="宋体" w:cs="宋体"/>
          <w:sz w:val="24"/>
          <w:szCs w:val="24"/>
        </w:rPr>
        <w:t>法定代表人（委托代理人）：（签字）</w:t>
      </w:r>
    </w:p>
    <w:p>
      <w:pPr>
        <w:spacing w:line="660" w:lineRule="exact"/>
        <w:rPr>
          <w:rFonts w:ascii="宋体" w:hAnsi="宋体" w:eastAsia="宋体" w:cs="宋体"/>
          <w:sz w:val="24"/>
          <w:szCs w:val="24"/>
        </w:rPr>
      </w:pPr>
      <w:r>
        <w:rPr>
          <w:rFonts w:hint="eastAsia" w:ascii="宋体" w:hAnsi="宋体" w:eastAsia="宋体" w:cs="宋体"/>
          <w:sz w:val="24"/>
          <w:szCs w:val="24"/>
        </w:rPr>
        <w:t>日  期：</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rPr>
          <w:rFonts w:ascii="宋体" w:hAnsi="宋体" w:eastAsia="宋体" w:cs="宋体"/>
          <w:sz w:val="24"/>
          <w:szCs w:val="24"/>
        </w:rPr>
      </w:pPr>
    </w:p>
    <w:p>
      <w:pPr>
        <w:pStyle w:val="32"/>
        <w:sectPr>
          <w:pgSz w:w="11906" w:h="16838"/>
          <w:pgMar w:top="1588" w:right="1418" w:bottom="1134" w:left="1418" w:header="851" w:footer="992" w:gutter="0"/>
          <w:cols w:space="720" w:num="1"/>
          <w:titlePg/>
          <w:docGrid w:type="lines" w:linePitch="312" w:charSpace="0"/>
        </w:sectPr>
      </w:pPr>
    </w:p>
    <w:p>
      <w:pPr>
        <w:pStyle w:val="32"/>
      </w:pPr>
      <w:r>
        <w:rPr>
          <w:rFonts w:hint="eastAsia"/>
        </w:rPr>
        <w:t>附件</w:t>
      </w:r>
      <w:r>
        <w:t>1</w:t>
      </w:r>
      <w:r>
        <w:rPr>
          <w:rFonts w:hint="eastAsia"/>
        </w:rPr>
        <w:t>2</w:t>
      </w:r>
      <w:r>
        <w:t xml:space="preserve"> </w:t>
      </w:r>
      <w:r>
        <w:rPr>
          <w:rFonts w:hint="eastAsia"/>
        </w:rPr>
        <w:t>免费增值服务</w:t>
      </w:r>
    </w:p>
    <w:p>
      <w:pPr>
        <w:jc w:val="center"/>
        <w:rPr>
          <w:rFonts w:eastAsia="黑体"/>
          <w:b/>
          <w:bCs/>
          <w:sz w:val="28"/>
        </w:rPr>
      </w:pPr>
      <w:r>
        <w:rPr>
          <w:rFonts w:hint="eastAsia" w:eastAsia="黑体"/>
          <w:b/>
          <w:bCs/>
          <w:sz w:val="28"/>
        </w:rPr>
        <w:t>免费增值服务</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9286" w:type="dxa"/>
          </w:tcPr>
          <w:p>
            <w:pPr>
              <w:rPr>
                <w:rFonts w:ascii="宋体" w:hAnsi="宋体"/>
                <w:szCs w:val="21"/>
              </w:rPr>
            </w:pPr>
            <w:r>
              <w:rPr>
                <w:rFonts w:hint="eastAsia" w:ascii="宋体" w:hAnsi="宋体"/>
                <w:szCs w:val="21"/>
              </w:rPr>
              <w:t>格式自拟</w:t>
            </w:r>
          </w:p>
        </w:tc>
      </w:tr>
    </w:tbl>
    <w:p>
      <w:pPr>
        <w:rPr>
          <w:rFonts w:ascii="宋体" w:hAnsi="宋体"/>
          <w:szCs w:val="21"/>
        </w:rPr>
      </w:pPr>
    </w:p>
    <w:p>
      <w:pPr>
        <w:ind w:firstLine="480"/>
        <w:rPr>
          <w:rFonts w:ascii="宋体" w:hAnsi="宋体"/>
          <w:szCs w:val="21"/>
        </w:rPr>
      </w:pPr>
      <w:r>
        <w:rPr>
          <w:rFonts w:hint="eastAsia" w:ascii="宋体" w:hAnsi="宋体"/>
          <w:szCs w:val="21"/>
        </w:rPr>
        <w:t>投标人名称：                   授权代表签字：                  日期：</w:t>
      </w:r>
    </w:p>
    <w:p>
      <w:pPr>
        <w:pStyle w:val="2"/>
        <w:spacing w:line="360" w:lineRule="auto"/>
        <w:jc w:val="center"/>
        <w:rPr>
          <w:rFonts w:hAnsi="宋体" w:cs="宋体"/>
          <w:b/>
          <w:bCs/>
          <w:color w:val="000000"/>
          <w:sz w:val="36"/>
          <w:szCs w:val="36"/>
        </w:rPr>
      </w:pPr>
    </w:p>
    <w:p>
      <w:pPr>
        <w:pStyle w:val="25"/>
        <w:ind w:firstLine="480"/>
        <w:rPr>
          <w:rFonts w:ascii="黑体" w:hAnsi="黑体"/>
          <w:szCs w:val="28"/>
        </w:rPr>
      </w:pPr>
    </w:p>
    <w:p>
      <w:pPr>
        <w:rPr>
          <w:rFonts w:hint="eastAsia" w:cs="宋体"/>
        </w:rPr>
      </w:pPr>
      <w:r>
        <w:rPr>
          <w:rFonts w:hint="eastAsia" w:cs="宋体"/>
        </w:rPr>
        <w:br w:type="page"/>
      </w:r>
    </w:p>
    <w:p>
      <w:pPr>
        <w:pStyle w:val="32"/>
        <w:ind w:firstLine="0" w:firstLineChars="0"/>
        <w:rPr>
          <w:rFonts w:ascii="宋体" w:hAnsi="Courier New"/>
        </w:rPr>
      </w:pPr>
      <w:r>
        <w:rPr>
          <w:rFonts w:hint="eastAsia" w:cs="宋体"/>
        </w:rPr>
        <w:t>附件13</w:t>
      </w:r>
      <w:r>
        <w:rPr>
          <w:rFonts w:hint="eastAsia" w:ascii="宋体" w:hAnsi="Courier New"/>
        </w:rPr>
        <w:t>中国重汽e采通“SRM非生产供应商注册手册</w:t>
      </w:r>
    </w:p>
    <w:p>
      <w:pPr>
        <w:pStyle w:val="32"/>
        <w:ind w:firstLine="0" w:firstLineChars="0"/>
        <w:outlineLvl w:val="9"/>
        <w:rPr>
          <w:rFonts w:ascii="宋体" w:hAnsi="Courier New"/>
        </w:rPr>
      </w:pPr>
    </w:p>
    <w:p>
      <w:pPr>
        <w:pStyle w:val="32"/>
        <w:ind w:firstLine="0" w:firstLineChars="0"/>
        <w:outlineLvl w:val="3"/>
        <w:rPr>
          <w:rFonts w:ascii="宋体" w:hAnsi="Courier New"/>
        </w:rPr>
      </w:pPr>
      <w:r>
        <w:rPr>
          <w:rFonts w:hint="eastAsia" w:ascii="宋体" w:hAnsi="Courier New"/>
        </w:rPr>
        <w:t>1、注册操作步骤</w:t>
      </w:r>
    </w:p>
    <w:p>
      <w:r>
        <w:rPr>
          <w:rFonts w:ascii="宋体" w:hAnsi="宋体" w:eastAsia="宋体" w:cs="宋体"/>
          <w:color w:val="000000"/>
        </w:rPr>
        <w:t>浏览器中输入地址</w:t>
      </w:r>
      <w:r>
        <w:rPr>
          <w:rFonts w:ascii="Calibri" w:hAnsi="Calibri" w:eastAsia="Calibri" w:cs="Calibri"/>
          <w:color w:val="000000"/>
        </w:rPr>
        <w:t>;</w:t>
      </w:r>
    </w:p>
    <w:p>
      <w:r>
        <w:fldChar w:fldCharType="begin"/>
      </w:r>
      <w:r>
        <w:instrText xml:space="preserve"> HYPERLINK "http://ecaitong.sinotruk.com:8012/" \l "/login" \t "dlt" </w:instrText>
      </w:r>
      <w:r>
        <w:fldChar w:fldCharType="separate"/>
      </w:r>
      <w:r>
        <w:rPr>
          <w:rStyle w:val="19"/>
          <w:color w:val="auto"/>
        </w:rPr>
        <w:t>http://ecaitong.sinotruk.com:8012/#/login</w:t>
      </w:r>
      <w:r>
        <w:rPr>
          <w:rStyle w:val="19"/>
          <w:color w:val="auto"/>
        </w:rPr>
        <w:fldChar w:fldCharType="end"/>
      </w:r>
    </w:p>
    <w:p>
      <w:r>
        <w:rPr>
          <w:rFonts w:ascii="Calibri" w:hAnsi="Calibri" w:eastAsia="Calibri" w:cs="Calibri"/>
          <w:color w:val="000000"/>
        </w:rPr>
        <w:t>1</w:t>
      </w:r>
      <w:r>
        <w:rPr>
          <w:rFonts w:hint="eastAsia" w:ascii="Calibri" w:hAnsi="Calibri" w:eastAsia="宋体" w:cs="Calibri"/>
          <w:color w:val="000000"/>
        </w:rPr>
        <w:t>）</w:t>
      </w:r>
      <w:r>
        <w:rPr>
          <w:rFonts w:ascii="宋体" w:hAnsi="宋体" w:eastAsia="宋体" w:cs="宋体"/>
          <w:color w:val="000000"/>
        </w:rPr>
        <w:t>点击立即注册</w:t>
      </w:r>
    </w:p>
    <w:p>
      <w:pPr>
        <w:snapToGrid w:val="0"/>
        <w:spacing w:line="312" w:lineRule="auto"/>
      </w:pPr>
      <w:r>
        <w:drawing>
          <wp:inline distT="0" distB="0" distL="0" distR="0">
            <wp:extent cx="5760085" cy="2933065"/>
            <wp:effectExtent l="0" t="0" r="12065" b="63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9"/>
                    <a:stretch>
                      <a:fillRect/>
                    </a:stretch>
                  </pic:blipFill>
                  <pic:spPr>
                    <a:xfrm>
                      <a:off x="0" y="0"/>
                      <a:ext cx="5760085" cy="2933377"/>
                    </a:xfrm>
                    <a:prstGeom prst="rect">
                      <a:avLst/>
                    </a:prstGeom>
                  </pic:spPr>
                </pic:pic>
              </a:graphicData>
            </a:graphic>
          </wp:inline>
        </w:drawing>
      </w:r>
    </w:p>
    <w:p>
      <w:r>
        <w:rPr>
          <w:rFonts w:ascii="Calibri" w:hAnsi="Calibri" w:eastAsia="Calibri" w:cs="Calibri"/>
          <w:color w:val="000000"/>
        </w:rPr>
        <w:t>2</w:t>
      </w:r>
      <w:r>
        <w:rPr>
          <w:rFonts w:hint="eastAsia" w:ascii="Calibri" w:hAnsi="Calibri" w:eastAsia="宋体" w:cs="Calibri"/>
          <w:color w:val="000000"/>
        </w:rPr>
        <w:t>）</w:t>
      </w:r>
      <w:r>
        <w:rPr>
          <w:rFonts w:ascii="宋体" w:hAnsi="宋体" w:eastAsia="宋体" w:cs="宋体"/>
          <w:color w:val="000000"/>
        </w:rPr>
        <w:t>填写手机号码（没有注册过的）</w:t>
      </w:r>
    </w:p>
    <w:p>
      <w:pPr>
        <w:snapToGrid w:val="0"/>
        <w:spacing w:line="312" w:lineRule="auto"/>
      </w:pPr>
      <w:r>
        <w:drawing>
          <wp:inline distT="0" distB="0" distL="0" distR="0">
            <wp:extent cx="5760085" cy="2766695"/>
            <wp:effectExtent l="0" t="0" r="12065" b="1460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0"/>
                    <a:stretch>
                      <a:fillRect/>
                    </a:stretch>
                  </pic:blipFill>
                  <pic:spPr>
                    <a:xfrm>
                      <a:off x="0" y="0"/>
                      <a:ext cx="5760085" cy="2766707"/>
                    </a:xfrm>
                    <a:prstGeom prst="rect">
                      <a:avLst/>
                    </a:prstGeom>
                  </pic:spPr>
                </pic:pic>
              </a:graphicData>
            </a:graphic>
          </wp:inline>
        </w:drawing>
      </w:r>
    </w:p>
    <w:p>
      <w:r>
        <w:rPr>
          <w:rFonts w:ascii="Calibri" w:hAnsi="Calibri" w:eastAsia="Calibri" w:cs="Calibri"/>
          <w:color w:val="000000"/>
        </w:rPr>
        <w:t>3</w:t>
      </w:r>
      <w:r>
        <w:rPr>
          <w:rFonts w:hint="eastAsia" w:ascii="Calibri" w:hAnsi="Calibri" w:eastAsia="宋体" w:cs="Calibri"/>
          <w:color w:val="000000"/>
        </w:rPr>
        <w:t>）</w:t>
      </w:r>
      <w:r>
        <w:rPr>
          <w:rFonts w:ascii="Calibri" w:hAnsi="Calibri" w:eastAsia="Calibri" w:cs="Calibri"/>
          <w:color w:val="000000"/>
        </w:rPr>
        <w:t xml:space="preserve"> </w:t>
      </w:r>
      <w:r>
        <w:rPr>
          <w:rFonts w:ascii="宋体" w:hAnsi="宋体" w:eastAsia="宋体" w:cs="宋体"/>
          <w:color w:val="000000"/>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1"/>
                    <a:stretch>
                      <a:fillRect/>
                    </a:stretch>
                  </pic:blipFill>
                  <pic:spPr>
                    <a:xfrm>
                      <a:off x="0" y="0"/>
                      <a:ext cx="5760085" cy="2870054"/>
                    </a:xfrm>
                    <a:prstGeom prst="rect">
                      <a:avLst/>
                    </a:prstGeom>
                  </pic:spPr>
                </pic:pic>
              </a:graphicData>
            </a:graphic>
          </wp:inline>
        </w:drawing>
      </w:r>
    </w:p>
    <w:p>
      <w:r>
        <w:rPr>
          <w:rFonts w:ascii="Calibri" w:hAnsi="Calibri" w:eastAsia="Calibri" w:cs="Calibri"/>
          <w:color w:val="000000"/>
        </w:rPr>
        <w:t>4</w:t>
      </w:r>
      <w:r>
        <w:rPr>
          <w:rFonts w:hint="eastAsia" w:ascii="Calibri" w:hAnsi="Calibri" w:eastAsia="宋体" w:cs="Calibri"/>
          <w:color w:val="000000"/>
        </w:rPr>
        <w:t>）</w:t>
      </w:r>
      <w:r>
        <w:rPr>
          <w:rFonts w:ascii="宋体" w:hAnsi="宋体" w:eastAsia="宋体" w:cs="宋体"/>
          <w:color w:val="000000"/>
        </w:rPr>
        <w:t>点击新增</w:t>
      </w:r>
    </w:p>
    <w:p>
      <w:pPr>
        <w:snapToGrid w:val="0"/>
        <w:spacing w:line="312" w:lineRule="auto"/>
      </w:pPr>
      <w:r>
        <w:drawing>
          <wp:inline distT="0" distB="0" distL="0" distR="0">
            <wp:extent cx="5760085" cy="2853055"/>
            <wp:effectExtent l="0" t="0" r="12065" b="4445"/>
            <wp:docPr id="11" name="picture" descr="descript"/>
            <wp:cNvGraphicFramePr/>
            <a:graphic xmlns:a="http://schemas.openxmlformats.org/drawingml/2006/main">
              <a:graphicData uri="http://schemas.openxmlformats.org/drawingml/2006/picture">
                <pic:pic xmlns:pic="http://schemas.openxmlformats.org/drawingml/2006/picture">
                  <pic:nvPicPr>
                    <pic:cNvPr id="11" name="picture" descr="descript"/>
                    <pic:cNvPicPr/>
                  </pic:nvPicPr>
                  <pic:blipFill>
                    <a:blip r:embed="rId12"/>
                    <a:stretch>
                      <a:fillRect/>
                    </a:stretch>
                  </pic:blipFill>
                  <pic:spPr>
                    <a:xfrm>
                      <a:off x="0" y="0"/>
                      <a:ext cx="5760085" cy="2853375"/>
                    </a:xfrm>
                    <a:prstGeom prst="rect">
                      <a:avLst/>
                    </a:prstGeom>
                  </pic:spPr>
                </pic:pic>
              </a:graphicData>
            </a:graphic>
          </wp:inline>
        </w:drawing>
      </w:r>
    </w:p>
    <w:p>
      <w:pPr>
        <w:rPr>
          <w:rFonts w:ascii="宋体" w:hAnsi="宋体" w:eastAsia="宋体" w:cs="宋体"/>
          <w:color w:val="000000"/>
        </w:rPr>
      </w:pPr>
      <w:r>
        <w:t>5</w:t>
      </w:r>
      <w:r>
        <w:rPr>
          <w:rFonts w:hint="eastAsia"/>
        </w:rPr>
        <w:t>）</w:t>
      </w:r>
      <w:r>
        <w:rPr>
          <w:rFonts w:ascii="宋体" w:hAnsi="宋体" w:eastAsia="宋体" w:cs="宋体"/>
          <w:color w:val="000000"/>
        </w:rPr>
        <w:t>按要求填写所有信息，最后提交审批</w:t>
      </w:r>
    </w:p>
    <w:p>
      <w:pPr>
        <w:widowControl/>
        <w:spacing w:line="480" w:lineRule="exact"/>
        <w:rPr>
          <w:rFonts w:ascii="宋体" w:hAnsi="Courier New" w:eastAsia="宋体" w:cs="Times New Roman"/>
          <w:color w:val="000000"/>
          <w:sz w:val="24"/>
          <w:szCs w:val="24"/>
        </w:rPr>
      </w:pPr>
      <w:r>
        <w:drawing>
          <wp:inline distT="0" distB="0" distL="0" distR="0">
            <wp:extent cx="5760085" cy="2809875"/>
            <wp:effectExtent l="0" t="0" r="12065" b="9525"/>
            <wp:docPr id="14" name="picture" descr="descript"/>
            <wp:cNvGraphicFramePr/>
            <a:graphic xmlns:a="http://schemas.openxmlformats.org/drawingml/2006/main">
              <a:graphicData uri="http://schemas.openxmlformats.org/drawingml/2006/picture">
                <pic:pic xmlns:pic="http://schemas.openxmlformats.org/drawingml/2006/picture">
                  <pic:nvPicPr>
                    <pic:cNvPr id="14" name="picture" descr="descript"/>
                    <pic:cNvPicPr/>
                  </pic:nvPicPr>
                  <pic:blipFill>
                    <a:blip r:embed="rId13"/>
                    <a:stretch>
                      <a:fillRect/>
                    </a:stretch>
                  </pic:blipFill>
                  <pic:spPr>
                    <a:xfrm>
                      <a:off x="0" y="0"/>
                      <a:ext cx="5760085" cy="2810122"/>
                    </a:xfrm>
                    <a:prstGeom prst="rect">
                      <a:avLst/>
                    </a:prstGeom>
                  </pic:spPr>
                </pic:pic>
              </a:graphicData>
            </a:graphic>
          </wp:inline>
        </w:drawing>
      </w:r>
    </w:p>
    <w:p>
      <w:pPr>
        <w:widowControl/>
        <w:spacing w:line="480" w:lineRule="exact"/>
        <w:ind w:firstLine="560"/>
        <w:rPr>
          <w:rFonts w:ascii="仿宋" w:hAnsi="仿宋" w:eastAsia="仿宋" w:cs="仿宋"/>
          <w:sz w:val="28"/>
          <w:szCs w:val="28"/>
          <w:lang w:bidi="ar"/>
        </w:rPr>
      </w:pPr>
      <w:r>
        <w:rPr>
          <w:rFonts w:hint="eastAsia" w:ascii="仿宋" w:hAnsi="仿宋" w:eastAsia="仿宋" w:cs="仿宋"/>
          <w:sz w:val="28"/>
          <w:szCs w:val="28"/>
          <w:lang w:bidi="ar"/>
        </w:rPr>
        <w:t>系统网址：</w:t>
      </w:r>
      <w:r>
        <w:fldChar w:fldCharType="begin"/>
      </w:r>
      <w:r>
        <w:instrText xml:space="preserve"> HYPERLINK "http://ecaitong.sinotruk.com:8012/" </w:instrText>
      </w:r>
      <w:r>
        <w:fldChar w:fldCharType="separate"/>
      </w:r>
      <w:r>
        <w:rPr>
          <w:rFonts w:ascii="仿宋" w:hAnsi="仿宋" w:eastAsia="仿宋" w:cs="仿宋"/>
          <w:sz w:val="28"/>
          <w:szCs w:val="28"/>
          <w:lang w:bidi="ar"/>
        </w:rPr>
        <w:t>http://ecaitong.sinotruk.com:8012/</w:t>
      </w:r>
      <w:r>
        <w:rPr>
          <w:rFonts w:ascii="仿宋" w:hAnsi="仿宋" w:eastAsia="仿宋" w:cs="仿宋"/>
          <w:sz w:val="28"/>
          <w:szCs w:val="28"/>
          <w:lang w:bidi="ar"/>
        </w:rPr>
        <w:fldChar w:fldCharType="end"/>
      </w:r>
    </w:p>
    <w:p>
      <w:pPr>
        <w:widowControl/>
        <w:spacing w:line="480" w:lineRule="exact"/>
        <w:ind w:firstLine="560"/>
        <w:rPr>
          <w:rFonts w:ascii="仿宋" w:hAnsi="仿宋" w:eastAsia="仿宋" w:cs="仿宋"/>
          <w:sz w:val="28"/>
          <w:szCs w:val="28"/>
          <w:lang w:bidi="ar"/>
        </w:rPr>
      </w:pPr>
      <w:r>
        <w:rPr>
          <w:rFonts w:hint="eastAsia" w:ascii="仿宋" w:hAnsi="仿宋" w:eastAsia="仿宋" w:cs="仿宋"/>
          <w:sz w:val="28"/>
          <w:szCs w:val="28"/>
          <w:lang w:bidi="ar"/>
        </w:rPr>
        <w:t>用 户 名：g</w:t>
      </w:r>
      <w:r>
        <w:rPr>
          <w:rFonts w:ascii="仿宋" w:hAnsi="仿宋" w:eastAsia="仿宋" w:cs="仿宋"/>
          <w:sz w:val="28"/>
          <w:szCs w:val="28"/>
          <w:lang w:bidi="ar"/>
        </w:rPr>
        <w:t>ys+</w:t>
      </w:r>
      <w:r>
        <w:rPr>
          <w:rFonts w:hint="eastAsia" w:ascii="仿宋" w:hAnsi="仿宋" w:eastAsia="仿宋" w:cs="仿宋"/>
          <w:sz w:val="28"/>
          <w:szCs w:val="28"/>
          <w:lang w:bidi="ar"/>
        </w:rPr>
        <w:t>供应商代码</w:t>
      </w:r>
    </w:p>
    <w:p>
      <w:pPr>
        <w:widowControl/>
        <w:spacing w:line="480" w:lineRule="exact"/>
        <w:ind w:firstLine="560"/>
        <w:rPr>
          <w:rFonts w:ascii="仿宋" w:hAnsi="仿宋" w:eastAsia="仿宋" w:cs="仿宋"/>
          <w:sz w:val="28"/>
          <w:szCs w:val="28"/>
          <w:lang w:bidi="ar"/>
        </w:rPr>
      </w:pPr>
      <w:r>
        <w:rPr>
          <w:rFonts w:hint="eastAsia" w:ascii="仿宋" w:hAnsi="仿宋" w:eastAsia="仿宋" w:cs="仿宋"/>
          <w:sz w:val="28"/>
          <w:szCs w:val="28"/>
          <w:lang w:bidi="ar"/>
        </w:rPr>
        <w:t>初始密码：scm</w:t>
      </w:r>
      <w:r>
        <w:rPr>
          <w:rFonts w:ascii="仿宋" w:hAnsi="仿宋" w:eastAsia="仿宋" w:cs="仿宋"/>
          <w:sz w:val="28"/>
          <w:szCs w:val="28"/>
          <w:lang w:bidi="ar"/>
        </w:rPr>
        <w:t>@202</w:t>
      </w:r>
      <w:r>
        <w:rPr>
          <w:rFonts w:hint="eastAsia" w:ascii="仿宋" w:hAnsi="仿宋" w:eastAsia="仿宋" w:cs="仿宋"/>
          <w:sz w:val="28"/>
          <w:szCs w:val="28"/>
          <w:lang w:bidi="ar"/>
        </w:rPr>
        <w:t>2</w:t>
      </w:r>
    </w:p>
    <w:p>
      <w:pPr>
        <w:pStyle w:val="6"/>
        <w:numPr>
          <w:ilvl w:val="0"/>
          <w:numId w:val="0"/>
        </w:numPr>
      </w:pPr>
      <w:bookmarkStart w:id="16" w:name="_Toc77337714"/>
      <w:bookmarkEnd w:id="16"/>
      <w:bookmarkStart w:id="17" w:name="_Toc77754747"/>
      <w:bookmarkEnd w:id="17"/>
      <w:bookmarkStart w:id="18" w:name="_Toc77754138"/>
      <w:bookmarkEnd w:id="18"/>
      <w:bookmarkStart w:id="19" w:name="_Toc77752841"/>
      <w:bookmarkEnd w:id="19"/>
      <w:bookmarkStart w:id="20" w:name="_Toc77693130"/>
      <w:bookmarkEnd w:id="20"/>
      <w:bookmarkStart w:id="21" w:name="_Toc522005584"/>
      <w:bookmarkEnd w:id="21"/>
      <w:bookmarkStart w:id="22" w:name="_Toc77336402"/>
      <w:bookmarkEnd w:id="22"/>
      <w:bookmarkStart w:id="23" w:name="_Toc77336609"/>
      <w:bookmarkEnd w:id="23"/>
      <w:bookmarkStart w:id="24" w:name="_Toc77952823"/>
      <w:bookmarkEnd w:id="24"/>
      <w:bookmarkStart w:id="25" w:name="_Toc77336328"/>
      <w:bookmarkEnd w:id="25"/>
      <w:bookmarkStart w:id="26" w:name="_Toc77337624"/>
      <w:bookmarkEnd w:id="26"/>
      <w:bookmarkStart w:id="27" w:name="_Toc111214275"/>
      <w:bookmarkEnd w:id="27"/>
      <w:bookmarkStart w:id="28" w:name="_Toc521919763"/>
      <w:bookmarkEnd w:id="28"/>
      <w:r>
        <w:rPr>
          <w:rFonts w:hint="eastAsia"/>
        </w:rPr>
        <w:t>2.供应商应标</w:t>
      </w:r>
    </w:p>
    <w:p>
      <w:r>
        <w:rPr>
          <w:rFonts w:hint="eastAsia"/>
        </w:rPr>
        <w:t>路径：招投标中心-非生产类招投标-供应商应标</w:t>
      </w:r>
    </w:p>
    <w:p>
      <w:r>
        <w:rPr>
          <w:rFonts w:hint="eastAsia"/>
        </w:rPr>
        <w:t>点击应标，上传文件之后点击提交。</w:t>
      </w:r>
    </w:p>
    <w:p>
      <w:r>
        <w:drawing>
          <wp:inline distT="0" distB="0" distL="114300" distR="114300">
            <wp:extent cx="5269865" cy="2077720"/>
            <wp:effectExtent l="0" t="0" r="6985"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269865" cy="2077720"/>
                    </a:xfrm>
                    <a:prstGeom prst="rect">
                      <a:avLst/>
                    </a:prstGeom>
                    <a:noFill/>
                    <a:ln>
                      <a:noFill/>
                    </a:ln>
                  </pic:spPr>
                </pic:pic>
              </a:graphicData>
            </a:graphic>
          </wp:inline>
        </w:drawing>
      </w:r>
    </w:p>
    <w:p>
      <w:pPr>
        <w:rPr>
          <w:color w:val="FF0000"/>
          <w:sz w:val="24"/>
          <w:szCs w:val="24"/>
        </w:rPr>
      </w:pPr>
      <w:r>
        <w:rPr>
          <w:rFonts w:hint="eastAsia"/>
          <w:color w:val="FF0000"/>
          <w:sz w:val="24"/>
          <w:szCs w:val="24"/>
        </w:rPr>
        <w:t>注意：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+86-17860603455  ），补充信息请到供应商中心——供应商基本信息——编辑，进入信息填写界面，选择《是否上市公司？》《是否提供？一般是提供》，此处如果选择“否”系统则允许不提供财务数据的情况下参与应标，但是必须要先和采购中心联系。按要求填写财务数据，全部信息补充完整之后提交，提交成功后才可以参与招标。截图路径如下</w:t>
      </w:r>
    </w:p>
    <w:p>
      <w:r>
        <w:drawing>
          <wp:inline distT="0" distB="0" distL="114300" distR="114300">
            <wp:extent cx="4180840" cy="1755775"/>
            <wp:effectExtent l="0" t="0" r="10160" b="1587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5"/>
                    <a:stretch>
                      <a:fillRect/>
                    </a:stretch>
                  </pic:blipFill>
                  <pic:spPr>
                    <a:xfrm>
                      <a:off x="0" y="0"/>
                      <a:ext cx="4180840" cy="1755775"/>
                    </a:xfrm>
                    <a:prstGeom prst="rect">
                      <a:avLst/>
                    </a:prstGeom>
                    <a:noFill/>
                    <a:ln>
                      <a:noFill/>
                    </a:ln>
                  </pic:spPr>
                </pic:pic>
              </a:graphicData>
            </a:graphic>
          </wp:inline>
        </w:drawing>
      </w:r>
    </w:p>
    <w:p>
      <w:r>
        <w:drawing>
          <wp:inline distT="0" distB="0" distL="114300" distR="114300">
            <wp:extent cx="4187825" cy="1825625"/>
            <wp:effectExtent l="0" t="0" r="3175" b="3175"/>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16"/>
                    <a:stretch>
                      <a:fillRect/>
                    </a:stretch>
                  </pic:blipFill>
                  <pic:spPr>
                    <a:xfrm>
                      <a:off x="0" y="0"/>
                      <a:ext cx="4187825" cy="1825625"/>
                    </a:xfrm>
                    <a:prstGeom prst="rect">
                      <a:avLst/>
                    </a:prstGeom>
                    <a:noFill/>
                    <a:ln>
                      <a:noFill/>
                    </a:ln>
                  </pic:spPr>
                </pic:pic>
              </a:graphicData>
            </a:graphic>
          </wp:inline>
        </w:drawing>
      </w:r>
    </w:p>
    <w:p>
      <w:pPr>
        <w:pStyle w:val="6"/>
        <w:numPr>
          <w:ilvl w:val="0"/>
          <w:numId w:val="0"/>
        </w:numPr>
      </w:pPr>
      <w:r>
        <w:rPr>
          <w:rFonts w:hint="eastAsia"/>
        </w:rPr>
        <w:t>3.供应商投标</w:t>
      </w:r>
    </w:p>
    <w:p>
      <w:r>
        <w:t>路径：招投标中心-非生产类招投标-</w:t>
      </w:r>
      <w:r>
        <w:rPr>
          <w:rFonts w:hint="eastAsia"/>
        </w:rPr>
        <w:t>供应商投标</w:t>
      </w:r>
    </w:p>
    <w:p>
      <w:r>
        <w:drawing>
          <wp:inline distT="0" distB="0" distL="114300" distR="114300">
            <wp:extent cx="5724525" cy="1704975"/>
            <wp:effectExtent l="0" t="0" r="9525" b="952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7"/>
                    <a:srcRect r="453" b="19514"/>
                    <a:stretch>
                      <a:fillRect/>
                    </a:stretch>
                  </pic:blipFill>
                  <pic:spPr>
                    <a:xfrm>
                      <a:off x="0" y="0"/>
                      <a:ext cx="5724525" cy="1704975"/>
                    </a:xfrm>
                    <a:prstGeom prst="rect">
                      <a:avLst/>
                    </a:prstGeom>
                    <a:noFill/>
                    <a:ln>
                      <a:noFill/>
                    </a:ln>
                  </pic:spPr>
                </pic:pic>
              </a:graphicData>
            </a:graphic>
          </wp:inline>
        </w:drawing>
      </w:r>
    </w:p>
    <w:p>
      <w:r>
        <w:rPr>
          <w:rFonts w:hint="eastAsia"/>
        </w:rPr>
        <w:t>点击投标按钮，进入详情页，输入投标报价并上传相应的附件。</w:t>
      </w:r>
    </w:p>
    <w:p>
      <w:pPr>
        <w:rPr>
          <w:b/>
          <w:bCs/>
        </w:rPr>
      </w:pPr>
      <w:r>
        <w:rPr>
          <w:rFonts w:hint="eastAsia"/>
          <w:b/>
          <w:bCs/>
        </w:rPr>
        <w:t>请注意，投标报价单位为万元含税</w:t>
      </w:r>
    </w:p>
    <w:p>
      <w:r>
        <w:drawing>
          <wp:inline distT="0" distB="0" distL="114300" distR="114300">
            <wp:extent cx="5530215" cy="2689225"/>
            <wp:effectExtent l="0" t="0" r="13335" b="1587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8"/>
                    <a:stretch>
                      <a:fillRect/>
                    </a:stretch>
                  </pic:blipFill>
                  <pic:spPr>
                    <a:xfrm>
                      <a:off x="0" y="0"/>
                      <a:ext cx="5530215" cy="2689225"/>
                    </a:xfrm>
                    <a:prstGeom prst="rect">
                      <a:avLst/>
                    </a:prstGeom>
                    <a:noFill/>
                    <a:ln>
                      <a:noFill/>
                    </a:ln>
                  </pic:spPr>
                </pic:pic>
              </a:graphicData>
            </a:graphic>
          </wp:inline>
        </w:drawing>
      </w:r>
    </w:p>
    <w:p>
      <w:pPr>
        <w:pStyle w:val="6"/>
        <w:numPr>
          <w:ilvl w:val="0"/>
          <w:numId w:val="0"/>
        </w:numPr>
      </w:pPr>
      <w:bookmarkStart w:id="29" w:name="_Hlk128316797"/>
      <w:r>
        <w:rPr>
          <w:rFonts w:hint="eastAsia"/>
        </w:rPr>
        <w:t>4.供应商技术标澄清函</w:t>
      </w:r>
    </w:p>
    <w:p>
      <w:r>
        <w:t>路径：招投标中心-非生产类招投标-</w:t>
      </w:r>
      <w:r>
        <w:rPr>
          <w:rFonts w:hint="eastAsia"/>
        </w:rPr>
        <w:t>供应商技术标澄清函</w:t>
      </w:r>
    </w:p>
    <w:p>
      <w:r>
        <w:rPr>
          <w:rFonts w:hint="eastAsia"/>
        </w:rPr>
        <w:t>点击编辑按钮进入系统，技术标澄清函。</w:t>
      </w:r>
    </w:p>
    <w:p>
      <w:r>
        <w:rPr>
          <w:rFonts w:hint="eastAsia"/>
        </w:rPr>
        <w:t>开标之后所有投标的供应商都可编辑提交，技术标入围之后 都不可编辑</w:t>
      </w:r>
    </w:p>
    <w:p>
      <w:r>
        <w:drawing>
          <wp:inline distT="0" distB="0" distL="0" distR="0">
            <wp:extent cx="5442585" cy="2522855"/>
            <wp:effectExtent l="0" t="0" r="5715" b="10795"/>
            <wp:docPr id="719997871" name="图片 1"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97871" name="图片 1" descr="图形用户界面, 文本, 信件&#10;&#10;描述已自动生成"/>
                    <pic:cNvPicPr>
                      <a:picLocks noChangeAspect="1"/>
                    </pic:cNvPicPr>
                  </pic:nvPicPr>
                  <pic:blipFill>
                    <a:blip r:embed="rId19"/>
                    <a:stretch>
                      <a:fillRect/>
                    </a:stretch>
                  </pic:blipFill>
                  <pic:spPr>
                    <a:xfrm>
                      <a:off x="0" y="0"/>
                      <a:ext cx="5442585" cy="2522855"/>
                    </a:xfrm>
                    <a:prstGeom prst="rect">
                      <a:avLst/>
                    </a:prstGeom>
                  </pic:spPr>
                </pic:pic>
              </a:graphicData>
            </a:graphic>
          </wp:inline>
        </w:drawing>
      </w:r>
    </w:p>
    <w:p/>
    <w:bookmarkEnd w:id="29"/>
    <w:p>
      <w:pPr>
        <w:pStyle w:val="6"/>
        <w:numPr>
          <w:ilvl w:val="0"/>
          <w:numId w:val="0"/>
        </w:numPr>
      </w:pPr>
      <w:r>
        <w:rPr>
          <w:rFonts w:hint="eastAsia"/>
        </w:rPr>
        <w:t>5.供应商报价</w:t>
      </w:r>
    </w:p>
    <w:p>
      <w:r>
        <w:t>路径：招投标中心-非生产类招投标-</w:t>
      </w:r>
      <w:r>
        <w:rPr>
          <w:rFonts w:hint="eastAsia"/>
        </w:rPr>
        <w:t>供应商报价</w:t>
      </w:r>
    </w:p>
    <w:p>
      <w:r>
        <w:rPr>
          <w:rFonts w:hint="eastAsia"/>
        </w:rPr>
        <w:t>点击报价按钮进入报价详情界面，请在此轮报价起止时间内报价并输入澄清函，否则无法报价。</w:t>
      </w:r>
    </w:p>
    <w:p>
      <w:pPr>
        <w:rPr>
          <w:b/>
          <w:bCs/>
        </w:rPr>
      </w:pPr>
      <w:r>
        <w:rPr>
          <w:rFonts w:hint="eastAsia"/>
          <w:b/>
          <w:bCs/>
        </w:rPr>
        <w:t>请注意，报价单位为万元含税</w:t>
      </w:r>
    </w:p>
    <w:p>
      <w:pPr>
        <w:rPr>
          <w:b/>
          <w:bCs/>
        </w:rPr>
      </w:pPr>
    </w:p>
    <w:p>
      <w:pPr>
        <w:rPr>
          <w:b/>
          <w:bCs/>
        </w:rPr>
      </w:pPr>
      <w:r>
        <w:drawing>
          <wp:inline distT="0" distB="0" distL="0" distR="0">
            <wp:extent cx="5569585" cy="2839720"/>
            <wp:effectExtent l="0" t="0" r="12065" b="17780"/>
            <wp:docPr id="1001516908" name="图片 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16908" name="图片 1" descr="图形用户界面, 文本&#10;&#10;描述已自动生成"/>
                    <pic:cNvPicPr>
                      <a:picLocks noChangeAspect="1"/>
                    </pic:cNvPicPr>
                  </pic:nvPicPr>
                  <pic:blipFill>
                    <a:blip r:embed="rId20"/>
                    <a:stretch>
                      <a:fillRect/>
                    </a:stretch>
                  </pic:blipFill>
                  <pic:spPr>
                    <a:xfrm>
                      <a:off x="0" y="0"/>
                      <a:ext cx="5569585" cy="2839720"/>
                    </a:xfrm>
                    <a:prstGeom prst="rect">
                      <a:avLst/>
                    </a:prstGeom>
                  </pic:spPr>
                </pic:pic>
              </a:graphicData>
            </a:graphic>
          </wp:inline>
        </w:drawing>
      </w:r>
    </w:p>
    <w:p>
      <w:pPr>
        <w:pStyle w:val="6"/>
        <w:numPr>
          <w:ilvl w:val="0"/>
          <w:numId w:val="0"/>
        </w:numPr>
      </w:pPr>
      <w:r>
        <w:rPr>
          <w:rFonts w:hint="eastAsia"/>
        </w:rPr>
        <w:t>6.供应商澄清报价</w:t>
      </w:r>
    </w:p>
    <w:p>
      <w:r>
        <w:t>路径：招投标中心-非生产类招投标-</w:t>
      </w:r>
      <w:r>
        <w:rPr>
          <w:rFonts w:hint="eastAsia"/>
        </w:rPr>
        <w:t>供应商澄清报价</w:t>
      </w:r>
    </w:p>
    <w:p/>
    <w:p>
      <w:r>
        <w:rPr>
          <w:rFonts w:hint="eastAsia"/>
        </w:rPr>
        <w:t>招标发起人接收建议价的同时会给供应商发送澄清报价，供应商在此界面进行澄清报价，点击编辑按钮进入澄清报价详细界面，输入价格并上传澄清函，之后点击提交。</w:t>
      </w:r>
    </w:p>
    <w:p>
      <w:r>
        <w:drawing>
          <wp:inline distT="0" distB="0" distL="0" distR="0">
            <wp:extent cx="5759450" cy="2671445"/>
            <wp:effectExtent l="0" t="0" r="12700" b="14605"/>
            <wp:docPr id="36" name="图片 36"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形用户界面, 文本, 应用程序, 电子邮件&#10;&#10;描述已自动生成"/>
                    <pic:cNvPicPr>
                      <a:picLocks noChangeAspect="1"/>
                    </pic:cNvPicPr>
                  </pic:nvPicPr>
                  <pic:blipFill>
                    <a:blip r:embed="rId21"/>
                    <a:stretch>
                      <a:fillRect/>
                    </a:stretch>
                  </pic:blipFill>
                  <pic:spPr>
                    <a:xfrm>
                      <a:off x="0" y="0"/>
                      <a:ext cx="5759450" cy="2671445"/>
                    </a:xfrm>
                    <a:prstGeom prst="rect">
                      <a:avLst/>
                    </a:prstGeom>
                  </pic:spPr>
                </pic:pic>
              </a:graphicData>
            </a:graphic>
          </wp:inline>
        </w:drawing>
      </w:r>
    </w:p>
    <w:p>
      <w:pPr>
        <w:pStyle w:val="6"/>
        <w:numPr>
          <w:ilvl w:val="0"/>
          <w:numId w:val="0"/>
        </w:numPr>
      </w:pPr>
      <w:r>
        <w:rPr>
          <w:rFonts w:hint="eastAsia"/>
        </w:rPr>
        <w:t>7.供应商查看中标通知</w:t>
      </w:r>
    </w:p>
    <w:p>
      <w:r>
        <w:t>路径：招投标中心-非生产类招投标-</w:t>
      </w:r>
      <w:r>
        <w:rPr>
          <w:rFonts w:hint="eastAsia"/>
        </w:rPr>
        <w:t>中标项目</w:t>
      </w:r>
    </w:p>
    <w:p>
      <w:r>
        <w:rPr>
          <w:rFonts w:hint="eastAsia"/>
        </w:rPr>
        <w:t>点击查看进入查看中标项目详情</w:t>
      </w:r>
    </w:p>
    <w:p>
      <w:r>
        <w:drawing>
          <wp:inline distT="0" distB="0" distL="0" distR="0">
            <wp:extent cx="5716905" cy="1765300"/>
            <wp:effectExtent l="0" t="0" r="17145" b="6350"/>
            <wp:docPr id="1220149190"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149190" name="图片 1" descr="图形用户界面, 文本, 应用程序&#10;&#10;描述已自动生成"/>
                    <pic:cNvPicPr>
                      <a:picLocks noChangeAspect="1"/>
                    </pic:cNvPicPr>
                  </pic:nvPicPr>
                  <pic:blipFill>
                    <a:blip r:embed="rId22"/>
                    <a:srcRect r="739" b="25389"/>
                    <a:stretch>
                      <a:fillRect/>
                    </a:stretch>
                  </pic:blipFill>
                  <pic:spPr>
                    <a:xfrm>
                      <a:off x="0" y="0"/>
                      <a:ext cx="5716905" cy="1765300"/>
                    </a:xfrm>
                    <a:prstGeom prst="rect">
                      <a:avLst/>
                    </a:prstGeom>
                  </pic:spPr>
                </pic:pic>
              </a:graphicData>
            </a:graphic>
          </wp:inline>
        </w:drawing>
      </w:r>
    </w:p>
    <w:p>
      <w:r>
        <w:drawing>
          <wp:inline distT="0" distB="0" distL="0" distR="0">
            <wp:extent cx="5759450" cy="2494915"/>
            <wp:effectExtent l="0" t="0" r="12700" b="635"/>
            <wp:docPr id="4299382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38279" name="图片 1"/>
                    <pic:cNvPicPr>
                      <a:picLocks noChangeAspect="1"/>
                    </pic:cNvPicPr>
                  </pic:nvPicPr>
                  <pic:blipFill>
                    <a:blip r:embed="rId23"/>
                    <a:stretch>
                      <a:fillRect/>
                    </a:stretch>
                  </pic:blipFill>
                  <pic:spPr>
                    <a:xfrm>
                      <a:off x="0" y="0"/>
                      <a:ext cx="5759450" cy="2494915"/>
                    </a:xfrm>
                    <a:prstGeom prst="rect">
                      <a:avLst/>
                    </a:prstGeom>
                  </pic:spPr>
                </pic:pic>
              </a:graphicData>
            </a:graphic>
          </wp:inline>
        </w:drawing>
      </w:r>
    </w:p>
    <w:p>
      <w:r>
        <w:rPr>
          <w:rFonts w:hint="eastAsia"/>
        </w:rPr>
        <w:t>点击查看按钮查看中标通知，点击发送按钮给项目负责人发送回执，发送回执之后回执发送状态变为已发送。</w:t>
      </w:r>
    </w:p>
    <w:p>
      <w:pPr>
        <w:pStyle w:val="6"/>
        <w:numPr>
          <w:ilvl w:val="0"/>
          <w:numId w:val="0"/>
        </w:numPr>
      </w:pPr>
      <w:r>
        <w:rPr>
          <w:rFonts w:hint="eastAsia"/>
        </w:rPr>
        <w:t>8.评标纪律</w:t>
      </w:r>
    </w:p>
    <w:p>
      <w:r>
        <w:t>路径：招投标中心-非生产类招投标-</w:t>
      </w:r>
      <w:r>
        <w:rPr>
          <w:rFonts w:hint="eastAsia"/>
        </w:rPr>
        <w:t>供应商投标</w:t>
      </w:r>
    </w:p>
    <w:p>
      <w:r>
        <w:rPr>
          <w:rFonts w:hint="eastAsia"/>
        </w:rPr>
        <w:t>供应商投标时会弹窗展示评标纪律，要求供应商勾选我已阅知并保证遵守评标记录之后点击确定按钮进入投标界面。</w:t>
      </w:r>
    </w:p>
    <w:p>
      <w:r>
        <w:drawing>
          <wp:inline distT="0" distB="0" distL="0" distR="0">
            <wp:extent cx="4617085" cy="2352675"/>
            <wp:effectExtent l="0" t="0" r="12065" b="9525"/>
            <wp:docPr id="805844583" name="图片 1"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844583" name="图片 1" descr="图形用户界面, 文本, 应用程序&#10;&#10;描述已自动生成"/>
                    <pic:cNvPicPr>
                      <a:picLocks noChangeAspect="1"/>
                    </pic:cNvPicPr>
                  </pic:nvPicPr>
                  <pic:blipFill>
                    <a:blip r:embed="rId24"/>
                    <a:stretch>
                      <a:fillRect/>
                    </a:stretch>
                  </pic:blipFill>
                  <pic:spPr>
                    <a:xfrm>
                      <a:off x="0" y="0"/>
                      <a:ext cx="4617085" cy="2352675"/>
                    </a:xfrm>
                    <a:prstGeom prst="rect">
                      <a:avLst/>
                    </a:prstGeom>
                  </pic:spPr>
                </pic:pic>
              </a:graphicData>
            </a:graphic>
          </wp:inline>
        </w:drawing>
      </w:r>
    </w:p>
    <w:p>
      <w:pPr>
        <w:widowControl/>
        <w:jc w:val="left"/>
        <w:rPr>
          <w:rFonts w:ascii="黑体" w:hAnsi="黑体" w:eastAsia="宋体"/>
          <w:color w:val="000000"/>
          <w:sz w:val="24"/>
          <w:szCs w:val="28"/>
        </w:rPr>
      </w:pPr>
      <w:r>
        <w:rPr>
          <w:rFonts w:ascii="黑体" w:hAnsi="黑体"/>
          <w:szCs w:val="28"/>
        </w:rPr>
        <w:br w:type="page"/>
      </w:r>
    </w:p>
    <w:p>
      <w:pPr>
        <w:pStyle w:val="26"/>
        <w:rPr>
          <w:rFonts w:ascii="黑体" w:hAnsi="黑体"/>
          <w:szCs w:val="28"/>
        </w:rPr>
      </w:pPr>
      <w:r>
        <w:rPr>
          <w:rFonts w:hint="eastAsia" w:ascii="黑体" w:hAnsi="黑体"/>
          <w:szCs w:val="28"/>
        </w:rPr>
        <w:t>五、议程安排</w:t>
      </w:r>
    </w:p>
    <w:p>
      <w:pPr>
        <w:pStyle w:val="32"/>
      </w:pPr>
      <w:r>
        <w:rPr>
          <w:rFonts w:hint="eastAsia"/>
        </w:rPr>
        <w:t>1、发标时间</w:t>
      </w:r>
    </w:p>
    <w:p>
      <w:pPr>
        <w:pStyle w:val="25"/>
        <w:ind w:firstLine="480"/>
        <w:rPr>
          <w:highlight w:val="yellow"/>
        </w:rPr>
      </w:pPr>
      <w:r>
        <w:rPr>
          <w:rFonts w:hint="eastAsia" w:ascii="Times New Roman" w:hAnsi="Times New Roman"/>
          <w:highlight w:val="yellow"/>
        </w:rPr>
        <w:t>202</w:t>
      </w:r>
      <w:r>
        <w:rPr>
          <w:rFonts w:ascii="Times New Roman" w:hAnsi="Times New Roman"/>
          <w:highlight w:val="yellow"/>
        </w:rPr>
        <w:t>4</w:t>
      </w:r>
      <w:r>
        <w:rPr>
          <w:rFonts w:hint="eastAsia"/>
          <w:highlight w:val="yellow"/>
        </w:rPr>
        <w:t>年</w:t>
      </w:r>
      <w:r>
        <w:rPr>
          <w:highlight w:val="yellow"/>
        </w:rPr>
        <w:t>1</w:t>
      </w:r>
      <w:r>
        <w:rPr>
          <w:rFonts w:hint="eastAsia"/>
          <w:highlight w:val="yellow"/>
        </w:rPr>
        <w:t>1</w:t>
      </w:r>
      <w:r>
        <w:rPr>
          <w:rFonts w:hint="eastAsia" w:ascii="Times New Roman" w:hAnsi="Times New Roman"/>
          <w:highlight w:val="yellow"/>
        </w:rPr>
        <w:t>月1</w:t>
      </w:r>
      <w:r>
        <w:rPr>
          <w:rFonts w:ascii="Times New Roman" w:hAnsi="Times New Roman"/>
          <w:highlight w:val="yellow"/>
        </w:rPr>
        <w:t>8</w:t>
      </w:r>
      <w:r>
        <w:rPr>
          <w:rFonts w:hint="eastAsia"/>
          <w:highlight w:val="yellow"/>
        </w:rPr>
        <w:t>日</w:t>
      </w:r>
    </w:p>
    <w:p>
      <w:pPr>
        <w:pStyle w:val="32"/>
      </w:pPr>
      <w:r>
        <w:rPr>
          <w:rFonts w:hint="eastAsia"/>
        </w:rPr>
        <w:t>2、</w:t>
      </w:r>
      <w:r>
        <w:t>发布招标方式</w:t>
      </w:r>
    </w:p>
    <w:p>
      <w:pPr>
        <w:pStyle w:val="2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中国重汽官网-通知公告栏</w:t>
      </w:r>
      <w:r>
        <w:rPr>
          <w:color w:val="000000" w:themeColor="text1"/>
          <w14:textFill>
            <w14:solidFill>
              <w14:schemeClr w14:val="tx1"/>
            </w14:solidFill>
          </w14:textFill>
        </w:rPr>
        <w:t>公布</w:t>
      </w:r>
    </w:p>
    <w:p>
      <w:pPr>
        <w:pStyle w:val="25"/>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山东省阳光采购服务平台</w:t>
      </w:r>
    </w:p>
    <w:p>
      <w:pPr>
        <w:pStyle w:val="32"/>
      </w:pPr>
      <w:r>
        <w:rPr>
          <w:rFonts w:hint="eastAsia"/>
        </w:rPr>
        <w:t>3、技术答疑</w:t>
      </w:r>
    </w:p>
    <w:p>
      <w:pPr>
        <w:pStyle w:val="25"/>
        <w:ind w:firstLine="480"/>
      </w:pPr>
      <w:r>
        <w:rPr>
          <w:rFonts w:hint="eastAsia"/>
        </w:rPr>
        <w:t>答疑时间：截止至</w:t>
      </w:r>
      <w:r>
        <w:rPr>
          <w:rFonts w:hint="eastAsia"/>
          <w:highlight w:val="yellow"/>
        </w:rPr>
        <w:t>2024年</w:t>
      </w:r>
      <w:r>
        <w:rPr>
          <w:highlight w:val="yellow"/>
        </w:rPr>
        <w:t>1</w:t>
      </w:r>
      <w:r>
        <w:rPr>
          <w:rFonts w:hint="eastAsia"/>
          <w:highlight w:val="yellow"/>
        </w:rPr>
        <w:t>2月10日</w:t>
      </w:r>
      <w:r>
        <w:rPr>
          <w:highlight w:val="yellow"/>
        </w:rPr>
        <w:t>1</w:t>
      </w:r>
      <w:r>
        <w:rPr>
          <w:rFonts w:hint="eastAsia"/>
          <w:highlight w:val="yellow"/>
        </w:rPr>
        <w:t>8点前</w:t>
      </w:r>
      <w:r>
        <w:rPr>
          <w:rFonts w:hint="eastAsia"/>
        </w:rPr>
        <w:t>，逾期不受理</w:t>
      </w:r>
    </w:p>
    <w:p>
      <w:pPr>
        <w:pStyle w:val="25"/>
        <w:ind w:firstLine="480"/>
      </w:pPr>
      <w:r>
        <w:rPr>
          <w:rFonts w:hint="eastAsia"/>
        </w:rPr>
        <w:t>答疑方式：电话及邮件</w:t>
      </w:r>
    </w:p>
    <w:p>
      <w:pPr>
        <w:pStyle w:val="25"/>
        <w:ind w:firstLine="480"/>
      </w:pPr>
      <w:r>
        <w:rPr>
          <w:rFonts w:hint="eastAsia"/>
        </w:rPr>
        <w:t>联 系 人：高淑</w:t>
      </w:r>
    </w:p>
    <w:p>
      <w:pPr>
        <w:pStyle w:val="25"/>
        <w:ind w:firstLine="480"/>
        <w:rPr>
          <w:rFonts w:cs="Arial" w:asciiTheme="minorEastAsia" w:hAnsiTheme="minorEastAsia" w:eastAsiaTheme="minorEastAsia"/>
          <w:color w:val="333333"/>
          <w:sz w:val="20"/>
          <w:szCs w:val="20"/>
          <w:shd w:val="clear" w:color="auto" w:fill="FFFFFF"/>
        </w:rPr>
      </w:pPr>
      <w:r>
        <w:rPr>
          <w:rFonts w:hint="eastAsia" w:asciiTheme="minorEastAsia" w:hAnsiTheme="minorEastAsia" w:eastAsiaTheme="minorEastAsia"/>
        </w:rPr>
        <w:t>电    话：</w:t>
      </w:r>
      <w:r>
        <w:rPr>
          <w:rFonts w:cs="Arial" w:asciiTheme="minorEastAsia" w:hAnsiTheme="minorEastAsia" w:eastAsiaTheme="minorEastAsia"/>
          <w:color w:val="333333"/>
          <w:sz w:val="20"/>
          <w:szCs w:val="20"/>
          <w:shd w:val="clear" w:color="auto" w:fill="FFFFFF"/>
        </w:rPr>
        <w:t>1</w:t>
      </w:r>
      <w:r>
        <w:rPr>
          <w:rFonts w:hint="eastAsia" w:cs="Arial" w:asciiTheme="minorEastAsia" w:hAnsiTheme="minorEastAsia" w:eastAsiaTheme="minorEastAsia"/>
          <w:color w:val="333333"/>
          <w:sz w:val="20"/>
          <w:szCs w:val="20"/>
          <w:shd w:val="clear" w:color="auto" w:fill="FFFFFF"/>
        </w:rPr>
        <w:t>7866829825</w:t>
      </w:r>
    </w:p>
    <w:p>
      <w:pPr>
        <w:pStyle w:val="25"/>
        <w:ind w:firstLine="480"/>
        <w:rPr>
          <w:rFonts w:asciiTheme="minorEastAsia" w:hAnsiTheme="minorEastAsia" w:eastAsiaTheme="minorEastAsia"/>
          <w:strike/>
        </w:rPr>
      </w:pPr>
      <w:r>
        <w:rPr>
          <w:rFonts w:hint="eastAsia" w:asciiTheme="minorEastAsia" w:hAnsiTheme="minorEastAsia" w:eastAsiaTheme="minorEastAsia"/>
        </w:rPr>
        <w:t>邮    箱：</w:t>
      </w:r>
      <w:r>
        <w:rPr>
          <w:rFonts w:hint="eastAsia" w:cs="Segoe UI" w:asciiTheme="minorEastAsia" w:hAnsiTheme="minorEastAsia" w:eastAsiaTheme="minorEastAsia"/>
          <w:color w:val="171A1D"/>
          <w:sz w:val="21"/>
          <w:szCs w:val="21"/>
          <w:shd w:val="clear" w:color="auto" w:fill="FFFFFF"/>
        </w:rPr>
        <w:t>gaoshu</w:t>
      </w:r>
      <w:r>
        <w:rPr>
          <w:rFonts w:cs="Segoe UI" w:asciiTheme="minorEastAsia" w:hAnsiTheme="minorEastAsia" w:eastAsiaTheme="minorEastAsia"/>
          <w:color w:val="171A1D"/>
          <w:sz w:val="21"/>
          <w:szCs w:val="21"/>
          <w:shd w:val="clear" w:color="auto" w:fill="FFFFFF"/>
        </w:rPr>
        <w:t>@sinotruk.com</w:t>
      </w:r>
    </w:p>
    <w:p>
      <w:pPr>
        <w:pStyle w:val="32"/>
      </w:pPr>
      <w:r>
        <w:t>4</w:t>
      </w:r>
      <w:r>
        <w:rPr>
          <w:rFonts w:hint="eastAsia"/>
        </w:rPr>
        <w:t>、商务答疑</w:t>
      </w:r>
    </w:p>
    <w:p>
      <w:pPr>
        <w:pStyle w:val="25"/>
        <w:ind w:firstLine="480"/>
      </w:pPr>
      <w:r>
        <w:rPr>
          <w:rFonts w:hint="eastAsia"/>
        </w:rPr>
        <w:t>答疑方式：</w:t>
      </w:r>
      <w:r>
        <w:rPr>
          <w:rFonts w:hint="eastAsia"/>
          <w:b/>
        </w:rPr>
        <w:t>邮件</w:t>
      </w:r>
      <w:r>
        <w:rPr>
          <w:rFonts w:hint="eastAsia"/>
        </w:rPr>
        <w:t>（电话不受理）</w:t>
      </w:r>
    </w:p>
    <w:p>
      <w:pPr>
        <w:pStyle w:val="25"/>
        <w:ind w:firstLine="480"/>
      </w:pPr>
      <w:r>
        <w:rPr>
          <w:rFonts w:hint="eastAsia"/>
        </w:rPr>
        <w:t>联系人：郑家豪</w:t>
      </w:r>
    </w:p>
    <w:p>
      <w:pPr>
        <w:pStyle w:val="25"/>
        <w:ind w:firstLine="480"/>
      </w:pPr>
      <w:r>
        <w:rPr>
          <w:rFonts w:hint="eastAsia"/>
        </w:rPr>
        <w:t>邮    箱：zhengjiahao@sinotruk.com</w:t>
      </w:r>
    </w:p>
    <w:p>
      <w:pPr>
        <w:pStyle w:val="32"/>
      </w:pPr>
      <w:r>
        <w:rPr>
          <w:rFonts w:hint="eastAsia"/>
        </w:rPr>
        <w:t>5、投标报名及注意事项</w:t>
      </w:r>
    </w:p>
    <w:p>
      <w:pPr>
        <w:pStyle w:val="25"/>
        <w:ind w:firstLine="480"/>
      </w:pPr>
      <w:r>
        <w:t>5.1</w:t>
      </w:r>
      <w:r>
        <w:rPr>
          <w:rFonts w:hint="eastAsia"/>
        </w:rPr>
        <w:t>投标人在报名参与本项目的同时，应提</w:t>
      </w:r>
      <w:r>
        <w:rPr>
          <w:rFonts w:hint="eastAsia"/>
          <w:color w:val="auto"/>
        </w:rPr>
        <w:t>供</w:t>
      </w:r>
      <w:r>
        <w:rPr>
          <w:rFonts w:hint="eastAsia"/>
          <w:color w:val="auto"/>
          <w:highlight w:val="yellow"/>
        </w:rPr>
        <w:t>5000元</w:t>
      </w:r>
      <w:r>
        <w:rPr>
          <w:rFonts w:hint="eastAsia"/>
          <w:color w:val="auto"/>
        </w:rPr>
        <w:t>（</w:t>
      </w:r>
      <w:r>
        <w:rPr>
          <w:rFonts w:hint="eastAsia"/>
        </w:rPr>
        <w:t>或其他等值货币）的投标保证金，并作为其投标文件的组成部分。投标保证金应在投标截止时间前将投标保证金从投标人单位基本帐户转出并到账或银行保函电子版确认（保函原件于开标之日交于招标人），否则按否决投标处理；未按规定提交保证金的投标人，其投标文件按否决投标处理；</w:t>
      </w:r>
    </w:p>
    <w:p>
      <w:pPr>
        <w:pStyle w:val="25"/>
        <w:ind w:firstLine="480"/>
      </w:pPr>
      <w:r>
        <w:rPr>
          <w:rFonts w:hint="eastAsia"/>
        </w:rPr>
        <w:t>5.2招标人银行账户信息如下：</w:t>
      </w:r>
    </w:p>
    <w:p>
      <w:pPr>
        <w:pStyle w:val="25"/>
        <w:ind w:firstLine="480"/>
      </w:pPr>
      <w:r>
        <w:rPr>
          <w:rFonts w:hint="eastAsia"/>
        </w:rPr>
        <w:t xml:space="preserve">账户名称：中国重汽集团济南动力有限公司 </w:t>
      </w:r>
    </w:p>
    <w:p>
      <w:pPr>
        <w:pStyle w:val="25"/>
        <w:ind w:firstLine="480"/>
      </w:pPr>
      <w:r>
        <w:rPr>
          <w:rFonts w:hint="eastAsia"/>
        </w:rPr>
        <w:t xml:space="preserve">银行账号：376010100101373547 </w:t>
      </w:r>
    </w:p>
    <w:p>
      <w:pPr>
        <w:pStyle w:val="25"/>
        <w:ind w:firstLine="480"/>
      </w:pPr>
      <w:r>
        <w:rPr>
          <w:rFonts w:hint="eastAsia"/>
        </w:rPr>
        <w:t xml:space="preserve">开户银行：兴业银行股份有限公司济南分行营业部 </w:t>
      </w:r>
    </w:p>
    <w:p>
      <w:pPr>
        <w:pStyle w:val="25"/>
        <w:ind w:firstLine="480"/>
      </w:pPr>
      <w:r>
        <w:rPr>
          <w:rFonts w:hint="eastAsia"/>
        </w:rPr>
        <w:t>联行号：309451013018</w:t>
      </w:r>
    </w:p>
    <w:p>
      <w:pPr>
        <w:pStyle w:val="25"/>
        <w:ind w:firstLine="480"/>
      </w:pPr>
      <w:r>
        <w:rPr>
          <w:rFonts w:hint="eastAsia"/>
        </w:rPr>
        <w:t>注意事项：</w:t>
      </w:r>
    </w:p>
    <w:p>
      <w:pPr>
        <w:pStyle w:val="25"/>
        <w:numPr>
          <w:ilvl w:val="0"/>
          <w:numId w:val="3"/>
        </w:numPr>
        <w:ind w:firstLineChars="0"/>
      </w:pPr>
      <w:r>
        <w:rPr>
          <w:rFonts w:hint="eastAsia"/>
        </w:rPr>
        <w:t>转账时，请注意备注公司名称+项目名称+投标保证金（方便后期核对退款）。</w:t>
      </w:r>
    </w:p>
    <w:p>
      <w:pPr>
        <w:pStyle w:val="25"/>
        <w:numPr>
          <w:ilvl w:val="0"/>
          <w:numId w:val="3"/>
        </w:numPr>
        <w:ind w:firstLineChars="0"/>
      </w:pPr>
      <w:r>
        <w:rPr>
          <w:rFonts w:hint="eastAsia"/>
        </w:rPr>
        <w:t>报名时提供电子回单（含贵公司账户及我公司账户信息）。</w:t>
      </w:r>
    </w:p>
    <w:p>
      <w:pPr>
        <w:pStyle w:val="25"/>
        <w:numPr>
          <w:ilvl w:val="0"/>
          <w:numId w:val="3"/>
        </w:numPr>
        <w:ind w:firstLineChars="0"/>
      </w:pPr>
      <w:r>
        <w:rPr>
          <w:rFonts w:hint="eastAsia"/>
        </w:rPr>
        <w:t>报名时候，请务必在邮件正文中文字表述付款账号、户名、开户行名称、开户行行号、保证金金额。</w:t>
      </w:r>
    </w:p>
    <w:p>
      <w:pPr>
        <w:pStyle w:val="25"/>
        <w:numPr>
          <w:ilvl w:val="0"/>
          <w:numId w:val="3"/>
        </w:numPr>
        <w:ind w:firstLineChars="0"/>
      </w:pPr>
      <w:r>
        <w:rPr>
          <w:rFonts w:hint="eastAsia"/>
        </w:rPr>
        <w:t>未按照本要求提供信息，导致保证金退回困难等事宜，由投标单位承担。</w:t>
      </w:r>
    </w:p>
    <w:p>
      <w:pPr>
        <w:pStyle w:val="25"/>
        <w:ind w:firstLine="480"/>
      </w:pPr>
      <w:r>
        <w:rPr>
          <w:rFonts w:hint="eastAsia"/>
        </w:rPr>
        <w:t>投标保证金形式：</w:t>
      </w:r>
    </w:p>
    <w:p>
      <w:pPr>
        <w:pStyle w:val="25"/>
        <w:ind w:firstLine="480"/>
      </w:pPr>
      <w:r>
        <w:rPr>
          <w:rFonts w:hint="eastAsia"/>
        </w:rPr>
        <w:t>(一) 该银行账户只接受外币电开保函和电汇。</w:t>
      </w:r>
    </w:p>
    <w:p>
      <w:pPr>
        <w:pStyle w:val="25"/>
        <w:ind w:firstLine="480"/>
      </w:pPr>
      <w:r>
        <w:rPr>
          <w:rFonts w:hint="eastAsia"/>
        </w:rPr>
        <w:t>(二) 境外投标单位缴纳投标保证金形式应采用电开保函形式；境内投标单位缴纳投标保证金应采用电汇形式；若有其他特殊情况，请提前与我们沟通，做好转账信息备注工作。</w:t>
      </w:r>
    </w:p>
    <w:p>
      <w:pPr>
        <w:pStyle w:val="25"/>
        <w:ind w:firstLine="480"/>
      </w:pPr>
      <w:r>
        <w:rPr>
          <w:rFonts w:hint="eastAsia"/>
        </w:rPr>
        <w:t>(三) 对于没有中标的投标单位，投标保证金将于招标人内部完成中标人评审并确认最终中标人后在</w:t>
      </w:r>
      <w:r>
        <w:rPr>
          <w:rFonts w:hint="eastAsia"/>
          <w:u w:val="single"/>
        </w:rPr>
        <w:t>30</w:t>
      </w:r>
      <w:r>
        <w:rPr>
          <w:rFonts w:hint="eastAsia"/>
        </w:rPr>
        <w:t>工作日内予以原路返还（无息）；对于中标供应商，投标保证金将在签订合同后</w:t>
      </w:r>
      <w:r>
        <w:rPr>
          <w:rFonts w:hint="eastAsia"/>
          <w:u w:val="single"/>
        </w:rPr>
        <w:t>30</w:t>
      </w:r>
      <w:r>
        <w:rPr>
          <w:rFonts w:hint="eastAsia"/>
        </w:rPr>
        <w:t>工作日内返还（无息）。</w:t>
      </w:r>
    </w:p>
    <w:p>
      <w:pPr>
        <w:pStyle w:val="25"/>
        <w:ind w:firstLine="480"/>
      </w:pPr>
      <w:r>
        <w:t>5.3</w:t>
      </w:r>
      <w:r>
        <w:rPr>
          <w:rFonts w:hint="eastAsia"/>
        </w:rPr>
        <w:t>发生以下情况时，有权没收保证金：</w:t>
      </w:r>
    </w:p>
    <w:p>
      <w:pPr>
        <w:pStyle w:val="25"/>
        <w:ind w:firstLine="480"/>
      </w:pPr>
      <w:r>
        <w:rPr>
          <w:rFonts w:hint="eastAsia"/>
        </w:rPr>
        <w:t>①截至开标前</w:t>
      </w:r>
      <w:r>
        <w:t>3</w:t>
      </w:r>
      <w:r>
        <w:rPr>
          <w:rFonts w:hint="eastAsia"/>
        </w:rPr>
        <w:t>天，供应商无正当理由、未以书面形式递交说明而在投标截止日不来投标的；</w:t>
      </w:r>
    </w:p>
    <w:p>
      <w:pPr>
        <w:pStyle w:val="25"/>
        <w:ind w:firstLine="480"/>
      </w:pPr>
      <w:r>
        <w:rPr>
          <w:rFonts w:hint="eastAsia"/>
        </w:rPr>
        <w:t>②供应商递送文件后，无正当理由放弃投标的；</w:t>
      </w:r>
    </w:p>
    <w:p>
      <w:pPr>
        <w:pStyle w:val="25"/>
        <w:ind w:firstLine="480"/>
      </w:pPr>
      <w:r>
        <w:rPr>
          <w:rFonts w:hint="eastAsia"/>
        </w:rPr>
        <w:t>③自中标（成交）通知书发出之日起</w:t>
      </w:r>
      <w:r>
        <w:t>30</w:t>
      </w:r>
      <w:r>
        <w:rPr>
          <w:rFonts w:hint="eastAsia"/>
        </w:rPr>
        <w:t>日内，中标（成交）供应商无正当理由不签订合同的；</w:t>
      </w:r>
    </w:p>
    <w:p>
      <w:pPr>
        <w:pStyle w:val="25"/>
        <w:ind w:firstLine="480"/>
      </w:pPr>
      <w:r>
        <w:rPr>
          <w:rFonts w:hint="eastAsia"/>
        </w:rPr>
        <w:t>④投标过程中被查实有串标、围标、陪标等违规违纪行为的；</w:t>
      </w:r>
    </w:p>
    <w:p>
      <w:pPr>
        <w:pStyle w:val="25"/>
        <w:ind w:firstLine="480"/>
      </w:pPr>
      <w:r>
        <w:rPr>
          <w:rFonts w:hint="eastAsia"/>
        </w:rPr>
        <w:t>⑤供应商有违约违规行为或被投诉、举报的，在调查处理期间，保证金暂不退还，待调查处理结束后按有关规定处理。</w:t>
      </w:r>
    </w:p>
    <w:p>
      <w:pPr>
        <w:pStyle w:val="25"/>
        <w:ind w:firstLine="480"/>
        <w:rPr>
          <w:rFonts w:ascii="仿宋" w:hAnsi="仿宋" w:cs="仿宋"/>
        </w:rPr>
      </w:pPr>
      <w:r>
        <w:rPr>
          <w:rFonts w:hint="eastAsia" w:ascii="仿宋" w:hAnsi="仿宋" w:cs="仿宋"/>
        </w:rPr>
        <w:t>5.4投标报名（邮件报名）截止时间：</w:t>
      </w:r>
      <w:r>
        <w:rPr>
          <w:rFonts w:ascii="仿宋" w:hAnsi="仿宋" w:cs="仿宋"/>
          <w:highlight w:val="yellow"/>
        </w:rPr>
        <w:t>202</w:t>
      </w:r>
      <w:r>
        <w:rPr>
          <w:rFonts w:hint="eastAsia" w:ascii="仿宋" w:hAnsi="仿宋" w:cs="仿宋"/>
          <w:highlight w:val="yellow"/>
        </w:rPr>
        <w:t>4年11月29日</w:t>
      </w:r>
      <w:r>
        <w:rPr>
          <w:rFonts w:ascii="仿宋" w:hAnsi="仿宋" w:cs="仿宋"/>
          <w:highlight w:val="yellow"/>
        </w:rPr>
        <w:t>1</w:t>
      </w:r>
      <w:r>
        <w:rPr>
          <w:rFonts w:hint="eastAsia" w:ascii="仿宋" w:hAnsi="仿宋" w:cs="仿宋"/>
          <w:highlight w:val="yellow"/>
        </w:rPr>
        <w:t>8点前</w:t>
      </w:r>
      <w:r>
        <w:rPr>
          <w:rFonts w:hint="eastAsia" w:ascii="仿宋" w:hAnsi="仿宋" w:cs="仿宋"/>
        </w:rPr>
        <w:t>，逾期不受理。</w:t>
      </w:r>
    </w:p>
    <w:p>
      <w:pPr>
        <w:pStyle w:val="25"/>
        <w:ind w:firstLine="480"/>
        <w:rPr>
          <w:rFonts w:ascii="仿宋" w:hAnsi="仿宋" w:cs="仿宋"/>
        </w:rPr>
      </w:pPr>
      <w:r>
        <w:rPr>
          <w:rFonts w:hint="eastAsia" w:ascii="仿宋" w:hAnsi="仿宋" w:cs="仿宋"/>
        </w:rPr>
        <w:t>报名方式：邮件（电话不受理）。</w:t>
      </w:r>
    </w:p>
    <w:p>
      <w:pPr>
        <w:pStyle w:val="25"/>
        <w:ind w:firstLine="482"/>
        <w:rPr>
          <w:rFonts w:ascii="仿宋" w:hAnsi="仿宋" w:cs="仿宋"/>
          <w:b/>
        </w:rPr>
      </w:pPr>
      <w:r>
        <w:rPr>
          <w:rFonts w:hint="eastAsia" w:ascii="仿宋" w:hAnsi="仿宋" w:cs="仿宋"/>
          <w:b/>
        </w:rPr>
        <w:t>邮    箱：zhengjiahao@sinotruk.com。</w:t>
      </w:r>
    </w:p>
    <w:p>
      <w:pPr>
        <w:pStyle w:val="25"/>
        <w:ind w:firstLine="482"/>
        <w:rPr>
          <w:rFonts w:ascii="仿宋" w:hAnsi="仿宋" w:cs="仿宋"/>
          <w:b/>
          <w:u w:val="single"/>
        </w:rPr>
      </w:pPr>
      <w:r>
        <w:rPr>
          <w:rFonts w:hint="eastAsia" w:ascii="仿宋" w:hAnsi="仿宋" w:cs="仿宋"/>
          <w:b/>
        </w:rPr>
        <w:t>投标邮件主题：某单位授权某代表参与投标某项目+授权代表电话。</w:t>
      </w:r>
    </w:p>
    <w:p>
      <w:pPr>
        <w:pStyle w:val="25"/>
        <w:ind w:firstLine="482"/>
        <w:rPr>
          <w:rFonts w:ascii="仿宋" w:hAnsi="仿宋" w:cs="仿宋"/>
          <w:b/>
        </w:rPr>
      </w:pPr>
      <w:r>
        <w:rPr>
          <w:rFonts w:hint="eastAsia" w:ascii="仿宋" w:hAnsi="仿宋" w:cs="仿宋"/>
          <w:b/>
        </w:rPr>
        <w:t>报名提交资料：营业执照、授权书</w:t>
      </w:r>
      <w:r>
        <w:rPr>
          <w:rFonts w:hint="eastAsia" w:ascii="仿宋" w:hAnsi="仿宋" w:cs="仿宋"/>
        </w:rPr>
        <w:t>（含法人及授权人身份信息）</w:t>
      </w:r>
      <w:r>
        <w:rPr>
          <w:rFonts w:hint="eastAsia"/>
        </w:rPr>
        <w:t>（附件单独存放，不要发压缩包，不要使用</w:t>
      </w:r>
      <w:r>
        <w:t>126</w:t>
      </w:r>
      <w:r>
        <w:rPr>
          <w:rFonts w:hint="eastAsia"/>
        </w:rPr>
        <w:t>或者</w:t>
      </w:r>
      <w:r>
        <w:t>163</w:t>
      </w:r>
      <w:r>
        <w:rPr>
          <w:rFonts w:hint="eastAsia"/>
        </w:rPr>
        <w:t>邮箱报名，可能无法打开下载）</w:t>
      </w:r>
      <w:r>
        <w:rPr>
          <w:rFonts w:hint="eastAsia" w:ascii="仿宋" w:hAnsi="仿宋" w:cs="仿宋"/>
        </w:rPr>
        <w:t>。</w:t>
      </w:r>
      <w:r>
        <w:rPr>
          <w:rFonts w:hint="eastAsia" w:ascii="仿宋" w:hAnsi="仿宋" w:cs="仿宋"/>
          <w:bCs/>
        </w:rPr>
        <w:t>报名后无需电话询问是否报名成功，我单位会通过邮件一一回复。</w:t>
      </w:r>
    </w:p>
    <w:p>
      <w:pPr>
        <w:pStyle w:val="2"/>
        <w:numPr>
          <w:ilvl w:val="0"/>
          <w:numId w:val="4"/>
        </w:numPr>
        <w:spacing w:line="360" w:lineRule="auto"/>
        <w:rPr>
          <w:rFonts w:hAnsi="宋体" w:cs="宋体"/>
          <w:color w:val="000000"/>
          <w:sz w:val="24"/>
          <w:szCs w:val="24"/>
        </w:rPr>
      </w:pPr>
      <w:r>
        <w:rPr>
          <w:rFonts w:hint="eastAsia" w:hAnsi="宋体"/>
          <w:b/>
          <w:color w:val="000000"/>
          <w:sz w:val="24"/>
          <w:szCs w:val="24"/>
        </w:rPr>
        <w:t>如果是授权委托人投标，</w:t>
      </w:r>
      <w:r>
        <w:rPr>
          <w:rFonts w:hint="eastAsia" w:hAnsi="宋体"/>
          <w:color w:val="000000"/>
          <w:sz w:val="24"/>
          <w:szCs w:val="24"/>
        </w:rPr>
        <w:t>要提交三证合一的营业执照副本、法人授权委托书（含法人及授权人身份信息证明、授权代表联系方式）</w:t>
      </w:r>
    </w:p>
    <w:p>
      <w:pPr>
        <w:pStyle w:val="2"/>
        <w:numPr>
          <w:ilvl w:val="0"/>
          <w:numId w:val="4"/>
        </w:numPr>
        <w:spacing w:line="360" w:lineRule="auto"/>
        <w:rPr>
          <w:rFonts w:hAnsi="宋体"/>
          <w:color w:val="000000"/>
          <w:sz w:val="24"/>
          <w:szCs w:val="24"/>
        </w:rPr>
      </w:pPr>
      <w:r>
        <w:rPr>
          <w:rFonts w:hint="eastAsia" w:hAnsi="宋体"/>
          <w:b/>
          <w:color w:val="000000"/>
          <w:sz w:val="24"/>
          <w:szCs w:val="24"/>
        </w:rPr>
        <w:t>如果是法人参加投标</w:t>
      </w:r>
      <w:r>
        <w:rPr>
          <w:rFonts w:hint="eastAsia" w:hAnsi="宋体"/>
          <w:color w:val="000000"/>
          <w:sz w:val="24"/>
          <w:szCs w:val="24"/>
        </w:rPr>
        <w:t>，要提交三证合一的营业执照副本、法人代表证明文件</w:t>
      </w:r>
    </w:p>
    <w:p>
      <w:pPr>
        <w:pStyle w:val="2"/>
        <w:numPr>
          <w:ilvl w:val="0"/>
          <w:numId w:val="4"/>
        </w:numPr>
        <w:spacing w:line="360" w:lineRule="auto"/>
        <w:rPr>
          <w:rFonts w:hAnsi="宋体"/>
          <w:color w:val="000000"/>
          <w:sz w:val="24"/>
          <w:szCs w:val="24"/>
        </w:rPr>
      </w:pPr>
      <w:r>
        <w:rPr>
          <w:rFonts w:hint="eastAsia" w:hAnsi="宋体"/>
          <w:b/>
          <w:bCs/>
          <w:color w:val="000000"/>
          <w:sz w:val="24"/>
          <w:szCs w:val="24"/>
        </w:rPr>
        <w:t>如果是代理商投标，</w:t>
      </w:r>
      <w:r>
        <w:rPr>
          <w:rFonts w:hint="eastAsia" w:hAnsi="宋体"/>
          <w:color w:val="000000"/>
          <w:sz w:val="24"/>
          <w:szCs w:val="24"/>
        </w:rPr>
        <w:t>除上述a)b)中要求的资料，要另外携带生产商的授权书、原厂售后服务承诺书</w:t>
      </w:r>
    </w:p>
    <w:p>
      <w:pPr>
        <w:pStyle w:val="2"/>
        <w:spacing w:line="360" w:lineRule="auto"/>
        <w:ind w:firstLine="482" w:firstLineChars="200"/>
        <w:rPr>
          <w:rFonts w:hAnsi="宋体"/>
          <w:color w:val="000000"/>
          <w:sz w:val="32"/>
          <w:szCs w:val="24"/>
        </w:rPr>
      </w:pPr>
      <w:r>
        <w:rPr>
          <w:rFonts w:hint="eastAsia" w:ascii="仿宋" w:hAnsi="仿宋" w:cs="仿宋"/>
          <w:b/>
          <w:sz w:val="24"/>
        </w:rPr>
        <w:t>投标邮件正文：</w:t>
      </w:r>
      <w:r>
        <w:rPr>
          <w:rFonts w:hint="eastAsia" w:ascii="仿宋" w:hAnsi="仿宋" w:cs="仿宋"/>
          <w:bCs/>
          <w:sz w:val="24"/>
        </w:rPr>
        <w:t>请务必在邮件正文中文字描述付款账户、付款账号、开户行名称、开户行行号、保证金金额、税号、注册时间，注册资金、法人代表（姓名）、公司地址。</w:t>
      </w:r>
    </w:p>
    <w:p>
      <w:pPr>
        <w:pStyle w:val="32"/>
      </w:pPr>
      <w:r>
        <w:rPr>
          <w:rFonts w:hint="eastAsia"/>
        </w:rPr>
        <w:t>6、开标时间</w:t>
      </w:r>
    </w:p>
    <w:p>
      <w:pPr>
        <w:pStyle w:val="2"/>
        <w:spacing w:line="360" w:lineRule="auto"/>
        <w:ind w:firstLine="480" w:firstLineChars="200"/>
        <w:rPr>
          <w:rFonts w:hAnsi="宋体"/>
          <w:color w:val="000000" w:themeColor="text1"/>
          <w:sz w:val="24"/>
          <w:szCs w:val="24"/>
          <w14:textFill>
            <w14:solidFill>
              <w14:schemeClr w14:val="tx1"/>
            </w14:solidFill>
          </w14:textFill>
        </w:rPr>
      </w:pPr>
      <w:r>
        <w:rPr>
          <w:rFonts w:hint="eastAsia" w:hAnsi="宋体"/>
          <w:color w:val="000000" w:themeColor="text1"/>
          <w:sz w:val="24"/>
          <w:szCs w:val="24"/>
          <w:highlight w:val="yellow"/>
          <w14:textFill>
            <w14:solidFill>
              <w14:schemeClr w14:val="tx1"/>
            </w14:solidFill>
          </w14:textFill>
        </w:rPr>
        <w:t>2024年</w:t>
      </w:r>
      <w:r>
        <w:rPr>
          <w:rFonts w:hAnsi="宋体"/>
          <w:color w:val="000000" w:themeColor="text1"/>
          <w:sz w:val="24"/>
          <w:szCs w:val="24"/>
          <w:highlight w:val="yellow"/>
          <w14:textFill>
            <w14:solidFill>
              <w14:schemeClr w14:val="tx1"/>
            </w14:solidFill>
          </w14:textFill>
        </w:rPr>
        <w:t>1</w:t>
      </w:r>
      <w:r>
        <w:rPr>
          <w:rFonts w:hint="eastAsia" w:hAnsi="宋体"/>
          <w:color w:val="000000" w:themeColor="text1"/>
          <w:sz w:val="24"/>
          <w:szCs w:val="24"/>
          <w:highlight w:val="yellow"/>
          <w14:textFill>
            <w14:solidFill>
              <w14:schemeClr w14:val="tx1"/>
            </w14:solidFill>
          </w14:textFill>
        </w:rPr>
        <w:t>2月11日上午9：00</w:t>
      </w:r>
      <w:r>
        <w:rPr>
          <w:rFonts w:hint="eastAsia" w:hAnsi="宋体"/>
          <w:color w:val="000000" w:themeColor="text1"/>
          <w:sz w:val="24"/>
          <w:szCs w:val="24"/>
          <w14:textFill>
            <w14:solidFill>
              <w14:schemeClr w14:val="tx1"/>
            </w14:solidFill>
          </w14:textFill>
        </w:rPr>
        <w:t>，若有变动另行通知。</w:t>
      </w:r>
    </w:p>
    <w:p>
      <w:pPr>
        <w:pStyle w:val="32"/>
      </w:pPr>
      <w:r>
        <w:t>7</w:t>
      </w:r>
      <w:r>
        <w:rPr>
          <w:rFonts w:hint="eastAsia"/>
        </w:rPr>
        <w:t>、开标方式</w:t>
      </w:r>
    </w:p>
    <w:p>
      <w:pPr>
        <w:pStyle w:val="2"/>
        <w:spacing w:line="360" w:lineRule="auto"/>
        <w:ind w:firstLine="480" w:firstLineChars="200"/>
        <w:rPr>
          <w:rFonts w:ascii="Times New Roman" w:hAnsi="Times New Roman"/>
        </w:rPr>
      </w:pPr>
      <w:r>
        <w:rPr>
          <w:rFonts w:hint="eastAsia" w:ascii="Times New Roman" w:hAnsi="Times New Roman"/>
          <w:bCs/>
          <w:color w:val="000000"/>
          <w:sz w:val="24"/>
          <w:szCs w:val="24"/>
        </w:rPr>
        <w:t>建议授权代表来现场进行投标，</w:t>
      </w:r>
      <w:r>
        <w:rPr>
          <w:rFonts w:hint="eastAsia" w:ascii="Times New Roman" w:hAnsi="Times New Roman"/>
          <w:color w:val="000000"/>
          <w:sz w:val="24"/>
          <w:szCs w:val="24"/>
        </w:rPr>
        <w:t>若因特殊原因无法到现场参加评标，可以提前联系技术答疑人员，告知视频参加评标。</w:t>
      </w:r>
    </w:p>
    <w:p>
      <w:pPr>
        <w:pStyle w:val="32"/>
      </w:pPr>
      <w:r>
        <w:t>8</w:t>
      </w:r>
      <w:r>
        <w:rPr>
          <w:rFonts w:hint="eastAsia"/>
        </w:rPr>
        <w:t>、现场资质审验</w:t>
      </w:r>
    </w:p>
    <w:p>
      <w:pPr>
        <w:pStyle w:val="25"/>
        <w:ind w:firstLine="480"/>
      </w:pPr>
      <w:r>
        <w:rPr>
          <w:rFonts w:hint="eastAsia"/>
        </w:rPr>
        <w:t>详见投标条件</w:t>
      </w:r>
      <w:r>
        <w:rPr>
          <w:rFonts w:hint="eastAsia" w:ascii="Segoe UI Emoji" w:hAnsi="Segoe UI Emoji" w:eastAsia="Segoe UI Emoji" w:cs="Segoe UI Emoji"/>
        </w:rPr>
        <w:t>→</w:t>
      </w:r>
      <w:r>
        <w:rPr>
          <w:rFonts w:hint="eastAsia"/>
        </w:rPr>
        <w:t>资质证明文件。（本文档搜索查找即可）</w:t>
      </w:r>
    </w:p>
    <w:p>
      <w:pPr>
        <w:pStyle w:val="25"/>
        <w:ind w:firstLine="480"/>
      </w:pPr>
      <w:r>
        <w:rPr>
          <w:rFonts w:hint="eastAsia"/>
        </w:rPr>
        <w:t>投标地点：</w:t>
      </w:r>
      <w:bookmarkStart w:id="30" w:name="OLE_LINK3"/>
      <w:bookmarkStart w:id="31" w:name="OLE_LINK2"/>
      <w:r>
        <w:rPr>
          <w:rFonts w:hint="eastAsia"/>
          <w:highlight w:val="yellow"/>
        </w:rPr>
        <w:t>重汽未来科技大厦3楼会议室</w:t>
      </w:r>
      <w:bookmarkEnd w:id="30"/>
      <w:bookmarkEnd w:id="31"/>
    </w:p>
    <w:p>
      <w:pPr>
        <w:pStyle w:val="26"/>
        <w:numPr>
          <w:ilvl w:val="0"/>
          <w:numId w:val="5"/>
        </w:numPr>
        <w:rPr>
          <w:rFonts w:ascii="黑体" w:hAnsi="黑体"/>
          <w:szCs w:val="28"/>
        </w:rPr>
      </w:pPr>
      <w:r>
        <w:rPr>
          <w:rFonts w:hint="eastAsia" w:ascii="黑体" w:hAnsi="黑体"/>
          <w:szCs w:val="28"/>
        </w:rPr>
        <w:t>评标规则</w:t>
      </w:r>
    </w:p>
    <w:p>
      <w:pPr>
        <w:pStyle w:val="2"/>
        <w:spacing w:line="360" w:lineRule="auto"/>
        <w:ind w:firstLine="480" w:firstLineChars="200"/>
        <w:rPr>
          <w:color w:val="000000"/>
          <w:sz w:val="24"/>
          <w:szCs w:val="24"/>
        </w:rPr>
      </w:pPr>
      <w:bookmarkStart w:id="32" w:name="OLE_LINK4"/>
      <w:r>
        <w:rPr>
          <w:rFonts w:hint="eastAsia" w:ascii="Times New Roman" w:hAnsi="Times New Roman"/>
          <w:color w:val="000000"/>
          <w:sz w:val="24"/>
          <w:szCs w:val="24"/>
        </w:rPr>
        <w:t>1</w:t>
      </w:r>
      <w:r>
        <w:rPr>
          <w:rFonts w:hint="eastAsia"/>
          <w:color w:val="000000"/>
          <w:sz w:val="24"/>
          <w:szCs w:val="24"/>
        </w:rPr>
        <w:t>、评标</w:t>
      </w:r>
    </w:p>
    <w:p>
      <w:pPr>
        <w:pStyle w:val="2"/>
        <w:spacing w:line="360" w:lineRule="auto"/>
        <w:ind w:firstLine="480" w:firstLineChars="200"/>
        <w:rPr>
          <w:rFonts w:hAnsi="宋体"/>
          <w:b/>
          <w:color w:val="000000"/>
          <w:sz w:val="24"/>
          <w:szCs w:val="24"/>
        </w:rPr>
      </w:pPr>
      <w:r>
        <w:rPr>
          <w:rFonts w:hint="eastAsia" w:hAnsi="宋体"/>
          <w:color w:val="000000"/>
          <w:sz w:val="24"/>
          <w:szCs w:val="24"/>
        </w:rPr>
        <w:t>为保证项目顺利实施，由招标人组织、按国家法律法规及公司相关规章制度要求，设立评标工作小组，同时依据以下评分标准，</w:t>
      </w:r>
      <w:r>
        <w:rPr>
          <w:rFonts w:hint="eastAsia"/>
          <w:color w:val="000000"/>
          <w:sz w:val="24"/>
          <w:szCs w:val="24"/>
        </w:rPr>
        <w:t>采用综合评定法，本着公平、公正、公开的原则，在最大限度地满足招标文件实质性要求的前提下，对招标文件中规定的各项因</w:t>
      </w:r>
      <w:r>
        <w:rPr>
          <w:rFonts w:hint="eastAsia"/>
          <w:b w:val="0"/>
          <w:bCs w:val="0"/>
          <w:color w:val="000000"/>
          <w:sz w:val="24"/>
          <w:szCs w:val="24"/>
        </w:rPr>
        <w:t>素进行综合评审，</w:t>
      </w:r>
      <w:r>
        <w:rPr>
          <w:rFonts w:hint="eastAsia" w:hAnsi="宋体"/>
          <w:b w:val="0"/>
          <w:bCs w:val="0"/>
          <w:color w:val="000000"/>
          <w:sz w:val="24"/>
          <w:szCs w:val="24"/>
        </w:rPr>
        <w:t>确定中标人，对未中标单位不做任何解释</w:t>
      </w:r>
      <w:r>
        <w:rPr>
          <w:rFonts w:hint="eastAsia"/>
          <w:b w:val="0"/>
          <w:bCs w:val="0"/>
          <w:color w:val="000000"/>
          <w:sz w:val="24"/>
          <w:szCs w:val="24"/>
        </w:rPr>
        <w:t>。</w:t>
      </w:r>
      <w:r>
        <w:rPr>
          <w:rFonts w:hint="eastAsia" w:hAnsi="宋体"/>
          <w:b w:val="0"/>
          <w:bCs w:val="0"/>
          <w:color w:val="000000"/>
          <w:sz w:val="24"/>
          <w:szCs w:val="24"/>
        </w:rPr>
        <w:t>招标人有权根据项目情况，采取多级评标模式，最终确定推荐中标人。</w:t>
      </w:r>
    </w:p>
    <w:p>
      <w:pPr>
        <w:pStyle w:val="25"/>
        <w:ind w:firstLine="482"/>
        <w:rPr>
          <w:rFonts w:ascii="仿宋" w:hAnsi="仿宋" w:eastAsia="仿宋"/>
          <w:b/>
        </w:rPr>
      </w:pPr>
      <w:r>
        <w:rPr>
          <w:rFonts w:hint="eastAsia" w:ascii="仿宋" w:hAnsi="仿宋" w:eastAsia="仿宋"/>
          <w:b/>
        </w:rPr>
        <w:t>评标流程：</w:t>
      </w:r>
    </w:p>
    <w:p>
      <w:pPr>
        <w:pStyle w:val="25"/>
        <w:numPr>
          <w:ilvl w:val="0"/>
          <w:numId w:val="6"/>
        </w:numPr>
        <w:ind w:firstLineChars="0"/>
        <w:rPr>
          <w:rFonts w:ascii="仿宋" w:hAnsi="仿宋" w:eastAsia="仿宋"/>
          <w:b/>
        </w:rPr>
      </w:pPr>
      <w:r>
        <w:rPr>
          <w:rFonts w:hint="eastAsia" w:ascii="仿宋" w:hAnsi="仿宋" w:eastAsia="仿宋"/>
          <w:b/>
        </w:rPr>
        <w:t>资质审核：投标文件组成9</w:t>
      </w:r>
      <w:r>
        <w:rPr>
          <w:rFonts w:ascii="仿宋" w:hAnsi="仿宋" w:eastAsia="仿宋"/>
          <w:b/>
        </w:rPr>
        <w:t>.1</w:t>
      </w:r>
      <w:r>
        <w:rPr>
          <w:rFonts w:hint="eastAsia" w:ascii="仿宋" w:hAnsi="仿宋" w:eastAsia="仿宋"/>
          <w:b/>
        </w:rPr>
        <w:t>中要求的（1）-（8）资质证明文件审核；</w:t>
      </w:r>
    </w:p>
    <w:p>
      <w:pPr>
        <w:pStyle w:val="25"/>
        <w:numPr>
          <w:ilvl w:val="0"/>
          <w:numId w:val="6"/>
        </w:numPr>
        <w:ind w:firstLineChars="0"/>
        <w:rPr>
          <w:rFonts w:ascii="仿宋" w:hAnsi="仿宋" w:eastAsia="仿宋"/>
          <w:b/>
        </w:rPr>
      </w:pPr>
      <w:r>
        <w:rPr>
          <w:rFonts w:hint="eastAsia" w:ascii="仿宋" w:hAnsi="仿宋" w:eastAsia="仿宋"/>
          <w:b/>
        </w:rPr>
        <w:t>通过资质审核的单位可以进入商务评议，没有通过的单位不能进入商务评议；</w:t>
      </w:r>
    </w:p>
    <w:p>
      <w:pPr>
        <w:pStyle w:val="25"/>
        <w:numPr>
          <w:ilvl w:val="0"/>
          <w:numId w:val="6"/>
        </w:numPr>
        <w:ind w:left="-62" w:firstLine="482" w:firstLineChars="0"/>
        <w:rPr>
          <w:rFonts w:cs="Times New Roman"/>
          <w:b/>
        </w:rPr>
      </w:pPr>
      <w:r>
        <w:rPr>
          <w:rFonts w:hint="eastAsia" w:ascii="仿宋" w:hAnsi="仿宋" w:eastAsia="仿宋"/>
          <w:b/>
        </w:rPr>
        <w:t>商务评议：</w:t>
      </w:r>
      <w:r>
        <w:rPr>
          <w:rFonts w:hint="eastAsia" w:cs="Times New Roman"/>
          <w:b/>
        </w:rPr>
        <w:t>公开唱标→商务条款相应确认→商谈评议→推荐中标人</w:t>
      </w:r>
      <w:bookmarkStart w:id="43" w:name="_GoBack"/>
      <w:bookmarkEnd w:id="43"/>
    </w:p>
    <w:p>
      <w:pPr>
        <w:pStyle w:val="25"/>
        <w:ind w:firstLine="480"/>
      </w:pPr>
      <w:r>
        <w:rPr>
          <w:rFonts w:hint="eastAsia"/>
        </w:rPr>
        <w:t>2.本项目产生</w:t>
      </w:r>
      <w:r>
        <w:rPr>
          <w:rFonts w:hint="eastAsia"/>
          <w:color w:val="auto"/>
        </w:rPr>
        <w:t>1个中</w:t>
      </w:r>
      <w:r>
        <w:rPr>
          <w:rFonts w:hint="eastAsia"/>
        </w:rPr>
        <w:t>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对中标候选人的审查结果不符合成交条件，则本次评标作废。</w:t>
      </w:r>
    </w:p>
    <w:p>
      <w:pPr>
        <w:pStyle w:val="25"/>
        <w:ind w:firstLine="482"/>
        <w:rPr>
          <w:rFonts w:ascii="仿宋" w:hAnsi="仿宋" w:eastAsia="仿宋"/>
          <w:b/>
        </w:rPr>
      </w:pPr>
    </w:p>
    <w:bookmarkEnd w:id="32"/>
    <w:p>
      <w:pPr>
        <w:pStyle w:val="26"/>
        <w:rPr>
          <w:rFonts w:ascii="黑体" w:hAnsi="黑体"/>
          <w:szCs w:val="28"/>
        </w:rPr>
      </w:pPr>
      <w:r>
        <w:rPr>
          <w:rFonts w:hint="eastAsia" w:ascii="黑体" w:hAnsi="黑体"/>
          <w:szCs w:val="28"/>
        </w:rPr>
        <w:t>七、合同签订</w:t>
      </w:r>
    </w:p>
    <w:p>
      <w:pPr>
        <w:pStyle w:val="25"/>
        <w:ind w:firstLine="480"/>
      </w:pPr>
      <w:r>
        <w:rPr>
          <w:rFonts w:hint="eastAsia" w:ascii="Times New Roman" w:hAnsi="Times New Roman"/>
        </w:rPr>
        <w:t>1</w:t>
      </w:r>
      <w:r>
        <w:rPr>
          <w:rFonts w:hint="eastAsia"/>
        </w:rPr>
        <w:t>、招标人根据评标工作小组的评标结果确定中标人，并书面通知中标人，招标人不承诺将合同授予报价最低的投标人。</w:t>
      </w:r>
    </w:p>
    <w:p>
      <w:pPr>
        <w:pStyle w:val="25"/>
        <w:ind w:firstLine="480"/>
      </w:pPr>
      <w:r>
        <w:rPr>
          <w:rFonts w:hint="eastAsia" w:ascii="Times New Roman" w:hAnsi="Times New Roman"/>
        </w:rPr>
        <w:t>2</w:t>
      </w:r>
      <w:r>
        <w:rPr>
          <w:rFonts w:hint="eastAsia"/>
        </w:rPr>
        <w:t>、中标人应当按照合同约定的履约责任，在保证质量的前提下完成中标项目。</w:t>
      </w:r>
    </w:p>
    <w:p>
      <w:pPr>
        <w:pStyle w:val="25"/>
        <w:ind w:firstLine="480"/>
      </w:pPr>
      <w:r>
        <w:rPr>
          <w:rFonts w:hint="eastAsia"/>
        </w:rPr>
        <w:t>3、合同以双方最终签署的版本为准。</w:t>
      </w:r>
    </w:p>
    <w:p>
      <w:pPr>
        <w:pStyle w:val="2"/>
        <w:spacing w:line="360" w:lineRule="auto"/>
        <w:ind w:firstLine="482" w:firstLineChars="200"/>
        <w:rPr>
          <w:b/>
          <w:sz w:val="24"/>
        </w:rPr>
      </w:pPr>
      <w:r>
        <w:rPr>
          <w:rFonts w:hint="eastAsia"/>
          <w:b/>
          <w:sz w:val="24"/>
        </w:rPr>
        <w:t>4、中标人由于履行义务的能力或信用有严重缺陷，招标人有权取消其中标资格，招标人将从中标候选单位中依序重新确定中标人，或重新组织招标。</w:t>
      </w:r>
    </w:p>
    <w:p>
      <w:pPr>
        <w:pStyle w:val="25"/>
        <w:ind w:firstLine="480"/>
      </w:pPr>
      <w:r>
        <w:rPr>
          <w:rFonts w:hint="eastAsia"/>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pPr>
        <w:pStyle w:val="25"/>
        <w:ind w:firstLine="480"/>
      </w:pPr>
      <w:r>
        <w:rPr>
          <w:rFonts w:hint="eastAsia"/>
        </w:rPr>
        <w:t>（1）有效投标不足三家；</w:t>
      </w:r>
    </w:p>
    <w:p>
      <w:pPr>
        <w:pStyle w:val="25"/>
        <w:ind w:firstLine="480"/>
      </w:pPr>
      <w:r>
        <w:rPr>
          <w:rFonts w:hint="eastAsia"/>
        </w:rPr>
        <w:t>（2）投标人提供的有关资格、资质证明文件不合格、不真实或提供虚假投标材料；</w:t>
      </w:r>
    </w:p>
    <w:p>
      <w:pPr>
        <w:pStyle w:val="25"/>
        <w:ind w:firstLine="480"/>
      </w:pPr>
      <w:r>
        <w:rPr>
          <w:rFonts w:hint="eastAsia"/>
        </w:rPr>
        <w:t>（3）投标人在报价有效期内撤回投标；</w:t>
      </w:r>
    </w:p>
    <w:p>
      <w:pPr>
        <w:pStyle w:val="25"/>
        <w:ind w:firstLine="480"/>
      </w:pPr>
      <w:r>
        <w:rPr>
          <w:rFonts w:hint="eastAsia"/>
        </w:rPr>
        <w:t>（4）在整个评标过程中，投标人有企图影响评标结果公正性的任何活动；</w:t>
      </w:r>
    </w:p>
    <w:p>
      <w:pPr>
        <w:pStyle w:val="25"/>
        <w:ind w:firstLine="480"/>
      </w:pPr>
      <w:r>
        <w:rPr>
          <w:rFonts w:hint="eastAsia"/>
        </w:rPr>
        <w:t>（5）投标人以任何方式诋毁其他投标人；</w:t>
      </w:r>
    </w:p>
    <w:p>
      <w:pPr>
        <w:pStyle w:val="25"/>
        <w:ind w:firstLine="480"/>
      </w:pPr>
      <w:r>
        <w:rPr>
          <w:rFonts w:hint="eastAsia"/>
        </w:rPr>
        <w:t>（6）投标人串通投标；</w:t>
      </w:r>
    </w:p>
    <w:p>
      <w:pPr>
        <w:pStyle w:val="25"/>
        <w:ind w:firstLine="480"/>
      </w:pPr>
      <w:r>
        <w:rPr>
          <w:rFonts w:hint="eastAsia"/>
        </w:rPr>
        <w:t>（7）以他人名义投标或者以其他方式弄虚作假，骗取中标的；</w:t>
      </w:r>
    </w:p>
    <w:p>
      <w:pPr>
        <w:pStyle w:val="25"/>
        <w:ind w:firstLine="480"/>
      </w:pPr>
      <w:r>
        <w:rPr>
          <w:rFonts w:hint="eastAsia"/>
        </w:rPr>
        <w:t>（8）投标人负责人为同一人或者存在控股、管理关系的不同单位；</w:t>
      </w:r>
    </w:p>
    <w:p>
      <w:pPr>
        <w:pStyle w:val="25"/>
        <w:ind w:firstLine="480"/>
        <w:rPr>
          <w:rFonts w:ascii="仿宋" w:hAnsi="仿宋" w:cs="仿宋"/>
        </w:rPr>
      </w:pPr>
      <w:r>
        <w:rPr>
          <w:rFonts w:hint="eastAsia" w:ascii="仿宋" w:hAnsi="仿宋" w:cs="仿宋"/>
        </w:rPr>
        <w:t>（9）投标人被其他人举报或检举，经查证属实的；</w:t>
      </w:r>
    </w:p>
    <w:p>
      <w:pPr>
        <w:pStyle w:val="25"/>
        <w:ind w:firstLine="480"/>
        <w:rPr>
          <w:rFonts w:ascii="仿宋" w:hAnsi="仿宋" w:cs="仿宋"/>
        </w:rPr>
      </w:pPr>
      <w:r>
        <w:rPr>
          <w:rFonts w:hint="eastAsia" w:ascii="仿宋" w:hAnsi="仿宋" w:cs="仿宋"/>
        </w:rPr>
        <w:t>（</w:t>
      </w:r>
      <w:r>
        <w:rPr>
          <w:rFonts w:ascii="仿宋" w:hAnsi="仿宋" w:cs="仿宋"/>
        </w:rPr>
        <w:t>10</w:t>
      </w:r>
      <w:r>
        <w:rPr>
          <w:rFonts w:hint="eastAsia" w:ascii="仿宋" w:hAnsi="仿宋" w:cs="仿宋"/>
        </w:rPr>
        <w:t>）法律、法规规定的其他情况。</w:t>
      </w:r>
    </w:p>
    <w:p>
      <w:pPr>
        <w:pStyle w:val="25"/>
        <w:ind w:firstLine="480"/>
      </w:pPr>
      <w:r>
        <w:rPr>
          <w:rFonts w:hint="eastAsia"/>
        </w:rPr>
        <w:t>5、出现下列情形之一，招标人有权否决所有投标人的投标，并终止招标</w:t>
      </w:r>
    </w:p>
    <w:p>
      <w:pPr>
        <w:pStyle w:val="25"/>
        <w:ind w:firstLine="480"/>
        <w:rPr>
          <w:b/>
        </w:rPr>
      </w:pPr>
      <w:r>
        <w:rPr>
          <w:rFonts w:hint="eastAsia"/>
        </w:rPr>
        <w:t>（1）符合条件的投标人或者对招标文件做实质响应的投标人不足三家的。</w:t>
      </w:r>
    </w:p>
    <w:p>
      <w:pPr>
        <w:pStyle w:val="25"/>
        <w:ind w:firstLine="480"/>
      </w:pPr>
      <w:r>
        <w:rPr>
          <w:rFonts w:hint="eastAsia"/>
        </w:rPr>
        <w:t>（2）出现影响采购公正的违法、违规行为的；</w:t>
      </w:r>
    </w:p>
    <w:p>
      <w:pPr>
        <w:pStyle w:val="25"/>
        <w:ind w:firstLine="480"/>
      </w:pPr>
      <w:r>
        <w:rPr>
          <w:rFonts w:hint="eastAsia"/>
        </w:rPr>
        <w:t>（3）</w:t>
      </w:r>
      <w:r>
        <w:rPr>
          <w:rFonts w:hint="eastAsia" w:hAnsi="Courier New"/>
        </w:rPr>
        <w:t>评标委员会经评审，认为所有投标都不符合招标文件要求的</w:t>
      </w:r>
      <w:r>
        <w:rPr>
          <w:rFonts w:hint="eastAsia"/>
        </w:rPr>
        <w:t>；</w:t>
      </w:r>
    </w:p>
    <w:p>
      <w:pPr>
        <w:pStyle w:val="25"/>
        <w:ind w:firstLine="480"/>
      </w:pPr>
      <w:r>
        <w:rPr>
          <w:rFonts w:hint="eastAsia"/>
        </w:rPr>
        <w:t>（4）因重大变故，采购任务取消的；</w:t>
      </w:r>
    </w:p>
    <w:p>
      <w:pPr>
        <w:pStyle w:val="25"/>
        <w:ind w:firstLine="480"/>
        <w:rPr>
          <w:rFonts w:ascii="仿宋" w:hAnsi="仿宋" w:cs="仿宋"/>
        </w:rPr>
      </w:pPr>
      <w:r>
        <w:rPr>
          <w:rFonts w:hint="eastAsia" w:ascii="仿宋" w:hAnsi="仿宋" w:cs="仿宋"/>
        </w:rPr>
        <w:t>（5）招标人认为其他应终止的情形。</w:t>
      </w:r>
    </w:p>
    <w:p>
      <w:pPr>
        <w:pStyle w:val="26"/>
      </w:pPr>
      <w:r>
        <w:rPr>
          <w:rFonts w:hint="eastAsia"/>
        </w:rPr>
        <w:t>八、其他</w:t>
      </w:r>
    </w:p>
    <w:p>
      <w:pPr>
        <w:pStyle w:val="25"/>
        <w:ind w:firstLine="480"/>
      </w:pPr>
      <w:r>
        <w:rPr>
          <w:rFonts w:hint="eastAsia"/>
        </w:rPr>
        <w:t>1.其余未尽事宜均以最终签署的协议（或合同）约定为准。</w:t>
      </w:r>
    </w:p>
    <w:p>
      <w:pPr>
        <w:pStyle w:val="25"/>
        <w:ind w:firstLine="480"/>
      </w:pPr>
      <w:r>
        <w:rPr>
          <w:rFonts w:hint="eastAsia"/>
        </w:rPr>
        <w:t>2.要求招标人或相关合同签订单位提供的配合，在标书文件中说明。</w:t>
      </w:r>
    </w:p>
    <w:p>
      <w:pPr>
        <w:pStyle w:val="25"/>
        <w:ind w:firstLine="480"/>
      </w:pPr>
      <w:r>
        <w:rPr>
          <w:rFonts w:hint="eastAsia"/>
        </w:rPr>
        <w:t>3.凡对本次招标提出的问询，均以招标人的书面答复为准。招标人的任何工作人员对投标人所作的任何口头解释、介绍、答复，对招标人和投标人均无任何约束力。</w:t>
      </w:r>
    </w:p>
    <w:p>
      <w:pPr>
        <w:pStyle w:val="25"/>
        <w:ind w:firstLine="480"/>
      </w:pPr>
      <w:r>
        <w:rPr>
          <w:rFonts w:hint="eastAsia"/>
        </w:rPr>
        <w:t>4.投标人应承担所有与准备和参加投标有关的全部费用，招标人在任何情况下均无义务和责任承担此费用。</w:t>
      </w:r>
    </w:p>
    <w:p>
      <w:pPr>
        <w:pStyle w:val="25"/>
        <w:ind w:firstLine="480"/>
      </w:pPr>
      <w:r>
        <w:rPr>
          <w:rFonts w:hint="eastAsia"/>
        </w:rPr>
        <w:t>5</w:t>
      </w:r>
      <w:r>
        <w:t>.</w:t>
      </w:r>
      <w:r>
        <w:rPr>
          <w:rFonts w:hint="eastAsia"/>
        </w:rPr>
        <w:t>中标人瑕疵滞后发现的处理原则：无论基于何种原因，各项本应作为拒绝处理的情形即便未被及时发现而使该中标人通过了资格审核、初评、现场复审、终评或其他所有相关程序，包括已签订合同的情形，招标人均有权拒绝或取消中标人资格，一旦中标人被拒绝或该中标人此前的评议结果被取消，相关的一切损失均由该中标人承担。</w:t>
      </w:r>
    </w:p>
    <w:p>
      <w:pPr>
        <w:pStyle w:val="26"/>
      </w:pPr>
      <w:r>
        <w:rPr>
          <w:rFonts w:hint="eastAsia"/>
        </w:rPr>
        <w:t>九、招标解释权</w:t>
      </w:r>
    </w:p>
    <w:p>
      <w:pPr>
        <w:pStyle w:val="25"/>
        <w:ind w:firstLine="480"/>
      </w:pPr>
      <w:r>
        <w:rPr>
          <w:rFonts w:hint="eastAsia"/>
        </w:rPr>
        <w:t>本次招标最终解释权归中国重汽集团济南动力有限公司。</w:t>
      </w:r>
      <w:r>
        <w:br w:type="page"/>
      </w:r>
    </w:p>
    <w:p>
      <w:pPr>
        <w:pStyle w:val="26"/>
        <w:jc w:val="center"/>
        <w:outlineLvl w:val="0"/>
        <w:rPr>
          <w:sz w:val="30"/>
        </w:rPr>
      </w:pPr>
      <w:bookmarkStart w:id="33" w:name="_Toc465187638"/>
      <w:r>
        <w:rPr>
          <w:rFonts w:hint="eastAsia" w:cs="宋体"/>
          <w:b/>
          <w:bCs w:val="0"/>
          <w:color w:val="000000"/>
          <w:sz w:val="30"/>
        </w:rPr>
        <w:t>第二部分</w:t>
      </w:r>
      <w:r>
        <w:rPr>
          <w:rFonts w:cs="宋体"/>
          <w:b/>
          <w:bCs w:val="0"/>
          <w:color w:val="000000"/>
          <w:sz w:val="30"/>
        </w:rPr>
        <w:t xml:space="preserve"> </w:t>
      </w:r>
      <w:r>
        <w:rPr>
          <w:rFonts w:hint="eastAsia"/>
          <w:sz w:val="30"/>
        </w:rPr>
        <w:t>技术协议书</w:t>
      </w:r>
    </w:p>
    <w:p>
      <w:pPr>
        <w:pStyle w:val="30"/>
      </w:pPr>
      <w:r>
        <w:rPr>
          <w:rFonts w:hint="eastAsia"/>
        </w:rPr>
        <w:t xml:space="preserve">第一章  </w:t>
      </w:r>
      <w:bookmarkEnd w:id="33"/>
      <w:r>
        <w:rPr>
          <w:rFonts w:hint="eastAsia"/>
        </w:rPr>
        <w:t>项目概况</w:t>
      </w:r>
    </w:p>
    <w:p>
      <w:pPr>
        <w:pStyle w:val="26"/>
        <w:spacing w:before="312" w:beforeLines="100" w:after="156" w:afterLines="50"/>
      </w:pPr>
      <w:bookmarkStart w:id="34" w:name="_Toc465187639"/>
      <w:r>
        <w:rPr>
          <w:rFonts w:hint="eastAsia"/>
        </w:rPr>
        <w:t>第一节  合作开发环境</w:t>
      </w:r>
      <w:bookmarkEnd w:id="34"/>
    </w:p>
    <w:p>
      <w:pPr>
        <w:spacing w:line="600" w:lineRule="exact"/>
        <w:ind w:firstLine="371" w:firstLineChars="177"/>
        <w:rPr>
          <w:rFonts w:ascii="宋体" w:hAnsi="宋体" w:eastAsia="宋体"/>
          <w:color w:val="000000"/>
          <w:szCs w:val="24"/>
          <w:u w:val="single"/>
        </w:rPr>
      </w:pPr>
      <w:r>
        <w:rPr>
          <w:rFonts w:hint="eastAsia" w:ascii="宋体" w:hAnsi="宋体" w:eastAsia="宋体"/>
          <w:color w:val="000000"/>
          <w:szCs w:val="24"/>
        </w:rPr>
        <w:t>一、项目名称：</w:t>
      </w:r>
      <w:r>
        <w:rPr>
          <w:rFonts w:hint="eastAsia" w:ascii="宋体" w:hAnsi="宋体" w:eastAsia="宋体"/>
          <w:color w:val="000000"/>
          <w:szCs w:val="24"/>
          <w:u w:val="single"/>
        </w:rPr>
        <w:t xml:space="preserve">工规级自动驾驶控制器通信中间件技术开发项目 </w:t>
      </w:r>
      <w:r>
        <w:rPr>
          <w:rFonts w:ascii="宋体" w:hAnsi="宋体" w:eastAsia="宋体"/>
          <w:color w:val="000000"/>
          <w:szCs w:val="24"/>
          <w:u w:val="single"/>
        </w:rPr>
        <w:t xml:space="preserve">             </w:t>
      </w:r>
    </w:p>
    <w:p>
      <w:pPr>
        <w:spacing w:line="420" w:lineRule="exact"/>
        <w:ind w:firstLine="371" w:firstLineChars="177"/>
        <w:rPr>
          <w:rFonts w:ascii="宋体" w:hAnsi="宋体" w:eastAsia="宋体"/>
          <w:color w:val="000000"/>
          <w:szCs w:val="24"/>
        </w:rPr>
      </w:pPr>
      <w:r>
        <w:rPr>
          <w:rFonts w:hint="eastAsia" w:ascii="宋体" w:hAnsi="宋体" w:eastAsia="宋体"/>
          <w:color w:val="000000"/>
          <w:szCs w:val="24"/>
        </w:rPr>
        <w:t>二、建设地点：</w:t>
      </w:r>
      <w:r>
        <w:rPr>
          <w:rFonts w:hint="eastAsia" w:ascii="宋体" w:hAnsi="宋体" w:eastAsia="宋体"/>
          <w:color w:val="000000"/>
          <w:szCs w:val="24"/>
          <w:u w:val="single"/>
        </w:rPr>
        <w:t xml:space="preserve">济南市高新区华奥路777号  </w:t>
      </w:r>
      <w:r>
        <w:rPr>
          <w:rFonts w:ascii="宋体" w:hAnsi="宋体" w:eastAsia="宋体"/>
          <w:color w:val="000000"/>
          <w:szCs w:val="24"/>
          <w:u w:val="single"/>
        </w:rPr>
        <w:t xml:space="preserve">                          </w:t>
      </w:r>
    </w:p>
    <w:p>
      <w:pPr>
        <w:pStyle w:val="26"/>
        <w:spacing w:before="312" w:beforeLines="100" w:after="156" w:afterLines="50"/>
      </w:pPr>
      <w:bookmarkStart w:id="35" w:name="_Toc465187640"/>
      <w:r>
        <w:rPr>
          <w:rFonts w:hint="eastAsia"/>
        </w:rPr>
        <w:t>第二节  开发概况</w:t>
      </w:r>
      <w:bookmarkEnd w:id="35"/>
    </w:p>
    <w:p>
      <w:pPr>
        <w:spacing w:before="156" w:beforeLines="50" w:after="156" w:afterLines="50" w:line="420" w:lineRule="exact"/>
        <w:rPr>
          <w:rFonts w:ascii="宋体" w:hAnsi="宋体" w:eastAsia="宋体"/>
          <w:color w:val="000000"/>
          <w:szCs w:val="21"/>
        </w:rPr>
      </w:pPr>
      <w:r>
        <w:rPr>
          <w:rFonts w:hint="eastAsia" w:ascii="宋体" w:hAnsi="宋体" w:eastAsia="宋体"/>
          <w:b/>
          <w:color w:val="000000"/>
          <w:szCs w:val="21"/>
        </w:rPr>
        <w:t>一、项目概述：</w:t>
      </w:r>
      <w:r>
        <w:rPr>
          <w:rFonts w:hint="eastAsia" w:ascii="宋体" w:hAnsi="宋体" w:eastAsia="宋体"/>
          <w:color w:val="000000"/>
          <w:szCs w:val="21"/>
        </w:rPr>
        <w:t xml:space="preserve"> </w:t>
      </w:r>
    </w:p>
    <w:p>
      <w:pPr>
        <w:spacing w:line="420" w:lineRule="exact"/>
        <w:ind w:firstLine="420" w:firstLineChars="200"/>
      </w:pPr>
      <w:r>
        <w:rPr>
          <w:rFonts w:hint="eastAsia" w:cs="宋体"/>
          <w:bCs/>
          <w:szCs w:val="21"/>
        </w:rPr>
        <w:t>本项目旨在通过技术合作，实现自动驾驶系统不同进程之间高效、可靠的通信，提高自动驾驶系统的性能表现，提升自动驾驶车辆的稳定性。</w:t>
      </w:r>
    </w:p>
    <w:p>
      <w:pPr>
        <w:spacing w:line="420" w:lineRule="exact"/>
        <w:ind w:firstLine="420" w:firstLineChars="200"/>
        <w:rPr>
          <w:rFonts w:cs="宋体"/>
          <w:bCs/>
          <w:szCs w:val="21"/>
        </w:rPr>
      </w:pPr>
      <w:r>
        <w:rPr>
          <w:rFonts w:hint="eastAsia" w:cs="宋体"/>
          <w:bCs/>
          <w:szCs w:val="21"/>
        </w:rPr>
        <w:t>该项目涉及自动驾驶系统，其中硬件系统包括控制器、传感器、线控底盘等，操作系统为Ubuntu 20.04，各模块之间的通信基于ROS2开源软件平台实现，涉及场景包括：台架、封闭区域自动驾驶实车系统。针对ROS2开源软件平台，主要涉及两方面的内容：1、通信延时性能优化；2、数据采集丢帧优化。自动驾驶系统主要通信的数据包含5个激光雷达，2个相机，4个毫米波雷达，1个组合导航及系统内各个模块之间的交互数据，具体数据量以自动驾驶实车系统为准。</w:t>
      </w:r>
    </w:p>
    <w:p>
      <w:pPr>
        <w:spacing w:line="420" w:lineRule="exact"/>
        <w:ind w:firstLine="420" w:firstLineChars="200"/>
        <w:rPr>
          <w:rFonts w:cs="宋体"/>
          <w:bCs/>
          <w:szCs w:val="21"/>
        </w:rPr>
      </w:pPr>
      <w:r>
        <w:rPr>
          <w:rFonts w:hint="eastAsia" w:cs="宋体"/>
          <w:bCs/>
          <w:szCs w:val="21"/>
        </w:rPr>
        <w:t>详细开发内容见下表：</w:t>
      </w:r>
    </w:p>
    <w:p>
      <w:pPr>
        <w:spacing w:line="420" w:lineRule="exact"/>
        <w:jc w:val="center"/>
        <w:rPr>
          <w:rFonts w:cs="宋体"/>
          <w:bCs/>
          <w:szCs w:val="21"/>
        </w:rPr>
      </w:pPr>
      <w:r>
        <w:rPr>
          <w:rFonts w:hint="eastAsia" w:cs="宋体"/>
          <w:bCs/>
          <w:szCs w:val="21"/>
        </w:rPr>
        <w:t>合作开发项目包含一览表</w:t>
      </w:r>
    </w:p>
    <w:tbl>
      <w:tblPr>
        <w:tblStyle w:val="17"/>
        <w:tblW w:w="92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1307"/>
        <w:gridCol w:w="5385"/>
        <w:gridCol w:w="2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40" w:type="dxa"/>
            <w:vAlign w:val="center"/>
          </w:tcPr>
          <w:p>
            <w:pPr>
              <w:spacing w:line="360" w:lineRule="exact"/>
              <w:jc w:val="center"/>
              <w:rPr>
                <w:rFonts w:ascii="Times New Roman" w:hAnsi="Times New Roman" w:eastAsia="宋体" w:cs="Times New Roman"/>
                <w:b/>
                <w:bCs/>
                <w:color w:val="000000"/>
              </w:rPr>
            </w:pPr>
            <w:r>
              <w:rPr>
                <w:rFonts w:ascii="Times New Roman" w:hAnsi="Times New Roman" w:eastAsia="宋体" w:cs="Times New Roman"/>
                <w:b/>
                <w:bCs/>
                <w:color w:val="000000"/>
              </w:rPr>
              <w:t>序号</w:t>
            </w:r>
          </w:p>
        </w:tc>
        <w:tc>
          <w:tcPr>
            <w:tcW w:w="1307" w:type="dxa"/>
            <w:vAlign w:val="center"/>
          </w:tcPr>
          <w:p>
            <w:pPr>
              <w:spacing w:line="360" w:lineRule="exact"/>
              <w:jc w:val="center"/>
              <w:rPr>
                <w:rFonts w:ascii="Times New Roman" w:hAnsi="Times New Roman" w:eastAsia="宋体" w:cs="Times New Roman"/>
                <w:b/>
                <w:bCs/>
                <w:color w:val="000000"/>
              </w:rPr>
            </w:pPr>
            <w:r>
              <w:rPr>
                <w:rFonts w:ascii="Times New Roman" w:hAnsi="Times New Roman" w:eastAsia="宋体" w:cs="Times New Roman"/>
                <w:b/>
                <w:bCs/>
                <w:color w:val="000000"/>
              </w:rPr>
              <w:t>名称</w:t>
            </w:r>
          </w:p>
        </w:tc>
        <w:tc>
          <w:tcPr>
            <w:tcW w:w="5385" w:type="dxa"/>
            <w:vAlign w:val="center"/>
          </w:tcPr>
          <w:p>
            <w:pPr>
              <w:spacing w:line="360" w:lineRule="exact"/>
              <w:jc w:val="center"/>
              <w:rPr>
                <w:rFonts w:ascii="Times New Roman" w:hAnsi="Times New Roman" w:eastAsia="宋体" w:cs="Times New Roman"/>
                <w:b/>
                <w:bCs/>
                <w:color w:val="000000"/>
              </w:rPr>
            </w:pPr>
            <w:r>
              <w:rPr>
                <w:rFonts w:ascii="Times New Roman" w:hAnsi="Times New Roman" w:eastAsia="宋体" w:cs="Times New Roman"/>
                <w:b/>
                <w:bCs/>
                <w:color w:val="000000"/>
              </w:rPr>
              <w:t>内容及输出物</w:t>
            </w:r>
          </w:p>
        </w:tc>
        <w:tc>
          <w:tcPr>
            <w:tcW w:w="2053" w:type="dxa"/>
            <w:vAlign w:val="center"/>
          </w:tcPr>
          <w:p>
            <w:pPr>
              <w:spacing w:line="360" w:lineRule="exact"/>
              <w:jc w:val="center"/>
              <w:rPr>
                <w:rFonts w:ascii="Times New Roman" w:hAnsi="Times New Roman" w:eastAsia="宋体" w:cs="Times New Roman"/>
                <w:b/>
                <w:bCs/>
                <w:color w:val="000000"/>
              </w:rPr>
            </w:pPr>
            <w:r>
              <w:rPr>
                <w:rFonts w:hint="eastAsia" w:ascii="Times New Roman" w:hAnsi="Times New Roman" w:eastAsia="宋体" w:cs="Times New Roman"/>
                <w:b/>
                <w:bCs/>
                <w:color w:val="000000"/>
              </w:rPr>
              <w:t>安装地点/服务对象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pPr>
              <w:spacing w:line="360" w:lineRule="exact"/>
              <w:jc w:val="center"/>
              <w:rPr>
                <w:rFonts w:ascii="Times New Roman" w:hAnsi="Times New Roman" w:eastAsia="宋体" w:cs="Times New Roman"/>
                <w:color w:val="000000"/>
              </w:rPr>
            </w:pPr>
            <w:r>
              <w:rPr>
                <w:rFonts w:ascii="Times New Roman" w:hAnsi="Times New Roman" w:eastAsia="宋体" w:cs="Times New Roman"/>
                <w:color w:val="000000"/>
              </w:rPr>
              <w:t>1</w:t>
            </w:r>
          </w:p>
        </w:tc>
        <w:tc>
          <w:tcPr>
            <w:tcW w:w="1307" w:type="dxa"/>
            <w:vAlign w:val="center"/>
          </w:tcPr>
          <w:p>
            <w:pPr>
              <w:spacing w:line="360" w:lineRule="exact"/>
              <w:jc w:val="center"/>
              <w:rPr>
                <w:rFonts w:ascii="Times New Roman" w:hAnsi="Times New Roman" w:eastAsia="宋体" w:cs="Times New Roman"/>
                <w:color w:val="000000"/>
              </w:rPr>
            </w:pPr>
            <w:r>
              <w:rPr>
                <w:rFonts w:ascii="Times New Roman" w:hAnsi="Times New Roman" w:eastAsia="宋体" w:cs="Times New Roman"/>
                <w:color w:val="000000"/>
              </w:rPr>
              <w:t>通信延时性能优化</w:t>
            </w:r>
          </w:p>
        </w:tc>
        <w:tc>
          <w:tcPr>
            <w:tcW w:w="5385" w:type="dxa"/>
          </w:tcPr>
          <w:p>
            <w:pPr>
              <w:pStyle w:val="2"/>
              <w:spacing w:line="420" w:lineRule="exact"/>
              <w:rPr>
                <w:rFonts w:ascii="Times New Roman" w:hAnsi="Times New Roman" w:cs="Times New Roman"/>
              </w:rPr>
            </w:pPr>
            <w:r>
              <w:rPr>
                <w:rFonts w:ascii="Times New Roman" w:hAnsi="Times New Roman" w:cs="Times New Roman"/>
              </w:rPr>
              <w:t>(1)通信延时，板内进程间收发，单包数据不超过8M时，收发两个节点之间的平均通信延时小于</w:t>
            </w:r>
            <w:r>
              <w:rPr>
                <w:rFonts w:hint="eastAsia" w:ascii="Times New Roman" w:hAnsi="Times New Roman" w:cs="Times New Roman"/>
              </w:rPr>
              <w:t>5</w:t>
            </w:r>
            <w:r>
              <w:rPr>
                <w:rFonts w:ascii="Times New Roman" w:hAnsi="Times New Roman" w:cs="Times New Roman"/>
              </w:rPr>
              <w:t>ms；</w:t>
            </w:r>
          </w:p>
          <w:p>
            <w:pPr>
              <w:pStyle w:val="2"/>
              <w:spacing w:line="420" w:lineRule="exact"/>
              <w:rPr>
                <w:rFonts w:ascii="Times New Roman" w:hAnsi="Times New Roman" w:cs="Times New Roman"/>
              </w:rPr>
            </w:pPr>
            <w:r>
              <w:rPr>
                <w:rFonts w:ascii="Times New Roman" w:hAnsi="Times New Roman" w:cs="Times New Roman"/>
              </w:rPr>
              <w:t>(2)延时抖动，板内进程间收发，单包数据不超过8M时，收发两个节点之间的通信延时99.9%不超过1</w:t>
            </w:r>
            <w:r>
              <w:rPr>
                <w:rFonts w:hint="eastAsia" w:ascii="Times New Roman" w:hAnsi="Times New Roman" w:cs="Times New Roman"/>
              </w:rPr>
              <w:t>0</w:t>
            </w:r>
            <w:r>
              <w:rPr>
                <w:rFonts w:ascii="Times New Roman" w:hAnsi="Times New Roman" w:cs="Times New Roman"/>
              </w:rPr>
              <w:t>ms，99.99%不超过20ms；</w:t>
            </w:r>
          </w:p>
          <w:p>
            <w:pPr>
              <w:pStyle w:val="2"/>
              <w:spacing w:line="420" w:lineRule="exact"/>
              <w:rPr>
                <w:rFonts w:ascii="Times New Roman" w:hAnsi="Times New Roman" w:cs="Times New Roman"/>
              </w:rPr>
            </w:pPr>
            <w:r>
              <w:rPr>
                <w:rFonts w:ascii="Times New Roman" w:hAnsi="Times New Roman" w:cs="Times New Roman"/>
              </w:rPr>
              <w:t>(3)协助验证当前系统是否支持共享内存方式通信，若支持，测试共享内存通信状态下的通信性能及系统性能；</w:t>
            </w:r>
          </w:p>
          <w:p>
            <w:pPr>
              <w:pStyle w:val="2"/>
              <w:spacing w:line="420" w:lineRule="exact"/>
              <w:rPr>
                <w:rFonts w:ascii="Times New Roman" w:hAnsi="Times New Roman" w:cs="Times New Roman"/>
              </w:rPr>
            </w:pPr>
            <w:r>
              <w:rPr>
                <w:rFonts w:ascii="Times New Roman" w:hAnsi="Times New Roman" w:cs="Times New Roman"/>
              </w:rPr>
              <w:t>输出物：通信延时优化程序源码1套，使用说明及培训文档。</w:t>
            </w:r>
          </w:p>
        </w:tc>
        <w:tc>
          <w:tcPr>
            <w:tcW w:w="2053" w:type="dxa"/>
            <w:vMerge w:val="restart"/>
            <w:vAlign w:val="center"/>
          </w:tcPr>
          <w:p>
            <w:pPr>
              <w:pStyle w:val="2"/>
              <w:spacing w:line="420" w:lineRule="exact"/>
              <w:jc w:val="center"/>
              <w:rPr>
                <w:rFonts w:ascii="Times New Roman" w:hAnsi="Times New Roman" w:cs="Times New Roman"/>
              </w:rPr>
            </w:pPr>
            <w:r>
              <w:rPr>
                <w:rFonts w:hint="eastAsia" w:hAnsi="宋体"/>
                <w:color w:val="000000"/>
              </w:rPr>
              <w:t>济南/中国重汽集团济南动力有限公司汽研总院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pPr>
              <w:pStyle w:val="2"/>
              <w:jc w:val="center"/>
              <w:rPr>
                <w:rFonts w:ascii="Times New Roman" w:hAnsi="Times New Roman" w:cs="Times New Roman"/>
              </w:rPr>
            </w:pPr>
            <w:r>
              <w:rPr>
                <w:rFonts w:ascii="Times New Roman" w:hAnsi="Times New Roman" w:cs="Times New Roman"/>
              </w:rPr>
              <w:t>2</w:t>
            </w:r>
          </w:p>
        </w:tc>
        <w:tc>
          <w:tcPr>
            <w:tcW w:w="1307" w:type="dxa"/>
            <w:vAlign w:val="center"/>
          </w:tcPr>
          <w:p>
            <w:pPr>
              <w:pStyle w:val="2"/>
              <w:jc w:val="center"/>
              <w:rPr>
                <w:rFonts w:ascii="Times New Roman" w:hAnsi="Times New Roman" w:cs="Times New Roman"/>
              </w:rPr>
            </w:pPr>
            <w:r>
              <w:rPr>
                <w:rFonts w:ascii="Times New Roman" w:hAnsi="Times New Roman" w:cs="Times New Roman"/>
              </w:rPr>
              <w:t>数据采集丢帧优化</w:t>
            </w:r>
          </w:p>
        </w:tc>
        <w:tc>
          <w:tcPr>
            <w:tcW w:w="5385" w:type="dxa"/>
          </w:tcPr>
          <w:p>
            <w:pPr>
              <w:pStyle w:val="2"/>
              <w:spacing w:line="420" w:lineRule="exact"/>
              <w:rPr>
                <w:rFonts w:ascii="Times New Roman" w:hAnsi="Times New Roman" w:cs="Times New Roman"/>
              </w:rPr>
            </w:pPr>
            <w:r>
              <w:rPr>
                <w:rFonts w:ascii="Times New Roman" w:hAnsi="Times New Roman" w:cs="Times New Roman"/>
              </w:rPr>
              <w:t>满足多传感器数据采集需求，优化ROS2（ros2 bag record）板内录包时丢帧问题，丢包率小于0.1%；</w:t>
            </w:r>
          </w:p>
          <w:p>
            <w:pPr>
              <w:pStyle w:val="2"/>
              <w:spacing w:line="420" w:lineRule="exact"/>
              <w:rPr>
                <w:rFonts w:ascii="Times New Roman" w:hAnsi="Times New Roman" w:cs="Times New Roman"/>
              </w:rPr>
            </w:pPr>
            <w:r>
              <w:rPr>
                <w:rFonts w:ascii="Times New Roman" w:hAnsi="Times New Roman" w:cs="Times New Roman"/>
              </w:rPr>
              <w:t>输出物：数据采集程序源码1套，使用说明及培训文档。</w:t>
            </w:r>
          </w:p>
        </w:tc>
        <w:tc>
          <w:tcPr>
            <w:tcW w:w="2053" w:type="dxa"/>
            <w:vMerge w:val="continue"/>
          </w:tcPr>
          <w:p>
            <w:pPr>
              <w:pStyle w:val="2"/>
              <w:spacing w:line="420" w:lineRule="exac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pPr>
              <w:pStyle w:val="2"/>
              <w:jc w:val="center"/>
              <w:rPr>
                <w:rFonts w:ascii="Times New Roman" w:hAnsi="Times New Roman" w:cs="Times New Roman"/>
              </w:rPr>
            </w:pPr>
            <w:r>
              <w:rPr>
                <w:rFonts w:hint="eastAsia" w:ascii="Times New Roman" w:hAnsi="Times New Roman" w:cs="Times New Roman"/>
              </w:rPr>
              <w:t>3</w:t>
            </w:r>
          </w:p>
        </w:tc>
        <w:tc>
          <w:tcPr>
            <w:tcW w:w="1307" w:type="dxa"/>
            <w:vAlign w:val="center"/>
          </w:tcPr>
          <w:p>
            <w:pPr>
              <w:pStyle w:val="2"/>
              <w:jc w:val="center"/>
              <w:rPr>
                <w:rFonts w:ascii="Times New Roman" w:hAnsi="Times New Roman" w:cs="Times New Roman"/>
              </w:rPr>
            </w:pPr>
            <w:r>
              <w:rPr>
                <w:rFonts w:hint="eastAsia" w:ascii="Times New Roman" w:hAnsi="Times New Roman" w:cs="Times New Roman"/>
                <w:lang w:val="en-US" w:eastAsia="zh-CN"/>
              </w:rPr>
              <w:t>实车</w:t>
            </w:r>
            <w:r>
              <w:rPr>
                <w:rFonts w:hint="eastAsia" w:ascii="Times New Roman" w:hAnsi="Times New Roman" w:cs="Times New Roman"/>
              </w:rPr>
              <w:t>自动驾驶系统通信</w:t>
            </w:r>
            <w:r>
              <w:rPr>
                <w:rFonts w:ascii="Times New Roman" w:hAnsi="Times New Roman" w:cs="Times New Roman"/>
              </w:rPr>
              <w:t>性能测试报告</w:t>
            </w:r>
          </w:p>
        </w:tc>
        <w:tc>
          <w:tcPr>
            <w:tcW w:w="5385" w:type="dxa"/>
          </w:tcPr>
          <w:p>
            <w:pPr>
              <w:pStyle w:val="2"/>
              <w:spacing w:line="420" w:lineRule="exact"/>
              <w:rPr>
                <w:rFonts w:ascii="Times New Roman" w:hAnsi="Times New Roman" w:cs="Times New Roman"/>
              </w:rPr>
            </w:pPr>
            <w:r>
              <w:rPr>
                <w:rFonts w:hint="eastAsia" w:ascii="Times New Roman" w:hAnsi="Times New Roman" w:cs="Times New Roman"/>
              </w:rPr>
              <w:t>基于通信延时、数据采集丢帧情况进行实车测试；</w:t>
            </w:r>
          </w:p>
          <w:p>
            <w:pPr>
              <w:pStyle w:val="2"/>
              <w:spacing w:line="420" w:lineRule="exact"/>
              <w:rPr>
                <w:rFonts w:ascii="Times New Roman" w:hAnsi="Times New Roman" w:cs="Times New Roman"/>
              </w:rPr>
            </w:pPr>
            <w:r>
              <w:rPr>
                <w:rFonts w:hint="eastAsia" w:ascii="Times New Roman" w:hAnsi="Times New Roman" w:cs="Times New Roman"/>
              </w:rPr>
              <w:t>输出物：</w:t>
            </w:r>
            <w:r>
              <w:rPr>
                <w:rFonts w:hint="eastAsia" w:ascii="Times New Roman" w:hAnsi="Times New Roman" w:cs="Times New Roman"/>
                <w:lang w:val="en-US" w:eastAsia="zh-CN"/>
              </w:rPr>
              <w:t>实车自动驾驶系统</w:t>
            </w:r>
            <w:r>
              <w:rPr>
                <w:rFonts w:hint="eastAsia" w:ascii="Times New Roman" w:hAnsi="Times New Roman" w:cs="Times New Roman"/>
              </w:rPr>
              <w:t>通信性能测试报告。</w:t>
            </w:r>
          </w:p>
        </w:tc>
        <w:tc>
          <w:tcPr>
            <w:tcW w:w="2053" w:type="dxa"/>
            <w:vMerge w:val="continue"/>
          </w:tcPr>
          <w:p>
            <w:pPr>
              <w:pStyle w:val="2"/>
              <w:spacing w:line="420" w:lineRule="exact"/>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vAlign w:val="center"/>
          </w:tcPr>
          <w:p>
            <w:pPr>
              <w:pStyle w:val="2"/>
              <w:jc w:val="center"/>
              <w:rPr>
                <w:rFonts w:ascii="Times New Roman" w:hAnsi="Times New Roman" w:cs="Times New Roman"/>
              </w:rPr>
            </w:pPr>
            <w:r>
              <w:rPr>
                <w:rFonts w:hint="eastAsia" w:ascii="Times New Roman" w:hAnsi="Times New Roman" w:cs="Times New Roman"/>
              </w:rPr>
              <w:t>4</w:t>
            </w:r>
          </w:p>
        </w:tc>
        <w:tc>
          <w:tcPr>
            <w:tcW w:w="1307" w:type="dxa"/>
            <w:vAlign w:val="center"/>
          </w:tcPr>
          <w:p>
            <w:pPr>
              <w:pStyle w:val="2"/>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知识产权</w:t>
            </w:r>
          </w:p>
        </w:tc>
        <w:tc>
          <w:tcPr>
            <w:tcW w:w="5385" w:type="dxa"/>
          </w:tcPr>
          <w:p>
            <w:pPr>
              <w:pStyle w:val="2"/>
              <w:spacing w:line="420" w:lineRule="exact"/>
              <w:rPr>
                <w:rFonts w:ascii="Times New Roman" w:hAnsi="Times New Roman" w:cs="Times New Roman"/>
              </w:rPr>
            </w:pPr>
            <w:r>
              <w:rPr>
                <w:rFonts w:hint="eastAsia" w:ascii="Times New Roman" w:hAnsi="Times New Roman" w:cs="Times New Roman"/>
              </w:rPr>
              <w:t>输出物：发明专利1篇。</w:t>
            </w:r>
          </w:p>
        </w:tc>
        <w:tc>
          <w:tcPr>
            <w:tcW w:w="2053" w:type="dxa"/>
            <w:vMerge w:val="continue"/>
          </w:tcPr>
          <w:p>
            <w:pPr>
              <w:pStyle w:val="2"/>
              <w:spacing w:line="420" w:lineRule="exact"/>
              <w:rPr>
                <w:rFonts w:ascii="Times New Roman" w:hAnsi="Times New Roman" w:cs="Times New Roman"/>
              </w:rPr>
            </w:pPr>
          </w:p>
        </w:tc>
      </w:tr>
    </w:tbl>
    <w:p>
      <w:pPr>
        <w:spacing w:before="156" w:beforeLines="50" w:after="156" w:afterLines="50" w:line="420" w:lineRule="exact"/>
        <w:rPr>
          <w:rFonts w:ascii="宋体" w:hAnsi="宋体"/>
          <w:b/>
          <w:color w:val="000000"/>
          <w:szCs w:val="21"/>
        </w:rPr>
      </w:pPr>
      <w:r>
        <w:rPr>
          <w:rFonts w:hint="eastAsia" w:ascii="宋体" w:hAnsi="宋体"/>
          <w:b/>
          <w:color w:val="000000"/>
          <w:szCs w:val="21"/>
        </w:rPr>
        <w:t>三、采购特别说明</w:t>
      </w:r>
    </w:p>
    <w:p>
      <w:pPr>
        <w:spacing w:line="420" w:lineRule="exact"/>
        <w:ind w:firstLine="420" w:firstLineChars="200"/>
        <w:rPr>
          <w:rFonts w:ascii="宋体" w:hAnsi="宋体"/>
          <w:color w:val="000000"/>
          <w:szCs w:val="21"/>
        </w:rPr>
      </w:pPr>
      <w:r>
        <w:rPr>
          <w:rFonts w:hint="eastAsia" w:ascii="宋体" w:hAnsi="宋体"/>
          <w:color w:val="000000"/>
          <w:szCs w:val="21"/>
        </w:rPr>
        <w:t>招标方所列货物、技术或服务，如为某一供应商所特有，则该名称和规格型号可作参考；但要求投标方所提供的货物必须满足本技术标书实质性要求。</w:t>
      </w:r>
    </w:p>
    <w:p>
      <w:pPr>
        <w:spacing w:line="420" w:lineRule="exact"/>
        <w:rPr>
          <w:rFonts w:ascii="宋体" w:hAnsi="宋体" w:eastAsia="宋体"/>
          <w:color w:val="000000"/>
          <w:sz w:val="24"/>
          <w:szCs w:val="24"/>
        </w:rPr>
      </w:pPr>
      <w:r>
        <w:rPr>
          <w:rFonts w:hint="eastAsia" w:ascii="宋体" w:hAnsi="宋体" w:eastAsia="宋体"/>
          <w:color w:val="000000"/>
          <w:sz w:val="24"/>
          <w:szCs w:val="24"/>
        </w:rPr>
        <w:t xml:space="preserve"> </w:t>
      </w:r>
      <w:r>
        <w:rPr>
          <w:rFonts w:ascii="宋体" w:hAnsi="宋体" w:eastAsia="宋体"/>
          <w:color w:val="000000"/>
          <w:sz w:val="24"/>
          <w:szCs w:val="24"/>
        </w:rPr>
        <w:t xml:space="preserve">   </w:t>
      </w:r>
    </w:p>
    <w:p>
      <w:pPr>
        <w:spacing w:line="420" w:lineRule="exact"/>
        <w:ind w:firstLine="420" w:firstLineChars="200"/>
        <w:rPr>
          <w:rFonts w:ascii="宋体" w:hAnsi="宋体" w:eastAsia="宋体"/>
          <w:color w:val="000000"/>
        </w:rPr>
      </w:pPr>
    </w:p>
    <w:p>
      <w:pPr>
        <w:spacing w:line="420" w:lineRule="exact"/>
        <w:ind w:firstLine="420" w:firstLineChars="200"/>
        <w:rPr>
          <w:rFonts w:ascii="宋体" w:hAnsi="宋体" w:eastAsia="宋体"/>
          <w:color w:val="000000"/>
        </w:rPr>
      </w:pPr>
    </w:p>
    <w:p>
      <w:pPr>
        <w:widowControl/>
        <w:jc w:val="left"/>
        <w:rPr>
          <w:rFonts w:ascii="宋体" w:hAnsi="宋体" w:eastAsia="宋体"/>
          <w:color w:val="000000"/>
        </w:rPr>
      </w:pPr>
      <w:r>
        <w:rPr>
          <w:rFonts w:ascii="宋体" w:hAnsi="宋体" w:eastAsia="宋体"/>
          <w:color w:val="000000"/>
        </w:rPr>
        <w:br w:type="page"/>
      </w:r>
    </w:p>
    <w:p>
      <w:pPr>
        <w:pStyle w:val="30"/>
      </w:pPr>
      <w:bookmarkStart w:id="36" w:name="_Toc465187641"/>
      <w:r>
        <w:rPr>
          <w:rFonts w:hint="eastAsia"/>
        </w:rPr>
        <w:t>第二章  技术要求</w:t>
      </w:r>
    </w:p>
    <w:p>
      <w:pPr>
        <w:pStyle w:val="26"/>
        <w:spacing w:before="156" w:beforeLines="50" w:after="156" w:afterLines="50"/>
      </w:pPr>
      <w:r>
        <w:rPr>
          <w:rFonts w:hint="eastAsia"/>
        </w:rPr>
        <w:t>一、特别提示</w:t>
      </w:r>
    </w:p>
    <w:p>
      <w:pPr>
        <w:spacing w:line="360" w:lineRule="auto"/>
        <w:ind w:firstLine="420" w:firstLineChars="200"/>
        <w:rPr>
          <w:rFonts w:ascii="宋体" w:hAnsi="宋体"/>
          <w:color w:val="000000"/>
        </w:rPr>
      </w:pPr>
      <w:r>
        <w:rPr>
          <w:rFonts w:hint="eastAsia" w:ascii="宋体" w:hAnsi="宋体"/>
          <w:color w:val="000000"/>
        </w:rPr>
        <w:t>1、本章技术要求，仅对功能、设计、结构、性能、安装和试验检验等方面，提出了最低和一般性的技术要求，并未对一切技术细节作出规定。</w:t>
      </w:r>
    </w:p>
    <w:p>
      <w:pPr>
        <w:spacing w:line="360" w:lineRule="auto"/>
        <w:ind w:firstLine="420" w:firstLineChars="200"/>
        <w:rPr>
          <w:rFonts w:ascii="黑体" w:hAnsi="宋体" w:eastAsia="黑体"/>
          <w:color w:val="000000"/>
        </w:rPr>
      </w:pPr>
      <w:r>
        <w:rPr>
          <w:rFonts w:hint="eastAsia" w:ascii="宋体" w:hAnsi="宋体"/>
          <w:color w:val="000000"/>
        </w:rPr>
        <w:t>2、本技术要求所使用的标准、规范等，如与投标方所执行的标准、规范不一致时，应按高于本技术要求所列的标准、规范执行。</w:t>
      </w:r>
    </w:p>
    <w:p>
      <w:pPr>
        <w:spacing w:line="360" w:lineRule="auto"/>
        <w:ind w:firstLine="420" w:firstLineChars="200"/>
        <w:rPr>
          <w:rFonts w:ascii="宋体" w:hAnsi="宋体"/>
          <w:color w:val="000000"/>
        </w:rPr>
      </w:pPr>
      <w:r>
        <w:rPr>
          <w:color w:val="000000"/>
        </w:rPr>
        <w:t>3</w:t>
      </w:r>
      <w:r>
        <w:rPr>
          <w:rFonts w:hint="eastAsia"/>
          <w:color w:val="000000"/>
        </w:rPr>
        <w:t>、无论是否有技术偏离，投标方均应在投标文件“技术偏离”中明确</w:t>
      </w:r>
      <w:r>
        <w:rPr>
          <w:rFonts w:hint="eastAsia" w:ascii="宋体" w:hAnsi="宋体"/>
          <w:color w:val="000000"/>
        </w:rPr>
        <w:t>作出有无说明。</w:t>
      </w:r>
      <w:r>
        <w:rPr>
          <w:rFonts w:hint="eastAsia"/>
          <w:color w:val="000000"/>
        </w:rPr>
        <w:t>若有异议，不管是多么微小，</w:t>
      </w:r>
      <w:r>
        <w:rPr>
          <w:rFonts w:hint="eastAsia" w:ascii="宋体" w:hAnsi="宋体"/>
          <w:color w:val="000000"/>
        </w:rPr>
        <w:t>投标方必须予以明确和详细的说明或澄清。</w:t>
      </w:r>
    </w:p>
    <w:p>
      <w:pPr>
        <w:spacing w:line="360" w:lineRule="auto"/>
        <w:ind w:firstLine="420" w:firstLineChars="200"/>
        <w:rPr>
          <w:rFonts w:ascii="宋体" w:hAnsi="宋体"/>
          <w:color w:val="000000"/>
        </w:rPr>
      </w:pPr>
      <w:r>
        <w:rPr>
          <w:rFonts w:ascii="宋体" w:hAnsi="宋体"/>
          <w:color w:val="000000"/>
        </w:rPr>
        <w:t>4</w:t>
      </w:r>
      <w:r>
        <w:rPr>
          <w:rFonts w:hint="eastAsia" w:ascii="宋体" w:hAnsi="宋体"/>
          <w:color w:val="000000"/>
        </w:rPr>
        <w:t>、为避免投标方优势在招标评审时漏项，质保期超出本技术标书要求的，应当在投标文件“技术偏离”中特别注明。</w:t>
      </w:r>
    </w:p>
    <w:p>
      <w:pPr>
        <w:pStyle w:val="26"/>
        <w:spacing w:before="156" w:beforeLines="50" w:after="156" w:afterLines="50"/>
      </w:pPr>
      <w:r>
        <w:rPr>
          <w:rFonts w:hint="eastAsia"/>
        </w:rPr>
        <w:t>二、基本要求</w:t>
      </w:r>
    </w:p>
    <w:p>
      <w:pPr>
        <w:spacing w:line="360" w:lineRule="auto"/>
        <w:ind w:firstLine="420" w:firstLineChars="200"/>
        <w:rPr>
          <w:rFonts w:ascii="宋体" w:hAnsi="宋体"/>
          <w:color w:val="000000"/>
        </w:rPr>
      </w:pPr>
      <w:r>
        <w:rPr>
          <w:rFonts w:hint="eastAsia" w:ascii="宋体" w:hAnsi="宋体"/>
          <w:color w:val="000000"/>
        </w:rPr>
        <w:t>1、投标方所供的货物、技术或服务，必须符合中国最新版的法律、法规和相关标准、规范的要求，符合项目所在地政府有关特殊要求。</w:t>
      </w:r>
    </w:p>
    <w:p>
      <w:pPr>
        <w:spacing w:line="360" w:lineRule="auto"/>
        <w:ind w:firstLine="420" w:firstLineChars="200"/>
        <w:rPr>
          <w:rFonts w:ascii="宋体" w:hAnsi="宋体"/>
          <w:color w:val="000000"/>
        </w:rPr>
      </w:pPr>
      <w:r>
        <w:rPr>
          <w:rFonts w:hint="eastAsia" w:ascii="宋体" w:hAnsi="宋体"/>
          <w:color w:val="000000"/>
        </w:rPr>
        <w:t>2、投标方所供货物、技术或服务涉及的专利权技术以及知识产权保护的其它技术等，应保证招标方不因此受到任何侵权指控以及实际损失。</w:t>
      </w:r>
    </w:p>
    <w:p>
      <w:pPr>
        <w:spacing w:line="360" w:lineRule="auto"/>
        <w:ind w:firstLine="420" w:firstLineChars="200"/>
        <w:rPr>
          <w:rFonts w:ascii="宋体" w:hAnsi="宋体"/>
          <w:color w:val="000000"/>
        </w:rPr>
      </w:pPr>
      <w:r>
        <w:rPr>
          <w:rFonts w:ascii="宋体" w:hAnsi="宋体"/>
          <w:color w:val="000000"/>
        </w:rPr>
        <w:t>3</w:t>
      </w:r>
      <w:r>
        <w:rPr>
          <w:rFonts w:hint="eastAsia" w:ascii="宋体" w:hAnsi="宋体"/>
          <w:color w:val="000000"/>
        </w:rPr>
        <w:t>、投标方应满足招标方提出的各项技术要求，必要时应当免费提供技术承诺或担保。</w:t>
      </w:r>
    </w:p>
    <w:p>
      <w:pPr>
        <w:spacing w:line="360" w:lineRule="auto"/>
        <w:ind w:firstLine="420" w:firstLineChars="200"/>
        <w:rPr>
          <w:rFonts w:ascii="宋体" w:hAnsi="宋体"/>
          <w:color w:val="000000"/>
        </w:rPr>
      </w:pPr>
      <w:r>
        <w:rPr>
          <w:rFonts w:ascii="宋体" w:hAnsi="宋体"/>
          <w:color w:val="000000"/>
        </w:rPr>
        <w:t>4</w:t>
      </w:r>
      <w:r>
        <w:rPr>
          <w:rFonts w:hint="eastAsia" w:ascii="宋体" w:hAnsi="宋体"/>
          <w:color w:val="000000"/>
        </w:rPr>
        <w:t>、投标方应保证所供货物、技术或服务的完整性和成套性，能保证货物、技术或服务的正常运行、使用。</w:t>
      </w:r>
    </w:p>
    <w:p>
      <w:pPr>
        <w:spacing w:line="360" w:lineRule="auto"/>
        <w:ind w:firstLine="420" w:firstLineChars="200"/>
        <w:rPr>
          <w:rFonts w:ascii="宋体" w:hAnsi="宋体"/>
          <w:color w:val="000000"/>
        </w:rPr>
      </w:pPr>
      <w:r>
        <w:rPr>
          <w:rFonts w:ascii="宋体" w:hAnsi="宋体"/>
          <w:color w:val="000000"/>
        </w:rPr>
        <w:t>5</w:t>
      </w:r>
      <w:r>
        <w:rPr>
          <w:rFonts w:hint="eastAsia" w:ascii="宋体" w:hAnsi="宋体"/>
          <w:color w:val="000000"/>
        </w:rPr>
        <w:t>、投标方应对招标方采购的货物所涉及的技术、产能等信息负有保密义务，招标方拥有追究投标方泄密责任的权利；招标方如有需要，投标方应无条件签署保密协议。</w:t>
      </w:r>
    </w:p>
    <w:p>
      <w:pPr>
        <w:pStyle w:val="26"/>
        <w:spacing w:before="156" w:beforeLines="50" w:after="156" w:afterLines="50"/>
        <w:rPr>
          <w:color w:val="000000"/>
        </w:rPr>
      </w:pPr>
      <w:r>
        <w:rPr>
          <w:rFonts w:hint="eastAsia"/>
        </w:rPr>
        <w:t>三、技术要求</w:t>
      </w:r>
    </w:p>
    <w:p>
      <w:pPr>
        <w:pStyle w:val="26"/>
        <w:keepNext w:val="0"/>
        <w:snapToGrid w:val="0"/>
        <w:spacing w:before="156" w:beforeLines="50" w:after="156" w:afterLines="50" w:line="360" w:lineRule="auto"/>
        <w:rPr>
          <w:rFonts w:ascii="黑体" w:hAnsi="黑体" w:cs="黑体"/>
          <w:sz w:val="24"/>
          <w:szCs w:val="24"/>
        </w:rPr>
      </w:pPr>
      <w:r>
        <w:rPr>
          <w:rFonts w:ascii="黑体" w:hAnsi="黑体" w:cs="黑体"/>
          <w:sz w:val="24"/>
          <w:szCs w:val="24"/>
        </w:rPr>
        <w:t>3.1</w:t>
      </w:r>
      <w:r>
        <w:rPr>
          <w:rFonts w:hint="eastAsia" w:ascii="黑体" w:hAnsi="黑体" w:cs="黑体"/>
          <w:sz w:val="24"/>
          <w:szCs w:val="24"/>
        </w:rPr>
        <w:t>工规级自动驾驶控制器通信中间件技术开发项目主要参数及性能指标要求</w:t>
      </w:r>
    </w:p>
    <w:p>
      <w:pPr>
        <w:pStyle w:val="26"/>
        <w:keepNext w:val="0"/>
        <w:snapToGrid w:val="0"/>
        <w:spacing w:line="360" w:lineRule="auto"/>
        <w:ind w:firstLine="420" w:firstLineChars="200"/>
        <w:rPr>
          <w:rFonts w:eastAsia="宋体" w:cs="宋体"/>
          <w:sz w:val="21"/>
          <w:szCs w:val="21"/>
        </w:rPr>
      </w:pPr>
      <w:r>
        <w:rPr>
          <w:rFonts w:hint="eastAsia" w:eastAsia="宋体" w:cs="宋体"/>
          <w:sz w:val="21"/>
          <w:szCs w:val="21"/>
        </w:rPr>
        <w:t>通信中间件开发，主要涉及两方面的内容：1.通信延时性能优化；2.数据采集丢帧优化。</w:t>
      </w:r>
    </w:p>
    <w:p>
      <w:pPr>
        <w:pStyle w:val="26"/>
        <w:keepNext w:val="0"/>
        <w:snapToGrid w:val="0"/>
        <w:spacing w:line="360" w:lineRule="auto"/>
        <w:ind w:firstLine="420" w:firstLineChars="200"/>
        <w:rPr>
          <w:rFonts w:eastAsia="宋体" w:cs="宋体"/>
          <w:sz w:val="21"/>
          <w:szCs w:val="21"/>
        </w:rPr>
      </w:pPr>
      <w:r>
        <w:rPr>
          <w:rFonts w:hint="eastAsia" w:eastAsia="宋体" w:cs="宋体"/>
          <w:sz w:val="21"/>
          <w:szCs w:val="21"/>
        </w:rPr>
        <w:t>详细技术参数及性能指标要求见下表：</w:t>
      </w:r>
    </w:p>
    <w:tbl>
      <w:tblPr>
        <w:tblStyle w:val="16"/>
        <w:tblW w:w="9024" w:type="dxa"/>
        <w:tblInd w:w="11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39"/>
        <w:gridCol w:w="6468"/>
        <w:gridCol w:w="191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10" w:hRule="atLeast"/>
        </w:trPr>
        <w:tc>
          <w:tcPr>
            <w:tcW w:w="639" w:type="dxa"/>
            <w:tcBorders>
              <w:top w:val="single" w:color="auto" w:sz="4" w:space="0"/>
              <w:left w:val="single" w:color="auto" w:sz="4" w:space="0"/>
              <w:bottom w:val="single" w:color="auto" w:sz="4" w:space="0"/>
              <w:right w:val="single" w:color="auto" w:sz="4" w:space="0"/>
            </w:tcBorders>
          </w:tcPr>
          <w:p>
            <w:pPr>
              <w:pStyle w:val="28"/>
              <w:rPr>
                <w:szCs w:val="21"/>
              </w:rPr>
            </w:pPr>
            <w:r>
              <w:rPr>
                <w:szCs w:val="21"/>
              </w:rPr>
              <w:t>序号</w:t>
            </w:r>
          </w:p>
        </w:tc>
        <w:tc>
          <w:tcPr>
            <w:tcW w:w="6468" w:type="dxa"/>
            <w:tcBorders>
              <w:top w:val="single" w:color="auto" w:sz="4" w:space="0"/>
              <w:left w:val="single" w:color="auto" w:sz="4" w:space="0"/>
              <w:bottom w:val="single" w:color="auto" w:sz="4" w:space="0"/>
              <w:right w:val="single" w:color="auto" w:sz="4" w:space="0"/>
            </w:tcBorders>
          </w:tcPr>
          <w:p>
            <w:pPr>
              <w:pStyle w:val="28"/>
              <w:rPr>
                <w:szCs w:val="21"/>
              </w:rPr>
            </w:pPr>
            <w:r>
              <w:rPr>
                <w:szCs w:val="21"/>
              </w:rPr>
              <w:t>主要技术参数及性能指标要求</w:t>
            </w:r>
          </w:p>
        </w:tc>
        <w:tc>
          <w:tcPr>
            <w:tcW w:w="1917" w:type="dxa"/>
            <w:tcBorders>
              <w:top w:val="single" w:color="auto" w:sz="4" w:space="0"/>
              <w:left w:val="single" w:color="auto" w:sz="4" w:space="0"/>
              <w:bottom w:val="single" w:color="auto" w:sz="4" w:space="0"/>
              <w:right w:val="single" w:color="auto" w:sz="4" w:space="0"/>
            </w:tcBorders>
          </w:tcPr>
          <w:p>
            <w:pPr>
              <w:pStyle w:val="28"/>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74" w:hRule="atLeast"/>
        </w:trPr>
        <w:tc>
          <w:tcPr>
            <w:tcW w:w="639" w:type="dxa"/>
            <w:tcBorders>
              <w:top w:val="single" w:color="auto" w:sz="4" w:space="0"/>
              <w:left w:val="single" w:color="auto" w:sz="4" w:space="0"/>
              <w:bottom w:val="single" w:color="auto" w:sz="4" w:space="0"/>
              <w:right w:val="single" w:color="auto" w:sz="4" w:space="0"/>
            </w:tcBorders>
            <w:vAlign w:val="center"/>
          </w:tcPr>
          <w:p>
            <w:pPr>
              <w:spacing w:line="420" w:lineRule="exact"/>
              <w:jc w:val="center"/>
              <w:rPr>
                <w:rFonts w:ascii="Times New Roman" w:hAnsi="Times New Roman" w:eastAsia="宋体" w:cs="Times New Roman"/>
                <w:lang w:bidi="ar"/>
              </w:rPr>
            </w:pPr>
            <w:r>
              <w:rPr>
                <w:rFonts w:ascii="Times New Roman" w:hAnsi="Times New Roman" w:eastAsia="宋体" w:cs="Times New Roman"/>
                <w:lang w:bidi="ar"/>
              </w:rPr>
              <w:t>1</w:t>
            </w:r>
          </w:p>
        </w:tc>
        <w:tc>
          <w:tcPr>
            <w:tcW w:w="6468" w:type="dxa"/>
            <w:tcBorders>
              <w:top w:val="single" w:color="auto" w:sz="4" w:space="0"/>
              <w:left w:val="single" w:color="auto" w:sz="4" w:space="0"/>
              <w:bottom w:val="single" w:color="auto" w:sz="4" w:space="0"/>
              <w:right w:val="single" w:color="auto" w:sz="4" w:space="0"/>
            </w:tcBorders>
          </w:tcPr>
          <w:p>
            <w:pPr>
              <w:numPr>
                <w:ilvl w:val="0"/>
                <w:numId w:val="7"/>
              </w:numPr>
              <w:spacing w:line="420" w:lineRule="exact"/>
              <w:rPr>
                <w:rFonts w:ascii="Times New Roman" w:hAnsi="Times New Roman" w:cs="Times New Roman"/>
                <w:b/>
                <w:bCs/>
              </w:rPr>
            </w:pPr>
            <w:r>
              <w:rPr>
                <w:rFonts w:ascii="Times New Roman" w:hAnsi="Times New Roman" w:cs="Times New Roman"/>
                <w:b/>
                <w:bCs/>
              </w:rPr>
              <w:t>通信延时性能优化</w:t>
            </w:r>
          </w:p>
          <w:p>
            <w:pPr>
              <w:spacing w:line="420" w:lineRule="exact"/>
              <w:rPr>
                <w:rFonts w:ascii="Times New Roman" w:hAnsi="Times New Roman" w:cs="Times New Roman"/>
              </w:rPr>
            </w:pPr>
            <w:r>
              <w:rPr>
                <w:rFonts w:ascii="Times New Roman" w:hAnsi="Times New Roman" w:cs="Times New Roman"/>
              </w:rPr>
              <w:t>自动驾驶系统内需要进行通信的数据主要包含传感器数据和感知、融合、规划、控制算法所生成的</w:t>
            </w:r>
            <w:r>
              <w:rPr>
                <w:rFonts w:hint="eastAsia" w:ascii="Times New Roman" w:hAnsi="Times New Roman" w:cs="Times New Roman"/>
              </w:rPr>
              <w:t>交互</w:t>
            </w:r>
            <w:r>
              <w:rPr>
                <w:rFonts w:ascii="Times New Roman" w:hAnsi="Times New Roman" w:cs="Times New Roman"/>
              </w:rPr>
              <w:t>数据</w:t>
            </w:r>
            <w:r>
              <w:rPr>
                <w:rFonts w:hint="eastAsia" w:ascii="Times New Roman" w:hAnsi="Times New Roman" w:cs="Times New Roman"/>
              </w:rPr>
              <w:t>等</w:t>
            </w:r>
            <w:r>
              <w:rPr>
                <w:rFonts w:ascii="Times New Roman" w:hAnsi="Times New Roman" w:cs="Times New Roman"/>
              </w:rPr>
              <w:t>。其中传感器包括：5个激光雷达、2个相机、1个组合导航</w:t>
            </w:r>
            <w:r>
              <w:rPr>
                <w:rFonts w:hint="eastAsia" w:ascii="Times New Roman" w:hAnsi="Times New Roman" w:cs="Times New Roman"/>
              </w:rPr>
              <w:t>、4个毫米波雷达</w:t>
            </w:r>
            <w:r>
              <w:rPr>
                <w:rFonts w:ascii="Times New Roman" w:hAnsi="Times New Roman" w:cs="Times New Roman"/>
              </w:rPr>
              <w:t>。</w:t>
            </w:r>
            <w:r>
              <w:rPr>
                <w:rFonts w:hint="eastAsia" w:ascii="Times New Roman" w:hAnsi="Times New Roman" w:cs="Times New Roman"/>
              </w:rPr>
              <w:t>具体数据量以自动驾驶实车系统为准。</w:t>
            </w:r>
            <w:r>
              <w:rPr>
                <w:rFonts w:ascii="Times New Roman" w:hAnsi="Times New Roman" w:cs="Times New Roman"/>
              </w:rPr>
              <w:t>通信延时性能优化主要涉及</w:t>
            </w:r>
            <w:r>
              <w:rPr>
                <w:rFonts w:hint="eastAsia" w:ascii="Times New Roman" w:hAnsi="Times New Roman" w:cs="Times New Roman"/>
              </w:rPr>
              <w:t>三</w:t>
            </w:r>
            <w:r>
              <w:rPr>
                <w:rFonts w:ascii="Times New Roman" w:hAnsi="Times New Roman" w:cs="Times New Roman"/>
              </w:rPr>
              <w:t>方面：</w:t>
            </w:r>
          </w:p>
          <w:p>
            <w:pPr>
              <w:numPr>
                <w:ilvl w:val="0"/>
                <w:numId w:val="8"/>
              </w:numPr>
              <w:spacing w:line="420" w:lineRule="exact"/>
              <w:rPr>
                <w:rFonts w:ascii="Times New Roman" w:hAnsi="Times New Roman" w:cs="Times New Roman"/>
              </w:rPr>
            </w:pPr>
            <w:r>
              <w:rPr>
                <w:rFonts w:ascii="Times New Roman" w:hAnsi="Times New Roman" w:cs="Times New Roman"/>
              </w:rPr>
              <w:t>通信延时，板内进程间收发，单包数据不超过8M时，收发两个节点之间的平均通信延时小于</w:t>
            </w:r>
            <w:r>
              <w:rPr>
                <w:rFonts w:hint="eastAsia" w:ascii="Times New Roman" w:hAnsi="Times New Roman" w:cs="Times New Roman"/>
              </w:rPr>
              <w:t>5</w:t>
            </w:r>
            <w:r>
              <w:rPr>
                <w:rFonts w:ascii="Times New Roman" w:hAnsi="Times New Roman" w:cs="Times New Roman"/>
              </w:rPr>
              <w:t>ms；</w:t>
            </w:r>
          </w:p>
          <w:p>
            <w:pPr>
              <w:numPr>
                <w:ilvl w:val="0"/>
                <w:numId w:val="8"/>
              </w:numPr>
              <w:spacing w:line="420" w:lineRule="exact"/>
              <w:rPr>
                <w:rFonts w:ascii="Times New Roman" w:hAnsi="Times New Roman" w:eastAsia="宋体" w:cs="Times New Roman"/>
              </w:rPr>
            </w:pPr>
            <w:r>
              <w:rPr>
                <w:rFonts w:ascii="Times New Roman" w:hAnsi="Times New Roman" w:cs="Times New Roman"/>
              </w:rPr>
              <w:t>延时抖动，板内进程间收发，单包数据不超过8M时，收发两</w:t>
            </w:r>
            <w:r>
              <w:rPr>
                <w:rFonts w:ascii="Times New Roman" w:hAnsi="Times New Roman" w:eastAsia="宋体" w:cs="Times New Roman"/>
              </w:rPr>
              <w:t>个节点之间的通信延时99.9%不超过1</w:t>
            </w:r>
            <w:r>
              <w:rPr>
                <w:rFonts w:hint="eastAsia" w:ascii="Times New Roman" w:hAnsi="Times New Roman" w:eastAsia="宋体" w:cs="Times New Roman"/>
              </w:rPr>
              <w:t>0</w:t>
            </w:r>
            <w:r>
              <w:rPr>
                <w:rFonts w:ascii="Times New Roman" w:hAnsi="Times New Roman" w:eastAsia="宋体" w:cs="Times New Roman"/>
              </w:rPr>
              <w:t>ms，99.99%不超过20ms；</w:t>
            </w:r>
          </w:p>
          <w:p>
            <w:pPr>
              <w:numPr>
                <w:ilvl w:val="0"/>
                <w:numId w:val="8"/>
              </w:numPr>
              <w:spacing w:line="420" w:lineRule="exact"/>
              <w:rPr>
                <w:rFonts w:ascii="Times New Roman" w:hAnsi="Times New Roman" w:cs="Times New Roman"/>
              </w:rPr>
            </w:pPr>
            <w:r>
              <w:rPr>
                <w:rFonts w:ascii="Times New Roman" w:hAnsi="Times New Roman" w:eastAsia="宋体" w:cs="Times New Roman"/>
              </w:rPr>
              <w:t>协助验证当前系统是否支持共享内存方式通信，若支持，测试共享内存通信状态下的通信性能及系统性能；</w:t>
            </w:r>
          </w:p>
        </w:tc>
        <w:tc>
          <w:tcPr>
            <w:tcW w:w="1917" w:type="dxa"/>
            <w:vMerge w:val="restart"/>
            <w:tcBorders>
              <w:top w:val="single" w:color="auto" w:sz="4" w:space="0"/>
              <w:left w:val="single" w:color="auto" w:sz="4" w:space="0"/>
              <w:right w:val="single" w:color="auto" w:sz="4" w:space="0"/>
            </w:tcBorders>
            <w:vAlign w:val="center"/>
          </w:tcPr>
          <w:p>
            <w:pPr>
              <w:pStyle w:val="28"/>
              <w:numPr>
                <w:ilvl w:val="0"/>
                <w:numId w:val="9"/>
              </w:numPr>
              <w:jc w:val="both"/>
              <w:rPr>
                <w:b w:val="0"/>
                <w:szCs w:val="21"/>
              </w:rPr>
            </w:pPr>
            <w:r>
              <w:rPr>
                <w:b w:val="0"/>
                <w:szCs w:val="21"/>
              </w:rPr>
              <w:t>基于Orin控制器（8 核 Arm® Cortex®-A78AE ）</w:t>
            </w:r>
          </w:p>
          <w:p>
            <w:pPr>
              <w:pStyle w:val="28"/>
              <w:numPr>
                <w:ilvl w:val="0"/>
                <w:numId w:val="9"/>
              </w:numPr>
              <w:jc w:val="both"/>
              <w:rPr>
                <w:b w:val="0"/>
                <w:szCs w:val="21"/>
              </w:rPr>
            </w:pPr>
            <w:r>
              <w:rPr>
                <w:rFonts w:hint="eastAsia"/>
                <w:b w:val="0"/>
                <w:szCs w:val="21"/>
              </w:rPr>
              <w:t>系统CPU资源占用</w:t>
            </w:r>
            <w:r>
              <w:rPr>
                <w:rFonts w:ascii="Arial" w:hAnsi="Arial" w:cs="Arial"/>
                <w:b w:val="0"/>
                <w:szCs w:val="21"/>
              </w:rPr>
              <w:t>≤</w:t>
            </w:r>
            <w:r>
              <w:rPr>
                <w:rFonts w:hint="eastAsia"/>
                <w:b w:val="0"/>
                <w:szCs w:val="21"/>
              </w:rPr>
              <w:t>70%</w:t>
            </w:r>
          </w:p>
          <w:p>
            <w:pPr>
              <w:pStyle w:val="28"/>
              <w:numPr>
                <w:ilvl w:val="0"/>
                <w:numId w:val="9"/>
              </w:numPr>
              <w:jc w:val="both"/>
              <w:rPr>
                <w:b w:val="0"/>
                <w:szCs w:val="21"/>
              </w:rPr>
            </w:pPr>
            <w:r>
              <w:rPr>
                <w:b w:val="0"/>
                <w:szCs w:val="21"/>
              </w:rPr>
              <w:t>存储介质：写入速率800MB/s</w:t>
            </w:r>
          </w:p>
          <w:p>
            <w:pPr>
              <w:pStyle w:val="28"/>
              <w:numPr>
                <w:ilvl w:val="0"/>
                <w:numId w:val="9"/>
              </w:numPr>
              <w:jc w:val="both"/>
              <w:rPr>
                <w:b w:val="0"/>
                <w:szCs w:val="21"/>
              </w:rPr>
            </w:pPr>
            <w:r>
              <w:rPr>
                <w:b w:val="0"/>
                <w:szCs w:val="21"/>
              </w:rPr>
              <w:t>内存：32GB及以上</w:t>
            </w:r>
          </w:p>
          <w:p>
            <w:pPr>
              <w:pStyle w:val="28"/>
              <w:numPr>
                <w:ilvl w:val="0"/>
                <w:numId w:val="9"/>
              </w:numPr>
              <w:jc w:val="both"/>
              <w:rPr>
                <w:b w:val="0"/>
                <w:szCs w:val="21"/>
              </w:rPr>
            </w:pPr>
            <w:r>
              <w:rPr>
                <w:b w:val="0"/>
                <w:szCs w:val="21"/>
              </w:rPr>
              <w:t>仅统计收发节点间通信过程的延时和丢包情况（驱动端导致的问题不在统计范围内）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639" w:type="dxa"/>
            <w:tcBorders>
              <w:top w:val="single" w:color="auto" w:sz="4" w:space="0"/>
              <w:left w:val="single" w:color="auto" w:sz="4" w:space="0"/>
              <w:bottom w:val="single" w:color="auto" w:sz="4" w:space="0"/>
              <w:right w:val="single" w:color="auto" w:sz="4" w:space="0"/>
            </w:tcBorders>
            <w:vAlign w:val="center"/>
          </w:tcPr>
          <w:p>
            <w:pPr>
              <w:pStyle w:val="28"/>
              <w:rPr>
                <w:b w:val="0"/>
                <w:szCs w:val="21"/>
              </w:rPr>
            </w:pPr>
            <w:r>
              <w:rPr>
                <w:b w:val="0"/>
                <w:szCs w:val="21"/>
              </w:rPr>
              <w:t>2</w:t>
            </w:r>
          </w:p>
        </w:tc>
        <w:tc>
          <w:tcPr>
            <w:tcW w:w="6468" w:type="dxa"/>
            <w:tcBorders>
              <w:top w:val="single" w:color="auto" w:sz="4" w:space="0"/>
              <w:left w:val="single" w:color="auto" w:sz="4" w:space="0"/>
              <w:bottom w:val="single" w:color="auto" w:sz="4" w:space="0"/>
              <w:right w:val="single" w:color="auto" w:sz="4" w:space="0"/>
            </w:tcBorders>
          </w:tcPr>
          <w:p>
            <w:pPr>
              <w:numPr>
                <w:ilvl w:val="0"/>
                <w:numId w:val="7"/>
              </w:numPr>
              <w:spacing w:line="420" w:lineRule="exact"/>
              <w:rPr>
                <w:rFonts w:ascii="Times New Roman" w:hAnsi="Times New Roman" w:eastAsia="宋体" w:cs="Times New Roman"/>
                <w:b/>
                <w:bCs/>
                <w:lang w:bidi="ar"/>
              </w:rPr>
            </w:pPr>
            <w:r>
              <w:rPr>
                <w:rFonts w:ascii="Times New Roman" w:hAnsi="Times New Roman" w:eastAsia="宋体" w:cs="Times New Roman"/>
                <w:b/>
                <w:bCs/>
                <w:lang w:bidi="ar"/>
              </w:rPr>
              <w:t>数据采集丢帧优化</w:t>
            </w:r>
          </w:p>
          <w:p>
            <w:pPr>
              <w:spacing w:line="420" w:lineRule="exact"/>
              <w:rPr>
                <w:rFonts w:ascii="Times New Roman" w:hAnsi="Times New Roman" w:eastAsia="宋体" w:cs="Times New Roman"/>
                <w:lang w:bidi="ar"/>
              </w:rPr>
            </w:pPr>
            <w:bookmarkStart w:id="37" w:name="_Toc3349"/>
            <w:bookmarkStart w:id="38" w:name="_Toc159741837"/>
            <w:bookmarkStart w:id="39" w:name="_Toc159741898"/>
            <w:r>
              <w:rPr>
                <w:rFonts w:ascii="Times New Roman" w:hAnsi="Times New Roman" w:eastAsia="宋体" w:cs="Times New Roman"/>
                <w:lang w:bidi="ar"/>
              </w:rPr>
              <w:t>采集特定的场景数据，数据包含激光雷达数据、相机数据、组合导航数据。</w:t>
            </w:r>
          </w:p>
          <w:bookmarkEnd w:id="37"/>
          <w:bookmarkEnd w:id="38"/>
          <w:bookmarkEnd w:id="39"/>
          <w:p>
            <w:pPr>
              <w:numPr>
                <w:ilvl w:val="0"/>
                <w:numId w:val="10"/>
              </w:numPr>
              <w:spacing w:line="420" w:lineRule="exact"/>
              <w:rPr>
                <w:rFonts w:ascii="Times New Roman" w:hAnsi="Times New Roman" w:cs="Times New Roman"/>
                <w:b/>
                <w:szCs w:val="21"/>
              </w:rPr>
            </w:pPr>
            <w:r>
              <w:rPr>
                <w:rFonts w:ascii="Times New Roman" w:hAnsi="Times New Roman" w:eastAsia="宋体" w:cs="Times New Roman"/>
                <w:lang w:bidi="ar"/>
              </w:rPr>
              <w:t>满足多传感器数据采集需求，优化ROS2（ros2 bag record）板内录包时丢帧问题，丢包率小于0.1%。</w:t>
            </w:r>
          </w:p>
        </w:tc>
        <w:tc>
          <w:tcPr>
            <w:tcW w:w="1917" w:type="dxa"/>
            <w:vMerge w:val="continue"/>
            <w:tcBorders>
              <w:left w:val="single" w:color="auto" w:sz="4" w:space="0"/>
              <w:bottom w:val="single" w:color="auto" w:sz="4" w:space="0"/>
              <w:right w:val="single" w:color="auto" w:sz="4" w:space="0"/>
            </w:tcBorders>
            <w:vAlign w:val="center"/>
          </w:tcPr>
          <w:p>
            <w:pPr>
              <w:pStyle w:val="28"/>
              <w:rPr>
                <w:b w:val="0"/>
                <w:szCs w:val="21"/>
              </w:rPr>
            </w:pPr>
          </w:p>
        </w:tc>
      </w:tr>
    </w:tbl>
    <w:p>
      <w:pPr>
        <w:pStyle w:val="26"/>
        <w:keepNext w:val="0"/>
        <w:spacing w:before="156" w:beforeLines="50" w:after="156" w:afterLines="50"/>
        <w:rPr>
          <w:rFonts w:ascii="黑体" w:hAnsi="黑体"/>
          <w:sz w:val="24"/>
        </w:rPr>
      </w:pPr>
    </w:p>
    <w:p>
      <w:pPr>
        <w:pStyle w:val="26"/>
        <w:keepNext w:val="0"/>
        <w:spacing w:before="156" w:beforeLines="50" w:after="156" w:afterLines="50"/>
        <w:rPr>
          <w:rFonts w:ascii="黑体" w:hAnsi="黑体"/>
          <w:sz w:val="24"/>
        </w:rPr>
      </w:pPr>
      <w:r>
        <w:rPr>
          <w:rFonts w:ascii="黑体" w:hAnsi="黑体"/>
          <w:sz w:val="24"/>
        </w:rPr>
        <w:t>3.2</w:t>
      </w:r>
      <w:r>
        <w:rPr>
          <w:rFonts w:hint="eastAsia" w:ascii="黑体" w:hAnsi="黑体"/>
          <w:sz w:val="24"/>
        </w:rPr>
        <w:t>交付物要求</w:t>
      </w:r>
    </w:p>
    <w:p>
      <w:pPr>
        <w:pStyle w:val="26"/>
        <w:keepNext w:val="0"/>
        <w:snapToGrid w:val="0"/>
        <w:spacing w:line="360" w:lineRule="auto"/>
        <w:ind w:firstLine="420" w:firstLineChars="200"/>
        <w:rPr>
          <w:rFonts w:eastAsia="宋体" w:cs="宋体"/>
          <w:sz w:val="21"/>
          <w:szCs w:val="21"/>
        </w:rPr>
      </w:pPr>
      <w:r>
        <w:rPr>
          <w:rFonts w:eastAsia="宋体" w:cs="宋体"/>
          <w:sz w:val="21"/>
          <w:szCs w:val="21"/>
        </w:rPr>
        <w:t>在项目各个阶段完成后，乙方应已提交如下交付物：</w:t>
      </w:r>
    </w:p>
    <w:tbl>
      <w:tblPr>
        <w:tblStyle w:val="16"/>
        <w:tblW w:w="8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2138"/>
        <w:gridCol w:w="6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10" w:type="dxa"/>
            <w:vAlign w:val="center"/>
          </w:tcPr>
          <w:p>
            <w:pPr>
              <w:pStyle w:val="25"/>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序号</w:t>
            </w:r>
          </w:p>
        </w:tc>
        <w:tc>
          <w:tcPr>
            <w:tcW w:w="2138" w:type="dxa"/>
            <w:vAlign w:val="center"/>
          </w:tcPr>
          <w:p>
            <w:pPr>
              <w:pStyle w:val="25"/>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交付物名称</w:t>
            </w:r>
          </w:p>
        </w:tc>
        <w:tc>
          <w:tcPr>
            <w:tcW w:w="6047" w:type="dxa"/>
            <w:vAlign w:val="center"/>
          </w:tcPr>
          <w:p>
            <w:pPr>
              <w:pStyle w:val="25"/>
              <w:ind w:firstLine="0" w:firstLineChars="0"/>
              <w:jc w:val="center"/>
              <w:rPr>
                <w:rFonts w:ascii="Times New Roman" w:hAnsi="Times New Roman" w:cs="Times New Roman"/>
                <w:b/>
                <w:color w:val="auto"/>
                <w:sz w:val="21"/>
                <w:szCs w:val="21"/>
              </w:rPr>
            </w:pPr>
            <w:r>
              <w:rPr>
                <w:rFonts w:ascii="Times New Roman" w:hAnsi="Times New Roman" w:cs="Times New Roman"/>
                <w:b/>
                <w:color w:val="auto"/>
                <w:sz w:val="21"/>
                <w:szCs w:val="21"/>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10" w:type="dxa"/>
            <w:vAlign w:val="center"/>
          </w:tcPr>
          <w:p>
            <w:pPr>
              <w:pStyle w:val="25"/>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1</w:t>
            </w:r>
          </w:p>
        </w:tc>
        <w:tc>
          <w:tcPr>
            <w:tcW w:w="2138" w:type="dxa"/>
            <w:vAlign w:val="center"/>
          </w:tcPr>
          <w:p>
            <w:pPr>
              <w:pStyle w:val="25"/>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技术开发方案</w:t>
            </w:r>
          </w:p>
        </w:tc>
        <w:tc>
          <w:tcPr>
            <w:tcW w:w="6047" w:type="dxa"/>
            <w:vAlign w:val="center"/>
          </w:tcPr>
          <w:p>
            <w:pPr>
              <w:pStyle w:val="25"/>
              <w:ind w:firstLine="0" w:firstLineChars="0"/>
              <w:jc w:val="left"/>
              <w:rPr>
                <w:rFonts w:ascii="Times New Roman" w:hAnsi="Times New Roman" w:cs="Times New Roman"/>
                <w:color w:val="auto"/>
                <w:sz w:val="21"/>
                <w:szCs w:val="21"/>
              </w:rPr>
            </w:pPr>
            <w:r>
              <w:rPr>
                <w:rFonts w:ascii="Times New Roman" w:hAnsi="Times New Roman" w:cs="Times New Roman"/>
                <w:color w:val="auto"/>
                <w:sz w:val="21"/>
                <w:szCs w:val="21"/>
              </w:rPr>
              <w:t>双方技术对接后，在项目第一阶段完成后提供。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10" w:type="dxa"/>
            <w:vAlign w:val="center"/>
          </w:tcPr>
          <w:p>
            <w:pPr>
              <w:pStyle w:val="25"/>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2</w:t>
            </w:r>
          </w:p>
        </w:tc>
        <w:tc>
          <w:tcPr>
            <w:tcW w:w="2138" w:type="dxa"/>
            <w:vAlign w:val="center"/>
          </w:tcPr>
          <w:p>
            <w:pPr>
              <w:pStyle w:val="25"/>
              <w:spacing w:line="42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通信延时优化源码、</w:t>
            </w:r>
          </w:p>
          <w:p>
            <w:pPr>
              <w:pStyle w:val="25"/>
              <w:spacing w:line="420" w:lineRule="exact"/>
              <w:ind w:firstLine="0" w:firstLineChars="0"/>
              <w:jc w:val="center"/>
              <w:rPr>
                <w:rFonts w:ascii="Times New Roman" w:hAnsi="Times New Roman" w:cs="Times New Roman"/>
                <w:color w:val="auto"/>
                <w:sz w:val="21"/>
                <w:szCs w:val="21"/>
              </w:rPr>
            </w:pPr>
            <w:r>
              <w:rPr>
                <w:rFonts w:ascii="Times New Roman" w:hAnsi="Times New Roman" w:cs="Times New Roman"/>
                <w:sz w:val="21"/>
              </w:rPr>
              <w:t>使用说明及培训文档</w:t>
            </w:r>
          </w:p>
        </w:tc>
        <w:tc>
          <w:tcPr>
            <w:tcW w:w="6047" w:type="dxa"/>
            <w:vAlign w:val="center"/>
          </w:tcPr>
          <w:p>
            <w:pPr>
              <w:pStyle w:val="25"/>
              <w:spacing w:line="420" w:lineRule="exact"/>
              <w:ind w:firstLine="0" w:firstLineChars="0"/>
              <w:jc w:val="left"/>
              <w:rPr>
                <w:rFonts w:ascii="Times New Roman" w:hAnsi="Times New Roman" w:cs="Times New Roman"/>
                <w:color w:val="auto"/>
                <w:sz w:val="21"/>
                <w:szCs w:val="21"/>
              </w:rPr>
            </w:pPr>
            <w:r>
              <w:rPr>
                <w:rFonts w:ascii="Times New Roman" w:hAnsi="Times New Roman" w:cs="Times New Roman"/>
                <w:color w:val="auto"/>
                <w:sz w:val="21"/>
                <w:szCs w:val="21"/>
              </w:rPr>
              <w:t>需满足其技术参数及性能指标，在项目第一阶段完成后提供。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710" w:type="dxa"/>
            <w:vAlign w:val="center"/>
          </w:tcPr>
          <w:p>
            <w:pPr>
              <w:pStyle w:val="25"/>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3</w:t>
            </w:r>
          </w:p>
        </w:tc>
        <w:tc>
          <w:tcPr>
            <w:tcW w:w="2138" w:type="dxa"/>
            <w:vAlign w:val="center"/>
          </w:tcPr>
          <w:p>
            <w:pPr>
              <w:pStyle w:val="25"/>
              <w:spacing w:line="42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数据录制程序源码、</w:t>
            </w:r>
          </w:p>
          <w:p>
            <w:pPr>
              <w:pStyle w:val="25"/>
              <w:spacing w:line="420" w:lineRule="exact"/>
              <w:ind w:firstLine="0" w:firstLineChars="0"/>
              <w:jc w:val="center"/>
              <w:rPr>
                <w:rFonts w:ascii="Times New Roman" w:hAnsi="Times New Roman" w:cs="Times New Roman"/>
                <w:color w:val="auto"/>
                <w:sz w:val="21"/>
                <w:szCs w:val="21"/>
              </w:rPr>
            </w:pPr>
            <w:r>
              <w:rPr>
                <w:rFonts w:ascii="Times New Roman" w:hAnsi="Times New Roman" w:cs="Times New Roman"/>
                <w:sz w:val="21"/>
              </w:rPr>
              <w:t>使用说明及培训文档</w:t>
            </w:r>
          </w:p>
        </w:tc>
        <w:tc>
          <w:tcPr>
            <w:tcW w:w="6047" w:type="dxa"/>
            <w:vAlign w:val="center"/>
          </w:tcPr>
          <w:p>
            <w:pPr>
              <w:pStyle w:val="25"/>
              <w:spacing w:line="420" w:lineRule="exact"/>
              <w:ind w:firstLine="0" w:firstLineChars="0"/>
              <w:jc w:val="left"/>
              <w:rPr>
                <w:rFonts w:ascii="Times New Roman" w:hAnsi="Times New Roman" w:cs="Times New Roman"/>
                <w:color w:val="auto"/>
                <w:sz w:val="21"/>
                <w:szCs w:val="21"/>
              </w:rPr>
            </w:pPr>
            <w:r>
              <w:rPr>
                <w:rFonts w:ascii="Times New Roman" w:hAnsi="Times New Roman" w:cs="Times New Roman"/>
                <w:color w:val="auto"/>
                <w:sz w:val="21"/>
                <w:szCs w:val="21"/>
              </w:rPr>
              <w:t>需满足其技术参数及性能指标，在项目第一阶段完成后提供。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710" w:type="dxa"/>
            <w:vAlign w:val="center"/>
          </w:tcPr>
          <w:p>
            <w:pPr>
              <w:pStyle w:val="25"/>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4</w:t>
            </w:r>
          </w:p>
        </w:tc>
        <w:tc>
          <w:tcPr>
            <w:tcW w:w="2138" w:type="dxa"/>
            <w:vAlign w:val="center"/>
          </w:tcPr>
          <w:p>
            <w:pPr>
              <w:pStyle w:val="25"/>
              <w:spacing w:line="42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程序部署</w:t>
            </w:r>
            <w:r>
              <w:rPr>
                <w:rFonts w:hint="eastAsia" w:ascii="Times New Roman" w:hAnsi="Times New Roman" w:cs="Times New Roman"/>
                <w:color w:val="auto"/>
                <w:sz w:val="21"/>
                <w:szCs w:val="21"/>
              </w:rPr>
              <w:t>、</w:t>
            </w:r>
            <w:r>
              <w:rPr>
                <w:rFonts w:ascii="Times New Roman" w:hAnsi="Times New Roman" w:cs="Times New Roman"/>
                <w:color w:val="auto"/>
                <w:sz w:val="21"/>
                <w:szCs w:val="21"/>
              </w:rPr>
              <w:t>调试</w:t>
            </w:r>
            <w:r>
              <w:rPr>
                <w:rFonts w:ascii="Times New Roman" w:hAnsi="Times New Roman" w:cs="Times New Roman"/>
                <w:sz w:val="21"/>
              </w:rPr>
              <w:t>相应说明及培训文档</w:t>
            </w:r>
          </w:p>
        </w:tc>
        <w:tc>
          <w:tcPr>
            <w:tcW w:w="6047" w:type="dxa"/>
            <w:vAlign w:val="center"/>
          </w:tcPr>
          <w:p>
            <w:pPr>
              <w:pStyle w:val="25"/>
              <w:spacing w:line="420" w:lineRule="exact"/>
              <w:ind w:firstLine="0" w:firstLineChars="0"/>
              <w:jc w:val="left"/>
              <w:rPr>
                <w:rFonts w:ascii="Times New Roman" w:hAnsi="Times New Roman" w:cs="Times New Roman"/>
                <w:color w:val="auto"/>
                <w:sz w:val="21"/>
                <w:szCs w:val="21"/>
              </w:rPr>
            </w:pPr>
            <w:r>
              <w:rPr>
                <w:rFonts w:ascii="Times New Roman" w:hAnsi="Times New Roman" w:cs="Times New Roman"/>
                <w:color w:val="auto"/>
                <w:sz w:val="21"/>
                <w:szCs w:val="21"/>
              </w:rPr>
              <w:t>需满足其技术参数及性能指标，负责提供相应说明及培训文档，保证客户能够独立完成程序部署及调试，并达到理想效果，在项目第一阶段完成后提供。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710" w:type="dxa"/>
            <w:vAlign w:val="center"/>
          </w:tcPr>
          <w:p>
            <w:pPr>
              <w:pStyle w:val="25"/>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5</w:t>
            </w:r>
          </w:p>
        </w:tc>
        <w:tc>
          <w:tcPr>
            <w:tcW w:w="2138" w:type="dxa"/>
            <w:vAlign w:val="center"/>
          </w:tcPr>
          <w:p>
            <w:pPr>
              <w:pStyle w:val="25"/>
              <w:spacing w:line="42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测试报告</w:t>
            </w:r>
          </w:p>
        </w:tc>
        <w:tc>
          <w:tcPr>
            <w:tcW w:w="6047" w:type="dxa"/>
            <w:vAlign w:val="center"/>
          </w:tcPr>
          <w:p>
            <w:pPr>
              <w:pStyle w:val="25"/>
              <w:spacing w:line="420" w:lineRule="exact"/>
              <w:ind w:firstLine="0" w:firstLineChars="0"/>
              <w:rPr>
                <w:rFonts w:ascii="Times New Roman" w:hAnsi="Times New Roman" w:cs="Times New Roman"/>
                <w:color w:val="auto"/>
                <w:sz w:val="21"/>
                <w:szCs w:val="21"/>
              </w:rPr>
            </w:pPr>
            <w:r>
              <w:rPr>
                <w:rFonts w:ascii="Times New Roman" w:hAnsi="Times New Roman" w:cs="Times New Roman"/>
                <w:color w:val="auto"/>
                <w:sz w:val="21"/>
                <w:szCs w:val="21"/>
              </w:rPr>
              <w:t>该测试报告包括通信延时测试报告，数据采集丢包率测试报告。其中通信延时测试要求在控制器所有程序正常运行的前提下，持续监测节点间通信不小于300分钟；数据采集丢包率测试要求根据实际需求数据完整录制，录制时长不小于30分钟。</w:t>
            </w:r>
            <w:r>
              <w:rPr>
                <w:rFonts w:hint="eastAsia" w:ascii="Times New Roman" w:hAnsi="Times New Roman" w:cs="Times New Roman"/>
                <w:color w:val="auto"/>
                <w:sz w:val="21"/>
                <w:szCs w:val="21"/>
              </w:rPr>
              <w:t>在项目第二阶段完成后提供。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710" w:type="dxa"/>
            <w:vAlign w:val="center"/>
          </w:tcPr>
          <w:p>
            <w:pPr>
              <w:pStyle w:val="25"/>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6</w:t>
            </w:r>
          </w:p>
        </w:tc>
        <w:tc>
          <w:tcPr>
            <w:tcW w:w="2138" w:type="dxa"/>
            <w:vAlign w:val="center"/>
          </w:tcPr>
          <w:p>
            <w:pPr>
              <w:pStyle w:val="25"/>
              <w:spacing w:line="420" w:lineRule="exact"/>
              <w:ind w:firstLine="0" w:firstLineChars="0"/>
              <w:jc w:val="center"/>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cs="Times New Roman"/>
                <w:color w:val="auto"/>
                <w:sz w:val="21"/>
                <w:szCs w:val="21"/>
                <w:highlight w:val="none"/>
                <w:lang w:val="en-US" w:eastAsia="zh-CN"/>
              </w:rPr>
              <w:t>知识产权一份</w:t>
            </w:r>
          </w:p>
        </w:tc>
        <w:tc>
          <w:tcPr>
            <w:tcW w:w="6047" w:type="dxa"/>
            <w:vAlign w:val="center"/>
          </w:tcPr>
          <w:p>
            <w:pPr>
              <w:pStyle w:val="25"/>
              <w:spacing w:line="420" w:lineRule="exact"/>
              <w:ind w:firstLine="0" w:firstLineChars="0"/>
              <w:jc w:val="left"/>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结合本项目实际开发内容，输出知识产权一份，知识产权以发明专利的形式交付，</w:t>
            </w:r>
            <w:r>
              <w:rPr>
                <w:rFonts w:hint="eastAsia" w:ascii="Times New Roman" w:hAnsi="Times New Roman" w:cs="Times New Roman"/>
                <w:color w:val="auto"/>
                <w:sz w:val="21"/>
                <w:szCs w:val="21"/>
              </w:rPr>
              <w:t>以专利局受理为准，</w:t>
            </w:r>
            <w:r>
              <w:rPr>
                <w:rFonts w:hint="eastAsia" w:ascii="Times New Roman" w:hAnsi="Times New Roman" w:cs="Times New Roman"/>
                <w:color w:val="auto"/>
                <w:sz w:val="21"/>
                <w:szCs w:val="21"/>
                <w:lang w:val="en-US" w:eastAsia="zh-CN"/>
              </w:rPr>
              <w:t>应不晚于项目二阶段验收节点</w:t>
            </w:r>
            <w:r>
              <w:rPr>
                <w:rFonts w:hint="eastAsia" w:ascii="Times New Roman" w:hAnsi="Times New Roman"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710" w:type="dxa"/>
            <w:vAlign w:val="center"/>
          </w:tcPr>
          <w:p>
            <w:pPr>
              <w:pStyle w:val="25"/>
              <w:ind w:firstLine="0" w:firstLineChars="0"/>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7</w:t>
            </w:r>
          </w:p>
        </w:tc>
        <w:tc>
          <w:tcPr>
            <w:tcW w:w="2138" w:type="dxa"/>
            <w:vAlign w:val="center"/>
          </w:tcPr>
          <w:p>
            <w:pPr>
              <w:pStyle w:val="25"/>
              <w:spacing w:line="420" w:lineRule="exact"/>
              <w:ind w:firstLine="0" w:firstLineChars="0"/>
              <w:jc w:val="center"/>
              <w:rPr>
                <w:rFonts w:ascii="Times New Roman" w:hAnsi="Times New Roman" w:cs="Times New Roman"/>
                <w:color w:val="auto"/>
                <w:sz w:val="21"/>
                <w:szCs w:val="21"/>
              </w:rPr>
            </w:pPr>
            <w:r>
              <w:rPr>
                <w:rFonts w:ascii="Times New Roman" w:hAnsi="Times New Roman" w:cs="Times New Roman"/>
                <w:color w:val="auto"/>
                <w:sz w:val="21"/>
                <w:szCs w:val="21"/>
              </w:rPr>
              <w:t>其他文档及报告</w:t>
            </w:r>
          </w:p>
        </w:tc>
        <w:tc>
          <w:tcPr>
            <w:tcW w:w="6047" w:type="dxa"/>
            <w:vAlign w:val="center"/>
          </w:tcPr>
          <w:p>
            <w:pPr>
              <w:pStyle w:val="25"/>
              <w:spacing w:line="420" w:lineRule="exact"/>
              <w:ind w:firstLine="0" w:firstLineChars="0"/>
              <w:jc w:val="left"/>
              <w:rPr>
                <w:rFonts w:ascii="Times New Roman" w:hAnsi="Times New Roman" w:cs="Times New Roman"/>
                <w:color w:val="auto"/>
                <w:sz w:val="21"/>
                <w:szCs w:val="21"/>
              </w:rPr>
            </w:pPr>
            <w:r>
              <w:rPr>
                <w:rFonts w:ascii="Times New Roman" w:hAnsi="Times New Roman" w:cs="Times New Roman"/>
                <w:color w:val="auto"/>
                <w:sz w:val="21"/>
                <w:szCs w:val="21"/>
              </w:rPr>
              <w:t>根据项目进展按时交付。</w:t>
            </w:r>
          </w:p>
        </w:tc>
      </w:tr>
    </w:tbl>
    <w:p>
      <w:pPr>
        <w:pStyle w:val="26"/>
        <w:keepNext w:val="0"/>
        <w:snapToGrid w:val="0"/>
        <w:spacing w:line="360" w:lineRule="auto"/>
        <w:rPr>
          <w:rFonts w:eastAsia="宋体" w:cs="宋体"/>
          <w:sz w:val="21"/>
          <w:szCs w:val="21"/>
        </w:rPr>
      </w:pPr>
    </w:p>
    <w:p>
      <w:pPr>
        <w:pStyle w:val="26"/>
        <w:keepNext w:val="0"/>
        <w:spacing w:before="156" w:beforeLines="50" w:after="156" w:afterLines="50"/>
        <w:rPr>
          <w:rFonts w:ascii="黑体" w:hAnsi="黑体"/>
          <w:sz w:val="24"/>
        </w:rPr>
      </w:pPr>
      <w:r>
        <w:rPr>
          <w:rFonts w:ascii="黑体" w:hAnsi="黑体"/>
          <w:sz w:val="24"/>
        </w:rPr>
        <w:t>3.</w:t>
      </w:r>
      <w:r>
        <w:rPr>
          <w:rFonts w:hint="eastAsia" w:ascii="黑体" w:hAnsi="黑体"/>
          <w:sz w:val="24"/>
        </w:rPr>
        <w:t>3进度要求</w:t>
      </w:r>
    </w:p>
    <w:tbl>
      <w:tblPr>
        <w:tblStyle w:val="16"/>
        <w:tblW w:w="8977" w:type="dxa"/>
        <w:tblInd w:w="55" w:type="dxa"/>
        <w:tblLayout w:type="autofit"/>
        <w:tblCellMar>
          <w:top w:w="55" w:type="dxa"/>
          <w:left w:w="55" w:type="dxa"/>
          <w:bottom w:w="55" w:type="dxa"/>
          <w:right w:w="55" w:type="dxa"/>
        </w:tblCellMar>
      </w:tblPr>
      <w:tblGrid>
        <w:gridCol w:w="1075"/>
        <w:gridCol w:w="1408"/>
        <w:gridCol w:w="2624"/>
        <w:gridCol w:w="3870"/>
      </w:tblGrid>
      <w:tr>
        <w:tblPrEx>
          <w:tblCellMar>
            <w:top w:w="55" w:type="dxa"/>
            <w:left w:w="55" w:type="dxa"/>
            <w:bottom w:w="55" w:type="dxa"/>
            <w:right w:w="55" w:type="dxa"/>
          </w:tblCellMar>
        </w:tblPrEx>
        <w:trPr>
          <w:trHeight w:val="456" w:hRule="atLeast"/>
        </w:trPr>
        <w:tc>
          <w:tcPr>
            <w:tcW w:w="1075" w:type="dxa"/>
            <w:tcBorders>
              <w:top w:val="single" w:color="000000" w:sz="4" w:space="0"/>
              <w:left w:val="single" w:color="000000" w:sz="4" w:space="0"/>
              <w:bottom w:val="single" w:color="000000" w:sz="4" w:space="0"/>
              <w:right w:val="nil"/>
            </w:tcBorders>
            <w:shd w:val="clear" w:color="auto" w:fill="auto"/>
            <w:vAlign w:val="center"/>
          </w:tcPr>
          <w:p>
            <w:pPr>
              <w:pStyle w:val="46"/>
              <w:spacing w:line="420" w:lineRule="exact"/>
              <w:jc w:val="center"/>
              <w:rPr>
                <w:rFonts w:ascii="宋体" w:hAnsi="宋体" w:eastAsia="宋体" w:cs="宋体"/>
                <w:b/>
                <w:bCs/>
                <w:color w:val="000000"/>
                <w:sz w:val="21"/>
                <w:szCs w:val="21"/>
              </w:rPr>
            </w:pPr>
            <w:r>
              <w:rPr>
                <w:rFonts w:hint="eastAsia" w:ascii="宋体" w:hAnsi="宋体" w:eastAsia="宋体" w:cs="宋体"/>
                <w:b/>
                <w:bCs/>
                <w:color w:val="000000"/>
                <w:sz w:val="21"/>
                <w:szCs w:val="21"/>
              </w:rPr>
              <w:t>序号</w:t>
            </w:r>
          </w:p>
        </w:tc>
        <w:tc>
          <w:tcPr>
            <w:tcW w:w="1408" w:type="dxa"/>
            <w:tcBorders>
              <w:top w:val="single" w:color="000000" w:sz="4" w:space="0"/>
              <w:left w:val="single" w:color="000000" w:sz="4" w:space="0"/>
              <w:bottom w:val="single" w:color="000000" w:sz="4" w:space="0"/>
              <w:right w:val="nil"/>
            </w:tcBorders>
            <w:shd w:val="clear" w:color="auto" w:fill="auto"/>
            <w:vAlign w:val="center"/>
          </w:tcPr>
          <w:p>
            <w:pPr>
              <w:pStyle w:val="46"/>
              <w:spacing w:line="420" w:lineRule="exact"/>
              <w:jc w:val="center"/>
              <w:rPr>
                <w:rFonts w:ascii="宋体" w:hAnsi="宋体" w:eastAsia="宋体" w:cs="宋体"/>
                <w:b/>
                <w:bCs/>
                <w:color w:val="000000"/>
                <w:sz w:val="21"/>
                <w:szCs w:val="21"/>
              </w:rPr>
            </w:pPr>
            <w:r>
              <w:rPr>
                <w:rFonts w:hint="eastAsia" w:ascii="宋体" w:hAnsi="宋体" w:eastAsia="宋体" w:cs="宋体"/>
                <w:b/>
                <w:bCs/>
                <w:color w:val="000000"/>
                <w:sz w:val="21"/>
                <w:szCs w:val="21"/>
              </w:rPr>
              <w:t>时间</w:t>
            </w:r>
          </w:p>
        </w:tc>
        <w:tc>
          <w:tcPr>
            <w:tcW w:w="2624" w:type="dxa"/>
            <w:tcBorders>
              <w:top w:val="single" w:color="000000" w:sz="4" w:space="0"/>
              <w:left w:val="single" w:color="000000" w:sz="4" w:space="0"/>
              <w:bottom w:val="single" w:color="000000" w:sz="4" w:space="0"/>
              <w:right w:val="nil"/>
            </w:tcBorders>
            <w:shd w:val="clear" w:color="auto" w:fill="auto"/>
            <w:vAlign w:val="center"/>
          </w:tcPr>
          <w:p>
            <w:pPr>
              <w:pStyle w:val="46"/>
              <w:spacing w:line="420" w:lineRule="exact"/>
              <w:jc w:val="center"/>
              <w:rPr>
                <w:rFonts w:ascii="宋体" w:hAnsi="宋体" w:eastAsia="宋体" w:cs="宋体"/>
                <w:b/>
                <w:bCs/>
                <w:color w:val="000000"/>
                <w:sz w:val="21"/>
                <w:szCs w:val="21"/>
              </w:rPr>
            </w:pPr>
            <w:r>
              <w:rPr>
                <w:rFonts w:hint="eastAsia" w:ascii="宋体" w:hAnsi="宋体" w:eastAsia="宋体" w:cs="宋体"/>
                <w:b/>
                <w:bCs/>
                <w:color w:val="000000"/>
                <w:sz w:val="21"/>
                <w:szCs w:val="21"/>
              </w:rPr>
              <w:t>完成内容</w:t>
            </w:r>
          </w:p>
        </w:tc>
        <w:tc>
          <w:tcPr>
            <w:tcW w:w="3870" w:type="dxa"/>
            <w:tcBorders>
              <w:top w:val="single" w:color="000000" w:sz="4" w:space="0"/>
              <w:left w:val="single" w:color="000000" w:sz="4" w:space="0"/>
              <w:bottom w:val="single" w:color="000000" w:sz="4" w:space="0"/>
              <w:right w:val="single" w:color="000000" w:sz="4" w:space="0"/>
            </w:tcBorders>
            <w:shd w:val="clear" w:color="auto" w:fill="auto"/>
            <w:vAlign w:val="center"/>
          </w:tcPr>
          <w:p>
            <w:pPr>
              <w:pStyle w:val="46"/>
              <w:spacing w:line="420" w:lineRule="exact"/>
              <w:jc w:val="center"/>
              <w:rPr>
                <w:rFonts w:ascii="宋体" w:hAnsi="宋体" w:eastAsia="宋体" w:cs="宋体"/>
                <w:b/>
                <w:bCs/>
                <w:color w:val="000000"/>
                <w:sz w:val="21"/>
                <w:szCs w:val="21"/>
              </w:rPr>
            </w:pPr>
            <w:r>
              <w:rPr>
                <w:rFonts w:hint="eastAsia" w:ascii="宋体" w:hAnsi="宋体" w:eastAsia="宋体" w:cs="宋体"/>
                <w:b/>
                <w:bCs/>
                <w:color w:val="000000"/>
                <w:sz w:val="21"/>
                <w:szCs w:val="21"/>
              </w:rPr>
              <w:t>提交成果</w:t>
            </w:r>
          </w:p>
        </w:tc>
      </w:tr>
      <w:tr>
        <w:tblPrEx>
          <w:tblCellMar>
            <w:top w:w="55" w:type="dxa"/>
            <w:left w:w="55" w:type="dxa"/>
            <w:bottom w:w="55" w:type="dxa"/>
            <w:right w:w="55" w:type="dxa"/>
          </w:tblCellMar>
        </w:tblPrEx>
        <w:trPr>
          <w:trHeight w:val="902" w:hRule="atLeast"/>
        </w:trPr>
        <w:tc>
          <w:tcPr>
            <w:tcW w:w="1075" w:type="dxa"/>
            <w:tcBorders>
              <w:top w:val="nil"/>
              <w:left w:val="single" w:color="000000" w:sz="4" w:space="0"/>
              <w:bottom w:val="single" w:color="000000" w:sz="4" w:space="0"/>
              <w:right w:val="nil"/>
            </w:tcBorders>
            <w:shd w:val="clear" w:color="auto" w:fill="auto"/>
            <w:vAlign w:val="center"/>
          </w:tcPr>
          <w:p>
            <w:pPr>
              <w:pStyle w:val="46"/>
              <w:spacing w:line="4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1</w:t>
            </w:r>
          </w:p>
        </w:tc>
        <w:tc>
          <w:tcPr>
            <w:tcW w:w="1408" w:type="dxa"/>
            <w:tcBorders>
              <w:top w:val="nil"/>
              <w:left w:val="single" w:color="000000" w:sz="4" w:space="0"/>
              <w:bottom w:val="single" w:color="000000" w:sz="4" w:space="0"/>
              <w:right w:val="nil"/>
            </w:tcBorders>
            <w:shd w:val="clear" w:color="auto" w:fill="auto"/>
            <w:vAlign w:val="center"/>
          </w:tcPr>
          <w:p>
            <w:pPr>
              <w:pStyle w:val="46"/>
              <w:spacing w:line="4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0.5个月</w:t>
            </w:r>
          </w:p>
        </w:tc>
        <w:tc>
          <w:tcPr>
            <w:tcW w:w="2624" w:type="dxa"/>
            <w:tcBorders>
              <w:top w:val="nil"/>
              <w:left w:val="single" w:color="000000" w:sz="4" w:space="0"/>
              <w:bottom w:val="single" w:color="000000" w:sz="4" w:space="0"/>
              <w:right w:val="nil"/>
            </w:tcBorders>
            <w:shd w:val="clear" w:color="auto" w:fill="auto"/>
            <w:vAlign w:val="center"/>
          </w:tcPr>
          <w:p>
            <w:pPr>
              <w:pStyle w:val="46"/>
              <w:spacing w:line="420" w:lineRule="exact"/>
              <w:rPr>
                <w:rFonts w:ascii="宋体" w:hAnsi="宋体" w:eastAsia="宋体" w:cs="宋体"/>
                <w:color w:val="000000"/>
                <w:sz w:val="21"/>
                <w:szCs w:val="21"/>
              </w:rPr>
            </w:pPr>
            <w:r>
              <w:rPr>
                <w:rFonts w:hint="eastAsia" w:ascii="宋体" w:hAnsi="宋体" w:eastAsia="宋体" w:cs="宋体"/>
                <w:color w:val="000000"/>
                <w:sz w:val="21"/>
                <w:szCs w:val="21"/>
                <w:highlight w:val="none"/>
              </w:rPr>
              <w:t>技术</w:t>
            </w:r>
            <w:r>
              <w:rPr>
                <w:rFonts w:hint="eastAsia" w:ascii="宋体" w:hAnsi="宋体" w:eastAsia="宋体" w:cs="宋体"/>
                <w:color w:val="000000"/>
                <w:sz w:val="21"/>
                <w:szCs w:val="21"/>
              </w:rPr>
              <w:t>方案设计</w:t>
            </w:r>
          </w:p>
        </w:tc>
        <w:tc>
          <w:tcPr>
            <w:tcW w:w="3870" w:type="dxa"/>
            <w:tcBorders>
              <w:top w:val="nil"/>
              <w:left w:val="single" w:color="000000" w:sz="4" w:space="0"/>
              <w:bottom w:val="single" w:color="000000" w:sz="4" w:space="0"/>
              <w:right w:val="single" w:color="000000" w:sz="4" w:space="0"/>
            </w:tcBorders>
            <w:shd w:val="clear" w:color="auto" w:fill="auto"/>
            <w:vAlign w:val="center"/>
          </w:tcPr>
          <w:p>
            <w:pPr>
              <w:pStyle w:val="46"/>
              <w:numPr>
                <w:ilvl w:val="0"/>
                <w:numId w:val="11"/>
              </w:numPr>
              <w:spacing w:line="420" w:lineRule="exact"/>
              <w:rPr>
                <w:rFonts w:ascii="宋体" w:hAnsi="宋体" w:eastAsia="宋体" w:cs="宋体"/>
                <w:color w:val="000000"/>
                <w:sz w:val="21"/>
                <w:szCs w:val="21"/>
              </w:rPr>
            </w:pPr>
            <w:r>
              <w:rPr>
                <w:rFonts w:hint="eastAsia" w:ascii="宋体" w:hAnsi="宋体" w:eastAsia="宋体" w:cs="宋体"/>
                <w:color w:val="000000"/>
                <w:sz w:val="21"/>
                <w:szCs w:val="21"/>
              </w:rPr>
              <w:t>技术开发方案设计文档</w:t>
            </w:r>
          </w:p>
          <w:p>
            <w:pPr>
              <w:pStyle w:val="46"/>
              <w:numPr>
                <w:ilvl w:val="0"/>
                <w:numId w:val="11"/>
              </w:numPr>
              <w:spacing w:line="420" w:lineRule="exact"/>
              <w:rPr>
                <w:rFonts w:ascii="宋体" w:hAnsi="宋体" w:eastAsia="宋体" w:cs="宋体"/>
                <w:color w:val="000000"/>
                <w:sz w:val="21"/>
                <w:szCs w:val="21"/>
              </w:rPr>
            </w:pPr>
            <w:r>
              <w:rPr>
                <w:rFonts w:hint="eastAsia" w:ascii="宋体" w:hAnsi="宋体" w:eastAsia="宋体" w:cs="宋体"/>
                <w:color w:val="000000"/>
                <w:sz w:val="21"/>
                <w:szCs w:val="21"/>
              </w:rPr>
              <w:t>项目实施计划</w:t>
            </w:r>
          </w:p>
        </w:tc>
      </w:tr>
      <w:tr>
        <w:tblPrEx>
          <w:tblCellMar>
            <w:top w:w="55" w:type="dxa"/>
            <w:left w:w="55" w:type="dxa"/>
            <w:bottom w:w="55" w:type="dxa"/>
            <w:right w:w="55" w:type="dxa"/>
          </w:tblCellMar>
        </w:tblPrEx>
        <w:trPr>
          <w:trHeight w:val="962" w:hRule="atLeast"/>
        </w:trPr>
        <w:tc>
          <w:tcPr>
            <w:tcW w:w="1075" w:type="dxa"/>
            <w:tcBorders>
              <w:top w:val="nil"/>
              <w:left w:val="single" w:color="000000" w:sz="4" w:space="0"/>
              <w:bottom w:val="single" w:color="000000" w:sz="4" w:space="0"/>
              <w:right w:val="nil"/>
            </w:tcBorders>
            <w:shd w:val="clear" w:color="auto" w:fill="auto"/>
            <w:vAlign w:val="center"/>
          </w:tcPr>
          <w:p>
            <w:pPr>
              <w:pStyle w:val="46"/>
              <w:spacing w:line="4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2</w:t>
            </w:r>
          </w:p>
        </w:tc>
        <w:tc>
          <w:tcPr>
            <w:tcW w:w="1408" w:type="dxa"/>
            <w:tcBorders>
              <w:top w:val="nil"/>
              <w:left w:val="single" w:color="000000" w:sz="4" w:space="0"/>
              <w:bottom w:val="single" w:color="000000" w:sz="4" w:space="0"/>
              <w:right w:val="nil"/>
            </w:tcBorders>
            <w:shd w:val="clear" w:color="auto" w:fill="auto"/>
            <w:vAlign w:val="center"/>
          </w:tcPr>
          <w:p>
            <w:pPr>
              <w:pStyle w:val="46"/>
              <w:spacing w:line="4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1个月</w:t>
            </w:r>
          </w:p>
        </w:tc>
        <w:tc>
          <w:tcPr>
            <w:tcW w:w="2624" w:type="dxa"/>
            <w:tcBorders>
              <w:top w:val="nil"/>
              <w:left w:val="single" w:color="000000" w:sz="4" w:space="0"/>
              <w:bottom w:val="single" w:color="000000" w:sz="4" w:space="0"/>
              <w:right w:val="nil"/>
            </w:tcBorders>
            <w:shd w:val="clear" w:color="auto" w:fill="auto"/>
            <w:vAlign w:val="center"/>
          </w:tcPr>
          <w:p>
            <w:pPr>
              <w:pStyle w:val="46"/>
              <w:tabs>
                <w:tab w:val="left" w:pos="312"/>
              </w:tabs>
              <w:spacing w:line="420" w:lineRule="exact"/>
              <w:rPr>
                <w:rFonts w:ascii="宋体" w:hAnsi="宋体" w:eastAsia="宋体" w:cs="宋体"/>
                <w:color w:val="000000"/>
                <w:sz w:val="21"/>
                <w:szCs w:val="21"/>
              </w:rPr>
            </w:pPr>
            <w:r>
              <w:rPr>
                <w:rFonts w:hint="eastAsia" w:ascii="宋体" w:hAnsi="宋体" w:eastAsia="宋体" w:cs="宋体"/>
                <w:color w:val="000000"/>
                <w:sz w:val="21"/>
                <w:szCs w:val="21"/>
              </w:rPr>
              <w:t>通信延时性能优化</w:t>
            </w:r>
          </w:p>
        </w:tc>
        <w:tc>
          <w:tcPr>
            <w:tcW w:w="3870" w:type="dxa"/>
            <w:tcBorders>
              <w:top w:val="nil"/>
              <w:left w:val="single" w:color="000000" w:sz="4" w:space="0"/>
              <w:bottom w:val="single" w:color="000000" w:sz="4" w:space="0"/>
              <w:right w:val="single" w:color="000000" w:sz="4" w:space="0"/>
            </w:tcBorders>
            <w:shd w:val="clear" w:color="auto" w:fill="auto"/>
            <w:vAlign w:val="center"/>
          </w:tcPr>
          <w:p>
            <w:pPr>
              <w:pStyle w:val="46"/>
              <w:numPr>
                <w:ilvl w:val="0"/>
                <w:numId w:val="12"/>
              </w:numPr>
              <w:spacing w:line="420" w:lineRule="exact"/>
              <w:rPr>
                <w:rFonts w:ascii="宋体" w:hAnsi="宋体" w:eastAsia="宋体" w:cs="宋体"/>
                <w:color w:val="000000"/>
                <w:sz w:val="21"/>
                <w:szCs w:val="21"/>
              </w:rPr>
            </w:pPr>
            <w:r>
              <w:rPr>
                <w:rFonts w:hint="eastAsia" w:ascii="宋体" w:hAnsi="宋体" w:eastAsia="宋体" w:cs="宋体"/>
                <w:color w:val="000000"/>
                <w:sz w:val="21"/>
                <w:szCs w:val="21"/>
              </w:rPr>
              <w:t>通信延时优化源码</w:t>
            </w:r>
          </w:p>
          <w:p>
            <w:pPr>
              <w:pStyle w:val="46"/>
              <w:numPr>
                <w:ilvl w:val="0"/>
                <w:numId w:val="12"/>
              </w:numPr>
              <w:spacing w:line="420" w:lineRule="exact"/>
              <w:rPr>
                <w:rFonts w:ascii="宋体" w:hAnsi="宋体" w:eastAsia="宋体" w:cs="宋体"/>
                <w:color w:val="000000"/>
                <w:sz w:val="21"/>
                <w:szCs w:val="21"/>
              </w:rPr>
            </w:pPr>
            <w:r>
              <w:rPr>
                <w:rFonts w:hint="eastAsia" w:ascii="宋体" w:hAnsi="宋体" w:eastAsia="宋体" w:cs="宋体"/>
                <w:color w:val="000000"/>
                <w:sz w:val="21"/>
                <w:szCs w:val="21"/>
              </w:rPr>
              <w:t>使用说明及培训文档</w:t>
            </w:r>
          </w:p>
          <w:p>
            <w:pPr>
              <w:pStyle w:val="46"/>
              <w:numPr>
                <w:ilvl w:val="0"/>
                <w:numId w:val="12"/>
              </w:numPr>
              <w:spacing w:line="420" w:lineRule="exact"/>
              <w:rPr>
                <w:rFonts w:ascii="宋体" w:hAnsi="宋体" w:eastAsia="宋体" w:cs="宋体"/>
                <w:color w:val="000000"/>
                <w:sz w:val="21"/>
                <w:szCs w:val="21"/>
              </w:rPr>
            </w:pPr>
            <w:r>
              <w:rPr>
                <w:rFonts w:ascii="宋体" w:hAnsi="宋体" w:eastAsia="宋体" w:cs="宋体"/>
                <w:color w:val="000000"/>
                <w:sz w:val="21"/>
                <w:szCs w:val="21"/>
              </w:rPr>
              <w:t>程序部署、调试相应说明及培训文档</w:t>
            </w:r>
          </w:p>
        </w:tc>
      </w:tr>
      <w:tr>
        <w:tblPrEx>
          <w:tblCellMar>
            <w:top w:w="55" w:type="dxa"/>
            <w:left w:w="55" w:type="dxa"/>
            <w:bottom w:w="55" w:type="dxa"/>
            <w:right w:w="55" w:type="dxa"/>
          </w:tblCellMar>
        </w:tblPrEx>
        <w:trPr>
          <w:trHeight w:val="962" w:hRule="atLeast"/>
        </w:trPr>
        <w:tc>
          <w:tcPr>
            <w:tcW w:w="1075" w:type="dxa"/>
            <w:tcBorders>
              <w:top w:val="nil"/>
              <w:left w:val="single" w:color="000000" w:sz="4" w:space="0"/>
              <w:bottom w:val="single" w:color="000000" w:sz="4" w:space="0"/>
              <w:right w:val="nil"/>
            </w:tcBorders>
            <w:shd w:val="clear" w:color="auto" w:fill="auto"/>
            <w:vAlign w:val="center"/>
          </w:tcPr>
          <w:p>
            <w:pPr>
              <w:pStyle w:val="46"/>
              <w:spacing w:line="4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3</w:t>
            </w:r>
          </w:p>
        </w:tc>
        <w:tc>
          <w:tcPr>
            <w:tcW w:w="1408" w:type="dxa"/>
            <w:tcBorders>
              <w:top w:val="nil"/>
              <w:left w:val="single" w:color="000000" w:sz="4" w:space="0"/>
              <w:bottom w:val="single" w:color="000000" w:sz="4" w:space="0"/>
              <w:right w:val="nil"/>
            </w:tcBorders>
            <w:shd w:val="clear" w:color="auto" w:fill="auto"/>
            <w:vAlign w:val="center"/>
          </w:tcPr>
          <w:p>
            <w:pPr>
              <w:pStyle w:val="46"/>
              <w:spacing w:line="4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0.5个月</w:t>
            </w:r>
          </w:p>
        </w:tc>
        <w:tc>
          <w:tcPr>
            <w:tcW w:w="2624" w:type="dxa"/>
            <w:tcBorders>
              <w:top w:val="nil"/>
              <w:left w:val="single" w:color="000000" w:sz="4" w:space="0"/>
              <w:bottom w:val="single" w:color="000000" w:sz="4" w:space="0"/>
              <w:right w:val="nil"/>
            </w:tcBorders>
            <w:shd w:val="clear" w:color="auto" w:fill="auto"/>
            <w:vAlign w:val="center"/>
          </w:tcPr>
          <w:p>
            <w:pPr>
              <w:pStyle w:val="46"/>
              <w:spacing w:line="420" w:lineRule="exact"/>
              <w:rPr>
                <w:rFonts w:ascii="宋体" w:hAnsi="宋体" w:eastAsia="宋体" w:cs="宋体"/>
                <w:color w:val="000000"/>
                <w:sz w:val="21"/>
                <w:szCs w:val="21"/>
              </w:rPr>
            </w:pPr>
            <w:r>
              <w:rPr>
                <w:rFonts w:hint="eastAsia" w:ascii="宋体" w:hAnsi="宋体" w:eastAsia="宋体" w:cs="宋体"/>
                <w:color w:val="000000"/>
                <w:sz w:val="21"/>
                <w:szCs w:val="21"/>
              </w:rPr>
              <w:t>数据录制丢包优化</w:t>
            </w:r>
          </w:p>
        </w:tc>
        <w:tc>
          <w:tcPr>
            <w:tcW w:w="3870" w:type="dxa"/>
            <w:tcBorders>
              <w:top w:val="nil"/>
              <w:left w:val="single" w:color="000000" w:sz="4" w:space="0"/>
              <w:bottom w:val="single" w:color="000000" w:sz="4" w:space="0"/>
              <w:right w:val="single" w:color="000000" w:sz="4" w:space="0"/>
            </w:tcBorders>
            <w:shd w:val="clear" w:color="auto" w:fill="auto"/>
            <w:vAlign w:val="center"/>
          </w:tcPr>
          <w:p>
            <w:pPr>
              <w:pStyle w:val="46"/>
              <w:numPr>
                <w:ilvl w:val="0"/>
                <w:numId w:val="13"/>
              </w:numPr>
              <w:spacing w:line="420" w:lineRule="exact"/>
              <w:rPr>
                <w:rFonts w:ascii="宋体" w:hAnsi="宋体" w:eastAsia="宋体" w:cs="宋体"/>
                <w:color w:val="000000"/>
                <w:sz w:val="21"/>
                <w:szCs w:val="21"/>
                <w:highlight w:val="none"/>
              </w:rPr>
            </w:pPr>
            <w:r>
              <w:rPr>
                <w:rFonts w:hint="eastAsia" w:ascii="宋体" w:hAnsi="宋体" w:eastAsia="宋体" w:cs="宋体"/>
                <w:color w:val="000000"/>
                <w:sz w:val="21"/>
                <w:szCs w:val="21"/>
                <w:highlight w:val="none"/>
                <w:lang w:val="en-US" w:eastAsia="zh-CN"/>
              </w:rPr>
              <w:t>数据录制丢包</w:t>
            </w:r>
            <w:r>
              <w:rPr>
                <w:rFonts w:hint="eastAsia" w:ascii="宋体" w:hAnsi="宋体" w:eastAsia="宋体" w:cs="宋体"/>
                <w:color w:val="000000"/>
                <w:sz w:val="21"/>
                <w:szCs w:val="21"/>
                <w:highlight w:val="none"/>
              </w:rPr>
              <w:t>优化源码</w:t>
            </w:r>
          </w:p>
          <w:p>
            <w:pPr>
              <w:pStyle w:val="46"/>
              <w:numPr>
                <w:ilvl w:val="0"/>
                <w:numId w:val="13"/>
              </w:numPr>
              <w:spacing w:line="420" w:lineRule="exact"/>
              <w:rPr>
                <w:rFonts w:ascii="宋体" w:hAnsi="宋体" w:eastAsia="宋体" w:cs="宋体"/>
                <w:color w:val="000000"/>
                <w:sz w:val="21"/>
                <w:szCs w:val="21"/>
              </w:rPr>
            </w:pPr>
            <w:r>
              <w:rPr>
                <w:rFonts w:hint="eastAsia" w:ascii="宋体" w:hAnsi="宋体" w:eastAsia="宋体" w:cs="宋体"/>
                <w:color w:val="000000"/>
                <w:sz w:val="21"/>
                <w:szCs w:val="21"/>
              </w:rPr>
              <w:t>使用说明及培训文档</w:t>
            </w:r>
          </w:p>
          <w:p>
            <w:pPr>
              <w:pStyle w:val="46"/>
              <w:numPr>
                <w:ilvl w:val="0"/>
                <w:numId w:val="13"/>
              </w:numPr>
              <w:spacing w:line="420" w:lineRule="exact"/>
              <w:rPr>
                <w:rFonts w:ascii="宋体" w:hAnsi="宋体" w:eastAsia="宋体" w:cs="宋体"/>
                <w:color w:val="000000"/>
                <w:sz w:val="21"/>
                <w:szCs w:val="21"/>
              </w:rPr>
            </w:pPr>
            <w:r>
              <w:rPr>
                <w:rFonts w:ascii="宋体" w:hAnsi="宋体" w:eastAsia="宋体" w:cs="宋体"/>
                <w:color w:val="000000"/>
                <w:sz w:val="21"/>
                <w:szCs w:val="21"/>
              </w:rPr>
              <w:t>程序部署、调试相应说明及培训文档</w:t>
            </w:r>
          </w:p>
        </w:tc>
      </w:tr>
      <w:tr>
        <w:tblPrEx>
          <w:tblCellMar>
            <w:top w:w="55" w:type="dxa"/>
            <w:left w:w="55" w:type="dxa"/>
            <w:bottom w:w="55" w:type="dxa"/>
            <w:right w:w="55" w:type="dxa"/>
          </w:tblCellMar>
        </w:tblPrEx>
        <w:trPr>
          <w:trHeight w:val="962" w:hRule="atLeast"/>
        </w:trPr>
        <w:tc>
          <w:tcPr>
            <w:tcW w:w="1075" w:type="dxa"/>
            <w:tcBorders>
              <w:top w:val="nil"/>
              <w:left w:val="single" w:color="000000" w:sz="4" w:space="0"/>
              <w:bottom w:val="nil"/>
              <w:right w:val="nil"/>
            </w:tcBorders>
            <w:shd w:val="clear" w:color="auto" w:fill="auto"/>
            <w:vAlign w:val="center"/>
          </w:tcPr>
          <w:p>
            <w:pPr>
              <w:pStyle w:val="46"/>
              <w:spacing w:line="4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4</w:t>
            </w:r>
          </w:p>
        </w:tc>
        <w:tc>
          <w:tcPr>
            <w:tcW w:w="1408" w:type="dxa"/>
            <w:tcBorders>
              <w:top w:val="nil"/>
              <w:left w:val="single" w:color="000000" w:sz="4" w:space="0"/>
              <w:bottom w:val="nil"/>
              <w:right w:val="nil"/>
            </w:tcBorders>
            <w:shd w:val="clear" w:color="auto" w:fill="auto"/>
            <w:vAlign w:val="center"/>
          </w:tcPr>
          <w:p>
            <w:pPr>
              <w:pStyle w:val="46"/>
              <w:spacing w:line="4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1个月</w:t>
            </w:r>
          </w:p>
        </w:tc>
        <w:tc>
          <w:tcPr>
            <w:tcW w:w="2624" w:type="dxa"/>
            <w:tcBorders>
              <w:top w:val="nil"/>
              <w:left w:val="single" w:color="000000" w:sz="4" w:space="0"/>
              <w:bottom w:val="nil"/>
              <w:right w:val="nil"/>
            </w:tcBorders>
            <w:shd w:val="clear" w:color="auto" w:fill="auto"/>
            <w:vAlign w:val="center"/>
          </w:tcPr>
          <w:p>
            <w:pPr>
              <w:pStyle w:val="46"/>
              <w:spacing w:line="420" w:lineRule="exact"/>
              <w:rPr>
                <w:rFonts w:ascii="宋体" w:hAnsi="宋体" w:eastAsia="宋体" w:cs="宋体"/>
                <w:color w:val="000000"/>
                <w:sz w:val="21"/>
                <w:szCs w:val="21"/>
              </w:rPr>
            </w:pPr>
            <w:r>
              <w:rPr>
                <w:rFonts w:hint="eastAsia" w:ascii="宋体" w:hAnsi="宋体" w:eastAsia="宋体" w:cs="宋体"/>
                <w:color w:val="000000"/>
                <w:sz w:val="21"/>
                <w:szCs w:val="21"/>
                <w:highlight w:val="none"/>
                <w:lang w:val="en-US" w:eastAsia="zh-CN"/>
              </w:rPr>
              <w:t>实</w:t>
            </w:r>
            <w:r>
              <w:rPr>
                <w:rFonts w:hint="eastAsia" w:ascii="宋体" w:hAnsi="宋体" w:eastAsia="宋体" w:cs="宋体"/>
                <w:color w:val="000000"/>
                <w:sz w:val="21"/>
                <w:szCs w:val="21"/>
                <w:highlight w:val="none"/>
              </w:rPr>
              <w:t>车</w:t>
            </w:r>
            <w:r>
              <w:rPr>
                <w:rFonts w:hint="eastAsia" w:ascii="宋体" w:hAnsi="宋体" w:eastAsia="宋体" w:cs="宋体"/>
                <w:color w:val="000000"/>
                <w:sz w:val="21"/>
                <w:szCs w:val="21"/>
                <w:highlight w:val="none"/>
                <w:lang w:val="en-US" w:eastAsia="zh-CN"/>
              </w:rPr>
              <w:t>自动驾驶系统</w:t>
            </w:r>
            <w:r>
              <w:rPr>
                <w:rFonts w:hint="eastAsia" w:ascii="宋体" w:hAnsi="宋体" w:eastAsia="宋体" w:cs="宋体"/>
                <w:color w:val="000000"/>
                <w:sz w:val="21"/>
                <w:szCs w:val="21"/>
              </w:rPr>
              <w:t>通信性能稳定性测试</w:t>
            </w:r>
          </w:p>
        </w:tc>
        <w:tc>
          <w:tcPr>
            <w:tcW w:w="3870" w:type="dxa"/>
            <w:tcBorders>
              <w:top w:val="nil"/>
              <w:left w:val="single" w:color="000000" w:sz="4" w:space="0"/>
              <w:bottom w:val="nil"/>
              <w:right w:val="single" w:color="000000" w:sz="4" w:space="0"/>
            </w:tcBorders>
            <w:shd w:val="clear" w:color="auto" w:fill="auto"/>
            <w:vAlign w:val="center"/>
          </w:tcPr>
          <w:p>
            <w:pPr>
              <w:pStyle w:val="46"/>
              <w:numPr>
                <w:ilvl w:val="0"/>
                <w:numId w:val="14"/>
              </w:numPr>
              <w:spacing w:line="420" w:lineRule="exact"/>
              <w:rPr>
                <w:rFonts w:ascii="宋体" w:hAnsi="宋体" w:eastAsia="宋体" w:cs="宋体"/>
                <w:color w:val="000000"/>
                <w:sz w:val="21"/>
                <w:szCs w:val="21"/>
              </w:rPr>
            </w:pPr>
            <w:r>
              <w:rPr>
                <w:rFonts w:hint="eastAsia" w:ascii="宋体" w:hAnsi="宋体" w:eastAsia="宋体" w:cs="宋体"/>
                <w:color w:val="000000"/>
                <w:sz w:val="21"/>
                <w:szCs w:val="21"/>
              </w:rPr>
              <w:t>通信延时测试报告</w:t>
            </w:r>
          </w:p>
          <w:p>
            <w:pPr>
              <w:pStyle w:val="46"/>
              <w:numPr>
                <w:ilvl w:val="0"/>
                <w:numId w:val="14"/>
              </w:numPr>
              <w:spacing w:line="420" w:lineRule="exact"/>
              <w:rPr>
                <w:rFonts w:ascii="宋体" w:hAnsi="宋体" w:eastAsia="宋体" w:cs="宋体"/>
                <w:color w:val="000000"/>
                <w:sz w:val="21"/>
                <w:szCs w:val="21"/>
              </w:rPr>
            </w:pPr>
            <w:r>
              <w:rPr>
                <w:rFonts w:hint="eastAsia" w:ascii="宋体" w:hAnsi="宋体" w:eastAsia="宋体" w:cs="宋体"/>
                <w:color w:val="000000"/>
                <w:sz w:val="21"/>
                <w:szCs w:val="21"/>
              </w:rPr>
              <w:t>数据采集丢包率测试报告</w:t>
            </w:r>
          </w:p>
        </w:tc>
      </w:tr>
      <w:tr>
        <w:tblPrEx>
          <w:tblCellMar>
            <w:top w:w="55" w:type="dxa"/>
            <w:left w:w="55" w:type="dxa"/>
            <w:bottom w:w="55" w:type="dxa"/>
            <w:right w:w="55" w:type="dxa"/>
          </w:tblCellMar>
        </w:tblPrEx>
        <w:trPr>
          <w:trHeight w:val="508" w:hRule="atLeast"/>
        </w:trPr>
        <w:tc>
          <w:tcPr>
            <w:tcW w:w="107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line="4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合计</w:t>
            </w:r>
          </w:p>
        </w:tc>
        <w:tc>
          <w:tcPr>
            <w:tcW w:w="790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pStyle w:val="46"/>
              <w:spacing w:line="420" w:lineRule="exact"/>
              <w:jc w:val="center"/>
              <w:rPr>
                <w:rFonts w:ascii="宋体" w:hAnsi="宋体" w:eastAsia="宋体" w:cs="宋体"/>
                <w:color w:val="000000"/>
                <w:sz w:val="21"/>
                <w:szCs w:val="21"/>
              </w:rPr>
            </w:pPr>
            <w:r>
              <w:rPr>
                <w:rFonts w:hint="eastAsia" w:ascii="宋体" w:hAnsi="宋体" w:eastAsia="宋体" w:cs="宋体"/>
                <w:color w:val="000000"/>
                <w:sz w:val="21"/>
                <w:szCs w:val="21"/>
              </w:rPr>
              <w:t>项目整体规划为3个月</w:t>
            </w:r>
          </w:p>
        </w:tc>
      </w:tr>
    </w:tbl>
    <w:p>
      <w:pPr>
        <w:pStyle w:val="26"/>
        <w:keepNext w:val="0"/>
        <w:spacing w:before="156" w:beforeLines="50" w:after="156" w:afterLines="50"/>
        <w:rPr>
          <w:rFonts w:ascii="黑体" w:hAnsi="黑体"/>
          <w:sz w:val="24"/>
        </w:rPr>
      </w:pPr>
    </w:p>
    <w:p>
      <w:pPr>
        <w:pStyle w:val="26"/>
        <w:spacing w:before="156" w:beforeLines="50" w:after="156" w:afterLines="50"/>
      </w:pPr>
      <w:r>
        <w:rPr>
          <w:rFonts w:hint="eastAsia"/>
        </w:rPr>
        <w:t>四、执行标准</w:t>
      </w:r>
    </w:p>
    <w:p>
      <w:pPr>
        <w:spacing w:line="360" w:lineRule="auto"/>
        <w:ind w:firstLine="420" w:firstLineChars="200"/>
        <w:rPr>
          <w:rFonts w:ascii="宋体" w:hAnsi="宋体"/>
          <w:color w:val="000000"/>
        </w:rPr>
      </w:pPr>
      <w:r>
        <w:rPr>
          <w:rFonts w:hint="eastAsia" w:ascii="宋体" w:hAnsi="宋体"/>
          <w:color w:val="000000"/>
        </w:rPr>
        <w:t>1、招标方此处所列标准仅为涉及的主要标准，而且不保证其为最新版执行标准；投标方应当在投标文件中认真予以填写、补充和修改完善。</w:t>
      </w:r>
    </w:p>
    <w:p>
      <w:pPr>
        <w:spacing w:line="360" w:lineRule="auto"/>
        <w:ind w:firstLine="420" w:firstLineChars="200"/>
        <w:rPr>
          <w:rFonts w:ascii="宋体" w:hAnsi="宋体"/>
          <w:color w:val="000000"/>
        </w:rPr>
      </w:pPr>
      <w:r>
        <w:rPr>
          <w:rFonts w:hint="eastAsia" w:ascii="宋体" w:hAnsi="宋体"/>
          <w:color w:val="000000"/>
        </w:rPr>
        <w:t>2、投标方需要执行的标准，应当采用所供货物通过买方组织的最终验收之日已经开始执行的最新标准。</w:t>
      </w:r>
    </w:p>
    <w:p>
      <w:pPr>
        <w:spacing w:line="360" w:lineRule="auto"/>
        <w:ind w:firstLine="420" w:firstLineChars="200"/>
        <w:rPr>
          <w:rFonts w:ascii="宋体" w:hAnsi="宋体"/>
          <w:color w:val="000000"/>
        </w:rPr>
      </w:pPr>
      <w:r>
        <w:rPr>
          <w:rFonts w:hint="eastAsia" w:ascii="宋体" w:hAnsi="宋体"/>
          <w:color w:val="000000"/>
        </w:rPr>
        <w:t>3、采购货物的产品质量、技术标准如在招投标文件中无相应说明，则按中华人民共和国有关部门颁发的最新的国标或专业（部）标准执行及相应的国际标准。</w:t>
      </w:r>
    </w:p>
    <w:p>
      <w:pPr>
        <w:spacing w:line="360" w:lineRule="auto"/>
        <w:ind w:firstLine="420" w:firstLineChars="200"/>
        <w:rPr>
          <w:rFonts w:ascii="宋体" w:hAnsi="宋体"/>
          <w:color w:val="000000"/>
        </w:rPr>
      </w:pPr>
      <w:r>
        <w:rPr>
          <w:rFonts w:hint="eastAsia" w:ascii="宋体" w:hAnsi="宋体"/>
          <w:color w:val="000000"/>
        </w:rPr>
        <w:t>4、采购货物没有国家或专业（部）标准的，按企业标准执行时，卖方应在合同签署之前，将所涉及的企业标准提供给买方确认。</w:t>
      </w:r>
    </w:p>
    <w:p>
      <w:pPr>
        <w:spacing w:line="360" w:lineRule="auto"/>
        <w:ind w:firstLine="420" w:firstLineChars="200"/>
        <w:rPr>
          <w:rFonts w:ascii="宋体" w:hAnsi="宋体"/>
          <w:color w:val="000000"/>
        </w:rPr>
      </w:pPr>
      <w:r>
        <w:rPr>
          <w:rFonts w:hint="eastAsia" w:ascii="宋体" w:hAnsi="宋体"/>
          <w:color w:val="000000"/>
        </w:rPr>
        <w:t>5、采购货物如果采用国际标准，其执行标准由投标方提供、招标方确认。</w:t>
      </w:r>
    </w:p>
    <w:p>
      <w:pPr>
        <w:spacing w:line="360" w:lineRule="auto"/>
        <w:ind w:firstLine="420" w:firstLineChars="200"/>
      </w:pPr>
      <w:r>
        <w:rPr>
          <w:rFonts w:hint="eastAsia" w:ascii="宋体" w:hAnsi="宋体"/>
          <w:color w:val="000000"/>
        </w:rPr>
        <w:t>6、采购货物所涉及的标准不统一时，原则上按照最严格标准执行。</w:t>
      </w:r>
      <w:bookmarkEnd w:id="36"/>
    </w:p>
    <w:p>
      <w:pPr>
        <w:pStyle w:val="30"/>
        <w:rPr>
          <w:rFonts w:ascii="黑体" w:hAnsi="黑体"/>
          <w:sz w:val="24"/>
        </w:rPr>
      </w:pPr>
      <w:r>
        <w:rPr>
          <w:rFonts w:hint="eastAsia"/>
        </w:rPr>
        <w:t>第三章 软硬件和文档交付</w:t>
      </w:r>
    </w:p>
    <w:p>
      <w:pPr>
        <w:pStyle w:val="26"/>
        <w:ind w:firstLine="480"/>
        <w:rPr>
          <w:rFonts w:ascii="黑体" w:hAnsi="黑体"/>
          <w:sz w:val="24"/>
          <w:szCs w:val="24"/>
        </w:rPr>
      </w:pPr>
      <w:r>
        <w:rPr>
          <w:rFonts w:hint="eastAsia" w:ascii="黑体" w:hAnsi="黑体"/>
          <w:sz w:val="24"/>
          <w:szCs w:val="24"/>
        </w:rPr>
        <w:t xml:space="preserve">第一节 </w:t>
      </w:r>
      <w:r>
        <w:rPr>
          <w:rFonts w:ascii="黑体" w:hAnsi="黑体"/>
          <w:sz w:val="24"/>
          <w:szCs w:val="24"/>
        </w:rPr>
        <w:t xml:space="preserve"> </w:t>
      </w:r>
      <w:r>
        <w:rPr>
          <w:rFonts w:hint="eastAsia" w:ascii="黑体" w:hAnsi="黑体"/>
          <w:sz w:val="24"/>
          <w:szCs w:val="24"/>
        </w:rPr>
        <w:t>软硬件</w:t>
      </w:r>
    </w:p>
    <w:p>
      <w:pPr>
        <w:spacing w:line="420" w:lineRule="exact"/>
        <w:ind w:firstLine="420" w:firstLineChars="200"/>
        <w:rPr>
          <w:rFonts w:ascii="黑体" w:hAnsi="黑体" w:eastAsia="黑体"/>
          <w:color w:val="000000"/>
          <w:szCs w:val="21"/>
        </w:rPr>
      </w:pPr>
      <w:r>
        <w:rPr>
          <w:rFonts w:hint="eastAsia" w:ascii="黑体" w:hAnsi="黑体" w:eastAsia="黑体"/>
          <w:color w:val="000000"/>
          <w:szCs w:val="21"/>
        </w:rPr>
        <w:t>一、软硬件</w:t>
      </w:r>
    </w:p>
    <w:p>
      <w:pPr>
        <w:spacing w:line="420" w:lineRule="exact"/>
        <w:ind w:firstLine="422" w:firstLineChars="200"/>
        <w:rPr>
          <w:rFonts w:ascii="宋体" w:hAnsi="宋体"/>
          <w:b/>
          <w:color w:val="000000"/>
        </w:rPr>
      </w:pPr>
      <w:r>
        <w:rPr>
          <w:rFonts w:hint="eastAsia" w:ascii="宋体" w:hAnsi="宋体"/>
          <w:b/>
          <w:color w:val="000000"/>
        </w:rPr>
        <w:t>（一）一般界定</w:t>
      </w:r>
    </w:p>
    <w:p>
      <w:pPr>
        <w:spacing w:line="420" w:lineRule="exact"/>
        <w:ind w:firstLine="420" w:firstLineChars="200"/>
        <w:rPr>
          <w:rFonts w:ascii="宋体" w:hAnsi="宋体"/>
          <w:color w:val="000000"/>
        </w:rPr>
      </w:pPr>
      <w:r>
        <w:rPr>
          <w:rFonts w:hint="eastAsia" w:ascii="宋体" w:hAnsi="宋体"/>
          <w:color w:val="000000"/>
        </w:rPr>
        <w:t>1、包括本技术标书所列明的开发项目涉及软件模块、工具链和文档；</w:t>
      </w:r>
    </w:p>
    <w:p>
      <w:pPr>
        <w:spacing w:line="420" w:lineRule="exact"/>
        <w:ind w:firstLine="420" w:firstLineChars="200"/>
        <w:rPr>
          <w:rFonts w:ascii="宋体" w:hAnsi="宋体"/>
          <w:color w:val="000000"/>
        </w:rPr>
      </w:pPr>
      <w:r>
        <w:rPr>
          <w:rFonts w:hint="eastAsia" w:ascii="宋体" w:hAnsi="宋体"/>
          <w:color w:val="000000"/>
        </w:rPr>
        <w:t>2、包括为保证合作开发项目正常开展所必需的整套硬件、配件、附件及材料等。</w:t>
      </w:r>
    </w:p>
    <w:p>
      <w:pPr>
        <w:spacing w:line="420" w:lineRule="exact"/>
        <w:ind w:firstLine="420" w:firstLineChars="200"/>
        <w:rPr>
          <w:rFonts w:ascii="宋体" w:hAnsi="宋体"/>
          <w:color w:val="000000"/>
        </w:rPr>
      </w:pPr>
      <w:r>
        <w:rPr>
          <w:rFonts w:hint="eastAsia" w:ascii="宋体" w:hAnsi="宋体"/>
          <w:color w:val="000000"/>
        </w:rPr>
        <w:t>如果终验收完成后，卖方有需要收回的配件、附件、材料等，应当在投标文件的技术偏离条款中，予以详细说明；否则视同包括在供货范围之内。</w:t>
      </w:r>
    </w:p>
    <w:p>
      <w:pPr>
        <w:spacing w:line="420" w:lineRule="exact"/>
        <w:ind w:firstLine="420" w:firstLineChars="200"/>
        <w:rPr>
          <w:rFonts w:ascii="黑体" w:hAnsi="黑体" w:eastAsia="黑体"/>
          <w:color w:val="000000"/>
          <w:szCs w:val="21"/>
        </w:rPr>
      </w:pPr>
      <w:r>
        <w:rPr>
          <w:rFonts w:hint="eastAsia" w:ascii="黑体" w:hAnsi="黑体" w:eastAsia="黑体"/>
          <w:color w:val="000000"/>
          <w:szCs w:val="21"/>
        </w:rPr>
        <w:t>（二）供货范围边界界定</w:t>
      </w:r>
    </w:p>
    <w:p>
      <w:pPr>
        <w:spacing w:line="420" w:lineRule="exact"/>
        <w:ind w:firstLine="420" w:firstLineChars="200"/>
        <w:rPr>
          <w:rFonts w:ascii="宋体" w:hAnsi="宋体"/>
          <w:color w:val="000000"/>
        </w:rPr>
      </w:pPr>
      <w:r>
        <w:rPr>
          <w:rFonts w:hint="eastAsia" w:ascii="宋体" w:hAnsi="宋体"/>
          <w:color w:val="000000"/>
        </w:rPr>
        <w:t>对于招标文件中无明确具体要求而投标方认为必须具备的其它内容，投标方必须将该部分单独报价（该报价含服务费及税费等其它费用，而且不再作为其它报价涉及的其它费用的计算基数）。</w:t>
      </w:r>
    </w:p>
    <w:p>
      <w:pPr>
        <w:spacing w:line="420" w:lineRule="exact"/>
        <w:ind w:firstLine="420" w:firstLineChars="200"/>
        <w:rPr>
          <w:rFonts w:ascii="黑体" w:hAnsi="黑体" w:eastAsia="黑体"/>
          <w:color w:val="000000"/>
          <w:szCs w:val="21"/>
        </w:rPr>
      </w:pPr>
      <w:r>
        <w:rPr>
          <w:rFonts w:hint="eastAsia" w:ascii="黑体" w:hAnsi="黑体" w:eastAsia="黑体"/>
          <w:color w:val="000000"/>
          <w:szCs w:val="21"/>
        </w:rPr>
        <w:t>二、技术资料供货范围</w:t>
      </w:r>
    </w:p>
    <w:p>
      <w:pPr>
        <w:spacing w:line="420" w:lineRule="exact"/>
        <w:ind w:firstLine="420" w:firstLineChars="200"/>
        <w:rPr>
          <w:rFonts w:ascii="宋体" w:hAnsi="宋体"/>
          <w:color w:val="000000"/>
        </w:rPr>
      </w:pPr>
      <w:r>
        <w:rPr>
          <w:rFonts w:hint="eastAsia" w:ascii="宋体" w:hAnsi="宋体"/>
          <w:color w:val="000000"/>
        </w:rPr>
        <w:t>技术资料供货范围包括：</w:t>
      </w:r>
    </w:p>
    <w:p>
      <w:pPr>
        <w:spacing w:line="420" w:lineRule="exact"/>
        <w:ind w:firstLine="420" w:firstLineChars="200"/>
        <w:rPr>
          <w:rFonts w:ascii="宋体" w:hAnsi="宋体"/>
          <w:bCs/>
        </w:rPr>
      </w:pPr>
      <w:r>
        <w:rPr>
          <w:rFonts w:hint="eastAsia" w:ascii="宋体" w:hAnsi="宋体"/>
        </w:rPr>
        <w:t>1、在</w:t>
      </w:r>
      <w:r>
        <w:rPr>
          <w:rFonts w:hint="eastAsia" w:ascii="宋体" w:hAnsi="宋体"/>
          <w:bCs/>
        </w:rPr>
        <w:t>合同签订后按照合同约定的每个项目阶段</w:t>
      </w:r>
      <w:r>
        <w:rPr>
          <w:rFonts w:hint="eastAsia" w:ascii="宋体" w:hAnsi="宋体"/>
          <w:bCs/>
          <w:u w:val="single"/>
          <w:shd w:val="pct10" w:color="auto" w:fill="FFFFFF"/>
        </w:rPr>
        <w:t xml:space="preserve"> 30 </w:t>
      </w:r>
      <w:r>
        <w:rPr>
          <w:rFonts w:hint="eastAsia" w:ascii="宋体" w:hAnsi="宋体"/>
          <w:bCs/>
        </w:rPr>
        <w:t>个日历日内，提供电子版资料；电子版文件应当有中外文对照。</w:t>
      </w:r>
    </w:p>
    <w:p>
      <w:pPr>
        <w:spacing w:line="420" w:lineRule="exact"/>
        <w:ind w:firstLine="420" w:firstLineChars="200"/>
        <w:rPr>
          <w:rFonts w:ascii="宋体" w:hAnsi="宋体"/>
        </w:rPr>
      </w:pPr>
      <w:r>
        <w:rPr>
          <w:rFonts w:hint="eastAsia" w:ascii="宋体" w:hAnsi="宋体"/>
        </w:rPr>
        <w:t>2、在预验收前，</w:t>
      </w:r>
      <w:r>
        <w:rPr>
          <w:rFonts w:hint="eastAsia" w:ascii="宋体" w:hAnsi="宋体"/>
          <w:bCs/>
        </w:rPr>
        <w:t>提供合作开发各阶段的描述文件、图片、影像等资料（应有中外文对照）。</w:t>
      </w:r>
    </w:p>
    <w:p>
      <w:pPr>
        <w:spacing w:line="420" w:lineRule="exact"/>
        <w:ind w:firstLine="420" w:firstLineChars="200"/>
        <w:rPr>
          <w:rFonts w:ascii="宋体" w:hAnsi="宋体"/>
        </w:rPr>
      </w:pPr>
      <w:r>
        <w:rPr>
          <w:rFonts w:hint="eastAsia" w:ascii="宋体" w:hAnsi="宋体"/>
        </w:rPr>
        <w:t>3、在终验收前，提供为保证项目后续正常运行所需的技术要求等资料。</w:t>
      </w:r>
    </w:p>
    <w:p>
      <w:pPr>
        <w:spacing w:line="420" w:lineRule="exact"/>
        <w:ind w:firstLine="420" w:firstLineChars="200"/>
        <w:rPr>
          <w:rFonts w:ascii="宋体" w:hAnsi="宋体"/>
        </w:rPr>
      </w:pPr>
      <w:r>
        <w:rPr>
          <w:rFonts w:hint="eastAsia" w:ascii="宋体" w:hAnsi="宋体"/>
        </w:rPr>
        <w:t>4、在终验收前，提供确定的后续技术支持服务厂家明细表。</w:t>
      </w:r>
    </w:p>
    <w:p>
      <w:pPr>
        <w:spacing w:line="420" w:lineRule="exact"/>
        <w:ind w:firstLine="420" w:firstLineChars="200"/>
        <w:rPr>
          <w:rFonts w:ascii="宋体" w:hAnsi="宋体"/>
          <w:color w:val="000000"/>
        </w:rPr>
      </w:pPr>
      <w:r>
        <w:rPr>
          <w:rFonts w:ascii="宋体" w:hAnsi="宋体"/>
          <w:color w:val="000000"/>
        </w:rPr>
        <w:t>5</w:t>
      </w:r>
      <w:r>
        <w:rPr>
          <w:rFonts w:hint="eastAsia" w:ascii="宋体" w:hAnsi="宋体"/>
          <w:color w:val="000000"/>
        </w:rPr>
        <w:t>、本条款所列的技术资料、图片、影像等，投标方应提供目录清单。</w:t>
      </w:r>
    </w:p>
    <w:p>
      <w:pPr>
        <w:spacing w:line="420" w:lineRule="exact"/>
        <w:ind w:firstLine="420" w:firstLineChars="200"/>
        <w:rPr>
          <w:rFonts w:ascii="宋体" w:hAnsi="宋体"/>
          <w:color w:val="000000"/>
        </w:rPr>
      </w:pPr>
      <w:r>
        <w:rPr>
          <w:rFonts w:ascii="宋体" w:hAnsi="宋体"/>
          <w:color w:val="000000"/>
        </w:rPr>
        <w:t>6</w:t>
      </w:r>
      <w:r>
        <w:rPr>
          <w:rFonts w:hint="eastAsia" w:ascii="宋体" w:hAnsi="宋体"/>
          <w:color w:val="000000"/>
        </w:rPr>
        <w:t>、本条款所列要求，如招标方认为投标方提供的资料不能满足要求时，有权要求投标方免费补充或增加。</w:t>
      </w:r>
    </w:p>
    <w:p>
      <w:pPr>
        <w:spacing w:line="420" w:lineRule="exact"/>
        <w:ind w:firstLine="420" w:firstLineChars="200"/>
        <w:rPr>
          <w:rFonts w:ascii="黑体" w:hAnsi="黑体" w:eastAsia="黑体"/>
          <w:color w:val="000000"/>
          <w:szCs w:val="21"/>
        </w:rPr>
      </w:pPr>
      <w:r>
        <w:rPr>
          <w:rFonts w:hint="eastAsia" w:ascii="黑体" w:hAnsi="黑体" w:eastAsia="黑体"/>
          <w:color w:val="000000"/>
          <w:szCs w:val="21"/>
        </w:rPr>
        <w:t>四、供货范围特别提示</w:t>
      </w:r>
    </w:p>
    <w:p>
      <w:pPr>
        <w:spacing w:line="420" w:lineRule="exact"/>
        <w:ind w:firstLine="420" w:firstLineChars="200"/>
        <w:rPr>
          <w:rFonts w:ascii="宋体" w:hAnsi="宋体"/>
          <w:color w:val="000000"/>
        </w:rPr>
      </w:pPr>
      <w:r>
        <w:rPr>
          <w:rFonts w:hint="eastAsia" w:ascii="宋体" w:hAnsi="宋体"/>
          <w:color w:val="000000"/>
        </w:rPr>
        <w:t>如果投标方认为本节所列的服务范围难以满足，则仍需要按照本要求提供，但该部分服务应当在投标报价中单独列明服务名称及品质、货值。</w:t>
      </w:r>
    </w:p>
    <w:p>
      <w:pPr>
        <w:pStyle w:val="26"/>
        <w:ind w:firstLine="480"/>
        <w:rPr>
          <w:rFonts w:ascii="黑体" w:hAnsi="黑体"/>
          <w:sz w:val="24"/>
          <w:szCs w:val="24"/>
        </w:rPr>
      </w:pPr>
      <w:r>
        <w:rPr>
          <w:rFonts w:hint="eastAsia" w:ascii="黑体" w:hAnsi="黑体"/>
          <w:sz w:val="24"/>
          <w:szCs w:val="24"/>
        </w:rPr>
        <w:t>第二节 文档交付和培训</w:t>
      </w:r>
    </w:p>
    <w:p>
      <w:pPr>
        <w:spacing w:line="420" w:lineRule="exact"/>
        <w:ind w:firstLine="420" w:firstLineChars="200"/>
        <w:rPr>
          <w:rFonts w:ascii="黑体" w:hAnsi="黑体" w:eastAsia="黑体"/>
          <w:color w:val="000000"/>
          <w:szCs w:val="21"/>
        </w:rPr>
      </w:pPr>
      <w:r>
        <w:rPr>
          <w:rFonts w:hint="eastAsia" w:ascii="黑体" w:hAnsi="黑体" w:eastAsia="黑体"/>
          <w:color w:val="000000"/>
          <w:szCs w:val="21"/>
        </w:rPr>
        <w:t>一、服务方式</w:t>
      </w:r>
    </w:p>
    <w:p>
      <w:pPr>
        <w:spacing w:line="420" w:lineRule="exact"/>
        <w:ind w:firstLine="420" w:firstLineChars="200"/>
        <w:rPr>
          <w:rFonts w:ascii="宋体" w:hAnsi="宋体"/>
        </w:rPr>
      </w:pPr>
      <w:r>
        <w:rPr>
          <w:rFonts w:hint="eastAsia" w:ascii="宋体" w:hAnsi="宋体"/>
          <w:color w:val="000000"/>
        </w:rPr>
        <w:t>提供技术咨询和文档交付服务，本</w:t>
      </w:r>
      <w:r>
        <w:rPr>
          <w:rFonts w:hint="eastAsia" w:ascii="宋体" w:hAnsi="宋体"/>
        </w:rPr>
        <w:t>次招标项目至少包括以下服务：工规级自动驾驶控制器通信中间件技术开发总体方案、功能规范、算法说明文档、测试报告、培训资料等。</w:t>
      </w:r>
      <w:r>
        <w:rPr>
          <w:rFonts w:ascii="宋体" w:hAnsi="宋体"/>
        </w:rPr>
        <w:t xml:space="preserve"> </w:t>
      </w:r>
    </w:p>
    <w:p>
      <w:pPr>
        <w:spacing w:line="420" w:lineRule="exact"/>
        <w:ind w:firstLine="420" w:firstLineChars="200"/>
        <w:rPr>
          <w:rFonts w:ascii="宋体" w:hAnsi="宋体"/>
        </w:rPr>
      </w:pPr>
      <w:r>
        <w:rPr>
          <w:rFonts w:hint="eastAsia" w:ascii="黑体" w:hAnsi="黑体" w:eastAsia="黑体"/>
          <w:szCs w:val="21"/>
        </w:rPr>
        <w:t>二、服务地点</w:t>
      </w:r>
      <w:r>
        <w:rPr>
          <w:rFonts w:hint="eastAsia" w:ascii="宋体" w:hAnsi="宋体"/>
        </w:rPr>
        <w:t>：重汽未来科技大厦。</w:t>
      </w:r>
    </w:p>
    <w:p>
      <w:pPr>
        <w:adjustRightInd w:val="0"/>
        <w:snapToGrid w:val="0"/>
        <w:spacing w:line="420" w:lineRule="exact"/>
        <w:ind w:firstLine="420" w:firstLineChars="200"/>
        <w:rPr>
          <w:rFonts w:ascii="黑体" w:hAnsi="黑体" w:eastAsia="黑体"/>
          <w:color w:val="000000"/>
          <w:szCs w:val="21"/>
        </w:rPr>
      </w:pPr>
      <w:r>
        <w:rPr>
          <w:rFonts w:hint="eastAsia" w:ascii="黑体" w:hAnsi="黑体" w:eastAsia="黑体"/>
          <w:color w:val="000000"/>
          <w:szCs w:val="21"/>
        </w:rPr>
        <w:t>三、服务时间</w:t>
      </w:r>
    </w:p>
    <w:p>
      <w:pPr>
        <w:spacing w:line="420" w:lineRule="exact"/>
        <w:ind w:firstLine="420" w:firstLineChars="200"/>
        <w:jc w:val="left"/>
        <w:rPr>
          <w:rFonts w:ascii="宋体" w:hAnsi="宋体"/>
          <w:color w:val="000000"/>
        </w:rPr>
      </w:pPr>
      <w:r>
        <w:rPr>
          <w:rFonts w:hint="eastAsia" w:ascii="宋体" w:hAnsi="宋体"/>
          <w:color w:val="000000"/>
        </w:rPr>
        <w:t>1、自合同签定生效之日起，</w:t>
      </w:r>
      <w:r>
        <w:rPr>
          <w:rFonts w:hint="eastAsia" w:ascii="宋体" w:hAnsi="宋体"/>
          <w:color w:val="000000"/>
          <w:u w:val="single"/>
          <w:shd w:val="pct10" w:color="auto" w:fill="FFFFFF"/>
        </w:rPr>
        <w:t xml:space="preserve"> 30</w:t>
      </w:r>
      <w:r>
        <w:rPr>
          <w:rFonts w:hint="eastAsia" w:ascii="宋体" w:hAnsi="宋体"/>
          <w:color w:val="000000"/>
        </w:rPr>
        <w:t>个日历日之内启动合作开发项目。</w:t>
      </w:r>
    </w:p>
    <w:p>
      <w:pPr>
        <w:spacing w:line="420" w:lineRule="exact"/>
        <w:ind w:firstLine="420" w:firstLineChars="200"/>
        <w:jc w:val="left"/>
        <w:rPr>
          <w:rFonts w:ascii="宋体" w:hAnsi="宋体"/>
          <w:color w:val="000000"/>
        </w:rPr>
      </w:pPr>
      <w:r>
        <w:rPr>
          <w:rFonts w:hint="eastAsia" w:ascii="宋体" w:hAnsi="宋体"/>
          <w:color w:val="000000"/>
        </w:rPr>
        <w:t>2、终验收在</w:t>
      </w:r>
      <w:r>
        <w:rPr>
          <w:rFonts w:hint="eastAsia" w:ascii="宋体" w:hAnsi="宋体"/>
          <w:color w:val="000000"/>
          <w:u w:val="single"/>
          <w:shd w:val="pct10" w:color="auto" w:fill="FFFFFF"/>
        </w:rPr>
        <w:t xml:space="preserve"> 30</w:t>
      </w:r>
      <w:r>
        <w:rPr>
          <w:rFonts w:hint="eastAsia" w:ascii="宋体" w:hAnsi="宋体"/>
          <w:color w:val="000000"/>
        </w:rPr>
        <w:t xml:space="preserve">个日历日之内完成（或协助完成）。 </w:t>
      </w:r>
    </w:p>
    <w:p>
      <w:pPr>
        <w:pStyle w:val="30"/>
      </w:pPr>
      <w:r>
        <w:rPr>
          <w:rFonts w:hint="eastAsia"/>
        </w:rPr>
        <w:t>第四章  质保期及售后服务</w:t>
      </w:r>
    </w:p>
    <w:p>
      <w:pPr>
        <w:spacing w:line="420" w:lineRule="exact"/>
        <w:ind w:firstLine="420" w:firstLineChars="200"/>
        <w:jc w:val="left"/>
        <w:rPr>
          <w:rFonts w:ascii="黑体" w:hAnsi="宋体" w:eastAsia="黑体"/>
          <w:color w:val="000000"/>
        </w:rPr>
      </w:pPr>
      <w:r>
        <w:rPr>
          <w:rFonts w:hint="eastAsia" w:ascii="黑体" w:hAnsi="宋体" w:eastAsia="黑体"/>
          <w:color w:val="000000"/>
        </w:rPr>
        <w:t>一、质保期及质保要求</w:t>
      </w:r>
    </w:p>
    <w:p>
      <w:pPr>
        <w:spacing w:line="420" w:lineRule="exact"/>
        <w:ind w:firstLine="420" w:firstLineChars="200"/>
        <w:jc w:val="left"/>
        <w:rPr>
          <w:rFonts w:ascii="宋体" w:hAnsi="宋体"/>
          <w:color w:val="000000"/>
        </w:rPr>
      </w:pPr>
      <w:r>
        <w:rPr>
          <w:rFonts w:hint="eastAsia" w:ascii="宋体" w:hAnsi="宋体"/>
          <w:color w:val="000000"/>
        </w:rPr>
        <w:t>1、全部供货范围内的设备、材料、零配件和工器具等，除合同特别约定外，其质保期均自终验收签字生效之日起</w:t>
      </w:r>
      <w:r>
        <w:rPr>
          <w:rFonts w:hint="eastAsia" w:ascii="宋体" w:hAnsi="宋体"/>
          <w:color w:val="000000"/>
          <w:u w:val="single"/>
          <w:shd w:val="pct10" w:color="auto" w:fill="FFFFFF"/>
        </w:rPr>
        <w:t xml:space="preserve"> 6 </w:t>
      </w:r>
      <w:r>
        <w:rPr>
          <w:rFonts w:hint="eastAsia" w:ascii="宋体" w:hAnsi="宋体"/>
          <w:color w:val="000000"/>
        </w:rPr>
        <w:t>个月。</w:t>
      </w:r>
    </w:p>
    <w:p>
      <w:pPr>
        <w:spacing w:line="420" w:lineRule="exact"/>
        <w:ind w:firstLine="420" w:firstLineChars="200"/>
        <w:jc w:val="left"/>
        <w:rPr>
          <w:rFonts w:ascii="宋体" w:hAnsi="宋体"/>
          <w:color w:val="000000"/>
        </w:rPr>
      </w:pPr>
      <w:r>
        <w:rPr>
          <w:rFonts w:hint="eastAsia" w:ascii="宋体" w:hAnsi="宋体"/>
          <w:color w:val="000000"/>
        </w:rPr>
        <w:t>投标货物或涉及的关键总成和零件，如果有更长时间质保期，允许更改并说明，此将有利于投标方。</w:t>
      </w:r>
    </w:p>
    <w:p>
      <w:pPr>
        <w:spacing w:line="420" w:lineRule="exact"/>
        <w:ind w:firstLine="420" w:firstLineChars="200"/>
        <w:jc w:val="left"/>
        <w:rPr>
          <w:rFonts w:ascii="宋体" w:hAnsi="宋体"/>
          <w:color w:val="000000"/>
        </w:rPr>
      </w:pPr>
      <w:r>
        <w:rPr>
          <w:rFonts w:hint="eastAsia" w:ascii="宋体" w:hAnsi="宋体"/>
          <w:color w:val="000000"/>
        </w:rPr>
        <w:t>设计使用寿命短于质保期的易损件除外，但属于易损件的，应当有明确说明。</w:t>
      </w:r>
    </w:p>
    <w:p>
      <w:pPr>
        <w:spacing w:line="420" w:lineRule="exact"/>
        <w:ind w:firstLine="420" w:firstLineChars="200"/>
        <w:jc w:val="left"/>
        <w:rPr>
          <w:rFonts w:ascii="宋体" w:hAnsi="宋体"/>
          <w:color w:val="000000"/>
        </w:rPr>
      </w:pPr>
      <w:r>
        <w:rPr>
          <w:rFonts w:hint="eastAsia" w:ascii="宋体" w:hAnsi="宋体"/>
          <w:color w:val="000000"/>
        </w:rPr>
        <w:t>2、质保期之内，如果货物出现设备、总成、关键零部件或者多处一般零部件的二次以上的更换或维修行为，则质保期自更换或维修行为结束、货物重新正常运行使用之日起重新计算。</w:t>
      </w:r>
    </w:p>
    <w:p>
      <w:pPr>
        <w:spacing w:line="420" w:lineRule="exact"/>
        <w:ind w:firstLine="420" w:firstLineChars="200"/>
        <w:jc w:val="left"/>
        <w:rPr>
          <w:rFonts w:ascii="宋体" w:hAnsi="宋体"/>
          <w:color w:val="000000"/>
        </w:rPr>
      </w:pPr>
      <w:r>
        <w:rPr>
          <w:rFonts w:hint="eastAsia" w:ascii="宋体" w:hAnsi="宋体"/>
          <w:color w:val="000000"/>
        </w:rPr>
        <w:t>3、质保期内免费提供零部件和及时有效的服务。质保期内因货物本身缺陷造成的各种故障，卖方应负责免费维修和服务。</w:t>
      </w:r>
    </w:p>
    <w:p>
      <w:pPr>
        <w:adjustRightInd w:val="0"/>
        <w:snapToGrid w:val="0"/>
        <w:spacing w:line="420" w:lineRule="exact"/>
        <w:ind w:firstLine="420" w:firstLineChars="200"/>
        <w:rPr>
          <w:rFonts w:ascii="黑体" w:hAnsi="宋体" w:eastAsia="黑体"/>
          <w:color w:val="000000"/>
        </w:rPr>
      </w:pPr>
      <w:r>
        <w:rPr>
          <w:rFonts w:hint="eastAsia" w:ascii="黑体" w:hAnsi="宋体" w:eastAsia="黑体"/>
          <w:color w:val="000000"/>
        </w:rPr>
        <w:t>二、技术及培训服务</w:t>
      </w:r>
    </w:p>
    <w:p>
      <w:pPr>
        <w:adjustRightInd w:val="0"/>
        <w:snapToGrid w:val="0"/>
        <w:spacing w:line="420" w:lineRule="exact"/>
        <w:ind w:firstLine="420" w:firstLineChars="200"/>
        <w:rPr>
          <w:rFonts w:ascii="宋体" w:hAnsi="宋体"/>
          <w:color w:val="000000"/>
        </w:rPr>
      </w:pPr>
      <w:r>
        <w:rPr>
          <w:rFonts w:ascii="宋体" w:hAnsi="宋体"/>
          <w:color w:val="000000"/>
        </w:rPr>
        <w:t>1</w:t>
      </w:r>
      <w:r>
        <w:rPr>
          <w:rFonts w:hint="eastAsia" w:ascii="宋体" w:hAnsi="宋体"/>
          <w:color w:val="000000"/>
        </w:rPr>
        <w:t>、应负责在买方货物使用现场，对技术、维修和操作人员提供免费的理论、技术和操作、维修等方面的技术指导和培训，并接受买方有关人员的技术咨询。培训工作日不少于5个工作日。</w:t>
      </w:r>
    </w:p>
    <w:p>
      <w:pPr>
        <w:adjustRightInd w:val="0"/>
        <w:snapToGrid w:val="0"/>
        <w:spacing w:line="420" w:lineRule="exact"/>
        <w:ind w:firstLine="420" w:firstLineChars="200"/>
        <w:rPr>
          <w:rFonts w:ascii="宋体" w:hAnsi="宋体"/>
          <w:color w:val="000000"/>
        </w:rPr>
      </w:pPr>
      <w:r>
        <w:rPr>
          <w:rFonts w:ascii="宋体" w:hAnsi="宋体"/>
          <w:color w:val="000000"/>
        </w:rPr>
        <w:t>2</w:t>
      </w:r>
      <w:r>
        <w:rPr>
          <w:rFonts w:hint="eastAsia" w:ascii="宋体" w:hAnsi="宋体"/>
          <w:color w:val="000000"/>
        </w:rPr>
        <w:t>、应免费提供一定数量的培训资料。</w:t>
      </w:r>
    </w:p>
    <w:p>
      <w:pPr>
        <w:adjustRightInd w:val="0"/>
        <w:snapToGrid w:val="0"/>
        <w:spacing w:line="420" w:lineRule="exact"/>
        <w:ind w:firstLine="420" w:firstLineChars="200"/>
        <w:rPr>
          <w:rFonts w:ascii="宋体" w:hAnsi="宋体"/>
          <w:color w:val="000000"/>
        </w:rPr>
      </w:pPr>
      <w:r>
        <w:rPr>
          <w:rFonts w:ascii="宋体" w:hAnsi="宋体"/>
          <w:color w:val="000000"/>
        </w:rPr>
        <w:t>3</w:t>
      </w:r>
      <w:r>
        <w:rPr>
          <w:rFonts w:hint="eastAsia" w:ascii="宋体" w:hAnsi="宋体"/>
          <w:color w:val="000000"/>
        </w:rPr>
        <w:t>、应按要求免费积极协助和提供买方以及买方所委托的工程设计单位有关人员所需要的、与货物有关的工程设计资料、技术咨询等。</w:t>
      </w:r>
    </w:p>
    <w:p>
      <w:pPr>
        <w:adjustRightInd w:val="0"/>
        <w:snapToGrid w:val="0"/>
        <w:spacing w:line="420" w:lineRule="exact"/>
        <w:ind w:firstLine="420" w:firstLineChars="200"/>
        <w:rPr>
          <w:rFonts w:ascii="宋体" w:hAnsi="宋体"/>
          <w:color w:val="000000"/>
        </w:rPr>
      </w:pPr>
      <w:r>
        <w:rPr>
          <w:rFonts w:ascii="宋体" w:hAnsi="宋体"/>
          <w:color w:val="000000"/>
        </w:rPr>
        <w:t>4</w:t>
      </w:r>
      <w:r>
        <w:rPr>
          <w:rFonts w:hint="eastAsia" w:ascii="宋体" w:hAnsi="宋体"/>
          <w:color w:val="000000"/>
        </w:rPr>
        <w:t>、若卖方提供货物涉及到外购外协货物、而且该货物的技术质量等较为关键时，卖方应能保证得到配套厂家的技术支持，并免费为买方提供技术服务。</w:t>
      </w:r>
    </w:p>
    <w:p>
      <w:pPr>
        <w:adjustRightInd w:val="0"/>
        <w:snapToGrid w:val="0"/>
        <w:spacing w:line="420" w:lineRule="exact"/>
        <w:ind w:firstLine="420" w:firstLineChars="200"/>
        <w:rPr>
          <w:rFonts w:ascii="宋体" w:hAnsi="宋体"/>
          <w:color w:val="000000"/>
        </w:rPr>
      </w:pPr>
      <w:r>
        <w:rPr>
          <w:rFonts w:ascii="宋体" w:hAnsi="宋体"/>
          <w:color w:val="000000"/>
        </w:rPr>
        <w:t>5</w:t>
      </w:r>
      <w:r>
        <w:rPr>
          <w:rFonts w:hint="eastAsia" w:ascii="宋体" w:hAnsi="宋体"/>
          <w:color w:val="000000"/>
        </w:rPr>
        <w:t>、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adjustRightInd w:val="0"/>
        <w:snapToGrid w:val="0"/>
        <w:spacing w:line="420" w:lineRule="exact"/>
        <w:ind w:firstLine="420" w:firstLineChars="200"/>
        <w:rPr>
          <w:rFonts w:ascii="黑体" w:hAnsi="宋体" w:eastAsia="黑体"/>
          <w:color w:val="000000"/>
        </w:rPr>
      </w:pPr>
      <w:r>
        <w:rPr>
          <w:rFonts w:hint="eastAsia" w:ascii="黑体" w:hAnsi="宋体" w:eastAsia="黑体"/>
          <w:color w:val="000000"/>
        </w:rPr>
        <w:t>三、安装调试及验收服务</w:t>
      </w:r>
    </w:p>
    <w:p>
      <w:pPr>
        <w:adjustRightInd w:val="0"/>
        <w:snapToGrid w:val="0"/>
        <w:spacing w:line="420" w:lineRule="exact"/>
        <w:ind w:firstLine="420" w:firstLineChars="200"/>
        <w:rPr>
          <w:rFonts w:ascii="宋体" w:hAnsi="宋体"/>
          <w:color w:val="000000"/>
        </w:rPr>
      </w:pPr>
      <w:r>
        <w:rPr>
          <w:rFonts w:hint="eastAsia" w:ascii="宋体" w:hAnsi="宋体"/>
          <w:color w:val="000000"/>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420" w:lineRule="exact"/>
        <w:ind w:firstLine="420" w:firstLineChars="200"/>
        <w:rPr>
          <w:rFonts w:ascii="宋体" w:hAnsi="宋体"/>
          <w:color w:val="000000"/>
        </w:rPr>
      </w:pPr>
      <w:r>
        <w:rPr>
          <w:rFonts w:hint="eastAsia" w:ascii="宋体" w:hAnsi="宋体"/>
          <w:color w:val="000000"/>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420" w:lineRule="exact"/>
        <w:ind w:firstLine="420" w:firstLineChars="200"/>
        <w:rPr>
          <w:rFonts w:ascii="宋体" w:hAnsi="宋体"/>
          <w:color w:val="000000"/>
        </w:rPr>
      </w:pPr>
      <w:r>
        <w:rPr>
          <w:rFonts w:hint="eastAsia" w:ascii="宋体" w:hAnsi="宋体"/>
          <w:color w:val="000000"/>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420" w:lineRule="exact"/>
        <w:ind w:firstLine="420" w:firstLineChars="200"/>
        <w:rPr>
          <w:rFonts w:ascii="宋体" w:hAnsi="宋体"/>
          <w:color w:val="000000"/>
        </w:rPr>
      </w:pPr>
      <w:r>
        <w:rPr>
          <w:rFonts w:hint="eastAsia" w:ascii="宋体" w:hAnsi="宋体"/>
          <w:color w:val="000000"/>
        </w:rPr>
        <w:t>4、在卖方所提供货物需要得到买方建设项目所在地政府或行业主管部门的查验、试验、验收时，卖方应当免费完成或协助招标方完成所需要的工作、材料和服务等。协助完成的，应当在投标文件报价内容中予以说明，否则视同免费。</w:t>
      </w:r>
    </w:p>
    <w:p>
      <w:pPr>
        <w:adjustRightInd w:val="0"/>
        <w:snapToGrid w:val="0"/>
        <w:spacing w:line="420" w:lineRule="exact"/>
        <w:ind w:firstLine="420" w:firstLineChars="200"/>
        <w:rPr>
          <w:rFonts w:ascii="宋体" w:hAnsi="宋体"/>
          <w:color w:val="000000"/>
        </w:rPr>
      </w:pPr>
      <w:r>
        <w:rPr>
          <w:rFonts w:hint="eastAsia" w:ascii="宋体" w:hAnsi="宋体"/>
          <w:color w:val="000000"/>
        </w:rPr>
        <w:t>5、卖方应当向买方提供货物试验、验收的有关标准、规范和方法，同时提供货物涉及并使用的软件合法性证明。</w:t>
      </w:r>
    </w:p>
    <w:p>
      <w:pPr>
        <w:adjustRightInd w:val="0"/>
        <w:snapToGrid w:val="0"/>
        <w:spacing w:line="420" w:lineRule="exact"/>
        <w:ind w:firstLine="420" w:firstLineChars="200"/>
        <w:rPr>
          <w:rFonts w:ascii="宋体" w:hAnsi="宋体"/>
          <w:color w:val="000000"/>
        </w:rPr>
      </w:pPr>
      <w:r>
        <w:rPr>
          <w:rFonts w:hint="eastAsia" w:ascii="宋体" w:hAnsi="宋体"/>
          <w:color w:val="000000"/>
        </w:rPr>
        <w:t>6、服务缺陷视同货物缺陷和履约延期。</w:t>
      </w:r>
    </w:p>
    <w:p>
      <w:pPr>
        <w:adjustRightInd w:val="0"/>
        <w:snapToGrid w:val="0"/>
        <w:spacing w:line="420" w:lineRule="exact"/>
        <w:ind w:firstLine="420" w:firstLineChars="200"/>
        <w:rPr>
          <w:rFonts w:ascii="黑体" w:hAnsi="宋体" w:eastAsia="黑体"/>
          <w:color w:val="000000"/>
        </w:rPr>
      </w:pPr>
      <w:r>
        <w:rPr>
          <w:rFonts w:hint="eastAsia" w:ascii="黑体" w:hAnsi="宋体" w:eastAsia="黑体"/>
          <w:color w:val="000000"/>
        </w:rPr>
        <w:t>四、售后服务</w:t>
      </w:r>
    </w:p>
    <w:p>
      <w:pPr>
        <w:adjustRightInd w:val="0"/>
        <w:snapToGrid w:val="0"/>
        <w:spacing w:line="420" w:lineRule="exact"/>
        <w:ind w:firstLine="420" w:firstLineChars="200"/>
        <w:rPr>
          <w:rFonts w:ascii="宋体" w:hAnsi="宋体"/>
          <w:color w:val="000000"/>
        </w:rPr>
      </w:pPr>
      <w:r>
        <w:rPr>
          <w:rFonts w:hint="eastAsia" w:ascii="宋体" w:hAnsi="宋体"/>
          <w:color w:val="000000"/>
        </w:rPr>
        <w:t>1、卖方提供的货物涉及的所有售后服务均由卖方负责。如果发生问题并且收到通知，卖方应当在2小时内予以答复。</w:t>
      </w:r>
    </w:p>
    <w:p>
      <w:pPr>
        <w:adjustRightInd w:val="0"/>
        <w:snapToGrid w:val="0"/>
        <w:spacing w:line="420" w:lineRule="exact"/>
        <w:ind w:firstLine="420" w:firstLineChars="200"/>
        <w:rPr>
          <w:rFonts w:ascii="宋体" w:hAnsi="宋体"/>
          <w:color w:val="000000"/>
        </w:rPr>
      </w:pPr>
      <w:r>
        <w:rPr>
          <w:rFonts w:hint="eastAsia" w:ascii="宋体" w:hAnsi="宋体"/>
          <w:color w:val="000000"/>
        </w:rPr>
        <w:t>2、如发现所提供的货物存在问题，需要卖方解决或配合解决时：在质保期之内，应在接到通知后</w:t>
      </w:r>
      <w:r>
        <w:rPr>
          <w:rFonts w:hint="eastAsia" w:ascii="宋体" w:hAnsi="宋体"/>
          <w:color w:val="000000"/>
          <w:u w:val="single"/>
          <w:shd w:val="pct10" w:color="auto" w:fill="FFFFFF"/>
        </w:rPr>
        <w:t xml:space="preserve">  72   </w:t>
      </w:r>
      <w:r>
        <w:rPr>
          <w:rFonts w:hint="eastAsia" w:ascii="宋体" w:hAnsi="宋体"/>
          <w:color w:val="000000"/>
        </w:rPr>
        <w:t>小时内派有关人员到达现场；在质保期之外，应在接到通知后</w:t>
      </w:r>
      <w:r>
        <w:rPr>
          <w:rFonts w:hint="eastAsia" w:ascii="宋体" w:hAnsi="宋体"/>
          <w:color w:val="000000"/>
          <w:u w:val="single"/>
          <w:shd w:val="pct10" w:color="auto" w:fill="FFFFFF"/>
        </w:rPr>
        <w:t xml:space="preserve">  168  </w:t>
      </w:r>
      <w:r>
        <w:rPr>
          <w:rFonts w:hint="eastAsia" w:ascii="宋体" w:hAnsi="宋体"/>
          <w:color w:val="000000"/>
        </w:rPr>
        <w:t>小时内派有关人员到达现场。</w:t>
      </w:r>
    </w:p>
    <w:p>
      <w:pPr>
        <w:adjustRightInd w:val="0"/>
        <w:snapToGrid w:val="0"/>
        <w:spacing w:line="420" w:lineRule="exact"/>
        <w:ind w:firstLine="420" w:firstLineChars="200"/>
        <w:rPr>
          <w:rFonts w:ascii="宋体" w:hAnsi="宋体"/>
          <w:color w:val="000000"/>
        </w:rPr>
      </w:pPr>
      <w:r>
        <w:rPr>
          <w:rFonts w:hint="eastAsia" w:ascii="宋体" w:hAnsi="宋体"/>
          <w:color w:val="000000"/>
        </w:rPr>
        <w:t>3、卖方派往买方使用现场的人员，应具有较高的业务素质；现场解决问题时，不得无故拖延或推迟，应为买方提供最佳的服务。</w:t>
      </w:r>
    </w:p>
    <w:p>
      <w:pPr>
        <w:adjustRightInd w:val="0"/>
        <w:snapToGrid w:val="0"/>
        <w:spacing w:line="420" w:lineRule="exact"/>
        <w:ind w:firstLine="420" w:firstLineChars="200"/>
        <w:rPr>
          <w:rFonts w:ascii="黑体" w:hAnsi="宋体" w:eastAsia="黑体"/>
          <w:color w:val="000000"/>
        </w:rPr>
      </w:pPr>
      <w:r>
        <w:rPr>
          <w:rFonts w:hint="eastAsia" w:ascii="黑体" w:hAnsi="宋体" w:eastAsia="黑体"/>
          <w:color w:val="000000"/>
        </w:rPr>
        <w:t>五、其它服务</w:t>
      </w:r>
    </w:p>
    <w:p>
      <w:pPr>
        <w:adjustRightInd w:val="0"/>
        <w:snapToGrid w:val="0"/>
        <w:spacing w:line="420" w:lineRule="exact"/>
        <w:ind w:firstLine="420" w:firstLineChars="200"/>
        <w:rPr>
          <w:rFonts w:ascii="宋体" w:hAnsi="宋体"/>
          <w:color w:val="000000"/>
        </w:rPr>
      </w:pPr>
      <w:r>
        <w:rPr>
          <w:rFonts w:hint="eastAsia" w:ascii="宋体" w:hAnsi="宋体"/>
          <w:color w:val="000000"/>
        </w:rPr>
        <w:t>1、若卖方所提供货物有需要进口的，卖方一般应自行、自费办理；必要时，买卖双方共同办理。</w:t>
      </w:r>
    </w:p>
    <w:p>
      <w:pPr>
        <w:adjustRightInd w:val="0"/>
        <w:snapToGrid w:val="0"/>
        <w:spacing w:line="420" w:lineRule="exact"/>
        <w:ind w:firstLine="420" w:firstLineChars="200"/>
        <w:rPr>
          <w:rFonts w:ascii="宋体" w:hAnsi="宋体"/>
          <w:color w:val="000000"/>
        </w:rPr>
      </w:pPr>
      <w:r>
        <w:rPr>
          <w:rFonts w:hint="eastAsia" w:ascii="宋体" w:hAnsi="宋体"/>
          <w:color w:val="000000"/>
        </w:rPr>
        <w:t>2、除招标文件、投标文件、答疑文件、技术协议、合同等约定之外，卖方应免费负责必要的或强制性的货物的检验、试验、化验等直接费用。</w:t>
      </w:r>
    </w:p>
    <w:p>
      <w:pPr>
        <w:spacing w:line="420" w:lineRule="exact"/>
        <w:ind w:firstLine="420" w:firstLineChars="200"/>
        <w:rPr>
          <w:color w:val="000000"/>
        </w:rPr>
      </w:pPr>
      <w:r>
        <w:rPr>
          <w:rFonts w:hint="eastAsia" w:ascii="宋体" w:hAnsi="宋体"/>
          <w:color w:val="000000"/>
        </w:rPr>
        <w:t>3、本章节条款所列“免费”，并非指定不可收费，而是指招标文件、投标文件、</w:t>
      </w:r>
      <w:r>
        <w:rPr>
          <w:rFonts w:hint="eastAsia"/>
          <w:color w:val="000000"/>
        </w:rPr>
        <w:t>答疑文件、技术交流文件、技术协议书和合同等范围之外，投标方不可另行收取的费用。</w:t>
      </w:r>
    </w:p>
    <w:p>
      <w:pPr>
        <w:pStyle w:val="30"/>
      </w:pPr>
      <w:r>
        <w:rPr>
          <w:rFonts w:ascii="宋体" w:hAnsi="宋体" w:eastAsia="宋体"/>
        </w:rPr>
        <w:br w:type="page"/>
      </w:r>
      <w:bookmarkStart w:id="40" w:name="_Toc465187646"/>
      <w:r>
        <w:rPr>
          <w:rFonts w:hint="eastAsia"/>
        </w:rPr>
        <w:t>第五章  预验收和终验收</w:t>
      </w:r>
      <w:bookmarkEnd w:id="40"/>
    </w:p>
    <w:p>
      <w:pPr>
        <w:spacing w:line="420" w:lineRule="exact"/>
        <w:ind w:firstLine="420" w:firstLineChars="200"/>
        <w:rPr>
          <w:rFonts w:ascii="黑体" w:hAnsi="宋体" w:eastAsia="黑体"/>
          <w:color w:val="000000"/>
        </w:rPr>
      </w:pPr>
      <w:r>
        <w:rPr>
          <w:rFonts w:hint="eastAsia" w:ascii="黑体" w:hAnsi="宋体" w:eastAsia="黑体"/>
          <w:color w:val="000000"/>
        </w:rPr>
        <w:t>一、验收依据和验收标准</w:t>
      </w:r>
    </w:p>
    <w:p>
      <w:pPr>
        <w:spacing w:line="420" w:lineRule="exact"/>
        <w:ind w:firstLine="420" w:firstLineChars="200"/>
        <w:rPr>
          <w:rFonts w:ascii="宋体" w:hAnsi="宋体"/>
          <w:color w:val="000000"/>
        </w:rPr>
      </w:pPr>
      <w:r>
        <w:rPr>
          <w:rFonts w:hint="eastAsia" w:ascii="宋体" w:hAnsi="宋体"/>
          <w:color w:val="000000"/>
        </w:rPr>
        <w:t>1、验收标准一般以技术协议书和合同规定验收。无论技术协议书和合同，是否全部并准确列明验收所涉及的相关标准，均作为验收标准之一。</w:t>
      </w:r>
    </w:p>
    <w:p>
      <w:pPr>
        <w:adjustRightInd w:val="0"/>
        <w:snapToGrid w:val="0"/>
        <w:spacing w:line="420" w:lineRule="exact"/>
        <w:ind w:firstLine="420" w:firstLineChars="200"/>
        <w:rPr>
          <w:rFonts w:ascii="宋体" w:hAnsi="宋体"/>
          <w:color w:val="000000"/>
        </w:rPr>
      </w:pPr>
      <w:r>
        <w:rPr>
          <w:rFonts w:hint="eastAsia" w:ascii="宋体" w:hAnsi="宋体"/>
          <w:color w:val="000000"/>
        </w:rPr>
        <w:t>2、如果验收过程中，发现招标文件、投标文件、答疑文件、技术交流文件等与技术协议书、合同存在差异，原则上以涉及条款中对买方最有利条款为验收依据。</w:t>
      </w:r>
    </w:p>
    <w:p>
      <w:pPr>
        <w:adjustRightInd w:val="0"/>
        <w:snapToGrid w:val="0"/>
        <w:spacing w:line="420" w:lineRule="exact"/>
        <w:ind w:firstLine="420" w:firstLineChars="200"/>
        <w:rPr>
          <w:rFonts w:ascii="黑体" w:hAnsi="宋体" w:eastAsia="黑体"/>
          <w:color w:val="000000"/>
        </w:rPr>
      </w:pPr>
      <w:r>
        <w:rPr>
          <w:rFonts w:hint="eastAsia" w:ascii="黑体" w:hAnsi="宋体" w:eastAsia="黑体"/>
          <w:color w:val="000000"/>
        </w:rPr>
        <w:t>二、检验</w:t>
      </w:r>
    </w:p>
    <w:p>
      <w:pPr>
        <w:adjustRightInd w:val="0"/>
        <w:snapToGrid w:val="0"/>
        <w:spacing w:line="420" w:lineRule="exact"/>
        <w:ind w:firstLine="420" w:firstLineChars="200"/>
        <w:rPr>
          <w:rFonts w:ascii="宋体" w:hAnsi="宋体"/>
          <w:color w:val="000000"/>
        </w:rPr>
      </w:pPr>
      <w:r>
        <w:rPr>
          <w:rFonts w:hint="eastAsia" w:ascii="宋体" w:hAnsi="宋体"/>
          <w:color w:val="000000"/>
        </w:rPr>
        <w:t>如果采购货物涉及必要的或必需的检验，投标方应当在投标文件中明确可能涉及的检验费用，并将该费用包含在投标总报价之内；不作针对性澄清或说明的，视同包含在投标总价之内。基本约定如下：</w:t>
      </w:r>
    </w:p>
    <w:p>
      <w:pPr>
        <w:adjustRightInd w:val="0"/>
        <w:snapToGrid w:val="0"/>
        <w:spacing w:line="420" w:lineRule="exact"/>
        <w:ind w:firstLine="420" w:firstLineChars="200"/>
        <w:rPr>
          <w:rFonts w:ascii="宋体" w:hAnsi="宋体"/>
          <w:color w:val="000000"/>
        </w:rPr>
      </w:pPr>
      <w:r>
        <w:rPr>
          <w:rFonts w:hint="eastAsia" w:ascii="宋体" w:hAnsi="宋体"/>
          <w:color w:val="000000"/>
        </w:rPr>
        <w:t>1、国产货物的检验一般由买卖双方共同进行或按照合同要求进行。</w:t>
      </w:r>
    </w:p>
    <w:p>
      <w:pPr>
        <w:adjustRightInd w:val="0"/>
        <w:snapToGrid w:val="0"/>
        <w:spacing w:line="420" w:lineRule="exact"/>
        <w:ind w:firstLine="420" w:firstLineChars="200"/>
        <w:rPr>
          <w:rFonts w:ascii="宋体" w:hAnsi="宋体"/>
          <w:color w:val="000000"/>
        </w:rPr>
      </w:pPr>
      <w:r>
        <w:rPr>
          <w:rFonts w:hint="eastAsia" w:ascii="宋体" w:hAnsi="宋体"/>
          <w:color w:val="000000"/>
        </w:rPr>
        <w:t>2、进口货物的检验，卖方需要按照下述要求进行：</w:t>
      </w:r>
    </w:p>
    <w:p>
      <w:pPr>
        <w:adjustRightInd w:val="0"/>
        <w:snapToGrid w:val="0"/>
        <w:spacing w:line="420" w:lineRule="exact"/>
        <w:ind w:firstLine="420" w:firstLineChars="200"/>
        <w:rPr>
          <w:rFonts w:ascii="宋体" w:hAnsi="宋体"/>
          <w:color w:val="000000"/>
        </w:rPr>
      </w:pPr>
      <w:r>
        <w:rPr>
          <w:rFonts w:hint="eastAsia" w:ascii="宋体" w:hAnsi="宋体"/>
          <w:color w:val="000000"/>
        </w:rPr>
        <w:t>2.1  进口货物发货前，应对货物的质量、型号、规格、性能和数量/重量作精密、全面的检验，并出具证明书，证明所供货物符合合同规定。</w:t>
      </w:r>
    </w:p>
    <w:p>
      <w:pPr>
        <w:adjustRightInd w:val="0"/>
        <w:snapToGrid w:val="0"/>
        <w:spacing w:line="420" w:lineRule="exact"/>
        <w:ind w:firstLine="420" w:firstLineChars="200"/>
        <w:rPr>
          <w:rFonts w:ascii="宋体" w:hAnsi="宋体"/>
          <w:color w:val="000000"/>
        </w:rPr>
      </w:pPr>
      <w:r>
        <w:rPr>
          <w:rFonts w:hint="eastAsia" w:ascii="宋体" w:hAnsi="宋体"/>
          <w:color w:val="000000"/>
        </w:rPr>
        <w:t>2.2  应依据合同规定的要求，提供买卖双方达成一致的货物的验收标准和装箱单，作为买方检验的依据。</w:t>
      </w:r>
    </w:p>
    <w:p>
      <w:pPr>
        <w:adjustRightInd w:val="0"/>
        <w:snapToGrid w:val="0"/>
        <w:spacing w:line="420" w:lineRule="exact"/>
        <w:ind w:firstLine="420" w:firstLineChars="200"/>
        <w:rPr>
          <w:rFonts w:ascii="宋体" w:hAnsi="宋体"/>
          <w:color w:val="000000"/>
        </w:rPr>
      </w:pPr>
      <w:r>
        <w:rPr>
          <w:rFonts w:hint="eastAsia" w:ascii="宋体" w:hAnsi="宋体"/>
          <w:color w:val="000000"/>
        </w:rPr>
        <w:t>2.3  进口货物到达目的地后，买方有权申请中国商品检验检疫局进行检验，如发现货物的品质及规格与合同或发票不符，除买方的责任外，买方有权在货物到达卸货目的地后18</w:t>
      </w:r>
      <w:r>
        <w:rPr>
          <w:rFonts w:ascii="宋体" w:hAnsi="宋体"/>
          <w:color w:val="000000"/>
        </w:rPr>
        <w:t>0</w:t>
      </w:r>
      <w:r>
        <w:rPr>
          <w:rFonts w:hint="eastAsia" w:ascii="宋体" w:hAnsi="宋体"/>
          <w:color w:val="000000"/>
        </w:rPr>
        <w:t>个日历日内，根据中国商品检验检疫局出具的证明书向卖方提出索赔，因索赔所发生的一切费用</w:t>
      </w:r>
      <w:r>
        <w:rPr>
          <w:rFonts w:ascii="宋体" w:hAnsi="宋体"/>
          <w:color w:val="000000"/>
        </w:rPr>
        <w:t>(</w:t>
      </w:r>
      <w:r>
        <w:rPr>
          <w:rFonts w:hint="eastAsia" w:ascii="宋体" w:hAnsi="宋体"/>
          <w:color w:val="000000"/>
        </w:rPr>
        <w:t>包括检验检疫费等</w:t>
      </w:r>
      <w:r>
        <w:rPr>
          <w:rFonts w:ascii="宋体" w:hAnsi="宋体"/>
          <w:color w:val="000000"/>
        </w:rPr>
        <w:t>)</w:t>
      </w:r>
      <w:r>
        <w:rPr>
          <w:rFonts w:hint="eastAsia" w:ascii="宋体" w:hAnsi="宋体"/>
          <w:color w:val="000000"/>
        </w:rPr>
        <w:t>均由卖方承担。</w:t>
      </w:r>
    </w:p>
    <w:p>
      <w:pPr>
        <w:adjustRightInd w:val="0"/>
        <w:snapToGrid w:val="0"/>
        <w:spacing w:line="420" w:lineRule="exact"/>
        <w:ind w:firstLine="420" w:firstLineChars="200"/>
        <w:rPr>
          <w:rFonts w:ascii="黑体" w:hAnsi="宋体" w:eastAsia="黑体"/>
          <w:color w:val="000000"/>
        </w:rPr>
      </w:pPr>
      <w:r>
        <w:rPr>
          <w:rFonts w:hint="eastAsia" w:ascii="黑体" w:hAnsi="宋体" w:eastAsia="黑体"/>
          <w:color w:val="000000"/>
        </w:rPr>
        <w:t>三、验收基本条件</w:t>
      </w:r>
    </w:p>
    <w:p>
      <w:pPr>
        <w:adjustRightInd w:val="0"/>
        <w:snapToGrid w:val="0"/>
        <w:spacing w:line="420" w:lineRule="exact"/>
        <w:ind w:firstLine="420" w:firstLineChars="200"/>
        <w:rPr>
          <w:rFonts w:ascii="宋体" w:hAnsi="宋体"/>
          <w:color w:val="000000"/>
        </w:rPr>
      </w:pPr>
      <w:r>
        <w:rPr>
          <w:rFonts w:hint="eastAsia"/>
          <w:color w:val="000000"/>
        </w:rPr>
        <w:t>验收一般分预验收和终验收两部分。预验收一般在卖方现场进行，终验收在安装调试完成及试运行后的买方现场进行。但是所有的项目，包括不能预验收的项目和预验收通过的项目都在终验收</w:t>
      </w:r>
      <w:r>
        <w:rPr>
          <w:rFonts w:hint="eastAsia" w:ascii="宋体" w:hAnsi="宋体"/>
          <w:color w:val="000000"/>
        </w:rPr>
        <w:t>时重新检验，最终只以终验收为准。</w:t>
      </w:r>
    </w:p>
    <w:p>
      <w:pPr>
        <w:adjustRightInd w:val="0"/>
        <w:snapToGrid w:val="0"/>
        <w:spacing w:line="420" w:lineRule="exact"/>
        <w:ind w:firstLine="420" w:firstLineChars="200"/>
        <w:rPr>
          <w:rFonts w:ascii="宋体" w:hAnsi="宋体"/>
          <w:color w:val="000000"/>
        </w:rPr>
      </w:pPr>
      <w:r>
        <w:rPr>
          <w:rFonts w:hint="eastAsia" w:ascii="宋体" w:hAnsi="宋体"/>
          <w:color w:val="000000"/>
        </w:rPr>
        <w:t>买卖双方按照合同约定执行了合同，同时货物完成了试运行并经检验合格，则具备验收条件。</w:t>
      </w:r>
    </w:p>
    <w:p>
      <w:pPr>
        <w:adjustRightInd w:val="0"/>
        <w:snapToGrid w:val="0"/>
        <w:spacing w:line="420" w:lineRule="exact"/>
        <w:ind w:firstLine="420" w:firstLineChars="200"/>
        <w:rPr>
          <w:rFonts w:ascii="宋体" w:hAnsi="宋体"/>
          <w:color w:val="000000"/>
        </w:rPr>
      </w:pPr>
      <w:r>
        <w:rPr>
          <w:rFonts w:hint="eastAsia" w:ascii="宋体" w:hAnsi="宋体"/>
          <w:color w:val="000000"/>
        </w:rPr>
        <w:t>1、预验收一般条件</w:t>
      </w:r>
    </w:p>
    <w:p>
      <w:pPr>
        <w:adjustRightInd w:val="0"/>
        <w:snapToGrid w:val="0"/>
        <w:spacing w:line="420" w:lineRule="exact"/>
        <w:ind w:firstLine="420" w:firstLineChars="200"/>
        <w:rPr>
          <w:rFonts w:ascii="宋体" w:hAnsi="宋体"/>
          <w:color w:val="000000"/>
        </w:rPr>
      </w:pPr>
      <w:r>
        <w:rPr>
          <w:rFonts w:hint="eastAsia" w:ascii="宋体" w:hAnsi="宋体"/>
          <w:color w:val="000000"/>
        </w:rPr>
        <w:t>1.1  卖方已经按照“供货范围”要求提供了预验收资料，并且资料齐全、完整和有效。</w:t>
      </w:r>
    </w:p>
    <w:p>
      <w:pPr>
        <w:adjustRightInd w:val="0"/>
        <w:snapToGrid w:val="0"/>
        <w:spacing w:line="420" w:lineRule="exact"/>
        <w:ind w:firstLine="420" w:firstLineChars="200"/>
        <w:rPr>
          <w:rFonts w:ascii="宋体" w:hAnsi="宋体"/>
          <w:color w:val="000000"/>
        </w:rPr>
      </w:pPr>
      <w:r>
        <w:rPr>
          <w:rFonts w:hint="eastAsia" w:ascii="宋体" w:hAnsi="宋体"/>
          <w:color w:val="000000"/>
        </w:rPr>
        <w:t>1.2  货物应完整且所有的零部件应该安装牢固，外观无损伤，所有的焊缝饱满、无残渣等缺陷。</w:t>
      </w:r>
    </w:p>
    <w:p>
      <w:pPr>
        <w:adjustRightInd w:val="0"/>
        <w:snapToGrid w:val="0"/>
        <w:spacing w:line="420" w:lineRule="exact"/>
        <w:ind w:firstLine="420" w:firstLineChars="200"/>
        <w:rPr>
          <w:rFonts w:ascii="宋体" w:hAnsi="宋体"/>
          <w:color w:val="000000"/>
        </w:rPr>
      </w:pPr>
      <w:r>
        <w:rPr>
          <w:rFonts w:hint="eastAsia" w:ascii="宋体" w:hAnsi="宋体"/>
          <w:color w:val="000000"/>
        </w:rPr>
        <w:t>1.2  货物的油漆质量应饱满、有光泽，无掉漆、无色差、无“桔皮”等不良现象（特殊标志除外）。</w:t>
      </w:r>
    </w:p>
    <w:p>
      <w:pPr>
        <w:adjustRightInd w:val="0"/>
        <w:snapToGrid w:val="0"/>
        <w:spacing w:line="420" w:lineRule="exact"/>
        <w:ind w:firstLine="420" w:firstLineChars="200"/>
        <w:rPr>
          <w:rFonts w:ascii="宋体" w:hAnsi="宋体"/>
          <w:color w:val="000000"/>
        </w:rPr>
      </w:pPr>
      <w:r>
        <w:rPr>
          <w:rFonts w:hint="eastAsia" w:ascii="宋体" w:hAnsi="宋体"/>
          <w:color w:val="000000"/>
        </w:rPr>
        <w:t>1.3  货物标牌完整、清晰、明确。</w:t>
      </w:r>
    </w:p>
    <w:p>
      <w:pPr>
        <w:adjustRightInd w:val="0"/>
        <w:snapToGrid w:val="0"/>
        <w:spacing w:line="420" w:lineRule="exact"/>
        <w:ind w:firstLine="420" w:firstLineChars="200"/>
        <w:rPr>
          <w:rFonts w:ascii="宋体" w:hAnsi="宋体"/>
          <w:color w:val="000000"/>
        </w:rPr>
      </w:pPr>
      <w:r>
        <w:rPr>
          <w:rFonts w:hint="eastAsia" w:ascii="宋体" w:hAnsi="宋体"/>
          <w:color w:val="000000"/>
        </w:rPr>
        <w:t>1.4  货物的安全要求符合中国最新的相关法律、法规、标准和规范以及合同要求。</w:t>
      </w:r>
    </w:p>
    <w:p>
      <w:pPr>
        <w:adjustRightInd w:val="0"/>
        <w:snapToGrid w:val="0"/>
        <w:spacing w:line="420" w:lineRule="exact"/>
        <w:ind w:firstLine="420" w:firstLineChars="200"/>
        <w:rPr>
          <w:rFonts w:ascii="宋体" w:hAnsi="宋体"/>
          <w:color w:val="000000"/>
        </w:rPr>
      </w:pPr>
      <w:r>
        <w:rPr>
          <w:rFonts w:hint="eastAsia" w:ascii="宋体" w:hAnsi="宋体"/>
          <w:color w:val="000000"/>
        </w:rPr>
        <w:t>2、终验收一般条件</w:t>
      </w:r>
    </w:p>
    <w:p>
      <w:pPr>
        <w:adjustRightInd w:val="0"/>
        <w:snapToGrid w:val="0"/>
        <w:spacing w:line="420" w:lineRule="exact"/>
        <w:ind w:firstLine="420" w:firstLineChars="200"/>
        <w:rPr>
          <w:rFonts w:ascii="宋体" w:hAnsi="宋体"/>
          <w:color w:val="000000"/>
        </w:rPr>
      </w:pPr>
      <w:r>
        <w:rPr>
          <w:rFonts w:hint="eastAsia" w:ascii="宋体" w:hAnsi="宋体"/>
          <w:color w:val="000000"/>
        </w:rPr>
        <w:t>2.1  经过预验收而且没有出现新的质量问题，或者满足预验收条款。</w:t>
      </w:r>
    </w:p>
    <w:p>
      <w:pPr>
        <w:adjustRightInd w:val="0"/>
        <w:snapToGrid w:val="0"/>
        <w:spacing w:line="420" w:lineRule="exact"/>
        <w:ind w:firstLine="420" w:firstLineChars="200"/>
        <w:rPr>
          <w:rFonts w:ascii="宋体" w:hAnsi="宋体"/>
          <w:color w:val="000000"/>
        </w:rPr>
      </w:pPr>
      <w:r>
        <w:rPr>
          <w:rFonts w:hint="eastAsia" w:ascii="宋体" w:hAnsi="宋体"/>
          <w:color w:val="000000"/>
        </w:rPr>
        <w:t>2.2  货物安装调试完毕，并至少经过了验收要求的负荷试运行。</w:t>
      </w:r>
    </w:p>
    <w:p>
      <w:pPr>
        <w:adjustRightInd w:val="0"/>
        <w:snapToGrid w:val="0"/>
        <w:spacing w:line="420" w:lineRule="exact"/>
        <w:ind w:firstLine="420" w:firstLineChars="200"/>
        <w:rPr>
          <w:rFonts w:ascii="宋体" w:hAnsi="宋体"/>
          <w:color w:val="000000"/>
        </w:rPr>
      </w:pPr>
      <w:r>
        <w:rPr>
          <w:rFonts w:hint="eastAsia" w:ascii="宋体" w:hAnsi="宋体"/>
          <w:color w:val="000000"/>
        </w:rPr>
        <w:t>2.3  货物正常运行时，噪声等环境影响因素满足国家和当地环保主管部门规定，安全措施落实、有效。</w:t>
      </w:r>
    </w:p>
    <w:p>
      <w:pPr>
        <w:adjustRightInd w:val="0"/>
        <w:snapToGrid w:val="0"/>
        <w:spacing w:line="420" w:lineRule="exact"/>
        <w:ind w:firstLine="420" w:firstLineChars="200"/>
        <w:rPr>
          <w:rFonts w:ascii="宋体" w:hAnsi="宋体"/>
          <w:color w:val="000000"/>
        </w:rPr>
      </w:pPr>
      <w:r>
        <w:rPr>
          <w:rFonts w:hint="eastAsia" w:ascii="宋体" w:hAnsi="宋体"/>
          <w:color w:val="000000"/>
        </w:rPr>
        <w:t>2.4  计量仪器、仪表配套合理，采用中国的法定计量单位，计量准确、灵敏可靠。保证设计指标和仪器说明书的参数的实现。</w:t>
      </w:r>
    </w:p>
    <w:p>
      <w:pPr>
        <w:adjustRightInd w:val="0"/>
        <w:snapToGrid w:val="0"/>
        <w:spacing w:line="420" w:lineRule="exact"/>
        <w:ind w:firstLine="420" w:firstLineChars="200"/>
        <w:rPr>
          <w:rFonts w:ascii="宋体" w:hAnsi="宋体"/>
          <w:color w:val="000000"/>
        </w:rPr>
      </w:pPr>
      <w:r>
        <w:rPr>
          <w:rFonts w:hint="eastAsia" w:ascii="宋体" w:hAnsi="宋体"/>
          <w:color w:val="000000"/>
        </w:rPr>
        <w:t>2.5  试运行期间或之后无维修、调整等行为（特殊情况除外）。</w:t>
      </w:r>
    </w:p>
    <w:p>
      <w:pPr>
        <w:adjustRightInd w:val="0"/>
        <w:snapToGrid w:val="0"/>
        <w:spacing w:line="420" w:lineRule="exact"/>
        <w:ind w:firstLine="420" w:firstLineChars="200"/>
        <w:rPr>
          <w:rFonts w:ascii="宋体" w:hAnsi="宋体"/>
          <w:color w:val="000000"/>
        </w:rPr>
      </w:pPr>
      <w:r>
        <w:rPr>
          <w:rFonts w:hint="eastAsia" w:ascii="宋体" w:hAnsi="宋体"/>
          <w:color w:val="000000"/>
        </w:rPr>
        <w:t>2.6  货物质量、技术性能等，达到签定的技术协议书和合同规定的终验收标准。</w:t>
      </w:r>
    </w:p>
    <w:p>
      <w:pPr>
        <w:spacing w:line="420" w:lineRule="exact"/>
        <w:ind w:firstLine="420" w:firstLineChars="200"/>
        <w:rPr>
          <w:rFonts w:ascii="宋体" w:hAnsi="宋体"/>
          <w:color w:val="000000"/>
        </w:rPr>
      </w:pPr>
      <w:r>
        <w:rPr>
          <w:rFonts w:hint="eastAsia" w:ascii="宋体" w:hAnsi="宋体"/>
          <w:color w:val="000000"/>
        </w:rPr>
        <w:t>3、终验收基本要求</w:t>
      </w:r>
    </w:p>
    <w:p>
      <w:pPr>
        <w:adjustRightInd w:val="0"/>
        <w:snapToGrid w:val="0"/>
        <w:spacing w:line="420" w:lineRule="exact"/>
        <w:ind w:firstLine="420" w:firstLineChars="200"/>
        <w:rPr>
          <w:rFonts w:ascii="宋体" w:hAnsi="宋体"/>
          <w:color w:val="000000"/>
        </w:rPr>
      </w:pPr>
      <w:r>
        <w:rPr>
          <w:rFonts w:hint="eastAsia" w:ascii="宋体" w:hAnsi="宋体"/>
          <w:color w:val="000000"/>
        </w:rPr>
        <w:t>3.1   应满足招标书中的技术要求；</w:t>
      </w:r>
    </w:p>
    <w:p>
      <w:pPr>
        <w:adjustRightInd w:val="0"/>
        <w:snapToGrid w:val="0"/>
        <w:spacing w:line="420" w:lineRule="exact"/>
        <w:ind w:firstLine="420" w:firstLineChars="200"/>
        <w:rPr>
          <w:rFonts w:ascii="宋体" w:hAnsi="宋体"/>
          <w:color w:val="000000"/>
        </w:rPr>
      </w:pPr>
      <w:r>
        <w:rPr>
          <w:rFonts w:hint="eastAsia" w:ascii="宋体" w:hAnsi="宋体"/>
          <w:color w:val="000000"/>
        </w:rPr>
        <w:t>3.2  累计负载运行实际性能（或生产率）达到合同规定；</w:t>
      </w:r>
    </w:p>
    <w:p>
      <w:pPr>
        <w:adjustRightInd w:val="0"/>
        <w:snapToGrid w:val="0"/>
        <w:spacing w:line="420" w:lineRule="exact"/>
        <w:ind w:firstLine="420" w:firstLineChars="200"/>
        <w:rPr>
          <w:rFonts w:ascii="宋体" w:hAnsi="宋体"/>
          <w:color w:val="000000"/>
        </w:rPr>
      </w:pPr>
      <w:r>
        <w:rPr>
          <w:rFonts w:hint="eastAsia" w:ascii="宋体" w:hAnsi="宋体"/>
          <w:color w:val="000000"/>
        </w:rPr>
        <w:t>3.3  终验收原则上要求一次完成。若一次验收不成功，最多允许两次；如果出现第三次验收失败，重新作价或退货；</w:t>
      </w:r>
    </w:p>
    <w:p>
      <w:pPr>
        <w:adjustRightInd w:val="0"/>
        <w:snapToGrid w:val="0"/>
        <w:spacing w:line="420" w:lineRule="exact"/>
        <w:ind w:firstLine="420" w:firstLineChars="200"/>
        <w:rPr>
          <w:rFonts w:ascii="宋体" w:hAnsi="宋体"/>
          <w:color w:val="000000"/>
        </w:rPr>
      </w:pPr>
      <w:r>
        <w:rPr>
          <w:rFonts w:hint="eastAsia" w:ascii="宋体" w:hAnsi="宋体"/>
          <w:color w:val="000000"/>
        </w:rPr>
        <w:t>3.4  终验收通过后买卖双方共同签署终验收报告，并移交、核对全部供货范围内物品。</w:t>
      </w:r>
    </w:p>
    <w:p>
      <w:pPr>
        <w:adjustRightInd w:val="0"/>
        <w:snapToGrid w:val="0"/>
        <w:spacing w:line="420" w:lineRule="exact"/>
        <w:ind w:firstLine="840" w:firstLineChars="400"/>
        <w:rPr>
          <w:rFonts w:ascii="宋体" w:hAnsi="宋体" w:eastAsia="宋体"/>
          <w:color w:val="000000"/>
        </w:rPr>
      </w:pPr>
    </w:p>
    <w:p>
      <w:pPr>
        <w:pStyle w:val="30"/>
        <w:rPr>
          <w:rFonts w:ascii="黑体" w:hAnsi="黑体"/>
          <w:sz w:val="24"/>
        </w:rPr>
      </w:pPr>
      <w:r>
        <w:rPr>
          <w:rFonts w:ascii="宋体" w:hAnsi="宋体" w:eastAsia="宋体"/>
        </w:rPr>
        <w:br w:type="page"/>
      </w:r>
      <w:r>
        <w:rPr>
          <w:rFonts w:hint="eastAsia"/>
        </w:rPr>
        <w:t xml:space="preserve">第六章 </w:t>
      </w:r>
      <w:r>
        <w:t xml:space="preserve"> </w:t>
      </w:r>
      <w:r>
        <w:rPr>
          <w:rFonts w:hint="eastAsia"/>
        </w:rPr>
        <w:t>投标</w:t>
      </w:r>
      <w:bookmarkStart w:id="41" w:name="_Toc465187647"/>
      <w:r>
        <w:rPr>
          <w:rFonts w:hint="eastAsia"/>
        </w:rPr>
        <w:t>技术文件一般要求</w:t>
      </w:r>
    </w:p>
    <w:p>
      <w:pPr>
        <w:pStyle w:val="26"/>
        <w:rPr>
          <w:rFonts w:ascii="黑体" w:hAnsi="黑体"/>
          <w:sz w:val="21"/>
          <w:szCs w:val="21"/>
        </w:rPr>
      </w:pPr>
      <w:r>
        <w:rPr>
          <w:rFonts w:hint="eastAsia" w:ascii="黑体" w:hAnsi="黑体"/>
          <w:sz w:val="21"/>
          <w:szCs w:val="21"/>
        </w:rPr>
        <w:t>一、技</w:t>
      </w:r>
      <w:bookmarkEnd w:id="41"/>
      <w:r>
        <w:rPr>
          <w:rFonts w:hint="eastAsia" w:ascii="黑体" w:hAnsi="黑体"/>
          <w:sz w:val="21"/>
          <w:szCs w:val="21"/>
        </w:rPr>
        <w:t>术文件一般内容要求</w:t>
      </w:r>
    </w:p>
    <w:p>
      <w:pPr>
        <w:adjustRightInd w:val="0"/>
        <w:snapToGrid w:val="0"/>
        <w:spacing w:line="420" w:lineRule="exact"/>
        <w:ind w:firstLine="420" w:firstLineChars="200"/>
        <w:rPr>
          <w:rFonts w:ascii="宋体" w:hAnsi="宋体" w:eastAsia="宋体"/>
          <w:color w:val="000000"/>
        </w:rPr>
      </w:pPr>
      <w:r>
        <w:rPr>
          <w:rFonts w:hint="eastAsia" w:ascii="宋体" w:hAnsi="宋体" w:eastAsia="宋体"/>
          <w:color w:val="000000"/>
        </w:rPr>
        <w:t>1、投标方应认真阅读招标文件和本技术标书，并按要求编写投标技术文件。</w:t>
      </w:r>
    </w:p>
    <w:p>
      <w:pPr>
        <w:adjustRightInd w:val="0"/>
        <w:snapToGrid w:val="0"/>
        <w:spacing w:line="420" w:lineRule="exact"/>
        <w:ind w:firstLine="420" w:firstLineChars="200"/>
        <w:rPr>
          <w:rFonts w:ascii="宋体" w:hAnsi="宋体" w:eastAsia="宋体"/>
          <w:color w:val="000000"/>
        </w:rPr>
      </w:pPr>
      <w:r>
        <w:rPr>
          <w:rFonts w:hint="eastAsia" w:ascii="宋体" w:hAnsi="宋体" w:eastAsia="宋体"/>
          <w:color w:val="000000"/>
        </w:rPr>
        <w:t>2、投标技术文件至少应对投标软件的功能用途、技术性能等作出详细说明。</w:t>
      </w:r>
    </w:p>
    <w:p>
      <w:pPr>
        <w:adjustRightInd w:val="0"/>
        <w:snapToGrid w:val="0"/>
        <w:spacing w:line="420" w:lineRule="exact"/>
        <w:ind w:firstLine="420" w:firstLineChars="200"/>
        <w:rPr>
          <w:rFonts w:ascii="宋体" w:hAnsi="宋体" w:eastAsia="宋体"/>
          <w:color w:val="000000"/>
        </w:rPr>
      </w:pPr>
      <w:r>
        <w:rPr>
          <w:rFonts w:hint="eastAsia" w:ascii="宋体" w:hAnsi="宋体" w:eastAsia="宋体"/>
          <w:color w:val="000000"/>
        </w:rPr>
        <w:t>3、投标技术文件至少应根据投标软件的功能用途、技术性能等作出满足或优于招标文件要求的详细说明。</w:t>
      </w:r>
    </w:p>
    <w:p>
      <w:pPr>
        <w:pStyle w:val="26"/>
        <w:rPr>
          <w:rFonts w:ascii="黑体" w:hAnsi="黑体"/>
          <w:sz w:val="21"/>
          <w:szCs w:val="21"/>
        </w:rPr>
      </w:pPr>
      <w:r>
        <w:rPr>
          <w:rFonts w:hint="eastAsia" w:ascii="黑体" w:hAnsi="黑体"/>
          <w:sz w:val="21"/>
          <w:szCs w:val="21"/>
        </w:rPr>
        <w:t>二、技术文件中货物报价格式要求</w:t>
      </w:r>
    </w:p>
    <w:p>
      <w:pPr>
        <w:spacing w:line="420" w:lineRule="exact"/>
        <w:ind w:firstLine="420" w:firstLineChars="200"/>
        <w:rPr>
          <w:rFonts w:ascii="宋体" w:hAnsi="宋体" w:eastAsia="宋体"/>
          <w:color w:val="000000"/>
        </w:rPr>
      </w:pPr>
      <w:r>
        <w:rPr>
          <w:rFonts w:hint="eastAsia" w:ascii="宋体" w:hAnsi="宋体" w:eastAsia="宋体"/>
          <w:color w:val="000000"/>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pPr>
        <w:spacing w:line="420" w:lineRule="exact"/>
        <w:ind w:firstLine="420" w:firstLineChars="200"/>
        <w:rPr>
          <w:rFonts w:ascii="宋体" w:hAnsi="宋体" w:eastAsia="宋体"/>
          <w:color w:val="000000"/>
        </w:rPr>
      </w:pPr>
      <w:r>
        <w:rPr>
          <w:rFonts w:hint="eastAsia" w:ascii="宋体" w:hAnsi="宋体" w:eastAsia="宋体"/>
          <w:color w:val="000000"/>
        </w:rPr>
        <w:t>2、如果投标总报价与其它价格出现错误或不一致，将有可能导致废标。</w:t>
      </w:r>
    </w:p>
    <w:p>
      <w:pPr>
        <w:spacing w:line="420" w:lineRule="exact"/>
        <w:ind w:firstLine="420" w:firstLineChars="200"/>
        <w:rPr>
          <w:rFonts w:ascii="宋体" w:hAnsi="宋体" w:eastAsia="宋体"/>
          <w:color w:val="000000"/>
        </w:rPr>
      </w:pPr>
      <w:r>
        <w:rPr>
          <w:rFonts w:hint="eastAsia" w:ascii="宋体" w:hAnsi="宋体" w:eastAsia="宋体"/>
          <w:color w:val="000000"/>
        </w:rPr>
        <w:t>3、投标总报价为自合同签定生效至合同无异议执行完毕涉及的买方需要支付的全部费用。如投标方认为本招标及投标货物涉及特需或专门的设计，应当单独列明设计费。</w:t>
      </w:r>
    </w:p>
    <w:p>
      <w:pPr>
        <w:spacing w:line="420" w:lineRule="exact"/>
        <w:ind w:firstLine="420" w:firstLineChars="200"/>
        <w:rPr>
          <w:rFonts w:ascii="宋体" w:hAnsi="宋体" w:eastAsia="宋体"/>
          <w:color w:val="000000"/>
        </w:rPr>
      </w:pPr>
      <w:r>
        <w:rPr>
          <w:rFonts w:hint="eastAsia" w:ascii="宋体" w:hAnsi="宋体" w:eastAsia="宋体"/>
          <w:color w:val="000000"/>
        </w:rPr>
        <w:t>4、要求投标总报价、分项报价、明细报价之间应当具有相互间对应关系以及填报分项和明细报价，仅为便于评标而不妨碍投标人以最合适的形式签署合同。</w:t>
      </w:r>
    </w:p>
    <w:p>
      <w:pPr>
        <w:pStyle w:val="26"/>
        <w:rPr>
          <w:rFonts w:ascii="黑体" w:hAnsi="黑体"/>
          <w:sz w:val="21"/>
          <w:szCs w:val="21"/>
        </w:rPr>
      </w:pPr>
      <w:r>
        <w:rPr>
          <w:rFonts w:hint="eastAsia" w:ascii="黑体" w:hAnsi="黑体"/>
          <w:sz w:val="21"/>
          <w:szCs w:val="21"/>
        </w:rPr>
        <w:t>三、验收标准及内容要求</w:t>
      </w:r>
    </w:p>
    <w:p>
      <w:pPr>
        <w:adjustRightInd w:val="0"/>
        <w:snapToGrid w:val="0"/>
        <w:spacing w:line="420" w:lineRule="exact"/>
        <w:ind w:firstLine="420" w:firstLineChars="200"/>
        <w:rPr>
          <w:rFonts w:ascii="宋体" w:hAnsi="宋体" w:eastAsia="宋体"/>
          <w:color w:val="000000"/>
        </w:rPr>
      </w:pPr>
      <w:r>
        <w:rPr>
          <w:rFonts w:hint="eastAsia" w:ascii="宋体" w:hAnsi="宋体" w:eastAsia="宋体"/>
          <w:color w:val="000000"/>
        </w:rPr>
        <w:t>除招标文件明确的验收标准或内容之外，投标方应当在投标文件中提供预验收（必要时）和终验收的标准以及规程；在合同签定之前，经投标方和招标方双方洽谈确认并签署，以作为验收标准执行。</w:t>
      </w:r>
    </w:p>
    <w:p>
      <w:pPr>
        <w:pStyle w:val="3"/>
        <w:spacing w:before="120" w:after="120" w:line="480" w:lineRule="exact"/>
        <w:jc w:val="center"/>
        <w:rPr>
          <w:rFonts w:ascii="宋体" w:hAnsi="宋体"/>
          <w:b w:val="0"/>
          <w:color w:val="000000"/>
          <w:sz w:val="24"/>
          <w:szCs w:val="24"/>
        </w:rPr>
        <w:sectPr>
          <w:pgSz w:w="11906" w:h="16838"/>
          <w:pgMar w:top="1588" w:right="1418" w:bottom="1134" w:left="1418" w:header="851" w:footer="992" w:gutter="0"/>
          <w:cols w:space="720" w:num="1"/>
          <w:titlePg/>
          <w:docGrid w:type="lines" w:linePitch="312" w:charSpace="0"/>
        </w:sectPr>
      </w:pPr>
    </w:p>
    <w:p>
      <w:pPr>
        <w:pStyle w:val="30"/>
      </w:pPr>
      <w:r>
        <w:rPr>
          <w:rFonts w:hint="eastAsia"/>
        </w:rPr>
        <w:t xml:space="preserve">第七章 </w:t>
      </w:r>
      <w:r>
        <w:t xml:space="preserve"> </w:t>
      </w:r>
      <w:r>
        <w:rPr>
          <w:rFonts w:hint="eastAsia"/>
        </w:rPr>
        <w:t>其</w:t>
      </w:r>
      <w:bookmarkStart w:id="42" w:name="_Toc465187648"/>
      <w:r>
        <w:rPr>
          <w:rFonts w:hint="eastAsia"/>
        </w:rPr>
        <w:t>它要求及说明</w:t>
      </w:r>
    </w:p>
    <w:p>
      <w:pPr>
        <w:pStyle w:val="26"/>
        <w:rPr>
          <w:rFonts w:ascii="黑体" w:hAnsi="黑体"/>
          <w:sz w:val="21"/>
          <w:szCs w:val="21"/>
        </w:rPr>
      </w:pPr>
      <w:r>
        <w:rPr>
          <w:rFonts w:hint="eastAsia" w:ascii="黑体" w:hAnsi="黑体"/>
          <w:sz w:val="21"/>
          <w:szCs w:val="21"/>
        </w:rPr>
        <w:t>一、要求</w:t>
      </w:r>
      <w:bookmarkEnd w:id="42"/>
    </w:p>
    <w:p>
      <w:pPr>
        <w:pStyle w:val="10"/>
        <w:spacing w:line="420" w:lineRule="exact"/>
        <w:rPr>
          <w:rFonts w:ascii="宋体" w:hAnsi="宋体" w:eastAsia="宋体"/>
          <w:color w:val="000000"/>
        </w:rPr>
      </w:pPr>
      <w:r>
        <w:rPr>
          <w:rFonts w:hint="eastAsia" w:ascii="宋体" w:hAnsi="宋体" w:eastAsia="宋体"/>
          <w:color w:val="000000"/>
        </w:rPr>
        <w:t>为保证本技术标书所列采购软件可行性、先进性及性价比，要求投标方在投标文件中，至少应具备以下资格证明文件或资料：</w:t>
      </w:r>
    </w:p>
    <w:p>
      <w:pPr>
        <w:spacing w:line="420" w:lineRule="exact"/>
        <w:ind w:firstLine="417" w:firstLineChars="199"/>
        <w:rPr>
          <w:rFonts w:ascii="宋体" w:hAnsi="宋体" w:eastAsia="宋体"/>
          <w:color w:val="000000"/>
        </w:rPr>
      </w:pPr>
      <w:r>
        <w:rPr>
          <w:rFonts w:hint="eastAsia" w:ascii="宋体" w:hAnsi="宋体" w:eastAsia="宋体"/>
          <w:color w:val="000000"/>
        </w:rPr>
        <w:t>1、投标方应是独立法人或得到法人授权的机构。应当在投标文件中提供法人营业执照（复印件）、税务登记证以及组织机构代码证（国际供应商参考该要求提供有效证明文件），并保证其真实性和有效性。</w:t>
      </w:r>
    </w:p>
    <w:p>
      <w:pPr>
        <w:spacing w:line="420" w:lineRule="exact"/>
        <w:ind w:firstLine="417" w:firstLineChars="199"/>
        <w:rPr>
          <w:rFonts w:ascii="宋体" w:hAnsi="宋体" w:eastAsia="宋体"/>
          <w:color w:val="000000"/>
        </w:rPr>
      </w:pPr>
      <w:r>
        <w:rPr>
          <w:rFonts w:hint="eastAsia" w:ascii="宋体" w:hAnsi="宋体" w:eastAsia="宋体"/>
          <w:color w:val="000000"/>
        </w:rPr>
        <w:t>2、投标方应当是通过有关资格认证的法人。应当在投标文件中提供有效期内的资格认证证书，如：ISO9001、VDA6.1、QS9000等。</w:t>
      </w:r>
    </w:p>
    <w:p>
      <w:pPr>
        <w:spacing w:line="420" w:lineRule="exact"/>
        <w:ind w:firstLine="417" w:firstLineChars="199"/>
        <w:rPr>
          <w:rFonts w:ascii="宋体" w:hAnsi="宋体" w:eastAsia="宋体"/>
          <w:color w:val="000000"/>
        </w:rPr>
      </w:pPr>
      <w:r>
        <w:rPr>
          <w:rFonts w:hint="eastAsia" w:ascii="宋体" w:hAnsi="宋体" w:eastAsia="宋体"/>
          <w:color w:val="000000"/>
        </w:rPr>
        <w:t>3、应附有其它与投标单位、采购货物有关的荣誉证书或资料。</w:t>
      </w:r>
    </w:p>
    <w:p>
      <w:pPr>
        <w:spacing w:line="420" w:lineRule="exact"/>
        <w:ind w:firstLine="417" w:firstLineChars="199"/>
        <w:rPr>
          <w:rFonts w:ascii="宋体" w:hAnsi="宋体" w:eastAsia="宋体"/>
          <w:color w:val="000000"/>
        </w:rPr>
      </w:pPr>
      <w:r>
        <w:rPr>
          <w:rFonts w:hint="eastAsia" w:ascii="宋体" w:hAnsi="宋体" w:eastAsia="宋体"/>
          <w:color w:val="000000"/>
        </w:rPr>
        <w:t>4、必须附有投标软件涉及产品要求的、国家或行业管理规定要求的、或者投标方认为能够体现其投标软件合法性及先进性的最高级别的证明材料（不涉及的除外）。</w:t>
      </w:r>
    </w:p>
    <w:p>
      <w:pPr>
        <w:spacing w:line="420" w:lineRule="exact"/>
        <w:ind w:firstLine="417" w:firstLineChars="199"/>
        <w:rPr>
          <w:rFonts w:ascii="宋体" w:hAnsi="宋体" w:eastAsia="宋体"/>
          <w:color w:val="000000"/>
        </w:rPr>
      </w:pPr>
      <w:r>
        <w:rPr>
          <w:rFonts w:hint="eastAsia" w:ascii="宋体" w:hAnsi="宋体" w:eastAsia="宋体"/>
          <w:color w:val="000000"/>
        </w:rPr>
        <w:t>5、产品（或技术）鉴定报告/证书、专利证书或专利许可证书、新技术成果证书等。</w:t>
      </w:r>
    </w:p>
    <w:p>
      <w:pPr>
        <w:pStyle w:val="26"/>
        <w:rPr>
          <w:rFonts w:ascii="黑体" w:hAnsi="黑体"/>
          <w:sz w:val="21"/>
          <w:szCs w:val="21"/>
        </w:rPr>
      </w:pPr>
      <w:r>
        <w:rPr>
          <w:rFonts w:hint="eastAsia" w:ascii="黑体" w:hAnsi="黑体"/>
          <w:sz w:val="21"/>
          <w:szCs w:val="21"/>
        </w:rPr>
        <w:t>二、说明</w:t>
      </w:r>
    </w:p>
    <w:p>
      <w:pPr>
        <w:spacing w:line="420" w:lineRule="exact"/>
        <w:ind w:firstLine="420" w:firstLineChars="200"/>
        <w:rPr>
          <w:rFonts w:ascii="宋体" w:hAnsi="宋体" w:eastAsia="宋体"/>
          <w:color w:val="000000"/>
        </w:rPr>
      </w:pPr>
      <w:r>
        <w:rPr>
          <w:rFonts w:hint="eastAsia" w:ascii="宋体" w:hAnsi="宋体" w:eastAsia="宋体"/>
          <w:color w:val="000000"/>
        </w:rPr>
        <w:t>1、投标方可以根据自身的技术、经验等优势以及对招标文件和本技术标书的理解，写明对招标方所采购货物的优化方案或建议意见。投标方的这些努力，招标方表示感谢，并将有助于投标方优先胜出。</w:t>
      </w:r>
    </w:p>
    <w:p>
      <w:pPr>
        <w:spacing w:line="420" w:lineRule="exact"/>
        <w:ind w:firstLine="420" w:firstLineChars="200"/>
        <w:rPr>
          <w:rFonts w:ascii="宋体" w:hAnsi="宋体" w:eastAsia="宋体"/>
          <w:color w:val="000000"/>
        </w:rPr>
      </w:pPr>
      <w:r>
        <w:rPr>
          <w:rFonts w:hint="eastAsia" w:ascii="宋体" w:hAnsi="宋体" w:eastAsia="宋体"/>
          <w:color w:val="000000"/>
        </w:rPr>
        <w:t>2、即使有建议意见或建议方案，仍应依据招标文件和本技术标书要求，编写符合要求的投标文件。建议方案或建议意见，应以单独篇章或文件，予以说明和报价。</w:t>
      </w:r>
    </w:p>
    <w:p>
      <w:pPr>
        <w:spacing w:line="420" w:lineRule="exact"/>
        <w:ind w:firstLine="420" w:firstLineChars="200"/>
        <w:rPr>
          <w:rFonts w:ascii="宋体" w:hAnsi="宋体" w:eastAsia="宋体"/>
          <w:color w:val="000000"/>
        </w:rPr>
      </w:pPr>
      <w:r>
        <w:rPr>
          <w:rFonts w:hint="eastAsia" w:ascii="宋体" w:hAnsi="宋体" w:eastAsia="宋体"/>
          <w:color w:val="000000"/>
        </w:rPr>
        <w:t>3、招标文件、投标文件、答疑文件、技术交流文件、技术协议书等，在采购过程全部为有效文件，如有差异，以对招标方最有利的条款为准。</w:t>
      </w:r>
    </w:p>
    <w:p>
      <w:pPr>
        <w:spacing w:line="420" w:lineRule="exact"/>
        <w:ind w:firstLine="420" w:firstLineChars="200"/>
        <w:rPr>
          <w:rFonts w:ascii="宋体" w:hAnsi="宋体" w:eastAsia="宋体"/>
        </w:rPr>
      </w:pPr>
      <w:r>
        <w:rPr>
          <w:rFonts w:hint="eastAsia" w:ascii="宋体" w:hAnsi="宋体" w:eastAsia="宋体"/>
          <w:color w:val="000000"/>
        </w:rPr>
        <w:t>4、为避免歧异，本技术标书涉及招投标环节的条款，均将潜在的卖方称为投标方、将买方称为招标方；定标后合同签署环节以及后续的合同执行环节条款，招标方称为买方、投标方中的中标方称为卖方</w:t>
      </w:r>
      <w:r>
        <w:rPr>
          <w:rFonts w:hint="eastAsia" w:ascii="宋体" w:hAnsi="宋体" w:eastAsia="宋体"/>
        </w:rPr>
        <w:t>。</w:t>
      </w:r>
    </w:p>
    <w:p>
      <w:pPr>
        <w:spacing w:line="420" w:lineRule="exact"/>
        <w:ind w:firstLine="420" w:firstLineChars="200"/>
        <w:rPr>
          <w:rFonts w:ascii="宋体" w:hAnsi="宋体" w:eastAsia="宋体"/>
        </w:rPr>
      </w:pPr>
    </w:p>
    <w:p>
      <w:pPr>
        <w:spacing w:line="420" w:lineRule="exact"/>
        <w:rPr>
          <w:rFonts w:ascii="宋体" w:hAnsi="宋体" w:eastAsia="宋体"/>
        </w:rPr>
      </w:pPr>
    </w:p>
    <w:p>
      <w:pPr>
        <w:pStyle w:val="2"/>
      </w:pPr>
    </w:p>
    <w:p>
      <w:pPr>
        <w:spacing w:line="420" w:lineRule="exact"/>
        <w:ind w:firstLine="1260" w:firstLineChars="600"/>
        <w:rPr>
          <w:rFonts w:hint="eastAsia" w:ascii="宋体" w:hAnsi="宋体" w:eastAsia="宋体"/>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4343400</wp:posOffset>
            </wp:positionH>
            <wp:positionV relativeFrom="paragraph">
              <wp:posOffset>20320</wp:posOffset>
            </wp:positionV>
            <wp:extent cx="556895" cy="298450"/>
            <wp:effectExtent l="0" t="0" r="0" b="6350"/>
            <wp:wrapSquare wrapText="bothSides"/>
            <wp:docPr id="1" name="图片 1" descr="190b851303600539a793935c603694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90b851303600539a793935c6036944a"/>
                    <pic:cNvPicPr>
                      <a:picLocks noChangeAspect="1"/>
                    </pic:cNvPicPr>
                  </pic:nvPicPr>
                  <pic:blipFill>
                    <a:blip r:embed="rId25"/>
                    <a:srcRect l="40060" t="39797" r="40821" b="46550"/>
                    <a:stretch>
                      <a:fillRect/>
                    </a:stretch>
                  </pic:blipFill>
                  <pic:spPr>
                    <a:xfrm>
                      <a:off x="0" y="0"/>
                      <a:ext cx="556895" cy="298450"/>
                    </a:xfrm>
                    <a:prstGeom prst="rect">
                      <a:avLst/>
                    </a:prstGeom>
                  </pic:spPr>
                </pic:pic>
              </a:graphicData>
            </a:graphic>
          </wp:anchor>
        </w:drawing>
      </w:r>
      <w:r>
        <w:rPr>
          <w:rFonts w:hint="eastAsia" w:eastAsia="宋体"/>
          <w:lang w:eastAsia="zh-CN"/>
        </w:rPr>
        <w:drawing>
          <wp:anchor distT="0" distB="0" distL="114300" distR="114300" simplePos="0" relativeHeight="251660288" behindDoc="0" locked="0" layoutInCell="1" allowOverlap="1">
            <wp:simplePos x="0" y="0"/>
            <wp:positionH relativeFrom="column">
              <wp:posOffset>1423670</wp:posOffset>
            </wp:positionH>
            <wp:positionV relativeFrom="paragraph">
              <wp:posOffset>20955</wp:posOffset>
            </wp:positionV>
            <wp:extent cx="467360" cy="283845"/>
            <wp:effectExtent l="0" t="0" r="5080" b="5715"/>
            <wp:wrapSquare wrapText="bothSides"/>
            <wp:docPr id="6" name="图片 6" descr="aa5562ee5b216755f7868d358b16f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a5562ee5b216755f7868d358b16f457"/>
                    <pic:cNvPicPr>
                      <a:picLocks noChangeAspect="1"/>
                    </pic:cNvPicPr>
                  </pic:nvPicPr>
                  <pic:blipFill>
                    <a:blip r:embed="rId26"/>
                    <a:srcRect l="19403" t="24039" r="50674" b="38335"/>
                    <a:stretch>
                      <a:fillRect/>
                    </a:stretch>
                  </pic:blipFill>
                  <pic:spPr>
                    <a:xfrm>
                      <a:off x="0" y="0"/>
                      <a:ext cx="467360" cy="283845"/>
                    </a:xfrm>
                    <a:prstGeom prst="rect">
                      <a:avLst/>
                    </a:prstGeom>
                  </pic:spPr>
                </pic:pic>
              </a:graphicData>
            </a:graphic>
          </wp:anchor>
        </w:drawing>
      </w:r>
      <w:r>
        <w:rPr>
          <w:rFonts w:hint="eastAsia" w:ascii="宋体" w:hAnsi="宋体" w:eastAsia="宋体"/>
        </w:rPr>
        <w:t xml:space="preserve">编制：                                       </w:t>
      </w:r>
      <w:r>
        <w:rPr>
          <w:rFonts w:hint="eastAsia" w:ascii="宋体" w:hAnsi="宋体" w:eastAsia="宋体"/>
          <w:lang w:val="en-US" w:eastAsia="zh-CN"/>
        </w:rPr>
        <w:tab/>
      </w:r>
      <w:r>
        <w:rPr>
          <w:rFonts w:hint="eastAsia" w:ascii="宋体" w:hAnsi="宋体" w:eastAsia="宋体"/>
          <w:lang w:val="en-US" w:eastAsia="zh-CN"/>
        </w:rPr>
        <w:tab/>
      </w:r>
      <w:r>
        <w:rPr>
          <w:rFonts w:hint="eastAsia" w:ascii="宋体" w:hAnsi="宋体" w:eastAsia="宋体"/>
          <w:lang w:val="en-US" w:eastAsia="zh-CN"/>
        </w:rPr>
        <w:tab/>
      </w:r>
      <w:r>
        <w:rPr>
          <w:rFonts w:hint="eastAsia" w:ascii="宋体" w:hAnsi="宋体" w:eastAsia="宋体"/>
          <w:lang w:val="en-US" w:eastAsia="zh-CN"/>
        </w:rPr>
        <w:tab/>
      </w:r>
      <w:r>
        <w:rPr>
          <w:rFonts w:hint="eastAsia" w:ascii="宋体" w:hAnsi="宋体" w:eastAsia="宋体"/>
          <w:lang w:val="en-US" w:eastAsia="zh-CN"/>
        </w:rPr>
        <w:tab/>
      </w:r>
      <w:r>
        <w:rPr>
          <w:rFonts w:hint="eastAsia" w:ascii="宋体" w:hAnsi="宋体" w:eastAsia="宋体"/>
          <w:lang w:val="en-US" w:eastAsia="zh-CN"/>
        </w:rPr>
        <w:tab/>
      </w:r>
      <w:r>
        <w:rPr>
          <w:rFonts w:hint="eastAsia" w:ascii="宋体" w:hAnsi="宋体" w:eastAsia="宋体"/>
          <w:lang w:val="en-US" w:eastAsia="zh-CN"/>
        </w:rPr>
        <w:tab/>
      </w:r>
      <w:r>
        <w:rPr>
          <w:rFonts w:hint="eastAsia" w:ascii="宋体" w:hAnsi="宋体" w:eastAsia="宋体"/>
        </w:rPr>
        <w:t>校对：</w:t>
      </w:r>
    </w:p>
    <w:p>
      <w:pPr>
        <w:pStyle w:val="2"/>
        <w:rPr>
          <w:rFonts w:hint="eastAsia" w:eastAsia="宋体"/>
          <w:lang w:eastAsia="zh-CN"/>
        </w:rPr>
      </w:pPr>
    </w:p>
    <w:p>
      <w:pPr>
        <w:pStyle w:val="2"/>
        <w:rPr>
          <w:rFonts w:hint="eastAsia" w:eastAsia="宋体"/>
          <w:lang w:eastAsia="zh-CN"/>
        </w:rPr>
      </w:pPr>
    </w:p>
    <w:p>
      <w:pPr>
        <w:pStyle w:val="2"/>
        <w:rPr>
          <w:rFonts w:hint="eastAsia" w:eastAsia="宋体"/>
          <w:lang w:eastAsia="zh-CN"/>
        </w:rPr>
      </w:pPr>
    </w:p>
    <w:sectPr>
      <w:headerReference r:id="rId7" w:type="default"/>
      <w:pgSz w:w="11906" w:h="16838"/>
      <w:pgMar w:top="1588" w:right="1418" w:bottom="1134"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Lohit Devanagari">
    <w:altName w:val="Segoe Print"/>
    <w:panose1 w:val="00000000000000000000"/>
    <w:charset w:val="00"/>
    <w:family w:val="auto"/>
    <w:pitch w:val="default"/>
    <w:sig w:usb0="00000000" w:usb1="00000000" w:usb2="00000000" w:usb3="00000000" w:csb0="00000000" w:csb1="00000000"/>
  </w:font>
  <w:font w:name="Liberation Serif">
    <w:altName w:val="Times New Roman"/>
    <w:panose1 w:val="00000000000000000000"/>
    <w:charset w:val="01"/>
    <w:family w:val="auto"/>
    <w:pitch w:val="default"/>
    <w:sig w:usb0="00000000" w:usb1="00000000" w:usb2="00000000" w:usb3="00000000" w:csb0="00000000" w:csb1="0000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Noto Serif CJK SC">
    <w:altName w:val="宋体"/>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SimSong Bold">
    <w:altName w:val="Segoe Print"/>
    <w:panose1 w:val="00000000000000000000"/>
    <w:charset w:val="00"/>
    <w:family w:val="roman"/>
    <w:pitch w:val="default"/>
    <w:sig w:usb0="00000000" w:usb1="00000000" w:usb2="00000000" w:usb3="00000000" w:csb0="00000000" w:csb1="00000000"/>
  </w:font>
  <w:font w:name="Segoe UI">
    <w:panose1 w:val="020B0502040204020203"/>
    <w:charset w:val="00"/>
    <w:family w:val="swiss"/>
    <w:pitch w:val="default"/>
    <w:sig w:usb0="E4002EFF" w:usb1="C000E47F" w:usb2="00000009" w:usb3="00000000" w:csb0="200001FF" w:csb1="00000000"/>
  </w:font>
  <w:font w:name="Segoe UI Emoji">
    <w:panose1 w:val="020B0502040204020203"/>
    <w:charset w:val="00"/>
    <w:family w:val="swiss"/>
    <w:pitch w:val="default"/>
    <w:sig w:usb0="00000001" w:usb1="02000000" w:usb2="08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87711212"/>
    </w:sdtPr>
    <w:sdtContent>
      <w:p>
        <w:pPr>
          <w:pStyle w:val="13"/>
          <w:jc w:val="center"/>
        </w:pPr>
        <w:r>
          <w:fldChar w:fldCharType="begin"/>
        </w:r>
        <w:r>
          <w:instrText xml:space="preserve">PAGE   \* MERGEFORMAT</w:instrText>
        </w:r>
        <w:r>
          <w:fldChar w:fldCharType="separate"/>
        </w:r>
        <w:r>
          <w:rPr>
            <w:lang w:val="zh-CN"/>
          </w:rPr>
          <w:t>-</w:t>
        </w:r>
        <w:r>
          <w:t xml:space="preserve"> 14 -</w:t>
        </w:r>
        <w:r>
          <w:fldChar w:fldCharType="end"/>
        </w:r>
      </w:p>
    </w:sdtContent>
  </w:sdt>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82446088"/>
    </w:sdtPr>
    <w:sdtContent>
      <w:p>
        <w:pPr>
          <w:pStyle w:val="13"/>
          <w:jc w:val="center"/>
        </w:pPr>
        <w:r>
          <w:fldChar w:fldCharType="begin"/>
        </w:r>
        <w:r>
          <w:instrText xml:space="preserve">PAGE   \* MERGEFORMAT</w:instrText>
        </w:r>
        <w:r>
          <w:fldChar w:fldCharType="separate"/>
        </w:r>
        <w:r>
          <w:rPr>
            <w:lang w:val="zh-CN"/>
          </w:rPr>
          <w:t>-</w:t>
        </w:r>
        <w:r>
          <w:t xml:space="preserve"> 12 -</w:t>
        </w:r>
        <w:r>
          <w:fldChar w:fldCharType="end"/>
        </w:r>
      </w:p>
    </w:sdtContent>
  </w:sdt>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fldChar w:fldCharType="begin"/>
    </w:r>
    <w:r>
      <w:instrText xml:space="preserve">PAGE   \* MERGEFORMAT</w:instrText>
    </w:r>
    <w:r>
      <w:fldChar w:fldCharType="separate"/>
    </w:r>
    <w:r>
      <w:rPr>
        <w:lang w:val="zh-CN"/>
      </w:rPr>
      <w:t>31</w:t>
    </w:r>
    <w:r>
      <w:fldChar w:fldCharType="end"/>
    </w:r>
  </w:p>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fldChar w:fldCharType="begin"/>
    </w:r>
    <w:r>
      <w:instrText xml:space="preserve">PAGE   \* MERGEFORMAT</w:instrText>
    </w:r>
    <w:r>
      <w:fldChar w:fldCharType="separate"/>
    </w:r>
    <w:r>
      <w:rPr>
        <w:lang w:val="zh-CN"/>
      </w:rPr>
      <w:t>17</w:t>
    </w:r>
    <w:r>
      <w:fldChar w:fldCharType="end"/>
    </w:r>
  </w:p>
  <w:p>
    <w:pPr>
      <w:pStyle w:val="13"/>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both"/>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03C304C"/>
    <w:multiLevelType w:val="singleLevel"/>
    <w:tmpl w:val="803C304C"/>
    <w:lvl w:ilvl="0" w:tentative="0">
      <w:start w:val="1"/>
      <w:numFmt w:val="decimal"/>
      <w:lvlText w:val="%1."/>
      <w:lvlJc w:val="left"/>
      <w:pPr>
        <w:tabs>
          <w:tab w:val="left" w:pos="312"/>
        </w:tabs>
      </w:pPr>
    </w:lvl>
  </w:abstractNum>
  <w:abstractNum w:abstractNumId="1">
    <w:nsid w:val="8CE84E23"/>
    <w:multiLevelType w:val="singleLevel"/>
    <w:tmpl w:val="8CE84E23"/>
    <w:lvl w:ilvl="0" w:tentative="0">
      <w:start w:val="1"/>
      <w:numFmt w:val="decimal"/>
      <w:lvlText w:val="%1."/>
      <w:lvlJc w:val="left"/>
      <w:pPr>
        <w:tabs>
          <w:tab w:val="left" w:pos="312"/>
        </w:tabs>
      </w:pPr>
    </w:lvl>
  </w:abstractNum>
  <w:abstractNum w:abstractNumId="2">
    <w:nsid w:val="8E959768"/>
    <w:multiLevelType w:val="singleLevel"/>
    <w:tmpl w:val="8E959768"/>
    <w:lvl w:ilvl="0" w:tentative="0">
      <w:start w:val="1"/>
      <w:numFmt w:val="decimal"/>
      <w:lvlText w:val="(%1)"/>
      <w:lvlJc w:val="left"/>
      <w:pPr>
        <w:ind w:left="425" w:hanging="425"/>
      </w:pPr>
      <w:rPr>
        <w:rFonts w:hint="default"/>
        <w:b w:val="0"/>
      </w:rPr>
    </w:lvl>
  </w:abstractNum>
  <w:abstractNum w:abstractNumId="3">
    <w:nsid w:val="AAA03BC2"/>
    <w:multiLevelType w:val="singleLevel"/>
    <w:tmpl w:val="AAA03BC2"/>
    <w:lvl w:ilvl="0" w:tentative="0">
      <w:start w:val="1"/>
      <w:numFmt w:val="decimal"/>
      <w:pStyle w:val="6"/>
      <w:lvlText w:val="%1."/>
      <w:lvlJc w:val="left"/>
      <w:pPr>
        <w:ind w:left="425" w:hanging="425"/>
      </w:pPr>
      <w:rPr>
        <w:rFonts w:hint="default"/>
      </w:rPr>
    </w:lvl>
  </w:abstractNum>
  <w:abstractNum w:abstractNumId="4">
    <w:nsid w:val="C253EDCE"/>
    <w:multiLevelType w:val="singleLevel"/>
    <w:tmpl w:val="C253EDCE"/>
    <w:lvl w:ilvl="0" w:tentative="0">
      <w:start w:val="1"/>
      <w:numFmt w:val="decimal"/>
      <w:lvlText w:val="%1."/>
      <w:lvlJc w:val="left"/>
      <w:pPr>
        <w:tabs>
          <w:tab w:val="left" w:pos="312"/>
        </w:tabs>
      </w:pPr>
    </w:lvl>
  </w:abstractNum>
  <w:abstractNum w:abstractNumId="5">
    <w:nsid w:val="C3C53707"/>
    <w:multiLevelType w:val="singleLevel"/>
    <w:tmpl w:val="C3C53707"/>
    <w:lvl w:ilvl="0" w:tentative="0">
      <w:start w:val="1"/>
      <w:numFmt w:val="decimal"/>
      <w:suff w:val="space"/>
      <w:lvlText w:val="%1."/>
      <w:lvlJc w:val="left"/>
    </w:lvl>
  </w:abstractNum>
  <w:abstractNum w:abstractNumId="6">
    <w:nsid w:val="D33FE712"/>
    <w:multiLevelType w:val="singleLevel"/>
    <w:tmpl w:val="D33FE712"/>
    <w:lvl w:ilvl="0" w:tentative="0">
      <w:start w:val="1"/>
      <w:numFmt w:val="decimal"/>
      <w:suff w:val="nothing"/>
      <w:lvlText w:val="（%1）"/>
      <w:lvlJc w:val="left"/>
    </w:lvl>
  </w:abstractNum>
  <w:abstractNum w:abstractNumId="7">
    <w:nsid w:val="FB6DB527"/>
    <w:multiLevelType w:val="singleLevel"/>
    <w:tmpl w:val="FB6DB527"/>
    <w:lvl w:ilvl="0" w:tentative="0">
      <w:start w:val="1"/>
      <w:numFmt w:val="decimal"/>
      <w:lvlText w:val="%1."/>
      <w:lvlJc w:val="left"/>
      <w:pPr>
        <w:tabs>
          <w:tab w:val="left" w:pos="312"/>
        </w:tabs>
      </w:pPr>
    </w:lvl>
  </w:abstractNum>
  <w:abstractNum w:abstractNumId="8">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9">
    <w:nsid w:val="210163F6"/>
    <w:multiLevelType w:val="multilevel"/>
    <w:tmpl w:val="210163F6"/>
    <w:lvl w:ilvl="0" w:tentative="0">
      <w:start w:val="1"/>
      <w:numFmt w:val="lowerLetter"/>
      <w:lvlText w:val="%1)"/>
      <w:lvlJc w:val="left"/>
      <w:pPr>
        <w:ind w:left="902" w:hanging="420"/>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10">
    <w:nsid w:val="28934A01"/>
    <w:multiLevelType w:val="multilevel"/>
    <w:tmpl w:val="28934A01"/>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11">
    <w:nsid w:val="3C26E8E8"/>
    <w:multiLevelType w:val="singleLevel"/>
    <w:tmpl w:val="3C26E8E8"/>
    <w:lvl w:ilvl="0" w:tentative="0">
      <w:start w:val="1"/>
      <w:numFmt w:val="decimal"/>
      <w:lvlText w:val="(%1)"/>
      <w:lvlJc w:val="left"/>
      <w:pPr>
        <w:ind w:left="425" w:hanging="425"/>
      </w:pPr>
      <w:rPr>
        <w:rFonts w:hint="default"/>
      </w:rPr>
    </w:lvl>
  </w:abstractNum>
  <w:abstractNum w:abstractNumId="12">
    <w:nsid w:val="3C8B5E5A"/>
    <w:multiLevelType w:val="singleLevel"/>
    <w:tmpl w:val="3C8B5E5A"/>
    <w:lvl w:ilvl="0" w:tentative="0">
      <w:start w:val="1"/>
      <w:numFmt w:val="bullet"/>
      <w:lvlText w:val=""/>
      <w:lvlJc w:val="left"/>
      <w:pPr>
        <w:ind w:left="420" w:hanging="420"/>
      </w:pPr>
      <w:rPr>
        <w:rFonts w:hint="default" w:ascii="Wingdings" w:hAnsi="Wingdings"/>
      </w:rPr>
    </w:lvl>
  </w:abstractNum>
  <w:abstractNum w:abstractNumId="13">
    <w:nsid w:val="73EC7879"/>
    <w:multiLevelType w:val="singleLevel"/>
    <w:tmpl w:val="73EC7879"/>
    <w:lvl w:ilvl="0" w:tentative="0">
      <w:start w:val="6"/>
      <w:numFmt w:val="chineseCounting"/>
      <w:suff w:val="nothing"/>
      <w:lvlText w:val="%1、"/>
      <w:lvlJc w:val="left"/>
      <w:rPr>
        <w:rFonts w:hint="eastAsia"/>
      </w:rPr>
    </w:lvl>
  </w:abstractNum>
  <w:num w:numId="1">
    <w:abstractNumId w:val="3"/>
  </w:num>
  <w:num w:numId="2">
    <w:abstractNumId w:val="6"/>
  </w:num>
  <w:num w:numId="3">
    <w:abstractNumId w:val="8"/>
  </w:num>
  <w:num w:numId="4">
    <w:abstractNumId w:val="9"/>
  </w:num>
  <w:num w:numId="5">
    <w:abstractNumId w:val="13"/>
  </w:num>
  <w:num w:numId="6">
    <w:abstractNumId w:val="10"/>
  </w:num>
  <w:num w:numId="7">
    <w:abstractNumId w:val="5"/>
  </w:num>
  <w:num w:numId="8">
    <w:abstractNumId w:val="11"/>
  </w:num>
  <w:num w:numId="9">
    <w:abstractNumId w:val="12"/>
  </w:num>
  <w:num w:numId="10">
    <w:abstractNumId w:val="2"/>
  </w:num>
  <w:num w:numId="11">
    <w:abstractNumId w:val="4"/>
  </w:num>
  <w:num w:numId="12">
    <w:abstractNumId w:val="0"/>
  </w:num>
  <w:num w:numId="13">
    <w:abstractNumId w:val="7"/>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E4MjMxMjI4ZTZlMzRkYjAwNmRiNjU3ZmFmMjdjZWYifQ=="/>
  </w:docVars>
  <w:rsids>
    <w:rsidRoot w:val="009D133C"/>
    <w:rsid w:val="00001B58"/>
    <w:rsid w:val="0000338E"/>
    <w:rsid w:val="00016112"/>
    <w:rsid w:val="00016DF9"/>
    <w:rsid w:val="00026E81"/>
    <w:rsid w:val="00037FD6"/>
    <w:rsid w:val="000818B6"/>
    <w:rsid w:val="00087318"/>
    <w:rsid w:val="0009609E"/>
    <w:rsid w:val="000B2B73"/>
    <w:rsid w:val="000C5241"/>
    <w:rsid w:val="000D0966"/>
    <w:rsid w:val="000D10D1"/>
    <w:rsid w:val="000D1FCE"/>
    <w:rsid w:val="001005CE"/>
    <w:rsid w:val="00101B55"/>
    <w:rsid w:val="001033F1"/>
    <w:rsid w:val="00106839"/>
    <w:rsid w:val="001106F7"/>
    <w:rsid w:val="001233D1"/>
    <w:rsid w:val="00130FF3"/>
    <w:rsid w:val="001464F3"/>
    <w:rsid w:val="00147259"/>
    <w:rsid w:val="00150F93"/>
    <w:rsid w:val="00151E8D"/>
    <w:rsid w:val="00161C9F"/>
    <w:rsid w:val="00163F29"/>
    <w:rsid w:val="0016657B"/>
    <w:rsid w:val="001768B2"/>
    <w:rsid w:val="001776A6"/>
    <w:rsid w:val="00180DB4"/>
    <w:rsid w:val="00181CA9"/>
    <w:rsid w:val="00191C8C"/>
    <w:rsid w:val="00192262"/>
    <w:rsid w:val="00193D84"/>
    <w:rsid w:val="001A19F7"/>
    <w:rsid w:val="001A1C27"/>
    <w:rsid w:val="001A3CA2"/>
    <w:rsid w:val="001A3E2D"/>
    <w:rsid w:val="001A6EEC"/>
    <w:rsid w:val="001B5E6E"/>
    <w:rsid w:val="001B621F"/>
    <w:rsid w:val="001C5CA6"/>
    <w:rsid w:val="001D311A"/>
    <w:rsid w:val="001E3D17"/>
    <w:rsid w:val="001F372D"/>
    <w:rsid w:val="001F75EB"/>
    <w:rsid w:val="0020372F"/>
    <w:rsid w:val="00210C53"/>
    <w:rsid w:val="0021161F"/>
    <w:rsid w:val="00217FB0"/>
    <w:rsid w:val="002217E3"/>
    <w:rsid w:val="00222105"/>
    <w:rsid w:val="00231A0F"/>
    <w:rsid w:val="00240351"/>
    <w:rsid w:val="002516FF"/>
    <w:rsid w:val="00266CB1"/>
    <w:rsid w:val="00273CC1"/>
    <w:rsid w:val="00286541"/>
    <w:rsid w:val="00292DC0"/>
    <w:rsid w:val="002953BA"/>
    <w:rsid w:val="002C20C0"/>
    <w:rsid w:val="002C723E"/>
    <w:rsid w:val="002D0377"/>
    <w:rsid w:val="002F5311"/>
    <w:rsid w:val="00302447"/>
    <w:rsid w:val="003028BC"/>
    <w:rsid w:val="00303654"/>
    <w:rsid w:val="00320E06"/>
    <w:rsid w:val="00321219"/>
    <w:rsid w:val="003403B0"/>
    <w:rsid w:val="00340AFB"/>
    <w:rsid w:val="003463F2"/>
    <w:rsid w:val="00352CFF"/>
    <w:rsid w:val="003560FE"/>
    <w:rsid w:val="003713C9"/>
    <w:rsid w:val="00374EAC"/>
    <w:rsid w:val="00386F21"/>
    <w:rsid w:val="003A2AA5"/>
    <w:rsid w:val="003A7A8D"/>
    <w:rsid w:val="003B695C"/>
    <w:rsid w:val="003C05CC"/>
    <w:rsid w:val="003D467C"/>
    <w:rsid w:val="003D7615"/>
    <w:rsid w:val="003E121A"/>
    <w:rsid w:val="003E1F3F"/>
    <w:rsid w:val="003E55AE"/>
    <w:rsid w:val="003F3874"/>
    <w:rsid w:val="00401217"/>
    <w:rsid w:val="004032A5"/>
    <w:rsid w:val="00406162"/>
    <w:rsid w:val="0041265F"/>
    <w:rsid w:val="00430772"/>
    <w:rsid w:val="004422B9"/>
    <w:rsid w:val="00457813"/>
    <w:rsid w:val="00460120"/>
    <w:rsid w:val="004605F7"/>
    <w:rsid w:val="00466DAE"/>
    <w:rsid w:val="00477A2A"/>
    <w:rsid w:val="00477D4D"/>
    <w:rsid w:val="00492301"/>
    <w:rsid w:val="004926A8"/>
    <w:rsid w:val="004A746A"/>
    <w:rsid w:val="004B5252"/>
    <w:rsid w:val="004C67DF"/>
    <w:rsid w:val="004D1814"/>
    <w:rsid w:val="004D7AF2"/>
    <w:rsid w:val="004F6F87"/>
    <w:rsid w:val="004F7543"/>
    <w:rsid w:val="00514955"/>
    <w:rsid w:val="005247E5"/>
    <w:rsid w:val="00533D90"/>
    <w:rsid w:val="005408A8"/>
    <w:rsid w:val="00547247"/>
    <w:rsid w:val="00562E95"/>
    <w:rsid w:val="00564DA0"/>
    <w:rsid w:val="005759A7"/>
    <w:rsid w:val="00580AF9"/>
    <w:rsid w:val="005813E6"/>
    <w:rsid w:val="00584407"/>
    <w:rsid w:val="00595BA3"/>
    <w:rsid w:val="00596066"/>
    <w:rsid w:val="00597E93"/>
    <w:rsid w:val="005A539A"/>
    <w:rsid w:val="005C29D7"/>
    <w:rsid w:val="005D24F5"/>
    <w:rsid w:val="005E1512"/>
    <w:rsid w:val="005F693C"/>
    <w:rsid w:val="005F7366"/>
    <w:rsid w:val="006001DD"/>
    <w:rsid w:val="0060039C"/>
    <w:rsid w:val="006136A1"/>
    <w:rsid w:val="00615AE8"/>
    <w:rsid w:val="00624F2B"/>
    <w:rsid w:val="006410F2"/>
    <w:rsid w:val="006433EC"/>
    <w:rsid w:val="00651DD6"/>
    <w:rsid w:val="00657D9C"/>
    <w:rsid w:val="00660708"/>
    <w:rsid w:val="00660B1C"/>
    <w:rsid w:val="006618B8"/>
    <w:rsid w:val="006678F5"/>
    <w:rsid w:val="00676D14"/>
    <w:rsid w:val="006A50E5"/>
    <w:rsid w:val="006A78F0"/>
    <w:rsid w:val="006B2E40"/>
    <w:rsid w:val="006C5E9E"/>
    <w:rsid w:val="006E5632"/>
    <w:rsid w:val="00714D00"/>
    <w:rsid w:val="00727FFD"/>
    <w:rsid w:val="007304C0"/>
    <w:rsid w:val="00730A13"/>
    <w:rsid w:val="0073377E"/>
    <w:rsid w:val="00734748"/>
    <w:rsid w:val="007355FB"/>
    <w:rsid w:val="00736E9A"/>
    <w:rsid w:val="007378F4"/>
    <w:rsid w:val="007444DF"/>
    <w:rsid w:val="0075371F"/>
    <w:rsid w:val="00765FE8"/>
    <w:rsid w:val="007860CC"/>
    <w:rsid w:val="0079635C"/>
    <w:rsid w:val="00797F9C"/>
    <w:rsid w:val="007A2032"/>
    <w:rsid w:val="007A743E"/>
    <w:rsid w:val="007B2215"/>
    <w:rsid w:val="007C717F"/>
    <w:rsid w:val="007D0C2C"/>
    <w:rsid w:val="007D778F"/>
    <w:rsid w:val="007E4422"/>
    <w:rsid w:val="007F1F3E"/>
    <w:rsid w:val="007F250D"/>
    <w:rsid w:val="00800648"/>
    <w:rsid w:val="00802C3E"/>
    <w:rsid w:val="00804756"/>
    <w:rsid w:val="008062FC"/>
    <w:rsid w:val="00824FC0"/>
    <w:rsid w:val="008344B0"/>
    <w:rsid w:val="00846D84"/>
    <w:rsid w:val="00852FF4"/>
    <w:rsid w:val="00870887"/>
    <w:rsid w:val="00893489"/>
    <w:rsid w:val="008A1C7C"/>
    <w:rsid w:val="008A42F2"/>
    <w:rsid w:val="008B4E17"/>
    <w:rsid w:val="008B5392"/>
    <w:rsid w:val="008C0B98"/>
    <w:rsid w:val="008C0FC8"/>
    <w:rsid w:val="008C6B40"/>
    <w:rsid w:val="008C7BC4"/>
    <w:rsid w:val="008D40B0"/>
    <w:rsid w:val="008E176B"/>
    <w:rsid w:val="008E325D"/>
    <w:rsid w:val="008E7192"/>
    <w:rsid w:val="008E7194"/>
    <w:rsid w:val="008F6D80"/>
    <w:rsid w:val="008F7A2C"/>
    <w:rsid w:val="009115EA"/>
    <w:rsid w:val="00914D71"/>
    <w:rsid w:val="00920BE5"/>
    <w:rsid w:val="009254A0"/>
    <w:rsid w:val="00930D5E"/>
    <w:rsid w:val="00937073"/>
    <w:rsid w:val="009411AA"/>
    <w:rsid w:val="00956C9D"/>
    <w:rsid w:val="009630BA"/>
    <w:rsid w:val="00973682"/>
    <w:rsid w:val="00973E00"/>
    <w:rsid w:val="00974D90"/>
    <w:rsid w:val="00984833"/>
    <w:rsid w:val="009907B2"/>
    <w:rsid w:val="00994448"/>
    <w:rsid w:val="009976D2"/>
    <w:rsid w:val="009A6AC1"/>
    <w:rsid w:val="009B39D0"/>
    <w:rsid w:val="009B426B"/>
    <w:rsid w:val="009C10C0"/>
    <w:rsid w:val="009C4435"/>
    <w:rsid w:val="009C53D3"/>
    <w:rsid w:val="009D133C"/>
    <w:rsid w:val="009D5137"/>
    <w:rsid w:val="009D6648"/>
    <w:rsid w:val="009E2A42"/>
    <w:rsid w:val="009E2B35"/>
    <w:rsid w:val="009E39D3"/>
    <w:rsid w:val="009E7388"/>
    <w:rsid w:val="009F1ABB"/>
    <w:rsid w:val="009F1F32"/>
    <w:rsid w:val="009F6C03"/>
    <w:rsid w:val="00A0137A"/>
    <w:rsid w:val="00A053C2"/>
    <w:rsid w:val="00A07492"/>
    <w:rsid w:val="00A153A8"/>
    <w:rsid w:val="00A165C7"/>
    <w:rsid w:val="00A252F4"/>
    <w:rsid w:val="00A45216"/>
    <w:rsid w:val="00A460E5"/>
    <w:rsid w:val="00A4786D"/>
    <w:rsid w:val="00A47B8C"/>
    <w:rsid w:val="00A55741"/>
    <w:rsid w:val="00A55ADA"/>
    <w:rsid w:val="00A61AB6"/>
    <w:rsid w:val="00A6303D"/>
    <w:rsid w:val="00A65782"/>
    <w:rsid w:val="00A7262E"/>
    <w:rsid w:val="00A7302C"/>
    <w:rsid w:val="00A95942"/>
    <w:rsid w:val="00A971EE"/>
    <w:rsid w:val="00AA52D0"/>
    <w:rsid w:val="00AC14AE"/>
    <w:rsid w:val="00AC4518"/>
    <w:rsid w:val="00AE4FCD"/>
    <w:rsid w:val="00AF1801"/>
    <w:rsid w:val="00B12DE3"/>
    <w:rsid w:val="00B16CEB"/>
    <w:rsid w:val="00B202EF"/>
    <w:rsid w:val="00B20805"/>
    <w:rsid w:val="00B21645"/>
    <w:rsid w:val="00B24268"/>
    <w:rsid w:val="00B366D5"/>
    <w:rsid w:val="00B51740"/>
    <w:rsid w:val="00B570D9"/>
    <w:rsid w:val="00B7234A"/>
    <w:rsid w:val="00B75C15"/>
    <w:rsid w:val="00B9226A"/>
    <w:rsid w:val="00BA6ABB"/>
    <w:rsid w:val="00BC0E14"/>
    <w:rsid w:val="00BD1D9D"/>
    <w:rsid w:val="00BE36F3"/>
    <w:rsid w:val="00BE603C"/>
    <w:rsid w:val="00BF24C0"/>
    <w:rsid w:val="00C05FED"/>
    <w:rsid w:val="00C07CC9"/>
    <w:rsid w:val="00C10CC0"/>
    <w:rsid w:val="00C240E4"/>
    <w:rsid w:val="00C34ECD"/>
    <w:rsid w:val="00C47E80"/>
    <w:rsid w:val="00C55EF9"/>
    <w:rsid w:val="00C55F39"/>
    <w:rsid w:val="00C62DB2"/>
    <w:rsid w:val="00C64233"/>
    <w:rsid w:val="00C65467"/>
    <w:rsid w:val="00C71006"/>
    <w:rsid w:val="00C73FF8"/>
    <w:rsid w:val="00C76689"/>
    <w:rsid w:val="00C932E3"/>
    <w:rsid w:val="00C962AC"/>
    <w:rsid w:val="00CA3C99"/>
    <w:rsid w:val="00CA613C"/>
    <w:rsid w:val="00CA67AA"/>
    <w:rsid w:val="00CC3943"/>
    <w:rsid w:val="00CD720A"/>
    <w:rsid w:val="00CE022E"/>
    <w:rsid w:val="00CE0EEC"/>
    <w:rsid w:val="00CE1EA3"/>
    <w:rsid w:val="00CE6A16"/>
    <w:rsid w:val="00CF279D"/>
    <w:rsid w:val="00CF33E7"/>
    <w:rsid w:val="00D1107D"/>
    <w:rsid w:val="00D231CD"/>
    <w:rsid w:val="00D308FC"/>
    <w:rsid w:val="00D444E0"/>
    <w:rsid w:val="00D62E96"/>
    <w:rsid w:val="00D64958"/>
    <w:rsid w:val="00D74864"/>
    <w:rsid w:val="00D864E1"/>
    <w:rsid w:val="00D921C5"/>
    <w:rsid w:val="00D93101"/>
    <w:rsid w:val="00D9729D"/>
    <w:rsid w:val="00DA1F77"/>
    <w:rsid w:val="00DC5226"/>
    <w:rsid w:val="00DC73A3"/>
    <w:rsid w:val="00DD1EAE"/>
    <w:rsid w:val="00DD2A00"/>
    <w:rsid w:val="00DE3188"/>
    <w:rsid w:val="00DE3515"/>
    <w:rsid w:val="00DE5BE7"/>
    <w:rsid w:val="00DF0823"/>
    <w:rsid w:val="00E05BD4"/>
    <w:rsid w:val="00E100B4"/>
    <w:rsid w:val="00E11FE2"/>
    <w:rsid w:val="00E130CB"/>
    <w:rsid w:val="00E22434"/>
    <w:rsid w:val="00E24795"/>
    <w:rsid w:val="00E25F1E"/>
    <w:rsid w:val="00E379E2"/>
    <w:rsid w:val="00E50549"/>
    <w:rsid w:val="00E64066"/>
    <w:rsid w:val="00E67668"/>
    <w:rsid w:val="00E73E25"/>
    <w:rsid w:val="00E8071E"/>
    <w:rsid w:val="00E829ED"/>
    <w:rsid w:val="00E870A9"/>
    <w:rsid w:val="00E91DAC"/>
    <w:rsid w:val="00E92421"/>
    <w:rsid w:val="00EB1992"/>
    <w:rsid w:val="00EC1517"/>
    <w:rsid w:val="00EC3650"/>
    <w:rsid w:val="00EC4D83"/>
    <w:rsid w:val="00EC7AA9"/>
    <w:rsid w:val="00EE0568"/>
    <w:rsid w:val="00EE2F40"/>
    <w:rsid w:val="00EF6BE2"/>
    <w:rsid w:val="00F04E92"/>
    <w:rsid w:val="00F1386D"/>
    <w:rsid w:val="00F17B6E"/>
    <w:rsid w:val="00F2231A"/>
    <w:rsid w:val="00F32F7D"/>
    <w:rsid w:val="00F332CB"/>
    <w:rsid w:val="00F425C0"/>
    <w:rsid w:val="00F51D5F"/>
    <w:rsid w:val="00F53FB6"/>
    <w:rsid w:val="00F560CA"/>
    <w:rsid w:val="00F63E6D"/>
    <w:rsid w:val="00F7298D"/>
    <w:rsid w:val="00F72CA9"/>
    <w:rsid w:val="00F82E07"/>
    <w:rsid w:val="00F870AF"/>
    <w:rsid w:val="00F933A2"/>
    <w:rsid w:val="00F93628"/>
    <w:rsid w:val="00F93983"/>
    <w:rsid w:val="00FA03F1"/>
    <w:rsid w:val="00FA5327"/>
    <w:rsid w:val="00FA5A33"/>
    <w:rsid w:val="00FB11D8"/>
    <w:rsid w:val="00FC5563"/>
    <w:rsid w:val="00FD0A24"/>
    <w:rsid w:val="00FD1912"/>
    <w:rsid w:val="00FE7499"/>
    <w:rsid w:val="00FF7248"/>
    <w:rsid w:val="01710259"/>
    <w:rsid w:val="01DF79C5"/>
    <w:rsid w:val="022071A1"/>
    <w:rsid w:val="02584564"/>
    <w:rsid w:val="02832449"/>
    <w:rsid w:val="02A4476B"/>
    <w:rsid w:val="02A65CAE"/>
    <w:rsid w:val="02D77F61"/>
    <w:rsid w:val="040D6D41"/>
    <w:rsid w:val="04126045"/>
    <w:rsid w:val="04155920"/>
    <w:rsid w:val="045C29A7"/>
    <w:rsid w:val="050E411D"/>
    <w:rsid w:val="05793C8D"/>
    <w:rsid w:val="05CF1AFF"/>
    <w:rsid w:val="06357BC4"/>
    <w:rsid w:val="067D155B"/>
    <w:rsid w:val="06EB2968"/>
    <w:rsid w:val="06F4641F"/>
    <w:rsid w:val="071147B3"/>
    <w:rsid w:val="07326D5C"/>
    <w:rsid w:val="074A2E82"/>
    <w:rsid w:val="075B351E"/>
    <w:rsid w:val="078608E3"/>
    <w:rsid w:val="078801B7"/>
    <w:rsid w:val="07C95AF2"/>
    <w:rsid w:val="07CB4548"/>
    <w:rsid w:val="08CA47FF"/>
    <w:rsid w:val="0A5847B8"/>
    <w:rsid w:val="0A7B2255"/>
    <w:rsid w:val="0A8A21E9"/>
    <w:rsid w:val="0AB17A25"/>
    <w:rsid w:val="0AD16319"/>
    <w:rsid w:val="0AFA421B"/>
    <w:rsid w:val="0B2520E4"/>
    <w:rsid w:val="0B536D2E"/>
    <w:rsid w:val="0B6977BE"/>
    <w:rsid w:val="0BDF4C6D"/>
    <w:rsid w:val="0BFA364D"/>
    <w:rsid w:val="0C134E4B"/>
    <w:rsid w:val="0C2C7CAB"/>
    <w:rsid w:val="0CD10852"/>
    <w:rsid w:val="0D215336"/>
    <w:rsid w:val="0D3A63F7"/>
    <w:rsid w:val="0D72249E"/>
    <w:rsid w:val="0D731909"/>
    <w:rsid w:val="0DBB7A42"/>
    <w:rsid w:val="0DE63E89"/>
    <w:rsid w:val="0DF90060"/>
    <w:rsid w:val="0E0C25C6"/>
    <w:rsid w:val="0E5E4367"/>
    <w:rsid w:val="0E690E05"/>
    <w:rsid w:val="0EAF1387"/>
    <w:rsid w:val="0EC71F0D"/>
    <w:rsid w:val="0ECC08B5"/>
    <w:rsid w:val="0ED91C40"/>
    <w:rsid w:val="0F305812"/>
    <w:rsid w:val="0F9A317D"/>
    <w:rsid w:val="0FCF7A0F"/>
    <w:rsid w:val="0FEA7F73"/>
    <w:rsid w:val="10341FC5"/>
    <w:rsid w:val="10F468BD"/>
    <w:rsid w:val="126F6B43"/>
    <w:rsid w:val="132F1E2E"/>
    <w:rsid w:val="13963C5C"/>
    <w:rsid w:val="13C609E5"/>
    <w:rsid w:val="13E1581F"/>
    <w:rsid w:val="141E3A2D"/>
    <w:rsid w:val="148B578A"/>
    <w:rsid w:val="1573694A"/>
    <w:rsid w:val="157A0C1D"/>
    <w:rsid w:val="15897F1C"/>
    <w:rsid w:val="15D46CBD"/>
    <w:rsid w:val="15DA6411"/>
    <w:rsid w:val="160C28FB"/>
    <w:rsid w:val="160E6673"/>
    <w:rsid w:val="16DB3947"/>
    <w:rsid w:val="17017F86"/>
    <w:rsid w:val="17263548"/>
    <w:rsid w:val="17604CAC"/>
    <w:rsid w:val="17B86896"/>
    <w:rsid w:val="187A7FF0"/>
    <w:rsid w:val="188B3FAB"/>
    <w:rsid w:val="1892063E"/>
    <w:rsid w:val="18E727CD"/>
    <w:rsid w:val="193A152D"/>
    <w:rsid w:val="19434886"/>
    <w:rsid w:val="195A16BE"/>
    <w:rsid w:val="198F4120"/>
    <w:rsid w:val="19DC433A"/>
    <w:rsid w:val="1A693E78"/>
    <w:rsid w:val="1AEA4385"/>
    <w:rsid w:val="1B7725C5"/>
    <w:rsid w:val="1BF63E31"/>
    <w:rsid w:val="1C077DEC"/>
    <w:rsid w:val="1C492974"/>
    <w:rsid w:val="1C547577"/>
    <w:rsid w:val="1C8A5E1D"/>
    <w:rsid w:val="1C994A39"/>
    <w:rsid w:val="1CD203FA"/>
    <w:rsid w:val="1D0C4D3C"/>
    <w:rsid w:val="1D277207"/>
    <w:rsid w:val="1D2D26EF"/>
    <w:rsid w:val="1D6C77E5"/>
    <w:rsid w:val="1DB23E29"/>
    <w:rsid w:val="1DF3687A"/>
    <w:rsid w:val="1E20147D"/>
    <w:rsid w:val="1E366767"/>
    <w:rsid w:val="1E4A3662"/>
    <w:rsid w:val="1F6317DE"/>
    <w:rsid w:val="1F71101F"/>
    <w:rsid w:val="1FFF6E7D"/>
    <w:rsid w:val="20126D60"/>
    <w:rsid w:val="201B2CEC"/>
    <w:rsid w:val="208F6602"/>
    <w:rsid w:val="20992FDD"/>
    <w:rsid w:val="210963B5"/>
    <w:rsid w:val="213827F6"/>
    <w:rsid w:val="215313DE"/>
    <w:rsid w:val="21835AB5"/>
    <w:rsid w:val="21A468A4"/>
    <w:rsid w:val="21B65D80"/>
    <w:rsid w:val="21E85FCA"/>
    <w:rsid w:val="2254540E"/>
    <w:rsid w:val="228F4698"/>
    <w:rsid w:val="229E1ABC"/>
    <w:rsid w:val="22A379E2"/>
    <w:rsid w:val="22B776E8"/>
    <w:rsid w:val="23627FFE"/>
    <w:rsid w:val="2372162E"/>
    <w:rsid w:val="23767606"/>
    <w:rsid w:val="238D507B"/>
    <w:rsid w:val="23A234B9"/>
    <w:rsid w:val="23A67EEB"/>
    <w:rsid w:val="23A75A11"/>
    <w:rsid w:val="23F35AE8"/>
    <w:rsid w:val="24651B54"/>
    <w:rsid w:val="24B369D8"/>
    <w:rsid w:val="24F5112A"/>
    <w:rsid w:val="2591155E"/>
    <w:rsid w:val="261B0FF3"/>
    <w:rsid w:val="263F5D82"/>
    <w:rsid w:val="264B2FCC"/>
    <w:rsid w:val="268C01ED"/>
    <w:rsid w:val="26DE5BEE"/>
    <w:rsid w:val="274041B2"/>
    <w:rsid w:val="27693709"/>
    <w:rsid w:val="27765CCC"/>
    <w:rsid w:val="277B343D"/>
    <w:rsid w:val="283917B1"/>
    <w:rsid w:val="28B05368"/>
    <w:rsid w:val="28DC43AF"/>
    <w:rsid w:val="28DC615D"/>
    <w:rsid w:val="29807A50"/>
    <w:rsid w:val="29D60DFE"/>
    <w:rsid w:val="29DD55F2"/>
    <w:rsid w:val="29E277A3"/>
    <w:rsid w:val="29F574D6"/>
    <w:rsid w:val="2AF849C9"/>
    <w:rsid w:val="2B33475A"/>
    <w:rsid w:val="2B4B5792"/>
    <w:rsid w:val="2B976F30"/>
    <w:rsid w:val="2BFC2FE9"/>
    <w:rsid w:val="2C08709E"/>
    <w:rsid w:val="2C5A1872"/>
    <w:rsid w:val="2CC15DE5"/>
    <w:rsid w:val="2CF34D6C"/>
    <w:rsid w:val="2D3D2EDC"/>
    <w:rsid w:val="2D745BE9"/>
    <w:rsid w:val="2D834DF9"/>
    <w:rsid w:val="2DB11966"/>
    <w:rsid w:val="2DF61A6F"/>
    <w:rsid w:val="2E732C49"/>
    <w:rsid w:val="2E921798"/>
    <w:rsid w:val="2E9B1989"/>
    <w:rsid w:val="2EB45BB2"/>
    <w:rsid w:val="2EB72939"/>
    <w:rsid w:val="2EF6790B"/>
    <w:rsid w:val="2F234AE5"/>
    <w:rsid w:val="2F8F217B"/>
    <w:rsid w:val="304C7C44"/>
    <w:rsid w:val="30640F12"/>
    <w:rsid w:val="30A9101A"/>
    <w:rsid w:val="30BF083E"/>
    <w:rsid w:val="31182766"/>
    <w:rsid w:val="311E37B6"/>
    <w:rsid w:val="317523A0"/>
    <w:rsid w:val="31B25CBA"/>
    <w:rsid w:val="31D67BED"/>
    <w:rsid w:val="31E51AE5"/>
    <w:rsid w:val="32026530"/>
    <w:rsid w:val="323112C7"/>
    <w:rsid w:val="32902492"/>
    <w:rsid w:val="32E8333F"/>
    <w:rsid w:val="334B0AD8"/>
    <w:rsid w:val="33894D71"/>
    <w:rsid w:val="342804A8"/>
    <w:rsid w:val="344C595B"/>
    <w:rsid w:val="344D7F0F"/>
    <w:rsid w:val="3462189E"/>
    <w:rsid w:val="34DF14AF"/>
    <w:rsid w:val="35003DBB"/>
    <w:rsid w:val="35521C81"/>
    <w:rsid w:val="3564587C"/>
    <w:rsid w:val="35E30B2B"/>
    <w:rsid w:val="36321AB2"/>
    <w:rsid w:val="36530584"/>
    <w:rsid w:val="36537489"/>
    <w:rsid w:val="369B4675"/>
    <w:rsid w:val="36B7431F"/>
    <w:rsid w:val="374D1A57"/>
    <w:rsid w:val="375515B4"/>
    <w:rsid w:val="375F2433"/>
    <w:rsid w:val="378E0F6A"/>
    <w:rsid w:val="379E11AD"/>
    <w:rsid w:val="37BB4E8B"/>
    <w:rsid w:val="387A39BB"/>
    <w:rsid w:val="38BB5D8F"/>
    <w:rsid w:val="38F94DA0"/>
    <w:rsid w:val="39095129"/>
    <w:rsid w:val="39527E45"/>
    <w:rsid w:val="395B30CE"/>
    <w:rsid w:val="3986639D"/>
    <w:rsid w:val="39C01CBF"/>
    <w:rsid w:val="3A0967BA"/>
    <w:rsid w:val="3A683CF4"/>
    <w:rsid w:val="3A6F0BDF"/>
    <w:rsid w:val="3A970136"/>
    <w:rsid w:val="3AE555F4"/>
    <w:rsid w:val="3B1526C3"/>
    <w:rsid w:val="3B6C5106"/>
    <w:rsid w:val="3B8C5779"/>
    <w:rsid w:val="3D1141CF"/>
    <w:rsid w:val="3D3B0201"/>
    <w:rsid w:val="3D5347E8"/>
    <w:rsid w:val="3DC54B88"/>
    <w:rsid w:val="3E486933"/>
    <w:rsid w:val="3E8B6203"/>
    <w:rsid w:val="3E9311C3"/>
    <w:rsid w:val="3EE94A45"/>
    <w:rsid w:val="3F401D03"/>
    <w:rsid w:val="3F80388E"/>
    <w:rsid w:val="40251D40"/>
    <w:rsid w:val="403F2E01"/>
    <w:rsid w:val="40FE4A6B"/>
    <w:rsid w:val="413E3AFA"/>
    <w:rsid w:val="41C72F12"/>
    <w:rsid w:val="41E719A3"/>
    <w:rsid w:val="42132953"/>
    <w:rsid w:val="4233229F"/>
    <w:rsid w:val="42B831AD"/>
    <w:rsid w:val="432B2DF5"/>
    <w:rsid w:val="432F3861"/>
    <w:rsid w:val="43672D9B"/>
    <w:rsid w:val="43E801BF"/>
    <w:rsid w:val="43EB658B"/>
    <w:rsid w:val="44365093"/>
    <w:rsid w:val="44684F76"/>
    <w:rsid w:val="44F22B38"/>
    <w:rsid w:val="44F7014F"/>
    <w:rsid w:val="45132AAF"/>
    <w:rsid w:val="452059D0"/>
    <w:rsid w:val="45205D32"/>
    <w:rsid w:val="459867A7"/>
    <w:rsid w:val="45B46040"/>
    <w:rsid w:val="45E5458F"/>
    <w:rsid w:val="45F4643C"/>
    <w:rsid w:val="466E4440"/>
    <w:rsid w:val="46E14C12"/>
    <w:rsid w:val="46E666CD"/>
    <w:rsid w:val="47584714"/>
    <w:rsid w:val="47703310"/>
    <w:rsid w:val="47A3636C"/>
    <w:rsid w:val="47C27346"/>
    <w:rsid w:val="482E20D9"/>
    <w:rsid w:val="48741AB6"/>
    <w:rsid w:val="48AE450D"/>
    <w:rsid w:val="48AE5485"/>
    <w:rsid w:val="4910358D"/>
    <w:rsid w:val="49357497"/>
    <w:rsid w:val="49663AF5"/>
    <w:rsid w:val="49997A26"/>
    <w:rsid w:val="49C34AA3"/>
    <w:rsid w:val="4A0E66D8"/>
    <w:rsid w:val="4AD3032F"/>
    <w:rsid w:val="4AD8457E"/>
    <w:rsid w:val="4B55797D"/>
    <w:rsid w:val="4B5B6BAD"/>
    <w:rsid w:val="4B643EDA"/>
    <w:rsid w:val="4B774FCB"/>
    <w:rsid w:val="4BAB7C31"/>
    <w:rsid w:val="4BF93426"/>
    <w:rsid w:val="4C001FDF"/>
    <w:rsid w:val="4C0575F5"/>
    <w:rsid w:val="4C6065D9"/>
    <w:rsid w:val="4C7107E7"/>
    <w:rsid w:val="4CB26265"/>
    <w:rsid w:val="4CBE5242"/>
    <w:rsid w:val="4CF82CB6"/>
    <w:rsid w:val="4CFB27A6"/>
    <w:rsid w:val="4D0B0C3B"/>
    <w:rsid w:val="4D1B0752"/>
    <w:rsid w:val="4D21045F"/>
    <w:rsid w:val="4DB72B71"/>
    <w:rsid w:val="4E04568A"/>
    <w:rsid w:val="4E2E3FCE"/>
    <w:rsid w:val="4E377D35"/>
    <w:rsid w:val="4E4B5067"/>
    <w:rsid w:val="4E536867"/>
    <w:rsid w:val="4EC56BC8"/>
    <w:rsid w:val="4EDE59FF"/>
    <w:rsid w:val="4EF456FF"/>
    <w:rsid w:val="4F021BCA"/>
    <w:rsid w:val="4F22226C"/>
    <w:rsid w:val="4F251C07"/>
    <w:rsid w:val="4F2953A8"/>
    <w:rsid w:val="4F71212E"/>
    <w:rsid w:val="4F813436"/>
    <w:rsid w:val="4F872686"/>
    <w:rsid w:val="50506965"/>
    <w:rsid w:val="5075461D"/>
    <w:rsid w:val="509B0528"/>
    <w:rsid w:val="50DC0857"/>
    <w:rsid w:val="51312C3A"/>
    <w:rsid w:val="51D231BB"/>
    <w:rsid w:val="51DB0B9F"/>
    <w:rsid w:val="51FF4AE6"/>
    <w:rsid w:val="52350508"/>
    <w:rsid w:val="523F74C8"/>
    <w:rsid w:val="527E5A0B"/>
    <w:rsid w:val="52B93D27"/>
    <w:rsid w:val="52D41ACF"/>
    <w:rsid w:val="5349018F"/>
    <w:rsid w:val="5351765E"/>
    <w:rsid w:val="535A51E8"/>
    <w:rsid w:val="53670B95"/>
    <w:rsid w:val="53CD6E0E"/>
    <w:rsid w:val="53F51CFD"/>
    <w:rsid w:val="542A4F69"/>
    <w:rsid w:val="547E2D77"/>
    <w:rsid w:val="54D07995"/>
    <w:rsid w:val="5536081F"/>
    <w:rsid w:val="553C23A8"/>
    <w:rsid w:val="55425416"/>
    <w:rsid w:val="55C0633B"/>
    <w:rsid w:val="55D87B28"/>
    <w:rsid w:val="55EC65BF"/>
    <w:rsid w:val="56C51449"/>
    <w:rsid w:val="5716377B"/>
    <w:rsid w:val="577B69BD"/>
    <w:rsid w:val="57FB7AFE"/>
    <w:rsid w:val="58244F2D"/>
    <w:rsid w:val="58580AAD"/>
    <w:rsid w:val="587A428A"/>
    <w:rsid w:val="58F033DB"/>
    <w:rsid w:val="58FE1654"/>
    <w:rsid w:val="59284E5E"/>
    <w:rsid w:val="592E6D1B"/>
    <w:rsid w:val="59817B0C"/>
    <w:rsid w:val="59E018DA"/>
    <w:rsid w:val="5A4A08C9"/>
    <w:rsid w:val="5A627DD5"/>
    <w:rsid w:val="5ABF4E13"/>
    <w:rsid w:val="5B9E0ECC"/>
    <w:rsid w:val="5BB84696"/>
    <w:rsid w:val="5BC76675"/>
    <w:rsid w:val="5BCF1086"/>
    <w:rsid w:val="5BE32D83"/>
    <w:rsid w:val="5C043EDC"/>
    <w:rsid w:val="5C1B6972"/>
    <w:rsid w:val="5C231444"/>
    <w:rsid w:val="5C2D468F"/>
    <w:rsid w:val="5CC508E8"/>
    <w:rsid w:val="5CC62D93"/>
    <w:rsid w:val="5D7875A6"/>
    <w:rsid w:val="5DC80482"/>
    <w:rsid w:val="5E070FAB"/>
    <w:rsid w:val="5E335A2B"/>
    <w:rsid w:val="5E7E6D93"/>
    <w:rsid w:val="5EB33E47"/>
    <w:rsid w:val="5ECC322D"/>
    <w:rsid w:val="5F0D0843"/>
    <w:rsid w:val="5F4104EC"/>
    <w:rsid w:val="5F9A1870"/>
    <w:rsid w:val="5FAB3BB8"/>
    <w:rsid w:val="5FB07420"/>
    <w:rsid w:val="5FCF23D7"/>
    <w:rsid w:val="606721D5"/>
    <w:rsid w:val="608C5797"/>
    <w:rsid w:val="6091105C"/>
    <w:rsid w:val="618D6991"/>
    <w:rsid w:val="62783A56"/>
    <w:rsid w:val="629205F1"/>
    <w:rsid w:val="629B1C54"/>
    <w:rsid w:val="631B1734"/>
    <w:rsid w:val="63253E3F"/>
    <w:rsid w:val="632E258D"/>
    <w:rsid w:val="63660521"/>
    <w:rsid w:val="63B806E4"/>
    <w:rsid w:val="63C11BFC"/>
    <w:rsid w:val="641206A9"/>
    <w:rsid w:val="648306FB"/>
    <w:rsid w:val="648A0240"/>
    <w:rsid w:val="64A01811"/>
    <w:rsid w:val="64BC23C3"/>
    <w:rsid w:val="64E060B2"/>
    <w:rsid w:val="656071F2"/>
    <w:rsid w:val="657B62F9"/>
    <w:rsid w:val="65841133"/>
    <w:rsid w:val="65B0017A"/>
    <w:rsid w:val="65E676F8"/>
    <w:rsid w:val="660B715E"/>
    <w:rsid w:val="667411A7"/>
    <w:rsid w:val="6683763C"/>
    <w:rsid w:val="670A1B0C"/>
    <w:rsid w:val="672542C6"/>
    <w:rsid w:val="67395F4D"/>
    <w:rsid w:val="67803B7C"/>
    <w:rsid w:val="67826ADF"/>
    <w:rsid w:val="67F27115"/>
    <w:rsid w:val="684E5A28"/>
    <w:rsid w:val="686D4100"/>
    <w:rsid w:val="68953223"/>
    <w:rsid w:val="689803F1"/>
    <w:rsid w:val="68A815DC"/>
    <w:rsid w:val="68F366C9"/>
    <w:rsid w:val="69831701"/>
    <w:rsid w:val="69961435"/>
    <w:rsid w:val="69BA15C7"/>
    <w:rsid w:val="69BF098B"/>
    <w:rsid w:val="69D62568"/>
    <w:rsid w:val="6A4A0EC1"/>
    <w:rsid w:val="6A5A06B4"/>
    <w:rsid w:val="6A5A6906"/>
    <w:rsid w:val="6A5F216E"/>
    <w:rsid w:val="6ADE5B22"/>
    <w:rsid w:val="6B8533ED"/>
    <w:rsid w:val="6BCF6E80"/>
    <w:rsid w:val="6BE36235"/>
    <w:rsid w:val="6C133210"/>
    <w:rsid w:val="6C723331"/>
    <w:rsid w:val="6CA332C1"/>
    <w:rsid w:val="6CE54BAD"/>
    <w:rsid w:val="6CEA7E42"/>
    <w:rsid w:val="6CF272CA"/>
    <w:rsid w:val="6D2A25C0"/>
    <w:rsid w:val="6D2C04B0"/>
    <w:rsid w:val="6DA93E2C"/>
    <w:rsid w:val="6EF71F60"/>
    <w:rsid w:val="6F0E623B"/>
    <w:rsid w:val="6F3911E0"/>
    <w:rsid w:val="6F5E7639"/>
    <w:rsid w:val="6FE32EFA"/>
    <w:rsid w:val="704A4F50"/>
    <w:rsid w:val="70526FFA"/>
    <w:rsid w:val="705C6058"/>
    <w:rsid w:val="70BA1EAD"/>
    <w:rsid w:val="711C2B67"/>
    <w:rsid w:val="71384A33"/>
    <w:rsid w:val="71586FA4"/>
    <w:rsid w:val="717604C9"/>
    <w:rsid w:val="718F50E7"/>
    <w:rsid w:val="71A37E47"/>
    <w:rsid w:val="71BC1C54"/>
    <w:rsid w:val="71C57E84"/>
    <w:rsid w:val="71D1732D"/>
    <w:rsid w:val="71F72C8D"/>
    <w:rsid w:val="72282E5A"/>
    <w:rsid w:val="7238752D"/>
    <w:rsid w:val="72C07522"/>
    <w:rsid w:val="72D07765"/>
    <w:rsid w:val="72F80286"/>
    <w:rsid w:val="7309711B"/>
    <w:rsid w:val="738B18DE"/>
    <w:rsid w:val="73903399"/>
    <w:rsid w:val="73942E89"/>
    <w:rsid w:val="73C848E1"/>
    <w:rsid w:val="741144D9"/>
    <w:rsid w:val="74143FCA"/>
    <w:rsid w:val="741F373C"/>
    <w:rsid w:val="745D537C"/>
    <w:rsid w:val="7491561A"/>
    <w:rsid w:val="74DB48CA"/>
    <w:rsid w:val="74E219D2"/>
    <w:rsid w:val="74F26A6B"/>
    <w:rsid w:val="74F811F5"/>
    <w:rsid w:val="75446243"/>
    <w:rsid w:val="758C65D5"/>
    <w:rsid w:val="762027B2"/>
    <w:rsid w:val="76236364"/>
    <w:rsid w:val="7650526E"/>
    <w:rsid w:val="765406AD"/>
    <w:rsid w:val="76653E2A"/>
    <w:rsid w:val="76AC04E9"/>
    <w:rsid w:val="76AF73D6"/>
    <w:rsid w:val="76F91C94"/>
    <w:rsid w:val="76FA1255"/>
    <w:rsid w:val="77185C44"/>
    <w:rsid w:val="77216323"/>
    <w:rsid w:val="775451C9"/>
    <w:rsid w:val="77972F67"/>
    <w:rsid w:val="77AA4B19"/>
    <w:rsid w:val="77BE29A8"/>
    <w:rsid w:val="77EF4B32"/>
    <w:rsid w:val="78012A39"/>
    <w:rsid w:val="78462278"/>
    <w:rsid w:val="78D45AD6"/>
    <w:rsid w:val="78F30652"/>
    <w:rsid w:val="792F71B0"/>
    <w:rsid w:val="799A0ACD"/>
    <w:rsid w:val="79B165ED"/>
    <w:rsid w:val="79B53B59"/>
    <w:rsid w:val="79DC2E94"/>
    <w:rsid w:val="79F77CCE"/>
    <w:rsid w:val="7A1328D6"/>
    <w:rsid w:val="7A1C14E2"/>
    <w:rsid w:val="7A8D2E7E"/>
    <w:rsid w:val="7AEC5358"/>
    <w:rsid w:val="7B452056"/>
    <w:rsid w:val="7C8E336B"/>
    <w:rsid w:val="7D0B2034"/>
    <w:rsid w:val="7DCA425B"/>
    <w:rsid w:val="7DCC76C3"/>
    <w:rsid w:val="7E394D59"/>
    <w:rsid w:val="7E3F7E95"/>
    <w:rsid w:val="7E5E415E"/>
    <w:rsid w:val="7E694F72"/>
    <w:rsid w:val="7E6D67B0"/>
    <w:rsid w:val="7FC921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Theme="minorEastAsia" w:cs="Lohit Devanaga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iPriority="99"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99"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7"/>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5">
    <w:name w:val="heading 3"/>
    <w:basedOn w:val="1"/>
    <w:next w:val="1"/>
    <w:link w:val="39"/>
    <w:semiHidden/>
    <w:unhideWhenUsed/>
    <w:qFormat/>
    <w:uiPriority w:val="0"/>
    <w:pPr>
      <w:keepNext/>
      <w:keepLines/>
      <w:spacing w:before="260" w:after="260" w:line="416" w:lineRule="auto"/>
      <w:outlineLvl w:val="2"/>
    </w:pPr>
    <w:rPr>
      <w:b/>
      <w:bCs/>
      <w:sz w:val="32"/>
      <w:szCs w:val="32"/>
    </w:rPr>
  </w:style>
  <w:style w:type="paragraph" w:styleId="6">
    <w:name w:val="heading 4"/>
    <w:basedOn w:val="1"/>
    <w:next w:val="1"/>
    <w:unhideWhenUsed/>
    <w:qFormat/>
    <w:uiPriority w:val="0"/>
    <w:pPr>
      <w:keepNext/>
      <w:keepLines/>
      <w:numPr>
        <w:ilvl w:val="0"/>
        <w:numId w:val="1"/>
      </w:numPr>
      <w:spacing w:before="280" w:after="290" w:line="372" w:lineRule="auto"/>
      <w:outlineLvl w:val="3"/>
    </w:pPr>
    <w:rPr>
      <w:rFonts w:ascii="Arial" w:hAnsi="Arial" w:eastAsia="黑体"/>
      <w:b/>
      <w:sz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23"/>
    <w:qFormat/>
    <w:uiPriority w:val="0"/>
    <w:rPr>
      <w:rFonts w:ascii="宋体" w:hAnsi="Courier New" w:eastAsia="宋体"/>
    </w:rPr>
  </w:style>
  <w:style w:type="paragraph" w:styleId="7">
    <w:name w:val="toa heading"/>
    <w:basedOn w:val="1"/>
    <w:next w:val="1"/>
    <w:qFormat/>
    <w:uiPriority w:val="0"/>
    <w:pPr>
      <w:spacing w:before="120"/>
    </w:pPr>
    <w:rPr>
      <w:rFonts w:ascii="Arial" w:hAnsi="Arial" w:eastAsia="宋体" w:cs="Arial"/>
      <w:sz w:val="24"/>
      <w:szCs w:val="24"/>
    </w:rPr>
  </w:style>
  <w:style w:type="paragraph" w:styleId="8">
    <w:name w:val="annotation text"/>
    <w:basedOn w:val="1"/>
    <w:qFormat/>
    <w:uiPriority w:val="0"/>
    <w:pPr>
      <w:jc w:val="left"/>
    </w:pPr>
  </w:style>
  <w:style w:type="paragraph" w:styleId="9">
    <w:name w:val="Body Text"/>
    <w:basedOn w:val="1"/>
    <w:link w:val="40"/>
    <w:qFormat/>
    <w:uiPriority w:val="0"/>
    <w:rPr>
      <w:rFonts w:ascii="仿宋_GB2312" w:hAnsi="Times New Roman" w:eastAsia="仿宋_GB2312" w:cs="Times New Roman"/>
      <w:sz w:val="32"/>
      <w:szCs w:val="20"/>
    </w:rPr>
  </w:style>
  <w:style w:type="paragraph" w:styleId="10">
    <w:name w:val="Body Text Indent 2"/>
    <w:basedOn w:val="1"/>
    <w:link w:val="43"/>
    <w:qFormat/>
    <w:uiPriority w:val="0"/>
    <w:pPr>
      <w:spacing w:after="120" w:line="480" w:lineRule="auto"/>
      <w:ind w:left="420" w:leftChars="200"/>
    </w:pPr>
  </w:style>
  <w:style w:type="paragraph" w:styleId="11">
    <w:name w:val="endnote text"/>
    <w:basedOn w:val="1"/>
    <w:link w:val="44"/>
    <w:unhideWhenUsed/>
    <w:qFormat/>
    <w:uiPriority w:val="99"/>
    <w:pPr>
      <w:snapToGrid w:val="0"/>
      <w:jc w:val="left"/>
    </w:pPr>
  </w:style>
  <w:style w:type="paragraph" w:styleId="12">
    <w:name w:val="Balloon Text"/>
    <w:basedOn w:val="1"/>
    <w:link w:val="45"/>
    <w:qFormat/>
    <w:uiPriority w:val="0"/>
    <w:rPr>
      <w:sz w:val="18"/>
      <w:szCs w:val="18"/>
    </w:rPr>
  </w:style>
  <w:style w:type="paragraph" w:styleId="13">
    <w:name w:val="footer"/>
    <w:basedOn w:val="1"/>
    <w:link w:val="21"/>
    <w:qFormat/>
    <w:uiPriority w:val="99"/>
    <w:pPr>
      <w:tabs>
        <w:tab w:val="center" w:pos="4153"/>
        <w:tab w:val="right" w:pos="8306"/>
      </w:tabs>
      <w:snapToGrid w:val="0"/>
      <w:jc w:val="left"/>
    </w:pPr>
    <w:rPr>
      <w:sz w:val="18"/>
      <w:szCs w:val="18"/>
    </w:rPr>
  </w:style>
  <w:style w:type="paragraph" w:styleId="14">
    <w:name w:val="header"/>
    <w:basedOn w:val="1"/>
    <w:link w:val="20"/>
    <w:qFormat/>
    <w:uiPriority w:val="99"/>
    <w:pPr>
      <w:pBdr>
        <w:bottom w:val="single" w:color="auto" w:sz="6" w:space="1"/>
      </w:pBdr>
      <w:tabs>
        <w:tab w:val="center" w:pos="4153"/>
        <w:tab w:val="right" w:pos="8306"/>
      </w:tabs>
      <w:snapToGrid w:val="0"/>
      <w:jc w:val="center"/>
    </w:pPr>
    <w:rPr>
      <w:sz w:val="18"/>
      <w:szCs w:val="18"/>
    </w:rPr>
  </w:style>
  <w:style w:type="paragraph" w:styleId="15">
    <w:name w:val="List"/>
    <w:basedOn w:val="1"/>
    <w:qFormat/>
    <w:uiPriority w:val="99"/>
    <w:pPr>
      <w:ind w:left="420" w:hanging="420"/>
    </w:pPr>
    <w:rPr>
      <w:rFonts w:ascii="Times New Roman" w:hAnsi="Times New Roman" w:eastAsia="宋体" w:cs="Times New Roman"/>
      <w:szCs w:val="20"/>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qFormat/>
    <w:uiPriority w:val="99"/>
    <w:rPr>
      <w:rFonts w:cs="Times New Roman"/>
      <w:color w:val="1F4F88"/>
      <w:u w:val="none"/>
    </w:rPr>
  </w:style>
  <w:style w:type="character" w:customStyle="1" w:styleId="20">
    <w:name w:val="页眉 字符"/>
    <w:basedOn w:val="18"/>
    <w:link w:val="14"/>
    <w:qFormat/>
    <w:uiPriority w:val="99"/>
    <w:rPr>
      <w:kern w:val="2"/>
      <w:sz w:val="18"/>
      <w:szCs w:val="18"/>
    </w:rPr>
  </w:style>
  <w:style w:type="character" w:customStyle="1" w:styleId="21">
    <w:name w:val="页脚 字符"/>
    <w:basedOn w:val="18"/>
    <w:link w:val="13"/>
    <w:qFormat/>
    <w:uiPriority w:val="99"/>
    <w:rPr>
      <w:kern w:val="2"/>
      <w:sz w:val="18"/>
      <w:szCs w:val="18"/>
    </w:rPr>
  </w:style>
  <w:style w:type="character" w:customStyle="1" w:styleId="22">
    <w:name w:val="纯文本 字符"/>
    <w:basedOn w:val="18"/>
    <w:qFormat/>
    <w:uiPriority w:val="0"/>
    <w:rPr>
      <w:rFonts w:hAnsi="Courier New" w:cs="Courier New" w:asciiTheme="minorEastAsia"/>
      <w:kern w:val="2"/>
      <w:sz w:val="21"/>
      <w:szCs w:val="22"/>
    </w:rPr>
  </w:style>
  <w:style w:type="character" w:customStyle="1" w:styleId="23">
    <w:name w:val="纯文本 字符1"/>
    <w:link w:val="2"/>
    <w:qFormat/>
    <w:uiPriority w:val="0"/>
    <w:rPr>
      <w:rFonts w:ascii="宋体" w:hAnsi="Courier New" w:eastAsia="宋体"/>
      <w:kern w:val="2"/>
      <w:sz w:val="21"/>
      <w:szCs w:val="22"/>
    </w:rPr>
  </w:style>
  <w:style w:type="paragraph" w:styleId="24">
    <w:name w:val="List Paragraph"/>
    <w:basedOn w:val="1"/>
    <w:qFormat/>
    <w:uiPriority w:val="34"/>
    <w:pPr>
      <w:ind w:firstLine="420" w:firstLineChars="200"/>
    </w:pPr>
    <w:rPr>
      <w:rFonts w:ascii="Calibri" w:hAnsi="Calibri" w:eastAsia="宋体" w:cs="Times New Roman"/>
    </w:rPr>
  </w:style>
  <w:style w:type="paragraph" w:customStyle="1" w:styleId="25">
    <w:name w:val="标书正文格式"/>
    <w:basedOn w:val="2"/>
    <w:link w:val="27"/>
    <w:qFormat/>
    <w:uiPriority w:val="0"/>
    <w:pPr>
      <w:spacing w:line="360" w:lineRule="auto"/>
      <w:ind w:firstLine="200" w:firstLineChars="200"/>
    </w:pPr>
    <w:rPr>
      <w:rFonts w:hAnsi="宋体"/>
      <w:color w:val="000000"/>
      <w:sz w:val="24"/>
      <w:szCs w:val="24"/>
    </w:rPr>
  </w:style>
  <w:style w:type="paragraph" w:customStyle="1" w:styleId="26">
    <w:name w:val="标书二级标题"/>
    <w:basedOn w:val="4"/>
    <w:link w:val="29"/>
    <w:qFormat/>
    <w:uiPriority w:val="0"/>
    <w:pPr>
      <w:spacing w:before="0" w:after="0" w:line="240" w:lineRule="auto"/>
      <w:jc w:val="left"/>
    </w:pPr>
    <w:rPr>
      <w:rFonts w:ascii="宋体" w:hAnsi="宋体" w:eastAsia="黑体" w:cs="Times New Roman"/>
      <w:b w:val="0"/>
      <w:sz w:val="28"/>
      <w:szCs w:val="30"/>
    </w:rPr>
  </w:style>
  <w:style w:type="character" w:customStyle="1" w:styleId="27">
    <w:name w:val="标书正文格式 字符"/>
    <w:link w:val="25"/>
    <w:qFormat/>
    <w:uiPriority w:val="0"/>
    <w:rPr>
      <w:rFonts w:ascii="宋体" w:hAnsi="宋体" w:eastAsia="宋体"/>
      <w:color w:val="000000"/>
      <w:kern w:val="2"/>
      <w:sz w:val="24"/>
      <w:szCs w:val="24"/>
    </w:rPr>
  </w:style>
  <w:style w:type="paragraph" w:customStyle="1" w:styleId="28">
    <w:name w:val="标书表格"/>
    <w:basedOn w:val="1"/>
    <w:link w:val="31"/>
    <w:qFormat/>
    <w:uiPriority w:val="0"/>
    <w:pPr>
      <w:jc w:val="center"/>
    </w:pPr>
    <w:rPr>
      <w:rFonts w:ascii="Times New Roman" w:hAnsi="Times New Roman" w:eastAsia="宋体" w:cs="Times New Roman"/>
      <w:b/>
      <w:szCs w:val="20"/>
    </w:rPr>
  </w:style>
  <w:style w:type="character" w:customStyle="1" w:styleId="29">
    <w:name w:val="标书二级标题 字符"/>
    <w:link w:val="26"/>
    <w:qFormat/>
    <w:uiPriority w:val="0"/>
    <w:rPr>
      <w:rFonts w:ascii="宋体" w:hAnsi="宋体" w:eastAsia="黑体" w:cs="Times New Roman"/>
      <w:bCs/>
      <w:kern w:val="2"/>
      <w:sz w:val="28"/>
      <w:szCs w:val="30"/>
    </w:rPr>
  </w:style>
  <w:style w:type="paragraph" w:customStyle="1" w:styleId="30">
    <w:name w:val="标书一级标题"/>
    <w:basedOn w:val="3"/>
    <w:link w:val="33"/>
    <w:qFormat/>
    <w:uiPriority w:val="0"/>
    <w:pPr>
      <w:spacing w:before="0" w:after="0" w:line="240" w:lineRule="auto"/>
      <w:jc w:val="center"/>
    </w:pPr>
    <w:rPr>
      <w:rFonts w:ascii="Times New Roman" w:hAnsi="Times New Roman" w:eastAsia="黑体" w:cs="Times New Roman"/>
      <w:b w:val="0"/>
      <w:color w:val="000000"/>
      <w:sz w:val="30"/>
      <w:szCs w:val="24"/>
    </w:rPr>
  </w:style>
  <w:style w:type="character" w:customStyle="1" w:styleId="31">
    <w:name w:val="标书表格 字符"/>
    <w:link w:val="28"/>
    <w:qFormat/>
    <w:uiPriority w:val="0"/>
    <w:rPr>
      <w:rFonts w:ascii="Times New Roman" w:hAnsi="Times New Roman" w:eastAsia="宋体" w:cs="Times New Roman"/>
      <w:b/>
      <w:kern w:val="2"/>
      <w:sz w:val="21"/>
    </w:rPr>
  </w:style>
  <w:style w:type="paragraph" w:customStyle="1" w:styleId="32">
    <w:name w:val="标书三级标题"/>
    <w:basedOn w:val="5"/>
    <w:next w:val="25"/>
    <w:link w:val="35"/>
    <w:qFormat/>
    <w:uiPriority w:val="0"/>
    <w:pPr>
      <w:spacing w:before="0" w:after="0" w:line="240" w:lineRule="auto"/>
      <w:ind w:firstLine="482" w:firstLineChars="200"/>
    </w:pPr>
    <w:rPr>
      <w:rFonts w:ascii="Times New Roman" w:hAnsi="Times New Roman" w:eastAsia="宋体" w:cs="Times New Roman"/>
      <w:color w:val="000000"/>
      <w:sz w:val="24"/>
      <w:szCs w:val="24"/>
    </w:rPr>
  </w:style>
  <w:style w:type="character" w:customStyle="1" w:styleId="33">
    <w:name w:val="标书一级标题 字符"/>
    <w:link w:val="30"/>
    <w:qFormat/>
    <w:uiPriority w:val="0"/>
    <w:rPr>
      <w:rFonts w:ascii="Times New Roman" w:hAnsi="Times New Roman" w:eastAsia="黑体" w:cs="Times New Roman"/>
      <w:bCs/>
      <w:color w:val="000000"/>
      <w:kern w:val="44"/>
      <w:sz w:val="30"/>
      <w:szCs w:val="24"/>
    </w:rPr>
  </w:style>
  <w:style w:type="paragraph" w:customStyle="1" w:styleId="34">
    <w:name w:val="标正文"/>
    <w:basedOn w:val="25"/>
    <w:link w:val="36"/>
    <w:qFormat/>
    <w:uiPriority w:val="0"/>
  </w:style>
  <w:style w:type="character" w:customStyle="1" w:styleId="35">
    <w:name w:val="标书三级标题 字符"/>
    <w:link w:val="32"/>
    <w:qFormat/>
    <w:uiPriority w:val="0"/>
    <w:rPr>
      <w:rFonts w:ascii="Times New Roman" w:hAnsi="Times New Roman" w:eastAsia="宋体" w:cs="Times New Roman"/>
      <w:b/>
      <w:bCs/>
      <w:color w:val="000000"/>
      <w:kern w:val="2"/>
      <w:sz w:val="24"/>
      <w:szCs w:val="24"/>
    </w:rPr>
  </w:style>
  <w:style w:type="character" w:customStyle="1" w:styleId="36">
    <w:name w:val="标正文 字符"/>
    <w:link w:val="34"/>
    <w:qFormat/>
    <w:uiPriority w:val="0"/>
    <w:rPr>
      <w:rFonts w:ascii="宋体" w:hAnsi="宋体" w:eastAsia="宋体"/>
      <w:color w:val="000000"/>
      <w:kern w:val="2"/>
      <w:sz w:val="24"/>
      <w:szCs w:val="24"/>
    </w:rPr>
  </w:style>
  <w:style w:type="character" w:customStyle="1" w:styleId="37">
    <w:name w:val="标题 2 字符"/>
    <w:basedOn w:val="18"/>
    <w:link w:val="4"/>
    <w:semiHidden/>
    <w:qFormat/>
    <w:uiPriority w:val="0"/>
    <w:rPr>
      <w:rFonts w:asciiTheme="majorHAnsi" w:hAnsiTheme="majorHAnsi" w:eastAsiaTheme="majorEastAsia" w:cstheme="majorBidi"/>
      <w:b/>
      <w:bCs/>
      <w:kern w:val="2"/>
      <w:sz w:val="32"/>
      <w:szCs w:val="32"/>
    </w:rPr>
  </w:style>
  <w:style w:type="character" w:customStyle="1" w:styleId="38">
    <w:name w:val="标题 1 字符"/>
    <w:basedOn w:val="18"/>
    <w:link w:val="3"/>
    <w:qFormat/>
    <w:uiPriority w:val="0"/>
    <w:rPr>
      <w:b/>
      <w:bCs/>
      <w:kern w:val="44"/>
      <w:sz w:val="44"/>
      <w:szCs w:val="44"/>
    </w:rPr>
  </w:style>
  <w:style w:type="character" w:customStyle="1" w:styleId="39">
    <w:name w:val="标题 3 字符"/>
    <w:basedOn w:val="18"/>
    <w:link w:val="5"/>
    <w:semiHidden/>
    <w:qFormat/>
    <w:uiPriority w:val="0"/>
    <w:rPr>
      <w:b/>
      <w:bCs/>
      <w:kern w:val="2"/>
      <w:sz w:val="32"/>
      <w:szCs w:val="32"/>
    </w:rPr>
  </w:style>
  <w:style w:type="character" w:customStyle="1" w:styleId="40">
    <w:name w:val="正文文本 字符"/>
    <w:basedOn w:val="18"/>
    <w:link w:val="9"/>
    <w:qFormat/>
    <w:uiPriority w:val="0"/>
    <w:rPr>
      <w:rFonts w:ascii="仿宋_GB2312" w:hAnsi="Times New Roman" w:eastAsia="仿宋_GB2312" w:cs="Times New Roman"/>
      <w:kern w:val="2"/>
      <w:sz w:val="32"/>
    </w:rPr>
  </w:style>
  <w:style w:type="character" w:customStyle="1" w:styleId="41">
    <w:name w:val="正文文本缩进 2 字符"/>
    <w:basedOn w:val="18"/>
    <w:qFormat/>
    <w:uiPriority w:val="0"/>
    <w:rPr>
      <w:kern w:val="2"/>
      <w:sz w:val="21"/>
      <w:szCs w:val="22"/>
    </w:rPr>
  </w:style>
  <w:style w:type="character" w:customStyle="1" w:styleId="42">
    <w:name w:val="标题 1 字符1"/>
    <w:qFormat/>
    <w:uiPriority w:val="0"/>
    <w:rPr>
      <w:rFonts w:ascii="Times New Roman" w:hAnsi="Times New Roman" w:eastAsia="宋体" w:cs="Times New Roman"/>
      <w:b/>
      <w:bCs/>
      <w:kern w:val="44"/>
      <w:sz w:val="44"/>
      <w:szCs w:val="44"/>
    </w:rPr>
  </w:style>
  <w:style w:type="character" w:customStyle="1" w:styleId="43">
    <w:name w:val="正文文本缩进 2 字符1"/>
    <w:link w:val="10"/>
    <w:qFormat/>
    <w:uiPriority w:val="0"/>
    <w:rPr>
      <w:kern w:val="2"/>
      <w:sz w:val="21"/>
      <w:szCs w:val="22"/>
    </w:rPr>
  </w:style>
  <w:style w:type="character" w:customStyle="1" w:styleId="44">
    <w:name w:val="尾注文本 字符"/>
    <w:basedOn w:val="18"/>
    <w:link w:val="11"/>
    <w:qFormat/>
    <w:uiPriority w:val="99"/>
    <w:rPr>
      <w:kern w:val="2"/>
      <w:sz w:val="21"/>
      <w:szCs w:val="22"/>
    </w:rPr>
  </w:style>
  <w:style w:type="character" w:customStyle="1" w:styleId="45">
    <w:name w:val="批注框文本 字符"/>
    <w:basedOn w:val="18"/>
    <w:link w:val="12"/>
    <w:qFormat/>
    <w:uiPriority w:val="0"/>
    <w:rPr>
      <w:rFonts w:asciiTheme="minorHAnsi" w:hAnsiTheme="minorHAnsi" w:eastAsiaTheme="minorEastAsia" w:cstheme="minorBidi"/>
      <w:kern w:val="2"/>
      <w:sz w:val="18"/>
      <w:szCs w:val="18"/>
    </w:rPr>
  </w:style>
  <w:style w:type="paragraph" w:customStyle="1" w:styleId="46">
    <w:name w:val="表格内容"/>
    <w:basedOn w:val="1"/>
    <w:qFormat/>
    <w:uiPriority w:val="0"/>
    <w:pPr>
      <w:widowControl/>
      <w:suppressLineNumbers/>
      <w:suppressAutoHyphens/>
      <w:jc w:val="left"/>
    </w:pPr>
    <w:rPr>
      <w:rFonts w:ascii="Liberation Serif" w:hAnsi="Liberation Serif" w:eastAsia="Noto Serif CJK SC" w:cs="Times New Roman"/>
      <w:sz w:val="24"/>
      <w:szCs w:val="24"/>
    </w:rPr>
  </w:style>
  <w:style w:type="character" w:customStyle="1" w:styleId="47">
    <w:name w:val="highlight-es-class"/>
    <w:basedOn w:val="1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17EEC-DAED-4404-AA9F-332C694C7357}">
  <ds:schemaRefs/>
</ds:datastoreItem>
</file>

<file path=docProps/app.xml><?xml version="1.0" encoding="utf-8"?>
<Properties xmlns="http://schemas.openxmlformats.org/officeDocument/2006/extended-properties" xmlns:vt="http://schemas.openxmlformats.org/officeDocument/2006/docPropsVTypes">
  <Template>Normal.dotm</Template>
  <Pages>41</Pages>
  <Words>3380</Words>
  <Characters>19268</Characters>
  <Lines>160</Lines>
  <Paragraphs>45</Paragraphs>
  <TotalTime>12</TotalTime>
  <ScaleCrop>false</ScaleCrop>
  <LinksUpToDate>false</LinksUpToDate>
  <CharactersWithSpaces>22603</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2024-09-24T01:15:00Z</dcterms:created>
  <dc:creator>080063</dc:creator>
  <cp:lastModifiedBy>郑家豪</cp:lastModifiedBy>
  <cp:lastPrinted>2023-10-11T03:03:00Z</cp:lastPrinted>
  <dcterms:modified xsi:type="dcterms:W3CDTF">2024-11-14T02:10:21Z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39BDB41E5D5C4861859A3BDB2FE7F077</vt:lpwstr>
  </property>
</Properties>
</file>