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color w:val="auto"/>
          <w:sz w:val="44"/>
          <w:szCs w:val="48"/>
          <w:highlight w:val="none"/>
          <w:u w:val="none"/>
          <w:lang w:val="en-US" w:eastAsia="zh-CN"/>
        </w:rPr>
      </w:pPr>
      <w:r>
        <w:rPr>
          <w:rFonts w:hint="eastAsia" w:ascii="宋体" w:hAnsi="宋体"/>
          <w:color w:val="auto"/>
          <w:sz w:val="44"/>
          <w:szCs w:val="48"/>
          <w:highlight w:val="none"/>
          <w:u w:val="none"/>
          <w:lang w:val="en-US" w:eastAsia="zh-CN"/>
        </w:rPr>
        <w:t>中国重汽集团济南汽车部件有限公司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宋体" w:hAnsi="宋体"/>
          <w:color w:val="auto"/>
          <w:sz w:val="44"/>
          <w:szCs w:val="48"/>
          <w:highlight w:val="none"/>
          <w:u w:val="none"/>
        </w:rPr>
      </w:pPr>
      <w:r>
        <w:rPr>
          <w:rFonts w:hint="eastAsia" w:ascii="宋体" w:hAnsi="宋体"/>
          <w:color w:val="auto"/>
          <w:sz w:val="44"/>
          <w:szCs w:val="48"/>
          <w:highlight w:val="none"/>
          <w:u w:val="none"/>
          <w:lang w:val="en-US" w:eastAsia="zh-CN"/>
        </w:rPr>
        <w:t>护套焊接、万向节压装</w:t>
      </w:r>
      <w:r>
        <w:rPr>
          <w:rFonts w:hint="eastAsia" w:ascii="宋体" w:hAnsi="宋体"/>
          <w:color w:val="auto"/>
          <w:sz w:val="44"/>
          <w:szCs w:val="48"/>
          <w:highlight w:val="none"/>
          <w:u w:val="none"/>
        </w:rPr>
        <w:t>项目</w:t>
      </w:r>
    </w:p>
    <w:p>
      <w:pPr>
        <w:jc w:val="right"/>
        <w:rPr>
          <w:color w:val="auto"/>
          <w:sz w:val="28"/>
          <w:szCs w:val="28"/>
          <w:highlight w:val="none"/>
          <w:u w:val="none"/>
        </w:rPr>
      </w:pPr>
    </w:p>
    <w:p>
      <w:pPr>
        <w:jc w:val="right"/>
        <w:rPr>
          <w:color w:val="auto"/>
          <w:sz w:val="28"/>
          <w:szCs w:val="28"/>
          <w:highlight w:val="none"/>
          <w:u w:val="none"/>
        </w:rPr>
      </w:pPr>
    </w:p>
    <w:p>
      <w:pPr>
        <w:ind w:right="280"/>
        <w:jc w:val="right"/>
        <w:rPr>
          <w:color w:val="auto"/>
          <w:sz w:val="28"/>
          <w:szCs w:val="28"/>
          <w:highlight w:val="none"/>
          <w:u w:val="none"/>
        </w:rPr>
      </w:pPr>
      <w:r>
        <w:rPr>
          <w:color w:val="auto"/>
          <w:sz w:val="28"/>
          <w:szCs w:val="28"/>
          <w:highlight w:val="none"/>
          <w:u w:val="none"/>
        </w:rPr>
        <w:t xml:space="preserve"> </w:t>
      </w: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招</w:t>
      </w:r>
    </w:p>
    <w:p>
      <w:pPr>
        <w:jc w:val="center"/>
        <w:rPr>
          <w:rFonts w:ascii="黑体" w:hAnsi="宋体" w:eastAsia="黑体"/>
          <w:color w:val="auto"/>
          <w:sz w:val="84"/>
          <w:szCs w:val="84"/>
          <w:highlight w:val="none"/>
          <w:u w:val="none"/>
        </w:rPr>
      </w:pP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标</w:t>
      </w:r>
    </w:p>
    <w:p>
      <w:pPr>
        <w:jc w:val="center"/>
        <w:rPr>
          <w:rFonts w:ascii="黑体" w:hAnsi="宋体" w:eastAsia="黑体"/>
          <w:color w:val="auto"/>
          <w:sz w:val="84"/>
          <w:szCs w:val="84"/>
          <w:highlight w:val="none"/>
          <w:u w:val="none"/>
        </w:rPr>
      </w:pPr>
    </w:p>
    <w:p>
      <w:pPr>
        <w:jc w:val="center"/>
        <w:rPr>
          <w:rFonts w:ascii="宋体" w:hAnsi="宋体"/>
          <w:color w:val="auto"/>
          <w:sz w:val="72"/>
          <w:szCs w:val="72"/>
          <w:highlight w:val="none"/>
          <w:u w:val="none"/>
        </w:rPr>
      </w:pPr>
      <w:r>
        <w:rPr>
          <w:rFonts w:hint="eastAsia" w:ascii="黑体" w:hAnsi="宋体" w:eastAsia="黑体"/>
          <w:color w:val="auto"/>
          <w:sz w:val="84"/>
          <w:szCs w:val="84"/>
          <w:highlight w:val="none"/>
          <w:u w:val="none"/>
        </w:rPr>
        <w:t>书</w:t>
      </w:r>
    </w:p>
    <w:p>
      <w:pPr>
        <w:jc w:val="center"/>
        <w:rPr>
          <w:rFonts w:ascii="宋体" w:hAnsi="宋体"/>
          <w:color w:val="auto"/>
          <w:sz w:val="48"/>
          <w:szCs w:val="48"/>
          <w:highlight w:val="none"/>
          <w:u w:val="none"/>
        </w:rPr>
      </w:pPr>
    </w:p>
    <w:p>
      <w:pPr>
        <w:jc w:val="center"/>
        <w:rPr>
          <w:rFonts w:ascii="宋体" w:hAnsi="宋体"/>
          <w:color w:val="auto"/>
          <w:sz w:val="28"/>
          <w:szCs w:val="28"/>
          <w:highlight w:val="none"/>
          <w:u w:val="none"/>
        </w:rPr>
      </w:pPr>
    </w:p>
    <w:p>
      <w:pPr>
        <w:jc w:val="center"/>
        <w:rPr>
          <w:rFonts w:ascii="宋体" w:hAnsi="宋体"/>
          <w:color w:val="auto"/>
          <w:sz w:val="28"/>
          <w:szCs w:val="28"/>
          <w:highlight w:val="none"/>
          <w:u w:val="none"/>
        </w:rPr>
      </w:pPr>
      <w:r>
        <w:rPr>
          <w:rFonts w:hint="eastAsia" w:ascii="宋体" w:hAnsi="宋体"/>
          <w:color w:val="auto"/>
          <w:sz w:val="28"/>
          <w:szCs w:val="28"/>
          <w:highlight w:val="none"/>
          <w:u w:val="none"/>
        </w:rPr>
        <w:t>招 标 人：中国重汽集团济南汽车部件有限公司</w:t>
      </w:r>
    </w:p>
    <w:p>
      <w:pPr>
        <w:jc w:val="center"/>
        <w:rPr>
          <w:rFonts w:ascii="宋体" w:hAnsi="宋体"/>
          <w:color w:val="auto"/>
          <w:sz w:val="28"/>
          <w:szCs w:val="28"/>
          <w:highlight w:val="none"/>
          <w:u w:val="none"/>
        </w:rPr>
      </w:pPr>
      <w:r>
        <w:rPr>
          <w:rFonts w:hint="eastAsia" w:ascii="宋体" w:hAnsi="宋体"/>
          <w:color w:val="auto"/>
          <w:sz w:val="28"/>
          <w:szCs w:val="28"/>
          <w:highlight w:val="none"/>
          <w:u w:val="none"/>
        </w:rPr>
        <w:t>202</w:t>
      </w:r>
      <w:r>
        <w:rPr>
          <w:rFonts w:hint="eastAsia" w:ascii="宋体" w:hAnsi="宋体"/>
          <w:color w:val="auto"/>
          <w:sz w:val="28"/>
          <w:szCs w:val="28"/>
          <w:highlight w:val="none"/>
          <w:u w:val="none"/>
          <w:lang w:val="en-US" w:eastAsia="zh-CN"/>
        </w:rPr>
        <w:t>5</w:t>
      </w:r>
      <w:r>
        <w:rPr>
          <w:rFonts w:hint="eastAsia" w:ascii="宋体" w:hAnsi="宋体"/>
          <w:color w:val="auto"/>
          <w:sz w:val="28"/>
          <w:szCs w:val="28"/>
          <w:highlight w:val="none"/>
          <w:u w:val="none"/>
        </w:rPr>
        <w:t>年</w:t>
      </w:r>
      <w:r>
        <w:rPr>
          <w:rFonts w:hint="eastAsia" w:ascii="宋体" w:hAnsi="宋体"/>
          <w:color w:val="auto"/>
          <w:sz w:val="28"/>
          <w:szCs w:val="28"/>
          <w:highlight w:val="none"/>
          <w:u w:val="none"/>
          <w:lang w:val="en-US" w:eastAsia="zh-CN"/>
        </w:rPr>
        <w:t>1</w:t>
      </w:r>
      <w:r>
        <w:rPr>
          <w:rFonts w:hint="eastAsia" w:ascii="宋体" w:hAnsi="宋体"/>
          <w:color w:val="auto"/>
          <w:sz w:val="28"/>
          <w:szCs w:val="28"/>
          <w:highlight w:val="none"/>
          <w:u w:val="none"/>
        </w:rPr>
        <w:t>月</w:t>
      </w:r>
    </w:p>
    <w:p>
      <w:pPr>
        <w:spacing w:line="480" w:lineRule="auto"/>
        <w:jc w:val="center"/>
        <w:rPr>
          <w:rFonts w:ascii="宋体" w:hAnsi="宋体"/>
          <w:b/>
          <w:bCs/>
          <w:color w:val="auto"/>
          <w:sz w:val="48"/>
          <w:szCs w:val="48"/>
          <w:highlight w:val="none"/>
          <w:u w:val="none"/>
        </w:rPr>
      </w:pPr>
    </w:p>
    <w:p>
      <w:pPr>
        <w:spacing w:line="480" w:lineRule="auto"/>
        <w:jc w:val="center"/>
        <w:rPr>
          <w:rFonts w:ascii="宋体" w:hAnsi="宋体"/>
          <w:b/>
          <w:bCs/>
          <w:color w:val="auto"/>
          <w:sz w:val="48"/>
          <w:szCs w:val="48"/>
          <w:highlight w:val="none"/>
          <w:u w:val="none"/>
        </w:rPr>
      </w:pPr>
    </w:p>
    <w:p>
      <w:pPr>
        <w:pStyle w:val="10"/>
        <w:spacing w:line="360" w:lineRule="auto"/>
        <w:jc w:val="center"/>
        <w:rPr>
          <w:color w:val="auto"/>
          <w:highlight w:val="none"/>
          <w:u w:val="none"/>
        </w:rPr>
        <w:sectPr>
          <w:headerReference r:id="rId3" w:type="default"/>
          <w:footerReference r:id="rId4" w:type="default"/>
          <w:pgSz w:w="11906" w:h="16838"/>
          <w:pgMar w:top="1587" w:right="1134" w:bottom="1134" w:left="1134" w:header="851" w:footer="850" w:gutter="0"/>
          <w:pgNumType w:fmt="decimal"/>
          <w:cols w:space="720" w:num="1"/>
          <w:docGrid w:type="linesAndChars" w:linePitch="328" w:charSpace="855"/>
        </w:sectPr>
      </w:pPr>
    </w:p>
    <w:p>
      <w:pPr>
        <w:spacing w:line="480" w:lineRule="auto"/>
        <w:jc w:val="center"/>
        <w:rPr>
          <w:rFonts w:ascii="宋体" w:hAnsi="宋体"/>
          <w:b/>
          <w:bCs/>
          <w:color w:val="auto"/>
          <w:sz w:val="48"/>
          <w:szCs w:val="48"/>
          <w:highlight w:val="none"/>
          <w:u w:val="none"/>
        </w:rPr>
      </w:pPr>
      <w:r>
        <w:rPr>
          <w:rFonts w:ascii="宋体" w:hAnsi="宋体"/>
          <w:b/>
          <w:bCs/>
          <w:color w:val="auto"/>
          <w:sz w:val="48"/>
          <w:szCs w:val="48"/>
          <w:highlight w:val="none"/>
          <w:u w:val="none"/>
        </w:rPr>
        <w:tab/>
      </w:r>
      <w:r>
        <w:rPr>
          <w:rFonts w:ascii="宋体" w:hAnsi="宋体"/>
          <w:b/>
          <w:bCs/>
          <w:color w:val="auto"/>
          <w:sz w:val="48"/>
          <w:szCs w:val="48"/>
          <w:highlight w:val="none"/>
          <w:u w:val="none"/>
        </w:rPr>
        <w:t>目   录</w:t>
      </w:r>
    </w:p>
    <w:p>
      <w:pPr>
        <w:tabs>
          <w:tab w:val="left" w:pos="3240"/>
        </w:tabs>
        <w:spacing w:line="480" w:lineRule="auto"/>
        <w:rPr>
          <w:rFonts w:ascii="宋体" w:hAnsi="宋体"/>
          <w:b/>
          <w:bCs/>
          <w:color w:val="auto"/>
          <w:sz w:val="24"/>
          <w:highlight w:val="none"/>
          <w:u w:val="none"/>
        </w:rPr>
      </w:pPr>
      <w:r>
        <w:rPr>
          <w:rFonts w:ascii="宋体" w:hAnsi="宋体"/>
          <w:b/>
          <w:bCs/>
          <w:color w:val="auto"/>
          <w:sz w:val="24"/>
          <w:highlight w:val="none"/>
          <w:u w:val="none"/>
        </w:rPr>
        <w:tab/>
      </w:r>
    </w:p>
    <w:p>
      <w:pPr>
        <w:tabs>
          <w:tab w:val="left" w:pos="3240"/>
        </w:tabs>
        <w:spacing w:line="480" w:lineRule="auto"/>
        <w:rPr>
          <w:rFonts w:ascii="宋体" w:hAnsi="宋体"/>
          <w:b/>
          <w:bCs/>
          <w:color w:val="auto"/>
          <w:sz w:val="24"/>
          <w:highlight w:val="none"/>
          <w:u w:val="none"/>
        </w:rPr>
      </w:pPr>
    </w:p>
    <w:p>
      <w:pPr>
        <w:tabs>
          <w:tab w:val="left" w:pos="3240"/>
        </w:tabs>
        <w:spacing w:line="480" w:lineRule="auto"/>
        <w:rPr>
          <w:rFonts w:ascii="宋体" w:hAnsi="宋体"/>
          <w:b/>
          <w:bCs/>
          <w:color w:val="auto"/>
          <w:sz w:val="24"/>
          <w:highlight w:val="none"/>
          <w:u w:val="none"/>
        </w:rPr>
      </w:pPr>
    </w:p>
    <w:p>
      <w:pPr>
        <w:ind w:left="420" w:leftChars="200"/>
        <w:jc w:val="left"/>
        <w:rPr>
          <w:rStyle w:val="26"/>
          <w:b/>
          <w:caps/>
          <w:color w:val="auto"/>
          <w:sz w:val="28"/>
          <w:szCs w:val="28"/>
          <w:highlight w:val="none"/>
          <w:u w:val="none"/>
        </w:rPr>
      </w:pPr>
      <w:r>
        <w:rPr>
          <w:rFonts w:ascii="宋体" w:hAnsi="宋体"/>
          <w:b/>
          <w:caps/>
          <w:color w:val="auto"/>
          <w:sz w:val="24"/>
          <w:szCs w:val="28"/>
          <w:highlight w:val="none"/>
          <w:u w:val="none"/>
        </w:rPr>
        <w:fldChar w:fldCharType="begin"/>
      </w:r>
      <w:r>
        <w:rPr>
          <w:rFonts w:ascii="宋体" w:hAnsi="宋体"/>
          <w:b/>
          <w:caps/>
          <w:color w:val="auto"/>
          <w:sz w:val="24"/>
          <w:szCs w:val="28"/>
          <w:highlight w:val="none"/>
          <w:u w:val="none"/>
        </w:rPr>
        <w:instrText xml:space="preserve"> TOC \o "1-2" \h \z </w:instrText>
      </w:r>
      <w:r>
        <w:rPr>
          <w:rFonts w:ascii="宋体" w:hAnsi="宋体"/>
          <w:b/>
          <w:caps/>
          <w:color w:val="auto"/>
          <w:sz w:val="24"/>
          <w:szCs w:val="28"/>
          <w:highlight w:val="none"/>
          <w:u w:val="none"/>
        </w:rPr>
        <w:fldChar w:fldCharType="separate"/>
      </w:r>
      <w:r>
        <w:rPr>
          <w:color w:val="auto"/>
          <w:highlight w:val="none"/>
          <w:u w:val="none"/>
        </w:rPr>
        <w:fldChar w:fldCharType="begin"/>
      </w:r>
      <w:r>
        <w:rPr>
          <w:color w:val="auto"/>
          <w:highlight w:val="none"/>
          <w:u w:val="none"/>
        </w:rPr>
        <w:instrText xml:space="preserve"> HYPERLINK \l "_Toc357155294" </w:instrText>
      </w:r>
      <w:r>
        <w:rPr>
          <w:color w:val="auto"/>
          <w:highlight w:val="none"/>
          <w:u w:val="none"/>
        </w:rPr>
        <w:fldChar w:fldCharType="separate"/>
      </w:r>
      <w:r>
        <w:rPr>
          <w:rStyle w:val="26"/>
          <w:rFonts w:hint="eastAsia"/>
          <w:b/>
          <w:caps/>
          <w:color w:val="auto"/>
          <w:sz w:val="28"/>
          <w:szCs w:val="28"/>
          <w:highlight w:val="none"/>
          <w:u w:val="none"/>
        </w:rPr>
        <w:t xml:space="preserve">第一章  招标公告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2（页码）</w:t>
      </w:r>
    </w:p>
    <w:p>
      <w:pPr>
        <w:ind w:left="420" w:leftChars="200"/>
        <w:jc w:val="left"/>
        <w:rPr>
          <w:rStyle w:val="26"/>
          <w:b/>
          <w:caps/>
          <w:color w:val="auto"/>
          <w:sz w:val="28"/>
          <w:szCs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第二章  投标文件编制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 xml:space="preserve">      </w:t>
      </w:r>
      <w:r>
        <w:rPr>
          <w:rStyle w:val="26"/>
          <w:rFonts w:hint="eastAsia"/>
          <w:b/>
          <w:caps/>
          <w:color w:val="auto"/>
          <w:sz w:val="28"/>
          <w:szCs w:val="28"/>
          <w:highlight w:val="none"/>
          <w:u w:val="none"/>
          <w:lang w:val="en-US" w:eastAsia="zh-CN"/>
        </w:rPr>
        <w:t>8</w:t>
      </w:r>
      <w:r>
        <w:rPr>
          <w:rStyle w:val="26"/>
          <w:rFonts w:hint="eastAsia"/>
          <w:b/>
          <w:caps/>
          <w:color w:val="auto"/>
          <w:sz w:val="28"/>
          <w:szCs w:val="28"/>
          <w:highlight w:val="none"/>
          <w:u w:val="none"/>
        </w:rPr>
        <w:t>（页码）</w:t>
      </w:r>
    </w:p>
    <w:p>
      <w:pPr>
        <w:ind w:left="420" w:leftChars="200"/>
        <w:jc w:val="left"/>
        <w:rPr>
          <w:rStyle w:val="26"/>
          <w:b/>
          <w:caps/>
          <w:color w:val="auto"/>
          <w:sz w:val="28"/>
          <w:szCs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第三章  项目基本标准及基本要求                    </w:t>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 xml:space="preserve"> </w:t>
      </w:r>
      <w:r>
        <w:rPr>
          <w:rStyle w:val="26"/>
          <w:rFonts w:hint="eastAsia"/>
          <w:b/>
          <w:caps/>
          <w:color w:val="auto"/>
          <w:sz w:val="28"/>
          <w:szCs w:val="28"/>
          <w:highlight w:val="none"/>
          <w:u w:val="none"/>
          <w:lang w:val="en-US" w:eastAsia="zh-CN"/>
        </w:rPr>
        <w:t>20</w:t>
      </w:r>
      <w:r>
        <w:rPr>
          <w:rStyle w:val="26"/>
          <w:rFonts w:hint="eastAsia"/>
          <w:b/>
          <w:caps/>
          <w:color w:val="auto"/>
          <w:sz w:val="28"/>
          <w:szCs w:val="28"/>
          <w:highlight w:val="none"/>
          <w:u w:val="none"/>
        </w:rPr>
        <w:t>（页码）</w:t>
      </w:r>
    </w:p>
    <w:p>
      <w:pPr>
        <w:ind w:left="420" w:leftChars="200"/>
        <w:jc w:val="left"/>
        <w:rPr>
          <w:b/>
          <w:color w:val="auto"/>
          <w:sz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第四章  项目合同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Fonts w:hint="eastAsia"/>
          <w:b/>
          <w:color w:val="auto"/>
          <w:sz w:val="28"/>
          <w:highlight w:val="none"/>
          <w:u w:val="none"/>
        </w:rPr>
        <w:t xml:space="preserve">      2</w:t>
      </w:r>
      <w:r>
        <w:rPr>
          <w:rFonts w:hint="eastAsia"/>
          <w:b/>
          <w:color w:val="auto"/>
          <w:sz w:val="28"/>
          <w:highlight w:val="none"/>
          <w:u w:val="none"/>
          <w:lang w:val="en-US" w:eastAsia="zh-CN"/>
        </w:rPr>
        <w:t>2</w:t>
      </w:r>
      <w:r>
        <w:rPr>
          <w:rFonts w:hint="eastAsia"/>
          <w:b/>
          <w:color w:val="auto"/>
          <w:sz w:val="28"/>
          <w:highlight w:val="none"/>
          <w:u w:val="none"/>
        </w:rPr>
        <w:t>（页码）</w:t>
      </w:r>
    </w:p>
    <w:p>
      <w:pPr>
        <w:spacing w:line="480" w:lineRule="auto"/>
        <w:jc w:val="left"/>
        <w:rPr>
          <w:rFonts w:ascii="宋体" w:hAnsi="宋体"/>
          <w:b/>
          <w:caps/>
          <w:color w:val="auto"/>
          <w:sz w:val="28"/>
          <w:szCs w:val="28"/>
          <w:highlight w:val="none"/>
          <w:u w:val="none"/>
        </w:rPr>
      </w:pPr>
    </w:p>
    <w:p>
      <w:pPr>
        <w:pStyle w:val="10"/>
        <w:spacing w:line="360" w:lineRule="auto"/>
        <w:jc w:val="center"/>
        <w:rPr>
          <w:color w:val="auto"/>
          <w:highlight w:val="none"/>
          <w:u w:val="none"/>
        </w:rPr>
      </w:pPr>
      <w:r>
        <w:rPr>
          <w:color w:val="auto"/>
          <w:highlight w:val="none"/>
          <w:u w:val="none"/>
        </w:rPr>
        <w:fldChar w:fldCharType="end"/>
      </w: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rPr>
          <w:color w:val="auto"/>
          <w:highlight w:val="none"/>
          <w:u w:val="none"/>
        </w:rPr>
      </w:pPr>
    </w:p>
    <w:p>
      <w:pPr>
        <w:pStyle w:val="10"/>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Style w:val="10"/>
        <w:pageBreakBefore w:val="0"/>
        <w:kinsoku/>
        <w:wordWrap/>
        <w:overflowPunct/>
        <w:topLinePunct w:val="0"/>
        <w:bidi w:val="0"/>
        <w:spacing w:line="300" w:lineRule="auto"/>
        <w:jc w:val="center"/>
        <w:rPr>
          <w:rFonts w:ascii="黑体" w:eastAsia="黑体"/>
          <w:b/>
          <w:bCs/>
          <w:color w:val="auto"/>
          <w:sz w:val="36"/>
          <w:szCs w:val="36"/>
          <w:highlight w:val="none"/>
          <w:u w:val="none"/>
        </w:rPr>
      </w:pPr>
      <w:r>
        <w:rPr>
          <w:rFonts w:hint="eastAsia" w:ascii="黑体" w:eastAsia="黑体"/>
          <w:b/>
          <w:bCs/>
          <w:color w:val="auto"/>
          <w:sz w:val="36"/>
          <w:szCs w:val="36"/>
          <w:highlight w:val="none"/>
          <w:u w:val="none"/>
        </w:rPr>
        <w:t>第一章 招标公告</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一、项目名称</w:t>
      </w:r>
    </w:p>
    <w:p>
      <w:pPr>
        <w:pStyle w:val="10"/>
        <w:pageBreakBefore w:val="0"/>
        <w:kinsoku/>
        <w:wordWrap/>
        <w:overflowPunct/>
        <w:topLinePunct w:val="0"/>
        <w:autoSpaceDE/>
        <w:autoSpaceDN/>
        <w:bidi w:val="0"/>
        <w:spacing w:line="300" w:lineRule="auto"/>
        <w:ind w:left="420"/>
        <w:rPr>
          <w:color w:val="auto"/>
          <w:szCs w:val="22"/>
          <w:highlight w:val="none"/>
          <w:u w:val="none"/>
        </w:rPr>
      </w:pPr>
      <w:bookmarkStart w:id="0" w:name="OLE_LINK1"/>
      <w:r>
        <w:rPr>
          <w:rFonts w:hint="eastAsia"/>
          <w:color w:val="auto"/>
          <w:highlight w:val="none"/>
          <w:u w:val="none"/>
        </w:rPr>
        <w:t>项目名称：</w:t>
      </w:r>
      <w:r>
        <w:rPr>
          <w:rFonts w:hint="eastAsia"/>
          <w:color w:val="auto"/>
          <w:highlight w:val="none"/>
          <w:u w:val="none"/>
          <w:lang w:val="en-US" w:eastAsia="zh-CN"/>
        </w:rPr>
        <w:t>护套焊接、万向节压装</w:t>
      </w:r>
      <w:r>
        <w:rPr>
          <w:rFonts w:hint="eastAsia"/>
          <w:color w:val="auto"/>
          <w:szCs w:val="22"/>
          <w:highlight w:val="none"/>
          <w:u w:val="none"/>
        </w:rPr>
        <w:t>项目</w:t>
      </w:r>
    </w:p>
    <w:bookmarkEnd w:id="0"/>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二、招标内容及形式</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招标内容：中国重汽集团济南汽车部件有限公司</w:t>
      </w:r>
      <w:r>
        <w:rPr>
          <w:rFonts w:hint="eastAsia"/>
          <w:color w:val="auto"/>
          <w:highlight w:val="none"/>
          <w:u w:val="none"/>
          <w:lang w:val="en-US" w:eastAsia="zh-CN"/>
        </w:rPr>
        <w:t>护套焊接、万向节压装</w:t>
      </w:r>
      <w:r>
        <w:rPr>
          <w:rFonts w:hint="eastAsia"/>
          <w:color w:val="auto"/>
          <w:highlight w:val="none"/>
          <w:u w:val="none"/>
        </w:rPr>
        <w:t>工序外包</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1.项目概述</w:t>
      </w:r>
    </w:p>
    <w:p>
      <w:pPr>
        <w:pageBreakBefore w:val="0"/>
        <w:kinsoku/>
        <w:wordWrap/>
        <w:overflowPunct/>
        <w:topLinePunct w:val="0"/>
        <w:autoSpaceDE/>
        <w:autoSpaceDN/>
        <w:bidi w:val="0"/>
        <w:spacing w:line="300" w:lineRule="auto"/>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u w:val="none"/>
        </w:rPr>
        <w:t>项目地点位于中国重汽集团济南汽车部件有限公司</w:t>
      </w:r>
      <w:r>
        <w:rPr>
          <w:rFonts w:hint="eastAsia" w:hAnsi="Courier New"/>
          <w:color w:val="auto"/>
          <w:szCs w:val="21"/>
          <w:highlight w:val="none"/>
          <w:u w:val="none"/>
          <w:lang w:val="en-US" w:eastAsia="zh-CN"/>
        </w:rPr>
        <w:t>厂区内</w:t>
      </w:r>
      <w:r>
        <w:rPr>
          <w:rFonts w:hint="eastAsia" w:hAnsi="Courier New"/>
          <w:color w:val="auto"/>
          <w:szCs w:val="21"/>
          <w:highlight w:val="none"/>
          <w:u w:val="none"/>
        </w:rPr>
        <w:t>相关区域。每日产量根据招标人生产计划确定，外包费用执行合同产品单价，数量以车间周转单为结算依据，其外包费用为单价与数量的乘积之和，</w:t>
      </w:r>
      <w:r>
        <w:rPr>
          <w:rFonts w:hint="eastAsia" w:hAnsi="Courier New"/>
          <w:color w:val="auto"/>
          <w:szCs w:val="21"/>
          <w:highlight w:val="none"/>
          <w:u w:val="none"/>
          <w:lang w:val="en-US" w:eastAsia="zh-CN"/>
        </w:rPr>
        <w:t>其中人员定员</w:t>
      </w:r>
      <w:r>
        <w:rPr>
          <w:rFonts w:hint="eastAsia" w:ascii="宋体" w:hAnsi="宋体"/>
          <w:color w:val="auto"/>
          <w:szCs w:val="21"/>
          <w:highlight w:val="none"/>
          <w:u w:val="none"/>
        </w:rPr>
        <w:t>详见下表。</w:t>
      </w:r>
    </w:p>
    <w:tbl>
      <w:tblPr>
        <w:tblStyle w:val="20"/>
        <w:tblpPr w:leftFromText="180" w:rightFromText="180" w:vertAnchor="text" w:horzAnchor="page" w:tblpX="1652" w:tblpY="82"/>
        <w:tblOverlap w:val="never"/>
        <w:tblW w:w="9772" w:type="dxa"/>
        <w:tblInd w:w="0" w:type="dxa"/>
        <w:tblLayout w:type="fixed"/>
        <w:tblCellMar>
          <w:top w:w="15" w:type="dxa"/>
          <w:left w:w="15" w:type="dxa"/>
          <w:bottom w:w="15" w:type="dxa"/>
          <w:right w:w="15" w:type="dxa"/>
        </w:tblCellMar>
      </w:tblPr>
      <w:tblGrid>
        <w:gridCol w:w="800"/>
        <w:gridCol w:w="1328"/>
        <w:gridCol w:w="1508"/>
        <w:gridCol w:w="2328"/>
        <w:gridCol w:w="700"/>
        <w:gridCol w:w="1029"/>
        <w:gridCol w:w="1029"/>
        <w:gridCol w:w="1050"/>
      </w:tblGrid>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生产线</w:t>
            </w:r>
          </w:p>
        </w:tc>
        <w:tc>
          <w:tcPr>
            <w:tcW w:w="15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人员类别</w:t>
            </w:r>
          </w:p>
        </w:tc>
        <w:tc>
          <w:tcPr>
            <w:tcW w:w="2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工序</w:t>
            </w:r>
          </w:p>
        </w:tc>
        <w:tc>
          <w:tcPr>
            <w:tcW w:w="7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定员</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工种</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白班/夜班</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rPr>
              <w:t>1</w:t>
            </w:r>
          </w:p>
        </w:tc>
        <w:tc>
          <w:tcPr>
            <w:tcW w:w="1328" w:type="dxa"/>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bidi="ar"/>
              </w:rPr>
              <w:t>万向节压装</w:t>
            </w:r>
          </w:p>
        </w:tc>
        <w:tc>
          <w:tcPr>
            <w:tcW w:w="1508" w:type="dxa"/>
            <w:vMerge w:val="restart"/>
            <w:tcBorders>
              <w:top w:val="single" w:color="000000" w:sz="4" w:space="0"/>
              <w:left w:val="single" w:color="000000" w:sz="4" w:space="0"/>
              <w:bottom w:val="single" w:color="000000"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bidi="ar"/>
              </w:rPr>
              <w:t>工艺人员</w:t>
            </w: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压装连接盘</w:t>
            </w:r>
          </w:p>
        </w:tc>
        <w:tc>
          <w:tcPr>
            <w:tcW w:w="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5</w:t>
            </w:r>
          </w:p>
        </w:tc>
        <w:tc>
          <w:tcPr>
            <w:tcW w:w="1029"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操作工</w:t>
            </w:r>
          </w:p>
        </w:tc>
        <w:tc>
          <w:tcPr>
            <w:tcW w:w="1029"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sz w:val="21"/>
                <w:szCs w:val="21"/>
                <w:lang w:val="en-US" w:eastAsia="zh-CN"/>
              </w:rPr>
              <w:t>2</w:t>
            </w:r>
          </w:p>
        </w:tc>
        <w:tc>
          <w:tcPr>
            <w:tcW w:w="1328" w:type="dxa"/>
            <w:vMerge w:val="continue"/>
            <w:tcBorders>
              <w:left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1508"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缓冲盘中间支撑压装</w:t>
            </w:r>
          </w:p>
        </w:tc>
        <w:tc>
          <w:tcPr>
            <w:tcW w:w="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1</w:t>
            </w:r>
          </w:p>
        </w:tc>
        <w:tc>
          <w:tcPr>
            <w:tcW w:w="1029"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操作工</w:t>
            </w:r>
          </w:p>
        </w:tc>
        <w:tc>
          <w:tcPr>
            <w:tcW w:w="1029"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3</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sz w:val="21"/>
                <w:szCs w:val="21"/>
                <w:lang w:val="en-US" w:eastAsia="zh-CN"/>
              </w:rPr>
              <w:t>护套焊接</w:t>
            </w: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护套焊接</w:t>
            </w:r>
          </w:p>
        </w:tc>
        <w:tc>
          <w:tcPr>
            <w:tcW w:w="700" w:type="dxa"/>
            <w:tcBorders>
              <w:top w:val="single" w:color="auto"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rPr>
              <w:t>3</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操作工</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4</w:t>
            </w: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中间花键毂焊接</w:t>
            </w:r>
          </w:p>
        </w:tc>
        <w:tc>
          <w:tcPr>
            <w:tcW w:w="700"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操作工</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5</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1508"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bidi="ar"/>
              </w:rPr>
              <w:t>辅助人员</w:t>
            </w: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班组长</w:t>
            </w:r>
          </w:p>
        </w:tc>
        <w:tc>
          <w:tcPr>
            <w:tcW w:w="700"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管辅操作工</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6</w:t>
            </w: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15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统计员</w:t>
            </w:r>
          </w:p>
        </w:tc>
        <w:tc>
          <w:tcPr>
            <w:tcW w:w="700"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r>
              <w:rPr>
                <w:rFonts w:hint="eastAsia" w:ascii="宋体" w:hAnsi="宋体" w:eastAsia="宋体" w:cs="宋体"/>
                <w:b w:val="0"/>
                <w:bCs/>
                <w:color w:val="000000"/>
                <w:kern w:val="0"/>
                <w:sz w:val="21"/>
                <w:szCs w:val="21"/>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管辅操作工</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8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7</w:t>
            </w: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rPr>
            </w:pPr>
          </w:p>
        </w:tc>
        <w:tc>
          <w:tcPr>
            <w:tcW w:w="1508" w:type="dxa"/>
            <w:vMerge w:val="continue"/>
            <w:tcBorders>
              <w:left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c>
          <w:tcPr>
            <w:tcW w:w="232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叉车工</w:t>
            </w:r>
          </w:p>
        </w:tc>
        <w:tc>
          <w:tcPr>
            <w:tcW w:w="700"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叉车工</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白班</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r>
        <w:tblPrEx>
          <w:tblCellMar>
            <w:top w:w="15" w:type="dxa"/>
            <w:left w:w="15" w:type="dxa"/>
            <w:bottom w:w="15" w:type="dxa"/>
            <w:right w:w="15" w:type="dxa"/>
          </w:tblCellMar>
        </w:tblPrEx>
        <w:trPr>
          <w:trHeight w:val="227" w:hRule="atLeast"/>
        </w:trPr>
        <w:tc>
          <w:tcPr>
            <w:tcW w:w="5964" w:type="dxa"/>
            <w:gridSpan w:val="4"/>
            <w:tcBorders>
              <w:top w:val="single" w:color="000000" w:sz="4" w:space="0"/>
              <w:left w:val="single" w:color="000000" w:sz="4" w:space="0"/>
              <w:bottom w:val="single" w:color="000000" w:sz="4" w:space="0"/>
              <w:right w:val="single" w:color="auto"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合计</w:t>
            </w:r>
          </w:p>
        </w:tc>
        <w:tc>
          <w:tcPr>
            <w:tcW w:w="700" w:type="dxa"/>
            <w:tcBorders>
              <w:top w:val="single" w:color="000000" w:sz="4" w:space="0"/>
              <w:left w:val="single" w:color="auto"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r>
              <w:rPr>
                <w:rFonts w:hint="eastAsia" w:ascii="宋体" w:hAnsi="宋体" w:eastAsia="宋体" w:cs="宋体"/>
                <w:b w:val="0"/>
                <w:bCs/>
                <w:color w:val="000000"/>
                <w:kern w:val="0"/>
                <w:sz w:val="21"/>
                <w:szCs w:val="21"/>
                <w:lang w:val="en-US" w:eastAsia="zh-CN" w:bidi="ar"/>
              </w:rPr>
              <w:t>13</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b/>
                <w:bCs/>
                <w:sz w:val="21"/>
                <w:szCs w:val="21"/>
                <w:lang w:val="en-US" w:eastAsia="zh-CN"/>
              </w:rPr>
            </w:pPr>
          </w:p>
        </w:tc>
      </w:tr>
    </w:tbl>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2.用工年龄要求：</w:t>
      </w:r>
    </w:p>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女性低于</w:t>
      </w:r>
      <w:r>
        <w:rPr>
          <w:rFonts w:hint="eastAsia" w:ascii="宋体" w:hAnsi="宋体"/>
          <w:color w:val="auto"/>
          <w:szCs w:val="21"/>
          <w:highlight w:val="none"/>
          <w:u w:val="none"/>
          <w:lang w:val="en-US" w:eastAsia="zh-CN"/>
        </w:rPr>
        <w:t>45</w:t>
      </w:r>
      <w:r>
        <w:rPr>
          <w:rFonts w:hint="eastAsia" w:ascii="宋体" w:hAnsi="宋体"/>
          <w:color w:val="auto"/>
          <w:szCs w:val="21"/>
          <w:highlight w:val="none"/>
          <w:u w:val="none"/>
        </w:rPr>
        <w:t>岁，男性低于</w:t>
      </w:r>
      <w:r>
        <w:rPr>
          <w:rFonts w:hint="eastAsia" w:ascii="宋体" w:hAnsi="宋体"/>
          <w:color w:val="auto"/>
          <w:szCs w:val="21"/>
          <w:highlight w:val="none"/>
          <w:u w:val="none"/>
          <w:lang w:val="en-US" w:eastAsia="zh-CN"/>
        </w:rPr>
        <w:t>50</w:t>
      </w:r>
      <w:r>
        <w:rPr>
          <w:rFonts w:hint="eastAsia" w:ascii="宋体" w:hAnsi="宋体"/>
          <w:color w:val="auto"/>
          <w:szCs w:val="21"/>
          <w:highlight w:val="none"/>
          <w:u w:val="none"/>
        </w:rPr>
        <w:t>岁，且身体健康，无潜在疾病，上岗前需提供身份证信息及健康合格查体报告和职业病医院查体合格报告。</w:t>
      </w:r>
    </w:p>
    <w:p>
      <w:pPr>
        <w:pageBreakBefore w:val="0"/>
        <w:kinsoku/>
        <w:wordWrap/>
        <w:overflowPunct/>
        <w:topLinePunct w:val="0"/>
        <w:autoSpaceDE/>
        <w:autoSpaceDN/>
        <w:bidi w:val="0"/>
        <w:spacing w:line="30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3.中标方需承诺人员到齐时间，招标人需求为一周内到齐。</w:t>
      </w:r>
      <w:r>
        <w:rPr>
          <w:rFonts w:ascii="宋体" w:hAnsi="宋体"/>
          <w:color w:val="auto"/>
          <w:szCs w:val="21"/>
          <w:highlight w:val="none"/>
          <w:u w:val="none"/>
        </w:rPr>
        <w:t>投标方需通过现场考察确定人员数量，可根据实际生产情况调整，但不允许因人员问题耽误生产节拍。另外，到生产现场了解具体产品及生产情况，在满足生产节拍及质量的情况下，确定合理的人数将有助于投标方做出合理</w:t>
      </w:r>
      <w:r>
        <w:rPr>
          <w:rFonts w:hint="eastAsia" w:ascii="宋体" w:hAnsi="宋体"/>
          <w:color w:val="auto"/>
          <w:szCs w:val="21"/>
          <w:highlight w:val="none"/>
          <w:u w:val="none"/>
        </w:rPr>
        <w:t>的投标报价，从而有助于中标。</w:t>
      </w:r>
    </w:p>
    <w:p>
      <w:pPr>
        <w:pageBreakBefore w:val="0"/>
        <w:numPr>
          <w:ilvl w:val="0"/>
          <w:numId w:val="0"/>
        </w:numPr>
        <w:kinsoku/>
        <w:wordWrap/>
        <w:overflowPunct/>
        <w:topLinePunct w:val="0"/>
        <w:autoSpaceDE/>
        <w:autoSpaceDN/>
        <w:bidi w:val="0"/>
        <w:spacing w:line="300" w:lineRule="auto"/>
        <w:ind w:firstLine="420" w:firstLineChars="200"/>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4.投标最高限价（不得高于投标限价）。</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三、招标形式</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招标形式：</w:t>
      </w:r>
      <w:r>
        <w:rPr>
          <w:rFonts w:hint="eastAsia"/>
          <w:color w:val="auto"/>
          <w:highlight w:val="none"/>
          <w:u w:val="none"/>
          <w:lang w:val="en-US" w:eastAsia="zh-CN"/>
        </w:rPr>
        <w:t>公开招标</w:t>
      </w:r>
      <w:r>
        <w:rPr>
          <w:rFonts w:hint="eastAsia"/>
          <w:color w:val="auto"/>
          <w:highlight w:val="none"/>
          <w:u w:val="none"/>
        </w:rPr>
        <w:t>。</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四、议程安排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b w:val="0"/>
          <w:bCs w:val="0"/>
          <w:color w:val="auto"/>
          <w:szCs w:val="21"/>
          <w:highlight w:val="none"/>
          <w:u w:val="none"/>
          <w:lang w:val="en-US" w:eastAsia="zh-CN"/>
        </w:rPr>
      </w:pPr>
      <w:r>
        <w:rPr>
          <w:rFonts w:hint="eastAsia"/>
          <w:color w:val="auto"/>
          <w:szCs w:val="21"/>
          <w:highlight w:val="none"/>
          <w:u w:val="none"/>
          <w:lang w:val="en-US" w:eastAsia="zh-CN"/>
        </w:rPr>
        <w:t>1.报</w:t>
      </w:r>
      <w:r>
        <w:rPr>
          <w:rFonts w:hint="eastAsia"/>
          <w:b w:val="0"/>
          <w:bCs w:val="0"/>
          <w:color w:val="auto"/>
          <w:szCs w:val="21"/>
          <w:highlight w:val="none"/>
          <w:u w:val="none"/>
          <w:lang w:val="en-US" w:eastAsia="zh-CN"/>
        </w:rPr>
        <w:t>名:</w:t>
      </w:r>
      <w:r>
        <w:rPr>
          <w:rFonts w:hint="eastAsia"/>
          <w:b w:val="0"/>
          <w:bCs w:val="0"/>
          <w:color w:val="auto"/>
          <w:szCs w:val="22"/>
          <w:highlight w:val="none"/>
          <w:u w:val="none"/>
          <w:lang w:val="en-US" w:eastAsia="zh-CN"/>
        </w:rPr>
        <w:t>投标方需在http://ecaitong.sinotruk.com:8012/重汽E采通网站进行供应商注册，注册审批完成后，收到正式账号密码，使用正式账号密码进行报名、以及后续相关招投标业务。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color w:val="auto"/>
          <w:szCs w:val="21"/>
          <w:highlight w:val="none"/>
          <w:u w:val="none"/>
          <w:lang w:val="en-US" w:eastAsia="zh-CN"/>
        </w:rPr>
      </w:pPr>
      <w:r>
        <w:rPr>
          <w:rFonts w:hint="eastAsia"/>
          <w:b w:val="0"/>
          <w:bCs w:val="0"/>
          <w:color w:val="auto"/>
          <w:szCs w:val="21"/>
          <w:highlight w:val="none"/>
          <w:u w:val="none"/>
          <w:lang w:val="en-US" w:eastAsia="zh-CN"/>
        </w:rPr>
        <w:t>2.报名截止日期：</w:t>
      </w:r>
      <w:r>
        <w:rPr>
          <w:rFonts w:hint="eastAsia"/>
          <w:b w:val="0"/>
          <w:bCs w:val="0"/>
          <w:color w:val="auto"/>
          <w:szCs w:val="21"/>
          <w:highlight w:val="none"/>
          <w:u w:val="none"/>
          <w:lang w:eastAsia="zh-CN"/>
        </w:rPr>
        <w:t>202</w:t>
      </w:r>
      <w:r>
        <w:rPr>
          <w:rFonts w:hint="eastAsia"/>
          <w:b w:val="0"/>
          <w:bCs w:val="0"/>
          <w:color w:val="auto"/>
          <w:szCs w:val="21"/>
          <w:highlight w:val="none"/>
          <w:u w:val="none"/>
          <w:lang w:val="en-US" w:eastAsia="zh-CN"/>
        </w:rPr>
        <w:t>5</w:t>
      </w:r>
      <w:r>
        <w:rPr>
          <w:rFonts w:hint="eastAsia"/>
          <w:color w:val="auto"/>
          <w:szCs w:val="21"/>
          <w:highlight w:val="none"/>
          <w:u w:val="none"/>
        </w:rPr>
        <w:t>年</w:t>
      </w:r>
      <w:r>
        <w:rPr>
          <w:rFonts w:hint="eastAsia"/>
          <w:color w:val="auto"/>
          <w:szCs w:val="21"/>
          <w:highlight w:val="none"/>
          <w:u w:val="none"/>
          <w:lang w:val="en-US" w:eastAsia="zh-CN"/>
        </w:rPr>
        <w:t>2</w:t>
      </w:r>
      <w:bookmarkStart w:id="6" w:name="_GoBack"/>
      <w:bookmarkEnd w:id="6"/>
      <w:r>
        <w:rPr>
          <w:rFonts w:hint="eastAsia"/>
          <w:color w:val="auto"/>
          <w:szCs w:val="21"/>
          <w:highlight w:val="none"/>
          <w:u w:val="none"/>
        </w:rPr>
        <w:t>月</w:t>
      </w:r>
      <w:r>
        <w:rPr>
          <w:rFonts w:hint="eastAsia"/>
          <w:color w:val="auto"/>
          <w:szCs w:val="21"/>
          <w:highlight w:val="none"/>
          <w:u w:val="none"/>
          <w:lang w:val="en-US" w:eastAsia="zh-CN"/>
        </w:rPr>
        <w:t>5</w:t>
      </w:r>
      <w:r>
        <w:rPr>
          <w:rFonts w:hint="eastAsia"/>
          <w:color w:val="auto"/>
          <w:szCs w:val="21"/>
          <w:highlight w:val="none"/>
          <w:u w:val="none"/>
        </w:rPr>
        <w:t>日</w:t>
      </w:r>
      <w:r>
        <w:rPr>
          <w:rFonts w:hint="eastAsia"/>
          <w:color w:val="auto"/>
          <w:szCs w:val="21"/>
          <w:highlight w:val="none"/>
          <w:u w:val="none"/>
          <w:lang w:val="en-US" w:eastAsia="zh-CN"/>
        </w:rPr>
        <w:t>17</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eastAsia"/>
          <w:color w:val="auto"/>
          <w:szCs w:val="21"/>
          <w:highlight w:val="none"/>
          <w:u w:val="none"/>
        </w:rPr>
      </w:pPr>
      <w:r>
        <w:rPr>
          <w:rFonts w:hint="eastAsia"/>
          <w:color w:val="auto"/>
          <w:szCs w:val="21"/>
          <w:highlight w:val="none"/>
          <w:u w:val="none"/>
          <w:lang w:val="en-US" w:eastAsia="zh-CN"/>
        </w:rPr>
        <w:t>3.</w:t>
      </w:r>
      <w:r>
        <w:rPr>
          <w:rFonts w:hint="eastAsia"/>
          <w:color w:val="auto"/>
          <w:szCs w:val="21"/>
          <w:highlight w:val="none"/>
          <w:u w:val="none"/>
        </w:rPr>
        <w:t>开标时间：</w:t>
      </w:r>
      <w:r>
        <w:rPr>
          <w:rFonts w:hint="eastAsia"/>
          <w:color w:val="auto"/>
          <w:szCs w:val="21"/>
          <w:highlight w:val="none"/>
          <w:u w:val="none"/>
          <w:lang w:eastAsia="zh-CN"/>
        </w:rPr>
        <w:t>202</w:t>
      </w:r>
      <w:r>
        <w:rPr>
          <w:rFonts w:hint="eastAsia"/>
          <w:color w:val="auto"/>
          <w:szCs w:val="21"/>
          <w:highlight w:val="none"/>
          <w:u w:val="none"/>
          <w:lang w:val="en-US" w:eastAsia="zh-CN"/>
        </w:rPr>
        <w:t>5</w:t>
      </w:r>
      <w:r>
        <w:rPr>
          <w:rFonts w:hint="eastAsia"/>
          <w:color w:val="auto"/>
          <w:szCs w:val="21"/>
          <w:highlight w:val="none"/>
          <w:u w:val="none"/>
        </w:rPr>
        <w:t>年</w:t>
      </w:r>
      <w:r>
        <w:rPr>
          <w:rFonts w:hint="eastAsia"/>
          <w:color w:val="auto"/>
          <w:szCs w:val="21"/>
          <w:highlight w:val="none"/>
          <w:u w:val="none"/>
          <w:lang w:val="en-US" w:eastAsia="zh-CN"/>
        </w:rPr>
        <w:t>2</w:t>
      </w:r>
      <w:r>
        <w:rPr>
          <w:rFonts w:hint="eastAsia"/>
          <w:color w:val="auto"/>
          <w:szCs w:val="21"/>
          <w:highlight w:val="none"/>
          <w:u w:val="none"/>
        </w:rPr>
        <w:t>月</w:t>
      </w:r>
      <w:r>
        <w:rPr>
          <w:rFonts w:hint="eastAsia"/>
          <w:color w:val="auto"/>
          <w:szCs w:val="21"/>
          <w:highlight w:val="none"/>
          <w:u w:val="none"/>
          <w:lang w:val="en-US" w:eastAsia="zh-CN"/>
        </w:rPr>
        <w:t>6</w:t>
      </w:r>
      <w:r>
        <w:rPr>
          <w:rFonts w:hint="eastAsia"/>
          <w:color w:val="auto"/>
          <w:szCs w:val="21"/>
          <w:highlight w:val="none"/>
          <w:u w:val="none"/>
        </w:rPr>
        <w:t>日9</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pStyle w:val="2"/>
        <w:pageBreakBefore w:val="0"/>
        <w:kinsoku/>
        <w:wordWrap/>
        <w:overflowPunct/>
        <w:topLinePunct w:val="0"/>
        <w:bidi w:val="0"/>
        <w:spacing w:line="300" w:lineRule="auto"/>
        <w:ind w:left="0" w:leftChars="0" w:firstLine="420" w:firstLineChars="200"/>
        <w:rPr>
          <w:rFonts w:hint="default" w:eastAsia="宋体"/>
          <w:lang w:val="en-US" w:eastAsia="zh-CN"/>
        </w:rPr>
      </w:pPr>
      <w:r>
        <w:rPr>
          <w:rFonts w:hint="eastAsia"/>
          <w:color w:val="auto"/>
          <w:szCs w:val="21"/>
          <w:highlight w:val="none"/>
          <w:u w:val="none"/>
          <w:lang w:val="en-US" w:eastAsia="zh-CN"/>
        </w:rPr>
        <w:t>4.开标地点：线上（</w:t>
      </w:r>
      <w:r>
        <w:rPr>
          <w:rFonts w:hint="eastAsia"/>
          <w:b/>
          <w:bCs/>
          <w:color w:val="auto"/>
          <w:szCs w:val="22"/>
          <w:highlight w:val="none"/>
          <w:u w:val="none"/>
          <w:lang w:val="en-US" w:eastAsia="zh-CN"/>
        </w:rPr>
        <w:t>重汽E采通网站http://ecaitong.sinotruk.com:8012）</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ascii="宋体" w:hAnsi="宋体"/>
          <w:color w:val="auto"/>
          <w:szCs w:val="21"/>
          <w:highlight w:val="none"/>
          <w:u w:val="none"/>
        </w:rPr>
      </w:pPr>
      <w:r>
        <w:rPr>
          <w:rFonts w:hint="eastAsia" w:ascii="宋体" w:hAnsi="Courier New"/>
          <w:color w:val="auto"/>
          <w:szCs w:val="21"/>
          <w:highlight w:val="none"/>
          <w:u w:val="none"/>
          <w:lang w:val="en-US" w:eastAsia="zh-CN"/>
        </w:rPr>
        <w:t>5</w:t>
      </w:r>
      <w:r>
        <w:rPr>
          <w:rFonts w:hint="eastAsia" w:ascii="宋体" w:hAnsi="Courier New"/>
          <w:color w:val="auto"/>
          <w:szCs w:val="21"/>
          <w:highlight w:val="none"/>
          <w:u w:val="none"/>
        </w:rPr>
        <w:t>.招标单位</w:t>
      </w:r>
      <w:r>
        <w:rPr>
          <w:rFonts w:ascii="宋体" w:hAnsi="宋体"/>
          <w:color w:val="auto"/>
          <w:szCs w:val="21"/>
          <w:highlight w:val="none"/>
          <w:u w:val="none"/>
        </w:rPr>
        <w:t>：</w:t>
      </w:r>
      <w:r>
        <w:rPr>
          <w:rFonts w:hint="eastAsia"/>
          <w:color w:val="auto"/>
          <w:highlight w:val="none"/>
          <w:u w:val="none"/>
        </w:rPr>
        <w:t>中国重汽集团济南汽车部件有限公司</w:t>
      </w:r>
    </w:p>
    <w:p>
      <w:pPr>
        <w:pageBreakBefore w:val="0"/>
        <w:kinsoku/>
        <w:wordWrap/>
        <w:overflowPunct/>
        <w:topLinePunct w:val="0"/>
        <w:autoSpaceDE/>
        <w:autoSpaceDN/>
        <w:bidi w:val="0"/>
        <w:adjustRightInd w:val="0"/>
        <w:snapToGrid w:val="0"/>
        <w:spacing w:line="300" w:lineRule="auto"/>
        <w:ind w:firstLine="630" w:firstLineChars="30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val="en-US" w:eastAsia="zh-CN"/>
        </w:rPr>
        <w:t>项目负责人</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徐传通</w:t>
      </w:r>
    </w:p>
    <w:p>
      <w:pPr>
        <w:pageBreakBefore w:val="0"/>
        <w:kinsoku/>
        <w:wordWrap/>
        <w:overflowPunct/>
        <w:topLinePunct w:val="0"/>
        <w:autoSpaceDE/>
        <w:autoSpaceDN/>
        <w:bidi w:val="0"/>
        <w:adjustRightInd w:val="0"/>
        <w:snapToGrid w:val="0"/>
        <w:spacing w:line="300" w:lineRule="auto"/>
        <w:ind w:firstLine="630" w:firstLineChars="300"/>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联系电话/手机号码</w:t>
      </w:r>
      <w:r>
        <w:rPr>
          <w:rFonts w:hint="eastAsia" w:ascii="宋体" w:hAnsi="宋体"/>
          <w:color w:val="auto"/>
          <w:szCs w:val="21"/>
          <w:highlight w:val="none"/>
          <w:u w:val="none"/>
        </w:rPr>
        <w:t>：0531-58069</w:t>
      </w:r>
      <w:r>
        <w:rPr>
          <w:rFonts w:hint="eastAsia" w:ascii="宋体" w:hAnsi="宋体"/>
          <w:color w:val="auto"/>
          <w:szCs w:val="21"/>
          <w:highlight w:val="none"/>
          <w:u w:val="none"/>
          <w:lang w:val="en-US" w:eastAsia="zh-CN"/>
        </w:rPr>
        <w:t>026/17865566610</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五、获取招标文件</w:t>
      </w:r>
    </w:p>
    <w:p>
      <w:pPr>
        <w:pStyle w:val="10"/>
        <w:pageBreakBefore w:val="0"/>
        <w:kinsoku/>
        <w:wordWrap/>
        <w:overflowPunct/>
        <w:topLinePunct w:val="0"/>
        <w:bidi w:val="0"/>
        <w:spacing w:line="300" w:lineRule="auto"/>
        <w:ind w:firstLine="420" w:firstLineChars="200"/>
        <w:rPr>
          <w:color w:val="auto"/>
          <w:highlight w:val="none"/>
        </w:rPr>
      </w:pPr>
      <w:r>
        <w:rPr>
          <w:color w:val="auto"/>
          <w:szCs w:val="21"/>
          <w:highlight w:val="none"/>
        </w:rPr>
        <w:t>请在</w:t>
      </w:r>
      <w:r>
        <w:rPr>
          <w:rFonts w:hint="eastAsia"/>
          <w:color w:val="auto"/>
          <w:szCs w:val="21"/>
          <w:highlight w:val="none"/>
        </w:rPr>
        <w:t>中国重汽官网</w:t>
      </w:r>
      <w:r>
        <w:rPr>
          <w:color w:val="auto"/>
          <w:highlight w:val="none"/>
        </w:rPr>
        <w:fldChar w:fldCharType="begin"/>
      </w:r>
      <w:r>
        <w:rPr>
          <w:color w:val="auto"/>
          <w:highlight w:val="none"/>
        </w:rPr>
        <w:instrText xml:space="preserve"> HYPERLINK "http://www.cnhtc.com.cn" </w:instrText>
      </w:r>
      <w:r>
        <w:rPr>
          <w:color w:val="auto"/>
          <w:highlight w:val="none"/>
        </w:rPr>
        <w:fldChar w:fldCharType="separate"/>
      </w:r>
      <w:r>
        <w:rPr>
          <w:rFonts w:hint="eastAsia"/>
          <w:color w:val="auto"/>
          <w:szCs w:val="21"/>
          <w:highlight w:val="none"/>
        </w:rPr>
        <w:t>http://www.cnhtc.com.cn</w:t>
      </w:r>
      <w:r>
        <w:rPr>
          <w:color w:val="auto"/>
          <w:szCs w:val="21"/>
          <w:highlight w:val="none"/>
        </w:rPr>
        <w:fldChar w:fldCharType="end"/>
      </w:r>
      <w:r>
        <w:rPr>
          <w:rFonts w:hint="eastAsia"/>
          <w:color w:val="auto"/>
          <w:szCs w:val="21"/>
          <w:highlight w:val="none"/>
        </w:rPr>
        <w:t>（快讯中心-通知公告）</w:t>
      </w:r>
      <w:r>
        <w:rPr>
          <w:color w:val="auto"/>
          <w:szCs w:val="21"/>
          <w:highlight w:val="none"/>
        </w:rPr>
        <w:t>下载获取。</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六、投标须知</w:t>
      </w:r>
    </w:p>
    <w:p>
      <w:pPr>
        <w:pStyle w:val="10"/>
        <w:pageBreakBefore w:val="0"/>
        <w:kinsoku/>
        <w:wordWrap/>
        <w:overflowPunct/>
        <w:topLinePunct w:val="0"/>
        <w:autoSpaceDE/>
        <w:autoSpaceDN/>
        <w:bidi w:val="0"/>
        <w:spacing w:line="300" w:lineRule="auto"/>
        <w:ind w:firstLine="422" w:firstLineChars="200"/>
        <w:rPr>
          <w:b/>
          <w:color w:val="auto"/>
          <w:highlight w:val="none"/>
          <w:u w:val="none"/>
        </w:rPr>
      </w:pPr>
      <w:r>
        <w:rPr>
          <w:rFonts w:hint="eastAsia"/>
          <w:b/>
          <w:color w:val="auto"/>
          <w:highlight w:val="none"/>
          <w:u w:val="none"/>
        </w:rPr>
        <w:t>1.合格投标人：</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1"/>
          <w:highlight w:val="none"/>
          <w:u w:val="none"/>
          <w:lang w:eastAsia="zh-CN"/>
        </w:rPr>
      </w:pPr>
      <w:r>
        <w:rPr>
          <w:rFonts w:hint="eastAsia"/>
          <w:color w:val="auto"/>
          <w:szCs w:val="21"/>
          <w:highlight w:val="none"/>
          <w:u w:val="none"/>
        </w:rPr>
        <w:t>1.1项目施工方必须具备项目内容相关成功案例等相关资质并提供近三年的相关业绩证明；投标人须遵守《中华人民共和国招标投标法》、《中华人民共和国民法典》及其它有关的法律和法规；为中华人民共和国境内注册的独立法人机构，具有独立承担民事责任能力</w:t>
      </w:r>
      <w:r>
        <w:rPr>
          <w:rFonts w:hint="eastAsia"/>
          <w:color w:val="auto"/>
          <w:szCs w:val="21"/>
          <w:highlight w:val="none"/>
          <w:u w:val="none"/>
          <w:lang w:eastAsia="zh-CN"/>
        </w:rPr>
        <w:t>。</w:t>
      </w:r>
    </w:p>
    <w:p>
      <w:pPr>
        <w:pageBreakBefore w:val="0"/>
        <w:widowControl/>
        <w:kinsoku/>
        <w:wordWrap/>
        <w:overflowPunct/>
        <w:topLinePunct w:val="0"/>
        <w:autoSpaceDE/>
        <w:autoSpaceDN/>
        <w:bidi w:val="0"/>
        <w:spacing w:line="300" w:lineRule="auto"/>
        <w:jc w:val="left"/>
        <w:rPr>
          <w:rFonts w:hint="eastAsia" w:ascii="宋体" w:hAnsi="Courier New" w:eastAsia="宋体"/>
          <w:color w:val="auto"/>
          <w:szCs w:val="21"/>
          <w:highlight w:val="none"/>
          <w:u w:val="none"/>
          <w:lang w:val="en-US" w:eastAsia="zh-CN"/>
        </w:rPr>
      </w:pPr>
      <w:r>
        <w:rPr>
          <w:color w:val="auto"/>
          <w:szCs w:val="21"/>
          <w:highlight w:val="none"/>
          <w:u w:val="none"/>
        </w:rPr>
        <w:t xml:space="preserve">   </w:t>
      </w:r>
      <w:r>
        <w:rPr>
          <w:rFonts w:ascii="宋体" w:hAnsi="Courier New"/>
          <w:color w:val="auto"/>
          <w:szCs w:val="21"/>
          <w:highlight w:val="none"/>
          <w:u w:val="none"/>
        </w:rPr>
        <w:t xml:space="preserve"> </w:t>
      </w:r>
      <w:r>
        <w:rPr>
          <w:rFonts w:hint="eastAsia" w:ascii="宋体" w:hAnsi="Courier New"/>
          <w:color w:val="auto"/>
          <w:szCs w:val="21"/>
          <w:highlight w:val="none"/>
          <w:u w:val="none"/>
        </w:rPr>
        <w:t>1.2注册资金不得低于500万；或不得低于项目标的额</w:t>
      </w:r>
      <w:r>
        <w:rPr>
          <w:rFonts w:hint="eastAsia" w:ascii="宋体" w:hAnsi="Courier New"/>
          <w:color w:val="auto"/>
          <w:szCs w:val="21"/>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1.3投标人须提供具有统一社会信用代码的新版营业执照副本复印件（加盖公章）</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1.4具有健全的财务会计制度，财务状况和市场行为良好。没有处于被有权机关吊销营业执照、吊销资质、停业整顿、取消投标资格以及财产被接管、冻结或进入破产程序等，投标单位需提供银行审计或资信证明，保证单位财务状况良好可以进行投标</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1.5投标人没有被列入招标人处《黑名单》（《黑名单》指投标人</w:t>
      </w:r>
      <w:r>
        <w:rPr>
          <w:color w:val="auto"/>
          <w:highlight w:val="none"/>
          <w:u w:val="none"/>
        </w:rPr>
        <w:t>与招标人在以往</w:t>
      </w:r>
      <w:r>
        <w:rPr>
          <w:rFonts w:hint="eastAsia"/>
          <w:color w:val="auto"/>
          <w:highlight w:val="none"/>
          <w:u w:val="none"/>
        </w:rPr>
        <w:t>或</w:t>
      </w:r>
      <w:r>
        <w:rPr>
          <w:color w:val="auto"/>
          <w:highlight w:val="none"/>
          <w:u w:val="none"/>
        </w:rPr>
        <w:t>正在</w:t>
      </w:r>
      <w:r>
        <w:rPr>
          <w:rFonts w:hint="eastAsia"/>
          <w:color w:val="auto"/>
          <w:highlight w:val="none"/>
          <w:u w:val="none"/>
        </w:rPr>
        <w:t>进行</w:t>
      </w:r>
      <w:r>
        <w:rPr>
          <w:color w:val="auto"/>
          <w:highlight w:val="none"/>
          <w:u w:val="none"/>
        </w:rPr>
        <w:t>的合作中</w:t>
      </w:r>
      <w:r>
        <w:rPr>
          <w:rFonts w:hint="eastAsia"/>
          <w:color w:val="auto"/>
          <w:highlight w:val="none"/>
          <w:u w:val="none"/>
        </w:rPr>
        <w:t>，</w:t>
      </w:r>
      <w:r>
        <w:rPr>
          <w:color w:val="auto"/>
          <w:highlight w:val="none"/>
          <w:u w:val="none"/>
        </w:rPr>
        <w:t>存在</w:t>
      </w:r>
      <w:r>
        <w:rPr>
          <w:rFonts w:hint="eastAsia"/>
          <w:color w:val="auto"/>
          <w:highlight w:val="none"/>
          <w:u w:val="none"/>
        </w:rPr>
        <w:t>招标人</w:t>
      </w:r>
      <w:r>
        <w:rPr>
          <w:color w:val="auto"/>
          <w:highlight w:val="none"/>
          <w:u w:val="none"/>
        </w:rPr>
        <w:t>认为的</w:t>
      </w:r>
      <w:r>
        <w:rPr>
          <w:rFonts w:hint="eastAsia"/>
          <w:color w:val="auto"/>
          <w:highlight w:val="none"/>
          <w:u w:val="none"/>
        </w:rPr>
        <w:t>违反合同</w:t>
      </w:r>
      <w:r>
        <w:rPr>
          <w:color w:val="auto"/>
          <w:highlight w:val="none"/>
          <w:u w:val="none"/>
        </w:rPr>
        <w:t>约定或</w:t>
      </w:r>
      <w:r>
        <w:rPr>
          <w:rFonts w:hint="eastAsia"/>
          <w:color w:val="auto"/>
          <w:highlight w:val="none"/>
          <w:u w:val="none"/>
        </w:rPr>
        <w:t>违反法律法规</w:t>
      </w:r>
      <w:r>
        <w:rPr>
          <w:color w:val="auto"/>
          <w:highlight w:val="none"/>
          <w:u w:val="none"/>
        </w:rPr>
        <w:t>等的</w:t>
      </w:r>
      <w:r>
        <w:rPr>
          <w:rFonts w:hint="eastAsia"/>
          <w:color w:val="auto"/>
          <w:highlight w:val="none"/>
          <w:u w:val="none"/>
        </w:rPr>
        <w:t>失信行为）</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1.6投标人须提供法人授权委托书复印件及投标单位授权代表的身份证复印件（加盖公章），开标现场核验授权代表身份证原件，授权代表由法人代表本人担任的，仅须提供法人身份证原件</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1.7在“信用中国”信息平台中，</w:t>
      </w:r>
      <w:r>
        <w:rPr>
          <w:rFonts w:hint="eastAsia"/>
          <w:color w:val="auto"/>
          <w:szCs w:val="22"/>
          <w:highlight w:val="none"/>
          <w:u w:val="none"/>
          <w:lang w:eastAsia="zh-CN"/>
        </w:rPr>
        <w:t>无与招标业务相关的重大行政处罚</w:t>
      </w:r>
      <w:r>
        <w:rPr>
          <w:rFonts w:hint="eastAsia"/>
          <w:color w:val="auto"/>
          <w:szCs w:val="22"/>
          <w:highlight w:val="none"/>
          <w:u w:val="none"/>
        </w:rPr>
        <w:t>及失信记录等信息，提供查询页截图</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1.8供方的直接或间接股东、法定代表人、董事、监事、高管非重汽员工及其亲属</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1.9投标人须认可招标人的工作指令，包括节假日、夜间能正常开展工作的要求</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ascii="宋体" w:hAnsi="Courier New" w:eastAsia="宋体" w:cs="Times New Roman"/>
          <w:color w:val="auto"/>
          <w:kern w:val="2"/>
          <w:sz w:val="21"/>
          <w:highlight w:val="none"/>
          <w:u w:val="none"/>
          <w:lang w:val="en-US" w:eastAsia="zh-CN" w:bidi="ar-SA"/>
        </w:rPr>
        <w:t>1.10</w:t>
      </w:r>
      <w:r>
        <w:rPr>
          <w:rFonts w:hint="eastAsia"/>
          <w:color w:val="auto"/>
          <w:highlight w:val="none"/>
          <w:u w:val="none"/>
        </w:rPr>
        <w:t>投标人必须是最终投标、签订合同的单位，不得以任何理由将已中标项目以任何形式转包给其他单位</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b w:val="0"/>
          <w:bCs w:val="0"/>
          <w:color w:val="auto"/>
          <w:highlight w:val="none"/>
          <w:u w:val="none"/>
          <w:lang w:eastAsia="zh-CN"/>
        </w:rPr>
      </w:pPr>
      <w:r>
        <w:rPr>
          <w:rFonts w:hint="eastAsia" w:ascii="宋体" w:hAnsi="Courier New" w:eastAsia="宋体" w:cs="Times New Roman"/>
          <w:color w:val="auto"/>
          <w:kern w:val="2"/>
          <w:sz w:val="21"/>
          <w:highlight w:val="none"/>
          <w:u w:val="none"/>
          <w:lang w:val="en-US" w:eastAsia="zh-CN" w:bidi="ar-SA"/>
        </w:rPr>
        <w:t>1.11</w:t>
      </w:r>
      <w:r>
        <w:rPr>
          <w:rFonts w:hint="eastAsia"/>
          <w:b w:val="0"/>
          <w:bCs w:val="0"/>
          <w:color w:val="auto"/>
          <w:highlight w:val="none"/>
          <w:u w:val="none"/>
        </w:rPr>
        <w:t>投标保证金金额：</w:t>
      </w:r>
      <w:r>
        <w:rPr>
          <w:rFonts w:hint="eastAsia"/>
          <w:b w:val="0"/>
          <w:bCs w:val="0"/>
          <w:color w:val="auto"/>
          <w:highlight w:val="none"/>
          <w:u w:val="none"/>
          <w:lang w:val="en-US" w:eastAsia="zh-CN"/>
        </w:rPr>
        <w:t>2</w:t>
      </w:r>
      <w:r>
        <w:rPr>
          <w:rFonts w:hint="eastAsia"/>
          <w:b w:val="0"/>
          <w:bCs w:val="0"/>
          <w:color w:val="auto"/>
          <w:highlight w:val="none"/>
          <w:u w:val="none"/>
        </w:rPr>
        <w:t>0000元人民币(</w:t>
      </w:r>
      <w:r>
        <w:rPr>
          <w:rFonts w:hint="eastAsia"/>
          <w:b w:val="0"/>
          <w:bCs w:val="0"/>
          <w:color w:val="auto"/>
          <w:highlight w:val="none"/>
          <w:u w:val="none"/>
          <w:lang w:val="en-US" w:eastAsia="zh-CN"/>
        </w:rPr>
        <w:t>贰</w:t>
      </w:r>
      <w:r>
        <w:rPr>
          <w:rFonts w:hint="eastAsia"/>
          <w:b w:val="0"/>
          <w:bCs w:val="0"/>
          <w:color w:val="auto"/>
          <w:highlight w:val="none"/>
          <w:u w:val="none"/>
        </w:rPr>
        <w:t>万元整)</w:t>
      </w:r>
      <w:r>
        <w:rPr>
          <w:rFonts w:hint="eastAsia"/>
          <w:b w:val="0"/>
          <w:bCs w:val="0"/>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color w:val="auto"/>
          <w:highlight w:val="none"/>
          <w:u w:val="none"/>
          <w:lang w:eastAsia="zh-CN"/>
        </w:rPr>
      </w:pPr>
      <w:r>
        <w:rPr>
          <w:rFonts w:hint="eastAsia"/>
          <w:color w:val="auto"/>
          <w:highlight w:val="none"/>
          <w:u w:val="none"/>
        </w:rPr>
        <w:t>投标保证金需在</w:t>
      </w:r>
      <w:r>
        <w:rPr>
          <w:rFonts w:hint="eastAsia"/>
          <w:color w:val="auto"/>
          <w:highlight w:val="none"/>
          <w:u w:val="none"/>
          <w:lang w:val="en-US" w:eastAsia="zh-CN"/>
        </w:rPr>
        <w:t>开标前3天</w:t>
      </w:r>
      <w:r>
        <w:rPr>
          <w:rFonts w:hint="eastAsia"/>
          <w:color w:val="auto"/>
          <w:highlight w:val="none"/>
          <w:u w:val="none"/>
        </w:rPr>
        <w:t>转入指定账户,并备注工序外包招标保证金，逾期转入的投标方将无法参与招投标</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投标保证金有效期同投标有效期（中标通知书发出后30个工作日内，</w:t>
      </w:r>
      <w:r>
        <w:rPr>
          <w:color w:val="auto"/>
          <w:highlight w:val="none"/>
          <w:u w:val="none"/>
        </w:rPr>
        <w:t>将所有投</w:t>
      </w:r>
      <w:r>
        <w:rPr>
          <w:rFonts w:hint="eastAsia"/>
          <w:color w:val="auto"/>
          <w:highlight w:val="none"/>
          <w:u w:val="none"/>
        </w:rPr>
        <w:t>标单位投标保证金退还（无息））。</w:t>
      </w:r>
    </w:p>
    <w:tbl>
      <w:tblPr>
        <w:tblStyle w:val="20"/>
        <w:tblW w:w="83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开户银行：北京银行股份有限公司济南分行营业部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户名：中国重汽集团济南汽车部件有限公司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账号：20000042845000032899980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纳税人识别号：91370181MA3REL3Y80</w:t>
            </w:r>
          </w:p>
        </w:tc>
      </w:tr>
    </w:tbl>
    <w:p>
      <w:pPr>
        <w:pageBreakBefore w:val="0"/>
        <w:kinsoku/>
        <w:wordWrap/>
        <w:overflowPunct/>
        <w:topLinePunct w:val="0"/>
        <w:autoSpaceDE/>
        <w:autoSpaceDN/>
        <w:bidi w:val="0"/>
        <w:spacing w:line="300" w:lineRule="auto"/>
        <w:ind w:firstLine="632" w:firstLineChars="300"/>
        <w:rPr>
          <w:b/>
          <w:bCs/>
          <w:color w:val="auto"/>
          <w:szCs w:val="21"/>
          <w:highlight w:val="none"/>
          <w:u w:val="none"/>
        </w:rPr>
      </w:pPr>
      <w:r>
        <w:rPr>
          <w:b/>
          <w:bCs/>
          <w:color w:val="auto"/>
          <w:szCs w:val="21"/>
          <w:highlight w:val="none"/>
          <w:u w:val="none"/>
        </w:rPr>
        <w:t>(注：投标保证金必须从投标单位基本账户转出)</w:t>
      </w:r>
    </w:p>
    <w:p>
      <w:pPr>
        <w:pageBreakBefore w:val="0"/>
        <w:kinsoku/>
        <w:wordWrap/>
        <w:overflowPunct/>
        <w:topLinePunct w:val="0"/>
        <w:autoSpaceDE/>
        <w:autoSpaceDN/>
        <w:bidi w:val="0"/>
        <w:spacing w:line="300" w:lineRule="auto"/>
        <w:ind w:firstLine="457" w:firstLineChars="218"/>
        <w:rPr>
          <w:color w:val="auto"/>
          <w:highlight w:val="none"/>
          <w:u w:val="none"/>
        </w:rPr>
      </w:pPr>
      <w:r>
        <w:rPr>
          <w:rFonts w:hint="eastAsia"/>
          <w:color w:val="auto"/>
          <w:highlight w:val="none"/>
          <w:u w:val="none"/>
        </w:rPr>
        <w:t>发生以下情况时，有权没收保证金：</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①供应商在提交响应文件截止时间后撤回响应文件的；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②供应商在响应文件中提供虚假材料的；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③除因不可抗力或谈判文件、询价通知书认可的情形以外，成交供应商不与采购人签订合同的；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④供应商与采购人、其他供应商或者采购代理机构恶意串通、围标、陪标的；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⑤采购文件规定的其他情形；</w:t>
      </w:r>
    </w:p>
    <w:p>
      <w:pPr>
        <w:pStyle w:val="10"/>
        <w:pageBreakBefore w:val="0"/>
        <w:kinsoku/>
        <w:wordWrap/>
        <w:overflowPunct/>
        <w:topLinePunct w:val="0"/>
        <w:autoSpaceDE/>
        <w:autoSpaceDN/>
        <w:bidi w:val="0"/>
        <w:spacing w:line="300" w:lineRule="auto"/>
        <w:ind w:firstLine="420" w:firstLineChars="200"/>
        <w:rPr>
          <w:rFonts w:hint="eastAsia"/>
          <w:color w:val="auto"/>
          <w:highlight w:val="none"/>
          <w:u w:val="none"/>
        </w:rPr>
      </w:pPr>
      <w:r>
        <w:rPr>
          <w:rFonts w:hint="eastAsia"/>
          <w:b w:val="0"/>
          <w:bCs w:val="0"/>
          <w:color w:val="auto"/>
          <w:highlight w:val="none"/>
          <w:u w:val="none"/>
        </w:rPr>
        <w:t>⑥供应商有违约违规行为或被投诉、举报的，在调查处理期间，保证金暂不退还，待调查处理结束后按有关规定处理。上述为投标必备的资格条件，相关材料缺项</w:t>
      </w:r>
      <w:r>
        <w:rPr>
          <w:rFonts w:hint="eastAsia"/>
          <w:b w:val="0"/>
          <w:bCs w:val="0"/>
          <w:color w:val="auto"/>
          <w:szCs w:val="22"/>
          <w:highlight w:val="none"/>
          <w:u w:val="none"/>
        </w:rPr>
        <w:t>会按不响应招标文件或无效投标处理</w:t>
      </w:r>
      <w:r>
        <w:rPr>
          <w:rFonts w:hint="eastAsia"/>
          <w:b w:val="0"/>
          <w:bCs w:val="0"/>
          <w:color w:val="auto"/>
          <w:highlight w:val="none"/>
          <w:u w:val="none"/>
        </w:rPr>
        <w:t>，资质证明审查后废除投标资格。</w:t>
      </w:r>
    </w:p>
    <w:p>
      <w:pPr>
        <w:pStyle w:val="10"/>
        <w:pageBreakBefore w:val="0"/>
        <w:kinsoku/>
        <w:wordWrap/>
        <w:overflowPunct/>
        <w:topLinePunct w:val="0"/>
        <w:autoSpaceDE/>
        <w:autoSpaceDN/>
        <w:bidi w:val="0"/>
        <w:spacing w:line="300" w:lineRule="auto"/>
        <w:ind w:firstLine="422" w:firstLineChars="200"/>
        <w:rPr>
          <w:b/>
          <w:color w:val="auto"/>
          <w:szCs w:val="22"/>
          <w:highlight w:val="none"/>
          <w:u w:val="none"/>
        </w:rPr>
      </w:pPr>
      <w:r>
        <w:rPr>
          <w:rFonts w:hint="eastAsia"/>
          <w:b/>
          <w:color w:val="auto"/>
          <w:szCs w:val="22"/>
          <w:highlight w:val="none"/>
          <w:u w:val="none"/>
        </w:rPr>
        <w:t>2.结算</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szCs w:val="22"/>
          <w:highlight w:val="none"/>
          <w:u w:val="none"/>
        </w:rPr>
        <w:t>2.1本次招标报价应为：</w:t>
      </w:r>
      <w:r>
        <w:rPr>
          <w:rFonts w:hint="eastAsia"/>
          <w:color w:val="auto"/>
          <w:highlight w:val="none"/>
          <w:u w:val="none"/>
        </w:rPr>
        <w:t>经与招标人或其指派的答疑人员充分沟通确认基础上，由投标人在满足招标人所提出的、与本项目相关环节有关的所有费用</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b w:val="0"/>
          <w:bCs w:val="0"/>
          <w:color w:val="auto"/>
          <w:highlight w:val="none"/>
          <w:u w:val="none"/>
        </w:rPr>
      </w:pPr>
      <w:r>
        <w:rPr>
          <w:rFonts w:hint="eastAsia" w:hAnsi="宋体"/>
          <w:b w:val="0"/>
          <w:bCs w:val="0"/>
          <w:color w:val="auto"/>
          <w:highlight w:val="none"/>
          <w:u w:val="none"/>
        </w:rPr>
        <w:t>2.2付款</w:t>
      </w:r>
      <w:r>
        <w:rPr>
          <w:rFonts w:hint="eastAsia"/>
          <w:b w:val="0"/>
          <w:bCs w:val="0"/>
          <w:color w:val="auto"/>
          <w:highlight w:val="none"/>
          <w:u w:val="none"/>
        </w:rPr>
        <w:t>结算方式：</w:t>
      </w:r>
      <w:r>
        <w:rPr>
          <w:rFonts w:hint="eastAsia"/>
          <w:b w:val="0"/>
          <w:bCs w:val="0"/>
          <w:color w:val="auto"/>
          <w:highlight w:val="none"/>
          <w:u w:val="none"/>
          <w:lang w:val="en-US" w:eastAsia="zh-CN"/>
        </w:rPr>
        <w:t>半年期商业</w:t>
      </w:r>
      <w:r>
        <w:rPr>
          <w:rFonts w:hint="eastAsia"/>
          <w:b w:val="0"/>
          <w:bCs w:val="0"/>
          <w:color w:val="auto"/>
          <w:highlight w:val="none"/>
          <w:u w:val="none"/>
        </w:rPr>
        <w:t>汇票</w:t>
      </w:r>
      <w:r>
        <w:rPr>
          <w:rFonts w:hint="eastAsia" w:hAnsi="宋体" w:cs="宋体"/>
          <w:b w:val="0"/>
          <w:bCs w:val="0"/>
          <w:color w:val="auto"/>
          <w:szCs w:val="21"/>
          <w:highlight w:val="none"/>
          <w:u w:val="none"/>
        </w:rPr>
        <w:t>，无预付款，挂账后按招标方付款流程付款。</w:t>
      </w:r>
    </w:p>
    <w:p>
      <w:pPr>
        <w:pStyle w:val="10"/>
        <w:pageBreakBefore w:val="0"/>
        <w:kinsoku/>
        <w:wordWrap/>
        <w:overflowPunct/>
        <w:topLinePunct w:val="0"/>
        <w:autoSpaceDE/>
        <w:autoSpaceDN/>
        <w:bidi w:val="0"/>
        <w:spacing w:line="300" w:lineRule="auto"/>
        <w:ind w:firstLine="422" w:firstLineChars="200"/>
        <w:rPr>
          <w:b/>
          <w:bCs w:val="0"/>
          <w:color w:val="auto"/>
          <w:highlight w:val="none"/>
          <w:u w:val="none"/>
        </w:rPr>
      </w:pPr>
      <w:r>
        <w:rPr>
          <w:rFonts w:hint="eastAsia"/>
          <w:b/>
          <w:bCs w:val="0"/>
          <w:color w:val="auto"/>
          <w:highlight w:val="none"/>
          <w:u w:val="none"/>
        </w:rPr>
        <w:t>3.技术规范及服务</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3.1投标人应与招标人指派的答疑人员充分沟通，理解认可并接受相关技术规范及服务要求。</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3.2投标人可免费提供的、包含但不限于招标人所要求的其他相关服务内容，按本招标书“第二章 投标文件编制”要求</w:t>
      </w:r>
      <w:r>
        <w:rPr>
          <w:rFonts w:hint="eastAsia"/>
          <w:color w:val="auto"/>
          <w:szCs w:val="22"/>
          <w:highlight w:val="none"/>
          <w:u w:val="none"/>
        </w:rPr>
        <w:t>，在</w:t>
      </w:r>
      <w:r>
        <w:rPr>
          <w:rFonts w:hint="eastAsia"/>
          <w:color w:val="auto"/>
          <w:highlight w:val="none"/>
          <w:u w:val="none"/>
        </w:rPr>
        <w:t>技术标中说明。</w:t>
      </w:r>
    </w:p>
    <w:p>
      <w:pPr>
        <w:pStyle w:val="10"/>
        <w:pageBreakBefore w:val="0"/>
        <w:kinsoku/>
        <w:wordWrap/>
        <w:overflowPunct/>
        <w:topLinePunct w:val="0"/>
        <w:autoSpaceDE/>
        <w:autoSpaceDN/>
        <w:bidi w:val="0"/>
        <w:spacing w:line="300" w:lineRule="auto"/>
        <w:ind w:firstLine="422" w:firstLineChars="200"/>
        <w:rPr>
          <w:b/>
          <w:color w:val="auto"/>
          <w:highlight w:val="none"/>
          <w:u w:val="none"/>
        </w:rPr>
      </w:pPr>
      <w:r>
        <w:rPr>
          <w:rFonts w:hint="eastAsia"/>
          <w:b/>
          <w:color w:val="auto"/>
          <w:highlight w:val="none"/>
          <w:u w:val="none"/>
        </w:rPr>
        <w:t>4.其他</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投标人须认可招</w:t>
      </w:r>
      <w:r>
        <w:rPr>
          <w:rFonts w:hint="eastAsia"/>
          <w:b w:val="0"/>
          <w:bCs w:val="0"/>
          <w:color w:val="auto"/>
          <w:highlight w:val="none"/>
          <w:u w:val="none"/>
        </w:rPr>
        <w:t>标人由于招标人上级集团公司政策变化引起的合同签订前终止项目的</w:t>
      </w:r>
      <w:r>
        <w:rPr>
          <w:rFonts w:hint="eastAsia"/>
          <w:color w:val="auto"/>
          <w:highlight w:val="none"/>
          <w:u w:val="none"/>
        </w:rPr>
        <w:t>要求。如投标人不认可、不接受，则投标人在本招标书“第二章 投标文件编制”之“相关条款偏离表（含商务偏离及技术偏离）”中注明“不接受”字，招标人将视之为主动弃标。</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其余未尽事宜，均按合同约定。</w:t>
      </w:r>
    </w:p>
    <w:p>
      <w:pPr>
        <w:pStyle w:val="10"/>
        <w:pageBreakBefore w:val="0"/>
        <w:numPr>
          <w:ilvl w:val="0"/>
          <w:numId w:val="0"/>
        </w:numPr>
        <w:kinsoku/>
        <w:wordWrap/>
        <w:overflowPunct/>
        <w:topLinePunct w:val="0"/>
        <w:autoSpaceDE/>
        <w:autoSpaceDN/>
        <w:bidi w:val="0"/>
        <w:spacing w:line="300" w:lineRule="auto"/>
        <w:ind w:firstLine="420" w:firstLineChars="200"/>
        <w:rPr>
          <w:b w:val="0"/>
          <w:bCs/>
          <w:color w:val="auto"/>
          <w:highlight w:val="none"/>
          <w:u w:val="none"/>
        </w:rPr>
      </w:pPr>
      <w:r>
        <w:rPr>
          <w:rFonts w:hint="eastAsia"/>
          <w:b w:val="0"/>
          <w:bCs/>
          <w:color w:val="auto"/>
          <w:highlight w:val="none"/>
          <w:u w:val="none"/>
          <w:lang w:val="en-US" w:eastAsia="zh-CN"/>
        </w:rPr>
        <w:t>5.</w:t>
      </w:r>
      <w:r>
        <w:rPr>
          <w:rFonts w:hint="eastAsia"/>
          <w:b w:val="0"/>
          <w:bCs/>
          <w:color w:val="auto"/>
          <w:highlight w:val="none"/>
          <w:u w:val="none"/>
        </w:rPr>
        <w:t>要求招标人或相关合同签订单位提供的配合，在标书文件中说明。</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七、评标</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1</w:t>
      </w:r>
      <w:r>
        <w:rPr>
          <w:rFonts w:hint="eastAsia"/>
          <w:b/>
          <w:bCs/>
          <w:color w:val="auto"/>
          <w:highlight w:val="none"/>
          <w:u w:val="none"/>
        </w:rPr>
        <w:t>.评标</w:t>
      </w:r>
    </w:p>
    <w:p>
      <w:pPr>
        <w:pStyle w:val="10"/>
        <w:pageBreakBefore w:val="0"/>
        <w:kinsoku/>
        <w:wordWrap/>
        <w:overflowPunct/>
        <w:topLinePunct w:val="0"/>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lang w:val="en-US" w:eastAsia="zh-CN"/>
        </w:rPr>
        <w:t>1</w:t>
      </w:r>
      <w:r>
        <w:rPr>
          <w:rFonts w:hint="eastAsia" w:hAnsi="宋体"/>
          <w:color w:val="auto"/>
          <w:szCs w:val="21"/>
          <w:highlight w:val="none"/>
          <w:u w:val="none"/>
        </w:rPr>
        <w:t>.1</w:t>
      </w:r>
      <w:r>
        <w:rPr>
          <w:rFonts w:hint="eastAsia" w:hAnsi="宋体"/>
          <w:szCs w:val="24"/>
        </w:rPr>
        <w:t>为保证项目顺利实施，由招标人组织、按国家法律法规及公司相关规章制度要求，设立评标工作小组，同时依据以下评分标准，</w:t>
      </w:r>
      <w:r>
        <w:rPr>
          <w:rFonts w:hint="eastAsia"/>
          <w:b w:val="0"/>
          <w:bCs w:val="0"/>
          <w:szCs w:val="24"/>
        </w:rPr>
        <w:t>采用</w:t>
      </w:r>
      <w:r>
        <w:rPr>
          <w:rFonts w:hint="eastAsia"/>
          <w:b w:val="0"/>
          <w:bCs w:val="0"/>
          <w:szCs w:val="24"/>
          <w:lang w:eastAsia="zh-CN"/>
        </w:rPr>
        <w:t>技术标入围商务标</w:t>
      </w:r>
      <w:r>
        <w:rPr>
          <w:rFonts w:hint="eastAsia"/>
          <w:b w:val="0"/>
          <w:bCs w:val="0"/>
          <w:szCs w:val="24"/>
          <w:lang w:val="en-US" w:eastAsia="zh-CN"/>
        </w:rPr>
        <w:t>合理</w:t>
      </w:r>
      <w:r>
        <w:rPr>
          <w:rFonts w:hint="eastAsia"/>
          <w:b w:val="0"/>
          <w:bCs w:val="0"/>
          <w:szCs w:val="24"/>
          <w:lang w:eastAsia="zh-CN"/>
        </w:rPr>
        <w:t>最低价中标，</w:t>
      </w:r>
      <w:r>
        <w:rPr>
          <w:rFonts w:hint="eastAsia" w:hAnsi="宋体"/>
          <w:b w:val="0"/>
          <w:bCs w:val="0"/>
          <w:color w:val="auto"/>
          <w:szCs w:val="21"/>
          <w:highlight w:val="none"/>
          <w:u w:val="none"/>
        </w:rPr>
        <w:t>投标前各投标人按照标书技术要求对项目方案进行充分准备，有意投标的单位应默认认同上述评标过程，无异议。对未入围投标方及未中标人不做任何解释</w:t>
      </w:r>
      <w:r>
        <w:rPr>
          <w:rFonts w:hint="eastAsia"/>
          <w:b w:val="0"/>
          <w:bCs w:val="0"/>
          <w:color w:val="auto"/>
          <w:highlight w:val="none"/>
          <w:u w:val="none"/>
        </w:rPr>
        <w:t>。</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2</w:t>
      </w:r>
      <w:r>
        <w:rPr>
          <w:rFonts w:hint="eastAsia"/>
          <w:b/>
          <w:bCs/>
          <w:color w:val="auto"/>
          <w:highlight w:val="none"/>
          <w:u w:val="none"/>
        </w:rPr>
        <w:t>.评分</w:t>
      </w:r>
      <w:r>
        <w:rPr>
          <w:rFonts w:hint="eastAsia"/>
          <w:b/>
          <w:bCs/>
          <w:color w:val="auto"/>
          <w:highlight w:val="none"/>
          <w:u w:val="none"/>
          <w:lang w:val="en-US" w:eastAsia="zh-CN"/>
        </w:rPr>
        <w:t>流程及</w:t>
      </w:r>
      <w:r>
        <w:rPr>
          <w:rFonts w:hint="eastAsia"/>
          <w:b/>
          <w:bCs/>
          <w:color w:val="auto"/>
          <w:highlight w:val="none"/>
          <w:u w:val="none"/>
        </w:rPr>
        <w:t>标准</w:t>
      </w:r>
    </w:p>
    <w:p>
      <w:pPr>
        <w:pStyle w:val="17"/>
        <w:pageBreakBefore w:val="0"/>
        <w:kinsoku/>
        <w:wordWrap/>
        <w:overflowPunct/>
        <w:topLinePunct w:val="0"/>
        <w:autoSpaceDE/>
        <w:autoSpaceDN/>
        <w:bidi w:val="0"/>
        <w:spacing w:before="0" w:beforeAutospacing="0" w:after="0" w:afterAutospacing="0" w:line="300" w:lineRule="auto"/>
        <w:ind w:firstLine="420" w:firstLineChars="200"/>
        <w:jc w:val="both"/>
        <w:rPr>
          <w:rFonts w:hint="eastAsia" w:ascii="宋体" w:hAnsi="宋体" w:cs="宋体"/>
          <w:color w:val="auto"/>
          <w:kern w:val="2"/>
          <w:sz w:val="21"/>
          <w:szCs w:val="21"/>
          <w:highlight w:val="none"/>
          <w:u w:val="none"/>
          <w:lang w:bidi="ar"/>
        </w:rPr>
      </w:pPr>
      <w:r>
        <w:rPr>
          <w:rFonts w:hint="eastAsia" w:ascii="宋体" w:hAnsi="宋体" w:cs="宋体"/>
          <w:color w:val="auto"/>
          <w:kern w:val="2"/>
          <w:sz w:val="21"/>
          <w:szCs w:val="21"/>
          <w:highlight w:val="none"/>
          <w:u w:val="none"/>
          <w:lang w:val="en-US" w:eastAsia="zh-CN" w:bidi="ar"/>
        </w:rPr>
        <w:t>2</w:t>
      </w:r>
      <w:r>
        <w:rPr>
          <w:rFonts w:ascii="宋体" w:hAnsi="宋体" w:cs="宋体"/>
          <w:color w:val="auto"/>
          <w:kern w:val="2"/>
          <w:sz w:val="21"/>
          <w:szCs w:val="21"/>
          <w:highlight w:val="none"/>
          <w:u w:val="none"/>
          <w:lang w:bidi="ar"/>
        </w:rPr>
        <w:t>.</w:t>
      </w:r>
      <w:r>
        <w:rPr>
          <w:rFonts w:hint="eastAsia" w:ascii="宋体" w:hAnsi="宋体" w:cs="宋体"/>
          <w:color w:val="auto"/>
          <w:kern w:val="2"/>
          <w:sz w:val="21"/>
          <w:szCs w:val="21"/>
          <w:highlight w:val="none"/>
          <w:u w:val="none"/>
          <w:lang w:val="en-US" w:eastAsia="zh-CN" w:bidi="ar"/>
        </w:rPr>
        <w:t>1</w:t>
      </w:r>
      <w:r>
        <w:rPr>
          <w:rFonts w:hint="eastAsia" w:ascii="宋体" w:hAnsi="宋体" w:cs="宋体"/>
          <w:color w:val="auto"/>
          <w:kern w:val="2"/>
          <w:sz w:val="21"/>
          <w:szCs w:val="21"/>
          <w:highlight w:val="none"/>
          <w:u w:val="none"/>
          <w:lang w:bidi="ar"/>
        </w:rPr>
        <w:t>技术标开标，专家</w:t>
      </w:r>
      <w:r>
        <w:rPr>
          <w:rFonts w:hint="eastAsia" w:ascii="宋体" w:hAnsi="宋体" w:cs="宋体"/>
          <w:color w:val="auto"/>
          <w:kern w:val="2"/>
          <w:sz w:val="21"/>
          <w:szCs w:val="21"/>
          <w:highlight w:val="none"/>
          <w:u w:val="none"/>
          <w:lang w:val="en-US" w:eastAsia="zh-CN" w:bidi="ar"/>
        </w:rPr>
        <w:t>按照以下评分标准打分</w:t>
      </w:r>
      <w:r>
        <w:rPr>
          <w:rFonts w:hint="eastAsia" w:ascii="宋体" w:hAnsi="宋体" w:cs="宋体"/>
          <w:color w:val="auto"/>
          <w:kern w:val="2"/>
          <w:sz w:val="21"/>
          <w:szCs w:val="21"/>
          <w:highlight w:val="none"/>
          <w:u w:val="none"/>
          <w:lang w:bidi="ar"/>
        </w:rPr>
        <w:t>推荐入围单位。</w:t>
      </w:r>
    </w:p>
    <w:tbl>
      <w:tblPr>
        <w:tblStyle w:val="20"/>
        <w:tblW w:w="0" w:type="auto"/>
        <w:tblInd w:w="0" w:type="dxa"/>
        <w:tblLayout w:type="fixed"/>
        <w:tblCellMar>
          <w:top w:w="15" w:type="dxa"/>
          <w:left w:w="15" w:type="dxa"/>
          <w:bottom w:w="15" w:type="dxa"/>
          <w:right w:w="15" w:type="dxa"/>
        </w:tblCellMar>
      </w:tblPr>
      <w:tblGrid>
        <w:gridCol w:w="888"/>
        <w:gridCol w:w="888"/>
        <w:gridCol w:w="1333"/>
        <w:gridCol w:w="5653"/>
      </w:tblGrid>
      <w:tr>
        <w:tblPrEx>
          <w:tblCellMar>
            <w:top w:w="15" w:type="dxa"/>
            <w:left w:w="15" w:type="dxa"/>
            <w:bottom w:w="15" w:type="dxa"/>
            <w:right w:w="15" w:type="dxa"/>
          </w:tblCellMar>
        </w:tblPrEx>
        <w:trPr>
          <w:trHeight w:val="900"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序号</w:t>
            </w:r>
          </w:p>
        </w:tc>
        <w:tc>
          <w:tcPr>
            <w:tcW w:w="78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评审内容（100分）</w:t>
            </w:r>
          </w:p>
        </w:tc>
      </w:tr>
      <w:tr>
        <w:tblPrEx>
          <w:tblCellMar>
            <w:top w:w="15" w:type="dxa"/>
            <w:left w:w="15" w:type="dxa"/>
            <w:bottom w:w="15" w:type="dxa"/>
            <w:right w:w="15" w:type="dxa"/>
          </w:tblCellMar>
        </w:tblPrEx>
        <w:trPr>
          <w:trHeight w:val="840" w:hRule="atLeast"/>
        </w:trPr>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1</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技术标（</w:t>
            </w:r>
            <w:r>
              <w:rPr>
                <w:rFonts w:hint="eastAsia" w:ascii="宋体" w:hAnsi="宋体" w:cs="宋体"/>
                <w:color w:val="auto"/>
                <w:kern w:val="0"/>
                <w:sz w:val="20"/>
                <w:szCs w:val="20"/>
                <w:highlight w:val="none"/>
                <w:u w:val="none"/>
                <w:lang w:val="en-US" w:eastAsia="zh-CN" w:bidi="ar"/>
              </w:rPr>
              <w:t>100</w:t>
            </w:r>
            <w:r>
              <w:rPr>
                <w:rFonts w:hint="eastAsia" w:ascii="宋体" w:hAnsi="宋体" w:cs="宋体"/>
                <w:color w:val="auto"/>
                <w:kern w:val="0"/>
                <w:sz w:val="20"/>
                <w:szCs w:val="20"/>
                <w:highlight w:val="none"/>
                <w:u w:val="none"/>
                <w:lang w:bidi="ar"/>
              </w:rPr>
              <w:t>分)</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技术方案部分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w:t>
            </w:r>
            <w:r>
              <w:rPr>
                <w:rFonts w:hint="eastAsia" w:ascii="宋体" w:hAnsi="宋体" w:cs="宋体"/>
                <w:color w:val="auto"/>
                <w:kern w:val="0"/>
                <w:sz w:val="20"/>
                <w:szCs w:val="20"/>
                <w:highlight w:val="none"/>
                <w:u w:val="none"/>
                <w:lang w:val="en-US" w:eastAsia="zh-CN" w:bidi="ar"/>
              </w:rPr>
              <w:t>70</w:t>
            </w:r>
            <w:r>
              <w:rPr>
                <w:rFonts w:hint="eastAsia" w:ascii="宋体" w:hAnsi="宋体" w:cs="宋体"/>
                <w:color w:val="auto"/>
                <w:kern w:val="0"/>
                <w:sz w:val="20"/>
                <w:szCs w:val="20"/>
                <w:highlight w:val="none"/>
                <w:u w:val="none"/>
                <w:lang w:bidi="ar"/>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技术实施方案0-</w:t>
            </w:r>
            <w:r>
              <w:rPr>
                <w:rFonts w:hint="eastAsia" w:ascii="宋体" w:hAnsi="宋体" w:cs="宋体"/>
                <w:color w:val="auto"/>
                <w:sz w:val="20"/>
                <w:szCs w:val="20"/>
                <w:highlight w:val="none"/>
                <w:u w:val="none"/>
                <w:lang w:val="en-US" w:eastAsia="zh-CN"/>
              </w:rPr>
              <w:t>40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31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40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21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30</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工艺难点认识程度0-</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16</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11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15</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职业危害健康与安全防范0-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8</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5</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7</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4</w:t>
            </w:r>
            <w:r>
              <w:rPr>
                <w:rFonts w:hint="default" w:ascii="宋体" w:hAnsi="宋体" w:cs="宋体"/>
                <w:color w:val="auto"/>
                <w:sz w:val="20"/>
                <w:szCs w:val="20"/>
                <w:highlight w:val="none"/>
                <w:u w:val="none"/>
              </w:rPr>
              <w:t>分。</w:t>
            </w:r>
          </w:p>
        </w:tc>
      </w:tr>
      <w:tr>
        <w:tblPrEx>
          <w:tblCellMar>
            <w:top w:w="15" w:type="dxa"/>
            <w:left w:w="15" w:type="dxa"/>
            <w:bottom w:w="15" w:type="dxa"/>
            <w:right w:w="15" w:type="dxa"/>
          </w:tblCellMar>
        </w:tblPrEx>
        <w:trPr>
          <w:trHeight w:val="960"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资信情况和履约能力</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eastAsia" w:ascii="宋体" w:hAnsi="宋体" w:cs="宋体"/>
                <w:color w:val="auto"/>
                <w:sz w:val="20"/>
                <w:szCs w:val="20"/>
                <w:highlight w:val="none"/>
                <w:u w:val="none"/>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视投标人的综合实力、资质、企业信誉认证情况、第三方独立评估机构出具的资信等级情况、财务状况履约能力情况0-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8</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5</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7</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4</w:t>
            </w:r>
            <w:r>
              <w:rPr>
                <w:rFonts w:hint="default" w:ascii="宋体" w:hAnsi="宋体" w:cs="宋体"/>
                <w:color w:val="auto"/>
                <w:sz w:val="20"/>
                <w:szCs w:val="20"/>
                <w:highlight w:val="none"/>
                <w:u w:val="none"/>
              </w:rPr>
              <w:t>分。</w:t>
            </w:r>
          </w:p>
        </w:tc>
      </w:tr>
      <w:tr>
        <w:tblPrEx>
          <w:tblCellMar>
            <w:top w:w="15" w:type="dxa"/>
            <w:left w:w="15" w:type="dxa"/>
            <w:bottom w:w="15" w:type="dxa"/>
            <w:right w:w="15" w:type="dxa"/>
          </w:tblCellMar>
        </w:tblPrEx>
        <w:trPr>
          <w:trHeight w:val="795"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类似业绩</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20</w:t>
            </w:r>
            <w:r>
              <w:rPr>
                <w:rFonts w:hint="eastAsia" w:ascii="宋体" w:hAnsi="宋体" w:cs="宋体"/>
                <w:color w:val="auto"/>
                <w:sz w:val="20"/>
                <w:szCs w:val="20"/>
                <w:highlight w:val="none"/>
                <w:u w:val="none"/>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根据投标人近3年同类项目业绩实施情况进行评分；在山东重工下属企业中有同类项目业务的，</w:t>
            </w:r>
            <w:r>
              <w:rPr>
                <w:rFonts w:hint="eastAsia" w:ascii="宋体" w:hAnsi="宋体" w:cs="宋体"/>
                <w:color w:val="auto"/>
                <w:sz w:val="20"/>
                <w:szCs w:val="20"/>
                <w:highlight w:val="none"/>
                <w:u w:val="none"/>
                <w:lang w:val="en-US" w:eastAsia="zh-CN"/>
              </w:rPr>
              <w:t>一项得10</w:t>
            </w:r>
            <w:r>
              <w:rPr>
                <w:rFonts w:hint="default" w:ascii="宋体" w:hAnsi="宋体" w:cs="宋体"/>
                <w:color w:val="auto"/>
                <w:sz w:val="20"/>
                <w:szCs w:val="20"/>
                <w:highlight w:val="none"/>
                <w:u w:val="none"/>
              </w:rPr>
              <w:t>分</w:t>
            </w:r>
            <w:r>
              <w:rPr>
                <w:rFonts w:hint="eastAsia" w:ascii="宋体" w:hAnsi="宋体" w:cs="宋体"/>
                <w:color w:val="auto"/>
                <w:sz w:val="20"/>
                <w:szCs w:val="20"/>
                <w:highlight w:val="none"/>
                <w:u w:val="none"/>
                <w:lang w:eastAsia="zh-CN"/>
              </w:rPr>
              <w:t>；</w:t>
            </w:r>
            <w:r>
              <w:rPr>
                <w:rFonts w:hint="default" w:ascii="宋体" w:hAnsi="宋体" w:cs="宋体"/>
                <w:color w:val="auto"/>
                <w:sz w:val="20"/>
                <w:szCs w:val="20"/>
                <w:highlight w:val="none"/>
                <w:u w:val="none"/>
              </w:rPr>
              <w:t>非山东重工企业有同类项目业务</w:t>
            </w:r>
            <w:r>
              <w:rPr>
                <w:rFonts w:hint="eastAsia" w:ascii="宋体" w:hAnsi="宋体" w:cs="宋体"/>
                <w:color w:val="auto"/>
                <w:sz w:val="20"/>
                <w:szCs w:val="20"/>
                <w:highlight w:val="none"/>
                <w:u w:val="none"/>
                <w:lang w:val="en-US" w:eastAsia="zh-CN"/>
              </w:rPr>
              <w:t>的，一项得5</w:t>
            </w:r>
            <w:r>
              <w:rPr>
                <w:rFonts w:hint="default" w:ascii="宋体" w:hAnsi="宋体" w:cs="宋体"/>
                <w:color w:val="auto"/>
                <w:sz w:val="20"/>
                <w:szCs w:val="20"/>
                <w:highlight w:val="none"/>
                <w:u w:val="none"/>
              </w:rPr>
              <w:t>分</w:t>
            </w:r>
            <w:r>
              <w:rPr>
                <w:rFonts w:hint="eastAsia" w:ascii="宋体" w:hAnsi="宋体" w:cs="宋体"/>
                <w:color w:val="auto"/>
                <w:sz w:val="20"/>
                <w:szCs w:val="20"/>
                <w:highlight w:val="none"/>
                <w:u w:val="none"/>
                <w:lang w:eastAsia="zh-CN"/>
              </w:rPr>
              <w:t>；</w:t>
            </w:r>
            <w:r>
              <w:rPr>
                <w:rFonts w:hint="default" w:ascii="宋体" w:hAnsi="宋体" w:cs="宋体"/>
                <w:color w:val="auto"/>
                <w:sz w:val="20"/>
                <w:szCs w:val="20"/>
                <w:highlight w:val="none"/>
                <w:u w:val="none"/>
              </w:rPr>
              <w:t>最高得</w:t>
            </w:r>
            <w:r>
              <w:rPr>
                <w:rFonts w:hint="eastAsia" w:ascii="宋体" w:hAnsi="宋体" w:cs="宋体"/>
                <w:color w:val="auto"/>
                <w:sz w:val="20"/>
                <w:szCs w:val="20"/>
                <w:highlight w:val="none"/>
                <w:u w:val="none"/>
                <w:lang w:val="en-US" w:eastAsia="zh-CN"/>
              </w:rPr>
              <w:t>满分20</w:t>
            </w:r>
            <w:r>
              <w:rPr>
                <w:rFonts w:hint="default" w:ascii="宋体" w:hAnsi="宋体" w:cs="宋体"/>
                <w:color w:val="auto"/>
                <w:sz w:val="20"/>
                <w:szCs w:val="20"/>
                <w:highlight w:val="none"/>
                <w:u w:val="none"/>
              </w:rPr>
              <w:t>分。</w:t>
            </w:r>
          </w:p>
        </w:tc>
      </w:tr>
    </w:tbl>
    <w:p>
      <w:pPr>
        <w:pStyle w:val="10"/>
        <w:pageBreakBefore w:val="0"/>
        <w:kinsoku/>
        <w:wordWrap/>
        <w:overflowPunct/>
        <w:topLinePunct w:val="0"/>
        <w:bidi w:val="0"/>
        <w:adjustRightInd w:val="0"/>
        <w:spacing w:line="300" w:lineRule="auto"/>
        <w:ind w:firstLine="420" w:firstLineChars="200"/>
        <w:rPr>
          <w:rFonts w:hint="eastAsia" w:ascii="宋体" w:hAnsi="宋体" w:eastAsia="宋体" w:cs="Times New Roman"/>
          <w:b w:val="0"/>
          <w:bCs w:val="0"/>
          <w:color w:val="auto"/>
          <w:kern w:val="2"/>
          <w:sz w:val="21"/>
          <w:szCs w:val="21"/>
          <w:highlight w:val="none"/>
          <w:u w:val="none"/>
          <w:lang w:val="en-US" w:eastAsia="zh-CN" w:bidi="ar-SA"/>
        </w:rPr>
      </w:pPr>
      <w:r>
        <w:rPr>
          <w:rFonts w:hint="eastAsia" w:hAnsi="宋体" w:cs="Times New Roman"/>
          <w:b w:val="0"/>
          <w:bCs w:val="0"/>
          <w:color w:val="auto"/>
          <w:kern w:val="2"/>
          <w:sz w:val="21"/>
          <w:szCs w:val="21"/>
          <w:highlight w:val="none"/>
          <w:u w:val="none"/>
          <w:lang w:val="en-US" w:eastAsia="zh-CN" w:bidi="ar-SA"/>
        </w:rPr>
        <w:t>2</w:t>
      </w:r>
      <w:r>
        <w:rPr>
          <w:rFonts w:hint="eastAsia" w:ascii="宋体" w:hAnsi="宋体" w:eastAsia="宋体" w:cs="Times New Roman"/>
          <w:b w:val="0"/>
          <w:bCs w:val="0"/>
          <w:color w:val="auto"/>
          <w:kern w:val="2"/>
          <w:sz w:val="21"/>
          <w:szCs w:val="21"/>
          <w:highlight w:val="none"/>
          <w:u w:val="none"/>
          <w:lang w:val="en-US" w:eastAsia="zh-CN" w:bidi="ar-SA"/>
        </w:rPr>
        <w:t>.2技术标入围，多轮谈判，原则上合理最低价中标</w:t>
      </w:r>
      <w:r>
        <w:rPr>
          <w:rFonts w:hint="eastAsia" w:ascii="宋体" w:hAnsi="宋体" w:cs="Times New Roman"/>
          <w:b w:val="0"/>
          <w:bCs w:val="0"/>
          <w:color w:val="auto"/>
          <w:kern w:val="2"/>
          <w:sz w:val="21"/>
          <w:szCs w:val="21"/>
          <w:highlight w:val="none"/>
          <w:u w:val="none"/>
          <w:lang w:val="en-US" w:eastAsia="zh-CN" w:bidi="ar-SA"/>
        </w:rPr>
        <w:t>。</w:t>
      </w:r>
    </w:p>
    <w:p>
      <w:pPr>
        <w:pStyle w:val="10"/>
        <w:pageBreakBefore w:val="0"/>
        <w:kinsoku/>
        <w:wordWrap/>
        <w:overflowPunct/>
        <w:topLinePunct w:val="0"/>
        <w:autoSpaceDE/>
        <w:autoSpaceDN/>
        <w:bidi w:val="0"/>
        <w:spacing w:line="300" w:lineRule="auto"/>
        <w:rPr>
          <w:rFonts w:ascii="黑体" w:eastAsia="黑体"/>
          <w:b/>
          <w:bCs/>
          <w:color w:val="auto"/>
          <w:sz w:val="28"/>
          <w:szCs w:val="22"/>
          <w:highlight w:val="none"/>
          <w:u w:val="none"/>
        </w:rPr>
      </w:pPr>
      <w:r>
        <w:rPr>
          <w:rFonts w:hint="eastAsia" w:ascii="黑体" w:eastAsia="黑体"/>
          <w:b/>
          <w:bCs/>
          <w:color w:val="auto"/>
          <w:sz w:val="28"/>
          <w:szCs w:val="22"/>
          <w:highlight w:val="none"/>
          <w:u w:val="none"/>
          <w:lang w:val="en-US" w:eastAsia="zh-CN"/>
        </w:rPr>
        <w:t>八</w:t>
      </w:r>
      <w:r>
        <w:rPr>
          <w:rFonts w:hint="eastAsia" w:ascii="黑体" w:eastAsia="黑体"/>
          <w:b/>
          <w:bCs/>
          <w:color w:val="auto"/>
          <w:sz w:val="28"/>
          <w:szCs w:val="22"/>
          <w:highlight w:val="none"/>
          <w:u w:val="none"/>
        </w:rPr>
        <w:t>、合同签订</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1.</w:t>
      </w:r>
      <w:r>
        <w:rPr>
          <w:rFonts w:hint="eastAsia" w:hAnsi="宋体"/>
          <w:color w:val="auto"/>
          <w:szCs w:val="21"/>
          <w:highlight w:val="none"/>
          <w:u w:val="none"/>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0"/>
        <w:pageBreakBefore w:val="0"/>
        <w:kinsoku/>
        <w:wordWrap/>
        <w:overflowPunct/>
        <w:topLinePunct w:val="0"/>
        <w:autoSpaceDE/>
        <w:autoSpaceDN/>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rPr>
        <w:t>2.招标人发送《中标通知书》给中标人，中标人应及时与招标人联系，在招标人要求的时间内完成合同签订，如果中标人接到《中标通知书》</w:t>
      </w:r>
      <w:r>
        <w:rPr>
          <w:rFonts w:hint="eastAsia" w:hAnsi="宋体"/>
          <w:b w:val="0"/>
          <w:bCs w:val="0"/>
          <w:color w:val="auto"/>
          <w:szCs w:val="21"/>
          <w:highlight w:val="none"/>
          <w:u w:val="none"/>
        </w:rPr>
        <w:t>后，无正当理由拒绝按其规定的期限与相关单位签订合同或在签订合同时向招标人或相关单位提出附加条件或者更改合同实质性内容的，</w:t>
      </w:r>
      <w:r>
        <w:rPr>
          <w:b w:val="0"/>
          <w:bCs w:val="0"/>
          <w:color w:val="auto"/>
          <w:highlight w:val="none"/>
          <w:u w:val="none"/>
        </w:rPr>
        <w:t>投标保证金不予返还</w:t>
      </w:r>
      <w:r>
        <w:rPr>
          <w:rFonts w:hint="eastAsia"/>
          <w:b w:val="0"/>
          <w:bCs w:val="0"/>
          <w:color w:val="auto"/>
          <w:highlight w:val="none"/>
          <w:u w:val="none"/>
        </w:rPr>
        <w:t>，</w:t>
      </w:r>
      <w:r>
        <w:rPr>
          <w:rFonts w:hint="eastAsia" w:hAnsi="宋体"/>
          <w:b w:val="0"/>
          <w:bCs w:val="0"/>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3.中标人应当按照合同约定的履约责任，</w:t>
      </w:r>
      <w:r>
        <w:rPr>
          <w:rFonts w:hint="eastAsia" w:hAnsi="宋体"/>
          <w:color w:val="auto"/>
          <w:highlight w:val="none"/>
          <w:u w:val="none"/>
        </w:rPr>
        <w:t>向招标人指定的合同签订单位缴纳履约保证金（具体数额以合同约定为准），如中标人未按合同及其附件约定履行应承担的责任，招标人或招标人指定的合同签订单位有权扣除其履约保证金。</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4.中标人应在保证质量的前提下完成中标项目，不得将中标项目转包或分包给他人，否则视为违约，招标人或相关单位有权解除合同。</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5.中标人</w:t>
      </w:r>
      <w:r>
        <w:rPr>
          <w:rFonts w:hint="eastAsia"/>
          <w:color w:val="auto"/>
          <w:szCs w:val="21"/>
          <w:highlight w:val="none"/>
          <w:u w:val="none"/>
        </w:rPr>
        <w:t>由于履行义务的能力或信用有严重缺陷，</w:t>
      </w:r>
      <w:r>
        <w:rPr>
          <w:rFonts w:hint="eastAsia" w:hAnsi="宋体"/>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6.招标人有权指定招标人的关联单位作为合同签订人，与中标人签署相关合同，且具体权利义务以双方最终签署的合同为准。</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7.中标人须认可由于招标人上级集团公司政策变化引起的合同签订前终止项目的要求。</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lang w:val="en-US" w:eastAsia="zh-CN"/>
        </w:rPr>
        <w:t>九、</w:t>
      </w:r>
      <w:r>
        <w:rPr>
          <w:rFonts w:hint="eastAsia" w:ascii="黑体" w:eastAsia="黑体"/>
          <w:b/>
          <w:bCs/>
          <w:color w:val="auto"/>
          <w:sz w:val="28"/>
          <w:highlight w:val="none"/>
          <w:u w:val="none"/>
        </w:rPr>
        <w:t>废标及终止招标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ageBreakBefore w:val="0"/>
        <w:kinsoku/>
        <w:wordWrap/>
        <w:overflowPunct/>
        <w:topLinePunct w:val="0"/>
        <w:autoSpaceDE/>
        <w:autoSpaceDN/>
        <w:bidi w:val="0"/>
        <w:spacing w:line="300" w:lineRule="auto"/>
        <w:ind w:right="2" w:firstLine="420" w:firstLineChars="200"/>
        <w:rPr>
          <w:rFonts w:hint="eastAsia" w:ascii="宋体" w:hAnsi="Courier New" w:eastAsia="宋体"/>
          <w:color w:val="auto"/>
          <w:highlight w:val="none"/>
          <w:u w:val="none"/>
          <w:lang w:eastAsia="zh-CN"/>
        </w:rPr>
      </w:pPr>
      <w:bookmarkStart w:id="1" w:name="OLE_LINK2"/>
      <w:r>
        <w:rPr>
          <w:rFonts w:hint="eastAsia" w:ascii="宋体" w:hAnsi="宋体"/>
          <w:color w:val="auto"/>
          <w:highlight w:val="none"/>
          <w:u w:val="none"/>
        </w:rPr>
        <w:t>1.1</w:t>
      </w:r>
      <w:r>
        <w:rPr>
          <w:rFonts w:hint="eastAsia" w:ascii="宋体" w:hAnsi="Courier New"/>
          <w:color w:val="auto"/>
          <w:highlight w:val="none"/>
          <w:u w:val="none"/>
        </w:rPr>
        <w:t>投标人提供的有关资格、资质证明文件不合格、不真实或提供虚假投标材料</w:t>
      </w:r>
      <w:r>
        <w:rPr>
          <w:rFonts w:hint="eastAsia" w:ascii="宋体" w:hAnsi="Courier New"/>
          <w:color w:val="auto"/>
          <w:highlight w:val="none"/>
          <w:u w:val="none"/>
          <w:lang w:eastAsia="zh-CN"/>
        </w:rPr>
        <w:t>；</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宋体"/>
          <w:color w:val="auto"/>
          <w:highlight w:val="none"/>
          <w:u w:val="none"/>
        </w:rPr>
        <w:t>1.2</w:t>
      </w:r>
      <w:r>
        <w:rPr>
          <w:rFonts w:hint="eastAsia" w:ascii="宋体" w:hAnsi="Courier New"/>
          <w:color w:val="auto"/>
          <w:highlight w:val="none"/>
          <w:u w:val="none"/>
        </w:rPr>
        <w:t>投标人在报价有效期内撤回投标；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1.3在整个评标过程中，投标人有企图影响评标结果公正性的任何活动；</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1.4投标人以任何方式诋毁其他投标人；</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1.5投标人串通投标；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1.6以他人名义投标或者以其他方式弄虚作假，骗取中标的；</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1.7中标人不按规定签订合同；</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1.8投标单位负责人为同一人或存在管理关系的；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1.9投标人被举报检举，并经招标方查实无误的；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Times New Roman" w:hAnsi="Times New Roman"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1.10法律、法规规定的其他情况。</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2.出现下列情形之一，招标人有权否决所有投标人的投标，并终止招标。</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2.1出现影响公正的违法、违规行为的；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2.2评标委员会经评审，认为所有投标都不符合招标文件要求的；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2.3因重大变故，项目任务取消的；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2.4符合条件的投标人或者对招标文件做实质响应的投标人不足三家的</w:t>
      </w:r>
      <w:r>
        <w:rPr>
          <w:rFonts w:hint="eastAsia" w:ascii="宋体" w:hAnsi="宋体" w:cs="宋体"/>
          <w:color w:val="auto"/>
          <w:kern w:val="2"/>
          <w:sz w:val="21"/>
          <w:szCs w:val="21"/>
          <w:highlight w:val="none"/>
          <w:u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w:t>
      </w:r>
      <w:r>
        <w:rPr>
          <w:rFonts w:hint="eastAsia" w:ascii="宋体" w:hAnsi="宋体" w:cs="宋体"/>
          <w:color w:val="auto"/>
          <w:kern w:val="2"/>
          <w:sz w:val="21"/>
          <w:szCs w:val="21"/>
          <w:highlight w:val="none"/>
          <w:u w:val="none"/>
          <w:lang w:val="en-US" w:eastAsia="zh-CN" w:bidi="ar"/>
        </w:rPr>
        <w:t>5</w:t>
      </w:r>
      <w:r>
        <w:rPr>
          <w:rFonts w:hint="eastAsia" w:ascii="宋体" w:hAnsi="宋体" w:eastAsia="宋体" w:cs="宋体"/>
          <w:color w:val="auto"/>
          <w:kern w:val="2"/>
          <w:sz w:val="21"/>
          <w:szCs w:val="21"/>
          <w:highlight w:val="none"/>
          <w:u w:val="none"/>
          <w:lang w:val="en-US" w:eastAsia="zh-CN" w:bidi="ar"/>
        </w:rPr>
        <w:t>招标人认为其他应终止招标的情形。</w:t>
      </w:r>
    </w:p>
    <w:p>
      <w:pPr>
        <w:pageBreakBefore w:val="0"/>
        <w:numPr>
          <w:ilvl w:val="0"/>
          <w:numId w:val="0"/>
        </w:numPr>
        <w:kinsoku/>
        <w:wordWrap/>
        <w:overflowPunct/>
        <w:topLinePunct w:val="0"/>
        <w:autoSpaceDE/>
        <w:autoSpaceDN/>
        <w:bidi w:val="0"/>
        <w:spacing w:line="300" w:lineRule="auto"/>
        <w:ind w:right="2" w:rightChars="0" w:firstLine="420" w:firstLineChars="200"/>
        <w:rPr>
          <w:rFonts w:hint="eastAsia"/>
        </w:rPr>
      </w:pPr>
      <w:r>
        <w:rPr>
          <w:rFonts w:hint="eastAsia" w:ascii="宋体" w:hAnsi="Courier New"/>
          <w:color w:val="auto"/>
          <w:highlight w:val="none"/>
          <w:u w:val="none"/>
          <w:lang w:val="en-US" w:eastAsia="zh-CN"/>
        </w:rPr>
        <w:t>3.</w:t>
      </w:r>
      <w:r>
        <w:rPr>
          <w:rFonts w:hint="eastAsia" w:ascii="宋体" w:hAnsi="Courier New"/>
          <w:color w:val="auto"/>
          <w:highlight w:val="none"/>
          <w:u w:val="none"/>
        </w:rPr>
        <w:t>投标人承诺并同意因招标人公司政策变化引起的随时终止项目的情形，并自行承担由此带来的一切损失。</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十、</w:t>
      </w:r>
      <w:r>
        <w:rPr>
          <w:rFonts w:hint="eastAsia" w:ascii="黑体" w:eastAsia="黑体"/>
          <w:b/>
          <w:bCs/>
          <w:color w:val="auto"/>
          <w:sz w:val="28"/>
          <w:highlight w:val="none"/>
          <w:u w:val="none"/>
        </w:rPr>
        <w:t xml:space="preserve">中标人瑕疵滞后发现的处理原则 </w:t>
      </w:r>
    </w:p>
    <w:p>
      <w:pPr>
        <w:pStyle w:val="10"/>
        <w:pageBreakBefore w:val="0"/>
        <w:numPr>
          <w:ilvl w:val="0"/>
          <w:numId w:val="0"/>
        </w:numPr>
        <w:kinsoku/>
        <w:wordWrap/>
        <w:overflowPunct/>
        <w:topLinePunct w:val="0"/>
        <w:autoSpaceDE/>
        <w:autoSpaceDN/>
        <w:bidi w:val="0"/>
        <w:spacing w:line="300" w:lineRule="auto"/>
        <w:ind w:firstLine="420" w:firstLineChars="200"/>
        <w:rPr>
          <w:rFonts w:hint="eastAsia" w:ascii="宋体" w:hAnsi="Courier New" w:eastAsia="宋体" w:cs="Times New Roman"/>
          <w:color w:val="auto"/>
          <w:kern w:val="2"/>
          <w:sz w:val="21"/>
          <w:highlight w:val="none"/>
          <w:u w:val="none"/>
          <w:lang w:val="en-US" w:eastAsia="zh-CN" w:bidi="ar-SA"/>
        </w:rPr>
      </w:pPr>
      <w:r>
        <w:rPr>
          <w:rFonts w:hint="eastAsia" w:ascii="宋体" w:hAnsi="Courier New" w:eastAsia="宋体" w:cs="Times New Roman"/>
          <w:color w:val="auto"/>
          <w:kern w:val="2"/>
          <w:sz w:val="21"/>
          <w:highlight w:val="none"/>
          <w:u w:val="none"/>
          <w:lang w:val="en-US" w:eastAsia="zh-CN" w:bidi="ar-SA"/>
        </w:rPr>
        <w:t>无论基于何种原因，各项本应作为拒绝处理的情形即便未被及时发现而使该中标人通过了资格审核、初评、复审、终评或其他所有相关程序，包括已签订合同，</w:t>
      </w:r>
      <w:r>
        <w:rPr>
          <w:rFonts w:hint="eastAsia" w:cs="Times New Roman"/>
          <w:color w:val="auto"/>
          <w:kern w:val="2"/>
          <w:sz w:val="21"/>
          <w:highlight w:val="none"/>
          <w:u w:val="none"/>
          <w:lang w:val="en-US" w:eastAsia="zh-CN" w:bidi="ar-SA"/>
        </w:rPr>
        <w:t>招标人均有权拒绝或取消中标人资格，</w:t>
      </w:r>
      <w:r>
        <w:rPr>
          <w:rFonts w:hint="eastAsia" w:ascii="宋体" w:hAnsi="Courier New" w:eastAsia="宋体" w:cs="Times New Roman"/>
          <w:color w:val="auto"/>
          <w:kern w:val="2"/>
          <w:sz w:val="21"/>
          <w:highlight w:val="none"/>
          <w:u w:val="none"/>
          <w:lang w:val="en-US" w:eastAsia="zh-CN" w:bidi="ar-SA"/>
        </w:rPr>
        <w:t>一旦中标人被拒绝或该中标人此前的评议结果被取消，相关的一切损失均由该中标人承担。</w:t>
      </w:r>
    </w:p>
    <w:bookmarkEnd w:id="1"/>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一</w:t>
      </w:r>
      <w:r>
        <w:rPr>
          <w:rFonts w:hint="eastAsia" w:ascii="黑体" w:eastAsia="黑体"/>
          <w:b/>
          <w:bCs/>
          <w:color w:val="auto"/>
          <w:sz w:val="28"/>
          <w:highlight w:val="none"/>
          <w:u w:val="none"/>
        </w:rPr>
        <w:t>、双方责任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1.招标方责任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1.1招标方负责按相关要求管理投标方队伍，按生产计划安排生产任务。</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1.2招标方有权对投标方队伍进行质量考核，以及对其它违反招标方管理制度、工艺纪律的情况进行考核。</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2.投标方责任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2.1投标方有责任服从招标方外包管理车间的各项管理。</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2.2投标方有责任按招标方的要求正确使用设备、工具。并负责对所使用的设备进行点检、清洁等日常保养。设备工具出现故障或损坏时，投标方有责任及时向招标方报告，投标方落实故障或损毁原因，属于人为损坏的，由投标方承担100%的损失；投标方有责任在节假日对所使用设备进行全面清洁、维护。</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2.3投标方在为招标方生产和提供产品时应确保招标方工艺、技术文件、作业指导书等得到严格贯彻和执行、人员资质和能力得到有效评价，以使质量保证能力能够满足招标方质量要求。当招标方需要进行验证时，投标方应给予安排并配合验证工作。</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2.4投标方应严格按照工艺领用、使用各种辅料、材料用品，未按规定使用从而造成成本浪费及质量问题的，投标方应负全部责任。投标方应加强管理，在实际生产过程中切实降低原材料和各种工艺辅料的使用量。</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2.5 投标方每年组织一次职工体检，保证员工健康，体检不合格或存在安全隐患</w:t>
      </w:r>
      <w:r>
        <w:rPr>
          <w:rFonts w:hint="eastAsia" w:ascii="宋体" w:hAnsi="Courier New"/>
          <w:color w:val="auto"/>
          <w:szCs w:val="22"/>
          <w:highlight w:val="none"/>
          <w:u w:val="none"/>
          <w:lang w:val="en-US" w:eastAsia="zh-CN"/>
        </w:rPr>
        <w:t>的，</w:t>
      </w:r>
      <w:r>
        <w:rPr>
          <w:rFonts w:hint="eastAsia" w:ascii="宋体" w:hAnsi="Courier New"/>
          <w:color w:val="auto"/>
          <w:szCs w:val="22"/>
          <w:highlight w:val="none"/>
          <w:u w:val="none"/>
        </w:rPr>
        <w:t>投标方要进行人员调整，保证存在问题员工不再继续从事</w:t>
      </w:r>
      <w:r>
        <w:rPr>
          <w:rFonts w:hint="eastAsia" w:ascii="宋体" w:hAnsi="Courier New"/>
          <w:color w:val="auto"/>
          <w:szCs w:val="22"/>
          <w:highlight w:val="none"/>
          <w:u w:val="none"/>
          <w:lang w:val="en-US" w:eastAsia="zh-CN"/>
        </w:rPr>
        <w:t>相关</w:t>
      </w:r>
      <w:r>
        <w:rPr>
          <w:rFonts w:hint="eastAsia" w:ascii="宋体" w:hAnsi="Courier New"/>
          <w:color w:val="auto"/>
          <w:szCs w:val="22"/>
          <w:highlight w:val="none"/>
          <w:u w:val="none"/>
        </w:rPr>
        <w:t>岗位工作。</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二</w:t>
      </w:r>
      <w:r>
        <w:rPr>
          <w:rFonts w:hint="eastAsia" w:ascii="黑体" w:eastAsia="黑体"/>
          <w:b/>
          <w:bCs/>
          <w:color w:val="auto"/>
          <w:sz w:val="28"/>
          <w:highlight w:val="none"/>
          <w:u w:val="none"/>
        </w:rPr>
        <w:t>、解释权</w:t>
      </w:r>
    </w:p>
    <w:p>
      <w:pPr>
        <w:pageBreakBefore w:val="0"/>
        <w:kinsoku/>
        <w:wordWrap/>
        <w:overflowPunct/>
        <w:topLinePunct w:val="0"/>
        <w:autoSpaceDE/>
        <w:autoSpaceDN/>
        <w:bidi w:val="0"/>
        <w:spacing w:line="300" w:lineRule="auto"/>
        <w:ind w:right="2" w:firstLine="420" w:firstLineChars="200"/>
        <w:rPr>
          <w:rFonts w:hint="eastAsia" w:ascii="宋体" w:hAnsi="Courier New" w:cs="宋体"/>
          <w:color w:val="auto"/>
          <w:highlight w:val="none"/>
          <w:u w:val="none"/>
          <w:lang w:bidi="ar"/>
        </w:rPr>
      </w:pPr>
      <w:r>
        <w:rPr>
          <w:rFonts w:hint="eastAsia" w:ascii="宋体" w:hAnsi="Courier New" w:cs="宋体"/>
          <w:color w:val="auto"/>
          <w:highlight w:val="none"/>
          <w:u w:val="none"/>
          <w:lang w:bidi="ar"/>
        </w:rPr>
        <w:t>本招标文件的最终解释权归招标人，当对一个问题有多种解释时以招标人的书面解释为准。招标文件未做须知明示，而又有相关法律、法规规定的，招标人对此所做解释以相关的法律、法规规定为依据。</w:t>
      </w:r>
    </w:p>
    <w:p>
      <w:pPr>
        <w:pageBreakBefore w:val="0"/>
        <w:kinsoku/>
        <w:wordWrap/>
        <w:overflowPunct/>
        <w:topLinePunct w:val="0"/>
        <w:autoSpaceDE/>
        <w:autoSpaceDN/>
        <w:bidi w:val="0"/>
        <w:spacing w:line="300" w:lineRule="auto"/>
        <w:ind w:right="2" w:firstLine="420" w:firstLineChars="200"/>
        <w:rPr>
          <w:rFonts w:hint="eastAsia" w:ascii="宋体" w:hAnsi="Courier New" w:cs="宋体"/>
          <w:color w:val="auto"/>
          <w:highlight w:val="none"/>
          <w:u w:val="none"/>
          <w:lang w:bidi="ar"/>
        </w:rPr>
      </w:pPr>
    </w:p>
    <w:p>
      <w:pPr>
        <w:rPr>
          <w:color w:val="auto"/>
          <w:highlight w:val="none"/>
          <w:u w:val="none"/>
        </w:rPr>
      </w:pPr>
      <w:r>
        <w:rPr>
          <w:rFonts w:hint="eastAsia" w:ascii="宋体" w:hAnsi="Courier New" w:cs="宋体"/>
          <w:color w:val="auto"/>
          <w:highlight w:val="none"/>
          <w:u w:val="none"/>
          <w:lang w:bidi="ar"/>
        </w:rPr>
        <w:br w:type="page"/>
      </w:r>
    </w:p>
    <w:p>
      <w:pPr>
        <w:pStyle w:val="18"/>
        <w:pageBreakBefore w:val="0"/>
        <w:kinsoku/>
        <w:wordWrap/>
        <w:overflowPunct/>
        <w:topLinePunct w:val="0"/>
        <w:autoSpaceDE/>
        <w:autoSpaceDN/>
        <w:bidi w:val="0"/>
        <w:spacing w:line="300" w:lineRule="auto"/>
        <w:jc w:val="both"/>
        <w:rPr>
          <w:rFonts w:hint="eastAsia" w:ascii="黑体" w:hAnsi="黑体" w:eastAsia="黑体"/>
          <w:color w:val="auto"/>
          <w:sz w:val="44"/>
          <w:szCs w:val="44"/>
          <w:highlight w:val="none"/>
          <w:u w:val="none"/>
        </w:rPr>
      </w:pPr>
      <w:bookmarkStart w:id="2" w:name="_Toc103679685"/>
    </w:p>
    <w:bookmarkEnd w:id="2"/>
    <w:p>
      <w:pPr>
        <w:pStyle w:val="18"/>
        <w:pageBreakBefore w:val="0"/>
        <w:kinsoku/>
        <w:wordWrap/>
        <w:overflowPunct/>
        <w:topLinePunct w:val="0"/>
        <w:autoSpaceDE/>
        <w:autoSpaceDN/>
        <w:bidi w:val="0"/>
        <w:spacing w:line="300" w:lineRule="auto"/>
        <w:rPr>
          <w:rFonts w:ascii="黑体" w:hAnsi="黑体" w:eastAsia="黑体"/>
          <w:color w:val="auto"/>
          <w:sz w:val="44"/>
          <w:szCs w:val="44"/>
          <w:highlight w:val="none"/>
          <w:u w:val="none"/>
        </w:rPr>
      </w:pPr>
      <w:r>
        <w:rPr>
          <w:rFonts w:hint="eastAsia" w:ascii="黑体" w:hAnsi="黑体" w:eastAsia="黑体"/>
          <w:color w:val="auto"/>
          <w:sz w:val="44"/>
          <w:szCs w:val="44"/>
          <w:highlight w:val="none"/>
          <w:u w:val="none"/>
        </w:rPr>
        <w:t>第二章  投标文件编制</w:t>
      </w:r>
    </w:p>
    <w:p>
      <w:pPr>
        <w:pStyle w:val="10"/>
        <w:pageBreakBefore w:val="0"/>
        <w:kinsoku/>
        <w:wordWrap/>
        <w:overflowPunct/>
        <w:topLinePunct w:val="0"/>
        <w:autoSpaceDE/>
        <w:autoSpaceDN/>
        <w:bidi w:val="0"/>
        <w:spacing w:line="300" w:lineRule="auto"/>
        <w:rPr>
          <w:rFonts w:hint="eastAsia" w:ascii="黑体" w:eastAsia="宋体"/>
          <w:b/>
          <w:bCs/>
          <w:color w:val="auto"/>
          <w:sz w:val="28"/>
          <w:highlight w:val="none"/>
          <w:u w:val="none"/>
          <w:lang w:eastAsia="zh-CN"/>
        </w:rPr>
      </w:pPr>
      <w:r>
        <w:rPr>
          <w:rFonts w:hint="eastAsia" w:ascii="黑体" w:eastAsia="黑体"/>
          <w:b/>
          <w:bCs/>
          <w:color w:val="auto"/>
          <w:sz w:val="28"/>
          <w:highlight w:val="none"/>
          <w:u w:val="none"/>
        </w:rPr>
        <w:t>一、投标文件组成</w:t>
      </w:r>
      <w:r>
        <w:rPr>
          <w:rFonts w:hint="eastAsia" w:hAnsi="宋体" w:cs="宋体"/>
          <w:b w:val="0"/>
          <w:bCs/>
          <w:color w:val="auto"/>
          <w:szCs w:val="21"/>
          <w:highlight w:val="none"/>
          <w:u w:val="none"/>
          <w:lang w:bidi="ar"/>
        </w:rPr>
        <w:t>（</w:t>
      </w:r>
      <w:r>
        <w:rPr>
          <w:rFonts w:hint="eastAsia" w:hAnsi="宋体" w:cs="宋体"/>
          <w:b/>
          <w:bCs w:val="0"/>
          <w:color w:val="C00000"/>
          <w:szCs w:val="21"/>
          <w:highlight w:val="none"/>
          <w:u w:val="none"/>
          <w:lang w:bidi="ar"/>
        </w:rPr>
        <w:t>注意：投标响应文件均需加盖投标单位公章</w:t>
      </w:r>
      <w:r>
        <w:rPr>
          <w:rFonts w:hint="eastAsia" w:hAnsi="宋体" w:cs="宋体"/>
          <w:b/>
          <w:bCs w:val="0"/>
          <w:color w:val="C00000"/>
          <w:szCs w:val="21"/>
          <w:highlight w:val="none"/>
          <w:u w:val="none"/>
          <w:lang w:eastAsia="zh-CN" w:bidi="ar"/>
        </w:rPr>
        <w:t>）</w:t>
      </w:r>
    </w:p>
    <w:p>
      <w:pPr>
        <w:pStyle w:val="10"/>
        <w:pageBreakBefore w:val="0"/>
        <w:kinsoku/>
        <w:wordWrap/>
        <w:overflowPunct/>
        <w:topLinePunct w:val="0"/>
        <w:autoSpaceDE/>
        <w:autoSpaceDN/>
        <w:bidi w:val="0"/>
        <w:spacing w:line="300" w:lineRule="auto"/>
        <w:ind w:firstLine="420" w:firstLineChars="200"/>
        <w:rPr>
          <w:rFonts w:hint="default" w:hAnsi="宋体" w:eastAsia="宋体"/>
          <w:color w:val="auto"/>
          <w:highlight w:val="none"/>
          <w:u w:val="none"/>
          <w:lang w:val="en-US" w:eastAsia="zh-CN"/>
        </w:rPr>
      </w:pPr>
      <w:r>
        <w:rPr>
          <w:rFonts w:hint="eastAsia" w:hAnsi="宋体"/>
          <w:color w:val="auto"/>
          <w:highlight w:val="none"/>
          <w:u w:val="none"/>
          <w:lang w:val="en-US" w:eastAsia="zh-CN"/>
        </w:rPr>
        <w:t>1.</w:t>
      </w:r>
      <w:r>
        <w:rPr>
          <w:rFonts w:hint="eastAsia" w:hAnsi="宋体"/>
          <w:color w:val="auto"/>
          <w:highlight w:val="none"/>
          <w:u w:val="none"/>
        </w:rPr>
        <w:t>投标文件</w:t>
      </w:r>
      <w:r>
        <w:rPr>
          <w:rFonts w:hint="eastAsia" w:hAnsi="宋体"/>
          <w:color w:val="auto"/>
          <w:highlight w:val="none"/>
          <w:u w:val="none"/>
          <w:lang w:val="en-US" w:eastAsia="zh-CN"/>
        </w:rPr>
        <w:t>包括</w:t>
      </w:r>
      <w:r>
        <w:rPr>
          <w:rFonts w:hint="eastAsia" w:hAnsi="宋体"/>
          <w:b/>
          <w:bCs/>
          <w:color w:val="auto"/>
          <w:highlight w:val="none"/>
          <w:u w:val="none"/>
          <w:lang w:val="en-US" w:eastAsia="zh-CN"/>
        </w:rPr>
        <w:t>资质文件</w:t>
      </w:r>
      <w:r>
        <w:rPr>
          <w:rFonts w:hint="eastAsia"/>
          <w:b/>
          <w:bCs/>
          <w:color w:val="auto"/>
          <w:highlight w:val="none"/>
          <w:u w:val="none"/>
        </w:rPr>
        <w:t>、</w:t>
      </w:r>
      <w:r>
        <w:rPr>
          <w:rFonts w:hint="eastAsia" w:hAnsi="宋体"/>
          <w:b/>
          <w:bCs/>
          <w:color w:val="auto"/>
          <w:highlight w:val="none"/>
          <w:u w:val="none"/>
        </w:rPr>
        <w:t>技术标</w:t>
      </w:r>
      <w:r>
        <w:rPr>
          <w:rFonts w:hint="eastAsia" w:hAnsi="宋体"/>
          <w:b/>
          <w:bCs/>
          <w:color w:val="auto"/>
          <w:highlight w:val="none"/>
          <w:u w:val="none"/>
          <w:lang w:val="en-US" w:eastAsia="zh-CN"/>
        </w:rPr>
        <w:t>文件</w:t>
      </w:r>
      <w:r>
        <w:rPr>
          <w:rFonts w:hint="eastAsia" w:hAnsi="宋体"/>
          <w:b/>
          <w:bCs/>
          <w:color w:val="auto"/>
          <w:highlight w:val="none"/>
          <w:u w:val="none"/>
          <w:lang w:eastAsia="zh-CN"/>
        </w:rPr>
        <w:t>、</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lang w:eastAsia="zh-CN"/>
        </w:rPr>
        <w:t>、</w:t>
      </w:r>
      <w:r>
        <w:rPr>
          <w:rFonts w:hint="eastAsia" w:hAnsi="宋体"/>
          <w:b/>
          <w:bCs/>
          <w:color w:val="auto"/>
          <w:highlight w:val="none"/>
          <w:u w:val="none"/>
          <w:lang w:val="en-US" w:eastAsia="zh-CN"/>
        </w:rPr>
        <w:t>近三年财务报告、年度纳税信用评价信息</w:t>
      </w:r>
      <w:r>
        <w:rPr>
          <w:rFonts w:hint="eastAsia" w:hAnsi="宋体"/>
          <w:color w:val="auto"/>
          <w:highlight w:val="none"/>
          <w:u w:val="none"/>
          <w:lang w:val="en-US" w:eastAsia="zh-CN"/>
        </w:rPr>
        <w:t>、</w:t>
      </w:r>
      <w:r>
        <w:rPr>
          <w:rFonts w:hint="eastAsia" w:hAnsi="宋体"/>
          <w:b/>
          <w:bCs/>
          <w:color w:val="auto"/>
          <w:highlight w:val="none"/>
          <w:u w:val="none"/>
          <w:lang w:val="en-US" w:eastAsia="zh-CN"/>
        </w:rPr>
        <w:t>企业对外担保说明、纳税人信用级别，</w:t>
      </w:r>
      <w:r>
        <w:rPr>
          <w:rFonts w:hint="eastAsia" w:hAnsi="宋体"/>
          <w:b w:val="0"/>
          <w:bCs w:val="0"/>
          <w:color w:val="auto"/>
          <w:highlight w:val="none"/>
          <w:u w:val="none"/>
          <w:lang w:val="en-US" w:eastAsia="zh-CN"/>
        </w:rPr>
        <w:t>详细编制要求如下：</w:t>
      </w:r>
    </w:p>
    <w:p>
      <w:pPr>
        <w:pStyle w:val="10"/>
        <w:pageBreakBefore w:val="0"/>
        <w:kinsoku/>
        <w:wordWrap/>
        <w:overflowPunct/>
        <w:topLinePunct w:val="0"/>
        <w:autoSpaceDE/>
        <w:autoSpaceDN/>
        <w:bidi w:val="0"/>
        <w:spacing w:line="300" w:lineRule="auto"/>
        <w:ind w:firstLine="422" w:firstLineChars="200"/>
        <w:rPr>
          <w:rFonts w:hAnsi="宋体"/>
          <w:b/>
          <w:bCs/>
          <w:color w:val="auto"/>
          <w:highlight w:val="none"/>
          <w:u w:val="none"/>
        </w:rPr>
      </w:pPr>
      <w:r>
        <w:rPr>
          <w:rFonts w:hint="eastAsia" w:hAnsi="宋体"/>
          <w:b/>
          <w:bCs/>
          <w:color w:val="auto"/>
          <w:highlight w:val="none"/>
          <w:u w:val="none"/>
          <w:lang w:val="en-US" w:eastAsia="zh-CN"/>
        </w:rPr>
        <w:t>1.1</w:t>
      </w:r>
      <w:r>
        <w:rPr>
          <w:rFonts w:hint="eastAsia" w:hAnsi="宋体"/>
          <w:b/>
          <w:bCs/>
          <w:color w:val="auto"/>
          <w:highlight w:val="none"/>
          <w:u w:val="none"/>
        </w:rPr>
        <w:t>资格文件包括：</w:t>
      </w:r>
    </w:p>
    <w:tbl>
      <w:tblPr>
        <w:tblStyle w:val="20"/>
        <w:tblW w:w="860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91"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4</w:t>
            </w:r>
          </w:p>
        </w:tc>
        <w:tc>
          <w:tcPr>
            <w:tcW w:w="779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both"/>
              <w:rPr>
                <w:rFonts w:hint="default" w:ascii="宋体" w:hAnsi="Courier New"/>
                <w:color w:val="auto"/>
                <w:szCs w:val="20"/>
                <w:highlight w:val="none"/>
                <w:u w:val="none"/>
              </w:rPr>
            </w:pPr>
            <w:r>
              <w:rPr>
                <w:rFonts w:hint="eastAsia" w:ascii="宋体" w:hAnsi="宋体" w:cs="宋体"/>
                <w:b/>
                <w:bCs/>
                <w:color w:val="auto"/>
                <w:kern w:val="2"/>
                <w:sz w:val="21"/>
                <w:szCs w:val="21"/>
                <w:highlight w:val="none"/>
                <w:u w:val="none"/>
                <w:lang w:bidi="ar"/>
              </w:rPr>
              <w:t>附件3</w:t>
            </w:r>
            <w:r>
              <w:rPr>
                <w:rFonts w:hint="eastAsia" w:ascii="宋体" w:hAnsi="宋体" w:cs="宋体"/>
                <w:color w:val="auto"/>
                <w:kern w:val="2"/>
                <w:sz w:val="21"/>
                <w:szCs w:val="21"/>
                <w:highlight w:val="none"/>
                <w:u w:val="none"/>
                <w:lang w:bidi="ar"/>
              </w:rPr>
              <w:t xml:space="preserve"> 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5</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投标保证金缴纳凭证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6</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宋体" w:cs="宋体"/>
                <w:b/>
                <w:bCs/>
                <w:color w:val="auto"/>
                <w:szCs w:val="21"/>
                <w:highlight w:val="none"/>
                <w:u w:val="none"/>
                <w:lang w:bidi="ar"/>
              </w:rPr>
            </w:pPr>
            <w:r>
              <w:rPr>
                <w:rFonts w:hint="eastAsia" w:ascii="宋体" w:hAnsi="宋体" w:cs="宋体"/>
                <w:color w:val="auto"/>
                <w:szCs w:val="21"/>
                <w:highlight w:val="none"/>
                <w:u w:val="none"/>
                <w:lang w:bidi="ar"/>
              </w:rPr>
              <w:t>银行开具资信等级证明（复印件）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val="en-US" w:eastAsia="zh-CN"/>
              </w:rPr>
            </w:pPr>
            <w:r>
              <w:rPr>
                <w:rFonts w:hint="eastAsia" w:hAnsi="宋体"/>
                <w:color w:val="auto"/>
                <w:szCs w:val="20"/>
                <w:highlight w:val="none"/>
                <w:u w:val="none"/>
                <w:lang w:val="en-US" w:eastAsia="zh-CN"/>
              </w:rPr>
              <w:t>7</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宋体" w:hAnsi="宋体" w:cs="宋体"/>
                <w:color w:val="auto"/>
                <w:szCs w:val="21"/>
                <w:highlight w:val="none"/>
                <w:u w:val="none"/>
                <w:lang w:bidi="ar"/>
              </w:rPr>
            </w:pPr>
            <w:r>
              <w:rPr>
                <w:rFonts w:hint="eastAsia"/>
                <w:color w:val="auto"/>
                <w:szCs w:val="22"/>
                <w:highlight w:val="none"/>
                <w:u w:val="none"/>
              </w:rPr>
              <w:t>“信用中国”信息平台中，查询页截图</w:t>
            </w:r>
          </w:p>
        </w:tc>
      </w:tr>
    </w:tbl>
    <w:p>
      <w:pPr>
        <w:pStyle w:val="10"/>
        <w:pageBreakBefore w:val="0"/>
        <w:kinsoku/>
        <w:wordWrap/>
        <w:overflowPunct/>
        <w:topLinePunct w:val="0"/>
        <w:autoSpaceDE/>
        <w:autoSpaceDN/>
        <w:bidi w:val="0"/>
        <w:spacing w:line="300" w:lineRule="auto"/>
        <w:ind w:firstLine="422" w:firstLineChars="200"/>
        <w:rPr>
          <w:rFonts w:hAnsi="宋体"/>
          <w:b/>
          <w:bCs/>
          <w:color w:val="auto"/>
          <w:highlight w:val="none"/>
          <w:u w:val="none"/>
        </w:rPr>
      </w:pPr>
      <w:r>
        <w:rPr>
          <w:rFonts w:hint="eastAsia" w:hAnsi="宋体"/>
          <w:b/>
          <w:bCs/>
          <w:color w:val="auto"/>
          <w:highlight w:val="none"/>
          <w:u w:val="none"/>
          <w:lang w:val="en-US" w:eastAsia="zh-CN"/>
        </w:rPr>
        <w:t>1.2</w:t>
      </w:r>
      <w:r>
        <w:rPr>
          <w:rFonts w:hint="eastAsia" w:hAnsi="宋体"/>
          <w:b/>
          <w:bCs/>
          <w:color w:val="auto"/>
          <w:highlight w:val="none"/>
          <w:u w:val="none"/>
        </w:rPr>
        <w:t>技术标</w:t>
      </w:r>
      <w:r>
        <w:rPr>
          <w:rFonts w:hint="eastAsia" w:hAnsi="宋体"/>
          <w:b/>
          <w:bCs/>
          <w:color w:val="auto"/>
          <w:highlight w:val="none"/>
          <w:u w:val="none"/>
          <w:lang w:val="en-US" w:eastAsia="zh-CN"/>
        </w:rPr>
        <w:t>文件</w:t>
      </w:r>
      <w:r>
        <w:rPr>
          <w:rFonts w:hint="eastAsia" w:hAnsi="宋体"/>
          <w:b/>
          <w:bCs/>
          <w:color w:val="auto"/>
          <w:highlight w:val="none"/>
          <w:u w:val="none"/>
        </w:rPr>
        <w:t>包含：</w:t>
      </w:r>
    </w:p>
    <w:tbl>
      <w:tblPr>
        <w:tblStyle w:val="20"/>
        <w:tblW w:w="8591"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800"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color w:val="auto"/>
                <w:szCs w:val="20"/>
                <w:highlight w:val="none"/>
                <w:u w:val="none"/>
              </w:rPr>
            </w:pPr>
            <w:r>
              <w:rPr>
                <w:rFonts w:hint="eastAsia" w:hAnsi="宋体"/>
                <w:color w:val="auto"/>
                <w:szCs w:val="20"/>
                <w:highlight w:val="none"/>
                <w:u w:val="none"/>
              </w:rPr>
              <w:t>1</w:t>
            </w:r>
          </w:p>
        </w:tc>
        <w:tc>
          <w:tcPr>
            <w:tcW w:w="7800"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rPr>
                <w:rFonts w:hint="eastAsia" w:hAnsi="宋体" w:cs="宋体"/>
                <w:b/>
                <w:bCs/>
                <w:color w:val="auto"/>
                <w:szCs w:val="21"/>
                <w:highlight w:val="none"/>
                <w:u w:val="none"/>
                <w:lang w:bidi="ar"/>
              </w:rPr>
            </w:pPr>
            <w:r>
              <w:rPr>
                <w:rFonts w:hint="eastAsia" w:hAnsi="宋体"/>
                <w:b/>
                <w:bCs/>
                <w:color w:val="auto"/>
                <w:szCs w:val="20"/>
                <w:highlight w:val="none"/>
                <w:u w:val="none"/>
              </w:rPr>
              <w:t xml:space="preserve">附件2 </w:t>
            </w:r>
            <w:r>
              <w:rPr>
                <w:rFonts w:hint="eastAsia" w:hAnsi="宋体"/>
                <w:color w:val="auto"/>
                <w:szCs w:val="20"/>
                <w:highlight w:val="none"/>
                <w:u w:val="none"/>
              </w:rPr>
              <w:t>投标文件目录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default" w:hAnsi="宋体"/>
                <w:color w:val="auto"/>
                <w:szCs w:val="20"/>
                <w:highlight w:val="none"/>
                <w:u w:val="none"/>
              </w:rPr>
            </w:pPr>
            <w:r>
              <w:rPr>
                <w:rFonts w:hint="eastAsia" w:hAnsi="宋体"/>
                <w:color w:val="auto"/>
                <w:szCs w:val="20"/>
                <w:highlight w:val="none"/>
                <w:u w:val="none"/>
              </w:rPr>
              <w:t>2</w:t>
            </w:r>
          </w:p>
        </w:tc>
        <w:tc>
          <w:tcPr>
            <w:tcW w:w="780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s="宋体"/>
                <w:b/>
                <w:bCs/>
                <w:color w:val="auto"/>
                <w:szCs w:val="21"/>
                <w:highlight w:val="none"/>
                <w:u w:val="none"/>
                <w:lang w:bidi="ar"/>
              </w:rPr>
              <w:t>附件5</w:t>
            </w:r>
            <w:r>
              <w:rPr>
                <w:rFonts w:hint="eastAsia" w:hAnsi="宋体" w:cs="宋体"/>
                <w:color w:val="auto"/>
                <w:szCs w:val="21"/>
                <w:highlight w:val="none"/>
                <w:u w:val="none"/>
                <w:lang w:bidi="ar"/>
              </w:rPr>
              <w:t xml:space="preserve"> 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default" w:hAnsi="宋体"/>
                <w:color w:val="auto"/>
                <w:szCs w:val="20"/>
                <w:highlight w:val="none"/>
                <w:u w:val="none"/>
              </w:rPr>
            </w:pPr>
            <w:r>
              <w:rPr>
                <w:rFonts w:hint="eastAsia" w:hAnsi="宋体"/>
                <w:color w:val="auto"/>
                <w:szCs w:val="20"/>
                <w:highlight w:val="none"/>
                <w:u w:val="none"/>
              </w:rPr>
              <w:t>3</w:t>
            </w:r>
          </w:p>
        </w:tc>
        <w:tc>
          <w:tcPr>
            <w:tcW w:w="780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s="宋体"/>
                <w:b/>
                <w:bCs/>
                <w:color w:val="auto"/>
                <w:szCs w:val="21"/>
                <w:highlight w:val="none"/>
                <w:u w:val="none"/>
                <w:lang w:bidi="ar"/>
              </w:rPr>
              <w:t>附件6</w:t>
            </w:r>
            <w:r>
              <w:rPr>
                <w:rFonts w:hint="eastAsia" w:hAnsi="宋体" w:cs="宋体"/>
                <w:color w:val="auto"/>
                <w:szCs w:val="21"/>
                <w:highlight w:val="none"/>
                <w:u w:val="none"/>
                <w:lang w:bidi="ar"/>
              </w:rPr>
              <w:t xml:space="preserve"> 相关条款偏离表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val="en-US" w:eastAsia="zh-CN"/>
              </w:rPr>
            </w:pPr>
            <w:r>
              <w:rPr>
                <w:rFonts w:hint="eastAsia" w:hAnsi="宋体"/>
                <w:color w:val="auto"/>
                <w:szCs w:val="20"/>
                <w:highlight w:val="none"/>
                <w:u w:val="none"/>
              </w:rPr>
              <w:t>4</w:t>
            </w:r>
          </w:p>
        </w:tc>
        <w:tc>
          <w:tcPr>
            <w:tcW w:w="7800"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rPr>
                <w:rFonts w:hint="eastAsia" w:ascii="宋体" w:hAnsi="宋体" w:cs="宋体"/>
                <w:color w:val="auto"/>
                <w:szCs w:val="21"/>
                <w:highlight w:val="none"/>
                <w:u w:val="none"/>
                <w:lang w:bidi="ar"/>
              </w:rPr>
            </w:pPr>
            <w:r>
              <w:rPr>
                <w:rFonts w:hint="eastAsia" w:hAnsi="宋体"/>
                <w:b/>
                <w:bCs/>
                <w:color w:val="auto"/>
                <w:szCs w:val="20"/>
                <w:highlight w:val="none"/>
                <w:u w:val="none"/>
              </w:rPr>
              <w:t>附件8</w:t>
            </w:r>
            <w:r>
              <w:rPr>
                <w:rFonts w:hint="eastAsia" w:hAnsi="宋体"/>
                <w:color w:val="auto"/>
                <w:szCs w:val="20"/>
                <w:highlight w:val="none"/>
                <w:u w:val="none"/>
              </w:rPr>
              <w:t xml:space="preserve"> 业绩表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eastAsia="zh-CN"/>
              </w:rPr>
            </w:pPr>
            <w:r>
              <w:rPr>
                <w:rFonts w:hint="eastAsia" w:hAnsi="宋体"/>
                <w:color w:val="auto"/>
                <w:szCs w:val="20"/>
                <w:highlight w:val="none"/>
                <w:u w:val="none"/>
              </w:rPr>
              <w:t>5</w:t>
            </w:r>
          </w:p>
        </w:tc>
        <w:tc>
          <w:tcPr>
            <w:tcW w:w="7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eastAsia="宋体"/>
                <w:color w:val="auto"/>
                <w:szCs w:val="20"/>
                <w:highlight w:val="none"/>
                <w:u w:val="none"/>
                <w:lang w:val="en-US" w:eastAsia="zh-CN"/>
              </w:rPr>
            </w:pPr>
            <w:r>
              <w:rPr>
                <w:rFonts w:hint="eastAsia" w:ascii="宋体" w:hAnsi="宋体" w:cs="宋体"/>
                <w:b/>
                <w:bCs/>
                <w:color w:val="auto"/>
                <w:szCs w:val="21"/>
                <w:highlight w:val="none"/>
                <w:u w:val="none"/>
                <w:lang w:val="en-US" w:eastAsia="zh-CN" w:bidi="ar"/>
              </w:rPr>
              <w:t>技术实施方案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val="en-US" w:eastAsia="zh-CN"/>
              </w:rPr>
            </w:pPr>
            <w:r>
              <w:rPr>
                <w:rFonts w:hint="eastAsia" w:hAnsi="宋体"/>
                <w:color w:val="auto"/>
                <w:szCs w:val="20"/>
                <w:highlight w:val="none"/>
                <w:u w:val="none"/>
                <w:lang w:val="en-US" w:eastAsia="zh-CN"/>
              </w:rPr>
              <w:t>6</w:t>
            </w:r>
          </w:p>
        </w:tc>
        <w:tc>
          <w:tcPr>
            <w:tcW w:w="7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宋体" w:hAnsi="宋体" w:eastAsia="宋体" w:cs="宋体"/>
                <w:color w:val="auto"/>
                <w:szCs w:val="21"/>
                <w:highlight w:val="none"/>
                <w:u w:val="none"/>
                <w:lang w:eastAsia="zh-CN" w:bidi="ar"/>
              </w:rPr>
            </w:pPr>
            <w:r>
              <w:rPr>
                <w:rFonts w:hint="eastAsia" w:ascii="宋体" w:hAnsi="宋体" w:cs="宋体"/>
                <w:b/>
                <w:bCs/>
                <w:color w:val="auto"/>
                <w:szCs w:val="21"/>
                <w:highlight w:val="none"/>
                <w:u w:val="none"/>
                <w:lang w:bidi="ar"/>
              </w:rPr>
              <w:t>投标人认为需要提交的其它文件</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1.3</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rPr>
        <w:t>包含：</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附件1</w:t>
            </w:r>
            <w:r>
              <w:rPr>
                <w:rFonts w:hint="eastAsia" w:hAnsi="宋体"/>
                <w:color w:val="auto"/>
                <w:szCs w:val="20"/>
                <w:highlight w:val="none"/>
                <w:u w:val="none"/>
              </w:rPr>
              <w:t xml:space="preserve"> 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 xml:space="preserve">附件2 </w:t>
            </w:r>
            <w:r>
              <w:rPr>
                <w:rFonts w:hint="eastAsia" w:hAnsi="宋体"/>
                <w:color w:val="auto"/>
                <w:szCs w:val="20"/>
                <w:highlight w:val="none"/>
                <w:u w:val="none"/>
              </w:rPr>
              <w:t>投标文件目录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附件4</w:t>
            </w:r>
            <w:r>
              <w:rPr>
                <w:rFonts w:hint="eastAsia" w:hAnsi="宋体"/>
                <w:color w:val="auto"/>
                <w:szCs w:val="20"/>
                <w:highlight w:val="none"/>
                <w:u w:val="none"/>
              </w:rPr>
              <w:t xml:space="preserve"> </w:t>
            </w:r>
            <w:r>
              <w:rPr>
                <w:rFonts w:hint="eastAsia" w:hAnsi="宋体" w:cs="宋体"/>
                <w:color w:val="auto"/>
                <w:szCs w:val="21"/>
                <w:highlight w:val="none"/>
                <w:u w:val="none"/>
                <w:lang w:bidi="ar"/>
              </w:rPr>
              <w:t>开标一览表、投标明细报价一览表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4</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附件6</w:t>
            </w:r>
            <w:r>
              <w:rPr>
                <w:rFonts w:hint="eastAsia" w:hAnsi="宋体"/>
                <w:color w:val="auto"/>
                <w:szCs w:val="20"/>
                <w:highlight w:val="none"/>
                <w:u w:val="none"/>
              </w:rPr>
              <w:t xml:space="preserve"> </w:t>
            </w:r>
            <w:r>
              <w:rPr>
                <w:rFonts w:hint="eastAsia" w:hAnsi="宋体" w:cs="宋体"/>
                <w:color w:val="auto"/>
                <w:szCs w:val="21"/>
                <w:highlight w:val="none"/>
                <w:u w:val="none"/>
                <w:lang w:bidi="ar"/>
              </w:rPr>
              <w:t>相关条款偏离表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5</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w:t>
            </w:r>
            <w:r>
              <w:rPr>
                <w:rFonts w:hint="eastAsia" w:hAnsi="宋体"/>
                <w:b/>
                <w:bCs/>
                <w:color w:val="auto"/>
                <w:szCs w:val="20"/>
                <w:highlight w:val="none"/>
                <w:u w:val="none"/>
                <w:lang w:val="en-US" w:eastAsia="zh-CN"/>
              </w:rPr>
              <w:t>9</w:t>
            </w:r>
            <w:r>
              <w:rPr>
                <w:rFonts w:hint="eastAsia" w:hAnsi="宋体"/>
                <w:color w:val="auto"/>
                <w:szCs w:val="20"/>
                <w:highlight w:val="none"/>
                <w:u w:val="none"/>
              </w:rPr>
              <w:t xml:space="preserve"> 投标保证金退付表</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1.4近三年财务报告</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附件7</w:t>
            </w:r>
            <w:r>
              <w:rPr>
                <w:rFonts w:hint="eastAsia" w:hAnsi="宋体" w:cs="宋体"/>
                <w:color w:val="auto"/>
                <w:szCs w:val="21"/>
                <w:highlight w:val="none"/>
                <w:u w:val="none"/>
                <w:lang w:bidi="ar"/>
              </w:rPr>
              <w:t>经审计的近三年的财务报表</w:t>
            </w:r>
            <w:r>
              <w:rPr>
                <w:rFonts w:hint="eastAsia" w:hAnsi="宋体" w:cs="宋体"/>
                <w:color w:val="auto"/>
                <w:szCs w:val="21"/>
                <w:highlight w:val="none"/>
                <w:u w:val="none"/>
                <w:lang w:eastAsia="zh-CN" w:bidi="ar"/>
              </w:rPr>
              <w:t>（</w:t>
            </w:r>
            <w:r>
              <w:rPr>
                <w:rFonts w:hint="eastAsia" w:hAnsi="宋体" w:cs="宋体"/>
                <w:color w:val="auto"/>
                <w:szCs w:val="21"/>
                <w:highlight w:val="none"/>
                <w:u w:val="none"/>
                <w:lang w:val="en-US" w:eastAsia="zh-CN" w:bidi="ar"/>
              </w:rPr>
              <w:t>需</w:t>
            </w:r>
            <w:r>
              <w:rPr>
                <w:rFonts w:hint="eastAsia" w:hAnsi="宋体"/>
                <w:color w:val="auto"/>
                <w:szCs w:val="20"/>
                <w:highlight w:val="none"/>
                <w:u w:val="none"/>
                <w:lang w:eastAsia="zh-CN"/>
              </w:rPr>
              <w:t>提供经会计师事务所审计且出具无保留意见的</w:t>
            </w:r>
            <w:r>
              <w:rPr>
                <w:rFonts w:hint="eastAsia" w:hAnsi="宋体"/>
                <w:b/>
                <w:bCs/>
                <w:color w:val="auto"/>
                <w:szCs w:val="20"/>
                <w:highlight w:val="none"/>
                <w:u w:val="none"/>
                <w:lang w:eastAsia="zh-CN"/>
              </w:rPr>
              <w:t>近</w:t>
            </w:r>
            <w:r>
              <w:rPr>
                <w:rFonts w:hint="eastAsia" w:hAnsi="宋体"/>
                <w:b w:val="0"/>
                <w:bCs w:val="0"/>
                <w:color w:val="auto"/>
                <w:szCs w:val="20"/>
                <w:highlight w:val="none"/>
                <w:u w:val="none"/>
                <w:lang w:eastAsia="zh-CN"/>
              </w:rPr>
              <w:t>三年的</w:t>
            </w:r>
            <w:r>
              <w:rPr>
                <w:rFonts w:hint="eastAsia" w:hAnsi="宋体"/>
                <w:b w:val="0"/>
                <w:bCs w:val="0"/>
                <w:color w:val="auto"/>
                <w:szCs w:val="20"/>
                <w:highlight w:val="none"/>
                <w:u w:val="none"/>
                <w:lang w:val="en-US" w:eastAsia="zh-CN"/>
              </w:rPr>
              <w:t>中文版本的</w:t>
            </w:r>
            <w:r>
              <w:rPr>
                <w:rFonts w:hint="eastAsia" w:hAnsi="宋体"/>
                <w:b w:val="0"/>
                <w:bCs w:val="0"/>
                <w:color w:val="auto"/>
                <w:szCs w:val="20"/>
                <w:highlight w:val="none"/>
                <w:u w:val="none"/>
                <w:lang w:eastAsia="zh-CN"/>
              </w:rPr>
              <w:t>财务审计报告原件，并加盖公章，包括但不限于报告页、经审计的资产负债表、利润表、现金流量表及报表附注。如投标人公司没有经审计的财务报告，可提供加盖公章的近三年</w:t>
            </w:r>
            <w:r>
              <w:rPr>
                <w:rFonts w:hint="eastAsia" w:hAnsi="宋体"/>
                <w:b w:val="0"/>
                <w:bCs w:val="0"/>
                <w:color w:val="auto"/>
                <w:szCs w:val="20"/>
                <w:highlight w:val="none"/>
                <w:u w:val="none"/>
                <w:lang w:val="en-US" w:eastAsia="zh-CN"/>
              </w:rPr>
              <w:t>中文版本</w:t>
            </w:r>
            <w:r>
              <w:rPr>
                <w:rFonts w:hint="eastAsia" w:hAnsi="宋体"/>
                <w:color w:val="auto"/>
                <w:szCs w:val="20"/>
                <w:highlight w:val="none"/>
                <w:u w:val="none"/>
                <w:lang w:val="en-US" w:eastAsia="zh-CN"/>
              </w:rPr>
              <w:t>的</w:t>
            </w:r>
            <w:r>
              <w:rPr>
                <w:rFonts w:hint="eastAsia" w:hAnsi="宋体"/>
                <w:color w:val="auto"/>
                <w:szCs w:val="20"/>
                <w:highlight w:val="none"/>
                <w:u w:val="none"/>
                <w:lang w:eastAsia="zh-CN"/>
              </w:rPr>
              <w:t>财务报表，包括但不限于资产负债表、利润表、现金流量表</w:t>
            </w:r>
            <w:r>
              <w:rPr>
                <w:rFonts w:hint="eastAsia" w:hAnsi="宋体" w:cs="宋体"/>
                <w:color w:val="auto"/>
                <w:szCs w:val="21"/>
                <w:highlight w:val="none"/>
                <w:u w:val="none"/>
                <w:lang w:eastAsia="zh-CN" w:bidi="ar"/>
              </w:rPr>
              <w:t>）</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1.5年度纳税信用评价信息</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可提供电子税务局查询截图</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1.6企业对外担保说明</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写明贵单位对外有无对外担保和质押业务</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1.7纳税人信用级别</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default" w:hAnsi="宋体"/>
                <w:color w:val="auto"/>
                <w:szCs w:val="20"/>
                <w:highlight w:val="none"/>
                <w:u w:val="none"/>
              </w:rPr>
              <w:t>企业最近半年完税证明、信用证明材料（征信报告）</w:t>
            </w:r>
          </w:p>
        </w:tc>
      </w:tr>
    </w:tbl>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二、投标文件签署</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1.法定代表人或投标人授权代表必须按招标文件的规定在投标文件、开标一览表上签字并加盖</w:t>
      </w:r>
      <w:r>
        <w:rPr>
          <w:rFonts w:hint="eastAsia" w:hAnsi="宋体"/>
          <w:b/>
          <w:bCs/>
          <w:color w:val="auto"/>
          <w:highlight w:val="none"/>
          <w:u w:val="none"/>
        </w:rPr>
        <w:t>投标人单位公章</w:t>
      </w:r>
      <w:r>
        <w:rPr>
          <w:rFonts w:hint="eastAsia" w:hAnsi="宋体"/>
          <w:color w:val="auto"/>
          <w:highlight w:val="none"/>
          <w:u w:val="none"/>
        </w:rPr>
        <w:t>，不得使用其它形式如带有“专用章”等字样的印章，否则投标将被视为无效。如投标人对投标文件进行了修改，则须由投标人的法定代表人或授权代表在修改的每一页上签字或加盖公章。</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2.任何行间插字、涂改和增删，必须由投标人的法定代表人或授权代表签字或加盖公章后才有效。</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三</w:t>
      </w:r>
      <w:r>
        <w:rPr>
          <w:rFonts w:hint="eastAsia" w:ascii="黑体" w:eastAsia="黑体"/>
          <w:b/>
          <w:bCs/>
          <w:color w:val="auto"/>
          <w:sz w:val="28"/>
          <w:highlight w:val="none"/>
          <w:u w:val="none"/>
        </w:rPr>
        <w:t>、投标文件附件</w:t>
      </w:r>
    </w:p>
    <w:p>
      <w:pPr>
        <w:rPr>
          <w:rFonts w:ascii="黑体" w:eastAsia="黑体"/>
          <w:b/>
          <w:bCs/>
          <w:color w:val="auto"/>
          <w:sz w:val="36"/>
          <w:szCs w:val="36"/>
          <w:highlight w:val="none"/>
          <w:u w:val="none"/>
        </w:rPr>
      </w:pPr>
      <w:r>
        <w:rPr>
          <w:rFonts w:hint="eastAsia" w:ascii="黑体" w:eastAsia="黑体"/>
          <w:b/>
          <w:bCs/>
          <w:color w:val="auto"/>
          <w:sz w:val="28"/>
          <w:highlight w:val="none"/>
          <w:u w:val="none"/>
        </w:rPr>
        <w:br w:type="page"/>
      </w:r>
    </w:p>
    <w:p>
      <w:pPr>
        <w:pageBreakBefore w:val="0"/>
        <w:kinsoku/>
        <w:wordWrap/>
        <w:overflowPunct/>
        <w:topLinePunct w:val="0"/>
        <w:bidi w:val="0"/>
        <w:spacing w:line="300" w:lineRule="auto"/>
        <w:rPr>
          <w:rFonts w:ascii="宋体" w:hAnsi="宋体"/>
          <w:color w:val="auto"/>
          <w:highlight w:val="none"/>
          <w:u w:val="none"/>
        </w:rPr>
      </w:pPr>
      <w:r>
        <w:rPr>
          <w:rFonts w:hint="eastAsia" w:eastAsia="黑体"/>
          <w:b/>
          <w:bCs/>
          <w:color w:val="auto"/>
          <w:sz w:val="28"/>
          <w:highlight w:val="none"/>
          <w:u w:val="none"/>
        </w:rPr>
        <w:t>附件1</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致中国重汽集团济南汽车部件有限公司：</w:t>
      </w:r>
    </w:p>
    <w:p>
      <w:pPr>
        <w:pageBreakBefore w:val="0"/>
        <w:kinsoku/>
        <w:wordWrap/>
        <w:overflowPunct/>
        <w:topLinePunct w:val="0"/>
        <w:bidi w:val="0"/>
        <w:spacing w:line="300" w:lineRule="auto"/>
        <w:ind w:firstLine="420" w:firstLineChars="200"/>
        <w:rPr>
          <w:rFonts w:ascii="宋体" w:hAnsi="宋体"/>
          <w:color w:val="auto"/>
          <w:highlight w:val="none"/>
          <w:u w:val="none"/>
        </w:rPr>
      </w:pPr>
      <w:r>
        <w:rPr>
          <w:rFonts w:hint="eastAsia" w:ascii="宋体" w:hAnsi="宋体"/>
          <w:color w:val="auto"/>
          <w:highlight w:val="none"/>
          <w:u w:val="none"/>
        </w:rPr>
        <w:t>根据贵方项目招标书，签字代表（全名、职务）           经正式授权并代表投标人（投标人名称、地址）              提交下述文件：</w:t>
      </w:r>
    </w:p>
    <w:p>
      <w:pPr>
        <w:pStyle w:val="10"/>
        <w:pageBreakBefore w:val="0"/>
        <w:kinsoku/>
        <w:wordWrap/>
        <w:overflowPunct/>
        <w:topLinePunct w:val="0"/>
        <w:bidi w:val="0"/>
        <w:spacing w:line="300" w:lineRule="auto"/>
        <w:rPr>
          <w:rFonts w:hAnsi="宋体"/>
          <w:color w:val="auto"/>
          <w:highlight w:val="none"/>
          <w:u w:val="none"/>
        </w:rPr>
      </w:pPr>
      <w:r>
        <w:rPr>
          <w:rFonts w:hint="eastAsia" w:hAnsi="宋体"/>
          <w:color w:val="auto"/>
          <w:highlight w:val="none"/>
          <w:u w:val="none"/>
        </w:rPr>
        <w:t>资质文件</w:t>
      </w:r>
    </w:p>
    <w:p>
      <w:pPr>
        <w:pStyle w:val="10"/>
        <w:pageBreakBefore w:val="0"/>
        <w:kinsoku/>
        <w:wordWrap/>
        <w:overflowPunct/>
        <w:topLinePunct w:val="0"/>
        <w:bidi w:val="0"/>
        <w:spacing w:line="300" w:lineRule="auto"/>
        <w:rPr>
          <w:color w:val="auto"/>
          <w:highlight w:val="none"/>
          <w:u w:val="none"/>
        </w:rPr>
      </w:pPr>
      <w:r>
        <w:rPr>
          <w:rFonts w:hint="eastAsia"/>
          <w:color w:val="auto"/>
          <w:highlight w:val="none"/>
          <w:u w:val="none"/>
        </w:rPr>
        <w:t>开标一览表</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商务标书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技术标书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据此，签字代表宣布同意如下：</w:t>
      </w:r>
    </w:p>
    <w:p>
      <w:pPr>
        <w:pageBreakBefore w:val="0"/>
        <w:kinsoku/>
        <w:wordWrap/>
        <w:overflowPunct/>
        <w:topLinePunct w:val="0"/>
        <w:bidi w:val="0"/>
        <w:spacing w:line="300" w:lineRule="auto"/>
        <w:ind w:firstLine="840" w:firstLineChars="400"/>
        <w:rPr>
          <w:rFonts w:ascii="宋体" w:hAnsi="宋体"/>
          <w:color w:val="auto"/>
          <w:highlight w:val="none"/>
          <w:u w:val="none"/>
        </w:rPr>
      </w:pPr>
      <w:r>
        <w:rPr>
          <w:rFonts w:hint="eastAsia" w:ascii="宋体" w:hAnsi="宋体"/>
          <w:color w:val="auto"/>
          <w:highlight w:val="none"/>
          <w:u w:val="none"/>
        </w:rPr>
        <w:t>所附投标报价表中规定的应提供的投标报价。</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投标人将按招标文件的规定履行合同责任和义务。</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投标人已详细审查全部招标文件，包括修改文件（如有的话）以及全部参考资料和有关附件，我们完全理解并同意放弃对这方面有不明及误解的权利。</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color w:val="auto"/>
          <w:szCs w:val="21"/>
          <w:highlight w:val="none"/>
          <w:u w:val="none"/>
        </w:rPr>
        <w:t>投标有效期：自投标截止之日起至合同签署日一直有效</w:t>
      </w:r>
      <w:r>
        <w:rPr>
          <w:rFonts w:hint="eastAsia" w:ascii="宋体" w:hAnsi="宋体"/>
          <w:color w:val="auto"/>
          <w:szCs w:val="21"/>
          <w:highlight w:val="none"/>
          <w:u w:val="none"/>
        </w:rPr>
        <w:t>。</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投标人同意提供贵方要求的可能与投标有关的一切数据和资料，完全理解贵方不一定要接受最低价的投标或收到的任何投标。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投标人承诺所提供的所有数据和资料均真实有效，如存在虚报情况，投标人愿为此承担一切法律责任，并主动退出本项目竞标。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与本投标有关的一切正式往来通讯请寄：</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 xml:space="preserve">地址：                                  </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邮编：</w:t>
      </w:r>
    </w:p>
    <w:p>
      <w:pPr>
        <w:pageBreakBefore w:val="0"/>
        <w:kinsoku/>
        <w:wordWrap/>
        <w:overflowPunct/>
        <w:topLinePunct w:val="0"/>
        <w:bidi w:val="0"/>
        <w:spacing w:line="300" w:lineRule="auto"/>
        <w:ind w:left="795"/>
        <w:rPr>
          <w:color w:val="auto"/>
          <w:highlight w:val="none"/>
          <w:u w:val="none"/>
        </w:rPr>
      </w:pPr>
      <w:r>
        <w:rPr>
          <w:rFonts w:hint="eastAsia" w:ascii="宋体" w:hAnsi="宋体"/>
          <w:color w:val="auto"/>
          <w:highlight w:val="none"/>
          <w:u w:val="none"/>
        </w:rPr>
        <w:t xml:space="preserve">电话：                               传真：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 xml:space="preserve">投标人授权代表签字：                 职务：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投标人名称（及公章）：</w:t>
      </w:r>
    </w:p>
    <w:p>
      <w:pPr>
        <w:pageBreakBefore w:val="0"/>
        <w:kinsoku/>
        <w:wordWrap/>
        <w:overflowPunct/>
        <w:topLinePunct w:val="0"/>
        <w:bidi w:val="0"/>
        <w:spacing w:line="300" w:lineRule="auto"/>
        <w:ind w:left="795"/>
        <w:rPr>
          <w:rFonts w:ascii="黑体" w:eastAsia="黑体"/>
          <w:color w:val="auto"/>
          <w:sz w:val="30"/>
          <w:highlight w:val="none"/>
          <w:u w:val="none"/>
        </w:rPr>
      </w:pPr>
      <w:r>
        <w:rPr>
          <w:rFonts w:hint="eastAsia"/>
          <w:color w:val="auto"/>
          <w:highlight w:val="none"/>
          <w:u w:val="none"/>
        </w:rPr>
        <w:t>日期：        年       月       日</w:t>
      </w:r>
    </w:p>
    <w:p>
      <w:pPr>
        <w:pageBreakBefore w:val="0"/>
        <w:kinsoku/>
        <w:wordWrap/>
        <w:overflowPunct/>
        <w:topLinePunct w:val="0"/>
        <w:bidi w:val="0"/>
        <w:spacing w:line="300" w:lineRule="auto"/>
        <w:ind w:left="795"/>
        <w:rPr>
          <w:color w:val="auto"/>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ascii="黑体" w:eastAsia="黑体"/>
          <w:color w:val="auto"/>
          <w:sz w:val="30"/>
          <w:highlight w:val="none"/>
          <w:u w:val="none"/>
        </w:rPr>
        <w:t>附件</w:t>
      </w:r>
      <w:r>
        <w:rPr>
          <w:rFonts w:hint="eastAsia" w:eastAsia="黑体"/>
          <w:b/>
          <w:bCs/>
          <w:color w:val="auto"/>
          <w:sz w:val="28"/>
          <w:highlight w:val="none"/>
          <w:u w:val="none"/>
        </w:rPr>
        <w:t>2</w:t>
      </w:r>
    </w:p>
    <w:p>
      <w:pPr>
        <w:pageBreakBefore w:val="0"/>
        <w:kinsoku/>
        <w:wordWrap/>
        <w:overflowPunct/>
        <w:topLinePunct w:val="0"/>
        <w:bidi w:val="0"/>
        <w:spacing w:line="300" w:lineRule="auto"/>
        <w:jc w:val="center"/>
        <w:rPr>
          <w:rFonts w:ascii="黑体" w:eastAsia="黑体"/>
          <w:color w:val="auto"/>
          <w:sz w:val="30"/>
          <w:highlight w:val="none"/>
          <w:u w:val="none"/>
        </w:rPr>
      </w:pPr>
      <w:r>
        <w:rPr>
          <w:rFonts w:hint="eastAsia" w:ascii="黑体" w:eastAsia="黑体"/>
          <w:color w:val="auto"/>
          <w:sz w:val="30"/>
          <w:highlight w:val="none"/>
          <w:u w:val="none"/>
        </w:rPr>
        <w:t>投标文件目录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序号</w:t>
            </w: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主要内容</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bl>
    <w:p>
      <w:pPr>
        <w:pageBreakBefore w:val="0"/>
        <w:kinsoku/>
        <w:wordWrap/>
        <w:overflowPunct/>
        <w:topLinePunct w:val="0"/>
        <w:bidi w:val="0"/>
        <w:spacing w:line="300" w:lineRule="auto"/>
        <w:rPr>
          <w:rFonts w:ascii="宋体" w:hAnsi="宋体"/>
          <w:color w:val="auto"/>
          <w:sz w:val="24"/>
          <w:szCs w:val="24"/>
          <w:highlight w:val="none"/>
          <w:u w:val="none"/>
        </w:rPr>
      </w:pPr>
    </w:p>
    <w:p>
      <w:pPr>
        <w:pageBreakBefore w:val="0"/>
        <w:kinsoku/>
        <w:wordWrap/>
        <w:overflowPunct/>
        <w:topLinePunct w:val="0"/>
        <w:bidi w:val="0"/>
        <w:spacing w:line="300" w:lineRule="auto"/>
        <w:rPr>
          <w:rFonts w:ascii="宋体" w:hAnsi="宋体"/>
          <w:color w:val="auto"/>
          <w:sz w:val="24"/>
          <w:szCs w:val="24"/>
          <w:highlight w:val="none"/>
          <w:u w:val="none"/>
        </w:rPr>
      </w:pPr>
      <w:r>
        <w:rPr>
          <w:rFonts w:hint="eastAsia" w:ascii="宋体" w:hAnsi="宋体"/>
          <w:color w:val="auto"/>
          <w:sz w:val="24"/>
          <w:szCs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1.本表填写投标文件主要内容，以用于开标宣读。</w:t>
      </w:r>
    </w:p>
    <w:p>
      <w:pPr>
        <w:pageBreakBefore w:val="0"/>
        <w:kinsoku/>
        <w:wordWrap/>
        <w:overflowPunct/>
        <w:topLinePunct w:val="0"/>
        <w:bidi w:val="0"/>
        <w:spacing w:line="300" w:lineRule="auto"/>
        <w:ind w:firstLine="480"/>
        <w:rPr>
          <w:rFonts w:ascii="宋体" w:hAnsi="宋体" w:cs="宋体"/>
          <w:color w:val="auto"/>
          <w:highlight w:val="none"/>
          <w:u w:val="none"/>
        </w:rPr>
        <w:sectPr>
          <w:footerReference r:id="rId6" w:type="first"/>
          <w:footerReference r:id="rId5" w:type="default"/>
          <w:type w:val="continuous"/>
          <w:pgSz w:w="11906" w:h="16838"/>
          <w:pgMar w:top="1417" w:right="1587" w:bottom="1020" w:left="1587" w:header="851" w:footer="992" w:gutter="0"/>
          <w:pgNumType w:fmt="decimal" w:start="1"/>
          <w:cols w:space="720" w:num="1"/>
          <w:titlePg/>
          <w:docGrid w:type="lines" w:linePitch="312" w:charSpace="0"/>
        </w:sectPr>
      </w:pPr>
      <w:r>
        <w:rPr>
          <w:rFonts w:hint="eastAsia" w:ascii="宋体" w:hAnsi="宋体"/>
          <w:color w:val="auto"/>
          <w:sz w:val="24"/>
          <w:highlight w:val="none"/>
          <w:u w:val="none"/>
        </w:rPr>
        <w:t>2．“索引”一栏填写该主要内容对应于投标文件的“条款号/页号”</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附件3</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法人授权委托书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致中国重汽集团济南汽车部件有限公司：</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本授权委托书声明：我（法人姓名）       系</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的法定代表人，现授权委托</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 （授权代表姓名）        为我公司参加贵方组织的</w:t>
      </w:r>
      <w:r>
        <w:rPr>
          <w:rFonts w:hint="eastAsia" w:ascii="宋体" w:hAnsi="宋体"/>
          <w:color w:val="auto"/>
          <w:kern w:val="0"/>
          <w:szCs w:val="21"/>
          <w:highlight w:val="none"/>
          <w:u w:val="none"/>
          <w:lang w:eastAsia="zh-CN"/>
        </w:rPr>
        <w:t>护套焊接、万向节压装</w:t>
      </w:r>
      <w:r>
        <w:rPr>
          <w:rFonts w:hint="eastAsia" w:cs="宋体"/>
          <w:color w:val="auto"/>
          <w:kern w:val="0"/>
          <w:szCs w:val="21"/>
          <w:highlight w:val="none"/>
          <w:u w:val="none"/>
        </w:rPr>
        <w:t>项目</w:t>
      </w:r>
      <w:r>
        <w:rPr>
          <w:rFonts w:hint="eastAsia" w:ascii="宋体" w:hAnsi="宋体"/>
          <w:color w:val="auto"/>
          <w:kern w:val="0"/>
          <w:szCs w:val="21"/>
          <w:highlight w:val="none"/>
          <w:u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委托期限：</w:t>
      </w:r>
      <w:r>
        <w:rPr>
          <w:rFonts w:ascii="宋体" w:hAnsi="宋体"/>
          <w:color w:val="auto"/>
          <w:kern w:val="0"/>
          <w:szCs w:val="21"/>
          <w:highlight w:val="none"/>
          <w:u w:val="none"/>
        </w:rPr>
        <w:t>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日至</w:t>
      </w:r>
      <w:r>
        <w:rPr>
          <w:rFonts w:ascii="宋体" w:hAnsi="宋体"/>
          <w:color w:val="auto"/>
          <w:kern w:val="0"/>
          <w:szCs w:val="21"/>
          <w:highlight w:val="none"/>
          <w:u w:val="none"/>
        </w:rPr>
        <w:t xml:space="preserve"> 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授权代表无转委托权，特此委托。</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授权代表姓名：</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性别：</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年龄：</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身份证号码：</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职务：</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投标人名称：（盖单位公章）</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法定代表人：（签字）</w:t>
      </w:r>
    </w:p>
    <w:p>
      <w:pPr>
        <w:pageBreakBefore w:val="0"/>
        <w:kinsoku/>
        <w:wordWrap/>
        <w:overflowPunct/>
        <w:topLinePunct w:val="0"/>
        <w:bidi w:val="0"/>
        <w:spacing w:line="300" w:lineRule="auto"/>
        <w:rPr>
          <w:rFonts w:ascii="宋体"/>
          <w:color w:val="auto"/>
          <w:kern w:val="0"/>
          <w:szCs w:val="21"/>
          <w:highlight w:val="none"/>
          <w:u w:val="none"/>
        </w:rPr>
      </w:pPr>
    </w:p>
    <w:p>
      <w:pPr>
        <w:pageBreakBefore w:val="0"/>
        <w:kinsoku/>
        <w:wordWrap/>
        <w:overflowPunct/>
        <w:topLinePunct w:val="0"/>
        <w:bidi w:val="0"/>
        <w:adjustRightInd w:val="0"/>
        <w:spacing w:line="300" w:lineRule="auto"/>
        <w:jc w:val="left"/>
        <w:textAlignment w:val="baseline"/>
        <w:rPr>
          <w:rFonts w:ascii="宋体"/>
          <w:b/>
          <w:color w:val="auto"/>
          <w:kern w:val="0"/>
          <w:szCs w:val="21"/>
          <w:highlight w:val="none"/>
          <w:u w:val="none"/>
        </w:rPr>
      </w:pPr>
      <w:r>
        <w:rPr>
          <w:rFonts w:hint="eastAsia" w:ascii="宋体" w:hAnsi="宋体"/>
          <w:b/>
          <w:color w:val="auto"/>
          <w:kern w:val="0"/>
          <w:szCs w:val="21"/>
          <w:highlight w:val="none"/>
          <w:u w:val="none"/>
        </w:rPr>
        <w:t>附法人代表及被授权人（授权代表）有效的身份证正反两面复印件</w:t>
      </w: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附件4   </w:t>
      </w:r>
    </w:p>
    <w:p>
      <w:pPr>
        <w:pageBreakBefore w:val="0"/>
        <w:kinsoku/>
        <w:wordWrap/>
        <w:overflowPunct/>
        <w:topLinePunct w:val="0"/>
        <w:bidi w:val="0"/>
        <w:spacing w:line="300" w:lineRule="auto"/>
        <w:jc w:val="center"/>
        <w:rPr>
          <w:rFonts w:ascii="华文新魏" w:eastAsia="华文新魏"/>
          <w:color w:val="auto"/>
          <w:sz w:val="44"/>
          <w:highlight w:val="none"/>
          <w:u w:val="none"/>
        </w:rPr>
      </w:pPr>
      <w:r>
        <w:rPr>
          <w:rFonts w:hint="eastAsia" w:ascii="华文新魏" w:eastAsia="华文新魏"/>
          <w:color w:val="auto"/>
          <w:sz w:val="44"/>
          <w:highlight w:val="none"/>
          <w:u w:val="none"/>
        </w:rPr>
        <w:t>开标一览表</w:t>
      </w:r>
    </w:p>
    <w:p>
      <w:pPr>
        <w:pStyle w:val="9"/>
        <w:pageBreakBefore w:val="0"/>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szCs w:val="22"/>
          <w:highlight w:val="none"/>
          <w:u w:val="none"/>
        </w:rPr>
        <w:t>1、报价（元，不含税）：</w:t>
      </w:r>
      <w:r>
        <w:rPr>
          <w:rFonts w:hint="eastAsia" w:eastAsia="楷体_GB2312"/>
          <w:bCs/>
          <w:color w:val="auto"/>
          <w:sz w:val="28"/>
          <w:highlight w:val="none"/>
          <w:u w:val="none"/>
        </w:rPr>
        <w:t>报价包含但不限于人工费、管理费、利润等费用。</w:t>
      </w:r>
    </w:p>
    <w:p>
      <w:pPr>
        <w:pageBreakBefore w:val="0"/>
        <w:numPr>
          <w:ilvl w:val="0"/>
          <w:numId w:val="2"/>
        </w:numPr>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highlight w:val="none"/>
          <w:u w:val="none"/>
        </w:rPr>
        <w:t>交货期：</w:t>
      </w:r>
      <w:r>
        <w:rPr>
          <w:rFonts w:hint="eastAsia" w:eastAsia="楷体_GB2312"/>
          <w:bCs/>
          <w:color w:val="auto"/>
          <w:sz w:val="28"/>
          <w:szCs w:val="22"/>
          <w:highlight w:val="none"/>
          <w:u w:val="none"/>
        </w:rPr>
        <w:t>我单位承诺收到中标通知后</w:t>
      </w:r>
      <w:r>
        <w:rPr>
          <w:rFonts w:hint="eastAsia" w:eastAsia="楷体_GB2312"/>
          <w:b/>
          <w:color w:val="auto"/>
          <w:sz w:val="28"/>
          <w:szCs w:val="22"/>
          <w:highlight w:val="none"/>
          <w:u w:val="none"/>
        </w:rPr>
        <w:t>一周内</w:t>
      </w:r>
      <w:r>
        <w:rPr>
          <w:rFonts w:hint="eastAsia" w:eastAsia="楷体_GB2312"/>
          <w:bCs/>
          <w:color w:val="auto"/>
          <w:sz w:val="28"/>
          <w:szCs w:val="22"/>
          <w:highlight w:val="none"/>
          <w:u w:val="none"/>
        </w:rPr>
        <w:t>人员到齐。（一周内人员无法到齐的，承诺可满足的人员到齐时间）</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付款方式无偏离</w:t>
      </w:r>
      <w:r>
        <w:rPr>
          <w:rFonts w:hint="eastAsia" w:ascii="Times New Roman" w:eastAsia="楷体_GB2312"/>
          <w:bCs/>
          <w:color w:val="auto"/>
          <w:sz w:val="28"/>
          <w:szCs w:val="22"/>
          <w:highlight w:val="none"/>
          <w:u w:val="none"/>
          <w:lang w:eastAsia="zh-CN"/>
        </w:rPr>
        <w:t>。</w:t>
      </w:r>
      <w:r>
        <w:rPr>
          <w:rFonts w:hint="eastAsia" w:ascii="Times New Roman" w:eastAsia="楷体_GB2312"/>
          <w:bCs/>
          <w:color w:val="auto"/>
          <w:sz w:val="28"/>
          <w:szCs w:val="22"/>
          <w:highlight w:val="none"/>
          <w:u w:val="none"/>
          <w:lang w:val="en-US" w:eastAsia="zh-CN"/>
        </w:rPr>
        <w:t>(有偏离的，列出偏离内容)</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对招标文件</w:t>
      </w:r>
      <w:r>
        <w:rPr>
          <w:rFonts w:hint="eastAsia" w:ascii="Times New Roman" w:eastAsia="楷体_GB2312"/>
          <w:bCs/>
          <w:color w:val="auto"/>
          <w:sz w:val="28"/>
          <w:szCs w:val="22"/>
          <w:highlight w:val="none"/>
          <w:u w:val="none"/>
          <w:lang w:val="en-US" w:eastAsia="zh-CN"/>
        </w:rPr>
        <w:t>完全认同。</w:t>
      </w:r>
      <w:r>
        <w:rPr>
          <w:rFonts w:hint="eastAsia" w:ascii="Times New Roman" w:eastAsia="楷体_GB2312"/>
          <w:bCs/>
          <w:color w:val="auto"/>
          <w:sz w:val="28"/>
          <w:szCs w:val="22"/>
          <w:highlight w:val="none"/>
          <w:u w:val="none"/>
        </w:rPr>
        <w:t>（</w:t>
      </w:r>
      <w:r>
        <w:rPr>
          <w:rFonts w:hint="eastAsia" w:ascii="Times New Roman" w:eastAsia="楷体_GB2312"/>
          <w:bCs/>
          <w:color w:val="auto"/>
          <w:sz w:val="28"/>
          <w:szCs w:val="22"/>
          <w:highlight w:val="none"/>
          <w:u w:val="none"/>
          <w:lang w:val="en-US" w:eastAsia="zh-CN"/>
        </w:rPr>
        <w:t>非完全认同，列出不认同具体内容</w:t>
      </w:r>
      <w:r>
        <w:rPr>
          <w:rFonts w:hint="eastAsia" w:ascii="Times New Roman" w:eastAsia="楷体_GB2312"/>
          <w:bCs/>
          <w:color w:val="auto"/>
          <w:sz w:val="28"/>
          <w:szCs w:val="22"/>
          <w:highlight w:val="none"/>
          <w:u w:val="none"/>
        </w:rPr>
        <w:t>）</w:t>
      </w:r>
    </w:p>
    <w:p>
      <w:pPr>
        <w:pageBreakBefore w:val="0"/>
        <w:kinsoku/>
        <w:wordWrap/>
        <w:overflowPunct/>
        <w:topLinePunct w:val="0"/>
        <w:bidi w:val="0"/>
        <w:spacing w:line="300" w:lineRule="auto"/>
        <w:rPr>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r>
        <w:rPr>
          <w:rFonts w:hint="eastAsia" w:eastAsia="华文新魏"/>
          <w:color w:val="auto"/>
          <w:sz w:val="28"/>
          <w:highlight w:val="none"/>
          <w:u w:val="none"/>
        </w:rPr>
        <w:t>投标授权的代表签字：</w:t>
      </w:r>
    </w:p>
    <w:p>
      <w:pPr>
        <w:pageBreakBefore w:val="0"/>
        <w:kinsoku/>
        <w:wordWrap/>
        <w:overflowPunct/>
        <w:topLinePunct w:val="0"/>
        <w:bidi w:val="0"/>
        <w:spacing w:line="300" w:lineRule="auto"/>
        <w:ind w:firstLine="5040" w:firstLineChars="18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r>
        <w:rPr>
          <w:rFonts w:hint="eastAsia" w:eastAsia="华文新魏"/>
          <w:color w:val="auto"/>
          <w:sz w:val="28"/>
          <w:highlight w:val="none"/>
          <w:u w:val="none"/>
        </w:rPr>
        <w:t>单位（公章）：</w:t>
      </w:r>
    </w:p>
    <w:p>
      <w:pPr>
        <w:pageBreakBefore w:val="0"/>
        <w:kinsoku/>
        <w:wordWrap/>
        <w:overflowPunct/>
        <w:topLinePunct w:val="0"/>
        <w:bidi w:val="0"/>
        <w:spacing w:line="300" w:lineRule="auto"/>
        <w:ind w:firstLine="5040" w:firstLineChars="18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color w:val="auto"/>
          <w:sz w:val="32"/>
          <w:highlight w:val="none"/>
          <w:u w:val="none"/>
        </w:rPr>
      </w:pPr>
      <w:r>
        <w:rPr>
          <w:rFonts w:hint="eastAsia" w:eastAsia="华文新魏"/>
          <w:color w:val="auto"/>
          <w:sz w:val="28"/>
          <w:highlight w:val="none"/>
          <w:u w:val="none"/>
        </w:rPr>
        <w:t>日  期：   年  月  日</w:t>
      </w:r>
    </w:p>
    <w:p>
      <w:pPr>
        <w:pageBreakBefore w:val="0"/>
        <w:kinsoku/>
        <w:wordWrap/>
        <w:overflowPunct/>
        <w:topLinePunct w:val="0"/>
        <w:bidi w:val="0"/>
        <w:spacing w:line="300" w:lineRule="auto"/>
        <w:rPr>
          <w:rFonts w:ascii="宋体"/>
          <w:color w:val="auto"/>
          <w:sz w:val="24"/>
          <w:highlight w:val="none"/>
          <w:u w:val="none"/>
        </w:rPr>
      </w:pPr>
      <w:r>
        <w:rPr>
          <w:rFonts w:hint="eastAsia" w:ascii="宋体" w:hAnsi="宋体"/>
          <w:color w:val="auto"/>
          <w:szCs w:val="21"/>
          <w:highlight w:val="none"/>
          <w:u w:val="none"/>
        </w:rPr>
        <w:t xml:space="preserve">             </w:t>
      </w: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rFonts w:ascii="Times New Roman" w:eastAsia="黑体"/>
          <w:b/>
          <w:bCs/>
          <w:color w:val="auto"/>
          <w:sz w:val="28"/>
          <w:highlight w:val="none"/>
          <w:u w:val="none"/>
        </w:rPr>
      </w:pPr>
      <w:r>
        <w:rPr>
          <w:rFonts w:hint="eastAsia" w:ascii="Times New Roman" w:eastAsia="黑体"/>
          <w:b/>
          <w:bCs/>
          <w:color w:val="auto"/>
          <w:sz w:val="28"/>
          <w:highlight w:val="none"/>
          <w:u w:val="none"/>
        </w:rPr>
        <w:t>附件4</w:t>
      </w:r>
    </w:p>
    <w:p>
      <w:pPr>
        <w:pageBreakBefore w:val="0"/>
        <w:kinsoku/>
        <w:wordWrap/>
        <w:overflowPunct/>
        <w:topLinePunct w:val="0"/>
        <w:bidi w:val="0"/>
        <w:spacing w:line="30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投标明细报价一览表</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r>
        <w:rPr>
          <w:rFonts w:hint="eastAsia" w:ascii="宋体" w:hAnsi="宋体" w:eastAsia="宋体" w:cs="宋体"/>
          <w:bCs/>
          <w:color w:val="auto"/>
          <w:sz w:val="21"/>
          <w:szCs w:val="21"/>
          <w:highlight w:val="none"/>
          <w:u w:val="none"/>
          <w:lang w:eastAsia="zh-CN"/>
        </w:rPr>
        <w:t>护套焊接、万向节压装</w:t>
      </w:r>
      <w:r>
        <w:rPr>
          <w:rFonts w:hint="eastAsia" w:ascii="宋体" w:hAnsi="宋体" w:eastAsia="宋体" w:cs="宋体"/>
          <w:bCs/>
          <w:color w:val="auto"/>
          <w:sz w:val="21"/>
          <w:szCs w:val="21"/>
          <w:highlight w:val="none"/>
          <w:u w:val="none"/>
        </w:rPr>
        <w:t xml:space="preserve">项目                       </w:t>
      </w:r>
    </w:p>
    <w:tbl>
      <w:tblPr>
        <w:tblStyle w:val="20"/>
        <w:tblpPr w:leftFromText="180" w:rightFromText="180" w:vertAnchor="text" w:horzAnchor="margin" w:tblpXSpec="center" w:tblpY="366"/>
        <w:tblOverlap w:val="never"/>
        <w:tblW w:w="9282" w:type="dxa"/>
        <w:tblInd w:w="-317" w:type="dxa"/>
        <w:tblLayout w:type="fixed"/>
        <w:tblCellMar>
          <w:top w:w="0" w:type="dxa"/>
          <w:left w:w="0" w:type="dxa"/>
          <w:bottom w:w="0" w:type="dxa"/>
          <w:right w:w="0" w:type="dxa"/>
        </w:tblCellMar>
      </w:tblPr>
      <w:tblGrid>
        <w:gridCol w:w="1028"/>
        <w:gridCol w:w="1671"/>
        <w:gridCol w:w="1058"/>
        <w:gridCol w:w="1700"/>
        <w:gridCol w:w="1707"/>
        <w:gridCol w:w="2118"/>
      </w:tblGrid>
      <w:tr>
        <w:tblPrEx>
          <w:tblCellMar>
            <w:top w:w="0" w:type="dxa"/>
            <w:left w:w="0" w:type="dxa"/>
            <w:bottom w:w="0" w:type="dxa"/>
            <w:right w:w="0" w:type="dxa"/>
          </w:tblCellMar>
        </w:tblPrEx>
        <w:trPr>
          <w:trHeight w:val="505" w:hRule="atLeast"/>
        </w:trPr>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keepNext w:val="0"/>
              <w:keepLines w:val="0"/>
              <w:pageBreakBefore w:val="0"/>
              <w:suppressLineNumbers w:val="0"/>
              <w:kinsoku/>
              <w:wordWrap/>
              <w:overflowPunct/>
              <w:topLinePunct w:val="0"/>
              <w:bidi w:val="0"/>
              <w:spacing w:before="0" w:beforeAutospacing="0" w:afterAutospacing="0" w:line="300" w:lineRule="auto"/>
              <w:ind w:left="0" w:leftChars="0" w:right="0"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序号</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项目分项</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工序</w:t>
            </w:r>
          </w:p>
        </w:tc>
        <w:tc>
          <w:tcPr>
            <w:tcW w:w="1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年度预测量（件）</w:t>
            </w:r>
          </w:p>
        </w:tc>
        <w:tc>
          <w:tcPr>
            <w:tcW w:w="1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投标价（元/件，不含税）</w:t>
            </w:r>
          </w:p>
        </w:tc>
        <w:tc>
          <w:tcPr>
            <w:tcW w:w="21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备注</w:t>
            </w:r>
          </w:p>
        </w:tc>
      </w:tr>
      <w:tr>
        <w:tblPrEx>
          <w:tblCellMar>
            <w:top w:w="0" w:type="dxa"/>
            <w:left w:w="0" w:type="dxa"/>
            <w:bottom w:w="0" w:type="dxa"/>
            <w:right w:w="0" w:type="dxa"/>
          </w:tblCellMar>
        </w:tblPrEx>
        <w:trPr>
          <w:trHeight w:val="754" w:hRule="atLeast"/>
        </w:trPr>
        <w:tc>
          <w:tcPr>
            <w:tcW w:w="1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u w:val="none"/>
              </w:rPr>
            </w:pPr>
            <w:r>
              <w:rPr>
                <w:rFonts w:hint="eastAsia" w:ascii="微软雅黑" w:hAnsi="微软雅黑" w:eastAsia="微软雅黑" w:cs="微软雅黑"/>
                <w:b/>
                <w:bCs/>
                <w:i w:val="0"/>
                <w:iCs w:val="0"/>
                <w:color w:val="000000"/>
                <w:kern w:val="0"/>
                <w:sz w:val="18"/>
                <w:szCs w:val="18"/>
                <w:u w:val="none"/>
                <w:lang w:val="en-US" w:eastAsia="zh-CN" w:bidi="ar"/>
              </w:rPr>
              <w:t>花键接头带油封护套总成</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b/>
                <w:bCs/>
                <w:i w:val="0"/>
                <w:iCs w:val="0"/>
                <w:color w:val="000000"/>
                <w:kern w:val="0"/>
                <w:sz w:val="20"/>
                <w:szCs w:val="20"/>
                <w:u w:val="none"/>
                <w:lang w:val="en-US" w:eastAsia="zh-CN" w:bidi="ar"/>
              </w:rPr>
              <w:t>焊接</w:t>
            </w:r>
          </w:p>
        </w:tc>
        <w:tc>
          <w:tcPr>
            <w:tcW w:w="1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b/>
                <w:bCs/>
                <w:i w:val="0"/>
                <w:iCs w:val="0"/>
                <w:color w:val="000000"/>
                <w:kern w:val="0"/>
                <w:sz w:val="20"/>
                <w:szCs w:val="20"/>
                <w:u w:val="none"/>
                <w:lang w:val="en-US" w:eastAsia="zh-CN" w:bidi="ar"/>
              </w:rPr>
              <w:t xml:space="preserve">480000 </w:t>
            </w:r>
          </w:p>
        </w:tc>
        <w:tc>
          <w:tcPr>
            <w:tcW w:w="1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1.以上产出量为参考量，以实际出产量为准；</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0"/>
              <w:jc w:val="center"/>
              <w:rPr>
                <w:rFonts w:hint="eastAsia" w:ascii="宋体" w:hAnsi="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2.投标价包括</w:t>
            </w:r>
            <w:r>
              <w:rPr>
                <w:rFonts w:hint="eastAsia" w:ascii="宋体" w:hAnsi="宋体" w:eastAsia="宋体" w:cs="宋体"/>
                <w:bCs/>
                <w:color w:val="auto"/>
                <w:kern w:val="2"/>
                <w:sz w:val="21"/>
                <w:szCs w:val="21"/>
                <w:highlight w:val="none"/>
                <w:u w:val="none"/>
                <w:lang w:val="en-US" w:eastAsia="zh-CN" w:bidi="ar"/>
              </w:rPr>
              <w:t>人工费、管理费、利润</w:t>
            </w:r>
            <w:r>
              <w:rPr>
                <w:rFonts w:hint="eastAsia" w:ascii="宋体" w:hAnsi="宋体" w:eastAsia="宋体" w:cs="宋体"/>
                <w:color w:val="auto"/>
                <w:kern w:val="2"/>
                <w:sz w:val="21"/>
                <w:szCs w:val="21"/>
                <w:highlight w:val="none"/>
                <w:u w:val="none"/>
                <w:lang w:val="en-US" w:eastAsia="zh-CN" w:bidi="ar"/>
              </w:rPr>
              <w:t>等所有费用</w:t>
            </w:r>
            <w:r>
              <w:rPr>
                <w:rFonts w:hint="eastAsia" w:ascii="宋体" w:hAnsi="宋体" w:cs="宋体"/>
                <w:color w:val="auto"/>
                <w:kern w:val="2"/>
                <w:sz w:val="21"/>
                <w:szCs w:val="21"/>
                <w:highlight w:val="none"/>
                <w:u w:val="none"/>
                <w:lang w:val="en-US" w:eastAsia="zh-CN" w:bidi="ar"/>
              </w:rPr>
              <w:t>；</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kern w:val="0"/>
                <w:sz w:val="21"/>
                <w:szCs w:val="21"/>
                <w:highlight w:val="none"/>
                <w:u w:val="none"/>
                <w:lang w:eastAsia="zh-CN" w:bidi="ar"/>
              </w:rPr>
            </w:pPr>
            <w:r>
              <w:rPr>
                <w:rFonts w:hint="eastAsia" w:ascii="宋体" w:hAnsi="宋体" w:cs="宋体"/>
                <w:color w:val="auto"/>
                <w:kern w:val="2"/>
                <w:sz w:val="21"/>
                <w:szCs w:val="21"/>
                <w:highlight w:val="none"/>
                <w:u w:val="none"/>
                <w:lang w:val="en-US" w:eastAsia="zh-CN" w:bidi="ar"/>
              </w:rPr>
              <w:t>3.税率13%。</w:t>
            </w:r>
          </w:p>
        </w:tc>
      </w:tr>
      <w:tr>
        <w:tblPrEx>
          <w:tblCellMar>
            <w:top w:w="0" w:type="dxa"/>
            <w:left w:w="0" w:type="dxa"/>
            <w:bottom w:w="0" w:type="dxa"/>
            <w:right w:w="0" w:type="dxa"/>
          </w:tblCellMar>
        </w:tblPrEx>
        <w:trPr>
          <w:trHeight w:val="624" w:hRule="atLeast"/>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u w:val="none"/>
                <w:lang w:bidi="ar"/>
              </w:rPr>
            </w:pPr>
            <w:r>
              <w:rPr>
                <w:rFonts w:hint="eastAsia" w:ascii="微软雅黑" w:hAnsi="微软雅黑" w:eastAsia="微软雅黑" w:cs="微软雅黑"/>
                <w:b/>
                <w:bCs/>
                <w:i w:val="0"/>
                <w:iCs w:val="0"/>
                <w:color w:val="000000"/>
                <w:kern w:val="0"/>
                <w:sz w:val="18"/>
                <w:szCs w:val="18"/>
                <w:u w:val="none"/>
                <w:lang w:val="en-US" w:eastAsia="zh-CN" w:bidi="ar"/>
              </w:rPr>
              <w:t>连接盘带万向节总成</w:t>
            </w:r>
          </w:p>
        </w:tc>
        <w:tc>
          <w:tcPr>
            <w:tcW w:w="10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压装</w:t>
            </w:r>
          </w:p>
        </w:tc>
        <w:tc>
          <w:tcPr>
            <w:tcW w:w="17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1100000 </w:t>
            </w:r>
          </w:p>
        </w:tc>
        <w:tc>
          <w:tcPr>
            <w:tcW w:w="170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r>
        <w:tblPrEx>
          <w:tblCellMar>
            <w:top w:w="0" w:type="dxa"/>
            <w:left w:w="0" w:type="dxa"/>
            <w:bottom w:w="0" w:type="dxa"/>
            <w:right w:w="0" w:type="dxa"/>
          </w:tblCellMar>
        </w:tblPrEx>
        <w:trPr>
          <w:trHeight w:val="624" w:hRule="atLeast"/>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中间传动轴花键毂总成</w:t>
            </w:r>
          </w:p>
        </w:tc>
        <w:tc>
          <w:tcPr>
            <w:tcW w:w="10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焊接</w:t>
            </w:r>
          </w:p>
        </w:tc>
        <w:tc>
          <w:tcPr>
            <w:tcW w:w="17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120000 </w:t>
            </w:r>
          </w:p>
        </w:tc>
        <w:tc>
          <w:tcPr>
            <w:tcW w:w="170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r>
        <w:tblPrEx>
          <w:tblCellMar>
            <w:top w:w="0" w:type="dxa"/>
            <w:left w:w="0" w:type="dxa"/>
            <w:bottom w:w="0" w:type="dxa"/>
            <w:right w:w="0" w:type="dxa"/>
          </w:tblCellMar>
        </w:tblPrEx>
        <w:trPr>
          <w:trHeight w:val="624" w:hRule="atLeast"/>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花键连接盘带缓冲盘总成</w:t>
            </w:r>
          </w:p>
        </w:tc>
        <w:tc>
          <w:tcPr>
            <w:tcW w:w="10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压装</w:t>
            </w:r>
          </w:p>
        </w:tc>
        <w:tc>
          <w:tcPr>
            <w:tcW w:w="17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110000 </w:t>
            </w:r>
          </w:p>
        </w:tc>
        <w:tc>
          <w:tcPr>
            <w:tcW w:w="170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r>
        <w:tblPrEx>
          <w:tblCellMar>
            <w:top w:w="0" w:type="dxa"/>
            <w:left w:w="0" w:type="dxa"/>
            <w:bottom w:w="0" w:type="dxa"/>
            <w:right w:w="0" w:type="dxa"/>
          </w:tblCellMar>
        </w:tblPrEx>
        <w:trPr>
          <w:trHeight w:val="624" w:hRule="atLeast"/>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中间花键接头带缓冲盘、花键连接盘总成</w:t>
            </w:r>
          </w:p>
        </w:tc>
        <w:tc>
          <w:tcPr>
            <w:tcW w:w="10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压装</w:t>
            </w:r>
          </w:p>
        </w:tc>
        <w:tc>
          <w:tcPr>
            <w:tcW w:w="17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80000 </w:t>
            </w:r>
          </w:p>
        </w:tc>
        <w:tc>
          <w:tcPr>
            <w:tcW w:w="170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r>
        <w:tblPrEx>
          <w:tblCellMar>
            <w:top w:w="0" w:type="dxa"/>
            <w:left w:w="0" w:type="dxa"/>
            <w:bottom w:w="0" w:type="dxa"/>
            <w:right w:w="0" w:type="dxa"/>
          </w:tblCellMar>
        </w:tblPrEx>
        <w:trPr>
          <w:trHeight w:val="624" w:hRule="atLeast"/>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中间支撑轴承带缓冲盘总成</w:t>
            </w:r>
          </w:p>
        </w:tc>
        <w:tc>
          <w:tcPr>
            <w:tcW w:w="10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压装</w:t>
            </w:r>
          </w:p>
        </w:tc>
        <w:tc>
          <w:tcPr>
            <w:tcW w:w="17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70000 </w:t>
            </w:r>
          </w:p>
        </w:tc>
        <w:tc>
          <w:tcPr>
            <w:tcW w:w="170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1"/>
                <w:szCs w:val="21"/>
                <w:highlight w:val="none"/>
                <w:u w:val="none"/>
              </w:rPr>
            </w:pPr>
          </w:p>
        </w:tc>
        <w:tc>
          <w:tcPr>
            <w:tcW w:w="211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bl>
    <w:p>
      <w:pPr>
        <w:pageBreakBefore w:val="0"/>
        <w:kinsoku/>
        <w:wordWrap/>
        <w:overflowPunct/>
        <w:topLinePunct w:val="0"/>
        <w:autoSpaceDE w:val="0"/>
        <w:autoSpaceDN w:val="0"/>
        <w:bidi w:val="0"/>
        <w:adjustRightInd w:val="0"/>
        <w:spacing w:line="300" w:lineRule="auto"/>
        <w:jc w:val="left"/>
        <w:rPr>
          <w:rFonts w:hint="eastAsia" w:ascii="宋体" w:hAnsi="宋体" w:eastAsia="宋体" w:cs="宋体"/>
          <w:bCs/>
          <w:color w:val="auto"/>
          <w:sz w:val="21"/>
          <w:szCs w:val="21"/>
          <w:highlight w:val="none"/>
          <w:u w:val="none"/>
        </w:rPr>
      </w:pPr>
    </w:p>
    <w:p>
      <w:pPr>
        <w:pageBreakBefore w:val="0"/>
        <w:kinsoku/>
        <w:wordWrap/>
        <w:overflowPunct/>
        <w:topLinePunct w:val="0"/>
        <w:autoSpaceDE w:val="0"/>
        <w:autoSpaceDN w:val="0"/>
        <w:bidi w:val="0"/>
        <w:adjustRightInd w:val="0"/>
        <w:spacing w:line="300" w:lineRule="auto"/>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说明：1、所有投标单位须按上述附件对实施范围的各组成部分及分项进行报价；</w:t>
      </w:r>
    </w:p>
    <w:p>
      <w:pPr>
        <w:pageBreakBefore w:val="0"/>
        <w:kinsoku/>
        <w:wordWrap/>
        <w:overflowPunct/>
        <w:topLinePunct w:val="0"/>
        <w:autoSpaceDE w:val="0"/>
        <w:autoSpaceDN w:val="0"/>
        <w:bidi w:val="0"/>
        <w:adjustRightInd w:val="0"/>
        <w:spacing w:line="300" w:lineRule="auto"/>
        <w:ind w:firstLine="630" w:firstLineChars="3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以上每一项目的报价应仅含该项本身内容的报价，投标单位不得将其他项目的价格含在上述一项或多项中作为整体报价。如果投标单位未填报某一或若干分项，则此项或若干项的费用则被认为已经包含在报价清单的其他项目中。投标单位在投标报价(含分项报价)中，没有注明或填写价格的，该项费用为免费或由投标单位自行内部消化。</w:t>
      </w:r>
    </w:p>
    <w:p>
      <w:pPr>
        <w:pageBreakBefore w:val="0"/>
        <w:kinsoku/>
        <w:wordWrap/>
        <w:overflowPunct/>
        <w:topLinePunct w:val="0"/>
        <w:autoSpaceDE w:val="0"/>
        <w:autoSpaceDN w:val="0"/>
        <w:bidi w:val="0"/>
        <w:adjustRightInd w:val="0"/>
        <w:spacing w:line="300" w:lineRule="auto"/>
        <w:ind w:firstLine="630" w:firstLineChars="300"/>
        <w:jc w:val="left"/>
        <w:rPr>
          <w:rFonts w:hint="eastAsia" w:ascii="宋体" w:hAnsi="宋体" w:eastAsia="宋体" w:cs="宋体"/>
          <w:bCs/>
          <w:color w:val="auto"/>
          <w:sz w:val="21"/>
          <w:szCs w:val="21"/>
          <w:highlight w:val="none"/>
          <w:u w:val="none"/>
        </w:rPr>
      </w:pP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投标单位名称：(盖章)</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授权代表：(签字)</w:t>
      </w:r>
    </w:p>
    <w:p>
      <w:pPr>
        <w:pageBreakBefore w:val="0"/>
        <w:kinsoku/>
        <w:wordWrap/>
        <w:overflowPunct/>
        <w:topLinePunct w:val="0"/>
        <w:bidi w:val="0"/>
        <w:spacing w:line="300" w:lineRule="auto"/>
        <w:jc w:val="righ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日    期：_____年____月____日</w:t>
      </w:r>
    </w:p>
    <w:p>
      <w:pP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br w:type="page"/>
      </w:r>
    </w:p>
    <w:p>
      <w:pPr>
        <w:pageBreakBefore w:val="0"/>
        <w:kinsoku/>
        <w:wordWrap/>
        <w:overflowPunct/>
        <w:topLinePunct w:val="0"/>
        <w:bidi w:val="0"/>
        <w:spacing w:line="300" w:lineRule="auto"/>
        <w:rPr>
          <w:rFonts w:ascii="宋体" w:hAnsi="宋体"/>
          <w:color w:val="auto"/>
          <w:sz w:val="24"/>
          <w:highlight w:val="none"/>
          <w:u w:val="none"/>
        </w:rPr>
      </w:pPr>
      <w:r>
        <w:rPr>
          <w:rFonts w:hint="eastAsia" w:eastAsia="黑体"/>
          <w:b/>
          <w:bCs/>
          <w:color w:val="auto"/>
          <w:sz w:val="28"/>
          <w:highlight w:val="none"/>
          <w:u w:val="none"/>
        </w:rPr>
        <w:t>附件5</w:t>
      </w:r>
    </w:p>
    <w:p>
      <w:pPr>
        <w:pageBreakBefore w:val="0"/>
        <w:kinsoku/>
        <w:wordWrap/>
        <w:overflowPunct/>
        <w:topLinePunct w:val="0"/>
        <w:bidi w:val="0"/>
        <w:spacing w:line="300" w:lineRule="auto"/>
        <w:ind w:firstLine="3900" w:firstLineChars="1300"/>
        <w:rPr>
          <w:rFonts w:ascii="华文新魏" w:hAnsi="宋体" w:eastAsia="华文新魏"/>
          <w:color w:val="auto"/>
          <w:sz w:val="30"/>
          <w:szCs w:val="30"/>
          <w:highlight w:val="none"/>
          <w:u w:val="none"/>
        </w:rPr>
      </w:pPr>
      <w:r>
        <w:rPr>
          <w:rFonts w:hint="eastAsia" w:ascii="华文新魏" w:hAnsi="宋体" w:eastAsia="华文新魏"/>
          <w:color w:val="auto"/>
          <w:sz w:val="30"/>
          <w:szCs w:val="30"/>
          <w:highlight w:val="none"/>
          <w:u w:val="none"/>
        </w:rPr>
        <w:t>服务承诺书</w:t>
      </w:r>
    </w:p>
    <w:p>
      <w:pPr>
        <w:pageBreakBefore w:val="0"/>
        <w:kinsoku/>
        <w:wordWrap/>
        <w:overflowPunct/>
        <w:topLinePunct w:val="0"/>
        <w:bidi w:val="0"/>
        <w:spacing w:line="300" w:lineRule="auto"/>
        <w:rPr>
          <w:rFonts w:hint="eastAsia" w:ascii="宋体" w:hAnsi="宋体"/>
          <w:color w:val="auto"/>
          <w:sz w:val="24"/>
          <w:highlight w:val="none"/>
          <w:u w:val="none"/>
        </w:rPr>
      </w:pPr>
      <w:r>
        <w:rPr>
          <w:rFonts w:hint="eastAsia" w:ascii="宋体" w:hAnsi="宋体"/>
          <w:bCs/>
          <w:color w:val="auto"/>
          <w:sz w:val="24"/>
          <w:highlight w:val="none"/>
          <w:u w:val="none"/>
        </w:rPr>
        <w:t>致：</w:t>
      </w:r>
      <w:r>
        <w:rPr>
          <w:rFonts w:hint="eastAsia" w:ascii="宋体" w:hAnsi="宋体"/>
          <w:color w:val="auto"/>
          <w:sz w:val="24"/>
          <w:highlight w:val="none"/>
          <w:u w:val="none"/>
        </w:rPr>
        <w:t>中国重汽集团济南汽车部件有限公司</w:t>
      </w:r>
    </w:p>
    <w:p>
      <w:pPr>
        <w:pageBreakBefore w:val="0"/>
        <w:kinsoku/>
        <w:wordWrap/>
        <w:overflowPunct/>
        <w:topLinePunct w:val="0"/>
        <w:bidi w:val="0"/>
        <w:spacing w:line="300" w:lineRule="auto"/>
        <w:rPr>
          <w:rFonts w:ascii="宋体"/>
          <w:bCs/>
          <w:color w:val="auto"/>
          <w:sz w:val="24"/>
          <w:highlight w:val="none"/>
          <w:u w:val="none"/>
        </w:rPr>
      </w:pPr>
      <w:r>
        <w:rPr>
          <w:rFonts w:hint="eastAsia" w:ascii="宋体" w:hAnsi="宋体"/>
          <w:bCs/>
          <w:color w:val="auto"/>
          <w:sz w:val="24"/>
          <w:highlight w:val="none"/>
          <w:u w:val="none"/>
        </w:rPr>
        <w:t>我单位承诺：</w:t>
      </w:r>
    </w:p>
    <w:p>
      <w:pPr>
        <w:pageBreakBefore w:val="0"/>
        <w:kinsoku/>
        <w:wordWrap/>
        <w:overflowPunct/>
        <w:topLinePunct w:val="0"/>
        <w:bidi w:val="0"/>
        <w:spacing w:line="300" w:lineRule="auto"/>
        <w:ind w:firstLine="480" w:firstLineChars="200"/>
        <w:rPr>
          <w:rFonts w:ascii="宋体"/>
          <w:bCs/>
          <w:color w:val="auto"/>
          <w:sz w:val="24"/>
          <w:highlight w:val="none"/>
          <w:u w:val="none"/>
        </w:rPr>
      </w:pPr>
      <w:r>
        <w:rPr>
          <w:rFonts w:hint="eastAsia" w:ascii="宋体" w:hAnsi="宋体"/>
          <w:bCs/>
          <w:color w:val="auto"/>
          <w:sz w:val="24"/>
          <w:highlight w:val="none"/>
          <w:u w:val="none"/>
        </w:rPr>
        <w:t>①经招标人认可的工程项目经理及相应资质的专业技术、管理人员必须是将来施工现场的实际操作者，并应常驻项目施工现场，上述人员未经招标人同意，我单位不得擅自调换或撤离，招标人如认为有必要，可要求对上述人员中的部分人员作出更好的调整。</w:t>
      </w:r>
    </w:p>
    <w:p>
      <w:pPr>
        <w:pageBreakBefore w:val="0"/>
        <w:kinsoku/>
        <w:wordWrap/>
        <w:overflowPunct/>
        <w:topLinePunct w:val="0"/>
        <w:bidi w:val="0"/>
        <w:spacing w:line="300" w:lineRule="auto"/>
        <w:ind w:firstLine="480" w:firstLineChars="200"/>
        <w:rPr>
          <w:rFonts w:ascii="宋体"/>
          <w:bCs/>
          <w:color w:val="auto"/>
          <w:sz w:val="24"/>
          <w:highlight w:val="none"/>
          <w:u w:val="none"/>
        </w:rPr>
      </w:pPr>
      <w:r>
        <w:rPr>
          <w:rFonts w:hint="eastAsia" w:ascii="宋体" w:hAnsi="宋体"/>
          <w:bCs/>
          <w:color w:val="auto"/>
          <w:sz w:val="24"/>
          <w:highlight w:val="none"/>
          <w:u w:val="none"/>
        </w:rPr>
        <w:t>②按招标文件要求完成相应工作内容。</w:t>
      </w:r>
    </w:p>
    <w:p>
      <w:pPr>
        <w:pageBreakBefore w:val="0"/>
        <w:kinsoku/>
        <w:wordWrap/>
        <w:overflowPunct/>
        <w:topLinePunct w:val="0"/>
        <w:bidi w:val="0"/>
        <w:spacing w:line="300" w:lineRule="auto"/>
        <w:ind w:firstLine="480" w:firstLineChars="200"/>
        <w:rPr>
          <w:rFonts w:ascii="宋体" w:hAnsi="宋体" w:cs="宋体"/>
          <w:bCs/>
          <w:color w:val="auto"/>
          <w:sz w:val="24"/>
          <w:highlight w:val="none"/>
          <w:u w:val="none"/>
        </w:rPr>
      </w:pPr>
      <w:r>
        <w:rPr>
          <w:rFonts w:hint="eastAsia" w:ascii="宋体" w:hAnsi="宋体"/>
          <w:bCs/>
          <w:color w:val="auto"/>
          <w:sz w:val="24"/>
          <w:highlight w:val="none"/>
          <w:u w:val="none"/>
        </w:rPr>
        <w:t>③</w:t>
      </w:r>
      <w:r>
        <w:rPr>
          <w:rFonts w:hint="eastAsia" w:ascii="宋体" w:hAnsi="宋体" w:cs="宋体"/>
          <w:bCs/>
          <w:color w:val="auto"/>
          <w:sz w:val="24"/>
          <w:highlight w:val="none"/>
          <w:u w:val="none"/>
        </w:rPr>
        <w:t>我单位已完全理解、明确并熟知招标文件中的全部招标内容，对项目要求无异议。</w:t>
      </w: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2" w:firstLineChars="200"/>
        <w:rPr>
          <w:rFonts w:ascii="宋体"/>
          <w:b/>
          <w:bCs/>
          <w:color w:val="auto"/>
          <w:sz w:val="24"/>
          <w:highlight w:val="none"/>
          <w:u w:val="none"/>
        </w:rPr>
      </w:pP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投标人：（盖章）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单位地址：</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法定代表人或其委托代理人：（签字或盖章）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邮政编码：电话：传真：</w:t>
      </w:r>
    </w:p>
    <w:p>
      <w:pPr>
        <w:pageBreakBefore w:val="0"/>
        <w:kinsoku/>
        <w:wordWrap/>
        <w:overflowPunct/>
        <w:topLinePunct w:val="0"/>
        <w:bidi w:val="0"/>
        <w:spacing w:line="300" w:lineRule="auto"/>
        <w:rPr>
          <w:rFonts w:ascii="宋体"/>
          <w:b/>
          <w:bCs/>
          <w:color w:val="auto"/>
          <w:sz w:val="24"/>
          <w:highlight w:val="none"/>
          <w:u w:val="none"/>
        </w:rPr>
      </w:pPr>
      <w:r>
        <w:rPr>
          <w:rFonts w:hint="eastAsia" w:ascii="宋体" w:cs="宋体"/>
          <w:color w:val="auto"/>
          <w:kern w:val="0"/>
          <w:szCs w:val="21"/>
          <w:highlight w:val="none"/>
          <w:u w:val="none"/>
        </w:rPr>
        <w:t>日期：</w:t>
      </w:r>
      <w:r>
        <w:rPr>
          <w:rFonts w:ascii="TimesNewRomanPSMT" w:hAnsi="TimesNewRomanPSMT" w:cs="TimesNewRomanPSMT"/>
          <w:color w:val="auto"/>
          <w:kern w:val="0"/>
          <w:szCs w:val="21"/>
          <w:highlight w:val="none"/>
          <w:u w:val="none"/>
        </w:rPr>
        <w:t>_____</w:t>
      </w:r>
      <w:r>
        <w:rPr>
          <w:rFonts w:hint="eastAsia" w:ascii="宋体" w:cs="宋体"/>
          <w:color w:val="auto"/>
          <w:kern w:val="0"/>
          <w:szCs w:val="21"/>
          <w:highlight w:val="none"/>
          <w:u w:val="none"/>
        </w:rPr>
        <w:t>年</w:t>
      </w:r>
      <w:r>
        <w:rPr>
          <w:rFonts w:ascii="TimesNewRomanPSMT" w:hAnsi="TimesNewRomanPSMT" w:cs="TimesNewRomanPSMT"/>
          <w:color w:val="auto"/>
          <w:kern w:val="0"/>
          <w:szCs w:val="21"/>
          <w:highlight w:val="none"/>
          <w:u w:val="none"/>
        </w:rPr>
        <w:t>____</w:t>
      </w:r>
      <w:r>
        <w:rPr>
          <w:rFonts w:hint="eastAsia" w:ascii="宋体" w:cs="宋体"/>
          <w:color w:val="auto"/>
          <w:kern w:val="0"/>
          <w:szCs w:val="21"/>
          <w:highlight w:val="none"/>
          <w:u w:val="none"/>
        </w:rPr>
        <w:t>月</w:t>
      </w:r>
      <w:r>
        <w:rPr>
          <w:rFonts w:ascii="TimesNewRomanPSMT" w:hAnsi="TimesNewRomanPSMT" w:cs="TimesNewRomanPSMT"/>
          <w:color w:val="auto"/>
          <w:kern w:val="0"/>
          <w:szCs w:val="21"/>
          <w:highlight w:val="none"/>
          <w:u w:val="none"/>
        </w:rPr>
        <w:t>____</w:t>
      </w:r>
      <w:r>
        <w:rPr>
          <w:rFonts w:hint="eastAsia" w:ascii="TimesNewRomanPSMT" w:hAnsi="TimesNewRomanPSMT" w:cs="TimesNewRomanPSMT"/>
          <w:color w:val="auto"/>
          <w:kern w:val="0"/>
          <w:szCs w:val="21"/>
          <w:highlight w:val="none"/>
          <w:u w:val="none"/>
        </w:rPr>
        <w:t>日</w:t>
      </w:r>
    </w:p>
    <w:p>
      <w:pPr>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2"/>
        <w:pageBreakBefore w:val="0"/>
        <w:kinsoku/>
        <w:wordWrap/>
        <w:overflowPunct/>
        <w:topLinePunct w:val="0"/>
        <w:bidi w:val="0"/>
        <w:spacing w:line="300" w:lineRule="auto"/>
        <w:ind w:left="0" w:leftChars="0" w:firstLine="0" w:firstLineChars="0"/>
      </w:pPr>
    </w:p>
    <w:p>
      <w:pPr>
        <w:pStyle w:val="2"/>
        <w:pageBreakBefore w:val="0"/>
        <w:kinsoku/>
        <w:wordWrap/>
        <w:overflowPunct/>
        <w:topLinePunct w:val="0"/>
        <w:bidi w:val="0"/>
        <w:spacing w:line="300" w:lineRule="auto"/>
        <w:ind w:left="0" w:leftChars="0" w:firstLine="0" w:firstLineChars="0"/>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附件6</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相关条款偏离表（含商务偏离及技术偏离）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序号</w:t>
            </w:r>
          </w:p>
        </w:tc>
        <w:tc>
          <w:tcPr>
            <w:tcW w:w="4140"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招标文件条款</w:t>
            </w:r>
          </w:p>
        </w:tc>
        <w:tc>
          <w:tcPr>
            <w:tcW w:w="35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条款号</w:t>
            </w: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条款要求</w:t>
            </w:r>
          </w:p>
        </w:tc>
        <w:tc>
          <w:tcPr>
            <w:tcW w:w="35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2</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3</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4</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5</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6</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7</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8</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9</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10</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bl>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仿宋_GB2312" w:hAnsi="宋体" w:eastAsia="仿宋_GB2312"/>
          <w:color w:val="auto"/>
          <w:sz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为避免歧义，无偏离也应要提报该表，并注明“无”字。如无该表则即使在其它部分已反映，将也被视为“无偏离”。</w:t>
      </w:r>
    </w:p>
    <w:p>
      <w:pPr>
        <w:pageBreakBefore w:val="0"/>
        <w:kinsoku/>
        <w:wordWrap/>
        <w:overflowPunct/>
        <w:topLinePunct w:val="0"/>
        <w:bidi w:val="0"/>
        <w:spacing w:line="300" w:lineRule="auto"/>
        <w:rPr>
          <w:rFonts w:ascii="宋体" w:hAnsi="宋体"/>
          <w:color w:val="auto"/>
          <w:sz w:val="24"/>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2"/>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附件7 </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经审计的近三年的财务报表</w:t>
      </w:r>
    </w:p>
    <w:p>
      <w:pPr>
        <w:pageBreakBefore w:val="0"/>
        <w:kinsoku/>
        <w:wordWrap/>
        <w:overflowPunct/>
        <w:topLinePunct w:val="0"/>
        <w:bidi w:val="0"/>
        <w:spacing w:line="300" w:lineRule="auto"/>
        <w:jc w:val="right"/>
        <w:rPr>
          <w:rFonts w:ascii="宋体"/>
          <w:bCs/>
          <w:color w:val="auto"/>
          <w:szCs w:val="21"/>
          <w:highlight w:val="none"/>
          <w:u w:val="none"/>
        </w:rPr>
      </w:pPr>
      <w:r>
        <w:rPr>
          <w:rFonts w:hint="eastAsia" w:ascii="宋体" w:hAnsi="宋体" w:cs="宋体"/>
          <w:color w:val="auto"/>
          <w:szCs w:val="21"/>
          <w:highlight w:val="none"/>
          <w:u w:val="none"/>
          <w:lang w:bidi="ar"/>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46"/>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序号</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名称</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注册资本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实收资本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全部资产总值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固定资产总值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平均流动资产余额</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年末所有者权益</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10</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营业收入</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现金净流量</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资产负债率%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（总负债/总资产）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应收账款周转率%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（收入总额/平均应收账款）</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存货周转率%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（销售成本/平均存货）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资产报酬率%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净资产收益率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（净利润/平均净资产）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bl>
    <w:p>
      <w:pPr>
        <w:pageBreakBefore w:val="0"/>
        <w:kinsoku/>
        <w:wordWrap/>
        <w:overflowPunct/>
        <w:topLinePunct w:val="0"/>
        <w:autoSpaceDE w:val="0"/>
        <w:autoSpaceDN w:val="0"/>
        <w:bidi w:val="0"/>
        <w:spacing w:line="300" w:lineRule="auto"/>
        <w:ind w:right="-5"/>
        <w:textAlignment w:val="bottom"/>
        <w:rPr>
          <w:rFonts w:ascii="宋体"/>
          <w:color w:val="auto"/>
          <w:szCs w:val="21"/>
          <w:highlight w:val="none"/>
          <w:u w:val="none"/>
        </w:rPr>
      </w:pPr>
      <w:r>
        <w:rPr>
          <w:rFonts w:hint="eastAsia" w:ascii="宋体" w:hAnsi="宋体" w:cs="宋体"/>
          <w:color w:val="auto"/>
          <w:szCs w:val="21"/>
          <w:highlight w:val="none"/>
          <w:u w:val="none"/>
          <w:lang w:bidi="ar"/>
        </w:rPr>
        <w:t>注：投标人应同时提供近三年经审计的财务报表或近三年的财务资料</w:t>
      </w:r>
    </w:p>
    <w:p>
      <w:pPr>
        <w:pageBreakBefore w:val="0"/>
        <w:kinsoku/>
        <w:wordWrap/>
        <w:overflowPunct/>
        <w:topLinePunct w:val="0"/>
        <w:bidi w:val="0"/>
        <w:spacing w:line="300" w:lineRule="auto"/>
        <w:ind w:firstLine="3570" w:firstLineChars="1700"/>
        <w:rPr>
          <w:rFonts w:ascii="宋体" w:eastAsia="Times New Roman" w:cs="宋体"/>
          <w:b/>
          <w:color w:val="auto"/>
          <w:kern w:val="0"/>
          <w:sz w:val="24"/>
          <w:szCs w:val="24"/>
          <w:highlight w:val="none"/>
          <w:u w:val="none"/>
        </w:rPr>
      </w:pPr>
      <w:r>
        <w:rPr>
          <w:rFonts w:hint="eastAsia" w:ascii="宋体" w:hAnsi="宋体" w:cs="宋体"/>
          <w:color w:val="auto"/>
          <w:szCs w:val="21"/>
          <w:highlight w:val="none"/>
          <w:u w:val="none"/>
          <w:lang w:bidi="ar"/>
        </w:rPr>
        <w:t>投标人代表（签字）：</w:t>
      </w:r>
      <w:r>
        <w:rPr>
          <w:rFonts w:hint="eastAsia" w:ascii="宋体"/>
          <w:color w:val="auto"/>
          <w:szCs w:val="21"/>
          <w:highlight w:val="none"/>
          <w:u w:val="none"/>
          <w:lang w:bidi="ar"/>
        </w:rPr>
        <w:t xml:space="preserve">             </w:t>
      </w: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附件8 业绩表</w:t>
      </w:r>
    </w:p>
    <w:p>
      <w:pPr>
        <w:pStyle w:val="8"/>
        <w:pageBreakBefore w:val="0"/>
        <w:widowControl/>
        <w:kinsoku/>
        <w:wordWrap/>
        <w:overflowPunct/>
        <w:topLinePunct w:val="0"/>
        <w:bidi w:val="0"/>
        <w:spacing w:before="100" w:beforeAutospacing="1" w:line="300" w:lineRule="auto"/>
        <w:rPr>
          <w:rFonts w:ascii="宋体"/>
          <w:color w:val="auto"/>
          <w:sz w:val="28"/>
          <w:szCs w:val="28"/>
          <w:highlight w:val="none"/>
          <w:u w:val="none"/>
        </w:rPr>
      </w:pPr>
      <w:r>
        <w:rPr>
          <w:color w:val="auto"/>
          <w:highlight w:val="none"/>
          <w:u w:val="none"/>
        </w:rPr>
        <w:t xml:space="preserve"> </w:t>
      </w:r>
      <w:r>
        <w:rPr>
          <w:rFonts w:hint="eastAsia" w:ascii="宋体" w:hAnsi="宋体" w:cs="宋体"/>
          <w:color w:val="auto"/>
          <w:sz w:val="24"/>
          <w:szCs w:val="24"/>
          <w:highlight w:val="none"/>
          <w:u w:val="none"/>
        </w:rPr>
        <w:t>近三年承揽同类或相似项目和服务业绩，包括已收到中标通知但尚未签订合同的项目（提供相关合同的复印件）</w:t>
      </w:r>
      <w:r>
        <w:rPr>
          <w:rFonts w:hint="eastAsia" w:ascii="宋体"/>
          <w:color w:val="auto"/>
          <w:sz w:val="28"/>
          <w:szCs w:val="28"/>
          <w:highlight w:val="none"/>
          <w:u w:val="none"/>
          <w:lang w:bidi="ar"/>
        </w:rPr>
        <w:t xml:space="preserve"> </w:t>
      </w:r>
    </w:p>
    <w:tbl>
      <w:tblPr>
        <w:tblStyle w:val="20"/>
        <w:tblW w:w="0" w:type="auto"/>
        <w:tblInd w:w="88" w:type="dxa"/>
        <w:tblLayout w:type="fixed"/>
        <w:tblCellMar>
          <w:top w:w="0" w:type="dxa"/>
          <w:left w:w="0" w:type="dxa"/>
          <w:bottom w:w="0" w:type="dxa"/>
          <w:right w:w="0" w:type="dxa"/>
        </w:tblCellMar>
      </w:tblPr>
      <w:tblGrid>
        <w:gridCol w:w="799"/>
        <w:gridCol w:w="1579"/>
        <w:gridCol w:w="1360"/>
        <w:gridCol w:w="2012"/>
        <w:gridCol w:w="1180"/>
        <w:gridCol w:w="1770"/>
      </w:tblGrid>
      <w:tr>
        <w:tblPrEx>
          <w:tblCellMar>
            <w:top w:w="0" w:type="dxa"/>
            <w:left w:w="0" w:type="dxa"/>
            <w:bottom w:w="0" w:type="dxa"/>
            <w:right w:w="0" w:type="dxa"/>
          </w:tblCellMar>
        </w:tblPrEx>
        <w:trPr>
          <w:trHeight w:val="1082" w:hRule="atLeast"/>
        </w:trPr>
        <w:tc>
          <w:tcPr>
            <w:tcW w:w="799"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序号</w:t>
            </w:r>
          </w:p>
        </w:tc>
        <w:tc>
          <w:tcPr>
            <w:tcW w:w="1579"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项目名称</w:t>
            </w:r>
          </w:p>
        </w:tc>
        <w:tc>
          <w:tcPr>
            <w:tcW w:w="136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签约</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日期</w:t>
            </w:r>
          </w:p>
        </w:tc>
        <w:tc>
          <w:tcPr>
            <w:tcW w:w="2012"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同类或相似项目合同价</w:t>
            </w:r>
          </w:p>
        </w:tc>
        <w:tc>
          <w:tcPr>
            <w:tcW w:w="118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业主 名称</w:t>
            </w:r>
          </w:p>
        </w:tc>
        <w:tc>
          <w:tcPr>
            <w:tcW w:w="177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地址</w:t>
            </w:r>
            <w:r>
              <w:rPr>
                <w:rFonts w:hint="default"/>
                <w:color w:val="auto"/>
                <w:szCs w:val="21"/>
                <w:highlight w:val="none"/>
                <w:u w:val="none"/>
                <w:lang w:bidi="ar"/>
              </w:rPr>
              <w:t>/</w:t>
            </w:r>
            <w:r>
              <w:rPr>
                <w:rFonts w:hint="eastAsia" w:ascii="宋体" w:hAnsi="宋体"/>
                <w:color w:val="auto"/>
                <w:szCs w:val="21"/>
                <w:highlight w:val="none"/>
                <w:u w:val="none"/>
                <w:lang w:bidi="ar"/>
              </w:rPr>
              <w:t>电话</w:t>
            </w:r>
            <w:r>
              <w:rPr>
                <w:rFonts w:hint="default"/>
                <w:color w:val="auto"/>
                <w:szCs w:val="21"/>
                <w:highlight w:val="none"/>
                <w:u w:val="none"/>
                <w:lang w:bidi="ar"/>
              </w:rPr>
              <w:t>/</w:t>
            </w:r>
            <w:r>
              <w:rPr>
                <w:rFonts w:hint="eastAsia" w:ascii="宋体" w:hAnsi="宋体"/>
                <w:color w:val="auto"/>
                <w:szCs w:val="21"/>
                <w:highlight w:val="none"/>
                <w:u w:val="none"/>
                <w:lang w:bidi="ar"/>
              </w:rPr>
              <w:t>传真</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1</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2</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3</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s="宋体"/>
                <w:color w:val="auto"/>
                <w:szCs w:val="21"/>
                <w:highlight w:val="none"/>
                <w:u w:val="none"/>
                <w:lang w:bidi="ar"/>
              </w:rPr>
              <w:t>……</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bl>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ageBreakBefore w:val="0"/>
        <w:kinsoku/>
        <w:wordWrap/>
        <w:overflowPunct/>
        <w:topLinePunct w:val="0"/>
        <w:bidi w:val="0"/>
        <w:spacing w:line="300" w:lineRule="auto"/>
        <w:rPr>
          <w:rFonts w:ascii="黑体" w:eastAsia="黑体"/>
          <w:b/>
          <w:color w:val="auto"/>
          <w:sz w:val="36"/>
          <w:szCs w:val="36"/>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color w:val="auto"/>
          <w:highlight w:val="none"/>
          <w:u w:val="none"/>
        </w:rPr>
      </w:pP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附件9</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 xml:space="preserve">项目名称：                   </w:t>
      </w:r>
    </w:p>
    <w:p>
      <w:pPr>
        <w:pStyle w:val="10"/>
        <w:pageBreakBefore w:val="0"/>
        <w:kinsoku/>
        <w:wordWrap/>
        <w:overflowPunct/>
        <w:topLinePunct w:val="0"/>
        <w:bidi w:val="0"/>
        <w:spacing w:line="300" w:lineRule="auto"/>
        <w:ind w:left="885" w:leftChars="-6" w:hanging="898" w:hangingChars="428"/>
        <w:rPr>
          <w:rFonts w:hAnsi="宋体"/>
          <w:color w:val="auto"/>
          <w:szCs w:val="21"/>
          <w:highlight w:val="none"/>
          <w:u w:val="none"/>
        </w:rPr>
      </w:pPr>
      <w:r>
        <w:rPr>
          <w:rFonts w:hint="eastAsia" w:hAnsi="宋体"/>
          <w:color w:val="auto"/>
          <w:szCs w:val="21"/>
          <w:highlight w:val="none"/>
          <w:u w:val="none"/>
        </w:rPr>
        <w:t>日期：  年   月   日</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投标保证金退付表</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纳税人识别号：</w:t>
            </w:r>
          </w:p>
        </w:tc>
      </w:tr>
    </w:tbl>
    <w:p>
      <w:pPr>
        <w:pStyle w:val="10"/>
        <w:pageBreakBefore w:val="0"/>
        <w:kinsoku/>
        <w:wordWrap/>
        <w:overflowPunct/>
        <w:topLinePunct w:val="0"/>
        <w:bidi w:val="0"/>
        <w:spacing w:line="300" w:lineRule="auto"/>
        <w:ind w:firstLine="240" w:firstLineChars="100"/>
        <w:rPr>
          <w:rFonts w:ascii="仿宋_GB2312" w:hAnsi="宋体" w:eastAsia="仿宋_GB2312"/>
          <w:color w:val="auto"/>
          <w:sz w:val="24"/>
          <w:highlight w:val="none"/>
          <w:u w:val="none"/>
        </w:rPr>
      </w:pPr>
    </w:p>
    <w:p>
      <w:pPr>
        <w:pStyle w:val="10"/>
        <w:pageBreakBefore w:val="0"/>
        <w:kinsoku/>
        <w:wordWrap/>
        <w:overflowPunct/>
        <w:topLinePunct w:val="0"/>
        <w:bidi w:val="0"/>
        <w:spacing w:line="300" w:lineRule="auto"/>
        <w:ind w:firstLine="240" w:firstLineChars="100"/>
        <w:rPr>
          <w:rFonts w:hAnsi="宋体"/>
          <w:b/>
          <w:color w:val="auto"/>
          <w:sz w:val="24"/>
          <w:szCs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ascii="宋体" w:hAnsi="宋体" w:eastAsia="黑体" w:cs="宋体"/>
          <w:color w:val="auto"/>
          <w:sz w:val="22"/>
          <w:szCs w:val="22"/>
          <w:highlight w:val="none"/>
          <w:u w:val="none"/>
        </w:rPr>
      </w:pPr>
      <w:r>
        <w:rPr>
          <w:rFonts w:hint="eastAsia" w:ascii="黑体" w:eastAsia="黑体"/>
          <w:b/>
          <w:bCs/>
          <w:color w:val="auto"/>
          <w:sz w:val="36"/>
          <w:szCs w:val="36"/>
          <w:highlight w:val="none"/>
          <w:u w:val="none"/>
        </w:rPr>
        <w:t>第三章 项目基本标准及基本要求</w:t>
      </w:r>
    </w:p>
    <w:p>
      <w:pPr>
        <w:pageBreakBefore w:val="0"/>
        <w:kinsoku/>
        <w:wordWrap/>
        <w:overflowPunct/>
        <w:topLinePunct w:val="0"/>
        <w:bidi w:val="0"/>
        <w:spacing w:line="300" w:lineRule="auto"/>
        <w:rPr>
          <w:rFonts w:ascii="黑体" w:hAnsi="宋体" w:eastAsia="黑体"/>
          <w:color w:val="auto"/>
          <w:highlight w:val="none"/>
          <w:u w:val="none"/>
        </w:rPr>
      </w:pPr>
    </w:p>
    <w:p>
      <w:pPr>
        <w:pageBreakBefore w:val="0"/>
        <w:kinsoku/>
        <w:wordWrap/>
        <w:overflowPunct/>
        <w:topLinePunct w:val="0"/>
        <w:bidi w:val="0"/>
        <w:adjustRightInd w:val="0"/>
        <w:snapToGrid w:val="0"/>
        <w:spacing w:line="300" w:lineRule="auto"/>
        <w:ind w:left="420" w:leftChars="200"/>
        <w:rPr>
          <w:rFonts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bCs/>
          <w:color w:val="auto"/>
          <w:szCs w:val="21"/>
          <w:highlight w:val="none"/>
          <w:u w:val="none"/>
        </w:rPr>
        <w:t>一、总体要求</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1.作业人员服从公司及生产线的指挥，接受公司的监督和管理，保守公司秘密，维护公司利益。</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2.严格遵守公司及生产线的各项规章制度（如禁烟及防疫管理），如有违犯情况，依据公司管理规定进行处理。</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3.班组建设</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按照公司要求统一进行班组建设，每班至少由一个班长带班，负责班组全面事宜，所有班组基础资料必须具备；人员管理必须符合公司要求。人员的数量及分配由公司决定，所有人员上岗前必须得到公司同意认可。人员变更时，提前两天向公司报备，同意后方可变更。</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操作人员负责现场区域及设备的卫生清洁工作，坚持“班前、班后、班中”清扫，确保现场整洁有序。</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w:t>
      </w:r>
      <w:r>
        <w:rPr>
          <w:rFonts w:hint="eastAsia" w:asciiTheme="majorEastAsia" w:hAnsiTheme="majorEastAsia" w:eastAsiaTheme="majorEastAsia"/>
          <w:color w:val="auto"/>
          <w:szCs w:val="21"/>
          <w:highlight w:val="none"/>
          <w:u w:val="none"/>
          <w:lang w:val="en-US" w:eastAsia="zh-CN"/>
        </w:rPr>
        <w:t>.</w:t>
      </w:r>
      <w:r>
        <w:rPr>
          <w:rFonts w:hint="eastAsia" w:asciiTheme="majorEastAsia" w:hAnsiTheme="majorEastAsia" w:eastAsiaTheme="majorEastAsia"/>
          <w:color w:val="auto"/>
          <w:szCs w:val="21"/>
          <w:highlight w:val="none"/>
          <w:u w:val="none"/>
        </w:rPr>
        <w:t>消防安全</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4.1遵守安全生产规定，人员必须按时参加安全培训，熟练掌握公司的安全政策及相关知识；熟记本岗位的安全操作规程，并在生产中遵守执行，若有违反，依规考核</w:t>
      </w:r>
      <w:bookmarkStart w:id="3" w:name="_Hlk109480177"/>
      <w:r>
        <w:rPr>
          <w:rFonts w:hint="eastAsia" w:asciiTheme="majorEastAsia" w:hAnsiTheme="majorEastAsia" w:eastAsiaTheme="majorEastAsia"/>
          <w:color w:val="auto"/>
          <w:szCs w:val="21"/>
          <w:highlight w:val="none"/>
          <w:u w:val="none"/>
        </w:rPr>
        <w:t>；若因违反安全操作规程造成工伤，一律由外包单位承担，</w:t>
      </w:r>
      <w:r>
        <w:rPr>
          <w:rFonts w:asciiTheme="majorEastAsia" w:hAnsiTheme="majorEastAsia" w:eastAsiaTheme="majorEastAsia"/>
          <w:color w:val="auto"/>
          <w:szCs w:val="21"/>
          <w:highlight w:val="none"/>
          <w:u w:val="none"/>
        </w:rPr>
        <w:t xml:space="preserve"> </w:t>
      </w:r>
    </w:p>
    <w:bookmarkEnd w:id="3"/>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4.2外包单位必须设立安全负责人，每日对现场人员及相关设备进行巡视、点检，排除隐患风险。</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4.3遵守消防安全规定，积极参加公司组织的消防培训和应急演练，人员必须熟知“四个消防能力”，具备单独使用消防器材的能力，同时负责本区域内消防设备的清洁维护。</w:t>
      </w:r>
    </w:p>
    <w:p>
      <w:pPr>
        <w:pageBreakBefore w:val="0"/>
        <w:kinsoku/>
        <w:wordWrap/>
        <w:overflowPunct/>
        <w:topLinePunct w:val="0"/>
        <w:bidi w:val="0"/>
        <w:spacing w:line="300" w:lineRule="auto"/>
        <w:ind w:firstLine="420" w:firstLineChars="200"/>
        <w:rPr>
          <w:rFonts w:hint="eastAsia" w:asciiTheme="majorEastAsia" w:hAnsiTheme="majorEastAsia" w:eastAsiaTheme="majorEastAsia"/>
          <w:color w:val="auto"/>
          <w:szCs w:val="21"/>
          <w:highlight w:val="none"/>
          <w:u w:val="none"/>
          <w:lang w:eastAsia="zh-CN"/>
        </w:rPr>
      </w:pPr>
      <w:r>
        <w:rPr>
          <w:rFonts w:hint="eastAsia" w:asciiTheme="majorEastAsia" w:hAnsiTheme="majorEastAsia" w:eastAsiaTheme="majorEastAsia"/>
          <w:color w:val="auto"/>
          <w:szCs w:val="21"/>
          <w:highlight w:val="none"/>
          <w:u w:val="none"/>
        </w:rPr>
        <w:t>4.4</w:t>
      </w:r>
      <w:r>
        <w:rPr>
          <w:rFonts w:hint="eastAsia"/>
          <w:color w:val="auto"/>
          <w:highlight w:val="none"/>
          <w:u w:val="none"/>
        </w:rPr>
        <w:t>外包单位必须做好职业危害防护，按照要求进行职业健康查体，做好日常劳保护品配备，作业人员正确穿戴劳保护品；</w:t>
      </w:r>
      <w:r>
        <w:rPr>
          <w:rFonts w:hint="eastAsia" w:asciiTheme="majorEastAsia" w:hAnsiTheme="majorEastAsia" w:eastAsiaTheme="majorEastAsia"/>
          <w:color w:val="auto"/>
          <w:szCs w:val="21"/>
          <w:highlight w:val="none"/>
          <w:u w:val="none"/>
        </w:rPr>
        <w:t>特殊工种作业必须持证上岗；若因违反上述要求造成伤害，一律由外包单位承担</w:t>
      </w:r>
      <w:r>
        <w:rPr>
          <w:rFonts w:hint="eastAsia" w:asciiTheme="majorEastAsia" w:hAnsiTheme="majorEastAsia" w:eastAsiaTheme="majorEastAsia"/>
          <w:color w:val="auto"/>
          <w:szCs w:val="21"/>
          <w:highlight w:val="none"/>
          <w:u w:val="none"/>
          <w:lang w:eastAsia="zh-CN"/>
        </w:rPr>
        <w:t>。</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5</w:t>
      </w:r>
      <w:r>
        <w:rPr>
          <w:rFonts w:hint="eastAsia" w:asciiTheme="majorEastAsia" w:hAnsiTheme="majorEastAsia" w:eastAsiaTheme="majorEastAsia"/>
          <w:color w:val="auto"/>
          <w:szCs w:val="21"/>
          <w:highlight w:val="none"/>
          <w:u w:val="none"/>
          <w:lang w:val="en-US" w:eastAsia="zh-CN"/>
        </w:rPr>
        <w:t>.</w:t>
      </w:r>
      <w:r>
        <w:rPr>
          <w:rFonts w:hint="eastAsia" w:asciiTheme="majorEastAsia" w:hAnsiTheme="majorEastAsia" w:eastAsiaTheme="majorEastAsia"/>
          <w:color w:val="auto"/>
          <w:szCs w:val="21"/>
          <w:highlight w:val="none"/>
          <w:u w:val="none"/>
        </w:rPr>
        <w:t>设备维护及使用</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严格遵守公司设备管理规定，操作者每日对所使用设备进行点检，并按要求进行日常保养、维护清理，保持设备良好的运行状态。</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当设备出现故障停机时，协助专业维修人员进行故障排除排障，不得推脱。若因违章操作等原因造成设备损坏，由外包单位赔偿设备损失及耽误生产造成的损失。</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6.生产组织</w:t>
      </w:r>
    </w:p>
    <w:p>
      <w:pPr>
        <w:pageBreakBefore w:val="0"/>
        <w:kinsoku/>
        <w:wordWrap/>
        <w:overflowPunct/>
        <w:topLinePunct w:val="0"/>
        <w:bidi w:val="0"/>
        <w:spacing w:line="300" w:lineRule="auto"/>
        <w:ind w:firstLine="560"/>
        <w:rPr>
          <w:color w:val="auto"/>
          <w:highlight w:val="none"/>
          <w:u w:val="none"/>
        </w:rPr>
      </w:pPr>
      <w:r>
        <w:rPr>
          <w:rFonts w:hint="eastAsia" w:asciiTheme="majorEastAsia" w:hAnsiTheme="majorEastAsia" w:eastAsiaTheme="majorEastAsia"/>
          <w:color w:val="auto"/>
          <w:szCs w:val="21"/>
          <w:highlight w:val="none"/>
          <w:u w:val="none"/>
        </w:rPr>
        <w:t>严格按照车间的生产安排进行生产，接受生产调度。根据生产线的安排需要开夜班的，外包方需在1周内将人员按照要求配备到位。晚一天将从保证金中扣除5000元。当设备发生故障时，按照车间临时要求组织下线，不能造成生产线堵线或停线，否则将视损失情况进行考核。所有下线产品要放到指定位置，并且按照HOS管理要求进行管理。</w:t>
      </w:r>
    </w:p>
    <w:p>
      <w:pPr>
        <w:pStyle w:val="9"/>
        <w:pageBreakBefore w:val="0"/>
        <w:numPr>
          <w:ilvl w:val="0"/>
          <w:numId w:val="3"/>
        </w:numPr>
        <w:kinsoku/>
        <w:wordWrap/>
        <w:overflowPunct/>
        <w:topLinePunct w:val="0"/>
        <w:bidi w:val="0"/>
        <w:spacing w:line="300" w:lineRule="auto"/>
        <w:ind w:firstLine="422" w:firstLineChars="200"/>
        <w:jc w:val="left"/>
        <w:rPr>
          <w:rFonts w:asciiTheme="minorEastAsia" w:hAnsiTheme="minorEastAsia" w:eastAsiaTheme="minorEastAsia"/>
          <w:b/>
          <w:color w:val="auto"/>
          <w:sz w:val="21"/>
          <w:szCs w:val="21"/>
          <w:highlight w:val="none"/>
          <w:u w:val="none"/>
        </w:rPr>
      </w:pPr>
      <w:r>
        <w:rPr>
          <w:rFonts w:hint="eastAsia" w:asciiTheme="minorEastAsia" w:hAnsiTheme="minorEastAsia" w:eastAsiaTheme="minorEastAsia"/>
          <w:b/>
          <w:color w:val="auto"/>
          <w:sz w:val="21"/>
          <w:szCs w:val="21"/>
          <w:highlight w:val="none"/>
          <w:u w:val="none"/>
        </w:rPr>
        <w:t>技术质量要求</w:t>
      </w:r>
    </w:p>
    <w:p>
      <w:pPr>
        <w:pageBreakBefore w:val="0"/>
        <w:kinsoku/>
        <w:wordWrap/>
        <w:overflowPunct/>
        <w:topLinePunct w:val="0"/>
        <w:bidi w:val="0"/>
        <w:adjustRightInd w:val="0"/>
        <w:snapToGrid w:val="0"/>
        <w:spacing w:line="30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1.服从管理，按生产线工艺要求进行生产及检查工作，配合生产线工艺管理相关工作。</w:t>
      </w:r>
    </w:p>
    <w:p>
      <w:pPr>
        <w:pageBreakBefore w:val="0"/>
        <w:kinsoku/>
        <w:wordWrap/>
        <w:overflowPunct/>
        <w:topLinePunct w:val="0"/>
        <w:bidi w:val="0"/>
        <w:adjustRightInd w:val="0"/>
        <w:snapToGrid w:val="0"/>
        <w:spacing w:line="30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2.各岗位生产人员应具备一定素质，能够区分产品类型，能够对合格品及不良品进行区分，能够理解工艺要求。</w:t>
      </w:r>
    </w:p>
    <w:p>
      <w:pPr>
        <w:pStyle w:val="9"/>
        <w:pageBreakBefore w:val="0"/>
        <w:kinsoku/>
        <w:wordWrap/>
        <w:overflowPunct/>
        <w:topLinePunct w:val="0"/>
        <w:bidi w:val="0"/>
        <w:spacing w:line="300" w:lineRule="auto"/>
        <w:rPr>
          <w:rFonts w:hint="eastAsia" w:asciiTheme="minorEastAsia" w:hAnsiTheme="minorEastAsia" w:eastAsiaTheme="minorEastAsia"/>
          <w:color w:val="auto"/>
          <w:sz w:val="21"/>
          <w:szCs w:val="21"/>
          <w:highlight w:val="none"/>
          <w:u w:val="none"/>
          <w:lang w:eastAsia="zh-CN"/>
        </w:rPr>
      </w:pPr>
      <w:r>
        <w:rPr>
          <w:rFonts w:hint="eastAsia"/>
          <w:color w:val="auto"/>
          <w:highlight w:val="none"/>
          <w:u w:val="none"/>
        </w:rPr>
        <w:t xml:space="preserve"> </w:t>
      </w:r>
      <w:r>
        <w:rPr>
          <w:color w:val="auto"/>
          <w:highlight w:val="none"/>
          <w:u w:val="none"/>
        </w:rPr>
        <w:t xml:space="preserve">  </w:t>
      </w:r>
      <w:r>
        <w:rPr>
          <w:rFonts w:asciiTheme="minorEastAsia" w:hAnsiTheme="minorEastAsia" w:eastAsiaTheme="minorEastAsia"/>
          <w:color w:val="auto"/>
          <w:sz w:val="21"/>
          <w:szCs w:val="21"/>
          <w:highlight w:val="none"/>
          <w:u w:val="none"/>
        </w:rPr>
        <w:t>3</w:t>
      </w:r>
      <w:r>
        <w:rPr>
          <w:rFonts w:hint="eastAsia" w:asciiTheme="minorEastAsia" w:hAnsiTheme="minorEastAsia" w:eastAsiaTheme="minorEastAsia"/>
          <w:color w:val="auto"/>
          <w:sz w:val="21"/>
          <w:szCs w:val="21"/>
          <w:highlight w:val="none"/>
          <w:u w:val="none"/>
          <w:lang w:val="en-US" w:eastAsia="zh-CN"/>
        </w:rPr>
        <w:t>.</w:t>
      </w:r>
      <w:r>
        <w:rPr>
          <w:rFonts w:hint="eastAsia" w:asciiTheme="minorEastAsia" w:hAnsiTheme="minorEastAsia" w:eastAsiaTheme="minorEastAsia"/>
          <w:color w:val="auto"/>
          <w:sz w:val="21"/>
          <w:szCs w:val="21"/>
          <w:highlight w:val="none"/>
          <w:u w:val="none"/>
        </w:rPr>
        <w:t>执行公司相关质量管理规定</w:t>
      </w:r>
      <w:r>
        <w:rPr>
          <w:rFonts w:hint="eastAsia" w:asciiTheme="minorEastAsia" w:hAnsiTheme="minorEastAsia" w:eastAsiaTheme="minorEastAsia"/>
          <w:color w:val="auto"/>
          <w:sz w:val="21"/>
          <w:szCs w:val="21"/>
          <w:highlight w:val="none"/>
          <w:u w:val="none"/>
          <w:lang w:eastAsia="zh-CN"/>
        </w:rPr>
        <w:t>。</w:t>
      </w:r>
    </w:p>
    <w:p>
      <w:pPr>
        <w:pStyle w:val="9"/>
        <w:pageBreakBefore w:val="0"/>
        <w:kinsoku/>
        <w:wordWrap/>
        <w:overflowPunct/>
        <w:topLinePunct w:val="0"/>
        <w:bidi w:val="0"/>
        <w:spacing w:line="300" w:lineRule="auto"/>
        <w:rPr>
          <w:rFonts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ascii="宋体" w:hAnsi="宋体" w:eastAsia="黑体" w:cs="宋体"/>
          <w:color w:val="auto"/>
          <w:sz w:val="22"/>
          <w:szCs w:val="22"/>
          <w:highlight w:val="none"/>
          <w:u w:val="none"/>
        </w:rPr>
      </w:pPr>
      <w:r>
        <w:rPr>
          <w:rFonts w:hint="eastAsia" w:ascii="黑体" w:eastAsia="黑体"/>
          <w:b/>
          <w:bCs/>
          <w:color w:val="auto"/>
          <w:sz w:val="36"/>
          <w:szCs w:val="36"/>
          <w:highlight w:val="none"/>
          <w:u w:val="none"/>
        </w:rPr>
        <w:t>第四章 项目合同</w:t>
      </w:r>
    </w:p>
    <w:p>
      <w:pPr>
        <w:pageBreakBefore w:val="0"/>
        <w:kinsoku/>
        <w:wordWrap/>
        <w:overflowPunct/>
        <w:topLinePunct w:val="0"/>
        <w:bidi w:val="0"/>
        <w:spacing w:line="300" w:lineRule="auto"/>
        <w:jc w:val="center"/>
        <w:rPr>
          <w:rFonts w:ascii="宋体" w:hAnsi="宋体" w:cs="宋体"/>
          <w:bCs/>
          <w:color w:val="auto"/>
          <w:szCs w:val="21"/>
          <w:highlight w:val="none"/>
          <w:u w:val="none"/>
        </w:rPr>
      </w:pPr>
      <w:r>
        <w:rPr>
          <w:rFonts w:hint="eastAsia" w:ascii="宋体" w:hAnsi="宋体" w:cs="宋体"/>
          <w:bCs/>
          <w:color w:val="auto"/>
          <w:szCs w:val="21"/>
          <w:highlight w:val="none"/>
          <w:u w:val="none"/>
        </w:rPr>
        <w:t>以双方最终签署的版本为准</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hint="default" w:ascii="宋体" w:hAnsi="宋体" w:eastAsia="宋体"/>
          <w:b/>
          <w:sz w:val="28"/>
          <w:szCs w:val="36"/>
          <w:lang w:val="en-US" w:eastAsia="zh-CN"/>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lang w:val="en-US" w:eastAsia="zh-CN"/>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hint="default" w:ascii="宋体" w:hAnsi="宋体"/>
          <w:b/>
          <w:sz w:val="28"/>
          <w:szCs w:val="36"/>
          <w:lang w:val="en-US"/>
        </w:rPr>
      </w:pPr>
      <w:r>
        <w:rPr>
          <w:rFonts w:hint="eastAsia" w:ascii="宋体" w:hAnsi="宋体"/>
          <w:b/>
          <w:sz w:val="28"/>
          <w:szCs w:val="36"/>
        </w:rPr>
        <w:t>乙  方：</w:t>
      </w:r>
      <w:r>
        <w:rPr>
          <w:rFonts w:hint="eastAsia" w:ascii="宋体" w:hAnsi="宋体"/>
          <w:b/>
          <w:sz w:val="28"/>
          <w:szCs w:val="36"/>
          <w:u w:val="thick"/>
          <w:lang w:val="en-US" w:eastAsia="zh-CN"/>
        </w:rPr>
        <w:t xml:space="preserve">                           </w:t>
      </w:r>
    </w:p>
    <w:p/>
    <w:p/>
    <w:p/>
    <w:p>
      <w:pPr>
        <w:rPr>
          <w:rFonts w:hint="eastAsia"/>
        </w:rPr>
      </w:pPr>
    </w:p>
    <w:p>
      <w:pPr>
        <w:widowControl/>
        <w:adjustRightInd w:val="0"/>
        <w:snapToGrid w:val="0"/>
        <w:spacing w:line="360" w:lineRule="auto"/>
        <w:jc w:val="left"/>
        <w:rPr>
          <w:rFonts w:ascii="宋体" w:hAnsi="宋体"/>
          <w:snapToGrid w:val="0"/>
          <w:kern w:val="0"/>
          <w:sz w:val="20"/>
        </w:rPr>
        <w:sectPr>
          <w:footerReference r:id="rId7" w:type="default"/>
          <w:pgSz w:w="11906" w:h="16838"/>
          <w:pgMar w:top="1440" w:right="1800" w:bottom="1440" w:left="1800" w:header="851" w:footer="850" w:gutter="0"/>
          <w:pgNumType w:fmt="decimal"/>
          <w:cols w:space="720" w:num="1"/>
          <w:docGrid w:type="lines" w:linePitch="312" w:charSpace="0"/>
        </w:sect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甲方（发包方）：</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【可简称为：】</w:t>
      </w:r>
    </w:p>
    <w:p>
      <w:pPr>
        <w:spacing w:line="520" w:lineRule="exact"/>
        <w:ind w:firstLine="448" w:firstLineChars="200"/>
        <w:rPr>
          <w:rFonts w:hint="eastAsia" w:ascii="宋体" w:hAnsi="宋体" w:cs="宋体"/>
          <w:sz w:val="22"/>
          <w:szCs w:val="22"/>
        </w:r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乙方（承包方）：</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【可简称为：】</w:t>
      </w:r>
    </w:p>
    <w:p>
      <w:pPr>
        <w:spacing w:line="520" w:lineRule="exact"/>
        <w:ind w:firstLine="448" w:firstLineChars="200"/>
        <w:rPr>
          <w:rFonts w:hint="eastAsia" w:ascii="宋体" w:hAnsi="宋体" w:cs="宋体"/>
          <w:sz w:val="22"/>
          <w:szCs w:val="22"/>
        </w:r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根据中华人民共和国相关法律、法规的规定，甲、乙双方在平等、自愿、互利的基础上经协商一致，就乙方负责承包甲方</w:t>
      </w:r>
      <w:r>
        <w:rPr>
          <w:rFonts w:hint="eastAsia" w:ascii="宋体" w:hAnsi="宋体" w:cs="宋体"/>
          <w:sz w:val="22"/>
          <w:szCs w:val="22"/>
          <w:u w:val="single"/>
        </w:rPr>
        <w:t xml:space="preserve">        </w:t>
      </w:r>
      <w:r>
        <w:rPr>
          <w:rFonts w:hint="eastAsia" w:ascii="宋体" w:hAnsi="宋体" w:cs="宋体"/>
          <w:sz w:val="22"/>
          <w:szCs w:val="22"/>
        </w:rPr>
        <w:t>的业务(以下简称业务</w:t>
      </w:r>
      <w:r>
        <w:rPr>
          <w:rFonts w:hint="eastAsia" w:ascii="宋体" w:hAnsi="宋体" w:cs="宋体"/>
          <w:sz w:val="22"/>
          <w:szCs w:val="22"/>
          <w:lang w:val="en-US" w:eastAsia="zh-CN"/>
        </w:rPr>
        <w:t>外包</w:t>
      </w:r>
      <w:r>
        <w:rPr>
          <w:rFonts w:hint="eastAsia" w:ascii="宋体" w:hAnsi="宋体" w:cs="宋体"/>
          <w:sz w:val="22"/>
          <w:szCs w:val="22"/>
        </w:rPr>
        <w:t>)事宜，商定如下条款：</w:t>
      </w:r>
    </w:p>
    <w:p>
      <w:pPr>
        <w:spacing w:line="520" w:lineRule="exact"/>
        <w:rPr>
          <w:rFonts w:hint="eastAsia" w:ascii="仿宋" w:hAnsi="仿宋" w:eastAsia="仿宋"/>
          <w:sz w:val="28"/>
        </w:rPr>
      </w:pPr>
    </w:p>
    <w:p>
      <w:pPr>
        <w:spacing w:line="520" w:lineRule="exact"/>
        <w:ind w:firstLine="426" w:firstLineChars="209"/>
        <w:rPr>
          <w:rFonts w:hint="eastAsia" w:ascii="宋体" w:hAnsi="宋体" w:cs="宋体"/>
          <w:b/>
          <w:sz w:val="20"/>
        </w:rPr>
      </w:pPr>
      <w:r>
        <w:rPr>
          <w:rFonts w:hint="eastAsia" w:ascii="宋体" w:hAnsi="宋体" w:cs="宋体"/>
          <w:b/>
          <w:sz w:val="20"/>
        </w:rPr>
        <w:t>第一条：合同期限</w:t>
      </w:r>
    </w:p>
    <w:p>
      <w:pPr>
        <w:spacing w:line="520" w:lineRule="exact"/>
        <w:ind w:firstLine="426" w:firstLineChars="209"/>
        <w:rPr>
          <w:rFonts w:hint="eastAsia" w:ascii="宋体" w:hAnsi="宋体" w:cs="宋体"/>
          <w:sz w:val="20"/>
        </w:rPr>
      </w:pPr>
      <w:r>
        <w:rPr>
          <w:rFonts w:hint="eastAsia" w:ascii="宋体" w:hAnsi="宋体" w:cs="宋体"/>
          <w:sz w:val="20"/>
        </w:rPr>
        <w:t>1、承包日期从【】年【】月【】日至【】年【】月【】日。</w:t>
      </w:r>
    </w:p>
    <w:p>
      <w:pPr>
        <w:spacing w:line="520" w:lineRule="exact"/>
        <w:ind w:firstLine="426" w:firstLineChars="209"/>
        <w:rPr>
          <w:rFonts w:hint="eastAsia" w:ascii="宋体" w:hAnsi="宋体" w:cs="宋体"/>
          <w:sz w:val="20"/>
        </w:rPr>
      </w:pPr>
      <w:r>
        <w:rPr>
          <w:rFonts w:hint="eastAsia" w:ascii="宋体" w:hAnsi="宋体" w:cs="宋体"/>
          <w:sz w:val="20"/>
        </w:rPr>
        <w:t>2、合同期满前一个月，甲方应评估是否决定继续进行业务外包。如甲方决定不再进行业务外包，通知乙方后，乙方应做好撤离准备，双方结清所有费用，确保合同承包到期时撤离。</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第二条：外包内容</w:t>
      </w:r>
    </w:p>
    <w:p>
      <w:pPr>
        <w:spacing w:line="520" w:lineRule="exact"/>
        <w:ind w:firstLine="426" w:firstLineChars="209"/>
        <w:rPr>
          <w:rFonts w:hint="eastAsia" w:ascii="宋体" w:hAnsi="宋体" w:cs="宋体"/>
          <w:sz w:val="20"/>
        </w:rPr>
      </w:pPr>
      <w:r>
        <w:rPr>
          <w:rFonts w:hint="eastAsia" w:ascii="宋体" w:hAnsi="宋体" w:cs="宋体"/>
          <w:sz w:val="20"/>
        </w:rPr>
        <w:t>1、乙方承包的甲方区域为：</w:t>
      </w:r>
      <w:r>
        <w:rPr>
          <w:rFonts w:hint="eastAsia" w:ascii="宋体" w:hAnsi="宋体" w:cs="宋体"/>
          <w:sz w:val="20"/>
          <w:u w:val="single"/>
        </w:rPr>
        <w:t>【】</w:t>
      </w:r>
    </w:p>
    <w:p>
      <w:pPr>
        <w:spacing w:line="520" w:lineRule="exact"/>
        <w:ind w:firstLine="426" w:firstLineChars="209"/>
        <w:rPr>
          <w:rFonts w:hint="eastAsia" w:ascii="宋体" w:hAnsi="宋体" w:cs="宋体"/>
          <w:sz w:val="20"/>
        </w:rPr>
      </w:pPr>
      <w:r>
        <w:rPr>
          <w:rFonts w:hint="eastAsia" w:ascii="宋体" w:hAnsi="宋体" w:cs="宋体"/>
          <w:sz w:val="20"/>
        </w:rPr>
        <w:t>2、乙方承包的范围为：</w:t>
      </w:r>
    </w:p>
    <w:p>
      <w:pPr>
        <w:spacing w:line="520" w:lineRule="exact"/>
        <w:ind w:firstLine="426" w:firstLineChars="209"/>
        <w:rPr>
          <w:rFonts w:hint="eastAsia" w:ascii="宋体" w:hAnsi="宋体" w:cs="宋体"/>
          <w:sz w:val="20"/>
        </w:rPr>
      </w:pPr>
      <w:r>
        <w:rPr>
          <w:rFonts w:hint="eastAsia" w:ascii="宋体" w:hAnsi="宋体" w:cs="宋体"/>
          <w:sz w:val="20"/>
        </w:rPr>
        <w:t>双方商定，乙方承包甲方的【】，具体工作范围如下：【】</w:t>
      </w:r>
    </w:p>
    <w:p>
      <w:pPr>
        <w:spacing w:line="520" w:lineRule="exact"/>
        <w:ind w:firstLine="426" w:firstLineChars="209"/>
        <w:rPr>
          <w:rFonts w:hint="eastAsia" w:ascii="宋体" w:hAnsi="宋体" w:cs="宋体"/>
          <w:sz w:val="20"/>
        </w:rPr>
      </w:pPr>
      <w:r>
        <w:rPr>
          <w:rFonts w:hint="eastAsia" w:ascii="宋体" w:hAnsi="宋体" w:cs="宋体"/>
          <w:sz w:val="20"/>
        </w:rPr>
        <w:t>乙方承诺自己具有上述业务的承包资质，否则承担由此引起的一切法律后果。</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第三条：外包形式</w:t>
      </w:r>
    </w:p>
    <w:p>
      <w:pPr>
        <w:spacing w:line="520" w:lineRule="exact"/>
        <w:ind w:firstLine="426" w:firstLineChars="209"/>
        <w:rPr>
          <w:rFonts w:hint="eastAsia" w:ascii="宋体" w:hAnsi="宋体" w:cs="宋体"/>
          <w:sz w:val="20"/>
        </w:rPr>
      </w:pPr>
      <w:r>
        <w:rPr>
          <w:rFonts w:hint="eastAsia" w:ascii="宋体" w:hAnsi="宋体" w:cs="宋体"/>
          <w:sz w:val="20"/>
        </w:rPr>
        <w:t>1、人员</w:t>
      </w:r>
    </w:p>
    <w:p>
      <w:pPr>
        <w:spacing w:line="520" w:lineRule="exact"/>
        <w:ind w:firstLine="426" w:firstLineChars="209"/>
        <w:rPr>
          <w:rFonts w:hint="eastAsia" w:ascii="宋体" w:hAnsi="宋体" w:cs="宋体"/>
          <w:sz w:val="20"/>
        </w:rPr>
      </w:pPr>
      <w:r>
        <w:rPr>
          <w:rFonts w:hint="eastAsia" w:ascii="宋体" w:hAnsi="宋体" w:cs="宋体"/>
          <w:sz w:val="20"/>
        </w:rPr>
        <w:t>1.1甲方将上述业务外包给乙方后，乙方自行组织业务开展，乙方确保已与其派出至甲方的人员签署正式劳动合同,该等人员的资质、技能等素质应满足外包业务的工作要求，乙方负责对所用人员的管理(包括签署劳动合同,支付报酬,交纳保险等)。</w:t>
      </w:r>
    </w:p>
    <w:p>
      <w:pPr>
        <w:spacing w:line="520" w:lineRule="exact"/>
        <w:ind w:firstLine="426" w:firstLineChars="209"/>
        <w:rPr>
          <w:rFonts w:hint="eastAsia" w:ascii="宋体" w:hAnsi="宋体" w:cs="宋体"/>
          <w:sz w:val="20"/>
        </w:rPr>
      </w:pPr>
      <w:r>
        <w:rPr>
          <w:rFonts w:hint="eastAsia" w:ascii="宋体" w:hAnsi="宋体" w:cs="宋体"/>
          <w:sz w:val="20"/>
        </w:rPr>
        <w:t>1.2甲方指定固定的工作人员作为甲方与乙方的接口及协调人员，负责协调甲方与乙方的相关事宜。</w:t>
      </w:r>
    </w:p>
    <w:p>
      <w:pPr>
        <w:spacing w:line="520" w:lineRule="exact"/>
        <w:ind w:firstLine="426" w:firstLineChars="209"/>
        <w:rPr>
          <w:rFonts w:hint="eastAsia" w:ascii="宋体" w:hAnsi="宋体" w:cs="宋体"/>
          <w:sz w:val="20"/>
        </w:rPr>
      </w:pPr>
      <w:r>
        <w:rPr>
          <w:rFonts w:hint="eastAsia" w:ascii="宋体" w:hAnsi="宋体" w:cs="宋体"/>
          <w:sz w:val="20"/>
        </w:rPr>
        <w:t>1.3乙方指定专人【】负责乙方日常管理（安全、物流、质量、设备以及基础管理等），负责与甲方接口、协调相关事宜。</w:t>
      </w:r>
    </w:p>
    <w:p>
      <w:pPr>
        <w:spacing w:line="520" w:lineRule="exact"/>
        <w:ind w:firstLine="426" w:firstLineChars="209"/>
        <w:rPr>
          <w:rFonts w:hint="eastAsia" w:ascii="宋体" w:hAnsi="宋体" w:cs="宋体"/>
          <w:sz w:val="20"/>
        </w:rPr>
      </w:pPr>
      <w:r>
        <w:rPr>
          <w:rFonts w:hint="eastAsia" w:ascii="宋体" w:hAnsi="宋体" w:cs="宋体"/>
          <w:sz w:val="20"/>
        </w:rPr>
        <w:t>2、生产作业计划：</w:t>
      </w:r>
    </w:p>
    <w:p>
      <w:pPr>
        <w:spacing w:line="520" w:lineRule="exact"/>
        <w:ind w:firstLine="426" w:firstLineChars="209"/>
        <w:rPr>
          <w:rFonts w:hint="eastAsia" w:ascii="宋体" w:hAnsi="宋体" w:cs="宋体"/>
          <w:sz w:val="20"/>
        </w:rPr>
      </w:pPr>
      <w:r>
        <w:rPr>
          <w:rFonts w:hint="eastAsia" w:ascii="宋体" w:hAnsi="宋体" w:cs="宋体"/>
          <w:sz w:val="20"/>
        </w:rPr>
        <w:t>2.1编制：甲方负责生产计划的编制,制定生产作业计划。</w:t>
      </w:r>
    </w:p>
    <w:p>
      <w:pPr>
        <w:spacing w:line="520" w:lineRule="exact"/>
        <w:ind w:firstLine="426" w:firstLineChars="209"/>
        <w:rPr>
          <w:rFonts w:hint="eastAsia" w:ascii="宋体" w:hAnsi="宋体" w:cs="宋体"/>
          <w:sz w:val="20"/>
        </w:rPr>
      </w:pPr>
      <w:r>
        <w:rPr>
          <w:rFonts w:hint="eastAsia" w:ascii="宋体" w:hAnsi="宋体" w:cs="宋体"/>
          <w:sz w:val="20"/>
        </w:rPr>
        <w:t>2.2下达：甲方将生产作业计划提前一天传递给乙方，乙方根据甲方的生产作业计划组织业务开展。</w:t>
      </w:r>
    </w:p>
    <w:p>
      <w:pPr>
        <w:spacing w:line="520" w:lineRule="exact"/>
        <w:ind w:firstLine="426" w:firstLineChars="209"/>
        <w:rPr>
          <w:rFonts w:hint="eastAsia" w:ascii="宋体" w:hAnsi="宋体" w:cs="宋体"/>
          <w:sz w:val="20"/>
        </w:rPr>
      </w:pPr>
      <w:r>
        <w:rPr>
          <w:rFonts w:hint="eastAsia" w:ascii="宋体" w:hAnsi="宋体" w:cs="宋体"/>
          <w:sz w:val="20"/>
        </w:rPr>
        <w:t>2.3调整：紧急情况下，甲方因特殊原因，需要紧急调整生产作业计划时，须及时通知乙方，并提供相关支持，乙方必须全力配合以便保证生产供应；乙方因特殊原因，需要调整生产计划时，必须经甲方书面同意后方可实施，以便保证生产供应。</w:t>
      </w:r>
    </w:p>
    <w:p>
      <w:pPr>
        <w:spacing w:line="520" w:lineRule="exact"/>
        <w:ind w:firstLine="426" w:firstLineChars="209"/>
        <w:rPr>
          <w:rFonts w:hint="eastAsia" w:ascii="宋体" w:hAnsi="宋体" w:cs="宋体"/>
          <w:sz w:val="20"/>
        </w:rPr>
      </w:pPr>
      <w:r>
        <w:rPr>
          <w:rFonts w:hint="eastAsia" w:ascii="宋体" w:hAnsi="宋体" w:cs="宋体"/>
          <w:sz w:val="20"/>
        </w:rPr>
        <w:t>3、物资管理：</w:t>
      </w:r>
    </w:p>
    <w:p>
      <w:pPr>
        <w:spacing w:line="520" w:lineRule="exact"/>
        <w:ind w:firstLine="426" w:firstLineChars="209"/>
        <w:rPr>
          <w:rFonts w:hint="eastAsia" w:ascii="宋体" w:hAnsi="宋体" w:cs="宋体"/>
          <w:sz w:val="20"/>
        </w:rPr>
      </w:pPr>
      <w:r>
        <w:rPr>
          <w:rFonts w:hint="eastAsia" w:ascii="宋体" w:hAnsi="宋体" w:cs="宋体"/>
          <w:sz w:val="20"/>
        </w:rPr>
        <w:t>3.1记录：乙方建立甲方仓储物资的台账，指定固定人员管理，并保管好相关单据。保证现场实物、台账、单据与物资管理系统信息一致。</w:t>
      </w:r>
    </w:p>
    <w:p>
      <w:pPr>
        <w:spacing w:line="520" w:lineRule="exact"/>
        <w:ind w:firstLine="426" w:firstLineChars="209"/>
        <w:rPr>
          <w:rFonts w:hint="eastAsia" w:ascii="宋体" w:hAnsi="宋体" w:cs="宋体"/>
          <w:sz w:val="20"/>
        </w:rPr>
      </w:pPr>
      <w:r>
        <w:rPr>
          <w:rFonts w:hint="eastAsia" w:ascii="宋体" w:hAnsi="宋体" w:cs="宋体"/>
          <w:sz w:val="20"/>
        </w:rPr>
        <w:t>3.2盘点：乙方应按照甲方要求进行盘点，并形成相关记录，盘点范围包含乙方现场管理区域内所有产品。乙方对盘点结果数据准确性负全部责任。</w:t>
      </w:r>
    </w:p>
    <w:p>
      <w:pPr>
        <w:spacing w:line="520" w:lineRule="exact"/>
        <w:ind w:firstLine="426" w:firstLineChars="209"/>
        <w:rPr>
          <w:rFonts w:hint="eastAsia" w:ascii="宋体" w:hAnsi="宋体" w:cs="宋体"/>
          <w:sz w:val="20"/>
        </w:rPr>
      </w:pPr>
      <w:r>
        <w:rPr>
          <w:rFonts w:hint="eastAsia" w:ascii="宋体" w:hAnsi="宋体" w:cs="宋体"/>
          <w:sz w:val="20"/>
        </w:rPr>
        <w:t>3.3甲方有权对乙方的记录、盘点工作进行监督、核对，并有权对乙方的工作失误予以考核。</w:t>
      </w:r>
    </w:p>
    <w:p>
      <w:pPr>
        <w:spacing w:line="520" w:lineRule="exact"/>
        <w:ind w:firstLine="426" w:firstLineChars="209"/>
        <w:rPr>
          <w:rFonts w:hint="eastAsia" w:ascii="宋体" w:hAnsi="宋体" w:cs="宋体"/>
          <w:sz w:val="20"/>
        </w:rPr>
      </w:pPr>
      <w:r>
        <w:rPr>
          <w:rFonts w:hint="eastAsia" w:ascii="宋体" w:hAnsi="宋体" w:cs="宋体"/>
          <w:sz w:val="20"/>
        </w:rPr>
        <w:t>4、生产管理：</w:t>
      </w:r>
    </w:p>
    <w:p>
      <w:pPr>
        <w:spacing w:line="520" w:lineRule="exact"/>
        <w:ind w:firstLine="426" w:firstLineChars="209"/>
        <w:rPr>
          <w:rFonts w:hint="eastAsia" w:ascii="宋体" w:hAnsi="宋体" w:cs="宋体"/>
          <w:sz w:val="20"/>
        </w:rPr>
      </w:pPr>
      <w:r>
        <w:rPr>
          <w:rFonts w:hint="eastAsia" w:ascii="宋体" w:hAnsi="宋体" w:cs="宋体"/>
          <w:sz w:val="20"/>
        </w:rPr>
        <w:t>4.1设备操作：乙方设备操作人员必须经过专门培训，并经甲方考评合格后，持证上岗；无证人员不得操作设备。乙方设备操作人员的培训由乙方负责。</w:t>
      </w:r>
    </w:p>
    <w:p>
      <w:pPr>
        <w:spacing w:line="520" w:lineRule="exact"/>
        <w:ind w:firstLine="426" w:firstLineChars="209"/>
        <w:rPr>
          <w:rFonts w:hint="eastAsia" w:ascii="宋体" w:hAnsi="宋体" w:cs="宋体"/>
          <w:sz w:val="20"/>
        </w:rPr>
      </w:pPr>
      <w:r>
        <w:rPr>
          <w:rFonts w:hint="eastAsia" w:ascii="宋体" w:hAnsi="宋体" w:cs="宋体"/>
          <w:sz w:val="20"/>
        </w:rPr>
        <w:t>4.2产品摆放：乙方同意按要求执行甲方工艺文件，使用规定的工位器具，并按规定的数量和方式摆放整齐，不准出现超高、杂乱、混放等现象；乙方必须保证产品标示规范，且标示卡与实物数量一致。</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4.3因乙方人员的设备操作及产品摆放不符合上述约定，导致产生安全生产事故，由乙方自行承担所有损失，如因此给甲方或第三方造成任何损失，乙方承担全部赔偿责任</w:t>
      </w:r>
      <w:r>
        <w:rPr>
          <w:rFonts w:hint="eastAsia" w:ascii="宋体" w:hAnsi="宋体" w:cs="宋体"/>
          <w:sz w:val="20"/>
          <w:lang w:eastAsia="zh-CN"/>
        </w:rPr>
        <w:t>。</w:t>
      </w:r>
    </w:p>
    <w:p>
      <w:pPr>
        <w:spacing w:line="520" w:lineRule="exact"/>
        <w:ind w:firstLine="426" w:firstLineChars="209"/>
        <w:rPr>
          <w:rFonts w:hint="eastAsia" w:ascii="宋体" w:hAnsi="宋体" w:cs="宋体"/>
          <w:sz w:val="20"/>
        </w:rPr>
      </w:pPr>
      <w:r>
        <w:rPr>
          <w:rFonts w:hint="eastAsia" w:ascii="宋体" w:hAnsi="宋体" w:cs="宋体"/>
          <w:sz w:val="20"/>
        </w:rPr>
        <w:t>5、质量控制</w:t>
      </w:r>
    </w:p>
    <w:p>
      <w:pPr>
        <w:spacing w:line="520" w:lineRule="exact"/>
        <w:ind w:firstLine="426" w:firstLineChars="209"/>
        <w:rPr>
          <w:rFonts w:hint="eastAsia" w:ascii="宋体" w:hAnsi="宋体" w:cs="宋体"/>
          <w:sz w:val="20"/>
        </w:rPr>
      </w:pPr>
      <w:r>
        <w:rPr>
          <w:rFonts w:hint="eastAsia" w:ascii="宋体" w:hAnsi="宋体" w:cs="宋体"/>
          <w:sz w:val="20"/>
        </w:rPr>
        <w:t>5.1乙方要提供质量管理体系认证证明，并提供相一致实施记录。</w:t>
      </w:r>
    </w:p>
    <w:p>
      <w:pPr>
        <w:spacing w:line="520" w:lineRule="exact"/>
        <w:ind w:firstLine="426" w:firstLineChars="209"/>
        <w:rPr>
          <w:rFonts w:hint="eastAsia" w:ascii="宋体" w:hAnsi="宋体" w:cs="宋体"/>
          <w:sz w:val="20"/>
        </w:rPr>
      </w:pPr>
      <w:r>
        <w:rPr>
          <w:rFonts w:hint="eastAsia" w:ascii="宋体" w:hAnsi="宋体" w:cs="宋体"/>
          <w:sz w:val="20"/>
        </w:rPr>
        <w:t>5.2乙方要提供经甲方书面认可的承包生产过程的质量控制计划，计划要包含：操作岗位要求，操作者的工作技能、工作经历、受教育情况、上岗培训；相关生产设备、工装器具的维护保养；承包方要制定与生产过程相关的检测标准及作业指导书，并贯彻实施；承包方要确保生产、仓储、转序的环境满足产品质量的要求。</w:t>
      </w:r>
    </w:p>
    <w:p>
      <w:pPr>
        <w:spacing w:line="520" w:lineRule="exact"/>
        <w:ind w:firstLine="426" w:firstLineChars="209"/>
        <w:rPr>
          <w:rFonts w:hint="eastAsia" w:ascii="宋体" w:hAnsi="宋体" w:cs="宋体"/>
          <w:sz w:val="20"/>
        </w:rPr>
      </w:pPr>
      <w:r>
        <w:rPr>
          <w:rFonts w:hint="eastAsia" w:ascii="宋体" w:hAnsi="宋体" w:cs="宋体"/>
          <w:sz w:val="20"/>
        </w:rPr>
        <w:t>5.3乙方确保交付的产品经甲方检验人员的检验认可，符合甲方的质量标准要求。</w:t>
      </w:r>
    </w:p>
    <w:p>
      <w:pPr>
        <w:spacing w:line="520" w:lineRule="exact"/>
        <w:ind w:firstLine="426" w:firstLineChars="209"/>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5.4对于乙方所承揽的工序外包产品，若因乙方原因导致的甲方零公里、售后过程出现的少漆、漆薄等质量问题，产生的质量损失和考核由乙方全部承担。</w:t>
      </w:r>
    </w:p>
    <w:p>
      <w:pPr>
        <w:spacing w:line="520" w:lineRule="exact"/>
        <w:ind w:firstLine="426" w:firstLineChars="209"/>
        <w:rPr>
          <w:rFonts w:hint="eastAsia" w:ascii="宋体" w:hAnsi="宋体" w:cs="宋体"/>
          <w:sz w:val="20"/>
        </w:rPr>
      </w:pPr>
      <w:r>
        <w:rPr>
          <w:rFonts w:hint="eastAsia" w:ascii="宋体" w:hAnsi="宋体" w:cs="宋体"/>
          <w:sz w:val="20"/>
        </w:rPr>
        <w:t>6、其他约定</w:t>
      </w:r>
    </w:p>
    <w:p>
      <w:pPr>
        <w:spacing w:line="520" w:lineRule="exact"/>
        <w:ind w:firstLine="426" w:firstLineChars="209"/>
        <w:rPr>
          <w:rFonts w:hint="eastAsia" w:ascii="宋体" w:hAnsi="宋体" w:cs="宋体"/>
          <w:sz w:val="20"/>
          <w:highlight w:val="none"/>
        </w:rPr>
      </w:pPr>
      <w:r>
        <w:rPr>
          <w:rFonts w:hint="eastAsia" w:ascii="宋体" w:hAnsi="宋体" w:cs="宋体"/>
          <w:sz w:val="20"/>
          <w:highlight w:val="none"/>
        </w:rPr>
        <w:t>6.1业务开展使用的辅料由</w:t>
      </w:r>
      <w:r>
        <w:rPr>
          <w:rFonts w:hint="eastAsia" w:ascii="宋体" w:hAnsi="宋体" w:cs="宋体"/>
          <w:sz w:val="20"/>
          <w:highlight w:val="none"/>
          <w:lang w:val="en-US" w:eastAsia="zh-CN"/>
        </w:rPr>
        <w:t>甲</w:t>
      </w:r>
      <w:r>
        <w:rPr>
          <w:rFonts w:hint="eastAsia" w:ascii="宋体" w:hAnsi="宋体" w:cs="宋体"/>
          <w:sz w:val="20"/>
          <w:highlight w:val="none"/>
        </w:rPr>
        <w:t>方</w:t>
      </w:r>
      <w:r>
        <w:rPr>
          <w:rFonts w:hint="eastAsia" w:ascii="宋体" w:hAnsi="宋体" w:cs="宋体"/>
          <w:sz w:val="20"/>
          <w:highlight w:val="none"/>
          <w:lang w:val="en-US" w:eastAsia="zh-CN"/>
        </w:rPr>
        <w:t>提供</w:t>
      </w:r>
      <w:r>
        <w:rPr>
          <w:rFonts w:hint="eastAsia" w:ascii="宋体" w:hAnsi="宋体" w:cs="宋体"/>
          <w:sz w:val="20"/>
          <w:highlight w:val="none"/>
        </w:rPr>
        <w:t>，</w:t>
      </w:r>
      <w:r>
        <w:rPr>
          <w:rFonts w:hint="eastAsia" w:ascii="宋体" w:hAnsi="宋体" w:cs="宋体"/>
          <w:sz w:val="20"/>
          <w:highlight w:val="none"/>
          <w:lang w:val="en-US" w:eastAsia="zh-CN"/>
        </w:rPr>
        <w:t>乙方按需领用，乙方应在满足相关技术、质量等要求的前提下，节约使用辅料</w:t>
      </w:r>
      <w:r>
        <w:rPr>
          <w:rFonts w:hint="eastAsia" w:ascii="宋体" w:hAnsi="宋体" w:cs="宋体"/>
          <w:sz w:val="20"/>
          <w:highlight w:val="none"/>
        </w:rPr>
        <w:t>。</w:t>
      </w:r>
    </w:p>
    <w:p>
      <w:pPr>
        <w:spacing w:line="520" w:lineRule="exact"/>
        <w:ind w:firstLine="426" w:firstLineChars="209"/>
        <w:rPr>
          <w:rFonts w:hint="eastAsia" w:ascii="宋体" w:hAnsi="宋体" w:cs="宋体"/>
          <w:sz w:val="20"/>
        </w:rPr>
      </w:pPr>
      <w:r>
        <w:rPr>
          <w:rFonts w:hint="eastAsia" w:ascii="宋体" w:hAnsi="宋体" w:cs="宋体"/>
          <w:sz w:val="20"/>
        </w:rPr>
        <w:t>6.2天然气、压缩空气、水、电等能源费用由【】方承担</w:t>
      </w:r>
      <w:r>
        <w:rPr>
          <w:rFonts w:hint="eastAsia" w:ascii="宋体" w:hAnsi="宋体" w:cs="宋体"/>
          <w:sz w:val="20"/>
          <w:lang w:eastAsia="zh-CN"/>
        </w:rPr>
        <w:t>，</w:t>
      </w:r>
      <w:r>
        <w:rPr>
          <w:rFonts w:hint="eastAsia" w:ascii="宋体" w:hAnsi="宋体" w:cs="宋体"/>
          <w:sz w:val="20"/>
        </w:rPr>
        <w:t>如该费用由甲方承担，则年度能源消耗控制在【】元/辆份，年度统算超出部分由甲方从支付给乙方的外包费中扣除。</w:t>
      </w:r>
    </w:p>
    <w:p>
      <w:pPr>
        <w:spacing w:line="520" w:lineRule="exact"/>
        <w:ind w:firstLine="426" w:firstLineChars="209"/>
        <w:rPr>
          <w:rFonts w:hint="default" w:ascii="宋体" w:hAnsi="宋体" w:eastAsia="宋体" w:cs="宋体"/>
          <w:sz w:val="20"/>
          <w:lang w:val="en-US" w:eastAsia="zh-CN"/>
        </w:rPr>
      </w:pPr>
      <w:r>
        <w:rPr>
          <w:rFonts w:hint="eastAsia" w:ascii="宋体" w:hAnsi="宋体" w:cs="宋体"/>
          <w:sz w:val="20"/>
        </w:rPr>
        <w:t>6.3甲方</w:t>
      </w:r>
      <w:r>
        <w:rPr>
          <w:rFonts w:hint="eastAsia" w:ascii="宋体" w:hAnsi="宋体" w:cs="宋体"/>
          <w:sz w:val="20"/>
          <w:lang w:val="en-US" w:eastAsia="zh-CN"/>
        </w:rPr>
        <w:t>提供</w:t>
      </w:r>
      <w:r>
        <w:rPr>
          <w:rFonts w:hint="eastAsia" w:ascii="宋体" w:hAnsi="宋体" w:cs="宋体"/>
          <w:sz w:val="20"/>
        </w:rPr>
        <w:t>给乙方</w:t>
      </w:r>
      <w:r>
        <w:rPr>
          <w:rFonts w:hint="eastAsia" w:ascii="宋体" w:hAnsi="宋体" w:cs="宋体"/>
          <w:sz w:val="20"/>
          <w:lang w:val="en-US" w:eastAsia="zh-CN"/>
        </w:rPr>
        <w:t>使用</w:t>
      </w:r>
      <w:r>
        <w:rPr>
          <w:rFonts w:hint="eastAsia" w:ascii="宋体" w:hAnsi="宋体" w:cs="宋体"/>
          <w:sz w:val="20"/>
        </w:rPr>
        <w:t>的行车、</w:t>
      </w:r>
      <w:r>
        <w:rPr>
          <w:rFonts w:hint="eastAsia" w:ascii="宋体" w:hAnsi="宋体" w:cs="宋体"/>
          <w:sz w:val="20"/>
          <w:lang w:val="en-US" w:eastAsia="zh-CN"/>
        </w:rPr>
        <w:t>叉车、</w:t>
      </w:r>
      <w:r>
        <w:rPr>
          <w:rFonts w:hint="eastAsia" w:ascii="宋体" w:hAnsi="宋体" w:cs="宋体"/>
          <w:sz w:val="20"/>
        </w:rPr>
        <w:t>车辆等设备的维修保养费用由</w:t>
      </w:r>
      <w:r>
        <w:rPr>
          <w:rFonts w:hint="eastAsia" w:ascii="宋体" w:hAnsi="宋体" w:cs="宋体"/>
          <w:sz w:val="20"/>
          <w:lang w:val="en-US" w:eastAsia="zh-CN"/>
        </w:rPr>
        <w:t>甲</w:t>
      </w:r>
      <w:r>
        <w:rPr>
          <w:rFonts w:hint="eastAsia" w:ascii="宋体" w:hAnsi="宋体" w:cs="宋体"/>
          <w:sz w:val="20"/>
        </w:rPr>
        <w:t>方承担</w:t>
      </w:r>
      <w:r>
        <w:rPr>
          <w:rFonts w:hint="eastAsia" w:ascii="宋体" w:hAnsi="宋体" w:cs="宋体"/>
          <w:sz w:val="20"/>
          <w:lang w:eastAsia="zh-CN"/>
        </w:rPr>
        <w:t>，</w:t>
      </w:r>
      <w:r>
        <w:rPr>
          <w:rFonts w:hint="eastAsia" w:ascii="宋体" w:hAnsi="宋体" w:cs="宋体"/>
          <w:sz w:val="20"/>
          <w:lang w:val="en-US" w:eastAsia="zh-CN"/>
        </w:rPr>
        <w:t>乙方负责日常维护保养工作，</w:t>
      </w:r>
      <w:r>
        <w:rPr>
          <w:rFonts w:hint="eastAsia" w:ascii="宋体" w:hAnsi="宋体" w:eastAsia="宋体" w:cs="宋体"/>
          <w:sz w:val="20"/>
          <w:lang w:val="en-US" w:eastAsia="zh-CN"/>
        </w:rPr>
        <w:t>若因乙方操作不当或未规定维保导致设备损害由乙方承担全部责任。</w:t>
      </w:r>
    </w:p>
    <w:p>
      <w:pPr>
        <w:spacing w:line="520" w:lineRule="exact"/>
        <w:ind w:firstLine="426" w:firstLineChars="209"/>
        <w:rPr>
          <w:rFonts w:hint="default" w:ascii="宋体" w:hAnsi="宋体" w:eastAsia="宋体" w:cs="宋体"/>
          <w:sz w:val="20"/>
          <w:vertAlign w:val="baseline"/>
          <w:lang w:val="en-US" w:eastAsia="zh-CN"/>
        </w:rPr>
      </w:pPr>
      <w:r>
        <w:rPr>
          <w:rFonts w:hint="eastAsia" w:ascii="宋体" w:hAnsi="宋体" w:eastAsia="宋体" w:cs="宋体"/>
          <w:sz w:val="20"/>
          <w:lang w:val="en-US" w:eastAsia="zh-CN"/>
        </w:rPr>
        <w:t>附设备明细：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4841"/>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4841"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资产编号</w:t>
            </w:r>
          </w:p>
        </w:tc>
        <w:tc>
          <w:tcPr>
            <w:tcW w:w="3285"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固定资产名称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3222-QY-212-00019</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3222-QY-212-00020</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3222-QY-299-00008</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3222-ZY-759-00006</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轴套环缝自动焊接机床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3222-DQ-759-00009</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CO2电焊机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3222-DQ-759-00008</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CO2电焊机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3222-DQ-759-00006</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CO2电焊机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3222-DQ-759-00004</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CO2电焊机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3222-DL-951-00009</w:t>
            </w: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静电除油净化器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48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宋体" w:cs="宋体"/>
                <w:sz w:val="20"/>
                <w:szCs w:val="20"/>
                <w:vertAlign w:val="baseline"/>
                <w:lang w:val="en-US" w:eastAsia="zh-CN"/>
              </w:rPr>
            </w:pPr>
          </w:p>
        </w:tc>
        <w:tc>
          <w:tcPr>
            <w:tcW w:w="328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5台压装机</w:t>
            </w:r>
          </w:p>
        </w:tc>
      </w:tr>
    </w:tbl>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sz w:val="20"/>
        </w:rPr>
      </w:pPr>
      <w:r>
        <w:rPr>
          <w:rFonts w:hint="eastAsia" w:ascii="宋体" w:hAnsi="宋体" w:cs="宋体"/>
          <w:sz w:val="20"/>
        </w:rPr>
        <w:t>6.</w:t>
      </w:r>
      <w:r>
        <w:rPr>
          <w:rFonts w:hint="eastAsia" w:ascii="宋体" w:hAnsi="宋体" w:cs="宋体"/>
          <w:sz w:val="20"/>
          <w:lang w:val="en-US" w:eastAsia="zh-CN"/>
        </w:rPr>
        <w:t>4</w:t>
      </w:r>
      <w:r>
        <w:rPr>
          <w:rFonts w:hint="eastAsia" w:ascii="宋体" w:hAnsi="宋体" w:cs="宋体"/>
          <w:sz w:val="20"/>
        </w:rPr>
        <w:t>乙方员工的乘用车由乙方自行解决。</w:t>
      </w:r>
    </w:p>
    <w:p>
      <w:pPr>
        <w:spacing w:line="520" w:lineRule="exact"/>
        <w:ind w:firstLine="426" w:firstLineChars="209"/>
        <w:rPr>
          <w:rFonts w:hint="eastAsia" w:ascii="宋体" w:hAnsi="宋体" w:cs="宋体"/>
          <w:sz w:val="20"/>
        </w:rPr>
      </w:pPr>
      <w:r>
        <w:rPr>
          <w:rFonts w:hint="eastAsia" w:ascii="宋体" w:hAnsi="宋体" w:cs="宋体"/>
          <w:sz w:val="20"/>
        </w:rPr>
        <w:t>6.</w:t>
      </w:r>
      <w:r>
        <w:rPr>
          <w:rFonts w:hint="eastAsia" w:ascii="宋体" w:hAnsi="宋体" w:cs="宋体"/>
          <w:sz w:val="20"/>
          <w:lang w:val="en-US" w:eastAsia="zh-CN"/>
        </w:rPr>
        <w:t>5</w:t>
      </w:r>
      <w:r>
        <w:rPr>
          <w:rFonts w:hint="eastAsia" w:ascii="宋体" w:hAnsi="宋体" w:cs="宋体"/>
          <w:sz w:val="20"/>
        </w:rPr>
        <w:t>乙方员工使用的工作服、手套、劳保鞋、防毒口罩等劳保用品由</w:t>
      </w:r>
      <w:bookmarkStart w:id="4" w:name="OLE_LINK3"/>
      <w:bookmarkStart w:id="5" w:name="OLE_LINK4"/>
      <w:r>
        <w:rPr>
          <w:rFonts w:hint="eastAsia" w:ascii="宋体" w:hAnsi="宋体" w:cs="宋体"/>
          <w:sz w:val="20"/>
        </w:rPr>
        <w:t>乙方</w:t>
      </w:r>
      <w:bookmarkEnd w:id="4"/>
      <w:bookmarkEnd w:id="5"/>
      <w:r>
        <w:rPr>
          <w:rFonts w:hint="eastAsia" w:ascii="宋体" w:hAnsi="宋体" w:cs="宋体"/>
          <w:sz w:val="20"/>
        </w:rPr>
        <w:t>自行解决，乙方应确保相关劳保用品的合格性和适用性。</w:t>
      </w:r>
    </w:p>
    <w:p>
      <w:pPr>
        <w:spacing w:line="520" w:lineRule="exact"/>
        <w:ind w:firstLine="426" w:firstLineChars="209"/>
        <w:rPr>
          <w:rFonts w:hint="eastAsia" w:ascii="宋体" w:hAnsi="宋体" w:cs="宋体"/>
          <w:b/>
          <w:sz w:val="20"/>
        </w:rPr>
      </w:pPr>
      <w:r>
        <w:rPr>
          <w:rFonts w:hint="eastAsia" w:ascii="宋体" w:hAnsi="宋体" w:cs="宋体"/>
          <w:sz w:val="20"/>
        </w:rPr>
        <w:t>6.</w:t>
      </w:r>
      <w:r>
        <w:rPr>
          <w:rFonts w:hint="eastAsia" w:ascii="宋体" w:hAnsi="宋体" w:cs="宋体"/>
          <w:sz w:val="20"/>
          <w:lang w:val="en-US" w:eastAsia="zh-CN"/>
        </w:rPr>
        <w:t>6</w:t>
      </w:r>
      <w:r>
        <w:rPr>
          <w:rFonts w:hint="eastAsia" w:ascii="宋体" w:hAnsi="宋体" w:cs="宋体"/>
          <w:sz w:val="20"/>
        </w:rPr>
        <w:t>电话、电脑、打印机等办公设备由乙方自行购买，确保满足甲方的生产需求。</w:t>
      </w:r>
    </w:p>
    <w:p>
      <w:pPr>
        <w:spacing w:line="520" w:lineRule="exact"/>
        <w:ind w:firstLine="426" w:firstLineChars="209"/>
        <w:rPr>
          <w:rFonts w:hint="eastAsia" w:ascii="宋体" w:hAnsi="宋体" w:cs="宋体"/>
          <w:sz w:val="20"/>
        </w:rPr>
      </w:pPr>
      <w:r>
        <w:rPr>
          <w:rFonts w:hint="eastAsia" w:ascii="宋体" w:hAnsi="宋体" w:cs="宋体"/>
          <w:b/>
          <w:sz w:val="20"/>
        </w:rPr>
        <w:t>第四条：费用结算</w:t>
      </w:r>
    </w:p>
    <w:p>
      <w:pPr>
        <w:numPr>
          <w:ilvl w:val="0"/>
          <w:numId w:val="4"/>
        </w:numPr>
        <w:spacing w:line="520" w:lineRule="exact"/>
        <w:ind w:firstLine="426" w:firstLineChars="209"/>
        <w:rPr>
          <w:rFonts w:hint="eastAsia" w:ascii="宋体" w:hAnsi="宋体" w:cs="宋体"/>
          <w:sz w:val="20"/>
          <w:lang w:val="en-US" w:eastAsia="zh-CN"/>
        </w:rPr>
      </w:pPr>
      <w:r>
        <w:rPr>
          <w:rFonts w:hint="eastAsia" w:ascii="宋体" w:hAnsi="宋体" w:cs="宋体"/>
          <w:sz w:val="20"/>
          <w:lang w:val="en-US" w:eastAsia="zh-CN"/>
        </w:rPr>
        <w:t>本合同价款为单价合同，根据实际发生业务据实结算</w:t>
      </w:r>
      <w:r>
        <w:rPr>
          <w:rFonts w:hint="eastAsia" w:ascii="宋体" w:hAnsi="宋体" w:cs="宋体"/>
          <w:sz w:val="20"/>
        </w:rPr>
        <w:t>，</w:t>
      </w:r>
      <w:r>
        <w:rPr>
          <w:rFonts w:hint="eastAsia" w:ascii="宋体" w:hAnsi="宋体" w:cs="宋体"/>
          <w:sz w:val="20"/>
          <w:lang w:val="en-US" w:eastAsia="zh-CN"/>
        </w:rPr>
        <w:t>结算价格为不含税价格，税率13%。</w:t>
      </w:r>
      <w:r>
        <w:rPr>
          <w:rFonts w:hint="eastAsia" w:ascii="宋体" w:hAnsi="宋体" w:cs="宋体"/>
          <w:sz w:val="20"/>
        </w:rPr>
        <w:t>如国家出台新政策对增值税率进行了调整，则不含税价款不变，本合同含税总价在不含税价基础上根据国家最新税法进行相应的调整。</w:t>
      </w:r>
      <w:r>
        <w:rPr>
          <w:rFonts w:hint="eastAsia" w:ascii="宋体" w:hAnsi="宋体" w:cs="宋体"/>
          <w:sz w:val="20"/>
          <w:lang w:val="en-US" w:eastAsia="zh-CN"/>
        </w:rPr>
        <w:t>因发票违规给付款方造成的增值税、所得税等损失，由开票方承担相关责任，包括但不限于税款、滞纳金、罚款及其他相关损失。</w:t>
      </w:r>
    </w:p>
    <w:p>
      <w:pPr>
        <w:numPr>
          <w:ilvl w:val="0"/>
          <w:numId w:val="0"/>
        </w:numPr>
        <w:spacing w:line="520" w:lineRule="exact"/>
        <w:rPr>
          <w:rFonts w:hint="default" w:ascii="宋体" w:hAnsi="宋体" w:cs="宋体"/>
          <w:sz w:val="20"/>
          <w:lang w:val="en-US" w:eastAsia="zh-CN"/>
        </w:rPr>
      </w:pPr>
      <w:r>
        <w:rPr>
          <w:rFonts w:hint="eastAsia" w:ascii="宋体" w:hAnsi="宋体" w:cs="宋体"/>
          <w:sz w:val="20"/>
          <w:lang w:val="en-US" w:eastAsia="zh-CN"/>
        </w:rPr>
        <w:t xml:space="preserve">    本合同价款指甲方支付给乙方提供加工、服务的款项，除此之外，甲方不承担任何费用。因本合同的履行，甲方承担了本合同价款以外的任何款项、费用等，甲方均有权从乙方保证金、对乙方应付款项中予以扣除。</w:t>
      </w:r>
    </w:p>
    <w:p>
      <w:pPr>
        <w:spacing w:line="520" w:lineRule="exact"/>
        <w:ind w:firstLine="426" w:firstLineChars="209"/>
        <w:rPr>
          <w:rFonts w:hint="eastAsia" w:ascii="宋体" w:hAnsi="宋体" w:cs="宋体"/>
          <w:sz w:val="20"/>
        </w:rPr>
      </w:pPr>
      <w:r>
        <w:rPr>
          <w:rFonts w:hint="eastAsia" w:ascii="宋体" w:hAnsi="宋体" w:cs="宋体"/>
          <w:sz w:val="20"/>
          <w:lang w:val="en-US" w:eastAsia="zh-CN"/>
        </w:rPr>
        <w:t>2、</w:t>
      </w:r>
      <w:r>
        <w:rPr>
          <w:rFonts w:hint="eastAsia" w:ascii="宋体" w:hAnsi="宋体" w:eastAsia="宋体" w:cs="宋体"/>
          <w:sz w:val="20"/>
          <w:lang w:val="en-US" w:eastAsia="zh-CN"/>
        </w:rPr>
        <w:t>支付方式：半年期商业汇票，结算期限为乙方开具增值税专用发票并交于甲方，甲方在收到乙方开具的发票，经甲方核实确认挂账后，甲方于30日后付款。</w:t>
      </w:r>
    </w:p>
    <w:p>
      <w:pPr>
        <w:spacing w:line="520" w:lineRule="exact"/>
        <w:ind w:firstLine="426" w:firstLineChars="209"/>
        <w:rPr>
          <w:rFonts w:hint="eastAsia" w:ascii="宋体" w:hAnsi="宋体" w:cs="宋体"/>
          <w:sz w:val="20"/>
          <w:lang w:val="en-US" w:eastAsia="zh-CN"/>
        </w:rPr>
      </w:pPr>
      <w:r>
        <w:rPr>
          <w:rFonts w:hint="eastAsia" w:ascii="宋体" w:hAnsi="宋体" w:cs="宋体"/>
          <w:sz w:val="20"/>
          <w:lang w:val="en-US" w:eastAsia="zh-CN"/>
        </w:rPr>
        <w:t>3、履约保证金为</w:t>
      </w:r>
      <w:r>
        <w:rPr>
          <w:rFonts w:hint="eastAsia" w:ascii="宋体" w:hAnsi="宋体" w:cs="宋体"/>
          <w:sz w:val="20"/>
          <w:u w:val="single"/>
          <w:lang w:val="en-US" w:eastAsia="zh-CN"/>
        </w:rPr>
        <w:t xml:space="preserve">  </w:t>
      </w:r>
      <w:r>
        <w:rPr>
          <w:rFonts w:hint="eastAsia" w:ascii="宋体" w:hAnsi="宋体" w:cs="宋体"/>
          <w:sz w:val="20"/>
          <w:lang w:val="en-US" w:eastAsia="zh-CN"/>
        </w:rPr>
        <w:t>万元，保证金自应付账款中扣除预留，合同到期30天后由甲方无息退款至乙方。</w:t>
      </w:r>
    </w:p>
    <w:p>
      <w:pPr>
        <w:spacing w:line="520" w:lineRule="exact"/>
        <w:ind w:firstLine="426" w:firstLineChars="209"/>
        <w:rPr>
          <w:rFonts w:hint="default" w:ascii="宋体" w:hAnsi="宋体" w:cs="宋体"/>
          <w:sz w:val="20"/>
          <w:lang w:val="en-US" w:eastAsia="zh-CN"/>
        </w:rPr>
      </w:pPr>
      <w:r>
        <w:rPr>
          <w:rFonts w:hint="eastAsia" w:ascii="宋体" w:hAnsi="宋体" w:cs="宋体"/>
          <w:sz w:val="20"/>
          <w:lang w:val="en-US" w:eastAsia="zh-CN"/>
        </w:rPr>
        <w:t>4、</w:t>
      </w:r>
      <w:r>
        <w:rPr>
          <w:rFonts w:hint="eastAsia" w:ascii="宋体" w:hAnsi="宋体" w:eastAsia="宋体" w:cs="宋体"/>
          <w:sz w:val="20"/>
          <w:lang w:val="en-US" w:eastAsia="zh-CN"/>
        </w:rPr>
        <w:t>甲方年实际产量超过价格谈判时设定的基准产量10%以上时，甲方有权降低乙方的外包价格，双方可另行签订补充协议。</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sz w:val="20"/>
        </w:rPr>
      </w:pPr>
      <w:r>
        <w:rPr>
          <w:rFonts w:hint="eastAsia" w:ascii="宋体" w:hAnsi="宋体" w:cs="宋体"/>
          <w:b/>
          <w:sz w:val="20"/>
        </w:rPr>
        <w:t>第五条：外包区域甲方资产的使用</w:t>
      </w:r>
    </w:p>
    <w:p>
      <w:pPr>
        <w:spacing w:line="520" w:lineRule="exact"/>
        <w:ind w:firstLine="426" w:firstLineChars="209"/>
        <w:rPr>
          <w:rFonts w:hint="eastAsia" w:ascii="宋体" w:hAnsi="宋体" w:cs="宋体"/>
          <w:sz w:val="20"/>
          <w:highlight w:val="none"/>
        </w:rPr>
      </w:pPr>
      <w:r>
        <w:rPr>
          <w:rFonts w:hint="eastAsia" w:ascii="宋体" w:hAnsi="宋体" w:cs="宋体"/>
          <w:sz w:val="20"/>
        </w:rPr>
        <w:t>1</w:t>
      </w:r>
      <w:r>
        <w:rPr>
          <w:rFonts w:hint="eastAsia" w:ascii="宋体" w:hAnsi="宋体" w:cs="宋体"/>
          <w:sz w:val="20"/>
          <w:highlight w:val="none"/>
        </w:rPr>
        <w:t>、乙方负责甲方设备资产的完好性，乙方要确保在甲方规定的时间内对设备进行周期性的保养维护；</w:t>
      </w:r>
      <w:r>
        <w:rPr>
          <w:rFonts w:hint="eastAsia" w:ascii="宋体" w:hAnsi="宋体" w:cs="宋体"/>
          <w:sz w:val="20"/>
          <w:highlight w:val="none"/>
          <w:lang w:val="en-US" w:eastAsia="zh-CN"/>
        </w:rPr>
        <w:t>因乙方原因造成的设备损坏，乙方要负责修复，</w:t>
      </w:r>
      <w:r>
        <w:rPr>
          <w:rFonts w:hint="eastAsia" w:ascii="宋体" w:hAnsi="宋体" w:cs="宋体"/>
          <w:sz w:val="20"/>
          <w:highlight w:val="none"/>
        </w:rPr>
        <w:t>其采购的设备配件必须满足甲方的相关标准要求，并承担其在生产过程中的保养、维护费用</w:t>
      </w:r>
      <w:r>
        <w:rPr>
          <w:rFonts w:hint="eastAsia" w:ascii="宋体" w:hAnsi="宋体" w:cs="宋体"/>
          <w:sz w:val="20"/>
          <w:highlight w:val="none"/>
          <w:lang w:eastAsia="zh-CN"/>
        </w:rPr>
        <w:t>；</w:t>
      </w:r>
      <w:r>
        <w:rPr>
          <w:rFonts w:hint="eastAsia" w:ascii="宋体" w:hAnsi="宋体" w:cs="宋体"/>
          <w:sz w:val="20"/>
          <w:highlight w:val="none"/>
          <w:lang w:val="en-US" w:eastAsia="zh-CN"/>
        </w:rPr>
        <w:t>设备正常磨损、老化造成的设备备件更换维修，由甲方负责，乙方协助维修</w:t>
      </w:r>
      <w:r>
        <w:rPr>
          <w:rFonts w:hint="eastAsia" w:ascii="宋体" w:hAnsi="宋体" w:cs="宋体"/>
          <w:sz w:val="20"/>
          <w:highlight w:val="none"/>
        </w:rPr>
        <w:t>。</w:t>
      </w:r>
    </w:p>
    <w:p>
      <w:pPr>
        <w:spacing w:line="520" w:lineRule="exact"/>
        <w:ind w:firstLine="426" w:firstLineChars="209"/>
        <w:rPr>
          <w:rFonts w:hint="eastAsia" w:ascii="宋体" w:hAnsi="宋体" w:cs="宋体"/>
          <w:sz w:val="20"/>
        </w:rPr>
      </w:pPr>
      <w:r>
        <w:rPr>
          <w:rFonts w:hint="eastAsia" w:ascii="宋体" w:hAnsi="宋体" w:cs="宋体"/>
          <w:sz w:val="20"/>
        </w:rPr>
        <w:t>2、厂房、设备在外包期间的所有权属于甲方。乙方应对外包区域甲方资产合理使用与妥善维护、保管。合同终止时，双方要检查验收，如因保管、使用、维护不善造成外包区域甲方资产损毁、丢失或其他不适当减值时，乙方应按资产原值向甲方支付赔偿金。</w:t>
      </w:r>
    </w:p>
    <w:p>
      <w:pPr>
        <w:spacing w:line="520" w:lineRule="exact"/>
        <w:ind w:firstLine="426" w:firstLineChars="209"/>
        <w:rPr>
          <w:rFonts w:hint="eastAsia" w:ascii="宋体" w:hAnsi="宋体" w:cs="宋体"/>
          <w:sz w:val="20"/>
        </w:rPr>
      </w:pPr>
      <w:r>
        <w:rPr>
          <w:rFonts w:hint="eastAsia" w:ascii="宋体" w:hAnsi="宋体" w:cs="宋体"/>
          <w:sz w:val="20"/>
        </w:rPr>
        <w:t>3、乙方外包使用的甲方的机器设备不得带离原场地，必须就地存放、使用。</w:t>
      </w:r>
    </w:p>
    <w:p>
      <w:pPr>
        <w:spacing w:line="520" w:lineRule="exact"/>
        <w:ind w:firstLine="426" w:firstLineChars="209"/>
        <w:rPr>
          <w:rFonts w:hint="eastAsia" w:ascii="宋体" w:hAnsi="宋体" w:cs="宋体"/>
          <w:sz w:val="20"/>
        </w:rPr>
      </w:pPr>
      <w:r>
        <w:rPr>
          <w:rFonts w:hint="eastAsia" w:ascii="宋体" w:hAnsi="宋体" w:cs="宋体"/>
          <w:sz w:val="20"/>
        </w:rPr>
        <w:t>4、乙方对外包区域内甲方资产负有妥善使用及维护之责任，对各种可能出现的故障和危险应及时消除，以避免一切可能发生的隐患。乙方应爱护甲方资产，因乙方保管不善或使用不当造成甲方资产损坏，乙方应负责维修，费用由乙方承担。</w:t>
      </w:r>
    </w:p>
    <w:p>
      <w:pPr>
        <w:spacing w:line="520" w:lineRule="exact"/>
        <w:ind w:firstLine="426" w:firstLineChars="209"/>
        <w:rPr>
          <w:rFonts w:hint="eastAsia" w:ascii="宋体" w:hAnsi="宋体" w:cs="宋体"/>
          <w:sz w:val="20"/>
          <w:highlight w:val="none"/>
        </w:rPr>
      </w:pPr>
      <w:r>
        <w:rPr>
          <w:rFonts w:hint="eastAsia" w:ascii="宋体" w:hAnsi="宋体" w:cs="宋体"/>
          <w:sz w:val="20"/>
        </w:rPr>
        <w:t>5、</w:t>
      </w:r>
      <w:r>
        <w:rPr>
          <w:rFonts w:hint="eastAsia" w:ascii="宋体" w:hAnsi="宋体" w:cs="宋体"/>
          <w:sz w:val="20"/>
          <w:highlight w:val="none"/>
        </w:rPr>
        <w:t>乙方在承包期间须严格遵守《中华人民共和国消防</w:t>
      </w:r>
      <w:r>
        <w:rPr>
          <w:rFonts w:hint="eastAsia" w:ascii="宋体" w:hAnsi="宋体" w:cs="宋体"/>
          <w:sz w:val="20"/>
          <w:highlight w:val="none"/>
          <w:lang w:val="en-US" w:eastAsia="zh-CN"/>
        </w:rPr>
        <w:t>法</w:t>
      </w:r>
      <w:r>
        <w:rPr>
          <w:rFonts w:hint="eastAsia" w:ascii="宋体" w:hAnsi="宋体" w:cs="宋体"/>
          <w:sz w:val="20"/>
          <w:highlight w:val="none"/>
        </w:rPr>
        <w:t>》以及山东省、济南市的相关法律法规及有关制度，积极配合甲方做好消防工作，否则，由此产生的一切责任及损失由乙方承担。</w:t>
      </w:r>
      <w:r>
        <w:rPr>
          <w:rFonts w:hint="eastAsia" w:ascii="宋体" w:hAnsi="宋体" w:cs="宋体"/>
          <w:sz w:val="20"/>
          <w:highlight w:val="none"/>
          <w:lang w:val="en-US" w:eastAsia="zh-CN"/>
        </w:rPr>
        <w:t>甲</w:t>
      </w:r>
      <w:r>
        <w:rPr>
          <w:rFonts w:hint="eastAsia" w:ascii="宋体" w:hAnsi="宋体" w:cs="宋体"/>
          <w:sz w:val="20"/>
          <w:highlight w:val="none"/>
        </w:rPr>
        <w:t>方应在外包区域内按有关规定配置灭火器，严禁将</w:t>
      </w:r>
      <w:r>
        <w:rPr>
          <w:rFonts w:hint="eastAsia" w:ascii="宋体" w:hAnsi="宋体" w:cs="宋体"/>
          <w:sz w:val="20"/>
          <w:highlight w:val="none"/>
          <w:lang w:val="en-US" w:eastAsia="zh-CN"/>
        </w:rPr>
        <w:t>厂区内</w:t>
      </w:r>
      <w:r>
        <w:rPr>
          <w:rFonts w:hint="eastAsia" w:ascii="宋体" w:hAnsi="宋体" w:cs="宋体"/>
          <w:sz w:val="20"/>
          <w:highlight w:val="none"/>
        </w:rPr>
        <w:t xml:space="preserve">消防设施用作其它用途。 </w:t>
      </w:r>
    </w:p>
    <w:p>
      <w:pPr>
        <w:spacing w:line="520" w:lineRule="exact"/>
        <w:ind w:firstLine="426" w:firstLineChars="209"/>
        <w:rPr>
          <w:rFonts w:hint="eastAsia" w:ascii="宋体" w:hAnsi="宋体" w:cs="宋体"/>
          <w:sz w:val="20"/>
          <w:highlight w:val="none"/>
        </w:rPr>
      </w:pPr>
      <w:r>
        <w:rPr>
          <w:rFonts w:hint="eastAsia" w:ascii="宋体" w:hAnsi="宋体" w:cs="宋体"/>
          <w:sz w:val="20"/>
          <w:highlight w:val="none"/>
        </w:rPr>
        <w:t xml:space="preserve">6、乙方在承包期间在外包区域确因维修等事务需进行一级临时动火作业时（含电焊、风焊等明火作业），须按法律规定并经甲方书面审批。 </w:t>
      </w:r>
    </w:p>
    <w:p>
      <w:pPr>
        <w:spacing w:line="520" w:lineRule="exact"/>
        <w:ind w:firstLine="426" w:firstLineChars="209"/>
        <w:rPr>
          <w:rFonts w:hint="eastAsia" w:ascii="宋体" w:hAnsi="宋体" w:cs="宋体"/>
          <w:sz w:val="20"/>
        </w:rPr>
      </w:pPr>
      <w:r>
        <w:rPr>
          <w:rFonts w:hint="eastAsia" w:ascii="宋体" w:hAnsi="宋体" w:cs="宋体"/>
          <w:sz w:val="20"/>
        </w:rPr>
        <w:t>7、乙方必须按照甲方要求搞好外包区域现场的整理、整顿、清扫、清洁、素养工作，达到5S管理标准。 甲方有权对乙方的现场管理工作做出评价，并给出相应的考核。</w:t>
      </w:r>
    </w:p>
    <w:p>
      <w:pPr>
        <w:spacing w:line="520" w:lineRule="exact"/>
        <w:ind w:firstLine="426" w:firstLineChars="209"/>
        <w:rPr>
          <w:rFonts w:hint="eastAsia" w:ascii="宋体" w:hAnsi="宋体" w:cs="宋体"/>
          <w:sz w:val="20"/>
        </w:rPr>
      </w:pPr>
      <w:r>
        <w:rPr>
          <w:rFonts w:hint="eastAsia" w:ascii="宋体" w:hAnsi="宋体" w:cs="宋体"/>
          <w:sz w:val="20"/>
        </w:rPr>
        <w:t xml:space="preserve">8、乙方如需对外包的甲方厂房进行装修、改建，须事先向甲方提交装修、改建设计方案，并经甲方书面同意后方可进行。改建、装修费用由乙方承担。 </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第六条：甲乙双方权利义务</w:t>
      </w:r>
    </w:p>
    <w:p>
      <w:pPr>
        <w:spacing w:line="520" w:lineRule="exact"/>
        <w:ind w:firstLine="426" w:firstLineChars="209"/>
        <w:rPr>
          <w:rFonts w:hint="eastAsia" w:ascii="宋体" w:hAnsi="宋体" w:cs="宋体"/>
          <w:sz w:val="20"/>
        </w:rPr>
      </w:pPr>
      <w:r>
        <w:rPr>
          <w:rFonts w:hint="eastAsia" w:ascii="宋体" w:hAnsi="宋体" w:cs="宋体"/>
          <w:sz w:val="20"/>
        </w:rPr>
        <w:t>1、乙方自愿承包，保质、保量完成甲方外包的业务，负责承包业务范围的安全生产、环境保护、职业健康等所有管理事务，并接受甲方的监督管理。</w:t>
      </w:r>
    </w:p>
    <w:p>
      <w:pPr>
        <w:spacing w:line="520" w:lineRule="exact"/>
        <w:ind w:firstLine="426" w:firstLineChars="209"/>
        <w:rPr>
          <w:rFonts w:hint="eastAsia" w:ascii="宋体" w:hAnsi="宋体" w:cs="宋体"/>
          <w:sz w:val="20"/>
        </w:rPr>
      </w:pPr>
      <w:r>
        <w:rPr>
          <w:rFonts w:hint="eastAsia" w:ascii="宋体" w:hAnsi="宋体" w:cs="宋体"/>
          <w:sz w:val="20"/>
        </w:rPr>
        <w:t>2、乙方严格按照甲方的生产作业计划组织发交，确保发交的准确性、及时性；确保产品的外观质量达到甲方质量要求，否则，由此产生的一切责任及损失由乙方承担。</w:t>
      </w:r>
    </w:p>
    <w:p>
      <w:pPr>
        <w:spacing w:line="520" w:lineRule="exact"/>
        <w:ind w:firstLine="426" w:firstLineChars="209"/>
        <w:rPr>
          <w:rFonts w:hint="eastAsia" w:ascii="宋体" w:hAnsi="宋体" w:cs="宋体"/>
          <w:sz w:val="20"/>
        </w:rPr>
      </w:pPr>
      <w:r>
        <w:rPr>
          <w:rFonts w:hint="eastAsia" w:ascii="宋体" w:hAnsi="宋体" w:cs="宋体"/>
          <w:sz w:val="20"/>
        </w:rPr>
        <w:t>3、乙方承包业务范围内的员工由乙方自管理，工资待遇由乙方和员工自行商定，但不得低于当地最低工资标准，社保福利全部按国家规定执行。乙方自行发放员工工资，不得无故拖欠员工工资。乙方进入外包范围内的员工必须做好入厂登记及相关知识的培训。乙方不得聘用被甲方辞退或处理的人员。</w:t>
      </w:r>
    </w:p>
    <w:p>
      <w:pPr>
        <w:spacing w:line="520" w:lineRule="exact"/>
        <w:ind w:firstLine="426" w:firstLineChars="209"/>
        <w:rPr>
          <w:rFonts w:hint="eastAsia" w:ascii="宋体" w:hAnsi="宋体" w:cs="宋体"/>
          <w:sz w:val="20"/>
        </w:rPr>
      </w:pPr>
      <w:r>
        <w:rPr>
          <w:rFonts w:hint="eastAsia" w:ascii="宋体" w:hAnsi="宋体" w:cs="宋体"/>
          <w:sz w:val="20"/>
        </w:rPr>
        <w:t>4、乙方在合同期间内，严格按照安全操作规程作业。乙方人员工伤、环境保护、职业健康等一切事故及劳资纠纷均由乙方自行解决，与甲方无关。乙方人员在其工作期间患病或受到人身伤害，由乙方自行解决（包括承担民事赔偿责任），与甲方无关。</w:t>
      </w:r>
    </w:p>
    <w:p>
      <w:pPr>
        <w:spacing w:line="520" w:lineRule="exact"/>
        <w:ind w:firstLine="426" w:firstLineChars="209"/>
        <w:rPr>
          <w:rFonts w:hint="eastAsia" w:ascii="宋体" w:hAnsi="宋体" w:cs="宋体"/>
          <w:sz w:val="20"/>
        </w:rPr>
      </w:pPr>
      <w:r>
        <w:rPr>
          <w:rFonts w:hint="eastAsia" w:ascii="宋体" w:hAnsi="宋体" w:cs="宋体"/>
          <w:sz w:val="20"/>
        </w:rPr>
        <w:t>乙方有义务采取措施确保安全作业，乙方在生产作业过程中所发生的人身事故、责任与费用均由乙方承担。</w:t>
      </w:r>
    </w:p>
    <w:p>
      <w:pPr>
        <w:spacing w:line="520" w:lineRule="exact"/>
        <w:ind w:firstLine="426" w:firstLineChars="209"/>
        <w:rPr>
          <w:rFonts w:hint="eastAsia" w:ascii="宋体" w:hAnsi="宋体" w:cs="宋体"/>
          <w:sz w:val="20"/>
        </w:rPr>
      </w:pPr>
      <w:r>
        <w:rPr>
          <w:rFonts w:hint="eastAsia" w:ascii="宋体" w:hAnsi="宋体" w:cs="宋体"/>
          <w:sz w:val="20"/>
        </w:rPr>
        <w:t>5、乙方员工在甲方厂区工作期间，需奉公守法，如有违反甲方管理规定或触犯国家法律法规的，乙方应当予以辞退。</w:t>
      </w:r>
    </w:p>
    <w:p>
      <w:pPr>
        <w:spacing w:line="520" w:lineRule="exact"/>
        <w:ind w:firstLine="426" w:firstLineChars="209"/>
        <w:rPr>
          <w:rFonts w:hint="eastAsia" w:ascii="宋体" w:hAnsi="宋体" w:cs="宋体"/>
          <w:sz w:val="20"/>
        </w:rPr>
      </w:pPr>
      <w:r>
        <w:rPr>
          <w:rFonts w:hint="eastAsia" w:ascii="宋体" w:hAnsi="宋体" w:cs="宋体"/>
          <w:sz w:val="20"/>
        </w:rPr>
        <w:t>6、甲方有权对乙方的生产环境、劳动保护等相关管理情况进行监督，甲方发现乙方有违规行为，有权终止合同或给予经济处罚。</w:t>
      </w:r>
    </w:p>
    <w:p>
      <w:pPr>
        <w:spacing w:line="520" w:lineRule="exact"/>
        <w:ind w:firstLine="426" w:firstLineChars="209"/>
        <w:rPr>
          <w:rFonts w:hint="eastAsia" w:ascii="宋体" w:hAnsi="宋体" w:cs="宋体"/>
          <w:sz w:val="20"/>
        </w:rPr>
      </w:pPr>
      <w:r>
        <w:rPr>
          <w:rFonts w:hint="eastAsia" w:ascii="宋体" w:hAnsi="宋体" w:cs="宋体"/>
          <w:sz w:val="20"/>
        </w:rPr>
        <w:t>7、甲方对乙方进行监督检查，如乙方达不到甲方的管理要求，有权责令乙方进行整改，若乙方不及时整改或经两次口头警告通知后仍未达到标准，可以书面通知乙方并视情况扣除乙方当月外包费的0.5％－1％，直至终止合同。</w:t>
      </w:r>
    </w:p>
    <w:p>
      <w:pPr>
        <w:spacing w:line="520" w:lineRule="exact"/>
        <w:ind w:firstLine="426" w:firstLineChars="209"/>
        <w:rPr>
          <w:rFonts w:hint="eastAsia" w:ascii="宋体" w:hAnsi="宋体" w:cs="宋体"/>
          <w:sz w:val="20"/>
        </w:rPr>
      </w:pPr>
      <w:r>
        <w:rPr>
          <w:rFonts w:hint="eastAsia" w:ascii="宋体" w:hAnsi="宋体" w:cs="宋体"/>
          <w:sz w:val="20"/>
        </w:rPr>
        <w:t>8、甲方</w:t>
      </w:r>
      <w:r>
        <w:rPr>
          <w:rFonts w:hint="eastAsia" w:ascii="宋体" w:hAnsi="宋体" w:cs="宋体"/>
          <w:sz w:val="20"/>
          <w:lang w:val="en-US" w:eastAsia="zh-CN"/>
        </w:rPr>
        <w:t>提供</w:t>
      </w:r>
      <w:r>
        <w:rPr>
          <w:rFonts w:hint="eastAsia" w:ascii="宋体" w:hAnsi="宋体" w:cs="宋体"/>
          <w:sz w:val="20"/>
        </w:rPr>
        <w:t>给乙方使用的行车、叉车等特殊设备</w:t>
      </w:r>
      <w:r>
        <w:rPr>
          <w:rFonts w:hint="eastAsia" w:ascii="宋体" w:hAnsi="宋体" w:cs="宋体"/>
          <w:sz w:val="20"/>
          <w:lang w:val="en-US" w:eastAsia="zh-CN"/>
        </w:rPr>
        <w:t>要确保符合年审要求，因乙方维护不当造成年审不通过，所发生的二次年审费用</w:t>
      </w:r>
      <w:r>
        <w:rPr>
          <w:rFonts w:hint="eastAsia" w:ascii="宋体" w:hAnsi="宋体" w:cs="宋体"/>
          <w:sz w:val="20"/>
        </w:rPr>
        <w:t>由</w:t>
      </w:r>
      <w:r>
        <w:rPr>
          <w:rFonts w:hint="eastAsia" w:ascii="宋体" w:hAnsi="宋体" w:cs="宋体"/>
          <w:sz w:val="20"/>
          <w:lang w:val="en-US" w:eastAsia="zh-CN"/>
        </w:rPr>
        <w:t>乙</w:t>
      </w:r>
      <w:r>
        <w:rPr>
          <w:rFonts w:hint="eastAsia" w:ascii="宋体" w:hAnsi="宋体" w:cs="宋体"/>
          <w:sz w:val="20"/>
        </w:rPr>
        <w:t>方承担。</w:t>
      </w:r>
    </w:p>
    <w:p>
      <w:pPr>
        <w:spacing w:line="520" w:lineRule="exact"/>
        <w:ind w:firstLine="426" w:firstLineChars="209"/>
        <w:rPr>
          <w:rFonts w:hint="eastAsia" w:ascii="宋体" w:hAnsi="宋体" w:cs="宋体"/>
          <w:sz w:val="20"/>
        </w:rPr>
      </w:pPr>
      <w:r>
        <w:rPr>
          <w:rFonts w:hint="eastAsia" w:ascii="宋体" w:hAnsi="宋体" w:cs="宋体"/>
          <w:sz w:val="20"/>
        </w:rPr>
        <w:t>9</w:t>
      </w:r>
      <w:r>
        <w:rPr>
          <w:rFonts w:hint="eastAsia" w:ascii="宋体" w:hAnsi="宋体" w:cs="宋体"/>
          <w:sz w:val="20"/>
          <w:lang w:eastAsia="zh-CN"/>
        </w:rPr>
        <w:t>、</w:t>
      </w:r>
      <w:r>
        <w:rPr>
          <w:rFonts w:hint="eastAsia" w:ascii="宋体" w:hAnsi="宋体" w:cs="宋体"/>
          <w:sz w:val="20"/>
        </w:rPr>
        <w:t>乙方确保产生的危险废物规范</w:t>
      </w:r>
      <w:r>
        <w:rPr>
          <w:rFonts w:hint="eastAsia" w:ascii="宋体" w:hAnsi="宋体" w:cs="宋体"/>
          <w:sz w:val="20"/>
          <w:lang w:val="en-US" w:eastAsia="zh-CN"/>
        </w:rPr>
        <w:t>放</w:t>
      </w:r>
      <w:r>
        <w:rPr>
          <w:rFonts w:hint="eastAsia" w:ascii="宋体" w:hAnsi="宋体" w:cs="宋体"/>
          <w:sz w:val="20"/>
        </w:rPr>
        <w:t>置。</w:t>
      </w:r>
    </w:p>
    <w:p>
      <w:pPr>
        <w:spacing w:line="520" w:lineRule="exact"/>
        <w:ind w:firstLine="426" w:firstLineChars="209"/>
        <w:rPr>
          <w:rFonts w:hint="eastAsia" w:ascii="宋体" w:hAnsi="宋体" w:cs="宋体"/>
          <w:sz w:val="20"/>
        </w:rPr>
      </w:pPr>
      <w:r>
        <w:rPr>
          <w:rFonts w:hint="eastAsia" w:ascii="宋体" w:hAnsi="宋体" w:cs="宋体"/>
          <w:sz w:val="20"/>
        </w:rPr>
        <w:t>10、在甲方客户参观、职能部门入厂检查等需要乙方配合的活动时，乙方应无条件配合甲方的安排。</w:t>
      </w:r>
    </w:p>
    <w:p>
      <w:pPr>
        <w:spacing w:line="520" w:lineRule="exact"/>
        <w:ind w:firstLine="426" w:firstLineChars="209"/>
        <w:rPr>
          <w:rFonts w:hint="eastAsia" w:ascii="宋体" w:hAnsi="宋体" w:cs="宋体"/>
          <w:sz w:val="20"/>
        </w:rPr>
      </w:pPr>
      <w:r>
        <w:rPr>
          <w:rFonts w:hint="eastAsia" w:ascii="宋体" w:hAnsi="宋体" w:cs="宋体"/>
          <w:sz w:val="20"/>
        </w:rPr>
        <w:t>11、乙方不得改变外包范围内的厂房和设备设施的性能和用途，确因生产需要改变的应以书面形式报甲方同意后方可改造，费用协商处理。</w:t>
      </w:r>
    </w:p>
    <w:p>
      <w:pPr>
        <w:spacing w:line="520" w:lineRule="exact"/>
        <w:ind w:firstLine="426" w:firstLineChars="209"/>
        <w:rPr>
          <w:rFonts w:hint="eastAsia" w:ascii="宋体" w:hAnsi="宋体" w:cs="宋体"/>
          <w:sz w:val="20"/>
        </w:rPr>
      </w:pPr>
      <w:r>
        <w:rPr>
          <w:rFonts w:hint="eastAsia" w:ascii="宋体" w:hAnsi="宋体" w:cs="宋体"/>
          <w:sz w:val="20"/>
        </w:rPr>
        <w:t>12、承包期满，厂房和设备设施必须保持原状，损失或遗失的按交接时的实际价值由乙方全额赔偿。乙方对甲方的仓库、行车</w:t>
      </w:r>
      <w:r>
        <w:rPr>
          <w:rFonts w:hint="eastAsia" w:ascii="宋体" w:hAnsi="宋体" w:cs="宋体"/>
          <w:sz w:val="20"/>
          <w:lang w:eastAsia="zh-CN"/>
        </w:rPr>
        <w:t>、</w:t>
      </w:r>
      <w:r>
        <w:rPr>
          <w:rFonts w:hint="eastAsia" w:ascii="宋体" w:hAnsi="宋体" w:cs="宋体"/>
          <w:sz w:val="20"/>
          <w:lang w:val="en-US" w:eastAsia="zh-CN"/>
        </w:rPr>
        <w:t>叉车</w:t>
      </w:r>
      <w:r>
        <w:rPr>
          <w:rFonts w:hint="eastAsia" w:ascii="宋体" w:hAnsi="宋体" w:cs="宋体"/>
          <w:sz w:val="20"/>
        </w:rPr>
        <w:t>等资产负有妥善保管责任；由于乙方管理不善造成</w:t>
      </w:r>
      <w:r>
        <w:rPr>
          <w:rFonts w:hint="eastAsia" w:ascii="宋体" w:hAnsi="宋体" w:cs="宋体"/>
          <w:sz w:val="20"/>
          <w:lang w:val="en-US" w:eastAsia="zh-CN"/>
        </w:rPr>
        <w:t>甲方设施</w:t>
      </w:r>
      <w:r>
        <w:rPr>
          <w:rFonts w:hint="eastAsia" w:ascii="宋体" w:hAnsi="宋体" w:cs="宋体"/>
          <w:sz w:val="20"/>
        </w:rPr>
        <w:t>损坏、丢失的，乙方应承担赔偿责任。由于乙方责任造成甲方财产损失由乙方承担。</w:t>
      </w:r>
    </w:p>
    <w:p>
      <w:pPr>
        <w:spacing w:line="520" w:lineRule="exact"/>
        <w:ind w:firstLine="426" w:firstLineChars="209"/>
        <w:rPr>
          <w:rFonts w:hint="eastAsia" w:ascii="宋体" w:hAnsi="宋体" w:cs="宋体"/>
          <w:sz w:val="20"/>
        </w:rPr>
      </w:pPr>
      <w:r>
        <w:rPr>
          <w:rFonts w:hint="eastAsia" w:ascii="宋体" w:hAnsi="宋体" w:cs="宋体"/>
          <w:sz w:val="20"/>
        </w:rPr>
        <w:t>13、乙方必须接受甲方的监督，严格遵守甲方的各项规章制度，接受甲方每周设备保养维护和安全生产检查。</w:t>
      </w:r>
    </w:p>
    <w:p>
      <w:pPr>
        <w:spacing w:line="520" w:lineRule="exact"/>
        <w:ind w:firstLine="426" w:firstLineChars="209"/>
        <w:rPr>
          <w:rFonts w:hint="eastAsia" w:ascii="宋体" w:hAnsi="宋体" w:cs="宋体"/>
          <w:sz w:val="20"/>
        </w:rPr>
      </w:pPr>
      <w:r>
        <w:rPr>
          <w:rFonts w:hint="eastAsia" w:ascii="宋体" w:hAnsi="宋体" w:cs="宋体"/>
          <w:sz w:val="20"/>
        </w:rPr>
        <w:t>14、因乙方外包业务出现问题，造成甲方生产停线，视原因不同由乙方承担不同程度的违约责任，具体如下：</w:t>
      </w:r>
    </w:p>
    <w:p>
      <w:pPr>
        <w:spacing w:line="520" w:lineRule="exact"/>
        <w:ind w:firstLine="426" w:firstLineChars="209"/>
        <w:rPr>
          <w:rFonts w:hint="eastAsia" w:ascii="宋体" w:hAnsi="宋体" w:cs="宋体"/>
          <w:sz w:val="20"/>
        </w:rPr>
      </w:pPr>
      <w:r>
        <w:rPr>
          <w:rFonts w:hint="eastAsia" w:ascii="宋体" w:hAnsi="宋体" w:cs="宋体"/>
          <w:sz w:val="20"/>
        </w:rPr>
        <w:t>⑴、因乙方产品质量问题造成停线，乙方支付当月外包费的5％－10％作为违约金，直至终止合同；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⑵、因乙方不能按时完成生产任务造成停线，乙方支付当月外包费的5％－10％作为违约金，直至终止合同；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⑶、因乙方出现小范围群体摩擦任务造成停线，乙方支付当月外包费的10％－30％作为违约金，直至终止合同。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15、乙方在外包范围内生产经营与本外包业务无关的业务，乙方承担经营无关业务总价值三倍的违约责任。</w:t>
      </w:r>
    </w:p>
    <w:p>
      <w:pPr>
        <w:spacing w:line="520" w:lineRule="exact"/>
        <w:ind w:firstLine="426" w:firstLineChars="209"/>
        <w:rPr>
          <w:rFonts w:ascii="宋体" w:hAnsi="宋体" w:cs="宋体"/>
          <w:sz w:val="20"/>
        </w:rPr>
      </w:pPr>
      <w:r>
        <w:rPr>
          <w:rFonts w:hint="eastAsia" w:ascii="宋体" w:hAnsi="宋体" w:cs="宋体"/>
          <w:sz w:val="20"/>
        </w:rPr>
        <w:t>1</w:t>
      </w:r>
      <w:r>
        <w:rPr>
          <w:rFonts w:ascii="宋体" w:hAnsi="宋体" w:cs="宋体"/>
          <w:sz w:val="20"/>
        </w:rPr>
        <w:t>6</w:t>
      </w:r>
      <w:r>
        <w:rPr>
          <w:rFonts w:hint="eastAsia" w:ascii="宋体" w:hAnsi="宋体" w:cs="宋体"/>
          <w:sz w:val="20"/>
        </w:rPr>
        <w:t>、因发票违规给甲方造成的增值税、所得税等损失，由乙方承担相关责任，包括但不限于税款、滞纳金、罚款及其它相关损失。</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第七条：合同解除终止的条件</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1、甲方下达的生产任务乙方3次以上非因甲方原因不能按时完成生产任务、发生3次以上质量问题的、发生一次重大批量性事故的或出现一次影响甲方公司形象的重大事件的，甲方有权单方终止本合同</w:t>
      </w:r>
      <w:r>
        <w:rPr>
          <w:rFonts w:hint="eastAsia" w:ascii="宋体" w:hAnsi="宋体" w:cs="宋体"/>
          <w:sz w:val="20"/>
          <w:lang w:eastAsia="zh-CN"/>
        </w:rPr>
        <w:t>。</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2、乙方无故拖欠员工工资一个月以上的或乙方员工出现一次群体性事件的</w:t>
      </w:r>
      <w:r>
        <w:rPr>
          <w:rFonts w:hint="eastAsia" w:ascii="宋体" w:hAnsi="宋体" w:cs="宋体"/>
          <w:sz w:val="20"/>
          <w:lang w:eastAsia="zh-CN"/>
        </w:rPr>
        <w:t>。</w:t>
      </w:r>
    </w:p>
    <w:p>
      <w:pPr>
        <w:spacing w:line="520" w:lineRule="exact"/>
        <w:ind w:firstLine="426" w:firstLineChars="209"/>
        <w:rPr>
          <w:rFonts w:hint="eastAsia" w:ascii="宋体" w:hAnsi="宋体" w:cs="宋体"/>
          <w:sz w:val="20"/>
        </w:rPr>
      </w:pPr>
      <w:r>
        <w:rPr>
          <w:rFonts w:hint="eastAsia" w:ascii="宋体" w:hAnsi="宋体" w:cs="宋体"/>
          <w:sz w:val="20"/>
        </w:rPr>
        <w:t>3、甲方或乙方解除合同需提前30日以上书面通知对方，经甲乙双方友好协商一致同意解除合同的。</w:t>
      </w:r>
    </w:p>
    <w:p>
      <w:pPr>
        <w:spacing w:line="520" w:lineRule="exact"/>
        <w:ind w:firstLine="426" w:firstLineChars="209"/>
        <w:rPr>
          <w:rFonts w:hint="eastAsia" w:ascii="宋体" w:hAnsi="宋体" w:cs="宋体"/>
          <w:sz w:val="20"/>
        </w:rPr>
      </w:pPr>
      <w:r>
        <w:rPr>
          <w:rFonts w:hint="eastAsia" w:ascii="宋体" w:hAnsi="宋体" w:cs="宋体"/>
          <w:sz w:val="20"/>
        </w:rPr>
        <w:t>4、乙方在外包范围内生产经营与本外包业务无关的业务。</w:t>
      </w:r>
    </w:p>
    <w:p>
      <w:pPr>
        <w:spacing w:line="520" w:lineRule="exact"/>
        <w:ind w:firstLine="426" w:firstLineChars="209"/>
        <w:rPr>
          <w:rFonts w:hint="eastAsia" w:ascii="宋体" w:hAnsi="宋体" w:cs="宋体"/>
          <w:sz w:val="20"/>
        </w:rPr>
      </w:pPr>
      <w:r>
        <w:rPr>
          <w:rFonts w:hint="eastAsia" w:ascii="宋体" w:hAnsi="宋体" w:cs="宋体"/>
          <w:sz w:val="20"/>
        </w:rPr>
        <w:t>5、承包合同签订后前三个月为试用期，试用期满考核合格后继续执行本合同，如考核不合格，甲方有权单方解除合同。</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第八条：其他</w:t>
      </w:r>
    </w:p>
    <w:p>
      <w:pPr>
        <w:spacing w:line="520" w:lineRule="exact"/>
        <w:ind w:firstLine="426" w:firstLineChars="209"/>
        <w:rPr>
          <w:rFonts w:hint="eastAsia" w:ascii="宋体" w:hAnsi="宋体" w:cs="宋体"/>
          <w:sz w:val="20"/>
        </w:rPr>
      </w:pPr>
      <w:r>
        <w:rPr>
          <w:rFonts w:hint="eastAsia" w:ascii="宋体" w:hAnsi="宋体" w:cs="宋体"/>
          <w:sz w:val="20"/>
        </w:rPr>
        <w:t>1、除合同中另有规定外或经双方协商同意外，本合同所规定双方的任何权利和义务，任何一方在未经征得另一方书面同意之前，不得转让给第三者。任何转让，未经另一方书面明确同意，均属无效。</w:t>
      </w:r>
    </w:p>
    <w:p>
      <w:pPr>
        <w:spacing w:line="520" w:lineRule="exact"/>
        <w:ind w:firstLine="426" w:firstLineChars="209"/>
        <w:rPr>
          <w:rFonts w:hint="eastAsia" w:ascii="宋体" w:hAnsi="宋体" w:cs="宋体"/>
          <w:sz w:val="20"/>
        </w:rPr>
      </w:pPr>
      <w:r>
        <w:rPr>
          <w:rFonts w:hint="eastAsia" w:ascii="宋体" w:hAnsi="宋体" w:cs="宋体"/>
          <w:sz w:val="20"/>
        </w:rPr>
        <w:t>2、合同有效期内，双方可就相关条款提出修改意见，经协商一致后达成书面补充协议。书面补充协议作为本合同的补充部分，与本合同具备同等效力。</w:t>
      </w:r>
    </w:p>
    <w:p>
      <w:pPr>
        <w:spacing w:line="520" w:lineRule="exact"/>
        <w:ind w:firstLine="426" w:firstLineChars="209"/>
        <w:rPr>
          <w:rFonts w:hint="eastAsia" w:ascii="宋体" w:hAnsi="宋体" w:cs="宋体"/>
          <w:sz w:val="20"/>
        </w:rPr>
      </w:pPr>
      <w:r>
        <w:rPr>
          <w:rFonts w:hint="eastAsia" w:ascii="宋体" w:hAnsi="宋体" w:cs="宋体"/>
          <w:sz w:val="20"/>
        </w:rPr>
        <w:t>3、合同双方同意在本合同执行期间及终止后三年内，将最严密地保存因与对方的关系而掌握的与对方的业务、产品、程序、研究或发展有关的一切数据、工艺、配方、图纸、商业秘密（包括但不限于市场信息及客户名单）（以下统称“保密资料”），上述保密资料均归发包方所有，未经发包方的事先书面授权，承包方不得把保密资料泄漏或转让、转许可给任何个人、单位或团体；承包方不得将上述图纸、工艺或技术等申报专利。</w:t>
      </w:r>
    </w:p>
    <w:p>
      <w:pPr>
        <w:spacing w:line="520" w:lineRule="exact"/>
        <w:ind w:firstLine="426" w:firstLineChars="209"/>
        <w:rPr>
          <w:rFonts w:hint="eastAsia" w:ascii="宋体" w:hAnsi="宋体" w:cs="宋体"/>
          <w:sz w:val="20"/>
        </w:rPr>
      </w:pPr>
      <w:r>
        <w:rPr>
          <w:rFonts w:hint="eastAsia" w:ascii="宋体" w:hAnsi="宋体" w:cs="宋体"/>
          <w:sz w:val="20"/>
        </w:rPr>
        <w:t>4、本合同期满或因其他原因终止，承包方应将上述保密资料的原件及所有复制件全部归还发包方，不能归还的，应在双方代表在场情况下予以销毁，并在双方销毁记录上签字。如因承包方未将上述资料返还或按约定销毁,承包方应承担已发生的平均每月外包费的5-10倍作为违约金,并赔偿甲方因此受到的损失。</w:t>
      </w:r>
    </w:p>
    <w:p>
      <w:pPr>
        <w:spacing w:line="520" w:lineRule="exact"/>
        <w:ind w:firstLine="426" w:firstLineChars="209"/>
        <w:rPr>
          <w:rFonts w:hint="eastAsia" w:ascii="宋体" w:hAnsi="宋体" w:cs="宋体"/>
          <w:sz w:val="20"/>
        </w:rPr>
      </w:pPr>
      <w:r>
        <w:rPr>
          <w:rFonts w:hint="eastAsia" w:ascii="宋体" w:hAnsi="宋体" w:cs="宋体"/>
          <w:sz w:val="20"/>
        </w:rPr>
        <w:t>5、乙方确认其在本合同的单位地址为可以接收到函件的有效送达地址，如有变更应在变更后3日内以书面形式通知甲方，否则，甲方依本合同中的乙方地址寄发函件即视为送达。</w:t>
      </w:r>
    </w:p>
    <w:p>
      <w:pPr>
        <w:spacing w:line="520" w:lineRule="exact"/>
        <w:ind w:firstLine="426" w:firstLineChars="209"/>
        <w:rPr>
          <w:rFonts w:hint="eastAsia" w:ascii="宋体" w:hAnsi="宋体" w:cs="宋体"/>
          <w:sz w:val="20"/>
        </w:rPr>
      </w:pPr>
      <w:r>
        <w:rPr>
          <w:rFonts w:hint="eastAsia" w:ascii="宋体" w:hAnsi="宋体" w:cs="宋体"/>
          <w:sz w:val="20"/>
        </w:rPr>
        <w:t>6、本合同在履行中发生争议产生纠纷时，双方协调解决，协商不成的由甲方所在地法院诉讼解决。</w:t>
      </w:r>
    </w:p>
    <w:p>
      <w:pPr>
        <w:spacing w:line="520" w:lineRule="exact"/>
        <w:ind w:firstLine="426" w:firstLineChars="209"/>
        <w:rPr>
          <w:rFonts w:hint="eastAsia" w:ascii="宋体" w:hAnsi="宋体" w:cs="宋体"/>
          <w:sz w:val="20"/>
        </w:rPr>
      </w:pPr>
      <w:r>
        <w:rPr>
          <w:rFonts w:hint="eastAsia" w:ascii="宋体" w:hAnsi="宋体" w:cs="宋体"/>
          <w:sz w:val="20"/>
        </w:rPr>
        <w:t>7、本合同依法订立，双方代表人签字并盖章后即具有法律效力，双方必须严格履行。</w:t>
      </w:r>
    </w:p>
    <w:p>
      <w:pPr>
        <w:spacing w:line="520" w:lineRule="exact"/>
        <w:ind w:firstLine="426" w:firstLineChars="209"/>
        <w:rPr>
          <w:rFonts w:hint="eastAsia" w:ascii="宋体" w:hAnsi="宋体" w:cs="宋体"/>
          <w:sz w:val="20"/>
        </w:rPr>
      </w:pPr>
      <w:r>
        <w:rPr>
          <w:rFonts w:hint="eastAsia" w:ascii="宋体" w:hAnsi="宋体" w:cs="宋体"/>
          <w:sz w:val="20"/>
        </w:rPr>
        <w:t>8、本合同一式六份，甲方四份，乙方两份。</w:t>
      </w:r>
    </w:p>
    <w:p>
      <w:pPr>
        <w:spacing w:line="520" w:lineRule="exact"/>
        <w:ind w:firstLine="426" w:firstLineChars="209"/>
        <w:rPr>
          <w:rFonts w:hint="eastAsia" w:ascii="宋体" w:hAnsi="宋体" w:cs="宋体"/>
          <w:b/>
          <w:bCs/>
          <w:sz w:val="20"/>
        </w:rPr>
      </w:pP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w:t>
      </w:r>
      <w:r>
        <w:rPr>
          <w:rFonts w:hint="eastAsia" w:ascii="宋体" w:hAnsi="宋体" w:cs="宋体"/>
          <w:b/>
          <w:bCs/>
          <w:sz w:val="20"/>
          <w:lang w:eastAsia="zh-CN"/>
        </w:rPr>
        <w:t>、</w:t>
      </w:r>
      <w:r>
        <w:rPr>
          <w:rFonts w:hint="eastAsia" w:ascii="宋体" w:hAnsi="宋体" w:cs="宋体"/>
          <w:b/>
          <w:bCs/>
          <w:sz w:val="20"/>
          <w:lang w:val="en-US" w:eastAsia="zh-CN"/>
        </w:rPr>
        <w:t>一方擅自增加、删改、篡改</w:t>
      </w:r>
      <w:r>
        <w:rPr>
          <w:rFonts w:hint="eastAsia" w:ascii="宋体" w:hAnsi="宋体" w:cs="宋体"/>
          <w:b/>
          <w:bCs/>
          <w:sz w:val="20"/>
        </w:rPr>
        <w:t>部分无效（个人手写签名除外）。</w:t>
      </w:r>
    </w:p>
    <w:p>
      <w:pPr>
        <w:spacing w:line="520" w:lineRule="exact"/>
        <w:ind w:firstLine="426" w:firstLineChars="209"/>
        <w:rPr>
          <w:rFonts w:hint="eastAsia" w:ascii="宋体" w:hAnsi="宋体" w:cs="宋体"/>
          <w:b/>
          <w:bCs/>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520" w:lineRule="exact"/>
        <w:ind w:firstLine="426" w:firstLineChars="209"/>
        <w:rPr>
          <w:rFonts w:hint="default" w:ascii="宋体" w:hAnsi="宋体" w:eastAsia="宋体" w:cs="宋体"/>
          <w:sz w:val="20"/>
          <w:lang w:val="en-US" w:eastAsia="zh-CN"/>
        </w:rPr>
      </w:pPr>
      <w:r>
        <w:rPr>
          <w:rFonts w:hint="eastAsia" w:ascii="宋体" w:hAnsi="宋体" w:eastAsia="宋体" w:cs="宋体"/>
          <w:sz w:val="20"/>
          <w:lang w:val="en-US" w:eastAsia="zh-CN"/>
        </w:rPr>
        <w:t>附：产品合同明细</w:t>
      </w:r>
    </w:p>
    <w:p>
      <w:pPr>
        <w:rPr>
          <w:rFonts w:hint="eastAsia" w:ascii="宋体" w:hAnsi="宋体" w:cs="宋体"/>
          <w:sz w:val="20"/>
        </w:rPr>
      </w:pPr>
    </w:p>
    <w:p>
      <w:pPr>
        <w:widowControl/>
        <w:adjustRightInd w:val="0"/>
        <w:snapToGrid w:val="0"/>
        <w:spacing w:line="360" w:lineRule="auto"/>
        <w:ind w:firstLine="426" w:firstLineChars="209"/>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w:t>
      </w:r>
      <w:r>
        <w:rPr>
          <w:rFonts w:hint="eastAsia" w:ascii="宋体" w:hAnsi="宋体"/>
          <w:snapToGrid w:val="0"/>
          <w:kern w:val="0"/>
          <w:sz w:val="20"/>
          <w:lang w:val="en-US" w:eastAsia="zh-CN"/>
        </w:rPr>
        <w:t>中国重汽集团济南汽车部件有限公司</w:t>
      </w:r>
      <w:r>
        <w:rPr>
          <w:rFonts w:hint="eastAsia" w:ascii="宋体" w:hAnsi="宋体"/>
          <w:snapToGrid w:val="0"/>
          <w:kern w:val="0"/>
          <w:sz w:val="20"/>
          <w:lang w:eastAsia="zh-Hans"/>
        </w:rPr>
        <w:t xml:space="preserve">  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ind w:firstLine="426" w:firstLineChars="209"/>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法定代表人或代理人（签字）：</w:t>
      </w:r>
    </w:p>
    <w:p>
      <w:pPr>
        <w:widowControl/>
        <w:adjustRightInd w:val="0"/>
        <w:snapToGrid w:val="0"/>
        <w:spacing w:line="360" w:lineRule="auto"/>
        <w:ind w:firstLine="426" w:firstLineChars="209"/>
        <w:jc w:val="left"/>
        <w:rPr>
          <w:rFonts w:hint="default" w:ascii="宋体" w:hAnsi="宋体"/>
          <w:snapToGrid w:val="0"/>
          <w:color w:val="000000"/>
          <w:kern w:val="0"/>
          <w:sz w:val="20"/>
          <w:lang w:val="en-US" w:eastAsia="zh-CN"/>
        </w:rPr>
      </w:pPr>
      <w:r>
        <w:rPr>
          <w:rFonts w:ascii="宋体" w:hAnsi="宋体"/>
          <w:snapToGrid w:val="0"/>
          <w:color w:val="000000"/>
          <w:kern w:val="0"/>
          <w:sz w:val="20"/>
          <w:lang w:eastAsia="zh-Hans"/>
        </w:rPr>
        <w:t>地  址：</w:t>
      </w:r>
      <w:r>
        <w:rPr>
          <w:rFonts w:hint="eastAsia" w:ascii="宋体" w:hAnsi="宋体"/>
          <w:snapToGrid w:val="0"/>
          <w:color w:val="000000"/>
          <w:kern w:val="0"/>
          <w:sz w:val="20"/>
          <w:lang w:val="en-US" w:eastAsia="zh-CN"/>
        </w:rPr>
        <w:t>济南市章丘区圣井街道潘王路西            地址：</w:t>
      </w:r>
    </w:p>
    <w:p>
      <w:pPr>
        <w:widowControl/>
        <w:adjustRightInd w:val="0"/>
        <w:snapToGrid w:val="0"/>
        <w:spacing w:line="360" w:lineRule="auto"/>
        <w:ind w:firstLine="1238" w:firstLineChars="607"/>
        <w:jc w:val="left"/>
        <w:rPr>
          <w:rFonts w:ascii="宋体" w:hAnsi="宋体"/>
          <w:snapToGrid w:val="0"/>
          <w:kern w:val="0"/>
          <w:sz w:val="20"/>
          <w:lang w:eastAsia="zh-Hans"/>
        </w:rPr>
      </w:pPr>
      <w:r>
        <w:rPr>
          <w:rFonts w:hint="eastAsia" w:ascii="宋体" w:hAnsi="宋体"/>
          <w:snapToGrid w:val="0"/>
          <w:color w:val="000000"/>
          <w:kern w:val="0"/>
          <w:sz w:val="20"/>
          <w:lang w:val="en-US" w:eastAsia="zh-CN"/>
        </w:rPr>
        <w:t>重汽工业园北三厂</w:t>
      </w:r>
      <w:r>
        <w:rPr>
          <w:rFonts w:ascii="宋体" w:hAnsi="宋体"/>
          <w:snapToGrid w:val="0"/>
          <w:color w:val="000000"/>
          <w:kern w:val="0"/>
          <w:sz w:val="20"/>
          <w:lang w:eastAsia="zh-Hans"/>
        </w:rPr>
        <w:t xml:space="preserve"> </w:t>
      </w:r>
    </w:p>
    <w:p>
      <w:pPr>
        <w:widowControl/>
        <w:adjustRightInd w:val="0"/>
        <w:snapToGrid w:val="0"/>
        <w:spacing w:line="360" w:lineRule="auto"/>
        <w:ind w:firstLine="426" w:firstLineChars="209"/>
        <w:jc w:val="left"/>
        <w:rPr>
          <w:rFonts w:ascii="宋体" w:hAnsi="宋体"/>
          <w:snapToGrid w:val="0"/>
          <w:kern w:val="0"/>
          <w:sz w:val="20"/>
          <w:lang w:eastAsia="zh-Hans"/>
        </w:rPr>
      </w:pPr>
      <w:r>
        <w:rPr>
          <w:rFonts w:ascii="宋体" w:hAnsi="宋体"/>
          <w:snapToGrid w:val="0"/>
          <w:kern w:val="0"/>
          <w:sz w:val="20"/>
          <w:lang w:eastAsia="zh-Hans"/>
        </w:rPr>
        <w:t>电话：</w:t>
      </w:r>
      <w:r>
        <w:rPr>
          <w:rFonts w:hint="eastAsia" w:ascii="宋体" w:hAnsi="宋体"/>
          <w:snapToGrid w:val="0"/>
          <w:kern w:val="0"/>
          <w:sz w:val="20"/>
          <w:lang w:val="en-US" w:eastAsia="zh-CN"/>
        </w:rPr>
        <w:t>0531-58069720</w:t>
      </w:r>
      <w:r>
        <w:rPr>
          <w:rFonts w:ascii="宋体" w:hAnsi="宋体"/>
          <w:snapToGrid w:val="0"/>
          <w:kern w:val="0"/>
          <w:sz w:val="20"/>
          <w:lang w:eastAsia="zh-Hans"/>
        </w:rPr>
        <w:t xml:space="preserve">                          </w:t>
      </w:r>
      <w:r>
        <w:rPr>
          <w:rFonts w:hint="eastAsia" w:ascii="宋体" w:hAnsi="宋体"/>
          <w:snapToGrid w:val="0"/>
          <w:kern w:val="0"/>
          <w:sz w:val="20"/>
          <w:lang w:val="en-US" w:eastAsia="zh-CN"/>
        </w:rPr>
        <w:t xml:space="preserve">   </w:t>
      </w:r>
      <w:r>
        <w:rPr>
          <w:rFonts w:ascii="宋体" w:hAnsi="宋体"/>
          <w:snapToGrid w:val="0"/>
          <w:kern w:val="0"/>
          <w:sz w:val="20"/>
          <w:lang w:eastAsia="zh-Hans"/>
        </w:rPr>
        <w:t xml:space="preserve">电话： </w:t>
      </w:r>
    </w:p>
    <w:p>
      <w:pPr>
        <w:widowControl/>
        <w:adjustRightInd w:val="0"/>
        <w:snapToGrid w:val="0"/>
        <w:spacing w:line="360" w:lineRule="auto"/>
        <w:ind w:firstLine="426" w:firstLineChars="209"/>
        <w:jc w:val="left"/>
        <w:rPr>
          <w:rFonts w:ascii="宋体" w:hAnsi="宋体"/>
          <w:snapToGrid w:val="0"/>
          <w:kern w:val="0"/>
          <w:sz w:val="20"/>
          <w:lang w:eastAsia="zh-Hans"/>
        </w:rPr>
      </w:pPr>
      <w:r>
        <w:rPr>
          <w:rFonts w:ascii="宋体" w:hAnsi="宋体"/>
          <w:snapToGrid w:val="0"/>
          <w:kern w:val="0"/>
          <w:sz w:val="20"/>
          <w:lang w:eastAsia="zh-Hans"/>
        </w:rPr>
        <w:t>传真：</w:t>
      </w:r>
      <w:r>
        <w:rPr>
          <w:rFonts w:hint="eastAsia" w:ascii="宋体" w:hAnsi="宋体"/>
          <w:snapToGrid w:val="0"/>
          <w:kern w:val="0"/>
          <w:sz w:val="20"/>
          <w:lang w:val="en-US" w:eastAsia="zh-CN"/>
        </w:rPr>
        <w:t>0531-58069720</w:t>
      </w:r>
      <w:r>
        <w:rPr>
          <w:rFonts w:ascii="宋体" w:hAnsi="宋体"/>
          <w:snapToGrid w:val="0"/>
          <w:kern w:val="0"/>
          <w:sz w:val="20"/>
          <w:lang w:eastAsia="zh-Hans"/>
        </w:rPr>
        <w:t xml:space="preserve">                          </w:t>
      </w:r>
      <w:r>
        <w:rPr>
          <w:rFonts w:hint="eastAsia" w:ascii="宋体" w:hAnsi="宋体"/>
          <w:snapToGrid w:val="0"/>
          <w:kern w:val="0"/>
          <w:sz w:val="20"/>
          <w:lang w:val="en-US" w:eastAsia="zh-CN"/>
        </w:rPr>
        <w:t xml:space="preserve">   </w:t>
      </w:r>
      <w:r>
        <w:rPr>
          <w:rFonts w:ascii="宋体" w:hAnsi="宋体"/>
          <w:snapToGrid w:val="0"/>
          <w:kern w:val="0"/>
          <w:sz w:val="20"/>
          <w:lang w:eastAsia="zh-Hans"/>
        </w:rPr>
        <w:t xml:space="preserve">传真： </w:t>
      </w:r>
    </w:p>
    <w:p>
      <w:pPr>
        <w:widowControl/>
        <w:adjustRightInd w:val="0"/>
        <w:snapToGrid w:val="0"/>
        <w:spacing w:line="360" w:lineRule="auto"/>
        <w:ind w:firstLine="426" w:firstLineChars="209"/>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hint="eastAsia" w:ascii="宋体" w:hAnsi="宋体"/>
          <w:snapToGrid w:val="0"/>
          <w:color w:val="000000"/>
          <w:kern w:val="0"/>
          <w:sz w:val="20"/>
          <w:lang w:val="en-US" w:eastAsia="zh-CN"/>
        </w:rPr>
        <w:t>北京银行股份有限公司济南分行营业部</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 xml:space="preserve">开户银行：   </w:t>
      </w:r>
    </w:p>
    <w:p>
      <w:pPr>
        <w:widowControl/>
        <w:adjustRightInd w:val="0"/>
        <w:snapToGrid w:val="0"/>
        <w:spacing w:line="360" w:lineRule="auto"/>
        <w:ind w:firstLine="426" w:firstLineChars="209"/>
        <w:jc w:val="left"/>
        <w:rPr>
          <w:rFonts w:ascii="宋体" w:hAnsi="宋体" w:cs="宋体"/>
          <w:color w:val="auto"/>
          <w:sz w:val="22"/>
          <w:szCs w:val="22"/>
          <w:highlight w:val="none"/>
          <w:u w:val="none"/>
        </w:rPr>
      </w:pPr>
      <w:r>
        <w:rPr>
          <w:rFonts w:ascii="宋体" w:hAnsi="宋体"/>
          <w:snapToGrid w:val="0"/>
          <w:color w:val="000000"/>
          <w:kern w:val="0"/>
          <w:sz w:val="20"/>
          <w:lang w:eastAsia="zh-Hans"/>
        </w:rPr>
        <w:t>账  号：</w:t>
      </w:r>
      <w:r>
        <w:rPr>
          <w:rFonts w:hint="eastAsia" w:ascii="宋体" w:hAnsi="宋体"/>
          <w:snapToGrid w:val="0"/>
          <w:color w:val="000000"/>
          <w:kern w:val="0"/>
          <w:sz w:val="20"/>
          <w:lang w:val="en-US" w:eastAsia="zh-CN"/>
        </w:rPr>
        <w:t>20000042845000032899980</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 xml:space="preserve">账 号： </w:t>
      </w:r>
    </w:p>
    <w:p>
      <w:pPr>
        <w:pStyle w:val="10"/>
        <w:pageBreakBefore w:val="0"/>
        <w:kinsoku/>
        <w:wordWrap/>
        <w:overflowPunct/>
        <w:topLinePunct w:val="0"/>
        <w:bidi w:val="0"/>
        <w:spacing w:line="300" w:lineRule="auto"/>
        <w:rPr>
          <w:rFonts w:ascii="黑体" w:eastAsia="黑体"/>
          <w:b/>
          <w:bCs/>
          <w:color w:val="auto"/>
          <w:sz w:val="28"/>
          <w:szCs w:val="22"/>
          <w:highlight w:val="none"/>
          <w:u w:val="none"/>
        </w:rPr>
      </w:pPr>
    </w:p>
    <w:p>
      <w:pPr>
        <w:pageBreakBefore w:val="0"/>
        <w:kinsoku/>
        <w:wordWrap/>
        <w:overflowPunct/>
        <w:topLinePunct w:val="0"/>
        <w:bidi w:val="0"/>
        <w:spacing w:line="300" w:lineRule="auto"/>
        <w:jc w:val="center"/>
        <w:rPr>
          <w:rFonts w:eastAsia="仿宋_GB2312"/>
          <w:b/>
          <w:color w:val="auto"/>
          <w:sz w:val="24"/>
          <w:szCs w:val="24"/>
          <w:highlight w:val="none"/>
          <w:u w:val="none"/>
        </w:rPr>
      </w:pPr>
    </w:p>
    <w:p>
      <w:pPr>
        <w:pageBreakBefore w:val="0"/>
        <w:kinsoku/>
        <w:wordWrap/>
        <w:overflowPunct/>
        <w:topLinePunct w:val="0"/>
        <w:bidi w:val="0"/>
        <w:spacing w:line="300" w:lineRule="auto"/>
        <w:jc w:val="center"/>
        <w:rPr>
          <w:rFonts w:eastAsia="仿宋_GB2312"/>
          <w:b/>
          <w:color w:val="auto"/>
          <w:sz w:val="24"/>
          <w:szCs w:val="24"/>
          <w:highlight w:val="none"/>
          <w:u w:val="none"/>
        </w:rPr>
      </w:pPr>
    </w:p>
    <w:p>
      <w:pPr>
        <w:pageBreakBefore w:val="0"/>
        <w:kinsoku/>
        <w:wordWrap/>
        <w:overflowPunct/>
        <w:topLinePunct w:val="0"/>
        <w:bidi w:val="0"/>
        <w:spacing w:line="300" w:lineRule="auto"/>
        <w:jc w:val="center"/>
        <w:rPr>
          <w:rFonts w:eastAsia="仿宋_GB2312"/>
          <w:b/>
          <w:color w:val="auto"/>
          <w:sz w:val="24"/>
          <w:szCs w:val="24"/>
          <w:highlight w:val="none"/>
          <w:u w:val="none"/>
        </w:rPr>
      </w:pPr>
    </w:p>
    <w:p>
      <w:pPr>
        <w:pageBreakBefore w:val="0"/>
        <w:kinsoku/>
        <w:wordWrap/>
        <w:overflowPunct/>
        <w:topLinePunct w:val="0"/>
        <w:bidi w:val="0"/>
        <w:spacing w:line="300" w:lineRule="auto"/>
        <w:jc w:val="center"/>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sectPr>
      <w:footerReference r:id="rId8" w:type="default"/>
      <w:pgSz w:w="11906" w:h="16838"/>
      <w:pgMar w:top="1587" w:right="1134" w:bottom="1134" w:left="1134" w:header="851" w:footer="850" w:gutter="0"/>
      <w:pgNumType w:fmt="decimal"/>
      <w:cols w:space="720" w:num="1"/>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posOffset>2568575</wp:posOffset>
              </wp:positionH>
              <wp:positionV relativeFrom="paragraph">
                <wp:posOffset>-175895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25pt;margin-top:-13.85pt;height:144pt;width:144pt;mso-position-horizontal-relative:margin;mso-wrap-style:none;z-index:251663360;mso-width-relative:page;mso-height-relative:page;" filled="f" stroked="f" coordsize="21600,21600" o:gfxdata="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WPq/ZAAAACwEAAA8AAAAAAAAAAQAgAAAAIgAAAGRycy9kb3ducmV2Lnht&#10;bFBLAQIUABQAAAAIAIdO4kAwiRJeMQIAAGEEAAAOAAAAAAAAAAEAIAAAACgBAABkcnMvZTJvRG9j&#10;LnhtbFBLBQYAAAAABgAGAFkBAADL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740"/>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740" w:type="dxa"/>
        </w:tcPr>
        <w:p>
          <w:pPr>
            <w:pStyle w:val="12"/>
            <w:keepNext w:val="0"/>
            <w:keepLines w:val="0"/>
            <w:suppressLineNumbers w:val="0"/>
            <w:spacing w:before="0" w:beforeAutospacing="0" w:after="0" w:afterAutospacing="0"/>
            <w:ind w:left="0" w:right="720"/>
            <w:jc w:val="center"/>
            <w:rPr>
              <w:rFonts w:hint="default"/>
              <w:color w:val="4F81BD"/>
            </w:rPr>
          </w:pPr>
          <w:r>
            <w:rPr>
              <w:rFonts w:hint="default"/>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tc>
    </w:tr>
  </w:tbl>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762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8A221"/>
    <w:multiLevelType w:val="singleLevel"/>
    <w:tmpl w:val="A418A221"/>
    <w:lvl w:ilvl="0" w:tentative="0">
      <w:start w:val="2"/>
      <w:numFmt w:val="chineseCounting"/>
      <w:suff w:val="space"/>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15AD181D"/>
    <w:multiLevelType w:val="singleLevel"/>
    <w:tmpl w:val="15AD181D"/>
    <w:lvl w:ilvl="0" w:tentative="0">
      <w:start w:val="2"/>
      <w:numFmt w:val="decimal"/>
      <w:suff w:val="nothing"/>
      <w:lvlText w:val="%1、"/>
      <w:lvlJc w:val="left"/>
    </w:lvl>
  </w:abstractNum>
  <w:abstractNum w:abstractNumId="3">
    <w:nsid w:val="52DDF48A"/>
    <w:multiLevelType w:val="singleLevel"/>
    <w:tmpl w:val="52DDF48A"/>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DAzMDljNTlmMDlhMjJmMzVlMWRkMjc1NjVjYWYifQ=="/>
    <w:docVar w:name="KSO_WPS_MARK_KEY" w:val="12d29ae0-dc1a-468e-a091-5b29afd2ff4b"/>
  </w:docVars>
  <w:rsids>
    <w:rsidRoot w:val="003447BF"/>
    <w:rsid w:val="000014D3"/>
    <w:rsid w:val="00001DCB"/>
    <w:rsid w:val="00002057"/>
    <w:rsid w:val="000048FC"/>
    <w:rsid w:val="00004C57"/>
    <w:rsid w:val="000056AD"/>
    <w:rsid w:val="00005AF4"/>
    <w:rsid w:val="00006391"/>
    <w:rsid w:val="00007986"/>
    <w:rsid w:val="00010983"/>
    <w:rsid w:val="00010BB4"/>
    <w:rsid w:val="000117DF"/>
    <w:rsid w:val="00011B11"/>
    <w:rsid w:val="000126A7"/>
    <w:rsid w:val="000133F8"/>
    <w:rsid w:val="00013B94"/>
    <w:rsid w:val="000140D2"/>
    <w:rsid w:val="000142C2"/>
    <w:rsid w:val="000154D0"/>
    <w:rsid w:val="00016CB2"/>
    <w:rsid w:val="00022BFC"/>
    <w:rsid w:val="00023513"/>
    <w:rsid w:val="00024102"/>
    <w:rsid w:val="00025E3D"/>
    <w:rsid w:val="00025E68"/>
    <w:rsid w:val="00027BFD"/>
    <w:rsid w:val="000304EA"/>
    <w:rsid w:val="00031471"/>
    <w:rsid w:val="00032F3A"/>
    <w:rsid w:val="00033243"/>
    <w:rsid w:val="0003453C"/>
    <w:rsid w:val="00035188"/>
    <w:rsid w:val="00035800"/>
    <w:rsid w:val="000370BC"/>
    <w:rsid w:val="000426B5"/>
    <w:rsid w:val="0004339D"/>
    <w:rsid w:val="00043761"/>
    <w:rsid w:val="000437B4"/>
    <w:rsid w:val="00043B31"/>
    <w:rsid w:val="00043E7D"/>
    <w:rsid w:val="00045E36"/>
    <w:rsid w:val="00046238"/>
    <w:rsid w:val="0005018E"/>
    <w:rsid w:val="00051852"/>
    <w:rsid w:val="0005298D"/>
    <w:rsid w:val="000547D0"/>
    <w:rsid w:val="00060239"/>
    <w:rsid w:val="0006053F"/>
    <w:rsid w:val="000606FE"/>
    <w:rsid w:val="0006084C"/>
    <w:rsid w:val="00060FC1"/>
    <w:rsid w:val="000626B3"/>
    <w:rsid w:val="00066685"/>
    <w:rsid w:val="00067867"/>
    <w:rsid w:val="0007042D"/>
    <w:rsid w:val="00070A2E"/>
    <w:rsid w:val="00071741"/>
    <w:rsid w:val="00071B86"/>
    <w:rsid w:val="000722DE"/>
    <w:rsid w:val="00073983"/>
    <w:rsid w:val="00074924"/>
    <w:rsid w:val="00074AC3"/>
    <w:rsid w:val="0007541F"/>
    <w:rsid w:val="00076122"/>
    <w:rsid w:val="00077B24"/>
    <w:rsid w:val="00080316"/>
    <w:rsid w:val="0008080E"/>
    <w:rsid w:val="00082151"/>
    <w:rsid w:val="000825CD"/>
    <w:rsid w:val="00083710"/>
    <w:rsid w:val="00083C90"/>
    <w:rsid w:val="0008454C"/>
    <w:rsid w:val="00086313"/>
    <w:rsid w:val="000940E3"/>
    <w:rsid w:val="00094EC9"/>
    <w:rsid w:val="000A0C6B"/>
    <w:rsid w:val="000A0EDD"/>
    <w:rsid w:val="000A202D"/>
    <w:rsid w:val="000A2679"/>
    <w:rsid w:val="000A2BA0"/>
    <w:rsid w:val="000A5072"/>
    <w:rsid w:val="000A54C5"/>
    <w:rsid w:val="000A78C4"/>
    <w:rsid w:val="000B0B79"/>
    <w:rsid w:val="000B1727"/>
    <w:rsid w:val="000B193E"/>
    <w:rsid w:val="000B1F25"/>
    <w:rsid w:val="000B44D3"/>
    <w:rsid w:val="000B4C5C"/>
    <w:rsid w:val="000B5234"/>
    <w:rsid w:val="000B527D"/>
    <w:rsid w:val="000B6DD8"/>
    <w:rsid w:val="000B705B"/>
    <w:rsid w:val="000C16A3"/>
    <w:rsid w:val="000C1BB6"/>
    <w:rsid w:val="000D0F55"/>
    <w:rsid w:val="000D14A9"/>
    <w:rsid w:val="000D3325"/>
    <w:rsid w:val="000D486E"/>
    <w:rsid w:val="000D4D7C"/>
    <w:rsid w:val="000D4EA2"/>
    <w:rsid w:val="000D5ACE"/>
    <w:rsid w:val="000D6C0C"/>
    <w:rsid w:val="000D7A5B"/>
    <w:rsid w:val="000E141B"/>
    <w:rsid w:val="000E329A"/>
    <w:rsid w:val="000E356E"/>
    <w:rsid w:val="000E3714"/>
    <w:rsid w:val="000E70CB"/>
    <w:rsid w:val="000F02A3"/>
    <w:rsid w:val="000F3A83"/>
    <w:rsid w:val="000F4027"/>
    <w:rsid w:val="000F42C8"/>
    <w:rsid w:val="000F456F"/>
    <w:rsid w:val="000F5488"/>
    <w:rsid w:val="00100754"/>
    <w:rsid w:val="00101577"/>
    <w:rsid w:val="00102A52"/>
    <w:rsid w:val="00106078"/>
    <w:rsid w:val="00112A18"/>
    <w:rsid w:val="0011354F"/>
    <w:rsid w:val="00114375"/>
    <w:rsid w:val="00114A6A"/>
    <w:rsid w:val="001160D8"/>
    <w:rsid w:val="0012053A"/>
    <w:rsid w:val="00120F1C"/>
    <w:rsid w:val="001228DF"/>
    <w:rsid w:val="00124DC8"/>
    <w:rsid w:val="001258FA"/>
    <w:rsid w:val="00126ED2"/>
    <w:rsid w:val="001302DE"/>
    <w:rsid w:val="00131694"/>
    <w:rsid w:val="00131E0F"/>
    <w:rsid w:val="00134429"/>
    <w:rsid w:val="0013630E"/>
    <w:rsid w:val="00136356"/>
    <w:rsid w:val="00136933"/>
    <w:rsid w:val="001369FF"/>
    <w:rsid w:val="00140381"/>
    <w:rsid w:val="0014056C"/>
    <w:rsid w:val="00140736"/>
    <w:rsid w:val="00141AF1"/>
    <w:rsid w:val="001458B6"/>
    <w:rsid w:val="00147091"/>
    <w:rsid w:val="001471D4"/>
    <w:rsid w:val="0015024C"/>
    <w:rsid w:val="00152193"/>
    <w:rsid w:val="00152259"/>
    <w:rsid w:val="001531DD"/>
    <w:rsid w:val="001533AA"/>
    <w:rsid w:val="00153684"/>
    <w:rsid w:val="001545AF"/>
    <w:rsid w:val="0015618A"/>
    <w:rsid w:val="00156266"/>
    <w:rsid w:val="00156A1E"/>
    <w:rsid w:val="00157B9E"/>
    <w:rsid w:val="001609DF"/>
    <w:rsid w:val="00161531"/>
    <w:rsid w:val="001619A4"/>
    <w:rsid w:val="00162435"/>
    <w:rsid w:val="00162592"/>
    <w:rsid w:val="00162999"/>
    <w:rsid w:val="001649C3"/>
    <w:rsid w:val="0016501A"/>
    <w:rsid w:val="001652C8"/>
    <w:rsid w:val="001656BB"/>
    <w:rsid w:val="00167F32"/>
    <w:rsid w:val="001706CF"/>
    <w:rsid w:val="001708B6"/>
    <w:rsid w:val="00172ADC"/>
    <w:rsid w:val="001749E7"/>
    <w:rsid w:val="00174A06"/>
    <w:rsid w:val="0017622A"/>
    <w:rsid w:val="00176B3A"/>
    <w:rsid w:val="00177FA7"/>
    <w:rsid w:val="00180DE7"/>
    <w:rsid w:val="0018208D"/>
    <w:rsid w:val="00186A61"/>
    <w:rsid w:val="00187848"/>
    <w:rsid w:val="0019057F"/>
    <w:rsid w:val="001909B6"/>
    <w:rsid w:val="00191E43"/>
    <w:rsid w:val="00192C7C"/>
    <w:rsid w:val="001935A3"/>
    <w:rsid w:val="001953D9"/>
    <w:rsid w:val="001A0476"/>
    <w:rsid w:val="001A0538"/>
    <w:rsid w:val="001A1880"/>
    <w:rsid w:val="001A7750"/>
    <w:rsid w:val="001B00E7"/>
    <w:rsid w:val="001B109B"/>
    <w:rsid w:val="001B13F5"/>
    <w:rsid w:val="001B1B87"/>
    <w:rsid w:val="001B1F29"/>
    <w:rsid w:val="001B48B7"/>
    <w:rsid w:val="001B644A"/>
    <w:rsid w:val="001B6A93"/>
    <w:rsid w:val="001C04E2"/>
    <w:rsid w:val="001C0D7A"/>
    <w:rsid w:val="001C109C"/>
    <w:rsid w:val="001C20B6"/>
    <w:rsid w:val="001C3215"/>
    <w:rsid w:val="001C3E67"/>
    <w:rsid w:val="001C5908"/>
    <w:rsid w:val="001C5E27"/>
    <w:rsid w:val="001C70F9"/>
    <w:rsid w:val="001D0558"/>
    <w:rsid w:val="001D12D4"/>
    <w:rsid w:val="001D1AB3"/>
    <w:rsid w:val="001D1DF0"/>
    <w:rsid w:val="001D6A5D"/>
    <w:rsid w:val="001E0B6D"/>
    <w:rsid w:val="001E1AA5"/>
    <w:rsid w:val="001E1FE5"/>
    <w:rsid w:val="001E2AFF"/>
    <w:rsid w:val="001E397B"/>
    <w:rsid w:val="001E39F6"/>
    <w:rsid w:val="001E4691"/>
    <w:rsid w:val="001E63F0"/>
    <w:rsid w:val="001F2129"/>
    <w:rsid w:val="001F226A"/>
    <w:rsid w:val="001F25F8"/>
    <w:rsid w:val="001F2F10"/>
    <w:rsid w:val="001F337F"/>
    <w:rsid w:val="001F46E7"/>
    <w:rsid w:val="001F73CB"/>
    <w:rsid w:val="00201687"/>
    <w:rsid w:val="00201D34"/>
    <w:rsid w:val="0020244E"/>
    <w:rsid w:val="002033F6"/>
    <w:rsid w:val="0020353D"/>
    <w:rsid w:val="00203CED"/>
    <w:rsid w:val="00203CF7"/>
    <w:rsid w:val="002047D2"/>
    <w:rsid w:val="00205586"/>
    <w:rsid w:val="00206B5F"/>
    <w:rsid w:val="00206D6F"/>
    <w:rsid w:val="002075B3"/>
    <w:rsid w:val="00211C25"/>
    <w:rsid w:val="00215597"/>
    <w:rsid w:val="002157D9"/>
    <w:rsid w:val="0021644E"/>
    <w:rsid w:val="00216AA3"/>
    <w:rsid w:val="002178FD"/>
    <w:rsid w:val="00223BB6"/>
    <w:rsid w:val="00223FED"/>
    <w:rsid w:val="00225D72"/>
    <w:rsid w:val="002272FC"/>
    <w:rsid w:val="0023452A"/>
    <w:rsid w:val="00234B42"/>
    <w:rsid w:val="0023641F"/>
    <w:rsid w:val="0023657F"/>
    <w:rsid w:val="00236CD7"/>
    <w:rsid w:val="00236F49"/>
    <w:rsid w:val="002401A4"/>
    <w:rsid w:val="00240742"/>
    <w:rsid w:val="00240890"/>
    <w:rsid w:val="00243948"/>
    <w:rsid w:val="002444B8"/>
    <w:rsid w:val="00245CCD"/>
    <w:rsid w:val="002510B3"/>
    <w:rsid w:val="0025110B"/>
    <w:rsid w:val="002516D9"/>
    <w:rsid w:val="0025278D"/>
    <w:rsid w:val="00253E44"/>
    <w:rsid w:val="00254642"/>
    <w:rsid w:val="0025474D"/>
    <w:rsid w:val="00255AC4"/>
    <w:rsid w:val="00256680"/>
    <w:rsid w:val="00257024"/>
    <w:rsid w:val="002571AA"/>
    <w:rsid w:val="002575B7"/>
    <w:rsid w:val="00261779"/>
    <w:rsid w:val="00264203"/>
    <w:rsid w:val="0026442A"/>
    <w:rsid w:val="002650E7"/>
    <w:rsid w:val="00265C5C"/>
    <w:rsid w:val="002714D2"/>
    <w:rsid w:val="00271A2C"/>
    <w:rsid w:val="00271F2B"/>
    <w:rsid w:val="00272D15"/>
    <w:rsid w:val="0027316E"/>
    <w:rsid w:val="00273D07"/>
    <w:rsid w:val="00273F35"/>
    <w:rsid w:val="00274153"/>
    <w:rsid w:val="00274683"/>
    <w:rsid w:val="0027584C"/>
    <w:rsid w:val="0028000E"/>
    <w:rsid w:val="002806B7"/>
    <w:rsid w:val="00281539"/>
    <w:rsid w:val="00285573"/>
    <w:rsid w:val="00285D9D"/>
    <w:rsid w:val="002868E1"/>
    <w:rsid w:val="002908CC"/>
    <w:rsid w:val="00294E9C"/>
    <w:rsid w:val="00297CE2"/>
    <w:rsid w:val="00297E7F"/>
    <w:rsid w:val="002A008C"/>
    <w:rsid w:val="002A00F9"/>
    <w:rsid w:val="002A2AAF"/>
    <w:rsid w:val="002A5F2A"/>
    <w:rsid w:val="002B032B"/>
    <w:rsid w:val="002B12F1"/>
    <w:rsid w:val="002B1789"/>
    <w:rsid w:val="002B2899"/>
    <w:rsid w:val="002B4519"/>
    <w:rsid w:val="002B5016"/>
    <w:rsid w:val="002B510D"/>
    <w:rsid w:val="002B5135"/>
    <w:rsid w:val="002B5881"/>
    <w:rsid w:val="002B5BE4"/>
    <w:rsid w:val="002B6573"/>
    <w:rsid w:val="002B6E49"/>
    <w:rsid w:val="002C0185"/>
    <w:rsid w:val="002C44D2"/>
    <w:rsid w:val="002C4A24"/>
    <w:rsid w:val="002C662D"/>
    <w:rsid w:val="002D037B"/>
    <w:rsid w:val="002D046C"/>
    <w:rsid w:val="002D1F57"/>
    <w:rsid w:val="002D3628"/>
    <w:rsid w:val="002D478F"/>
    <w:rsid w:val="002D50D1"/>
    <w:rsid w:val="002D700F"/>
    <w:rsid w:val="002D742C"/>
    <w:rsid w:val="002D79E9"/>
    <w:rsid w:val="002E08D2"/>
    <w:rsid w:val="002E0BDC"/>
    <w:rsid w:val="002E28E9"/>
    <w:rsid w:val="002E3F33"/>
    <w:rsid w:val="002E556A"/>
    <w:rsid w:val="002E7558"/>
    <w:rsid w:val="002F0674"/>
    <w:rsid w:val="002F2D1C"/>
    <w:rsid w:val="002F4F8D"/>
    <w:rsid w:val="002F4F93"/>
    <w:rsid w:val="002F5F84"/>
    <w:rsid w:val="002F6777"/>
    <w:rsid w:val="002F73C1"/>
    <w:rsid w:val="0030183C"/>
    <w:rsid w:val="00302A83"/>
    <w:rsid w:val="00303AD0"/>
    <w:rsid w:val="00304431"/>
    <w:rsid w:val="003046ED"/>
    <w:rsid w:val="00304E5C"/>
    <w:rsid w:val="003058C6"/>
    <w:rsid w:val="003058F1"/>
    <w:rsid w:val="0031082A"/>
    <w:rsid w:val="00312AD3"/>
    <w:rsid w:val="00312CEE"/>
    <w:rsid w:val="0031577A"/>
    <w:rsid w:val="00316501"/>
    <w:rsid w:val="0031690F"/>
    <w:rsid w:val="003222CF"/>
    <w:rsid w:val="0032300C"/>
    <w:rsid w:val="00323B1A"/>
    <w:rsid w:val="00323D93"/>
    <w:rsid w:val="00324A3B"/>
    <w:rsid w:val="00326B4B"/>
    <w:rsid w:val="003275AC"/>
    <w:rsid w:val="00331BD6"/>
    <w:rsid w:val="00334FCD"/>
    <w:rsid w:val="00335566"/>
    <w:rsid w:val="00336641"/>
    <w:rsid w:val="00337328"/>
    <w:rsid w:val="00337877"/>
    <w:rsid w:val="00340A81"/>
    <w:rsid w:val="003447BF"/>
    <w:rsid w:val="00344B0C"/>
    <w:rsid w:val="003450FE"/>
    <w:rsid w:val="0034529E"/>
    <w:rsid w:val="003453B7"/>
    <w:rsid w:val="00345834"/>
    <w:rsid w:val="00345A9C"/>
    <w:rsid w:val="00347301"/>
    <w:rsid w:val="0034785B"/>
    <w:rsid w:val="0035039C"/>
    <w:rsid w:val="0035093C"/>
    <w:rsid w:val="00351892"/>
    <w:rsid w:val="00351D47"/>
    <w:rsid w:val="0035253E"/>
    <w:rsid w:val="00355883"/>
    <w:rsid w:val="00355F34"/>
    <w:rsid w:val="0035636F"/>
    <w:rsid w:val="00360B4A"/>
    <w:rsid w:val="003635F7"/>
    <w:rsid w:val="0036526F"/>
    <w:rsid w:val="00367A62"/>
    <w:rsid w:val="00367B96"/>
    <w:rsid w:val="003729C5"/>
    <w:rsid w:val="00372F98"/>
    <w:rsid w:val="00376454"/>
    <w:rsid w:val="0038469B"/>
    <w:rsid w:val="003854C5"/>
    <w:rsid w:val="0038576A"/>
    <w:rsid w:val="00386E3B"/>
    <w:rsid w:val="00390585"/>
    <w:rsid w:val="0039243F"/>
    <w:rsid w:val="00396005"/>
    <w:rsid w:val="003962B6"/>
    <w:rsid w:val="003A142B"/>
    <w:rsid w:val="003A22A0"/>
    <w:rsid w:val="003A3633"/>
    <w:rsid w:val="003A38A3"/>
    <w:rsid w:val="003A5169"/>
    <w:rsid w:val="003A5AB3"/>
    <w:rsid w:val="003A7E9B"/>
    <w:rsid w:val="003B1895"/>
    <w:rsid w:val="003B2025"/>
    <w:rsid w:val="003B213A"/>
    <w:rsid w:val="003B224A"/>
    <w:rsid w:val="003B34A4"/>
    <w:rsid w:val="003B4A6D"/>
    <w:rsid w:val="003B6F25"/>
    <w:rsid w:val="003C0297"/>
    <w:rsid w:val="003C0D3E"/>
    <w:rsid w:val="003C1D15"/>
    <w:rsid w:val="003C4446"/>
    <w:rsid w:val="003C4BB9"/>
    <w:rsid w:val="003C51CE"/>
    <w:rsid w:val="003C6E04"/>
    <w:rsid w:val="003C7AC5"/>
    <w:rsid w:val="003D192F"/>
    <w:rsid w:val="003D2165"/>
    <w:rsid w:val="003D24E4"/>
    <w:rsid w:val="003D59B7"/>
    <w:rsid w:val="003D6390"/>
    <w:rsid w:val="003D77DF"/>
    <w:rsid w:val="003D7BF1"/>
    <w:rsid w:val="003E0895"/>
    <w:rsid w:val="003E1132"/>
    <w:rsid w:val="003E2B07"/>
    <w:rsid w:val="003E2F40"/>
    <w:rsid w:val="003E523A"/>
    <w:rsid w:val="003E7138"/>
    <w:rsid w:val="003E7A55"/>
    <w:rsid w:val="003F1410"/>
    <w:rsid w:val="003F18EF"/>
    <w:rsid w:val="003F2A8C"/>
    <w:rsid w:val="003F325B"/>
    <w:rsid w:val="003F3692"/>
    <w:rsid w:val="004007F3"/>
    <w:rsid w:val="00401B8E"/>
    <w:rsid w:val="00403331"/>
    <w:rsid w:val="00404B70"/>
    <w:rsid w:val="00405081"/>
    <w:rsid w:val="004060BF"/>
    <w:rsid w:val="004068B2"/>
    <w:rsid w:val="00410959"/>
    <w:rsid w:val="00412A67"/>
    <w:rsid w:val="00413830"/>
    <w:rsid w:val="00415E31"/>
    <w:rsid w:val="004171AC"/>
    <w:rsid w:val="00417894"/>
    <w:rsid w:val="00417AE1"/>
    <w:rsid w:val="00420A69"/>
    <w:rsid w:val="0042112B"/>
    <w:rsid w:val="0042139E"/>
    <w:rsid w:val="0042161E"/>
    <w:rsid w:val="00422D4B"/>
    <w:rsid w:val="004233B7"/>
    <w:rsid w:val="004242C0"/>
    <w:rsid w:val="00424959"/>
    <w:rsid w:val="00424CEC"/>
    <w:rsid w:val="00425890"/>
    <w:rsid w:val="00426644"/>
    <w:rsid w:val="00427430"/>
    <w:rsid w:val="00431929"/>
    <w:rsid w:val="00432CA1"/>
    <w:rsid w:val="00432D9A"/>
    <w:rsid w:val="00432F85"/>
    <w:rsid w:val="004331B4"/>
    <w:rsid w:val="004338F3"/>
    <w:rsid w:val="00433B7C"/>
    <w:rsid w:val="00435C8F"/>
    <w:rsid w:val="004368A6"/>
    <w:rsid w:val="004408FF"/>
    <w:rsid w:val="00440B29"/>
    <w:rsid w:val="00440DB7"/>
    <w:rsid w:val="004419A1"/>
    <w:rsid w:val="00441E2A"/>
    <w:rsid w:val="00441EA6"/>
    <w:rsid w:val="004439A5"/>
    <w:rsid w:val="00444400"/>
    <w:rsid w:val="00445613"/>
    <w:rsid w:val="0044585C"/>
    <w:rsid w:val="00446B20"/>
    <w:rsid w:val="0044784B"/>
    <w:rsid w:val="00450820"/>
    <w:rsid w:val="004525CF"/>
    <w:rsid w:val="00454AB3"/>
    <w:rsid w:val="00455615"/>
    <w:rsid w:val="004558A9"/>
    <w:rsid w:val="00455952"/>
    <w:rsid w:val="00456A3C"/>
    <w:rsid w:val="00461D9C"/>
    <w:rsid w:val="00461E1E"/>
    <w:rsid w:val="00463340"/>
    <w:rsid w:val="004639DA"/>
    <w:rsid w:val="00464075"/>
    <w:rsid w:val="004640C9"/>
    <w:rsid w:val="00465A21"/>
    <w:rsid w:val="004679AC"/>
    <w:rsid w:val="00477976"/>
    <w:rsid w:val="00482C09"/>
    <w:rsid w:val="004843CF"/>
    <w:rsid w:val="00484890"/>
    <w:rsid w:val="00484DAB"/>
    <w:rsid w:val="00484DBA"/>
    <w:rsid w:val="00490786"/>
    <w:rsid w:val="00490A80"/>
    <w:rsid w:val="00490A89"/>
    <w:rsid w:val="00492A36"/>
    <w:rsid w:val="00492E73"/>
    <w:rsid w:val="0049408B"/>
    <w:rsid w:val="0049581C"/>
    <w:rsid w:val="004A0138"/>
    <w:rsid w:val="004A2295"/>
    <w:rsid w:val="004A28D1"/>
    <w:rsid w:val="004A6294"/>
    <w:rsid w:val="004A650B"/>
    <w:rsid w:val="004A73B5"/>
    <w:rsid w:val="004A78E9"/>
    <w:rsid w:val="004B0197"/>
    <w:rsid w:val="004B08A6"/>
    <w:rsid w:val="004B2F5D"/>
    <w:rsid w:val="004B4464"/>
    <w:rsid w:val="004B486A"/>
    <w:rsid w:val="004B58F5"/>
    <w:rsid w:val="004B6F5D"/>
    <w:rsid w:val="004B7614"/>
    <w:rsid w:val="004C15BD"/>
    <w:rsid w:val="004C2141"/>
    <w:rsid w:val="004C485E"/>
    <w:rsid w:val="004C5E79"/>
    <w:rsid w:val="004C60F2"/>
    <w:rsid w:val="004D082E"/>
    <w:rsid w:val="004D177C"/>
    <w:rsid w:val="004D1DEE"/>
    <w:rsid w:val="004D26A6"/>
    <w:rsid w:val="004D3345"/>
    <w:rsid w:val="004D3541"/>
    <w:rsid w:val="004D70FC"/>
    <w:rsid w:val="004F2DD3"/>
    <w:rsid w:val="004F4585"/>
    <w:rsid w:val="004F47A8"/>
    <w:rsid w:val="004F50BC"/>
    <w:rsid w:val="004F5278"/>
    <w:rsid w:val="004F5827"/>
    <w:rsid w:val="004F5E7F"/>
    <w:rsid w:val="004F6792"/>
    <w:rsid w:val="004F726A"/>
    <w:rsid w:val="004F78CE"/>
    <w:rsid w:val="00500C55"/>
    <w:rsid w:val="00501A26"/>
    <w:rsid w:val="0050287F"/>
    <w:rsid w:val="00505662"/>
    <w:rsid w:val="00506771"/>
    <w:rsid w:val="00506F0F"/>
    <w:rsid w:val="00507DB0"/>
    <w:rsid w:val="005108CD"/>
    <w:rsid w:val="00513345"/>
    <w:rsid w:val="00513892"/>
    <w:rsid w:val="00513A16"/>
    <w:rsid w:val="00513D94"/>
    <w:rsid w:val="005141A1"/>
    <w:rsid w:val="00515BAC"/>
    <w:rsid w:val="005203DF"/>
    <w:rsid w:val="005207CB"/>
    <w:rsid w:val="005225BE"/>
    <w:rsid w:val="005258B1"/>
    <w:rsid w:val="005259EE"/>
    <w:rsid w:val="0052786D"/>
    <w:rsid w:val="00527CA1"/>
    <w:rsid w:val="00530470"/>
    <w:rsid w:val="00530539"/>
    <w:rsid w:val="0053060F"/>
    <w:rsid w:val="005327D0"/>
    <w:rsid w:val="00534424"/>
    <w:rsid w:val="00535477"/>
    <w:rsid w:val="00537577"/>
    <w:rsid w:val="00537F86"/>
    <w:rsid w:val="005404C5"/>
    <w:rsid w:val="00541DDC"/>
    <w:rsid w:val="005435FD"/>
    <w:rsid w:val="00543AA0"/>
    <w:rsid w:val="005450F5"/>
    <w:rsid w:val="0055043D"/>
    <w:rsid w:val="00550E27"/>
    <w:rsid w:val="00551123"/>
    <w:rsid w:val="00551492"/>
    <w:rsid w:val="005515D7"/>
    <w:rsid w:val="00557F2C"/>
    <w:rsid w:val="0056267F"/>
    <w:rsid w:val="00562D9E"/>
    <w:rsid w:val="00562F3F"/>
    <w:rsid w:val="00563AA4"/>
    <w:rsid w:val="00565140"/>
    <w:rsid w:val="005666BC"/>
    <w:rsid w:val="00567EE7"/>
    <w:rsid w:val="00570BBF"/>
    <w:rsid w:val="00573BA8"/>
    <w:rsid w:val="00574487"/>
    <w:rsid w:val="005746D2"/>
    <w:rsid w:val="0057534A"/>
    <w:rsid w:val="005754CE"/>
    <w:rsid w:val="00576694"/>
    <w:rsid w:val="00580BF4"/>
    <w:rsid w:val="00581E43"/>
    <w:rsid w:val="00582FC4"/>
    <w:rsid w:val="00583250"/>
    <w:rsid w:val="0058351A"/>
    <w:rsid w:val="0058593C"/>
    <w:rsid w:val="00586258"/>
    <w:rsid w:val="0058737F"/>
    <w:rsid w:val="005877F8"/>
    <w:rsid w:val="00590E34"/>
    <w:rsid w:val="00591228"/>
    <w:rsid w:val="00591B98"/>
    <w:rsid w:val="00591FD1"/>
    <w:rsid w:val="00593602"/>
    <w:rsid w:val="005A0210"/>
    <w:rsid w:val="005A58E1"/>
    <w:rsid w:val="005B1BF3"/>
    <w:rsid w:val="005B2373"/>
    <w:rsid w:val="005B7D81"/>
    <w:rsid w:val="005C1667"/>
    <w:rsid w:val="005C1F5E"/>
    <w:rsid w:val="005C223C"/>
    <w:rsid w:val="005C35EA"/>
    <w:rsid w:val="005C36E5"/>
    <w:rsid w:val="005C3EBF"/>
    <w:rsid w:val="005C43D6"/>
    <w:rsid w:val="005C520D"/>
    <w:rsid w:val="005C532F"/>
    <w:rsid w:val="005C57D4"/>
    <w:rsid w:val="005C61FD"/>
    <w:rsid w:val="005C662C"/>
    <w:rsid w:val="005C7618"/>
    <w:rsid w:val="005D0B8C"/>
    <w:rsid w:val="005D2F1F"/>
    <w:rsid w:val="005D31AB"/>
    <w:rsid w:val="005D569B"/>
    <w:rsid w:val="005D59EF"/>
    <w:rsid w:val="005D5FC7"/>
    <w:rsid w:val="005D63A5"/>
    <w:rsid w:val="005D6F85"/>
    <w:rsid w:val="005D7CEF"/>
    <w:rsid w:val="005D7E2E"/>
    <w:rsid w:val="005E07C8"/>
    <w:rsid w:val="005E1353"/>
    <w:rsid w:val="005E276D"/>
    <w:rsid w:val="005E4709"/>
    <w:rsid w:val="005E50FA"/>
    <w:rsid w:val="005E637D"/>
    <w:rsid w:val="005E719A"/>
    <w:rsid w:val="005F6175"/>
    <w:rsid w:val="005F6885"/>
    <w:rsid w:val="005F6EEB"/>
    <w:rsid w:val="005F73A5"/>
    <w:rsid w:val="005F76A1"/>
    <w:rsid w:val="005F79B1"/>
    <w:rsid w:val="00601DB5"/>
    <w:rsid w:val="006037EE"/>
    <w:rsid w:val="0060404B"/>
    <w:rsid w:val="006053FA"/>
    <w:rsid w:val="00607354"/>
    <w:rsid w:val="006073AC"/>
    <w:rsid w:val="00610828"/>
    <w:rsid w:val="00610EC5"/>
    <w:rsid w:val="00612EA2"/>
    <w:rsid w:val="00614E7B"/>
    <w:rsid w:val="00615578"/>
    <w:rsid w:val="006155BE"/>
    <w:rsid w:val="006160AC"/>
    <w:rsid w:val="006204FB"/>
    <w:rsid w:val="00622144"/>
    <w:rsid w:val="00622EBF"/>
    <w:rsid w:val="00624CCB"/>
    <w:rsid w:val="00627715"/>
    <w:rsid w:val="006309DA"/>
    <w:rsid w:val="00630E44"/>
    <w:rsid w:val="00630EF0"/>
    <w:rsid w:val="00632470"/>
    <w:rsid w:val="006329B9"/>
    <w:rsid w:val="00632AFC"/>
    <w:rsid w:val="00632CE5"/>
    <w:rsid w:val="0063460A"/>
    <w:rsid w:val="006348DA"/>
    <w:rsid w:val="00635B90"/>
    <w:rsid w:val="00637C80"/>
    <w:rsid w:val="00640E88"/>
    <w:rsid w:val="006411A5"/>
    <w:rsid w:val="006422D1"/>
    <w:rsid w:val="006424EF"/>
    <w:rsid w:val="0064270E"/>
    <w:rsid w:val="00643B32"/>
    <w:rsid w:val="00645F80"/>
    <w:rsid w:val="00645FB2"/>
    <w:rsid w:val="00646647"/>
    <w:rsid w:val="00647775"/>
    <w:rsid w:val="00651CBD"/>
    <w:rsid w:val="00652090"/>
    <w:rsid w:val="00654FCF"/>
    <w:rsid w:val="006553AC"/>
    <w:rsid w:val="00655E63"/>
    <w:rsid w:val="006570AD"/>
    <w:rsid w:val="00657394"/>
    <w:rsid w:val="006606B7"/>
    <w:rsid w:val="00662054"/>
    <w:rsid w:val="00662BC7"/>
    <w:rsid w:val="006639D2"/>
    <w:rsid w:val="0066484F"/>
    <w:rsid w:val="0066495C"/>
    <w:rsid w:val="00665872"/>
    <w:rsid w:val="00666DFD"/>
    <w:rsid w:val="0067145D"/>
    <w:rsid w:val="00672E17"/>
    <w:rsid w:val="00672FCF"/>
    <w:rsid w:val="0067471C"/>
    <w:rsid w:val="00674D32"/>
    <w:rsid w:val="006777B0"/>
    <w:rsid w:val="006778F7"/>
    <w:rsid w:val="00677917"/>
    <w:rsid w:val="006802D8"/>
    <w:rsid w:val="00681836"/>
    <w:rsid w:val="00682721"/>
    <w:rsid w:val="00682BCD"/>
    <w:rsid w:val="00684592"/>
    <w:rsid w:val="00687831"/>
    <w:rsid w:val="00687ED7"/>
    <w:rsid w:val="00690358"/>
    <w:rsid w:val="006913DE"/>
    <w:rsid w:val="0069148D"/>
    <w:rsid w:val="00692FF4"/>
    <w:rsid w:val="00694336"/>
    <w:rsid w:val="00695499"/>
    <w:rsid w:val="00696044"/>
    <w:rsid w:val="00696AB3"/>
    <w:rsid w:val="00697B53"/>
    <w:rsid w:val="006A2099"/>
    <w:rsid w:val="006A3128"/>
    <w:rsid w:val="006A449C"/>
    <w:rsid w:val="006A4EC8"/>
    <w:rsid w:val="006A5E7E"/>
    <w:rsid w:val="006A756D"/>
    <w:rsid w:val="006A75D9"/>
    <w:rsid w:val="006B0406"/>
    <w:rsid w:val="006B1E24"/>
    <w:rsid w:val="006B44BF"/>
    <w:rsid w:val="006B5F1F"/>
    <w:rsid w:val="006B631E"/>
    <w:rsid w:val="006B6FA0"/>
    <w:rsid w:val="006C0AEC"/>
    <w:rsid w:val="006C31FA"/>
    <w:rsid w:val="006C3235"/>
    <w:rsid w:val="006C38D4"/>
    <w:rsid w:val="006C5C0F"/>
    <w:rsid w:val="006C78F6"/>
    <w:rsid w:val="006C798A"/>
    <w:rsid w:val="006D0572"/>
    <w:rsid w:val="006D4C40"/>
    <w:rsid w:val="006D57CF"/>
    <w:rsid w:val="006D64B6"/>
    <w:rsid w:val="006D6545"/>
    <w:rsid w:val="006D6805"/>
    <w:rsid w:val="006D6F56"/>
    <w:rsid w:val="006D7E84"/>
    <w:rsid w:val="006E2D33"/>
    <w:rsid w:val="006E5AF1"/>
    <w:rsid w:val="006E672C"/>
    <w:rsid w:val="006E72AA"/>
    <w:rsid w:val="006E7F33"/>
    <w:rsid w:val="006F1AD4"/>
    <w:rsid w:val="006F1DCB"/>
    <w:rsid w:val="006F2AC1"/>
    <w:rsid w:val="006F2EA5"/>
    <w:rsid w:val="006F3577"/>
    <w:rsid w:val="006F35C0"/>
    <w:rsid w:val="006F3F76"/>
    <w:rsid w:val="006F440D"/>
    <w:rsid w:val="006F4937"/>
    <w:rsid w:val="006F6435"/>
    <w:rsid w:val="006F64F7"/>
    <w:rsid w:val="00700FBD"/>
    <w:rsid w:val="007015F7"/>
    <w:rsid w:val="00702087"/>
    <w:rsid w:val="007033C6"/>
    <w:rsid w:val="0070398B"/>
    <w:rsid w:val="007049FC"/>
    <w:rsid w:val="00705463"/>
    <w:rsid w:val="00705CD4"/>
    <w:rsid w:val="00707F0C"/>
    <w:rsid w:val="00710D1D"/>
    <w:rsid w:val="00710EF6"/>
    <w:rsid w:val="00711B2C"/>
    <w:rsid w:val="007139F3"/>
    <w:rsid w:val="007143A8"/>
    <w:rsid w:val="00715110"/>
    <w:rsid w:val="00715677"/>
    <w:rsid w:val="007159A1"/>
    <w:rsid w:val="00717311"/>
    <w:rsid w:val="00720472"/>
    <w:rsid w:val="00721369"/>
    <w:rsid w:val="0072186C"/>
    <w:rsid w:val="00722583"/>
    <w:rsid w:val="00722724"/>
    <w:rsid w:val="00723CE5"/>
    <w:rsid w:val="00725C8B"/>
    <w:rsid w:val="00725FFD"/>
    <w:rsid w:val="007271EC"/>
    <w:rsid w:val="00730B7D"/>
    <w:rsid w:val="0073305A"/>
    <w:rsid w:val="007342E0"/>
    <w:rsid w:val="00734438"/>
    <w:rsid w:val="007344E4"/>
    <w:rsid w:val="007419A1"/>
    <w:rsid w:val="00742B83"/>
    <w:rsid w:val="00743A46"/>
    <w:rsid w:val="0074486C"/>
    <w:rsid w:val="007453E8"/>
    <w:rsid w:val="00746D34"/>
    <w:rsid w:val="00750C7C"/>
    <w:rsid w:val="007521DE"/>
    <w:rsid w:val="00753930"/>
    <w:rsid w:val="007645E6"/>
    <w:rsid w:val="00765AEA"/>
    <w:rsid w:val="00770C5D"/>
    <w:rsid w:val="00771D1F"/>
    <w:rsid w:val="0077222E"/>
    <w:rsid w:val="007731F9"/>
    <w:rsid w:val="0077359E"/>
    <w:rsid w:val="0077395B"/>
    <w:rsid w:val="00776BCD"/>
    <w:rsid w:val="00776C02"/>
    <w:rsid w:val="007832E9"/>
    <w:rsid w:val="007834B6"/>
    <w:rsid w:val="00785913"/>
    <w:rsid w:val="0078746D"/>
    <w:rsid w:val="00792CAB"/>
    <w:rsid w:val="00792E85"/>
    <w:rsid w:val="00793075"/>
    <w:rsid w:val="007945B4"/>
    <w:rsid w:val="00796BB5"/>
    <w:rsid w:val="00797BFF"/>
    <w:rsid w:val="007A1B56"/>
    <w:rsid w:val="007A2423"/>
    <w:rsid w:val="007A353D"/>
    <w:rsid w:val="007A3655"/>
    <w:rsid w:val="007A59E0"/>
    <w:rsid w:val="007A5DEE"/>
    <w:rsid w:val="007A5E2E"/>
    <w:rsid w:val="007A7635"/>
    <w:rsid w:val="007B02D2"/>
    <w:rsid w:val="007B4862"/>
    <w:rsid w:val="007B49C2"/>
    <w:rsid w:val="007B7183"/>
    <w:rsid w:val="007B719E"/>
    <w:rsid w:val="007C3C81"/>
    <w:rsid w:val="007C4B05"/>
    <w:rsid w:val="007C4E71"/>
    <w:rsid w:val="007C7145"/>
    <w:rsid w:val="007D01ED"/>
    <w:rsid w:val="007D0F85"/>
    <w:rsid w:val="007D1FB0"/>
    <w:rsid w:val="007D30D7"/>
    <w:rsid w:val="007D46BA"/>
    <w:rsid w:val="007D6102"/>
    <w:rsid w:val="007D6F31"/>
    <w:rsid w:val="007D7AD5"/>
    <w:rsid w:val="007E099C"/>
    <w:rsid w:val="007E0ABF"/>
    <w:rsid w:val="007E2B5E"/>
    <w:rsid w:val="007E2B7E"/>
    <w:rsid w:val="007E3074"/>
    <w:rsid w:val="007E4D8D"/>
    <w:rsid w:val="007F039D"/>
    <w:rsid w:val="007F1875"/>
    <w:rsid w:val="007F24A7"/>
    <w:rsid w:val="007F626F"/>
    <w:rsid w:val="00800195"/>
    <w:rsid w:val="008058C3"/>
    <w:rsid w:val="00805D62"/>
    <w:rsid w:val="00806BE7"/>
    <w:rsid w:val="00807210"/>
    <w:rsid w:val="00810D9D"/>
    <w:rsid w:val="00810E5C"/>
    <w:rsid w:val="00811EBD"/>
    <w:rsid w:val="00814026"/>
    <w:rsid w:val="00820578"/>
    <w:rsid w:val="00820930"/>
    <w:rsid w:val="00820EC9"/>
    <w:rsid w:val="00823398"/>
    <w:rsid w:val="00823BAA"/>
    <w:rsid w:val="00826CA4"/>
    <w:rsid w:val="00827EAD"/>
    <w:rsid w:val="00830163"/>
    <w:rsid w:val="00831F9C"/>
    <w:rsid w:val="00836DC4"/>
    <w:rsid w:val="00840B0A"/>
    <w:rsid w:val="00841A0A"/>
    <w:rsid w:val="008466E3"/>
    <w:rsid w:val="00846FEE"/>
    <w:rsid w:val="00847A44"/>
    <w:rsid w:val="00850EC0"/>
    <w:rsid w:val="00851F89"/>
    <w:rsid w:val="008526DD"/>
    <w:rsid w:val="00853FE6"/>
    <w:rsid w:val="0085757E"/>
    <w:rsid w:val="0085794F"/>
    <w:rsid w:val="00861480"/>
    <w:rsid w:val="00861E76"/>
    <w:rsid w:val="00862B4C"/>
    <w:rsid w:val="008630FD"/>
    <w:rsid w:val="0086411E"/>
    <w:rsid w:val="008649D1"/>
    <w:rsid w:val="008654AE"/>
    <w:rsid w:val="0086692F"/>
    <w:rsid w:val="00866DA7"/>
    <w:rsid w:val="008674CD"/>
    <w:rsid w:val="00876D70"/>
    <w:rsid w:val="00880798"/>
    <w:rsid w:val="00880BBE"/>
    <w:rsid w:val="00880D58"/>
    <w:rsid w:val="00881114"/>
    <w:rsid w:val="008819D4"/>
    <w:rsid w:val="00881E95"/>
    <w:rsid w:val="00883BE6"/>
    <w:rsid w:val="00883C6D"/>
    <w:rsid w:val="008846ED"/>
    <w:rsid w:val="00885613"/>
    <w:rsid w:val="008869C4"/>
    <w:rsid w:val="0088717D"/>
    <w:rsid w:val="008878FC"/>
    <w:rsid w:val="00891A49"/>
    <w:rsid w:val="008932F9"/>
    <w:rsid w:val="00893D06"/>
    <w:rsid w:val="008945FF"/>
    <w:rsid w:val="00896120"/>
    <w:rsid w:val="00897D64"/>
    <w:rsid w:val="008A0385"/>
    <w:rsid w:val="008A0E12"/>
    <w:rsid w:val="008A1E53"/>
    <w:rsid w:val="008A2477"/>
    <w:rsid w:val="008A28A2"/>
    <w:rsid w:val="008A3C3E"/>
    <w:rsid w:val="008A4F7D"/>
    <w:rsid w:val="008A7463"/>
    <w:rsid w:val="008B0B59"/>
    <w:rsid w:val="008B2694"/>
    <w:rsid w:val="008B42DE"/>
    <w:rsid w:val="008B5614"/>
    <w:rsid w:val="008B6BFF"/>
    <w:rsid w:val="008C0184"/>
    <w:rsid w:val="008C0A62"/>
    <w:rsid w:val="008C10A9"/>
    <w:rsid w:val="008C2A77"/>
    <w:rsid w:val="008C4542"/>
    <w:rsid w:val="008C4552"/>
    <w:rsid w:val="008C5279"/>
    <w:rsid w:val="008C5747"/>
    <w:rsid w:val="008C7B34"/>
    <w:rsid w:val="008D0336"/>
    <w:rsid w:val="008D049E"/>
    <w:rsid w:val="008D2B91"/>
    <w:rsid w:val="008D36FA"/>
    <w:rsid w:val="008D4549"/>
    <w:rsid w:val="008D487B"/>
    <w:rsid w:val="008D4BD5"/>
    <w:rsid w:val="008D5BE8"/>
    <w:rsid w:val="008D640A"/>
    <w:rsid w:val="008D6AA2"/>
    <w:rsid w:val="008D6FCD"/>
    <w:rsid w:val="008D7F27"/>
    <w:rsid w:val="008E1610"/>
    <w:rsid w:val="008E271A"/>
    <w:rsid w:val="008E28DD"/>
    <w:rsid w:val="008E3C12"/>
    <w:rsid w:val="008E3E26"/>
    <w:rsid w:val="008E3FD9"/>
    <w:rsid w:val="008E775E"/>
    <w:rsid w:val="008E7B9F"/>
    <w:rsid w:val="008F0684"/>
    <w:rsid w:val="008F1411"/>
    <w:rsid w:val="008F2568"/>
    <w:rsid w:val="008F30AD"/>
    <w:rsid w:val="008F56AE"/>
    <w:rsid w:val="008F5A62"/>
    <w:rsid w:val="008F7BFD"/>
    <w:rsid w:val="00901E23"/>
    <w:rsid w:val="00904DC5"/>
    <w:rsid w:val="0090621E"/>
    <w:rsid w:val="009066A7"/>
    <w:rsid w:val="009104F3"/>
    <w:rsid w:val="00911C5E"/>
    <w:rsid w:val="00913CDD"/>
    <w:rsid w:val="00914BF7"/>
    <w:rsid w:val="00914EFB"/>
    <w:rsid w:val="0091553F"/>
    <w:rsid w:val="00915CD9"/>
    <w:rsid w:val="00916847"/>
    <w:rsid w:val="0091689A"/>
    <w:rsid w:val="00916C78"/>
    <w:rsid w:val="009174CA"/>
    <w:rsid w:val="00920A48"/>
    <w:rsid w:val="00920A9B"/>
    <w:rsid w:val="00920C7D"/>
    <w:rsid w:val="009215E9"/>
    <w:rsid w:val="009237D0"/>
    <w:rsid w:val="0092512D"/>
    <w:rsid w:val="00926466"/>
    <w:rsid w:val="00926EA3"/>
    <w:rsid w:val="00927950"/>
    <w:rsid w:val="00930E5C"/>
    <w:rsid w:val="00932D8E"/>
    <w:rsid w:val="0093339A"/>
    <w:rsid w:val="0093415D"/>
    <w:rsid w:val="0093430C"/>
    <w:rsid w:val="00935C03"/>
    <w:rsid w:val="009364E3"/>
    <w:rsid w:val="009370FD"/>
    <w:rsid w:val="00937F8F"/>
    <w:rsid w:val="00937FF2"/>
    <w:rsid w:val="0094039C"/>
    <w:rsid w:val="0094095B"/>
    <w:rsid w:val="00941FF1"/>
    <w:rsid w:val="00943285"/>
    <w:rsid w:val="00944244"/>
    <w:rsid w:val="0094424A"/>
    <w:rsid w:val="00945A36"/>
    <w:rsid w:val="009463A5"/>
    <w:rsid w:val="009506F3"/>
    <w:rsid w:val="009515BA"/>
    <w:rsid w:val="009526DC"/>
    <w:rsid w:val="00952F99"/>
    <w:rsid w:val="00956F4B"/>
    <w:rsid w:val="009572D5"/>
    <w:rsid w:val="00957A16"/>
    <w:rsid w:val="00962652"/>
    <w:rsid w:val="0096282A"/>
    <w:rsid w:val="0096331A"/>
    <w:rsid w:val="009653DD"/>
    <w:rsid w:val="0097115D"/>
    <w:rsid w:val="00973331"/>
    <w:rsid w:val="00973485"/>
    <w:rsid w:val="00973901"/>
    <w:rsid w:val="00974A1D"/>
    <w:rsid w:val="00977EDA"/>
    <w:rsid w:val="009805DB"/>
    <w:rsid w:val="009861E0"/>
    <w:rsid w:val="00991056"/>
    <w:rsid w:val="009917A1"/>
    <w:rsid w:val="0099211A"/>
    <w:rsid w:val="00996993"/>
    <w:rsid w:val="009971D3"/>
    <w:rsid w:val="0099735D"/>
    <w:rsid w:val="00997610"/>
    <w:rsid w:val="009A369B"/>
    <w:rsid w:val="009A4DF0"/>
    <w:rsid w:val="009B254B"/>
    <w:rsid w:val="009B29B7"/>
    <w:rsid w:val="009B33E4"/>
    <w:rsid w:val="009B562F"/>
    <w:rsid w:val="009B6E6B"/>
    <w:rsid w:val="009C0CEF"/>
    <w:rsid w:val="009C1A89"/>
    <w:rsid w:val="009C1FE6"/>
    <w:rsid w:val="009C2FAB"/>
    <w:rsid w:val="009C3350"/>
    <w:rsid w:val="009C3CC3"/>
    <w:rsid w:val="009C6BFA"/>
    <w:rsid w:val="009C7857"/>
    <w:rsid w:val="009D1B9B"/>
    <w:rsid w:val="009D3C0D"/>
    <w:rsid w:val="009D4F7D"/>
    <w:rsid w:val="009D6906"/>
    <w:rsid w:val="009D7EB5"/>
    <w:rsid w:val="009D7FCD"/>
    <w:rsid w:val="009E1F66"/>
    <w:rsid w:val="009E28FF"/>
    <w:rsid w:val="009E2F43"/>
    <w:rsid w:val="009E40C9"/>
    <w:rsid w:val="009E6CF8"/>
    <w:rsid w:val="009E6F38"/>
    <w:rsid w:val="009F0847"/>
    <w:rsid w:val="009F25B4"/>
    <w:rsid w:val="009F5980"/>
    <w:rsid w:val="009F5A22"/>
    <w:rsid w:val="009F6A5C"/>
    <w:rsid w:val="009F731B"/>
    <w:rsid w:val="00A0031F"/>
    <w:rsid w:val="00A0114B"/>
    <w:rsid w:val="00A0228D"/>
    <w:rsid w:val="00A056D2"/>
    <w:rsid w:val="00A07ECF"/>
    <w:rsid w:val="00A12DFF"/>
    <w:rsid w:val="00A156D6"/>
    <w:rsid w:val="00A15E28"/>
    <w:rsid w:val="00A17255"/>
    <w:rsid w:val="00A17D91"/>
    <w:rsid w:val="00A20586"/>
    <w:rsid w:val="00A20DE3"/>
    <w:rsid w:val="00A2378B"/>
    <w:rsid w:val="00A23DCC"/>
    <w:rsid w:val="00A24E47"/>
    <w:rsid w:val="00A3087B"/>
    <w:rsid w:val="00A311B6"/>
    <w:rsid w:val="00A31C25"/>
    <w:rsid w:val="00A34781"/>
    <w:rsid w:val="00A34E1A"/>
    <w:rsid w:val="00A37AF2"/>
    <w:rsid w:val="00A37BDC"/>
    <w:rsid w:val="00A40512"/>
    <w:rsid w:val="00A40EAB"/>
    <w:rsid w:val="00A4191F"/>
    <w:rsid w:val="00A41DA1"/>
    <w:rsid w:val="00A420F5"/>
    <w:rsid w:val="00A436ED"/>
    <w:rsid w:val="00A46D70"/>
    <w:rsid w:val="00A470DF"/>
    <w:rsid w:val="00A50229"/>
    <w:rsid w:val="00A50CF3"/>
    <w:rsid w:val="00A52319"/>
    <w:rsid w:val="00A52A50"/>
    <w:rsid w:val="00A530DE"/>
    <w:rsid w:val="00A54384"/>
    <w:rsid w:val="00A5527B"/>
    <w:rsid w:val="00A571B1"/>
    <w:rsid w:val="00A571DA"/>
    <w:rsid w:val="00A57639"/>
    <w:rsid w:val="00A60B74"/>
    <w:rsid w:val="00A613F6"/>
    <w:rsid w:val="00A615A1"/>
    <w:rsid w:val="00A617C1"/>
    <w:rsid w:val="00A61BE1"/>
    <w:rsid w:val="00A62309"/>
    <w:rsid w:val="00A62EEE"/>
    <w:rsid w:val="00A639D8"/>
    <w:rsid w:val="00A63FF9"/>
    <w:rsid w:val="00A64E96"/>
    <w:rsid w:val="00A65827"/>
    <w:rsid w:val="00A669EE"/>
    <w:rsid w:val="00A66C95"/>
    <w:rsid w:val="00A67E94"/>
    <w:rsid w:val="00A70351"/>
    <w:rsid w:val="00A70FE5"/>
    <w:rsid w:val="00A71628"/>
    <w:rsid w:val="00A748B3"/>
    <w:rsid w:val="00A7591D"/>
    <w:rsid w:val="00A7678B"/>
    <w:rsid w:val="00A81496"/>
    <w:rsid w:val="00A82AD7"/>
    <w:rsid w:val="00A8480C"/>
    <w:rsid w:val="00A84F8B"/>
    <w:rsid w:val="00A85FC3"/>
    <w:rsid w:val="00A87A5C"/>
    <w:rsid w:val="00A927BD"/>
    <w:rsid w:val="00A92F14"/>
    <w:rsid w:val="00A93466"/>
    <w:rsid w:val="00A95938"/>
    <w:rsid w:val="00A95E9A"/>
    <w:rsid w:val="00A968B6"/>
    <w:rsid w:val="00A97B8B"/>
    <w:rsid w:val="00AA1BAB"/>
    <w:rsid w:val="00AA35A8"/>
    <w:rsid w:val="00AA5318"/>
    <w:rsid w:val="00AA5E61"/>
    <w:rsid w:val="00AA78F7"/>
    <w:rsid w:val="00AB030D"/>
    <w:rsid w:val="00AB09C5"/>
    <w:rsid w:val="00AB11B2"/>
    <w:rsid w:val="00AB240E"/>
    <w:rsid w:val="00AB2D41"/>
    <w:rsid w:val="00AB33C8"/>
    <w:rsid w:val="00AB34AB"/>
    <w:rsid w:val="00AB44C2"/>
    <w:rsid w:val="00AB57CC"/>
    <w:rsid w:val="00AB6FF3"/>
    <w:rsid w:val="00AB7393"/>
    <w:rsid w:val="00AC0FDB"/>
    <w:rsid w:val="00AC5BC7"/>
    <w:rsid w:val="00AC5E52"/>
    <w:rsid w:val="00AC654A"/>
    <w:rsid w:val="00AC7055"/>
    <w:rsid w:val="00AC7B7D"/>
    <w:rsid w:val="00AC7EE4"/>
    <w:rsid w:val="00AD4212"/>
    <w:rsid w:val="00AE08FF"/>
    <w:rsid w:val="00AE0A1A"/>
    <w:rsid w:val="00AE0CB6"/>
    <w:rsid w:val="00AE0E67"/>
    <w:rsid w:val="00AE0EB1"/>
    <w:rsid w:val="00AE10BD"/>
    <w:rsid w:val="00AE16E7"/>
    <w:rsid w:val="00AE1D88"/>
    <w:rsid w:val="00AE2D33"/>
    <w:rsid w:val="00AE3D49"/>
    <w:rsid w:val="00AE5F19"/>
    <w:rsid w:val="00AE6333"/>
    <w:rsid w:val="00AE79CB"/>
    <w:rsid w:val="00AE7E4B"/>
    <w:rsid w:val="00AE7EE0"/>
    <w:rsid w:val="00AF00AB"/>
    <w:rsid w:val="00AF01A9"/>
    <w:rsid w:val="00AF07E1"/>
    <w:rsid w:val="00AF0E9E"/>
    <w:rsid w:val="00AF4063"/>
    <w:rsid w:val="00AF4AAF"/>
    <w:rsid w:val="00AF541C"/>
    <w:rsid w:val="00AF5FB6"/>
    <w:rsid w:val="00AF6057"/>
    <w:rsid w:val="00AF6297"/>
    <w:rsid w:val="00AF6CE7"/>
    <w:rsid w:val="00B000E1"/>
    <w:rsid w:val="00B002D2"/>
    <w:rsid w:val="00B0261C"/>
    <w:rsid w:val="00B051F8"/>
    <w:rsid w:val="00B0613A"/>
    <w:rsid w:val="00B06E12"/>
    <w:rsid w:val="00B07A4D"/>
    <w:rsid w:val="00B108CF"/>
    <w:rsid w:val="00B11D42"/>
    <w:rsid w:val="00B12226"/>
    <w:rsid w:val="00B14AAA"/>
    <w:rsid w:val="00B151A3"/>
    <w:rsid w:val="00B171F3"/>
    <w:rsid w:val="00B2128F"/>
    <w:rsid w:val="00B21B7A"/>
    <w:rsid w:val="00B25883"/>
    <w:rsid w:val="00B263D3"/>
    <w:rsid w:val="00B27AC0"/>
    <w:rsid w:val="00B3033A"/>
    <w:rsid w:val="00B315C9"/>
    <w:rsid w:val="00B31E1B"/>
    <w:rsid w:val="00B32262"/>
    <w:rsid w:val="00B34D43"/>
    <w:rsid w:val="00B356D4"/>
    <w:rsid w:val="00B35B9E"/>
    <w:rsid w:val="00B35CF5"/>
    <w:rsid w:val="00B361F0"/>
    <w:rsid w:val="00B36EBB"/>
    <w:rsid w:val="00B37290"/>
    <w:rsid w:val="00B37604"/>
    <w:rsid w:val="00B4247E"/>
    <w:rsid w:val="00B43712"/>
    <w:rsid w:val="00B43CAD"/>
    <w:rsid w:val="00B44D1D"/>
    <w:rsid w:val="00B44F3C"/>
    <w:rsid w:val="00B451DC"/>
    <w:rsid w:val="00B46848"/>
    <w:rsid w:val="00B46B26"/>
    <w:rsid w:val="00B5117D"/>
    <w:rsid w:val="00B51EA6"/>
    <w:rsid w:val="00B532A0"/>
    <w:rsid w:val="00B554DD"/>
    <w:rsid w:val="00B6429A"/>
    <w:rsid w:val="00B6448C"/>
    <w:rsid w:val="00B6487F"/>
    <w:rsid w:val="00B6513E"/>
    <w:rsid w:val="00B6571B"/>
    <w:rsid w:val="00B6620B"/>
    <w:rsid w:val="00B66584"/>
    <w:rsid w:val="00B67504"/>
    <w:rsid w:val="00B71270"/>
    <w:rsid w:val="00B725A4"/>
    <w:rsid w:val="00B72F78"/>
    <w:rsid w:val="00B73D4A"/>
    <w:rsid w:val="00B76217"/>
    <w:rsid w:val="00B76E4A"/>
    <w:rsid w:val="00B82528"/>
    <w:rsid w:val="00B825B4"/>
    <w:rsid w:val="00B82ACA"/>
    <w:rsid w:val="00B82D99"/>
    <w:rsid w:val="00B83808"/>
    <w:rsid w:val="00B8495C"/>
    <w:rsid w:val="00B85589"/>
    <w:rsid w:val="00B86612"/>
    <w:rsid w:val="00B86E61"/>
    <w:rsid w:val="00B91FB3"/>
    <w:rsid w:val="00B9248C"/>
    <w:rsid w:val="00B92B04"/>
    <w:rsid w:val="00B95100"/>
    <w:rsid w:val="00B96838"/>
    <w:rsid w:val="00BA0BA0"/>
    <w:rsid w:val="00BA2A04"/>
    <w:rsid w:val="00BA33BE"/>
    <w:rsid w:val="00BB024E"/>
    <w:rsid w:val="00BB2F82"/>
    <w:rsid w:val="00BB3BC7"/>
    <w:rsid w:val="00BB42E0"/>
    <w:rsid w:val="00BB4462"/>
    <w:rsid w:val="00BB46F2"/>
    <w:rsid w:val="00BB5564"/>
    <w:rsid w:val="00BB570C"/>
    <w:rsid w:val="00BC0557"/>
    <w:rsid w:val="00BC06A0"/>
    <w:rsid w:val="00BC1F6F"/>
    <w:rsid w:val="00BC5427"/>
    <w:rsid w:val="00BC6744"/>
    <w:rsid w:val="00BC6874"/>
    <w:rsid w:val="00BD19B2"/>
    <w:rsid w:val="00BD2B15"/>
    <w:rsid w:val="00BD3452"/>
    <w:rsid w:val="00BD413D"/>
    <w:rsid w:val="00BD5269"/>
    <w:rsid w:val="00BD601B"/>
    <w:rsid w:val="00BD6FA6"/>
    <w:rsid w:val="00BD76F3"/>
    <w:rsid w:val="00BD7BCB"/>
    <w:rsid w:val="00BE046B"/>
    <w:rsid w:val="00BE0EAB"/>
    <w:rsid w:val="00BE1167"/>
    <w:rsid w:val="00BE1E7E"/>
    <w:rsid w:val="00BE2611"/>
    <w:rsid w:val="00BE37AD"/>
    <w:rsid w:val="00BE464F"/>
    <w:rsid w:val="00BE53CA"/>
    <w:rsid w:val="00BE5EF7"/>
    <w:rsid w:val="00BE5F01"/>
    <w:rsid w:val="00BE624B"/>
    <w:rsid w:val="00BF0C27"/>
    <w:rsid w:val="00BF2398"/>
    <w:rsid w:val="00BF34E1"/>
    <w:rsid w:val="00BF3DE4"/>
    <w:rsid w:val="00BF4831"/>
    <w:rsid w:val="00BF5F9E"/>
    <w:rsid w:val="00BF6DB1"/>
    <w:rsid w:val="00C00FD7"/>
    <w:rsid w:val="00C01D58"/>
    <w:rsid w:val="00C04D6F"/>
    <w:rsid w:val="00C05681"/>
    <w:rsid w:val="00C06576"/>
    <w:rsid w:val="00C12C58"/>
    <w:rsid w:val="00C13010"/>
    <w:rsid w:val="00C1463E"/>
    <w:rsid w:val="00C14EC9"/>
    <w:rsid w:val="00C15602"/>
    <w:rsid w:val="00C17DEB"/>
    <w:rsid w:val="00C202F3"/>
    <w:rsid w:val="00C21EB8"/>
    <w:rsid w:val="00C23EB9"/>
    <w:rsid w:val="00C24F8F"/>
    <w:rsid w:val="00C2781E"/>
    <w:rsid w:val="00C279BC"/>
    <w:rsid w:val="00C33BE2"/>
    <w:rsid w:val="00C33C1C"/>
    <w:rsid w:val="00C3400A"/>
    <w:rsid w:val="00C358A0"/>
    <w:rsid w:val="00C37D1F"/>
    <w:rsid w:val="00C419D2"/>
    <w:rsid w:val="00C42017"/>
    <w:rsid w:val="00C42E53"/>
    <w:rsid w:val="00C44541"/>
    <w:rsid w:val="00C452FE"/>
    <w:rsid w:val="00C46AB2"/>
    <w:rsid w:val="00C47622"/>
    <w:rsid w:val="00C503AC"/>
    <w:rsid w:val="00C504AE"/>
    <w:rsid w:val="00C50906"/>
    <w:rsid w:val="00C50B2A"/>
    <w:rsid w:val="00C51545"/>
    <w:rsid w:val="00C53B8A"/>
    <w:rsid w:val="00C544DA"/>
    <w:rsid w:val="00C56040"/>
    <w:rsid w:val="00C5690B"/>
    <w:rsid w:val="00C56BE2"/>
    <w:rsid w:val="00C56D94"/>
    <w:rsid w:val="00C57D38"/>
    <w:rsid w:val="00C607C2"/>
    <w:rsid w:val="00C62150"/>
    <w:rsid w:val="00C62667"/>
    <w:rsid w:val="00C6605A"/>
    <w:rsid w:val="00C66ED1"/>
    <w:rsid w:val="00C7012D"/>
    <w:rsid w:val="00C7100B"/>
    <w:rsid w:val="00C7158F"/>
    <w:rsid w:val="00C73AE2"/>
    <w:rsid w:val="00C7485C"/>
    <w:rsid w:val="00C776C2"/>
    <w:rsid w:val="00C809F7"/>
    <w:rsid w:val="00C85A37"/>
    <w:rsid w:val="00C875E1"/>
    <w:rsid w:val="00C87EC8"/>
    <w:rsid w:val="00C954B4"/>
    <w:rsid w:val="00C97C52"/>
    <w:rsid w:val="00C97E09"/>
    <w:rsid w:val="00CA01E3"/>
    <w:rsid w:val="00CA02B0"/>
    <w:rsid w:val="00CA357E"/>
    <w:rsid w:val="00CA4FA0"/>
    <w:rsid w:val="00CA5479"/>
    <w:rsid w:val="00CA602F"/>
    <w:rsid w:val="00CA7468"/>
    <w:rsid w:val="00CA798A"/>
    <w:rsid w:val="00CA7B9F"/>
    <w:rsid w:val="00CA7DF3"/>
    <w:rsid w:val="00CB0310"/>
    <w:rsid w:val="00CB0A82"/>
    <w:rsid w:val="00CB237E"/>
    <w:rsid w:val="00CB4C4E"/>
    <w:rsid w:val="00CB524E"/>
    <w:rsid w:val="00CB6D9D"/>
    <w:rsid w:val="00CC2664"/>
    <w:rsid w:val="00CC3C93"/>
    <w:rsid w:val="00CC6E4C"/>
    <w:rsid w:val="00CC6FA7"/>
    <w:rsid w:val="00CC758C"/>
    <w:rsid w:val="00CD115A"/>
    <w:rsid w:val="00CD13D0"/>
    <w:rsid w:val="00CD193E"/>
    <w:rsid w:val="00CD20B3"/>
    <w:rsid w:val="00CD28AE"/>
    <w:rsid w:val="00CD3509"/>
    <w:rsid w:val="00CD4255"/>
    <w:rsid w:val="00CD4D13"/>
    <w:rsid w:val="00CD6DA4"/>
    <w:rsid w:val="00CE2660"/>
    <w:rsid w:val="00CE45D3"/>
    <w:rsid w:val="00CE685A"/>
    <w:rsid w:val="00CE7237"/>
    <w:rsid w:val="00CF0E40"/>
    <w:rsid w:val="00CF0E4C"/>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10712"/>
    <w:rsid w:val="00D125AE"/>
    <w:rsid w:val="00D1291A"/>
    <w:rsid w:val="00D13B36"/>
    <w:rsid w:val="00D13E39"/>
    <w:rsid w:val="00D144EF"/>
    <w:rsid w:val="00D145F5"/>
    <w:rsid w:val="00D146BC"/>
    <w:rsid w:val="00D16DDF"/>
    <w:rsid w:val="00D1739C"/>
    <w:rsid w:val="00D220E4"/>
    <w:rsid w:val="00D252C3"/>
    <w:rsid w:val="00D26098"/>
    <w:rsid w:val="00D26741"/>
    <w:rsid w:val="00D27641"/>
    <w:rsid w:val="00D311AB"/>
    <w:rsid w:val="00D343D8"/>
    <w:rsid w:val="00D366CC"/>
    <w:rsid w:val="00D36C1C"/>
    <w:rsid w:val="00D371D6"/>
    <w:rsid w:val="00D40691"/>
    <w:rsid w:val="00D409E6"/>
    <w:rsid w:val="00D413EF"/>
    <w:rsid w:val="00D42FFE"/>
    <w:rsid w:val="00D452B9"/>
    <w:rsid w:val="00D455D8"/>
    <w:rsid w:val="00D46100"/>
    <w:rsid w:val="00D529A1"/>
    <w:rsid w:val="00D53C11"/>
    <w:rsid w:val="00D558ED"/>
    <w:rsid w:val="00D61758"/>
    <w:rsid w:val="00D62248"/>
    <w:rsid w:val="00D63C39"/>
    <w:rsid w:val="00D6474B"/>
    <w:rsid w:val="00D663CB"/>
    <w:rsid w:val="00D664C2"/>
    <w:rsid w:val="00D66518"/>
    <w:rsid w:val="00D66638"/>
    <w:rsid w:val="00D70368"/>
    <w:rsid w:val="00D72636"/>
    <w:rsid w:val="00D738E3"/>
    <w:rsid w:val="00D74BA9"/>
    <w:rsid w:val="00D75E26"/>
    <w:rsid w:val="00D762F4"/>
    <w:rsid w:val="00D82955"/>
    <w:rsid w:val="00D8307C"/>
    <w:rsid w:val="00D83641"/>
    <w:rsid w:val="00D844A1"/>
    <w:rsid w:val="00D86B70"/>
    <w:rsid w:val="00D87032"/>
    <w:rsid w:val="00D905C2"/>
    <w:rsid w:val="00D9356E"/>
    <w:rsid w:val="00D937D4"/>
    <w:rsid w:val="00D9680F"/>
    <w:rsid w:val="00D96965"/>
    <w:rsid w:val="00D97E89"/>
    <w:rsid w:val="00DA060C"/>
    <w:rsid w:val="00DA1160"/>
    <w:rsid w:val="00DA2E9A"/>
    <w:rsid w:val="00DA56A0"/>
    <w:rsid w:val="00DB092E"/>
    <w:rsid w:val="00DB1168"/>
    <w:rsid w:val="00DB324F"/>
    <w:rsid w:val="00DB4EE7"/>
    <w:rsid w:val="00DB5FAB"/>
    <w:rsid w:val="00DB7149"/>
    <w:rsid w:val="00DB7F6F"/>
    <w:rsid w:val="00DC0701"/>
    <w:rsid w:val="00DC09F2"/>
    <w:rsid w:val="00DC14D4"/>
    <w:rsid w:val="00DC1F74"/>
    <w:rsid w:val="00DC29CF"/>
    <w:rsid w:val="00DC5E5E"/>
    <w:rsid w:val="00DC63F4"/>
    <w:rsid w:val="00DD0036"/>
    <w:rsid w:val="00DD0063"/>
    <w:rsid w:val="00DD2117"/>
    <w:rsid w:val="00DD33A6"/>
    <w:rsid w:val="00DD41BC"/>
    <w:rsid w:val="00DD4AAF"/>
    <w:rsid w:val="00DD547F"/>
    <w:rsid w:val="00DE006A"/>
    <w:rsid w:val="00DE482E"/>
    <w:rsid w:val="00DE4BA0"/>
    <w:rsid w:val="00DE5899"/>
    <w:rsid w:val="00DE5900"/>
    <w:rsid w:val="00DE65AE"/>
    <w:rsid w:val="00DF0D8A"/>
    <w:rsid w:val="00DF1349"/>
    <w:rsid w:val="00DF2B75"/>
    <w:rsid w:val="00DF2D40"/>
    <w:rsid w:val="00DF327A"/>
    <w:rsid w:val="00DF3EF4"/>
    <w:rsid w:val="00DF456A"/>
    <w:rsid w:val="00DF4BA2"/>
    <w:rsid w:val="00DF6006"/>
    <w:rsid w:val="00DF6524"/>
    <w:rsid w:val="00DF70B2"/>
    <w:rsid w:val="00DF7630"/>
    <w:rsid w:val="00E029F3"/>
    <w:rsid w:val="00E02DC4"/>
    <w:rsid w:val="00E03E1B"/>
    <w:rsid w:val="00E05F73"/>
    <w:rsid w:val="00E07364"/>
    <w:rsid w:val="00E1026E"/>
    <w:rsid w:val="00E120E8"/>
    <w:rsid w:val="00E14CA4"/>
    <w:rsid w:val="00E14FEC"/>
    <w:rsid w:val="00E158E3"/>
    <w:rsid w:val="00E15C73"/>
    <w:rsid w:val="00E15F03"/>
    <w:rsid w:val="00E16AA1"/>
    <w:rsid w:val="00E17478"/>
    <w:rsid w:val="00E17B67"/>
    <w:rsid w:val="00E235A9"/>
    <w:rsid w:val="00E2477D"/>
    <w:rsid w:val="00E30A18"/>
    <w:rsid w:val="00E33521"/>
    <w:rsid w:val="00E3464C"/>
    <w:rsid w:val="00E35CAE"/>
    <w:rsid w:val="00E360DE"/>
    <w:rsid w:val="00E3741D"/>
    <w:rsid w:val="00E37AC9"/>
    <w:rsid w:val="00E40CAB"/>
    <w:rsid w:val="00E42CA1"/>
    <w:rsid w:val="00E433D2"/>
    <w:rsid w:val="00E44151"/>
    <w:rsid w:val="00E51726"/>
    <w:rsid w:val="00E53D36"/>
    <w:rsid w:val="00E556D7"/>
    <w:rsid w:val="00E55E00"/>
    <w:rsid w:val="00E56053"/>
    <w:rsid w:val="00E56DB0"/>
    <w:rsid w:val="00E57B28"/>
    <w:rsid w:val="00E602C3"/>
    <w:rsid w:val="00E6150A"/>
    <w:rsid w:val="00E63440"/>
    <w:rsid w:val="00E647C1"/>
    <w:rsid w:val="00E65E25"/>
    <w:rsid w:val="00E66DCB"/>
    <w:rsid w:val="00E721D2"/>
    <w:rsid w:val="00E7325C"/>
    <w:rsid w:val="00E7400C"/>
    <w:rsid w:val="00E742F5"/>
    <w:rsid w:val="00E74833"/>
    <w:rsid w:val="00E75B62"/>
    <w:rsid w:val="00E77B47"/>
    <w:rsid w:val="00E800F3"/>
    <w:rsid w:val="00E801E6"/>
    <w:rsid w:val="00E80505"/>
    <w:rsid w:val="00E83461"/>
    <w:rsid w:val="00E83633"/>
    <w:rsid w:val="00E83B09"/>
    <w:rsid w:val="00E84425"/>
    <w:rsid w:val="00E8623F"/>
    <w:rsid w:val="00E862C8"/>
    <w:rsid w:val="00E87CA5"/>
    <w:rsid w:val="00E87F78"/>
    <w:rsid w:val="00E90E3C"/>
    <w:rsid w:val="00E925FF"/>
    <w:rsid w:val="00E954A2"/>
    <w:rsid w:val="00E9587D"/>
    <w:rsid w:val="00E960C1"/>
    <w:rsid w:val="00E96CEF"/>
    <w:rsid w:val="00EA0A2B"/>
    <w:rsid w:val="00EA3D64"/>
    <w:rsid w:val="00EA508B"/>
    <w:rsid w:val="00EB259F"/>
    <w:rsid w:val="00EB2992"/>
    <w:rsid w:val="00EB422B"/>
    <w:rsid w:val="00EB48F1"/>
    <w:rsid w:val="00EB4BB1"/>
    <w:rsid w:val="00EB4D17"/>
    <w:rsid w:val="00EB6182"/>
    <w:rsid w:val="00EC0296"/>
    <w:rsid w:val="00EC0B31"/>
    <w:rsid w:val="00EC127B"/>
    <w:rsid w:val="00EC230A"/>
    <w:rsid w:val="00EC27E9"/>
    <w:rsid w:val="00EC29D8"/>
    <w:rsid w:val="00EC2D4B"/>
    <w:rsid w:val="00EC334D"/>
    <w:rsid w:val="00EC3DC2"/>
    <w:rsid w:val="00EC47F6"/>
    <w:rsid w:val="00EC50E7"/>
    <w:rsid w:val="00EC5941"/>
    <w:rsid w:val="00EC5C26"/>
    <w:rsid w:val="00EC6130"/>
    <w:rsid w:val="00EC62AF"/>
    <w:rsid w:val="00EC7EA1"/>
    <w:rsid w:val="00EC7FD9"/>
    <w:rsid w:val="00ED0CB6"/>
    <w:rsid w:val="00ED2992"/>
    <w:rsid w:val="00ED2B5D"/>
    <w:rsid w:val="00ED479D"/>
    <w:rsid w:val="00ED6706"/>
    <w:rsid w:val="00ED6F26"/>
    <w:rsid w:val="00ED73F5"/>
    <w:rsid w:val="00EE054F"/>
    <w:rsid w:val="00EE1D00"/>
    <w:rsid w:val="00EE2218"/>
    <w:rsid w:val="00EE2495"/>
    <w:rsid w:val="00EE445F"/>
    <w:rsid w:val="00EE4F68"/>
    <w:rsid w:val="00EE72BF"/>
    <w:rsid w:val="00EF07A5"/>
    <w:rsid w:val="00EF3152"/>
    <w:rsid w:val="00EF36A3"/>
    <w:rsid w:val="00EF557D"/>
    <w:rsid w:val="00EF77C5"/>
    <w:rsid w:val="00F02975"/>
    <w:rsid w:val="00F03520"/>
    <w:rsid w:val="00F04FA4"/>
    <w:rsid w:val="00F077B2"/>
    <w:rsid w:val="00F11CC4"/>
    <w:rsid w:val="00F12D11"/>
    <w:rsid w:val="00F138A7"/>
    <w:rsid w:val="00F15D9E"/>
    <w:rsid w:val="00F16389"/>
    <w:rsid w:val="00F1707E"/>
    <w:rsid w:val="00F22E7F"/>
    <w:rsid w:val="00F23F54"/>
    <w:rsid w:val="00F24F5F"/>
    <w:rsid w:val="00F254A3"/>
    <w:rsid w:val="00F25942"/>
    <w:rsid w:val="00F27039"/>
    <w:rsid w:val="00F270BF"/>
    <w:rsid w:val="00F27838"/>
    <w:rsid w:val="00F30183"/>
    <w:rsid w:val="00F30476"/>
    <w:rsid w:val="00F305F6"/>
    <w:rsid w:val="00F308BF"/>
    <w:rsid w:val="00F312EC"/>
    <w:rsid w:val="00F339AD"/>
    <w:rsid w:val="00F33B87"/>
    <w:rsid w:val="00F34287"/>
    <w:rsid w:val="00F34E55"/>
    <w:rsid w:val="00F359B5"/>
    <w:rsid w:val="00F35F8E"/>
    <w:rsid w:val="00F36FC9"/>
    <w:rsid w:val="00F401A8"/>
    <w:rsid w:val="00F42AB2"/>
    <w:rsid w:val="00F42EC0"/>
    <w:rsid w:val="00F45B9C"/>
    <w:rsid w:val="00F45E3C"/>
    <w:rsid w:val="00F50AFB"/>
    <w:rsid w:val="00F51984"/>
    <w:rsid w:val="00F51BAD"/>
    <w:rsid w:val="00F5525A"/>
    <w:rsid w:val="00F553C7"/>
    <w:rsid w:val="00F563EA"/>
    <w:rsid w:val="00F56ECA"/>
    <w:rsid w:val="00F5745A"/>
    <w:rsid w:val="00F57E8C"/>
    <w:rsid w:val="00F60580"/>
    <w:rsid w:val="00F607CB"/>
    <w:rsid w:val="00F60845"/>
    <w:rsid w:val="00F63899"/>
    <w:rsid w:val="00F66539"/>
    <w:rsid w:val="00F671A8"/>
    <w:rsid w:val="00F67BE5"/>
    <w:rsid w:val="00F70101"/>
    <w:rsid w:val="00F71906"/>
    <w:rsid w:val="00F73D11"/>
    <w:rsid w:val="00F756D0"/>
    <w:rsid w:val="00F75DD7"/>
    <w:rsid w:val="00F80393"/>
    <w:rsid w:val="00F80CE2"/>
    <w:rsid w:val="00F816D7"/>
    <w:rsid w:val="00F81C99"/>
    <w:rsid w:val="00F824F4"/>
    <w:rsid w:val="00F82801"/>
    <w:rsid w:val="00F828F5"/>
    <w:rsid w:val="00F85E74"/>
    <w:rsid w:val="00F8641A"/>
    <w:rsid w:val="00F8643C"/>
    <w:rsid w:val="00F87FCC"/>
    <w:rsid w:val="00F903D1"/>
    <w:rsid w:val="00F90A03"/>
    <w:rsid w:val="00F90D66"/>
    <w:rsid w:val="00F9207A"/>
    <w:rsid w:val="00F93D17"/>
    <w:rsid w:val="00F93D44"/>
    <w:rsid w:val="00F95763"/>
    <w:rsid w:val="00F95B5D"/>
    <w:rsid w:val="00F968CA"/>
    <w:rsid w:val="00F96E6A"/>
    <w:rsid w:val="00FA0AF0"/>
    <w:rsid w:val="00FA0E64"/>
    <w:rsid w:val="00FA6E0E"/>
    <w:rsid w:val="00FA79BA"/>
    <w:rsid w:val="00FB166C"/>
    <w:rsid w:val="00FB2053"/>
    <w:rsid w:val="00FB50B2"/>
    <w:rsid w:val="00FB523B"/>
    <w:rsid w:val="00FB6FA7"/>
    <w:rsid w:val="00FB70D6"/>
    <w:rsid w:val="00FB7196"/>
    <w:rsid w:val="00FC2EC6"/>
    <w:rsid w:val="00FC3954"/>
    <w:rsid w:val="00FC4CD6"/>
    <w:rsid w:val="00FC531A"/>
    <w:rsid w:val="00FC531D"/>
    <w:rsid w:val="00FC53DC"/>
    <w:rsid w:val="00FC55B7"/>
    <w:rsid w:val="00FC5FD6"/>
    <w:rsid w:val="00FC723A"/>
    <w:rsid w:val="00FD110D"/>
    <w:rsid w:val="00FD14EB"/>
    <w:rsid w:val="00FD178B"/>
    <w:rsid w:val="00FD218C"/>
    <w:rsid w:val="00FD3745"/>
    <w:rsid w:val="00FD6AA4"/>
    <w:rsid w:val="00FE4904"/>
    <w:rsid w:val="00FF171D"/>
    <w:rsid w:val="00FF64DB"/>
    <w:rsid w:val="00FF766B"/>
    <w:rsid w:val="00FF7D8A"/>
    <w:rsid w:val="017166AE"/>
    <w:rsid w:val="02BE311C"/>
    <w:rsid w:val="03472A7A"/>
    <w:rsid w:val="035C5764"/>
    <w:rsid w:val="036F2BA2"/>
    <w:rsid w:val="03846308"/>
    <w:rsid w:val="047F69C5"/>
    <w:rsid w:val="05260342"/>
    <w:rsid w:val="05A17ECD"/>
    <w:rsid w:val="05C110C6"/>
    <w:rsid w:val="05E36828"/>
    <w:rsid w:val="062E18F3"/>
    <w:rsid w:val="067D7AA2"/>
    <w:rsid w:val="06F776F1"/>
    <w:rsid w:val="074161BD"/>
    <w:rsid w:val="07B038BE"/>
    <w:rsid w:val="0819429F"/>
    <w:rsid w:val="090F43EE"/>
    <w:rsid w:val="09963BDE"/>
    <w:rsid w:val="099F532D"/>
    <w:rsid w:val="09D6785C"/>
    <w:rsid w:val="0A091AC8"/>
    <w:rsid w:val="0ABF50AA"/>
    <w:rsid w:val="0AE92AEA"/>
    <w:rsid w:val="0BA46FE5"/>
    <w:rsid w:val="0C5000DA"/>
    <w:rsid w:val="0C991E7C"/>
    <w:rsid w:val="0D2C0B8D"/>
    <w:rsid w:val="0DD109FF"/>
    <w:rsid w:val="0E99481F"/>
    <w:rsid w:val="0EB06133"/>
    <w:rsid w:val="0FB27A9C"/>
    <w:rsid w:val="0FC81EC0"/>
    <w:rsid w:val="0FE25DB5"/>
    <w:rsid w:val="10270E03"/>
    <w:rsid w:val="1030763E"/>
    <w:rsid w:val="108E4D8F"/>
    <w:rsid w:val="113D73E7"/>
    <w:rsid w:val="11424E6D"/>
    <w:rsid w:val="118810B3"/>
    <w:rsid w:val="12AB2E07"/>
    <w:rsid w:val="13FC4606"/>
    <w:rsid w:val="1402639A"/>
    <w:rsid w:val="146C50B8"/>
    <w:rsid w:val="14801917"/>
    <w:rsid w:val="14FF0D57"/>
    <w:rsid w:val="14FF0EF8"/>
    <w:rsid w:val="15180E13"/>
    <w:rsid w:val="15583CB7"/>
    <w:rsid w:val="155E3A2E"/>
    <w:rsid w:val="159D4B69"/>
    <w:rsid w:val="15A64713"/>
    <w:rsid w:val="15AA4F8C"/>
    <w:rsid w:val="162B2F6B"/>
    <w:rsid w:val="169C6984"/>
    <w:rsid w:val="16B818A0"/>
    <w:rsid w:val="16F778E7"/>
    <w:rsid w:val="173C04AE"/>
    <w:rsid w:val="17452918"/>
    <w:rsid w:val="17AB476E"/>
    <w:rsid w:val="18170679"/>
    <w:rsid w:val="181A16D9"/>
    <w:rsid w:val="186F74A0"/>
    <w:rsid w:val="18962D68"/>
    <w:rsid w:val="189A7A78"/>
    <w:rsid w:val="18AD3E25"/>
    <w:rsid w:val="18EE31ED"/>
    <w:rsid w:val="19446930"/>
    <w:rsid w:val="19446E2E"/>
    <w:rsid w:val="198321B8"/>
    <w:rsid w:val="19A7171C"/>
    <w:rsid w:val="1A0A5656"/>
    <w:rsid w:val="1A9E025C"/>
    <w:rsid w:val="1BE75179"/>
    <w:rsid w:val="1BE86DA1"/>
    <w:rsid w:val="1C97466F"/>
    <w:rsid w:val="1CA01400"/>
    <w:rsid w:val="1CF518FF"/>
    <w:rsid w:val="1D6C5079"/>
    <w:rsid w:val="1D8764F8"/>
    <w:rsid w:val="1DE930F0"/>
    <w:rsid w:val="1E013B91"/>
    <w:rsid w:val="1E3E2600"/>
    <w:rsid w:val="1EA74C14"/>
    <w:rsid w:val="1EDF5816"/>
    <w:rsid w:val="1F0D7627"/>
    <w:rsid w:val="1F2014D4"/>
    <w:rsid w:val="1F26699C"/>
    <w:rsid w:val="1FD944E4"/>
    <w:rsid w:val="1FF534E6"/>
    <w:rsid w:val="20040D23"/>
    <w:rsid w:val="20557E8A"/>
    <w:rsid w:val="20B66498"/>
    <w:rsid w:val="21374952"/>
    <w:rsid w:val="21AA5D26"/>
    <w:rsid w:val="21AB4E57"/>
    <w:rsid w:val="21D06A72"/>
    <w:rsid w:val="21D41936"/>
    <w:rsid w:val="21E23ED8"/>
    <w:rsid w:val="220E37A9"/>
    <w:rsid w:val="221207C2"/>
    <w:rsid w:val="22DB78F5"/>
    <w:rsid w:val="23516325"/>
    <w:rsid w:val="23CB2CA4"/>
    <w:rsid w:val="243C3C5B"/>
    <w:rsid w:val="246623A1"/>
    <w:rsid w:val="24997AEA"/>
    <w:rsid w:val="24CE4D35"/>
    <w:rsid w:val="24ED5098"/>
    <w:rsid w:val="251C352A"/>
    <w:rsid w:val="25445DE7"/>
    <w:rsid w:val="255611F9"/>
    <w:rsid w:val="255F3A5A"/>
    <w:rsid w:val="26580019"/>
    <w:rsid w:val="26A859B6"/>
    <w:rsid w:val="272141D1"/>
    <w:rsid w:val="277F3A90"/>
    <w:rsid w:val="27BD5A70"/>
    <w:rsid w:val="27D113A1"/>
    <w:rsid w:val="27E002CE"/>
    <w:rsid w:val="27F43E7E"/>
    <w:rsid w:val="289621F9"/>
    <w:rsid w:val="28BD69C7"/>
    <w:rsid w:val="28DC7F0B"/>
    <w:rsid w:val="291B095B"/>
    <w:rsid w:val="2980164F"/>
    <w:rsid w:val="29802F2C"/>
    <w:rsid w:val="29FE0F07"/>
    <w:rsid w:val="2A3B236E"/>
    <w:rsid w:val="2A3F2CCA"/>
    <w:rsid w:val="2AAC22D1"/>
    <w:rsid w:val="2ADA7A92"/>
    <w:rsid w:val="2B614FCD"/>
    <w:rsid w:val="2B8E61E2"/>
    <w:rsid w:val="2C216E78"/>
    <w:rsid w:val="2C4142AD"/>
    <w:rsid w:val="2D1D2D9B"/>
    <w:rsid w:val="2D1E071B"/>
    <w:rsid w:val="2D4A1E0D"/>
    <w:rsid w:val="2DE07322"/>
    <w:rsid w:val="2DE90B1B"/>
    <w:rsid w:val="2E5811B3"/>
    <w:rsid w:val="2EB836EE"/>
    <w:rsid w:val="2ED67E96"/>
    <w:rsid w:val="2EF23CD6"/>
    <w:rsid w:val="2F062E62"/>
    <w:rsid w:val="2F0D49DC"/>
    <w:rsid w:val="2F125D6F"/>
    <w:rsid w:val="2FD46947"/>
    <w:rsid w:val="2FDB271E"/>
    <w:rsid w:val="307D4419"/>
    <w:rsid w:val="30AB54C1"/>
    <w:rsid w:val="311B6127"/>
    <w:rsid w:val="31790ECC"/>
    <w:rsid w:val="32D16EAA"/>
    <w:rsid w:val="32DD47F3"/>
    <w:rsid w:val="33021AE5"/>
    <w:rsid w:val="339C6C14"/>
    <w:rsid w:val="33BB3A1D"/>
    <w:rsid w:val="34351C8F"/>
    <w:rsid w:val="34586192"/>
    <w:rsid w:val="348971F4"/>
    <w:rsid w:val="3527456F"/>
    <w:rsid w:val="35AC648F"/>
    <w:rsid w:val="35E25C99"/>
    <w:rsid w:val="35F46A37"/>
    <w:rsid w:val="3647248C"/>
    <w:rsid w:val="36F86C8C"/>
    <w:rsid w:val="37016490"/>
    <w:rsid w:val="37435B0A"/>
    <w:rsid w:val="378B0305"/>
    <w:rsid w:val="3800795E"/>
    <w:rsid w:val="38E54BBA"/>
    <w:rsid w:val="395664F6"/>
    <w:rsid w:val="3A1D4E97"/>
    <w:rsid w:val="3A6D5EB1"/>
    <w:rsid w:val="3B7E4D5D"/>
    <w:rsid w:val="3BB84EB1"/>
    <w:rsid w:val="3BE81EBA"/>
    <w:rsid w:val="3CA37266"/>
    <w:rsid w:val="3CEC2CCE"/>
    <w:rsid w:val="3DA942F9"/>
    <w:rsid w:val="3DC20B98"/>
    <w:rsid w:val="3E391907"/>
    <w:rsid w:val="3E4C5029"/>
    <w:rsid w:val="3E680CC6"/>
    <w:rsid w:val="3E692651"/>
    <w:rsid w:val="3E8B558D"/>
    <w:rsid w:val="3F310CDF"/>
    <w:rsid w:val="3F8D454B"/>
    <w:rsid w:val="3FC057F2"/>
    <w:rsid w:val="402732EB"/>
    <w:rsid w:val="406C2EF9"/>
    <w:rsid w:val="407D1FD6"/>
    <w:rsid w:val="40CD5ABE"/>
    <w:rsid w:val="40FC0656"/>
    <w:rsid w:val="41497056"/>
    <w:rsid w:val="416A3F49"/>
    <w:rsid w:val="41BC2410"/>
    <w:rsid w:val="41C81F1C"/>
    <w:rsid w:val="41EA6963"/>
    <w:rsid w:val="42312C76"/>
    <w:rsid w:val="42B8752D"/>
    <w:rsid w:val="42D2271A"/>
    <w:rsid w:val="433B5E34"/>
    <w:rsid w:val="43624598"/>
    <w:rsid w:val="43750D4A"/>
    <w:rsid w:val="443671E1"/>
    <w:rsid w:val="444A3643"/>
    <w:rsid w:val="44626ACF"/>
    <w:rsid w:val="44632FA9"/>
    <w:rsid w:val="44AD1498"/>
    <w:rsid w:val="44F03FC3"/>
    <w:rsid w:val="44FB7E33"/>
    <w:rsid w:val="4508235C"/>
    <w:rsid w:val="451B258D"/>
    <w:rsid w:val="45F002A2"/>
    <w:rsid w:val="460A7EAD"/>
    <w:rsid w:val="4667663A"/>
    <w:rsid w:val="466B1D6D"/>
    <w:rsid w:val="46A87566"/>
    <w:rsid w:val="476F4626"/>
    <w:rsid w:val="47F64CF1"/>
    <w:rsid w:val="48200FCD"/>
    <w:rsid w:val="48375B97"/>
    <w:rsid w:val="48423ED5"/>
    <w:rsid w:val="484B3D54"/>
    <w:rsid w:val="487A3128"/>
    <w:rsid w:val="48891619"/>
    <w:rsid w:val="48A44DA9"/>
    <w:rsid w:val="49A06737"/>
    <w:rsid w:val="49B77356"/>
    <w:rsid w:val="49BC1967"/>
    <w:rsid w:val="4A4C5267"/>
    <w:rsid w:val="4A515DF0"/>
    <w:rsid w:val="4A544660"/>
    <w:rsid w:val="4A6275E2"/>
    <w:rsid w:val="4AC37CBE"/>
    <w:rsid w:val="4AD5065F"/>
    <w:rsid w:val="4ADA24C9"/>
    <w:rsid w:val="4AF14603"/>
    <w:rsid w:val="4B06362A"/>
    <w:rsid w:val="4B6A540B"/>
    <w:rsid w:val="4B9746BC"/>
    <w:rsid w:val="4BD5024B"/>
    <w:rsid w:val="4C1B08AC"/>
    <w:rsid w:val="4C30059B"/>
    <w:rsid w:val="4C424621"/>
    <w:rsid w:val="4C4443E1"/>
    <w:rsid w:val="4C64404D"/>
    <w:rsid w:val="4C973583"/>
    <w:rsid w:val="4CD52DB7"/>
    <w:rsid w:val="4D282CAC"/>
    <w:rsid w:val="4D357A66"/>
    <w:rsid w:val="4D4D193A"/>
    <w:rsid w:val="4E261366"/>
    <w:rsid w:val="4E6E750B"/>
    <w:rsid w:val="4E8C2B54"/>
    <w:rsid w:val="4FB14393"/>
    <w:rsid w:val="4FF301F5"/>
    <w:rsid w:val="50070C2F"/>
    <w:rsid w:val="505F4DFA"/>
    <w:rsid w:val="50652C71"/>
    <w:rsid w:val="50AE41EA"/>
    <w:rsid w:val="511E023E"/>
    <w:rsid w:val="516408F9"/>
    <w:rsid w:val="51E219EB"/>
    <w:rsid w:val="51EA6EA5"/>
    <w:rsid w:val="51FA7AB5"/>
    <w:rsid w:val="52440C84"/>
    <w:rsid w:val="52940AB2"/>
    <w:rsid w:val="52A6609D"/>
    <w:rsid w:val="52F93CBF"/>
    <w:rsid w:val="53AA55BA"/>
    <w:rsid w:val="54155CE2"/>
    <w:rsid w:val="54D901EC"/>
    <w:rsid w:val="552807FB"/>
    <w:rsid w:val="554D6F8D"/>
    <w:rsid w:val="55D111DE"/>
    <w:rsid w:val="55E702B4"/>
    <w:rsid w:val="56226234"/>
    <w:rsid w:val="56D0089A"/>
    <w:rsid w:val="56E87032"/>
    <w:rsid w:val="573512F7"/>
    <w:rsid w:val="576F4822"/>
    <w:rsid w:val="57DD7540"/>
    <w:rsid w:val="586D5265"/>
    <w:rsid w:val="58807E24"/>
    <w:rsid w:val="588A6FED"/>
    <w:rsid w:val="58AD2161"/>
    <w:rsid w:val="59261B5F"/>
    <w:rsid w:val="597C68A3"/>
    <w:rsid w:val="5A6953CC"/>
    <w:rsid w:val="5B123CA6"/>
    <w:rsid w:val="5B805A7F"/>
    <w:rsid w:val="5C202253"/>
    <w:rsid w:val="5C55485D"/>
    <w:rsid w:val="5C613EAD"/>
    <w:rsid w:val="5C6D299F"/>
    <w:rsid w:val="5CA24C21"/>
    <w:rsid w:val="5E03561B"/>
    <w:rsid w:val="5E0F691F"/>
    <w:rsid w:val="5E445ADD"/>
    <w:rsid w:val="5E51732D"/>
    <w:rsid w:val="5E7017F9"/>
    <w:rsid w:val="5E9205D0"/>
    <w:rsid w:val="5F7B5E79"/>
    <w:rsid w:val="5F8713E6"/>
    <w:rsid w:val="5FE67FE5"/>
    <w:rsid w:val="5FE863B8"/>
    <w:rsid w:val="60171678"/>
    <w:rsid w:val="60F44FD5"/>
    <w:rsid w:val="61620A2D"/>
    <w:rsid w:val="617648CF"/>
    <w:rsid w:val="61B01D54"/>
    <w:rsid w:val="61DA7FB4"/>
    <w:rsid w:val="61E44984"/>
    <w:rsid w:val="621E3591"/>
    <w:rsid w:val="632F1589"/>
    <w:rsid w:val="6399467D"/>
    <w:rsid w:val="63E10628"/>
    <w:rsid w:val="641A09E5"/>
    <w:rsid w:val="64511E8C"/>
    <w:rsid w:val="6475450C"/>
    <w:rsid w:val="6476550A"/>
    <w:rsid w:val="64C708FC"/>
    <w:rsid w:val="64D614B0"/>
    <w:rsid w:val="652C3E81"/>
    <w:rsid w:val="65916717"/>
    <w:rsid w:val="65CA44B1"/>
    <w:rsid w:val="660C7C6B"/>
    <w:rsid w:val="66E85E72"/>
    <w:rsid w:val="673D380F"/>
    <w:rsid w:val="67686578"/>
    <w:rsid w:val="676B0575"/>
    <w:rsid w:val="67AF0AFD"/>
    <w:rsid w:val="67E943FC"/>
    <w:rsid w:val="67FE12F8"/>
    <w:rsid w:val="68181A06"/>
    <w:rsid w:val="68643629"/>
    <w:rsid w:val="68A63C2B"/>
    <w:rsid w:val="68B53E01"/>
    <w:rsid w:val="68D31624"/>
    <w:rsid w:val="68F25D9E"/>
    <w:rsid w:val="69E7746D"/>
    <w:rsid w:val="69ED47E6"/>
    <w:rsid w:val="6A075B38"/>
    <w:rsid w:val="6A4F115D"/>
    <w:rsid w:val="6A736866"/>
    <w:rsid w:val="6A7626DF"/>
    <w:rsid w:val="6AC311D7"/>
    <w:rsid w:val="6BAF40D3"/>
    <w:rsid w:val="6BD113BF"/>
    <w:rsid w:val="6C666D34"/>
    <w:rsid w:val="6CD209D6"/>
    <w:rsid w:val="6D6C70F4"/>
    <w:rsid w:val="6D71280C"/>
    <w:rsid w:val="6E0578DF"/>
    <w:rsid w:val="6E6E4E0D"/>
    <w:rsid w:val="6E736CAB"/>
    <w:rsid w:val="6E8C6205"/>
    <w:rsid w:val="6F38654A"/>
    <w:rsid w:val="6F386D91"/>
    <w:rsid w:val="700460D8"/>
    <w:rsid w:val="704468F2"/>
    <w:rsid w:val="70EA35C4"/>
    <w:rsid w:val="70FC3664"/>
    <w:rsid w:val="71831381"/>
    <w:rsid w:val="73122C2D"/>
    <w:rsid w:val="73366069"/>
    <w:rsid w:val="734B5E42"/>
    <w:rsid w:val="734C54D3"/>
    <w:rsid w:val="74344677"/>
    <w:rsid w:val="74AC712E"/>
    <w:rsid w:val="75A76E94"/>
    <w:rsid w:val="75B321C5"/>
    <w:rsid w:val="75D4558E"/>
    <w:rsid w:val="75F609C7"/>
    <w:rsid w:val="76262A0A"/>
    <w:rsid w:val="76824B2A"/>
    <w:rsid w:val="77A2541F"/>
    <w:rsid w:val="77A63D0A"/>
    <w:rsid w:val="77B358A8"/>
    <w:rsid w:val="77EE29EA"/>
    <w:rsid w:val="78967842"/>
    <w:rsid w:val="78AC1955"/>
    <w:rsid w:val="790F3607"/>
    <w:rsid w:val="79274128"/>
    <w:rsid w:val="79B13174"/>
    <w:rsid w:val="79ED1D04"/>
    <w:rsid w:val="79FF0168"/>
    <w:rsid w:val="7AD41DBD"/>
    <w:rsid w:val="7AE843CC"/>
    <w:rsid w:val="7B2F02B1"/>
    <w:rsid w:val="7BA8292B"/>
    <w:rsid w:val="7BE27D8F"/>
    <w:rsid w:val="7C4B31A7"/>
    <w:rsid w:val="7D745A54"/>
    <w:rsid w:val="7DBC249E"/>
    <w:rsid w:val="7E7658FA"/>
    <w:rsid w:val="7F2B6D17"/>
    <w:rsid w:val="7F9909F3"/>
    <w:rsid w:val="7FF5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rPr>
      <w:rFonts w:ascii="仿宋_GB2312" w:eastAsia="仿宋_GB2312"/>
      <w:sz w:val="32"/>
    </w:rPr>
  </w:style>
  <w:style w:type="paragraph" w:styleId="10">
    <w:name w:val="Plain Text"/>
    <w:basedOn w:val="1"/>
    <w:link w:val="39"/>
    <w:qFormat/>
    <w:uiPriority w:val="0"/>
    <w:rPr>
      <w:rFonts w:ascii="宋体" w:hAnsi="Courier New"/>
    </w:rPr>
  </w:style>
  <w:style w:type="paragraph" w:styleId="11">
    <w:name w:val="Balloon Text"/>
    <w:basedOn w:val="1"/>
    <w:link w:val="36"/>
    <w:qFormat/>
    <w:uiPriority w:val="0"/>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line="360" w:lineRule="auto"/>
      <w:jc w:val="left"/>
    </w:pPr>
    <w:rPr>
      <w:rFonts w:ascii="宋体" w:hAnsi="宋体"/>
      <w:b/>
      <w:caps/>
      <w:color w:val="FF0000"/>
      <w:szCs w:val="21"/>
    </w:rPr>
  </w:style>
  <w:style w:type="paragraph" w:styleId="15">
    <w:name w:val="List"/>
    <w:basedOn w:val="1"/>
    <w:qFormat/>
    <w:uiPriority w:val="0"/>
    <w:pPr>
      <w:ind w:left="200" w:hanging="200" w:hangingChars="200"/>
    </w:pPr>
    <w:rPr>
      <w:rFonts w:ascii="Calibri" w:hAnsi="Calibri"/>
      <w:szCs w:val="21"/>
    </w:rPr>
  </w:style>
  <w:style w:type="paragraph" w:styleId="16">
    <w:name w:val="toc 2"/>
    <w:basedOn w:val="1"/>
    <w:next w:val="1"/>
    <w:unhideWhenUsed/>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等线 Light" w:hAnsi="等线 Light"/>
      <w:b/>
      <w:bCs/>
      <w:sz w:val="32"/>
      <w:szCs w:val="32"/>
    </w:rPr>
  </w:style>
  <w:style w:type="paragraph" w:styleId="19">
    <w:name w:val="annotation subject"/>
    <w:basedOn w:val="7"/>
    <w:next w:val="7"/>
    <w:link w:val="42"/>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semiHidden/>
    <w:qFormat/>
    <w:uiPriority w:val="0"/>
    <w:rPr>
      <w:rFonts w:cs="Times New Roman"/>
      <w:color w:val="1F4F88"/>
      <w:u w:val="none"/>
    </w:rPr>
  </w:style>
  <w:style w:type="character" w:styleId="27">
    <w:name w:val="annotation reference"/>
    <w:qFormat/>
    <w:uiPriority w:val="0"/>
    <w:rPr>
      <w:sz w:val="21"/>
      <w:szCs w:val="21"/>
    </w:rPr>
  </w:style>
  <w:style w:type="character" w:customStyle="1" w:styleId="28">
    <w:name w:val="标题 1 字符"/>
    <w:basedOn w:val="22"/>
    <w:link w:val="4"/>
    <w:qFormat/>
    <w:uiPriority w:val="9"/>
    <w:rPr>
      <w:rFonts w:ascii="Calibri" w:hAnsi="Calibri"/>
      <w:b/>
      <w:bCs/>
      <w:kern w:val="44"/>
      <w:sz w:val="44"/>
      <w:szCs w:val="44"/>
    </w:rPr>
  </w:style>
  <w:style w:type="paragraph" w:customStyle="1" w:styleId="2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二级列表 Char"/>
    <w:basedOn w:val="1"/>
    <w:qFormat/>
    <w:uiPriority w:val="0"/>
    <w:rPr>
      <w:rFonts w:ascii="Calibri" w:hAnsi="Calibri"/>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35">
    <w:name w:val="font41"/>
    <w:qFormat/>
    <w:uiPriority w:val="0"/>
    <w:rPr>
      <w:rFonts w:hint="eastAsia" w:ascii="宋体" w:hAnsi="宋体" w:eastAsia="宋体" w:cs="宋体"/>
      <w:b/>
      <w:color w:val="000000"/>
      <w:sz w:val="24"/>
      <w:szCs w:val="24"/>
      <w:u w:val="none"/>
    </w:rPr>
  </w:style>
  <w:style w:type="character" w:customStyle="1" w:styleId="36">
    <w:name w:val="批注框文本 字符"/>
    <w:link w:val="11"/>
    <w:qFormat/>
    <w:uiPriority w:val="0"/>
    <w:rPr>
      <w:kern w:val="2"/>
      <w:sz w:val="18"/>
      <w:szCs w:val="18"/>
    </w:rPr>
  </w:style>
  <w:style w:type="character" w:customStyle="1" w:styleId="37">
    <w:name w:val="apple-converted-space"/>
    <w:basedOn w:val="22"/>
    <w:qFormat/>
    <w:uiPriority w:val="0"/>
  </w:style>
  <w:style w:type="character" w:customStyle="1" w:styleId="38">
    <w:name w:val="页脚 字符"/>
    <w:link w:val="12"/>
    <w:qFormat/>
    <w:locked/>
    <w:uiPriority w:val="99"/>
    <w:rPr>
      <w:kern w:val="2"/>
      <w:sz w:val="18"/>
      <w:szCs w:val="18"/>
    </w:rPr>
  </w:style>
  <w:style w:type="character" w:customStyle="1" w:styleId="39">
    <w:name w:val="纯文本 字符"/>
    <w:link w:val="10"/>
    <w:qFormat/>
    <w:uiPriority w:val="0"/>
    <w:rPr>
      <w:rFonts w:ascii="宋体" w:hAnsi="Courier New" w:eastAsia="宋体"/>
      <w:kern w:val="2"/>
      <w:sz w:val="21"/>
      <w:lang w:val="en-US" w:eastAsia="zh-CN" w:bidi="ar-SA"/>
    </w:rPr>
  </w:style>
  <w:style w:type="character" w:customStyle="1" w:styleId="40">
    <w:name w:val="Char Char3"/>
    <w:qFormat/>
    <w:uiPriority w:val="0"/>
    <w:rPr>
      <w:rFonts w:ascii="宋体" w:hAnsi="Courier New" w:eastAsia="宋体"/>
      <w:kern w:val="2"/>
      <w:sz w:val="21"/>
      <w:lang w:val="en-US" w:eastAsia="zh-CN" w:bidi="ar-SA"/>
    </w:rPr>
  </w:style>
  <w:style w:type="character" w:customStyle="1" w:styleId="41">
    <w:name w:val="Char Char5"/>
    <w:qFormat/>
    <w:uiPriority w:val="0"/>
    <w:rPr>
      <w:rFonts w:ascii="宋体" w:hAnsi="Courier New" w:eastAsia="宋体"/>
      <w:kern w:val="2"/>
      <w:sz w:val="21"/>
      <w:lang w:val="en-US" w:eastAsia="zh-CN" w:bidi="ar-SA"/>
    </w:rPr>
  </w:style>
  <w:style w:type="character" w:customStyle="1" w:styleId="42">
    <w:name w:val="批注主题 字符"/>
    <w:link w:val="19"/>
    <w:qFormat/>
    <w:uiPriority w:val="0"/>
    <w:rPr>
      <w:b/>
      <w:bCs/>
      <w:kern w:val="2"/>
      <w:sz w:val="21"/>
    </w:rPr>
  </w:style>
  <w:style w:type="character" w:customStyle="1" w:styleId="43">
    <w:name w:val="HTML Markup"/>
    <w:qFormat/>
    <w:uiPriority w:val="0"/>
    <w:rPr>
      <w:vanish/>
      <w:color w:val="FF0000"/>
    </w:rPr>
  </w:style>
  <w:style w:type="character" w:customStyle="1" w:styleId="44">
    <w:name w:val="Char Char2"/>
    <w:qFormat/>
    <w:uiPriority w:val="0"/>
    <w:rPr>
      <w:rFonts w:ascii="宋体" w:hAnsi="Courier New" w:cs="宋体"/>
      <w:kern w:val="2"/>
      <w:sz w:val="21"/>
      <w:szCs w:val="21"/>
    </w:rPr>
  </w:style>
  <w:style w:type="character" w:customStyle="1" w:styleId="45">
    <w:name w:val="批注文字 字符"/>
    <w:link w:val="7"/>
    <w:qFormat/>
    <w:uiPriority w:val="0"/>
    <w:rPr>
      <w:kern w:val="2"/>
      <w:sz w:val="21"/>
    </w:rPr>
  </w:style>
  <w:style w:type="character" w:customStyle="1" w:styleId="46">
    <w:name w:val="页眉 字符"/>
    <w:link w:val="13"/>
    <w:qFormat/>
    <w:uiPriority w:val="0"/>
    <w:rPr>
      <w:rFonts w:eastAsia="宋体"/>
      <w:kern w:val="2"/>
      <w:sz w:val="18"/>
      <w:szCs w:val="18"/>
      <w:lang w:val="en-US" w:eastAsia="zh-CN" w:bidi="ar-SA"/>
    </w:rPr>
  </w:style>
  <w:style w:type="character" w:customStyle="1" w:styleId="47">
    <w:name w:val="纯文本 Char"/>
    <w:qFormat/>
    <w:uiPriority w:val="0"/>
    <w:rPr>
      <w:rFonts w:ascii="宋体" w:hAnsi="Courier New" w:eastAsia="宋体"/>
      <w:kern w:val="2"/>
      <w:sz w:val="21"/>
      <w:lang w:val="en-US" w:eastAsia="zh-CN" w:bidi="ar-SA"/>
    </w:rPr>
  </w:style>
  <w:style w:type="paragraph" w:customStyle="1" w:styleId="48">
    <w:name w:val="标书三级标题"/>
    <w:basedOn w:val="6"/>
    <w:qFormat/>
    <w:uiPriority w:val="0"/>
    <w:pPr>
      <w:spacing w:before="0" w:after="0" w:line="240" w:lineRule="auto"/>
      <w:ind w:firstLine="482" w:firstLineChars="200"/>
    </w:pPr>
    <w:rPr>
      <w:color w:val="000000"/>
      <w:sz w:val="24"/>
      <w:szCs w:val="24"/>
    </w:rPr>
  </w:style>
  <w:style w:type="paragraph" w:styleId="49">
    <w:name w:val="List Paragraph"/>
    <w:basedOn w:val="1"/>
    <w:qFormat/>
    <w:uiPriority w:val="34"/>
    <w:pPr>
      <w:ind w:firstLine="420" w:firstLineChars="200"/>
    </w:pPr>
  </w:style>
  <w:style w:type="character" w:customStyle="1" w:styleId="50">
    <w:name w:val="font11"/>
    <w:basedOn w:val="22"/>
    <w:qFormat/>
    <w:uiPriority w:val="0"/>
    <w:rPr>
      <w:rFonts w:hint="default" w:ascii="Times New Roman" w:hAnsi="Times New Roman" w:cs="Times New Roman"/>
      <w:color w:val="000000"/>
      <w:sz w:val="24"/>
      <w:szCs w:val="24"/>
      <w:u w:val="none"/>
    </w:rPr>
  </w:style>
  <w:style w:type="character" w:customStyle="1" w:styleId="51">
    <w:name w:val="font21"/>
    <w:basedOn w:val="22"/>
    <w:qFormat/>
    <w:uiPriority w:val="0"/>
    <w:rPr>
      <w:rFonts w:hint="eastAsia" w:ascii="宋体" w:hAnsi="宋体" w:eastAsia="宋体" w:cs="宋体"/>
      <w:color w:val="000000"/>
      <w:sz w:val="24"/>
      <w:szCs w:val="24"/>
      <w:u w:val="none"/>
    </w:rPr>
  </w:style>
  <w:style w:type="character" w:customStyle="1" w:styleId="52">
    <w:name w:val="font31"/>
    <w:basedOn w:val="22"/>
    <w:qFormat/>
    <w:uiPriority w:val="0"/>
    <w:rPr>
      <w:rFonts w:hint="default" w:ascii="Times New Roman" w:hAnsi="Times New Roman" w:cs="Times New Roman"/>
      <w:color w:val="000000"/>
      <w:sz w:val="24"/>
      <w:szCs w:val="24"/>
      <w:u w:val="none"/>
    </w:rPr>
  </w:style>
  <w:style w:type="character" w:customStyle="1" w:styleId="53">
    <w:name w:val="font01"/>
    <w:basedOn w:val="22"/>
    <w:qFormat/>
    <w:uiPriority w:val="0"/>
    <w:rPr>
      <w:rFonts w:hint="eastAsia" w:ascii="宋体" w:hAnsi="宋体" w:eastAsia="宋体" w:cs="宋体"/>
      <w:color w:val="000000"/>
      <w:sz w:val="22"/>
      <w:szCs w:val="22"/>
      <w:u w:val="none"/>
    </w:rPr>
  </w:style>
  <w:style w:type="character" w:customStyle="1" w:styleId="54">
    <w:name w:val="标题 2 字符"/>
    <w:basedOn w:val="22"/>
    <w:link w:val="5"/>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14352</Words>
  <Characters>15082</Characters>
  <Lines>1</Lines>
  <Paragraphs>1</Paragraphs>
  <TotalTime>1</TotalTime>
  <ScaleCrop>false</ScaleCrop>
  <LinksUpToDate>false</LinksUpToDate>
  <CharactersWithSpaces>15948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2019-07-01T05:55:00Z</dcterms:created>
  <dc:creator>微软用户</dc:creator>
  <cp:lastModifiedBy>徐传通</cp:lastModifiedBy>
  <cp:lastPrinted>2019-09-20T02:25:00Z</cp:lastPrinted>
  <dcterms:modified xsi:type="dcterms:W3CDTF">2025-01-21T09:03:37Z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CB07A5B9FB3743F2AB434CB48A824E9D</vt:lpwstr>
  </property>
</Properties>
</file>