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中国重汽集团济南部件公司下料外协收回</w:t>
      </w:r>
    </w:p>
    <w:p>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 xml:space="preserve">自制-传动轴管下料生产线项目 </w:t>
      </w: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1"/>
                <w:rFonts w:ascii="宋体" w:hAnsi="宋体" w:eastAsia="宋体" w:cs="宋体"/>
                <w:b/>
                <w:sz w:val="28"/>
                <w:szCs w:val="28"/>
              </w:rPr>
            </w:pPr>
            <w:bookmarkStart w:id="3" w:name="_Toc346372875"/>
            <w:r>
              <w:rPr>
                <w:rStyle w:val="13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u w:val="single"/>
                <w:lang w:eastAsia="zh-CN"/>
              </w:rPr>
              <w:t>济南部件公司下料外协收回自制-传动轴管下料生产线项目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u w:val="single"/>
                <w:lang w:eastAsia="zh-CN"/>
              </w:rPr>
              <w:t>CGZX2025010190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招标内容：下料外协收回自制-</w:t>
            </w:r>
            <w:r>
              <w:rPr>
                <w:rFonts w:hint="eastAsia" w:ascii="宋体" w:hAnsi="宋体" w:eastAsia="宋体" w:cs="宋体"/>
                <w:b/>
                <w:bCs/>
                <w:sz w:val="24"/>
                <w:szCs w:val="24"/>
                <w:highlight w:val="none"/>
                <w:lang w:eastAsia="zh-CN"/>
              </w:rPr>
              <w:t>传动轴管下料生产线项目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5"/>
                <w:rFonts w:hint="eastAsia" w:ascii="宋体" w:hAnsi="宋体" w:eastAsia="宋体" w:cs="宋体"/>
                <w:bCs/>
                <w:snapToGrid w:val="0"/>
                <w:color w:val="auto"/>
                <w:kern w:val="0"/>
                <w:sz w:val="24"/>
                <w:szCs w:val="24"/>
              </w:rPr>
              <w:t>liyuebing@sinotruk.com</w:t>
            </w:r>
            <w:r>
              <w:rPr>
                <w:rStyle w:val="45"/>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400</w:t>
            </w:r>
            <w:r>
              <w:rPr>
                <w:rFonts w:hint="eastAsia" w:ascii="宋体" w:hAnsi="宋体" w:eastAsia="宋体" w:cs="Times New Roman"/>
                <w:b/>
                <w:bCs/>
                <w:color w:val="000000"/>
                <w:sz w:val="24"/>
                <w:szCs w:val="24"/>
                <w:highlight w:val="none"/>
                <w:lang w:val="en-US" w:eastAsia="zh-CN"/>
              </w:rPr>
              <w:t>万元</w:t>
            </w:r>
            <w:r>
              <w:rPr>
                <w:rFonts w:hint="eastAsia" w:hAnsi="宋体" w:eastAsia="宋体" w:cs="Times New Roman"/>
                <w:color w:val="000000"/>
                <w:sz w:val="24"/>
                <w:szCs w:val="24"/>
                <w:highlight w:val="none"/>
                <w:lang w:val="en-US" w:eastAsia="zh-CN"/>
              </w:rPr>
              <w:t>（含税，税率13%），超过投标限价无法投标。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7"/>
              <w:ind w:firstLine="482" w:firstLineChars="200"/>
              <w:rPr>
                <w:rFonts w:hint="eastAsia" w:hAnsi="宋体" w:eastAsia="宋体" w:cs="宋体"/>
                <w:color w:val="000000"/>
                <w:sz w:val="24"/>
                <w:szCs w:val="24"/>
                <w:highlight w:val="none"/>
                <w:lang w:val="en-US" w:eastAsia="zh-CN"/>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yellow"/>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4"/>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b/>
                <w:bCs/>
                <w:highlight w:val="yellow"/>
              </w:rPr>
              <w:t>：</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2</w:t>
            </w:r>
            <w:r>
              <w:rPr>
                <w:rFonts w:hint="eastAsia" w:eastAsia="宋体" w:cs="宋体"/>
                <w:highlight w:val="yellow"/>
              </w:rPr>
              <w:t>月</w:t>
            </w:r>
            <w:r>
              <w:rPr>
                <w:rFonts w:hint="eastAsia" w:eastAsia="宋体" w:cs="宋体"/>
                <w:highlight w:val="yellow"/>
                <w:lang w:val="en-US" w:eastAsia="zh-CN"/>
              </w:rPr>
              <w:t>13</w:t>
            </w:r>
            <w:r>
              <w:rPr>
                <w:rFonts w:hint="eastAsia" w:eastAsia="宋体" w:cs="宋体"/>
                <w:highlight w:val="yellow"/>
              </w:rPr>
              <w:t>日</w:t>
            </w:r>
            <w:r>
              <w:rPr>
                <w:rFonts w:hint="eastAsia" w:eastAsia="宋体" w:cs="宋体"/>
                <w:highlight w:val="yellow"/>
                <w:lang w:val="en-US" w:eastAsia="zh-CN"/>
              </w:rPr>
              <w:t>12时00分00秒</w:t>
            </w:r>
          </w:p>
          <w:p>
            <w:pPr>
              <w:pStyle w:val="114"/>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X</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XX</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yellow"/>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X</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XX</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yellow"/>
                <w:lang w:val="en-US" w:eastAsia="zh-CN"/>
              </w:rPr>
              <w:t>技术标入围后，原则上选取</w:t>
            </w:r>
            <w:r>
              <w:rPr>
                <w:rFonts w:hint="eastAsia" w:ascii="宋体" w:hAnsi="宋体" w:eastAsia="宋体" w:cs="宋体"/>
                <w:b/>
                <w:bCs/>
                <w:color w:val="auto"/>
                <w:sz w:val="24"/>
                <w:szCs w:val="24"/>
                <w:highlight w:val="yellow"/>
                <w:lang w:val="en-US" w:eastAsia="zh-CN"/>
              </w:rPr>
              <w:t>综合评分最高者</w:t>
            </w:r>
            <w:r>
              <w:rPr>
                <w:rFonts w:hint="eastAsia" w:ascii="宋体" w:hAnsi="宋体" w:eastAsia="宋体" w:cs="宋体"/>
                <w:b/>
                <w:color w:val="auto"/>
                <w:sz w:val="24"/>
                <w:szCs w:val="24"/>
                <w:highlight w:val="yellow"/>
                <w:lang w:val="en-US" w:eastAsia="zh-CN"/>
              </w:rPr>
              <w:t>中标</w:t>
            </w:r>
            <w:r>
              <w:rPr>
                <w:rFonts w:hint="eastAsia" w:ascii="宋体" w:hAnsi="宋体" w:eastAsia="宋体" w:cs="宋体"/>
                <w:sz w:val="24"/>
                <w:szCs w:val="24"/>
                <w:highlight w:val="yellow"/>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1.</w:t>
            </w:r>
            <w:r>
              <w:rPr>
                <w:rFonts w:hint="eastAsia" w:hAnsi="宋体" w:eastAsia="宋体" w:cs="宋体"/>
                <w:color w:val="000000"/>
                <w:sz w:val="24"/>
                <w:szCs w:val="24"/>
                <w:highlight w:val="yellow"/>
                <w:lang w:val="en-US" w:eastAsia="zh-CN"/>
              </w:rPr>
              <w:t>定标后</w:t>
            </w:r>
            <w:r>
              <w:rPr>
                <w:rFonts w:hint="eastAsia" w:hAnsi="宋体" w:eastAsia="宋体" w:cs="宋体"/>
                <w:color w:val="000000"/>
                <w:sz w:val="24"/>
                <w:szCs w:val="24"/>
                <w:highlight w:val="yellow"/>
              </w:rPr>
              <w:t>，</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个日历日之内交货至供货地点</w:t>
            </w:r>
            <w:r>
              <w:rPr>
                <w:rFonts w:hAnsi="宋体" w:eastAsia="宋体" w:cs="宋体"/>
                <w:color w:val="000000"/>
                <w:sz w:val="24"/>
                <w:szCs w:val="24"/>
                <w:highlight w:val="yellow"/>
              </w:rPr>
              <w:t>。</w:t>
            </w:r>
          </w:p>
          <w:p>
            <w:pPr>
              <w:pStyle w:val="17"/>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个日历日之内安装调试完毕。</w:t>
            </w:r>
          </w:p>
          <w:p>
            <w:pPr>
              <w:pStyle w:val="17"/>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3.接续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u w:val="single"/>
              </w:rPr>
              <w:t>中国重汽集团济南汽车部件有限公司传动轴线</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6"/>
              <w:spacing w:after="0" w:line="240" w:lineRule="auto"/>
              <w:ind w:firstLine="482"/>
              <w:rPr>
                <w:rFonts w:ascii="宋体" w:hAnsi="宋体" w:cs="宋体"/>
                <w:sz w:val="24"/>
                <w:szCs w:val="24"/>
                <w:highlight w:val="none"/>
              </w:rPr>
            </w:pPr>
            <w:r>
              <w:rPr>
                <w:rFonts w:hint="eastAsia" w:ascii="宋体" w:hAnsi="宋体" w:cs="宋体"/>
                <w:b/>
                <w:bCs/>
                <w:sz w:val="24"/>
                <w:szCs w:val="24"/>
                <w:highlight w:val="none"/>
                <w:u w:val="single"/>
              </w:rPr>
              <w:t>付款方式：半年期商业汇票（包括银行承兑汇票和商业承兑汇票）</w:t>
            </w:r>
          </w:p>
          <w:p>
            <w:pPr>
              <w:ind w:firstLine="480" w:firstLineChars="200"/>
              <w:rPr>
                <w:rFonts w:ascii="宋体" w:hAnsi="宋体" w:eastAsia="宋体" w:cs="宋体"/>
                <w:sz w:val="24"/>
                <w:szCs w:val="24"/>
              </w:rPr>
            </w:pPr>
            <w:r>
              <w:rPr>
                <w:rFonts w:ascii="宋体" w:hAnsi="宋体" w:eastAsia="宋体" w:cs="宋体"/>
                <w:sz w:val="24"/>
                <w:szCs w:val="24"/>
              </w:rPr>
              <w:t>1.合同生效后，卖方提交金额为合同价款30%的收据并提供合同价款30%的增值税专用发票（含复印件二份），经买方依照财务制度审核无误后30个工作日支付合同价款的30%。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2.设备全部到齐，经现场安装、调试、验收合格交付使用后，卖方提交金额为合同价款60%的收据并附带下列单据，经买方依照财务制度审核无误后30个工作日支付合同价款的60%。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3</w:t>
            </w:r>
            <w:r>
              <w:rPr>
                <w:rFonts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3"/>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4"/>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4"/>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6627"/>
      <w:bookmarkStart w:id="8" w:name="_Toc33266950"/>
      <w:bookmarkStart w:id="9" w:name="_Toc33265653"/>
      <w:bookmarkStart w:id="10" w:name="_Toc33265752"/>
      <w:bookmarkStart w:id="11" w:name="_Toc33266914"/>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2" w:firstLineChars="200"/>
        <w:rPr>
          <w:rFonts w:hint="eastAsia" w:ascii="宋体" w:hAnsi="宋体" w:eastAsia="宋体" w:cs="宋体"/>
          <w:b/>
          <w:color w:val="000000"/>
          <w:sz w:val="24"/>
          <w:szCs w:val="24"/>
          <w:highlight w:val="magenta"/>
        </w:rPr>
      </w:pPr>
      <w:r>
        <w:rPr>
          <w:rFonts w:hint="eastAsia" w:ascii="宋体" w:hAnsi="宋体" w:eastAsia="宋体" w:cs="宋体"/>
          <w:b/>
          <w:color w:val="000000"/>
          <w:sz w:val="24"/>
          <w:szCs w:val="24"/>
          <w:highlight w:val="magenta"/>
        </w:rPr>
        <w:t>本次招标采用</w:t>
      </w:r>
      <w:bookmarkStart w:id="14" w:name="_Toc395116634"/>
      <w:bookmarkStart w:id="15" w:name="_Toc33265753"/>
      <w:bookmarkStart w:id="16" w:name="_Toc33266915"/>
      <w:bookmarkStart w:id="17" w:name="_Toc33285489"/>
      <w:bookmarkStart w:id="18" w:name="_Toc33267002"/>
      <w:bookmarkStart w:id="19" w:name="_Toc33266951"/>
      <w:bookmarkStart w:id="20" w:name="_Toc33266628"/>
      <w:bookmarkStart w:id="21" w:name="_Toc33265654"/>
      <w:r>
        <w:rPr>
          <w:rFonts w:hint="eastAsia" w:ascii="宋体" w:hAnsi="宋体" w:eastAsia="宋体" w:cs="宋体"/>
          <w:b/>
          <w:color w:val="000000"/>
          <w:sz w:val="24"/>
          <w:szCs w:val="24"/>
          <w:highlight w:val="magenta"/>
          <w:lang w:val="en-US" w:eastAsia="zh-CN"/>
        </w:rPr>
        <w:t>综合评价法（详见附件14）。</w:t>
      </w:r>
      <w:r>
        <w:rPr>
          <w:rFonts w:hint="eastAsia" w:ascii="宋体" w:hAnsi="宋体" w:eastAsia="宋体" w:cs="宋体"/>
          <w:b/>
          <w:color w:val="000000"/>
          <w:sz w:val="24"/>
          <w:szCs w:val="24"/>
          <w:highlight w:val="magenta"/>
        </w:rPr>
        <w:t>本着公平、公正、公开的原则，在</w:t>
      </w:r>
      <w:r>
        <w:rPr>
          <w:rFonts w:hint="eastAsia" w:ascii="宋体" w:hAnsi="宋体" w:eastAsia="宋体" w:cs="宋体"/>
          <w:b/>
          <w:color w:val="000000"/>
          <w:sz w:val="24"/>
          <w:szCs w:val="24"/>
          <w:highlight w:val="magenta"/>
          <w:lang w:val="en-US" w:eastAsia="zh-CN"/>
        </w:rPr>
        <w:t>通过技术标</w:t>
      </w:r>
      <w:r>
        <w:rPr>
          <w:rFonts w:hint="eastAsia" w:ascii="宋体" w:hAnsi="宋体" w:eastAsia="宋体" w:cs="宋体"/>
          <w:b/>
          <w:color w:val="000000"/>
          <w:sz w:val="24"/>
          <w:szCs w:val="24"/>
          <w:highlight w:val="magenta"/>
        </w:rPr>
        <w:t>评审</w:t>
      </w:r>
      <w:r>
        <w:rPr>
          <w:rFonts w:hint="eastAsia" w:ascii="宋体" w:hAnsi="宋体" w:eastAsia="宋体" w:cs="宋体"/>
          <w:b/>
          <w:color w:val="000000"/>
          <w:sz w:val="24"/>
          <w:szCs w:val="24"/>
          <w:highlight w:val="magenta"/>
          <w:lang w:val="en-US" w:eastAsia="zh-CN"/>
        </w:rPr>
        <w:t>后入围</w:t>
      </w:r>
      <w:r>
        <w:rPr>
          <w:rFonts w:hint="eastAsia" w:ascii="宋体" w:hAnsi="宋体" w:eastAsia="宋体" w:cs="宋体"/>
          <w:b/>
          <w:color w:val="000000"/>
          <w:sz w:val="24"/>
          <w:szCs w:val="24"/>
          <w:highlight w:val="magenta"/>
        </w:rPr>
        <w:t>的前提下，对招标文件中规定的各项因素进行综合评审，确定中标人，对未中标单位不做任何解释。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highlight w:val="magenta"/>
        </w:rPr>
      </w:pPr>
      <w:r>
        <w:rPr>
          <w:rFonts w:hint="eastAsia" w:ascii="宋体" w:hAnsi="宋体" w:eastAsia="宋体" w:cs="宋体"/>
          <w:b/>
          <w:color w:val="auto"/>
          <w:sz w:val="24"/>
          <w:szCs w:val="24"/>
          <w:highlight w:val="magenta"/>
          <w:lang w:val="en-US" w:eastAsia="zh-CN"/>
        </w:rPr>
        <w:t>中标人确定</w:t>
      </w:r>
      <w:r>
        <w:rPr>
          <w:rFonts w:hint="eastAsia" w:ascii="宋体" w:hAnsi="宋体" w:eastAsia="宋体" w:cs="宋体"/>
          <w:b/>
          <w:color w:val="auto"/>
          <w:sz w:val="24"/>
          <w:szCs w:val="24"/>
          <w:highlight w:val="magenta"/>
        </w:rPr>
        <w:t>：</w:t>
      </w:r>
      <w:r>
        <w:rPr>
          <w:rFonts w:hint="eastAsia" w:ascii="宋体" w:hAnsi="宋体" w:eastAsia="宋体" w:cs="宋体"/>
          <w:b/>
          <w:color w:val="auto"/>
          <w:sz w:val="24"/>
          <w:szCs w:val="24"/>
          <w:highlight w:val="magenta"/>
          <w:lang w:val="en-US" w:eastAsia="zh-CN"/>
        </w:rPr>
        <w:t>技术标入围后，原则上</w:t>
      </w:r>
      <w:r>
        <w:rPr>
          <w:rFonts w:hint="eastAsia" w:ascii="宋体" w:hAnsi="宋体" w:eastAsia="宋体" w:cs="宋体"/>
          <w:b/>
          <w:bCs/>
          <w:color w:val="auto"/>
          <w:sz w:val="24"/>
          <w:szCs w:val="24"/>
          <w:highlight w:val="magenta"/>
          <w:lang w:val="en-US" w:eastAsia="zh-CN"/>
        </w:rPr>
        <w:t>综合评分最高的投标方</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b/>
          <w:color w:val="auto"/>
          <w:sz w:val="24"/>
          <w:szCs w:val="24"/>
          <w:highlight w:val="magenta"/>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7"/>
      <w:bookmarkStart w:id="24" w:name="OLE_LINK28"/>
      <w:bookmarkStart w:id="25" w:name="OLE_LINK29"/>
      <w:bookmarkStart w:id="26" w:name="OLE_LINK26"/>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bCs/>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中国重汽集团济南动力有限公司</w:t>
      </w:r>
      <w:r>
        <w:rPr>
          <w:rFonts w:hint="eastAsia" w:ascii="宋体" w:hAnsi="宋体" w:eastAsia="宋体" w:cs="宋体"/>
          <w:b/>
          <w:bCs/>
          <w:sz w:val="24"/>
          <w:szCs w:val="24"/>
        </w:rPr>
        <w:t>。</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7"/>
      </w:pPr>
    </w:p>
    <w:p>
      <w:pPr>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中国重汽集团济南部件公司</w:t>
      </w:r>
    </w:p>
    <w:p>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lang w:val="en-US" w:eastAsia="zh-CN"/>
        </w:rPr>
        <w:t>下料外协收回自制-传动轴管下料生产线项目</w:t>
      </w: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hint="eastAsia" w:ascii="宋体" w:hAnsi="宋体" w:eastAsia="宋体" w:cs="Times New Roman"/>
          <w:color w:val="FF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中国重汽集团济南动力有限公司</w:t>
      </w:r>
    </w:p>
    <w:p>
      <w:pPr>
        <w:pStyle w:val="12"/>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2"/>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下料外协收回自制项目-传动轴管下料子项</w:t>
      </w:r>
    </w:p>
    <w:p>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济南部件公司传动轴线</w:t>
      </w:r>
    </w:p>
    <w:p>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u w:val="single"/>
        </w:rPr>
        <w:t>济南部件公司传动轴线</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四、工作制度：全年工作300天、二班制、10小时/班。</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2.环境温度：室外极端最低温度-20℃、极端最高温度45℃,昼夜最大温差25℃；室内温度-5～45℃。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3.相对湿度：年平均59%，最大85%、最小15%。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4.工作区域：传动轴线厂房内（甲方指定）。</w:t>
      </w:r>
    </w:p>
    <w:p>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六、使用环境条件：</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1.电力：中国制式，供电电压380V±15%/220V±15%，供电频率50Hz±2%；</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2.给水：市政自来水。</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3.压缩空气：现有厂内空压机自产压缩空气，0.5±0.1 MPa。</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下料外协收回自制项目-传动轴管下料子项</w:t>
      </w:r>
      <w:r>
        <w:rPr>
          <w:rFonts w:hint="eastAsia" w:ascii="宋体" w:hAnsi="宋体" w:eastAsia="宋体" w:cs="宋体"/>
          <w:sz w:val="24"/>
          <w:szCs w:val="24"/>
        </w:rPr>
        <w:t>（详见下表）</w:t>
      </w:r>
    </w:p>
    <w:p>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7"/>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934"/>
        <w:gridCol w:w="1433"/>
        <w:gridCol w:w="750"/>
        <w:gridCol w:w="708"/>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型号规格</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上料料仓</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上料输送机构</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激光切割机</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12kW</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物料输送装置</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双头倒角机</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不少于3台。按需，满足节拍要求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激光打码设备</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按需</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不少于3台。按需，满足节拍要求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围栏等安全防护设施</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自动下料系统</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按需，满足节拍要求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工位器具</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10</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不低于10套，按需，满足轴管下料线正常运转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集线总成</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0"/>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环保设施</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left="420" w:left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ind w:left="420" w:leftChars="200"/>
        <w:rPr>
          <w:rFonts w:ascii="宋体" w:hAnsi="宋体" w:eastAsia="宋体" w:cs="宋体"/>
          <w:bCs/>
          <w:sz w:val="24"/>
          <w:szCs w:val="24"/>
        </w:rPr>
      </w:pPr>
      <w:r>
        <w:rPr>
          <w:rFonts w:hint="eastAsia" w:ascii="宋体" w:hAnsi="宋体" w:eastAsia="宋体" w:cs="宋体"/>
          <w:bCs/>
          <w:sz w:val="24"/>
          <w:szCs w:val="24"/>
        </w:rPr>
        <w:t>3.招标方只提供所需厂房、货物的砼基础（原则上目前地基基础，基础不含预埋螺栓、螺母及垫片及地脚螺栓预钻孔等）。</w:t>
      </w:r>
    </w:p>
    <w:p>
      <w:pPr>
        <w:spacing w:line="360" w:lineRule="auto"/>
        <w:ind w:left="420" w:leftChars="200"/>
        <w:rPr>
          <w:rFonts w:ascii="宋体" w:hAnsi="宋体" w:eastAsia="宋体" w:cs="宋体"/>
          <w:bCs/>
          <w:sz w:val="24"/>
          <w:szCs w:val="24"/>
        </w:rPr>
      </w:pPr>
      <w:r>
        <w:rPr>
          <w:rFonts w:hint="eastAsia" w:ascii="宋体" w:hAnsi="宋体" w:eastAsia="宋体" w:cs="宋体"/>
          <w:bCs/>
          <w:sz w:val="24"/>
          <w:szCs w:val="24"/>
        </w:rPr>
        <w:t>4.招标方只负责提供符合本技术标书中“采购货物概况”和“使用环境”章节所列明品质的电力、自来水、压缩空气、蒸汽、天然气（或煤气）管线至系统接口（沿传动轴线厂房靠立柱或墙体配置），厂家负责由系统接头到设备的二次接线工作。如，招标方供电至系统电力接口（动力柜）的接线端，水、气、汽等供至系统联接法兰外端（不含联接所需螺栓等紧固件和其它必需配件）。</w:t>
      </w:r>
    </w:p>
    <w:p>
      <w:pPr>
        <w:spacing w:line="360" w:lineRule="auto"/>
        <w:ind w:left="420" w:leftChars="200"/>
        <w:rPr>
          <w:rFonts w:ascii="宋体" w:hAnsi="宋体" w:eastAsia="宋体" w:cs="宋体"/>
          <w:bCs/>
          <w:sz w:val="24"/>
          <w:szCs w:val="24"/>
        </w:rPr>
      </w:pPr>
      <w:r>
        <w:rPr>
          <w:rFonts w:hint="eastAsia" w:ascii="宋体" w:hAnsi="宋体" w:eastAsia="宋体" w:cs="宋体"/>
          <w:bCs/>
          <w:sz w:val="24"/>
          <w:szCs w:val="24"/>
        </w:rPr>
        <w:t>5.投标方应提供包括货物正常运行所必需的全套连线设备、材料等；如：联接法兰外端面（含联接螺栓）之内的、电气系统接口压线板（插座等）之内的设备、材料等；</w:t>
      </w:r>
    </w:p>
    <w:p>
      <w:pPr>
        <w:spacing w:line="360" w:lineRule="auto"/>
        <w:ind w:left="420" w:leftChars="200"/>
        <w:rPr>
          <w:rFonts w:ascii="宋体" w:hAnsi="宋体" w:eastAsia="宋体" w:cs="宋体"/>
          <w:bCs/>
          <w:sz w:val="24"/>
          <w:szCs w:val="24"/>
        </w:rPr>
      </w:pPr>
      <w:r>
        <w:rPr>
          <w:rFonts w:hint="eastAsia" w:ascii="宋体" w:hAnsi="宋体" w:eastAsia="宋体" w:cs="宋体"/>
          <w:bCs/>
          <w:sz w:val="24"/>
          <w:szCs w:val="24"/>
        </w:rPr>
        <w:t>6. 投标方应提供包括货物正常运行、使用所必需的过桥、护栏、防护网、盖板等辅助设施。标书中有要求的，按标书要求提供；标书中无具体要求而投标方认为必须具备的，在投标文件报价明细中，单独报价（但不计入税费等其它费用的计算基数）</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pStyle w:val="17"/>
        <w:spacing w:line="360" w:lineRule="auto"/>
        <w:ind w:firstLine="480" w:firstLineChars="200"/>
        <w:rPr>
          <w:rFonts w:hAnsi="宋体" w:eastAsia="宋体" w:cs="宋体"/>
          <w:sz w:val="24"/>
          <w:szCs w:val="24"/>
        </w:rPr>
      </w:pPr>
      <w:r>
        <w:rPr>
          <w:rFonts w:hint="eastAsia" w:hAnsi="宋体" w:eastAsia="宋体" w:cs="宋体"/>
          <w:sz w:val="24"/>
          <w:szCs w:val="24"/>
        </w:rPr>
        <w:t>本项目涉及设备部分为进口品牌，于第二章技术要求部分具体约束。</w:t>
      </w:r>
    </w:p>
    <w:p>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pPr>
        <w:widowControl/>
        <w:jc w:val="left"/>
      </w:pPr>
    </w:p>
    <w:p>
      <w:pPr>
        <w:keepNext/>
        <w:keepLines/>
        <w:tabs>
          <w:tab w:val="center" w:pos="4535"/>
          <w:tab w:val="left" w:pos="7056"/>
        </w:tabs>
        <w:spacing w:before="120" w:after="120" w:line="480" w:lineRule="exact"/>
        <w:jc w:val="left"/>
        <w:outlineLvl w:val="1"/>
        <w:rPr>
          <w:rFonts w:ascii="宋体" w:hAnsi="宋体" w:eastAsia="宋体" w:cs="宋体"/>
          <w:bCs/>
          <w:kern w:val="44"/>
          <w:sz w:val="24"/>
          <w:szCs w:val="24"/>
        </w:rPr>
      </w:pPr>
      <w:r>
        <w:rPr>
          <w:rFonts w:hint="eastAsia" w:ascii="宋体" w:hAnsi="宋体" w:eastAsia="宋体" w:cs="宋体"/>
          <w:b/>
          <w:bCs/>
          <w:kern w:val="44"/>
          <w:sz w:val="24"/>
          <w:szCs w:val="24"/>
        </w:rPr>
        <w:tab/>
      </w:r>
      <w:r>
        <w:rPr>
          <w:rFonts w:hint="eastAsia" w:ascii="宋体" w:hAnsi="宋体" w:eastAsia="宋体" w:cs="宋体"/>
          <w:b/>
          <w:bCs/>
          <w:kern w:val="44"/>
          <w:sz w:val="24"/>
          <w:szCs w:val="24"/>
        </w:rPr>
        <w:t>第二章  技术要求</w:t>
      </w:r>
      <w:r>
        <w:rPr>
          <w:rFonts w:hint="eastAsia" w:ascii="宋体" w:hAnsi="宋体" w:eastAsia="宋体" w:cs="宋体"/>
          <w:b/>
          <w:bCs/>
          <w:kern w:val="44"/>
          <w:sz w:val="24"/>
          <w:szCs w:val="24"/>
        </w:rPr>
        <w:tab/>
      </w:r>
    </w:p>
    <w:p>
      <w:pPr>
        <w:pStyle w:val="4"/>
        <w:ind w:firstLine="420"/>
        <w:rPr>
          <w:rFonts w:ascii="宋体" w:hAnsi="宋体" w:cs="宋体"/>
          <w:b w:val="0"/>
          <w:bCs w:val="0"/>
          <w:sz w:val="24"/>
          <w:szCs w:val="24"/>
        </w:rPr>
      </w:pPr>
      <w:r>
        <w:rPr>
          <w:rFonts w:hint="eastAsia" w:ascii="宋体" w:hAnsi="宋体" w:cs="宋体"/>
          <w:sz w:val="24"/>
          <w:szCs w:val="24"/>
        </w:rPr>
        <w:t>一、特别提示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4"/>
        <w:ind w:firstLine="420"/>
        <w:rPr>
          <w:rFonts w:ascii="宋体" w:hAnsi="宋体" w:cs="宋体"/>
          <w:b w:val="0"/>
          <w:bCs w:val="0"/>
          <w:sz w:val="24"/>
          <w:szCs w:val="24"/>
        </w:rPr>
      </w:pPr>
      <w:r>
        <w:rPr>
          <w:rFonts w:hint="eastAsia" w:ascii="宋体" w:hAnsi="宋体" w:cs="宋体"/>
          <w:sz w:val="24"/>
          <w:szCs w:val="24"/>
        </w:rPr>
        <w:t>二、基本要求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ascii="宋体" w:hAnsi="宋体" w:eastAsia="宋体" w:cs="宋体"/>
          <w:b/>
          <w:bCs/>
          <w:color w:val="FF0000"/>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rPr>
        <w:t>其中，功率≥7.5KW的电机，应选用1级能效（根据国标计算）。＜7.5KW的电机，能效等级不低于2级</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8.程序图纸要求 </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供方必须提供所有设备程序的源代码，包括但不限于 PLC程序、HMI 程序、机器人程序、视觉程序、伺服等。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供方所提供的程序不得设置任何密码、保护等限制手段，PLC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HMI 界面等需要密码保护的程序，供方必须提供所有级别的用户名、密码。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供方需在设备入场前提供设备程序源码，HMI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8.5 供方需在终验收前提供最新的设备程序源码和电气图纸，图纸要求为可编辑原格式（EPLAN、CAD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9.接口协议要求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9.1 供方免费开放所有通讯接口，包括但不限于以太网、</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RS232、RS485、PROFIBUS、PROFINET、MODBUS 等常见接口，以及设备特有的专用接口。</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9.2 供方免费提供数据交互功能，交互数据包括但不限于实时数据、历史数据、报警信息等。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9.3 供方在设备入场前提供接口的技术文档和参数说明，包括但不限于接口协议、通讯速率、数据格式等。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9.4 设备使用周期内，供方免费派遣技术人员与甲方调试团队共同进行设备通讯接口的调试工作。</w:t>
      </w:r>
    </w:p>
    <w:p>
      <w:pPr>
        <w:pStyle w:val="115"/>
        <w:spacing w:line="360" w:lineRule="auto"/>
        <w:outlineLvl w:val="2"/>
        <w:rPr>
          <w:rFonts w:eastAsia="宋体" w:cs="宋体"/>
          <w:b/>
          <w:bCs w:val="0"/>
          <w:sz w:val="24"/>
          <w:szCs w:val="24"/>
        </w:rPr>
      </w:pPr>
      <w:r>
        <w:rPr>
          <w:rFonts w:hint="eastAsia" w:eastAsia="宋体" w:cs="宋体"/>
          <w:b/>
          <w:bCs w:val="0"/>
          <w:sz w:val="24"/>
          <w:szCs w:val="24"/>
        </w:rPr>
        <w:t>三、技术要求</w:t>
      </w:r>
    </w:p>
    <w:p>
      <w:pPr>
        <w:pStyle w:val="115"/>
        <w:outlineLvl w:val="3"/>
        <w:rPr>
          <w:rFonts w:eastAsia="宋体"/>
          <w:b/>
          <w:bCs w:val="0"/>
          <w:color w:val="000000"/>
          <w:sz w:val="24"/>
          <w:szCs w:val="24"/>
        </w:rPr>
      </w:pPr>
      <w:r>
        <w:rPr>
          <w:rFonts w:hint="eastAsia" w:eastAsia="宋体"/>
          <w:b/>
          <w:bCs w:val="0"/>
          <w:color w:val="000000"/>
          <w:sz w:val="24"/>
          <w:szCs w:val="24"/>
        </w:rPr>
        <w:t>3.1产品信息及整体要求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3.1.1 加工产品：传动轴轴管，管材直径φ89-φ160。</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3.1.2 主要加工内容：上料、激光切割、平口、倒角、打磨内孔、打码、下料等。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3.1.3 工件材料：轴管ZQS700Z（YB/T5209）。</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3.1.4 轴管规格（外径*壁厚）：φ89*3.5、φ89*5、φ100*4、φ104*4、φ120*4、φ134*5、φ140*5、φ</w:t>
      </w:r>
      <w:r>
        <w:rPr>
          <w:rFonts w:ascii="宋体" w:hAnsi="宋体" w:eastAsia="宋体" w:cs="Times New Roman"/>
          <w:sz w:val="24"/>
          <w:szCs w:val="24"/>
        </w:rPr>
        <w:t>152*5</w:t>
      </w:r>
      <w:r>
        <w:rPr>
          <w:rFonts w:hint="eastAsia" w:ascii="宋体" w:hAnsi="宋体" w:eastAsia="宋体" w:cs="Times New Roman"/>
          <w:sz w:val="24"/>
          <w:szCs w:val="24"/>
        </w:rPr>
        <w:t>等冷卷焊管。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3.1.5 来料长度：6m，整捆钢带捆扎来料。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3.1.6 下料长度：50mm-2000mm范围内基于生产计划随时切换下料长度。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3.1.7 产品工艺要求：①采用激光切割工艺；②下料两端需平口倒角（根据轴管规格不同有C3、C4等多种倒角尺寸）；③倒角及端面与轴管的轴线垂直度不大于0.1</w:t>
      </w:r>
      <w:r>
        <w:rPr>
          <w:rFonts w:ascii="宋体" w:hAnsi="宋体" w:eastAsia="宋体" w:cs="Times New Roman"/>
          <w:sz w:val="24"/>
          <w:szCs w:val="24"/>
        </w:rPr>
        <w:t>0</w:t>
      </w:r>
      <w:r>
        <w:rPr>
          <w:rFonts w:hint="eastAsia" w:ascii="宋体" w:hAnsi="宋体" w:eastAsia="宋体" w:cs="Times New Roman"/>
          <w:sz w:val="24"/>
          <w:szCs w:val="24"/>
        </w:rPr>
        <w:t>mm，轴管平口后两端面平行度≤0.05mm，端口不得有毛刺；④从轴管两端管内沿轴管轴线不低于20mm范围内进行处理（打磨或其他处理方式），标准不得有割渣、粉尘等凸起。⑤ 具体尺寸详见产品图纸。</w:t>
      </w:r>
    </w:p>
    <w:p>
      <w:pPr>
        <w:spacing w:line="480" w:lineRule="auto"/>
      </w:pPr>
      <w:r>
        <w:drawing>
          <wp:inline distT="0" distB="0" distL="114300" distR="114300">
            <wp:extent cx="5344160" cy="4358640"/>
            <wp:effectExtent l="0" t="0" r="889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8"/>
                    <a:stretch>
                      <a:fillRect/>
                    </a:stretch>
                  </pic:blipFill>
                  <pic:spPr>
                    <a:xfrm>
                      <a:off x="0" y="0"/>
                      <a:ext cx="5344160" cy="4358640"/>
                    </a:xfrm>
                    <a:prstGeom prst="rect">
                      <a:avLst/>
                    </a:prstGeom>
                    <a:noFill/>
                    <a:ln>
                      <a:noFill/>
                    </a:ln>
                  </pic:spPr>
                </pic:pic>
              </a:graphicData>
            </a:graphic>
          </wp:inline>
        </w:drawing>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3.1.8 产能节拍：按日产能2000根轴管（按300工作日/年，日工作时间20小时），其中50-400mm（下称“短料”）占比不大于20%，其余为400-2000mm（下称“长料”）。长料自动生产线要求节拍≤30s/件;短料生产单元要求节拍≤60s/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 整体要求：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3.1.9.1配备一条轴管自动下料生产线，用于长料加工，包含自动上料、自动切管、自动倒角、平口、打磨内孔、自动下料码垛等。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3.1.9.2单独配备一套生产单元，用于短料加工，包含人工辅助摆盘、自动倒角、自动平口、自动打磨内孔及人工码垛等。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3.1.9.3其中长料生产线中的激光切管机负责所有轴管切割工艺，短料切割后自动调拨至料筐，由人工辅助将短料摆放至短料生产单元的缓冲料道上。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3.1.9.4 激光切管机采用数控系统，具备自动套料功能，具备通讯功能，倒角、平口、打磨内孔设备及打码机具备通讯模块，可实现整线数据传递。</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3.1.9.5 要求配备环保设备，满足DB 37/ 2376山东区域性大气污染物排放标准。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3.1.9.6 生产线需兼容φ108*7、φ120*8、φ93*7、φ140*5.9等产品的加工需求。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3.1.9.7生产线具备急停装置，根据线体结构布置配有断电保护功能；同时运动中受监控，具备故障报警、停机功能，实现信号互联，防止误操作。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3.1.9.8 要求激光切管设备下料时尾料长度不大于50mm。</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3.1.10 场地面积：32m*11.4m（包含物流通道），要求提供详细设备布局。</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3.1.11 基础设施：要求提供地面基础需求及水电风气需求。</w:t>
      </w:r>
    </w:p>
    <w:p>
      <w:pPr>
        <w:pStyle w:val="115"/>
        <w:outlineLvl w:val="3"/>
        <w:rPr>
          <w:rFonts w:eastAsia="宋体"/>
          <w:b/>
          <w:bCs w:val="0"/>
          <w:color w:val="000000"/>
          <w:sz w:val="24"/>
          <w:szCs w:val="24"/>
        </w:rPr>
      </w:pPr>
      <w:r>
        <w:rPr>
          <w:rFonts w:hint="eastAsia" w:eastAsia="宋体"/>
          <w:b/>
          <w:bCs w:val="0"/>
          <w:color w:val="000000"/>
          <w:sz w:val="24"/>
          <w:szCs w:val="24"/>
        </w:rPr>
        <w:t>3</w:t>
      </w:r>
      <w:r>
        <w:rPr>
          <w:rFonts w:eastAsia="宋体"/>
          <w:b/>
          <w:bCs w:val="0"/>
          <w:color w:val="000000"/>
          <w:sz w:val="24"/>
          <w:szCs w:val="24"/>
        </w:rPr>
        <w:t>.</w:t>
      </w:r>
      <w:r>
        <w:rPr>
          <w:rFonts w:hint="eastAsia" w:eastAsia="宋体"/>
          <w:b/>
          <w:bCs w:val="0"/>
          <w:color w:val="000000"/>
          <w:sz w:val="24"/>
          <w:szCs w:val="24"/>
        </w:rPr>
        <w:t>2 工艺方案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3.2.1 自动上料：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3.2.1.1人工将整捆管料吊装至上料仓，剪断料带后，由上料机构自动将单根管料输送至激光切管机工位。</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3.2.1.2 产品换型时，料仓内余料应集中于料仓外侧叠放，便于人工辅助将上料仓内剩余原材料打包，并吊转至其他区域。</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3.2.1.3 要求配备两个上料仓，实现产品换型时，整线不停机。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3.2.1.4 单个上料仓承载能力不低于3吨。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3.2.1.5 上料工位具备自动识别功能，料空时自动报警提醒。</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3.2.1.6 上料机工作过程中不得出现对物料明显可见的磕碰伤。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 激光切管：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3.2.2.1 本次招标项目实施工艺采用压缩空气辅助激光切割管料切割工艺，但设备具备支持氧气和氮气辅助切割的功能，招标方后期结合自身需要使用压缩空气、氧气或氮气进行生产。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3.2.2.2 激光切割设备单独配备空压机、过滤器及所需的附属设施（如储气罐、设备基础、遮雨棚等），相关设备若达到特种设备标准，投标方需提供相关合法合规的资料文件并办理满足招标方正常使用所需的手续；其中排水要求使用自动排水阀，自动排水阀外接至招标方就近排污管道井，排水噪音不得大于80分贝。</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3.2.2.3 激光切管机采用的激光头功率不低于12kW，使用国内知名品牌。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3.2.2.4 激光切管工序节拍需包含激光切割及送料时间，应考虑不同长度轴管送料时间对节拍的影响。</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3.2.2.5 激光切管后，可区分长短料，长料由辊道自动输送至后续倒角设备，短料经辊道后自动分拨至单独料筐，短料分拨至料筐过程中要求产品不允许出现磕碰伤。原材料套料后，较短的余料</w:t>
      </w:r>
      <w:r>
        <w:rPr>
          <w:rFonts w:ascii="宋体" w:hAnsi="宋体" w:eastAsia="宋体" w:cs="Times New Roman"/>
          <w:sz w:val="24"/>
          <w:szCs w:val="24"/>
        </w:rPr>
        <w:t>自动分拨</w:t>
      </w:r>
      <w:r>
        <w:rPr>
          <w:rFonts w:hint="eastAsia" w:ascii="宋体" w:hAnsi="宋体" w:eastAsia="宋体" w:cs="Times New Roman"/>
          <w:sz w:val="24"/>
          <w:szCs w:val="24"/>
        </w:rPr>
        <w:t>至</w:t>
      </w:r>
      <w:r>
        <w:rPr>
          <w:rFonts w:ascii="宋体" w:hAnsi="宋体" w:eastAsia="宋体" w:cs="Times New Roman"/>
          <w:sz w:val="24"/>
          <w:szCs w:val="24"/>
        </w:rPr>
        <w:t>单独料框</w:t>
      </w:r>
      <w:r>
        <w:rPr>
          <w:rFonts w:hint="eastAsia" w:ascii="宋体" w:hAnsi="宋体" w:eastAsia="宋体" w:cs="Times New Roman"/>
          <w:sz w:val="24"/>
          <w:szCs w:val="24"/>
        </w:rPr>
        <w:t>，较长的余料需具备可回退至上料仓的功能。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3.2.2.6 激光切管机单独配备环保设备。</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3.2.2.7 激光切割机采用数控系统，具备自动套料功能，具备通讯功能，可实现与倒角机、打码机等单元数据传递，原则上系统可存储不低于5000条生产配方。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3.2.2.8 激光切割设备物料推送装置采用伺服电机驱动控制。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3.2.2.9 特别说明，投标方应充分考虑压缩空气设备噪音问题，为保证噪音符合项目所在地及厂家的相关标准，若压缩空气设备布置于室内应配备隔音房，隔音房充分考虑其散热降温等设施或结构；若压缩空气设备布置于室外，投标方需提供相应的设备基础及设备放置的遮雨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 倒角、平口、打磨内孔、打码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3.2.3.1 推荐采用双头倒角工艺，长料两端夹紧，短料中间夹紧，由动力刀头实现倒角、平口、打磨内孔（或其他处理工艺处理内孔）。</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3.2.3.2 刀盘可自动通过伺服控制调整刀头位置，兼容不同规格轴管的倒角需求，产品换型后不需要人工介入更换及调整工装、刀具。</w:t>
      </w:r>
    </w:p>
    <w:p>
      <w:pPr>
        <w:spacing w:line="360" w:lineRule="auto"/>
        <w:ind w:firstLine="420" w:firstLineChars="200"/>
        <w:jc w:val="center"/>
        <w:rPr>
          <w:rFonts w:ascii="宋体" w:hAnsi="宋体" w:eastAsia="宋体" w:cs="Times New Roman"/>
          <w:sz w:val="24"/>
          <w:szCs w:val="24"/>
        </w:rPr>
      </w:pPr>
      <w:r>
        <w:drawing>
          <wp:inline distT="0" distB="0" distL="114300" distR="114300">
            <wp:extent cx="3409950" cy="3376930"/>
            <wp:effectExtent l="0" t="0" r="0" b="1397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9"/>
                    <a:stretch>
                      <a:fillRect/>
                    </a:stretch>
                  </pic:blipFill>
                  <pic:spPr>
                    <a:xfrm>
                      <a:off x="0" y="0"/>
                      <a:ext cx="3409950" cy="3376930"/>
                    </a:xfrm>
                    <a:prstGeom prst="rect">
                      <a:avLst/>
                    </a:prstGeom>
                    <a:noFill/>
                    <a:ln>
                      <a:noFill/>
                    </a:ln>
                  </pic:spPr>
                </pic:pic>
              </a:graphicData>
            </a:graphic>
          </wp:inline>
        </w:drawing>
      </w:r>
    </w:p>
    <w:p>
      <w:pPr>
        <w:spacing w:line="360" w:lineRule="auto"/>
        <w:ind w:firstLine="480" w:firstLineChars="200"/>
        <w:jc w:val="center"/>
        <w:rPr>
          <w:rFonts w:ascii="宋体" w:hAnsi="宋体" w:eastAsia="宋体" w:cs="Times New Roman"/>
          <w:sz w:val="24"/>
          <w:szCs w:val="24"/>
        </w:rPr>
      </w:pPr>
      <w:r>
        <w:rPr>
          <w:rFonts w:hint="eastAsia" w:ascii="宋体" w:hAnsi="宋体" w:eastAsia="宋体" w:cs="Times New Roman"/>
          <w:sz w:val="24"/>
          <w:szCs w:val="24"/>
        </w:rPr>
        <w:t>传动轴轴管倒角明细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3.2.3.3 倒角、平口刀片采用ISO标准规格刀片，刀杆具备快换功能。刀具寿命不低于200件/片。</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3.2.3.4 长料生产线V型夹紧工装可兼容不同规格轴管，产品换型后不需更换工装；短料倒角单元允许根据轴管长短适当更换工装，以满足中间夹紧方式的刚性要求。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3.2.3.6 优选长料倒角设备要求两端夹紧装置与动力刀盘位置固定，通过直线导轨快速位移实现不同长度轴管的加工。</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3.2.3.7 设备配备排屑小推车，以单人工满载正常推动为使用标准，推车使用过程中不得出现铁屑飞出、飞溅、散落等现象。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3.2.3.8</w:t>
      </w:r>
      <w:r>
        <w:rPr>
          <w:rFonts w:ascii="宋体" w:hAnsi="宋体" w:eastAsia="宋体" w:cs="Times New Roman"/>
          <w:sz w:val="24"/>
          <w:szCs w:val="24"/>
        </w:rPr>
        <w:t>倒角机功率应该要求加工各产品不超过设备满载功率的80%；</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3.2.3.10</w:t>
      </w:r>
      <w:r>
        <w:rPr>
          <w:rFonts w:ascii="宋体" w:hAnsi="宋体" w:eastAsia="宋体" w:cs="Times New Roman"/>
          <w:sz w:val="24"/>
          <w:szCs w:val="24"/>
        </w:rPr>
        <w:t>设备具备存储不低于500条配方的能力，及根据加工产品的型号，可自动匹配相应的加工参数；</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3.2.3.11</w:t>
      </w:r>
      <w:r>
        <w:rPr>
          <w:rFonts w:ascii="宋体" w:hAnsi="宋体" w:eastAsia="宋体" w:cs="Times New Roman"/>
          <w:sz w:val="24"/>
          <w:szCs w:val="24"/>
        </w:rPr>
        <w:t xml:space="preserve"> 倒角机中若出现液压系统，应充分考虑招标方所提供的设备安装现场的的实际温度，配置油冷机，保证液压系统全年的正常工作。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3.2.3.12 要求轴管激光打刻二维码，二维码信息包含轴管图号（轴管规格、长度）等信息，要求打码后一次扫码识别率≥99%。</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3.2.3.13打标机夹具为各产品通用定位工装，打刻不同产品不得进行夹具的更换和调整。</w:t>
      </w:r>
    </w:p>
    <w:p>
      <w:pPr>
        <w:pStyle w:val="36"/>
        <w:spacing w:line="360" w:lineRule="auto"/>
        <w:ind w:left="0" w:leftChars="0" w:firstLine="480"/>
        <w:rPr>
          <w:rFonts w:ascii="宋体" w:hAnsi="宋体"/>
          <w:sz w:val="24"/>
          <w:szCs w:val="24"/>
        </w:rPr>
      </w:pPr>
      <w:r>
        <w:rPr>
          <w:rFonts w:hint="eastAsia" w:ascii="宋体" w:hAnsi="宋体"/>
          <w:sz w:val="24"/>
          <w:szCs w:val="24"/>
        </w:rPr>
        <w:t>3.2.3.12 倒角加工所涉及的刀盘、工装，按要求打刻激光标识，标识内容包含编号、加工管径的规格（φ外径</w:t>
      </w:r>
      <w:r>
        <w:rPr>
          <w:rFonts w:ascii="宋体" w:hAnsi="宋体"/>
          <w:sz w:val="24"/>
          <w:szCs w:val="24"/>
        </w:rPr>
        <w:t>×</w:t>
      </w:r>
      <w:r>
        <w:rPr>
          <w:rFonts w:hint="eastAsia" w:ascii="宋体" w:hAnsi="宋体"/>
          <w:sz w:val="24"/>
          <w:szCs w:val="24"/>
        </w:rPr>
        <w:t>壁厚）；如刀盘、工装通用标识内容包含编号、加工管径的规格范围（最小φ外径</w:t>
      </w:r>
      <w:r>
        <w:rPr>
          <w:rFonts w:ascii="宋体" w:hAnsi="宋体"/>
          <w:sz w:val="24"/>
          <w:szCs w:val="24"/>
        </w:rPr>
        <w:t>×</w:t>
      </w:r>
      <w:r>
        <w:rPr>
          <w:rFonts w:hint="eastAsia" w:ascii="宋体" w:hAnsi="宋体"/>
          <w:sz w:val="24"/>
          <w:szCs w:val="24"/>
        </w:rPr>
        <w:t>壁厚-最大φ外径</w:t>
      </w:r>
      <w:r>
        <w:rPr>
          <w:rFonts w:ascii="宋体" w:hAnsi="宋体"/>
          <w:sz w:val="24"/>
          <w:szCs w:val="24"/>
        </w:rPr>
        <w:t>×</w:t>
      </w:r>
      <w:r>
        <w:rPr>
          <w:rFonts w:hint="eastAsia" w:ascii="宋体" w:hAnsi="宋体"/>
          <w:sz w:val="24"/>
          <w:szCs w:val="24"/>
        </w:rPr>
        <w:t>壁厚）。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3.2.4 短料生产单元</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3.2.4.1 短料生产单元上、下料处各设置两个料仓/缓存料道，具备可自动切换功能，保证人工码放管料时，设备不停机；料仓/缓存料道满足缓存时间不小于半小时。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3.2.4.2 短料生产单元由人工辅助将管料码放至上料仓/缓存料道，自动将管料由上料仓/缓存料道装入倒角工位，自动倒角、平口、打磨内孔、打码，加工完毕后自动将产品输送至下料仓/缓存料道，由人工辅助将管料从下料仓/缓存料道码放至工位器具中。</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3.2.4.3 短料倒角前，进行自动测长，并将测量信息反馈给倒角、打码单元。</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3.2.4.4 短料生产单元上下料位置设置合理，满足1人上下料需求。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 物料输送装置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3.2.5.1 物料输送装置指各工序、设备间物料输送装置。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3.2.5.2 输送装置应采用辊道式、带式、链条式等输送方式，要求设计模块化、标准化。</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3.2.5.3 输送装置应根据生产线需求或设置保证物料的在工序间正常周转或实现单个工序间略过功能。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3.2.5.4 为保证物料正确无误的到多工位的指定工位，可结合实际需要安装长度检测装置对物料进行检测，该检测功能仅用于防错或物料的判断，不作为产品尺寸合格与否的检测评判标准。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3.2.5.5 长度检测装置要求采用接触式测量，定位夹具通用，不同规格产品无需人工干预调整或更换。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3.2.5.6物料装置具备NG料道的功能，当出现系统识别的加工异常产品时，报警灯可视化提示并输送至特殊指定位置，人工干预下线取出。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3.2.5.7物料装置具备抽检的功能，如需要对产品出现抽检时，可输送至至特殊指定位置，人工干预下线取出。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3.2.6 自动下料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3.2.6.1 长料生产线自动下料码垛，每套倒角单元各配备两个料筐，一用一备，实现空满置换；线端另设置两个料筐用于短料轴管切管后下料。料筐应兼容不同长度、管径规格的轴管，料框缓存时间不低于30min。</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3.2.6.2 同一管径规格轴管必须码放在同一料筐内，允许不同长度轴管在同一料筐内混放。</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3.2.6.3 机械手类型不做强制要求，可以选择六轴机械手、桁架机械手等方式，以满足功能性要求和生产节拍为准。若采用关节机械手，要求机械手选用库卡、发那科、ABB等世界名牌公司正品。机器人夹爪选用雄克公司产品或相同档次品牌，气动元件选用SMC或费斯托公司产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3.2.6.4 轴管下料时具备清理轴管内残余铁屑、割渣等杂质的功能。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3.2.6.5 长料生产线自动下料码垛，下料工位器具为本标中所提到的工位器具，中间不得进行二次倒料，工位器具的更换或取放通过人工操作方式（具体方式采用人工操作电动搬运车进行交互），其中投标方配置承载量不低于2t的电动搬运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 集线总成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3.2.7.1单线配备独立的产线MES，对重点信息进行输入和显示以及数据采集、数据存储、数据查询。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3.2.7.2单线现场配置独立显示屏1套（尺寸不低于75寸），悬挂于线首位置，实现设备状态、物料状态、在制品、故障信息实时显示。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3.2.7.3 在人机交互界面上，为保证运行可靠，上料准确，可直观的对各种生产参数进行监控。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3.2.7.4线体出现异常时，系统能够提供故障信息并自动诊断，保证系统安全；能够报警提示维修计划及信息。</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3.2.7.5生产信息应由某一特定的设备进行输入，同步下发至各工序工位的设备，不得每台设备独立输入，相关设备参数及控制应在各工序工位设备上独立输入设置。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3.2.7.6各生产信息及相关参数，一次输入后自动存储，具备自动调用的功能。</w:t>
      </w:r>
    </w:p>
    <w:p>
      <w:pPr>
        <w:spacing w:line="360" w:lineRule="auto"/>
        <w:ind w:firstLine="480" w:firstLineChars="200"/>
        <w:rPr>
          <w:rFonts w:ascii="宋体" w:hAnsi="宋体" w:eastAsia="宋体" w:cs="Times New Roman"/>
          <w:sz w:val="24"/>
          <w:szCs w:val="24"/>
          <w:highlight w:val="red"/>
        </w:rPr>
      </w:pPr>
      <w:r>
        <w:rPr>
          <w:rFonts w:hint="eastAsia" w:ascii="宋体" w:hAnsi="宋体" w:eastAsia="宋体" w:cs="Times New Roman"/>
          <w:sz w:val="24"/>
          <w:szCs w:val="24"/>
        </w:rPr>
        <w:t>3.2.7.7产线具备自动套料的功能，要求包含但不限于以节省余料的方式进行生产，如操作人员以指定的Office Excel 文件或其它通用文件格式导入生产排产计划，自动测算生产过程以保证余料最少，并指导产线进行生产作业。具备根据</w:t>
      </w:r>
      <w:r>
        <w:rPr>
          <w:rFonts w:ascii="宋体" w:hAnsi="宋体" w:eastAsia="宋体" w:cs="Times New Roman"/>
          <w:sz w:val="24"/>
          <w:szCs w:val="24"/>
        </w:rPr>
        <w:t>人工输入</w:t>
      </w:r>
      <w:r>
        <w:rPr>
          <w:rFonts w:hint="eastAsia" w:ascii="宋体" w:hAnsi="宋体" w:eastAsia="宋体" w:cs="Times New Roman"/>
          <w:sz w:val="24"/>
          <w:szCs w:val="24"/>
        </w:rPr>
        <w:t>管料长度自动</w:t>
      </w:r>
      <w:r>
        <w:rPr>
          <w:rFonts w:ascii="宋体" w:hAnsi="宋体" w:eastAsia="宋体" w:cs="Times New Roman"/>
          <w:sz w:val="24"/>
          <w:szCs w:val="24"/>
        </w:rPr>
        <w:t>计算套料的功能。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3.2.7.8在以节省余料方式组织生产时，设备具备可设置同一批规格管材生产种类数量的限制。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3.2.8工位器具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3.2.8.1 工位器具技术要求执行《工位器具</w:t>
      </w:r>
      <w:r>
        <w:rPr>
          <w:rFonts w:ascii="宋体" w:hAnsi="宋体" w:eastAsia="宋体" w:cs="Times New Roman"/>
          <w:sz w:val="24"/>
          <w:szCs w:val="24"/>
        </w:rPr>
        <w:t>技术规范</w:t>
      </w:r>
      <w:r>
        <w:rPr>
          <w:rFonts w:hint="eastAsia" w:ascii="宋体" w:hAnsi="宋体" w:eastAsia="宋体" w:cs="Times New Roman"/>
          <w:sz w:val="24"/>
          <w:szCs w:val="24"/>
        </w:rPr>
        <w:t>》，标准号Q/ZZ 30078-2020。</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3.2.8.2 工位器具容量以满放容量满足不低于单个倒角工位30min产能存储需求为准（管材外径≤φ140）。</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3.2.9.3工位器具应具备电动搬运车、叉车、吊装搬运的必要结构，如护铲、吊钩等。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3.2.9.4工位器具应具备可叠放的相关结构，如堆垛脚等，其中不管何种叠放结构都应有防止地面划伤的护具。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3.2.9.5工位器具颜色、标识必须按照《工位器具</w:t>
      </w:r>
      <w:r>
        <w:rPr>
          <w:rFonts w:ascii="宋体" w:hAnsi="宋体" w:eastAsia="宋体" w:cs="Times New Roman"/>
          <w:sz w:val="24"/>
          <w:szCs w:val="24"/>
        </w:rPr>
        <w:t>技术规范</w:t>
      </w:r>
      <w:r>
        <w:rPr>
          <w:rFonts w:hint="eastAsia" w:ascii="宋体" w:hAnsi="宋体" w:eastAsia="宋体" w:cs="Times New Roman"/>
          <w:sz w:val="24"/>
          <w:szCs w:val="24"/>
        </w:rPr>
        <w:t>》执行。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3.2.9.6投标方提供满足生产线正常运转所需数量的样品实物及准确详细的图纸。</w:t>
      </w:r>
    </w:p>
    <w:p>
      <w:pPr>
        <w:pStyle w:val="115"/>
        <w:outlineLvl w:val="3"/>
        <w:rPr>
          <w:rFonts w:eastAsia="宋体"/>
          <w:b/>
          <w:bCs w:val="0"/>
          <w:color w:val="000000"/>
          <w:sz w:val="24"/>
          <w:szCs w:val="24"/>
        </w:rPr>
      </w:pPr>
      <w:r>
        <w:rPr>
          <w:rFonts w:hint="eastAsia" w:eastAsia="宋体"/>
          <w:b/>
          <w:bCs w:val="0"/>
          <w:color w:val="000000"/>
          <w:sz w:val="24"/>
          <w:szCs w:val="24"/>
        </w:rPr>
        <w:t>3.3 安全要求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   机械的安全要求和措施：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3.3.1.1 危险的运动部件和传动装置应予以封闭或设置安全防护装置，机械手工作范围内，必须装有安全防护装置。</w:t>
      </w:r>
    </w:p>
    <w:p>
      <w:pPr>
        <w:spacing w:line="360" w:lineRule="auto"/>
        <w:ind w:firstLine="480" w:firstLineChars="200"/>
        <w:rPr>
          <w:rFonts w:ascii="宋体" w:hAnsi="宋体" w:eastAsia="宋体" w:cs="Times New Roman"/>
          <w:sz w:val="24"/>
          <w:szCs w:val="24"/>
        </w:rPr>
      </w:pPr>
      <w:r>
        <w:rPr>
          <w:rFonts w:hint="eastAsia" w:ascii="宋体" w:hAnsi="宋体" w:eastAsia="宋体"/>
          <w:color w:val="000000"/>
          <w:sz w:val="24"/>
          <w:szCs w:val="24"/>
        </w:rPr>
        <w:t>3.3.1.2 安全围栏原则上将整线封闭（不含上下料处留取工位器具或物料取放口）在内并可以确保主机区传输、转运、维修全部工作过程中不伤及人或损坏设备。</w:t>
      </w:r>
      <w:r>
        <w:rPr>
          <w:rFonts w:hint="eastAsia" w:ascii="宋体" w:hAnsi="宋体" w:eastAsia="宋体" w:cs="Times New Roman"/>
          <w:sz w:val="24"/>
          <w:szCs w:val="24"/>
        </w:rPr>
        <w:t>工作状态下，防护栏的开启必须报警提示及生产线停止运行。防护栏高度不低于1.8m，底部距地面空隙不大于18cm。</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3.3.1.3 安全围栏上装有安全门，并配有安全门锁，如有设备故障或异常情况可按下门操作站上的请求开门按钮打开安全门，处理现场情况。门操作由总控</w:t>
      </w:r>
      <w:r>
        <w:rPr>
          <w:rFonts w:ascii="宋体" w:hAnsi="宋体" w:eastAsia="宋体"/>
          <w:color w:val="000000"/>
          <w:sz w:val="24"/>
          <w:szCs w:val="24"/>
        </w:rPr>
        <w:t xml:space="preserve">PLC </w:t>
      </w:r>
      <w:r>
        <w:rPr>
          <w:rFonts w:hint="eastAsia" w:ascii="宋体" w:hAnsi="宋体" w:eastAsia="宋体"/>
          <w:color w:val="000000"/>
          <w:sz w:val="24"/>
          <w:szCs w:val="24"/>
        </w:rPr>
        <w:t>和安全</w:t>
      </w:r>
      <w:r>
        <w:rPr>
          <w:rFonts w:ascii="宋体" w:hAnsi="宋体" w:eastAsia="宋体"/>
          <w:color w:val="000000"/>
          <w:sz w:val="24"/>
          <w:szCs w:val="24"/>
        </w:rPr>
        <w:t xml:space="preserve">PLC </w:t>
      </w:r>
      <w:r>
        <w:rPr>
          <w:rFonts w:hint="eastAsia" w:ascii="宋体" w:hAnsi="宋体" w:eastAsia="宋体"/>
          <w:color w:val="000000"/>
          <w:sz w:val="24"/>
          <w:szCs w:val="24"/>
        </w:rPr>
        <w:t>控制和监控，确保现场人员的安全。</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3.3.1.4 设备面板或操作区域，如激光切割机、双头倒角机操控面板前等要求增加防滑踏板。</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3.3.1.5 由于超负荷可能发生损坏的工作台等运动部件应设置超负荷保险装置。机床工作过程的接通必须与工件夹紧过程的结束相联锁。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3.3.1.6 安装在主轴上的卡盘及其他运动中可能松脱的零件、部件应设置防松装置。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3.3.1.7 运动部件不允许同时运动时，其控制机构应联锁。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3.3.1.8 数控机床：加工区域应设置可靠的防护罩，其活动门应与运动轴驱动电机联锁。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3.3.1.9 在设备醒目位置粘贴安全警示牌（安全警告、保养指示、操作指导等方面），按重汽HOS相关标准执行。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3.3.1.10 设备与护栏间，必须装有防滑踏步板，设备与地坑存有间隙时，必须设置安全防护板，防护板应防滑，厚度不低于4mm。</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3.3.1.11 正常停线、关机等工作状态，各设备应完成当前工序的工作内容，工件不允许处于设备或机械手夹持状态，工件应存放于料道或托盘上。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3.3.1.12 上下料口等位置增加光栅装置，具备识别人员出入、报警功能。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3.3.1.13 相关安全防护措施满足GB5083 </w:t>
      </w:r>
      <w:r>
        <w:rPr>
          <w:rFonts w:ascii="宋体" w:hAnsi="宋体" w:eastAsia="宋体" w:cs="宋体"/>
          <w:sz w:val="24"/>
          <w:szCs w:val="24"/>
        </w:rPr>
        <w:t>《生产设备安全卫生设计总则》</w:t>
      </w:r>
      <w:r>
        <w:rPr>
          <w:rFonts w:hint="eastAsia" w:ascii="宋体" w:hAnsi="宋体" w:eastAsia="宋体" w:cs="宋体"/>
          <w:sz w:val="24"/>
          <w:szCs w:val="24"/>
        </w:rPr>
        <w:t>、</w:t>
      </w:r>
      <w:r>
        <w:rPr>
          <w:rFonts w:ascii="宋体" w:hAnsi="宋体" w:eastAsia="宋体" w:cs="宋体"/>
          <w:sz w:val="24"/>
          <w:szCs w:val="24"/>
        </w:rPr>
        <w:t>GB/T42624《机械安全围栏防护系统安全要求》</w:t>
      </w:r>
      <w:r>
        <w:rPr>
          <w:rFonts w:hint="eastAsia" w:ascii="宋体" w:hAnsi="宋体" w:eastAsia="宋体" w:cs="宋体"/>
          <w:sz w:val="24"/>
          <w:szCs w:val="24"/>
        </w:rPr>
        <w:t>、</w:t>
      </w:r>
      <w:r>
        <w:rPr>
          <w:rFonts w:ascii="宋体" w:hAnsi="宋体" w:eastAsia="宋体" w:cs="宋体"/>
          <w:sz w:val="24"/>
          <w:szCs w:val="24"/>
        </w:rPr>
        <w:t>GBT 20867《工业机器人 安全实施规范》</w:t>
      </w:r>
      <w:r>
        <w:rPr>
          <w:rFonts w:hint="eastAsia" w:ascii="宋体" w:hAnsi="宋体" w:eastAsia="宋体" w:cs="宋体"/>
          <w:sz w:val="24"/>
          <w:szCs w:val="24"/>
        </w:rPr>
        <w:t>及</w:t>
      </w:r>
      <w:r>
        <w:rPr>
          <w:rFonts w:ascii="宋体" w:hAnsi="宋体" w:eastAsia="宋体" w:cs="宋体"/>
          <w:sz w:val="24"/>
          <w:szCs w:val="24"/>
        </w:rPr>
        <w:t>GB7247.1</w:t>
      </w:r>
      <w:r>
        <w:rPr>
          <w:rFonts w:hint="eastAsia" w:ascii="宋体" w:hAnsi="宋体" w:eastAsia="宋体" w:cs="宋体"/>
          <w:sz w:val="24"/>
          <w:szCs w:val="24"/>
        </w:rPr>
        <w:t>《激光安全标准》。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3.3.2   电气、控制系统的安全和措施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3.3.2.1 触电的防护应符合GB 5226.1中第6章的规定；电气设备的保护应符合GB 5226.1中第7章的规定；紧急停止应符合GB16754、GB 5226.1中的规定。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3.3.2.2 控制系统应确保其功能可靠，控制装置应确保操作时不会引起危险。</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3.3.2.3 局部照明或移动照明应采用安全电压。</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3.3.2.4 若电缆、线管等装置原则上不得沿地面铺设，若无法调整，需增加黄黑色硬质绝缘盖板。</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3.3.2.5 其中关于线槽铺设要求风水电气油管道分开布置，其中动力电缆与信号电缆分开布置。</w:t>
      </w:r>
    </w:p>
    <w:p>
      <w:pPr>
        <w:pStyle w:val="115"/>
        <w:outlineLvl w:val="3"/>
        <w:rPr>
          <w:rFonts w:eastAsia="宋体"/>
          <w:b/>
          <w:bCs w:val="0"/>
          <w:color w:val="000000"/>
          <w:sz w:val="24"/>
          <w:szCs w:val="24"/>
        </w:rPr>
      </w:pPr>
      <w:bookmarkStart w:id="32" w:name="_Hlk178507286"/>
      <w:bookmarkStart w:id="33" w:name="_Hlk132112785"/>
      <w:r>
        <w:rPr>
          <w:rFonts w:hint="eastAsia" w:eastAsia="宋体"/>
          <w:b/>
          <w:bCs w:val="0"/>
          <w:color w:val="000000"/>
          <w:sz w:val="24"/>
          <w:szCs w:val="24"/>
        </w:rPr>
        <w:t>3</w:t>
      </w:r>
      <w:r>
        <w:rPr>
          <w:rFonts w:eastAsia="宋体"/>
          <w:b/>
          <w:bCs w:val="0"/>
          <w:color w:val="000000"/>
          <w:sz w:val="24"/>
          <w:szCs w:val="24"/>
        </w:rPr>
        <w:t>.</w:t>
      </w:r>
      <w:r>
        <w:rPr>
          <w:rFonts w:hint="eastAsia" w:eastAsia="宋体"/>
          <w:b/>
          <w:bCs w:val="0"/>
          <w:color w:val="000000"/>
          <w:sz w:val="24"/>
          <w:szCs w:val="24"/>
        </w:rPr>
        <w:t>4主要设备、零部件、元器件、耗材的选用和配置要求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3.4.1 投标方推荐、提供详细的选用配置表。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3.4.2 所有原件和管线必须有标识，走管、走线应整洁、规范，维修方便。</w:t>
      </w:r>
    </w:p>
    <w:p>
      <w:pPr>
        <w:spacing w:line="360" w:lineRule="auto"/>
        <w:ind w:firstLine="480" w:firstLineChars="200"/>
        <w:rPr>
          <w:rFonts w:ascii="宋体" w:hAnsi="宋体" w:eastAsia="宋体"/>
          <w:color w:val="000000"/>
          <w:sz w:val="24"/>
          <w:szCs w:val="24"/>
        </w:rPr>
      </w:pPr>
      <w:r>
        <w:rPr>
          <w:rFonts w:hint="eastAsia" w:ascii="宋体" w:hAnsi="宋体" w:eastAsia="宋体" w:cs="Times New Roman"/>
          <w:sz w:val="24"/>
          <w:szCs w:val="24"/>
        </w:rPr>
        <w:t>3.4.3 投标方需针对技术要求中所有设备的耗材及易损配件提供详细的清单及价目明</w:t>
      </w:r>
      <w:r>
        <w:rPr>
          <w:rFonts w:hint="eastAsia" w:ascii="宋体" w:hAnsi="宋体" w:eastAsia="宋体"/>
          <w:color w:val="000000"/>
          <w:sz w:val="24"/>
          <w:szCs w:val="24"/>
        </w:rPr>
        <w:t>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3.4.4 主要元器件全部采用世界名牌公司正品。气动系统和元件采用一家供货商，采用世界名牌公司正品。PLC选用正品（输入、输出点须各留出≥10%的备用点）。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3.4.5 PLC及触摸屏或数控系统要求选用西门子品牌。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3.4.6 投标文件中关键配置，罗列品牌、重点参数，包括但不限于关键电器元件、床身、导轨、电机、激光切割器、切割精度、倒角机加工精度传感器等。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3.4.7 投标方要增加合适的保护设备或过滤装置，以保证输入的水、电、气能保持所要求的压力值和清洁度。保护设备要包括，但不限于稳压器、压缩空气缓冲箱、油水分离器、过滤器、调压阀等等。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3.4.8 应采取措施降低机床的噪声。机床在空运转条件下和加工零件时，机床的噪声声压级不得超过80dB；机床噪声的测量方法应符合GB/T 16769的规定（进口设备按制造商所在国家相关标准，并提供标准）。</w:t>
      </w:r>
    </w:p>
    <w:p>
      <w:pPr>
        <w:spacing w:line="360" w:lineRule="auto"/>
        <w:ind w:firstLine="480" w:firstLineChars="200"/>
        <w:rPr>
          <w:rFonts w:ascii="宋体" w:hAnsi="宋体" w:eastAsia="宋体" w:cs="Times New Roman"/>
          <w:sz w:val="24"/>
          <w:szCs w:val="24"/>
        </w:rPr>
      </w:pPr>
      <w:bookmarkStart w:id="34" w:name="_Hlk178581072"/>
      <w:r>
        <w:rPr>
          <w:rFonts w:hint="eastAsia" w:ascii="宋体" w:hAnsi="宋体" w:eastAsia="宋体" w:cs="Times New Roman"/>
          <w:sz w:val="24"/>
          <w:szCs w:val="24"/>
        </w:rPr>
        <w:t>3.4.9激光切割设备提供不低于正常使用周期1年的设备用备件及耗材。</w:t>
      </w:r>
    </w:p>
    <w:p>
      <w:pPr>
        <w:spacing w:line="360" w:lineRule="auto"/>
        <w:ind w:firstLine="480" w:firstLineChars="200"/>
        <w:rPr>
          <w:rFonts w:ascii="宋体" w:hAnsi="宋体" w:eastAsia="宋体"/>
          <w:sz w:val="24"/>
          <w:szCs w:val="24"/>
        </w:rPr>
      </w:pPr>
      <w:r>
        <w:rPr>
          <w:rFonts w:hint="eastAsia" w:ascii="宋体" w:hAnsi="宋体" w:eastAsia="宋体" w:cs="Times New Roman"/>
          <w:sz w:val="24"/>
          <w:szCs w:val="24"/>
        </w:rPr>
        <w:t>3.4.10倒角机用刀具、刀片等耗材提供不低于使用周期1个月的数量；</w:t>
      </w:r>
      <w:r>
        <w:rPr>
          <w:rFonts w:hint="eastAsia" w:ascii="宋体" w:hAnsi="宋体" w:eastAsia="宋体"/>
          <w:sz w:val="24"/>
          <w:szCs w:val="24"/>
        </w:rPr>
        <w:t>其中数量S具体折算标准：S≥30*Z/s（注：Z 以正常的生产节拍下每天20个小时正常生产总数理论值，s各种刀具类、打标针单件使用寿命）。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3.4.11环保设施提供使用周期不低于半年的耗材。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3.4.12 其它易损件或耗材提供不低于不低于使用周期3个月的数量。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3.4.13 使用周期从终验收完成之日起进行计算。</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3.4.14 </w:t>
      </w:r>
      <w:r>
        <w:rPr>
          <w:rFonts w:hint="eastAsia" w:eastAsia="宋体"/>
          <w:color w:val="000000"/>
          <w:sz w:val="24"/>
          <w:szCs w:val="24"/>
        </w:rPr>
        <w:t>投标方所提供的各元器件、刀具、耗材、设备备件等外购件不可采用生产厂家已停用、停产产品，或已知计划停用、停产产品。</w:t>
      </w:r>
    </w:p>
    <w:bookmarkEnd w:id="34"/>
    <w:p>
      <w:pPr>
        <w:pStyle w:val="115"/>
        <w:outlineLvl w:val="3"/>
        <w:rPr>
          <w:rFonts w:eastAsia="宋体"/>
          <w:b/>
          <w:bCs w:val="0"/>
          <w:color w:val="000000"/>
          <w:sz w:val="24"/>
          <w:szCs w:val="24"/>
        </w:rPr>
      </w:pPr>
      <w:r>
        <w:rPr>
          <w:rFonts w:hint="eastAsia" w:eastAsia="宋体"/>
          <w:b/>
          <w:bCs w:val="0"/>
          <w:color w:val="000000"/>
          <w:sz w:val="24"/>
          <w:szCs w:val="24"/>
        </w:rPr>
        <w:t>3</w:t>
      </w:r>
      <w:r>
        <w:rPr>
          <w:rFonts w:eastAsia="宋体"/>
          <w:b/>
          <w:bCs w:val="0"/>
          <w:color w:val="000000"/>
          <w:sz w:val="24"/>
          <w:szCs w:val="24"/>
        </w:rPr>
        <w:t>.</w:t>
      </w:r>
      <w:r>
        <w:rPr>
          <w:rFonts w:hint="eastAsia" w:eastAsia="宋体"/>
          <w:b/>
          <w:bCs w:val="0"/>
          <w:color w:val="000000"/>
          <w:sz w:val="24"/>
          <w:szCs w:val="24"/>
        </w:rPr>
        <w:t>5设备场地施工要求</w:t>
      </w:r>
    </w:p>
    <w:p>
      <w:pPr>
        <w:spacing w:line="360" w:lineRule="auto"/>
        <w:ind w:firstLine="480" w:firstLineChars="200"/>
        <w:rPr>
          <w:rFonts w:ascii="宋体" w:hAnsi="宋体" w:eastAsia="宋体"/>
          <w:color w:val="000000"/>
          <w:sz w:val="24"/>
          <w:szCs w:val="24"/>
        </w:rPr>
      </w:pPr>
      <w:r>
        <w:rPr>
          <w:rFonts w:hint="eastAsia" w:ascii="宋体" w:hAnsi="宋体" w:eastAsia="宋体" w:cs="Times New Roman"/>
          <w:sz w:val="24"/>
          <w:szCs w:val="24"/>
        </w:rPr>
        <w:t>3.5.1 投标方需对项目实施场地进行考察，依据实施场地现场情况，结合自身设备特性，</w:t>
      </w:r>
      <w:r>
        <w:rPr>
          <w:rFonts w:hint="eastAsia" w:ascii="宋体" w:hAnsi="宋体" w:eastAsia="宋体"/>
          <w:color w:val="000000"/>
          <w:sz w:val="24"/>
          <w:szCs w:val="24"/>
        </w:rPr>
        <w:t>对设备实施场地进行布局，并出具布局图等。</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3.5.2 项目施工期间，投标方需要执行并遵守招标方各方面的管理规范和要求。</w:t>
      </w:r>
    </w:p>
    <w:p>
      <w:pPr>
        <w:spacing w:line="360" w:lineRule="auto"/>
        <w:ind w:firstLine="480" w:firstLineChars="200"/>
        <w:rPr>
          <w:rFonts w:eastAsia="宋体"/>
          <w:b/>
          <w:color w:val="000000"/>
          <w:sz w:val="24"/>
          <w:szCs w:val="24"/>
        </w:rPr>
      </w:pPr>
      <w:r>
        <w:rPr>
          <w:rFonts w:hint="eastAsia" w:ascii="宋体" w:hAnsi="宋体" w:eastAsia="宋体"/>
          <w:color w:val="000000"/>
          <w:sz w:val="24"/>
          <w:szCs w:val="24"/>
        </w:rPr>
        <w:t>3.5.3 若进行土建类施工内容，施工期间务必设置不低于1.8米瓦楞板进行围挡。</w:t>
      </w:r>
    </w:p>
    <w:p>
      <w:pPr>
        <w:pStyle w:val="115"/>
        <w:outlineLvl w:val="3"/>
        <w:rPr>
          <w:rFonts w:eastAsia="宋体"/>
          <w:b/>
          <w:bCs w:val="0"/>
          <w:color w:val="000000"/>
          <w:sz w:val="24"/>
          <w:szCs w:val="24"/>
        </w:rPr>
      </w:pPr>
      <w:r>
        <w:rPr>
          <w:rFonts w:hint="eastAsia" w:eastAsia="宋体"/>
          <w:b/>
          <w:bCs w:val="0"/>
          <w:color w:val="000000"/>
          <w:sz w:val="24"/>
          <w:szCs w:val="24"/>
        </w:rPr>
        <w:t>3</w:t>
      </w:r>
      <w:r>
        <w:rPr>
          <w:rFonts w:eastAsia="宋体"/>
          <w:b/>
          <w:bCs w:val="0"/>
          <w:color w:val="000000"/>
          <w:sz w:val="24"/>
          <w:szCs w:val="24"/>
        </w:rPr>
        <w:t>.</w:t>
      </w:r>
      <w:r>
        <w:rPr>
          <w:rFonts w:hint="eastAsia" w:eastAsia="宋体"/>
          <w:b/>
          <w:bCs w:val="0"/>
          <w:color w:val="000000"/>
          <w:sz w:val="24"/>
          <w:szCs w:val="24"/>
        </w:rPr>
        <w:t>6自动化、数控化以及仪器仪表要求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投标方提供详细的选用配置表。</w:t>
      </w:r>
    </w:p>
    <w:p>
      <w:pPr>
        <w:pStyle w:val="115"/>
        <w:outlineLvl w:val="3"/>
        <w:rPr>
          <w:rFonts w:eastAsia="宋体"/>
          <w:b/>
          <w:bCs w:val="0"/>
          <w:color w:val="000000"/>
          <w:sz w:val="24"/>
          <w:szCs w:val="24"/>
        </w:rPr>
      </w:pPr>
      <w:r>
        <w:rPr>
          <w:rFonts w:hint="eastAsia" w:eastAsia="宋体"/>
          <w:b/>
          <w:bCs w:val="0"/>
          <w:color w:val="000000"/>
          <w:sz w:val="24"/>
          <w:szCs w:val="24"/>
        </w:rPr>
        <w:t>3.7环保设施、安全防护、节能要求。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3.7.1各设备、装置均应符合中国有关标准要求。</w:t>
      </w:r>
    </w:p>
    <w:p>
      <w:pPr>
        <w:spacing w:line="360" w:lineRule="auto"/>
        <w:ind w:firstLine="480" w:firstLineChars="200"/>
        <w:rPr>
          <w:rFonts w:ascii="宋体" w:hAnsi="宋体" w:eastAsia="宋体"/>
          <w:color w:val="000000"/>
          <w:sz w:val="24"/>
          <w:szCs w:val="24"/>
        </w:rPr>
      </w:pPr>
      <w:r>
        <w:rPr>
          <w:rFonts w:hint="eastAsia" w:ascii="宋体" w:hAnsi="宋体" w:eastAsia="宋体" w:cs="Times New Roman"/>
          <w:sz w:val="24"/>
          <w:szCs w:val="24"/>
        </w:rPr>
        <w:t>3.7.2其中要求投标方负责必须配备独立的激光切割器、倒角机设备环保设备的配置，</w:t>
      </w:r>
      <w:r>
        <w:rPr>
          <w:rFonts w:hint="eastAsia" w:ascii="宋体" w:hAnsi="宋体" w:eastAsia="宋体"/>
          <w:color w:val="000000"/>
          <w:sz w:val="24"/>
          <w:szCs w:val="24"/>
        </w:rPr>
        <w:t>确保设备运行时满足国家及当地最新环保标准。设备产生的烟雾或油雾等危废物需经由相应收集净化设备处理，危废物处理后可满足包含但不限于第4项中明细表中所列的各个排放标准。</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3.7.3 职业卫生要求满足</w:t>
      </w:r>
      <w:r>
        <w:rPr>
          <w:rFonts w:ascii="宋体" w:hAnsi="宋体" w:eastAsia="宋体" w:cs="宋体"/>
          <w:sz w:val="24"/>
          <w:szCs w:val="24"/>
        </w:rPr>
        <w:t>《工作场所有害因素职业接触限值 第2部分：物理因素》（GBZ2.2）</w:t>
      </w:r>
      <w:r>
        <w:rPr>
          <w:rFonts w:hint="eastAsia" w:ascii="宋体" w:hAnsi="宋体" w:eastAsia="宋体" w:cs="宋体"/>
          <w:sz w:val="24"/>
          <w:szCs w:val="24"/>
        </w:rPr>
        <w:t>相关要求。</w:t>
      </w:r>
    </w:p>
    <w:p>
      <w:pPr>
        <w:pStyle w:val="115"/>
        <w:outlineLvl w:val="3"/>
        <w:rPr>
          <w:rFonts w:eastAsia="宋体"/>
          <w:b/>
          <w:bCs w:val="0"/>
          <w:color w:val="000000"/>
          <w:sz w:val="24"/>
          <w:szCs w:val="24"/>
        </w:rPr>
      </w:pPr>
      <w:r>
        <w:rPr>
          <w:rFonts w:eastAsia="宋体"/>
          <w:b/>
          <w:bCs w:val="0"/>
          <w:color w:val="000000"/>
          <w:sz w:val="24"/>
          <w:szCs w:val="24"/>
        </w:rPr>
        <w:t>3.</w:t>
      </w:r>
      <w:r>
        <w:rPr>
          <w:rFonts w:hint="eastAsia" w:eastAsia="宋体"/>
          <w:b/>
          <w:bCs w:val="0"/>
          <w:color w:val="000000"/>
          <w:sz w:val="24"/>
          <w:szCs w:val="24"/>
        </w:rPr>
        <w:t>8</w:t>
      </w:r>
      <w:r>
        <w:rPr>
          <w:rFonts w:eastAsia="宋体"/>
          <w:b/>
          <w:bCs w:val="0"/>
          <w:color w:val="000000"/>
          <w:sz w:val="24"/>
          <w:szCs w:val="24"/>
        </w:rPr>
        <w:t xml:space="preserve"> </w:t>
      </w:r>
      <w:r>
        <w:rPr>
          <w:rFonts w:hint="eastAsia" w:eastAsia="宋体"/>
          <w:b/>
          <w:bCs w:val="0"/>
          <w:color w:val="000000"/>
          <w:sz w:val="24"/>
          <w:szCs w:val="24"/>
        </w:rPr>
        <w:t>材料选用及其材料处理要求。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投标方提供详细的选用配置表。</w:t>
      </w:r>
    </w:p>
    <w:p>
      <w:pPr>
        <w:pStyle w:val="115"/>
        <w:outlineLvl w:val="3"/>
        <w:rPr>
          <w:rFonts w:eastAsia="宋体"/>
          <w:b/>
          <w:bCs w:val="0"/>
          <w:color w:val="000000"/>
          <w:sz w:val="24"/>
          <w:szCs w:val="24"/>
        </w:rPr>
      </w:pPr>
      <w:r>
        <w:rPr>
          <w:rFonts w:hint="eastAsia" w:eastAsia="宋体"/>
          <w:b/>
          <w:bCs w:val="0"/>
          <w:color w:val="000000"/>
          <w:sz w:val="24"/>
          <w:szCs w:val="24"/>
        </w:rPr>
        <w:t>3</w:t>
      </w:r>
      <w:r>
        <w:rPr>
          <w:rFonts w:eastAsia="宋体"/>
          <w:b/>
          <w:bCs w:val="0"/>
          <w:color w:val="000000"/>
          <w:sz w:val="24"/>
          <w:szCs w:val="24"/>
        </w:rPr>
        <w:t>.</w:t>
      </w:r>
      <w:r>
        <w:rPr>
          <w:rFonts w:hint="eastAsia" w:eastAsia="宋体"/>
          <w:b/>
          <w:bCs w:val="0"/>
          <w:color w:val="000000"/>
          <w:sz w:val="24"/>
          <w:szCs w:val="24"/>
        </w:rPr>
        <w:t>9</w:t>
      </w:r>
      <w:r>
        <w:rPr>
          <w:rFonts w:eastAsia="宋体"/>
          <w:b/>
          <w:bCs w:val="0"/>
          <w:color w:val="000000"/>
          <w:sz w:val="24"/>
          <w:szCs w:val="24"/>
        </w:rPr>
        <w:t xml:space="preserve"> </w:t>
      </w:r>
      <w:r>
        <w:rPr>
          <w:rFonts w:hint="eastAsia" w:eastAsia="宋体"/>
          <w:b/>
          <w:bCs w:val="0"/>
          <w:color w:val="000000"/>
          <w:sz w:val="24"/>
          <w:szCs w:val="24"/>
        </w:rPr>
        <w:t>培训</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设备调试完成后，投标方需提供为期15天的设备使用、操作、维护保养、基本振动测试知识方面的培训，确保招标方设备使用人员达到独立操作、维护、进行相关试验的目标。</w:t>
      </w:r>
    </w:p>
    <w:bookmarkEnd w:id="32"/>
    <w:p>
      <w:pPr>
        <w:pStyle w:val="115"/>
        <w:outlineLvl w:val="3"/>
        <w:rPr>
          <w:rFonts w:eastAsia="宋体"/>
          <w:b/>
          <w:bCs w:val="0"/>
          <w:color w:val="000000"/>
          <w:sz w:val="24"/>
          <w:szCs w:val="24"/>
        </w:rPr>
      </w:pPr>
      <w:r>
        <w:rPr>
          <w:rFonts w:hint="eastAsia" w:eastAsia="宋体"/>
          <w:b/>
          <w:bCs w:val="0"/>
          <w:color w:val="000000"/>
          <w:sz w:val="24"/>
          <w:szCs w:val="24"/>
        </w:rPr>
        <w:t>3</w:t>
      </w:r>
      <w:r>
        <w:rPr>
          <w:rFonts w:eastAsia="宋体"/>
          <w:b/>
          <w:bCs w:val="0"/>
          <w:color w:val="000000"/>
          <w:sz w:val="24"/>
          <w:szCs w:val="24"/>
        </w:rPr>
        <w:t>.</w:t>
      </w:r>
      <w:r>
        <w:rPr>
          <w:rFonts w:hint="eastAsia" w:eastAsia="宋体"/>
          <w:b/>
          <w:bCs w:val="0"/>
          <w:color w:val="000000"/>
          <w:sz w:val="24"/>
          <w:szCs w:val="24"/>
        </w:rPr>
        <w:t>10</w:t>
      </w:r>
      <w:r>
        <w:rPr>
          <w:rFonts w:eastAsia="宋体"/>
          <w:b/>
          <w:bCs w:val="0"/>
          <w:color w:val="000000"/>
          <w:sz w:val="24"/>
          <w:szCs w:val="24"/>
        </w:rPr>
        <w:t xml:space="preserve"> </w:t>
      </w:r>
      <w:r>
        <w:rPr>
          <w:rFonts w:hint="eastAsia" w:eastAsia="宋体" w:cstheme="minorBidi"/>
          <w:b/>
          <w:bCs w:val="0"/>
          <w:color w:val="000000"/>
          <w:sz w:val="24"/>
          <w:szCs w:val="24"/>
        </w:rPr>
        <w:t>其他要求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3.10.1供方提供的设备及其所含测量原件（计量器具）必须经过市级及以上国家法定计量检定部门检定/校准，并出具检定/校准证书，所需费用由供方承担。</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3.10.2投标方需提供所有设备中文及英文版完整技术资料，技术资料需包含技术规格和指标、接口协议、安全操作规程、作业指导书、部件型号和参数清单、操作使用说明、安装技术要求、注意事项、维护维修和故障处理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3.10.3设备的运输、移动、就位、拆装，货物的搬运等均由卖家承担，买家提供必要的便利性协助。</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3.10.4需要提供详细的测试软件及测试硬件的中文使用说明。</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3.10.5设备需易于保养、维修，相关易损件容易更换。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3.10.6设备的材料具有防腐、防锈处理。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3.10.7本项目属交钥匙工程。招标方仅提供电气接口、冷却水接口、自来水接口、压缩空气接口、实施场地等协助工作，设备的运输、搬运、安置就位、电气接线等相关工作均由投标方提供完成，如有争议，解释权归招标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3.10.8投标方需针对技术要求中设备的耗材及易损配件提供详细的清单及价目明细。</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3.10.9投标方需提供易损件及更换工装、刀具准确的图纸。</w:t>
      </w:r>
    </w:p>
    <w:p>
      <w:pPr>
        <w:spacing w:line="420" w:lineRule="exact"/>
        <w:ind w:firstLine="480" w:firstLineChars="200"/>
        <w:rPr>
          <w:rFonts w:ascii="宋体" w:hAnsi="宋体" w:eastAsia="宋体" w:cs="Times New Roman"/>
          <w:sz w:val="24"/>
          <w:szCs w:val="24"/>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Times New Roman"/>
          <w:sz w:val="24"/>
          <w:szCs w:val="24"/>
        </w:rPr>
        <w:t>3.10.10投标方所交付的设备、软件等一切标的物，不得出现类似密钥输入的弹出窗口等需要交付后由投标方提供相关信息才可正常使用的情况。</w:t>
      </w:r>
    </w:p>
    <w:bookmarkEnd w:id="33"/>
    <w:p>
      <w:pPr>
        <w:pStyle w:val="4"/>
        <w:rPr>
          <w:rFonts w:ascii="宋体" w:hAnsi="宋体" w:cs="宋体"/>
          <w:b w:val="0"/>
          <w:bCs w:val="0"/>
          <w:sz w:val="24"/>
          <w:szCs w:val="24"/>
        </w:rPr>
      </w:pPr>
      <w:r>
        <w:rPr>
          <w:rFonts w:hint="eastAsia" w:ascii="宋体" w:hAnsi="宋体" w:cs="宋体"/>
          <w:sz w:val="24"/>
          <w:szCs w:val="24"/>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pPr>
        <w:rPr>
          <w:rFonts w:ascii="Times New Roman" w:hAnsi="Times New Roman" w:eastAsia="宋体" w:cs="Times New Roman"/>
          <w:szCs w:val="20"/>
        </w:rPr>
      </w:pP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4455"/>
        <w:gridCol w:w="2093"/>
        <w:gridCol w:w="1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360" w:lineRule="exact"/>
              <w:jc w:val="center"/>
              <w:rPr>
                <w:rFonts w:ascii="宋体" w:hAnsi="宋体"/>
                <w:color w:val="000000"/>
              </w:rPr>
            </w:pPr>
            <w:r>
              <w:rPr>
                <w:rFonts w:hint="eastAsia" w:ascii="宋体" w:hAnsi="宋体"/>
                <w:color w:val="000000"/>
              </w:rPr>
              <w:t>序号</w:t>
            </w:r>
          </w:p>
        </w:tc>
        <w:tc>
          <w:tcPr>
            <w:tcW w:w="4455" w:type="dxa"/>
          </w:tcPr>
          <w:p>
            <w:pPr>
              <w:spacing w:line="360" w:lineRule="exact"/>
              <w:jc w:val="center"/>
              <w:rPr>
                <w:rFonts w:ascii="宋体" w:hAnsi="宋体"/>
                <w:color w:val="000000"/>
              </w:rPr>
            </w:pPr>
            <w:r>
              <w:rPr>
                <w:rFonts w:hint="eastAsia" w:ascii="宋体" w:hAnsi="宋体"/>
                <w:color w:val="000000"/>
              </w:rPr>
              <w:t>标准名称</w:t>
            </w:r>
          </w:p>
        </w:tc>
        <w:tc>
          <w:tcPr>
            <w:tcW w:w="2093" w:type="dxa"/>
          </w:tcPr>
          <w:p>
            <w:pPr>
              <w:spacing w:line="360" w:lineRule="exact"/>
              <w:jc w:val="center"/>
              <w:rPr>
                <w:rFonts w:ascii="宋体" w:hAnsi="宋体"/>
                <w:color w:val="000000"/>
              </w:rPr>
            </w:pPr>
            <w:r>
              <w:rPr>
                <w:rFonts w:hint="eastAsia" w:ascii="宋体" w:hAnsi="宋体"/>
                <w:color w:val="000000"/>
              </w:rPr>
              <w:t>标准编号</w:t>
            </w:r>
          </w:p>
        </w:tc>
        <w:tc>
          <w:tcPr>
            <w:tcW w:w="1807" w:type="dxa"/>
          </w:tcPr>
          <w:p>
            <w:pPr>
              <w:spacing w:line="360" w:lineRule="exact"/>
              <w:jc w:val="center"/>
              <w:rPr>
                <w:rFonts w:ascii="宋体" w:hAnsi="宋体"/>
                <w:color w:val="000000"/>
              </w:rPr>
            </w:pPr>
            <w:r>
              <w:rPr>
                <w:rFonts w:hint="eastAsia" w:ascii="宋体" w:hAnsi="宋体"/>
                <w:color w:val="00000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w:t>
            </w:r>
          </w:p>
        </w:tc>
        <w:tc>
          <w:tcPr>
            <w:tcW w:w="4455" w:type="dxa"/>
          </w:tcPr>
          <w:p>
            <w:pPr>
              <w:spacing w:line="400" w:lineRule="exact"/>
              <w:rPr>
                <w:rFonts w:ascii="宋体" w:hAnsi="宋体"/>
                <w:color w:val="000000"/>
              </w:rPr>
            </w:pPr>
            <w:r>
              <w:rPr>
                <w:rFonts w:hint="eastAsia" w:ascii="宋体" w:hAnsi="宋体"/>
                <w:color w:val="000000"/>
              </w:rPr>
              <w:t>劳动安全和劳动卫生管理</w:t>
            </w:r>
          </w:p>
        </w:tc>
        <w:tc>
          <w:tcPr>
            <w:tcW w:w="2093" w:type="dxa"/>
          </w:tcPr>
          <w:p>
            <w:pPr>
              <w:spacing w:line="400" w:lineRule="exact"/>
              <w:rPr>
                <w:rFonts w:ascii="宋体" w:hAnsi="宋体"/>
                <w:color w:val="000000"/>
              </w:rPr>
            </w:pPr>
            <w:r>
              <w:rPr>
                <w:rFonts w:hint="eastAsia" w:ascii="宋体" w:hAnsi="宋体"/>
                <w:color w:val="000000"/>
              </w:rPr>
              <w:t>GB7691</w:t>
            </w:r>
          </w:p>
        </w:tc>
        <w:tc>
          <w:tcPr>
            <w:tcW w:w="1807" w:type="dxa"/>
            <w:vAlign w:val="center"/>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2</w:t>
            </w:r>
          </w:p>
        </w:tc>
        <w:tc>
          <w:tcPr>
            <w:tcW w:w="4455" w:type="dxa"/>
          </w:tcPr>
          <w:p>
            <w:pPr>
              <w:spacing w:line="400" w:lineRule="exact"/>
              <w:rPr>
                <w:rFonts w:ascii="宋体" w:hAnsi="宋体"/>
                <w:color w:val="000000"/>
              </w:rPr>
            </w:pPr>
            <w:r>
              <w:rPr>
                <w:rFonts w:hint="eastAsia" w:ascii="宋体" w:hAnsi="宋体"/>
                <w:color w:val="000000"/>
              </w:rPr>
              <w:t>安全电压</w:t>
            </w:r>
          </w:p>
        </w:tc>
        <w:tc>
          <w:tcPr>
            <w:tcW w:w="2093" w:type="dxa"/>
          </w:tcPr>
          <w:p>
            <w:pPr>
              <w:spacing w:line="400" w:lineRule="exact"/>
              <w:rPr>
                <w:rFonts w:ascii="宋体" w:hAnsi="宋体"/>
                <w:color w:val="000000"/>
              </w:rPr>
            </w:pPr>
            <w:r>
              <w:rPr>
                <w:rFonts w:hint="eastAsia" w:ascii="宋体" w:hAnsi="宋体"/>
                <w:color w:val="000000"/>
              </w:rPr>
              <w:t>GB3805</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3</w:t>
            </w:r>
          </w:p>
        </w:tc>
        <w:tc>
          <w:tcPr>
            <w:tcW w:w="4455" w:type="dxa"/>
          </w:tcPr>
          <w:p>
            <w:pPr>
              <w:spacing w:line="400" w:lineRule="exact"/>
              <w:rPr>
                <w:rFonts w:ascii="宋体" w:hAnsi="宋体"/>
                <w:color w:val="000000"/>
              </w:rPr>
            </w:pPr>
            <w:r>
              <w:rPr>
                <w:rFonts w:hint="eastAsia" w:ascii="宋体" w:hAnsi="宋体"/>
                <w:color w:val="000000"/>
              </w:rPr>
              <w:t>工业企业生产过程中噪声控制规范</w:t>
            </w:r>
          </w:p>
        </w:tc>
        <w:tc>
          <w:tcPr>
            <w:tcW w:w="2093" w:type="dxa"/>
          </w:tcPr>
          <w:p>
            <w:pPr>
              <w:spacing w:line="400" w:lineRule="exact"/>
              <w:rPr>
                <w:rFonts w:ascii="宋体" w:hAnsi="宋体"/>
                <w:color w:val="000000"/>
              </w:rPr>
            </w:pPr>
            <w:r>
              <w:rPr>
                <w:rFonts w:hint="eastAsia" w:ascii="宋体" w:hAnsi="宋体"/>
                <w:color w:val="000000"/>
              </w:rPr>
              <w:t>GBJ87</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4</w:t>
            </w:r>
          </w:p>
        </w:tc>
        <w:tc>
          <w:tcPr>
            <w:tcW w:w="4455" w:type="dxa"/>
          </w:tcPr>
          <w:p>
            <w:pPr>
              <w:spacing w:line="400" w:lineRule="exact"/>
              <w:rPr>
                <w:rFonts w:ascii="宋体" w:hAnsi="宋体"/>
                <w:color w:val="000000"/>
              </w:rPr>
            </w:pPr>
            <w:r>
              <w:rPr>
                <w:rFonts w:hint="eastAsia" w:ascii="宋体" w:hAnsi="宋体"/>
                <w:color w:val="000000"/>
              </w:rPr>
              <w:t>工业企业设计卫生标准</w:t>
            </w:r>
          </w:p>
        </w:tc>
        <w:tc>
          <w:tcPr>
            <w:tcW w:w="2093" w:type="dxa"/>
          </w:tcPr>
          <w:p>
            <w:pPr>
              <w:spacing w:line="400" w:lineRule="exact"/>
              <w:rPr>
                <w:rFonts w:ascii="宋体" w:hAnsi="宋体"/>
                <w:color w:val="000000"/>
              </w:rPr>
            </w:pPr>
            <w:r>
              <w:rPr>
                <w:rFonts w:hint="eastAsia" w:ascii="宋体" w:hAnsi="宋体"/>
                <w:color w:val="000000"/>
              </w:rPr>
              <w:t>GBZ1</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5</w:t>
            </w:r>
          </w:p>
        </w:tc>
        <w:tc>
          <w:tcPr>
            <w:tcW w:w="4455" w:type="dxa"/>
          </w:tcPr>
          <w:p>
            <w:pPr>
              <w:spacing w:line="400" w:lineRule="exact"/>
              <w:rPr>
                <w:rFonts w:ascii="宋体" w:hAnsi="宋体"/>
                <w:color w:val="000000"/>
              </w:rPr>
            </w:pPr>
            <w:r>
              <w:rPr>
                <w:rFonts w:hint="eastAsia" w:ascii="宋体" w:hAnsi="宋体"/>
                <w:color w:val="000000"/>
              </w:rPr>
              <w:t>机械设备防护罩要求</w:t>
            </w:r>
          </w:p>
        </w:tc>
        <w:tc>
          <w:tcPr>
            <w:tcW w:w="2093" w:type="dxa"/>
          </w:tcPr>
          <w:p>
            <w:pPr>
              <w:spacing w:line="400" w:lineRule="exact"/>
              <w:rPr>
                <w:rFonts w:ascii="宋体" w:hAnsi="宋体"/>
                <w:color w:val="000000"/>
              </w:rPr>
            </w:pPr>
            <w:r>
              <w:rPr>
                <w:rFonts w:hint="eastAsia" w:ascii="宋体" w:hAnsi="宋体"/>
                <w:color w:val="000000"/>
              </w:rPr>
              <w:t>GB8196</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6</w:t>
            </w:r>
          </w:p>
        </w:tc>
        <w:tc>
          <w:tcPr>
            <w:tcW w:w="4455" w:type="dxa"/>
          </w:tcPr>
          <w:p>
            <w:pPr>
              <w:spacing w:line="400" w:lineRule="exact"/>
              <w:rPr>
                <w:rFonts w:ascii="宋体" w:hAnsi="宋体"/>
                <w:color w:val="000000"/>
              </w:rPr>
            </w:pPr>
            <w:r>
              <w:rPr>
                <w:rFonts w:hint="eastAsia" w:ascii="宋体" w:hAnsi="宋体"/>
                <w:color w:val="000000"/>
              </w:rPr>
              <w:t>机械设备防护罩安全标准</w:t>
            </w:r>
          </w:p>
        </w:tc>
        <w:tc>
          <w:tcPr>
            <w:tcW w:w="2093" w:type="dxa"/>
          </w:tcPr>
          <w:p>
            <w:pPr>
              <w:spacing w:line="400" w:lineRule="exact"/>
              <w:rPr>
                <w:rFonts w:ascii="宋体" w:hAnsi="宋体"/>
                <w:color w:val="000000"/>
              </w:rPr>
            </w:pPr>
            <w:r>
              <w:rPr>
                <w:rFonts w:ascii="宋体" w:hAnsi="宋体"/>
                <w:color w:val="000000"/>
              </w:rPr>
              <w:t>GB8196</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7</w:t>
            </w:r>
          </w:p>
        </w:tc>
        <w:tc>
          <w:tcPr>
            <w:tcW w:w="4455" w:type="dxa"/>
          </w:tcPr>
          <w:p>
            <w:pPr>
              <w:spacing w:line="400" w:lineRule="exact"/>
              <w:rPr>
                <w:rFonts w:ascii="宋体" w:hAnsi="宋体"/>
                <w:color w:val="000000"/>
              </w:rPr>
            </w:pPr>
            <w:r>
              <w:rPr>
                <w:rFonts w:hint="eastAsia" w:ascii="宋体" w:hAnsi="宋体"/>
                <w:color w:val="000000"/>
              </w:rPr>
              <w:t>低压配电设计规范</w:t>
            </w:r>
          </w:p>
        </w:tc>
        <w:tc>
          <w:tcPr>
            <w:tcW w:w="2093" w:type="dxa"/>
          </w:tcPr>
          <w:p>
            <w:pPr>
              <w:spacing w:line="400" w:lineRule="exact"/>
              <w:rPr>
                <w:rFonts w:ascii="宋体" w:hAnsi="宋体"/>
                <w:color w:val="000000"/>
              </w:rPr>
            </w:pPr>
            <w:r>
              <w:rPr>
                <w:rFonts w:ascii="宋体" w:hAnsi="宋体"/>
                <w:color w:val="000000"/>
              </w:rPr>
              <w:t>GB50054</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8</w:t>
            </w:r>
          </w:p>
        </w:tc>
        <w:tc>
          <w:tcPr>
            <w:tcW w:w="4455" w:type="dxa"/>
          </w:tcPr>
          <w:p>
            <w:pPr>
              <w:spacing w:line="400" w:lineRule="exact"/>
              <w:rPr>
                <w:rFonts w:ascii="宋体" w:hAnsi="宋体"/>
                <w:color w:val="000000"/>
              </w:rPr>
            </w:pPr>
            <w:r>
              <w:rPr>
                <w:rFonts w:hint="eastAsia" w:ascii="宋体" w:hAnsi="宋体"/>
                <w:color w:val="000000"/>
              </w:rPr>
              <w:t>《设备设施颜色标识》</w:t>
            </w:r>
          </w:p>
        </w:tc>
        <w:tc>
          <w:tcPr>
            <w:tcW w:w="2093" w:type="dxa"/>
          </w:tcPr>
          <w:p>
            <w:pPr>
              <w:spacing w:line="400" w:lineRule="exact"/>
              <w:rPr>
                <w:rFonts w:ascii="宋体" w:hAnsi="宋体"/>
                <w:color w:val="000000"/>
              </w:rPr>
            </w:pPr>
            <w:r>
              <w:rPr>
                <w:rFonts w:ascii="宋体" w:hAnsi="宋体"/>
                <w:color w:val="000000"/>
              </w:rPr>
              <w:t>Q/ZZ 30070</w:t>
            </w:r>
          </w:p>
        </w:tc>
        <w:tc>
          <w:tcPr>
            <w:tcW w:w="1807" w:type="dxa"/>
          </w:tcPr>
          <w:p>
            <w:pPr>
              <w:spacing w:line="360" w:lineRule="auto"/>
              <w:jc w:val="center"/>
              <w:rPr>
                <w:rFonts w:ascii="宋体" w:hAnsi="宋体"/>
                <w:color w:val="000000"/>
                <w:highlight w:val="yellow"/>
              </w:rPr>
            </w:pPr>
            <w:r>
              <w:rPr>
                <w:rFonts w:hint="eastAsia" w:ascii="宋体" w:hAnsi="宋体"/>
              </w:rPr>
              <w:t>企标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9</w:t>
            </w:r>
          </w:p>
        </w:tc>
        <w:tc>
          <w:tcPr>
            <w:tcW w:w="4455" w:type="dxa"/>
          </w:tcPr>
          <w:p>
            <w:pPr>
              <w:spacing w:line="400" w:lineRule="exact"/>
              <w:rPr>
                <w:rFonts w:ascii="宋体" w:hAnsi="宋体"/>
                <w:color w:val="000000"/>
              </w:rPr>
            </w:pPr>
            <w:r>
              <w:rPr>
                <w:rFonts w:hint="eastAsia" w:ascii="宋体" w:hAnsi="宋体"/>
                <w:color w:val="000000"/>
              </w:rPr>
              <w:t>《结构用无缝钢管》</w:t>
            </w:r>
          </w:p>
        </w:tc>
        <w:tc>
          <w:tcPr>
            <w:tcW w:w="2093" w:type="dxa"/>
          </w:tcPr>
          <w:p>
            <w:pPr>
              <w:spacing w:line="400" w:lineRule="exact"/>
              <w:rPr>
                <w:rFonts w:ascii="宋体" w:hAnsi="宋体"/>
                <w:color w:val="000000"/>
              </w:rPr>
            </w:pPr>
            <w:r>
              <w:rPr>
                <w:rFonts w:hint="eastAsia" w:ascii="宋体" w:hAnsi="宋体"/>
                <w:color w:val="000000"/>
              </w:rPr>
              <w:t>GB/T 8162</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ascii="宋体" w:hAnsi="宋体"/>
                <w:color w:val="000000"/>
              </w:rPr>
              <w:t>10</w:t>
            </w:r>
          </w:p>
        </w:tc>
        <w:tc>
          <w:tcPr>
            <w:tcW w:w="4455" w:type="dxa"/>
          </w:tcPr>
          <w:p>
            <w:pPr>
              <w:spacing w:line="400" w:lineRule="exact"/>
              <w:rPr>
                <w:rFonts w:ascii="宋体" w:hAnsi="宋体"/>
                <w:color w:val="000000"/>
              </w:rPr>
            </w:pPr>
            <w:r>
              <w:rPr>
                <w:rFonts w:hint="eastAsia" w:ascii="宋体" w:hAnsi="宋体"/>
                <w:color w:val="000000"/>
              </w:rPr>
              <w:t>《集气罩分类及技术要求》</w:t>
            </w:r>
          </w:p>
        </w:tc>
        <w:tc>
          <w:tcPr>
            <w:tcW w:w="2093" w:type="dxa"/>
          </w:tcPr>
          <w:p>
            <w:pPr>
              <w:spacing w:line="400" w:lineRule="exact"/>
              <w:rPr>
                <w:rFonts w:ascii="宋体" w:hAnsi="宋体"/>
                <w:color w:val="000000"/>
              </w:rPr>
            </w:pPr>
            <w:r>
              <w:rPr>
                <w:rFonts w:hint="eastAsia" w:ascii="宋体" w:hAnsi="宋体"/>
                <w:color w:val="000000"/>
              </w:rPr>
              <w:t>GB/T 16758</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ascii="宋体" w:hAnsi="宋体"/>
                <w:color w:val="000000"/>
              </w:rPr>
              <w:t>11</w:t>
            </w:r>
          </w:p>
        </w:tc>
        <w:tc>
          <w:tcPr>
            <w:tcW w:w="4455" w:type="dxa"/>
          </w:tcPr>
          <w:p>
            <w:pPr>
              <w:spacing w:line="400" w:lineRule="exact"/>
              <w:rPr>
                <w:rFonts w:ascii="宋体" w:hAnsi="宋体"/>
                <w:color w:val="000000"/>
              </w:rPr>
            </w:pPr>
            <w:r>
              <w:rPr>
                <w:rFonts w:hint="eastAsia" w:ascii="宋体" w:hAnsi="宋体"/>
                <w:color w:val="000000"/>
              </w:rPr>
              <w:t>《山东省区域性大气污染物综合排放标准》</w:t>
            </w:r>
          </w:p>
        </w:tc>
        <w:tc>
          <w:tcPr>
            <w:tcW w:w="2093" w:type="dxa"/>
          </w:tcPr>
          <w:p>
            <w:pPr>
              <w:spacing w:line="400" w:lineRule="exact"/>
              <w:rPr>
                <w:rFonts w:ascii="宋体" w:hAnsi="宋体"/>
                <w:color w:val="000000"/>
              </w:rPr>
            </w:pPr>
            <w:r>
              <w:rPr>
                <w:rFonts w:hint="eastAsia" w:ascii="宋体" w:hAnsi="宋体"/>
                <w:color w:val="000000"/>
              </w:rPr>
              <w:t>DB37_2376</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12</w:t>
            </w:r>
          </w:p>
        </w:tc>
        <w:tc>
          <w:tcPr>
            <w:tcW w:w="4455" w:type="dxa"/>
          </w:tcPr>
          <w:p>
            <w:pPr>
              <w:spacing w:line="400" w:lineRule="exact"/>
              <w:rPr>
                <w:rFonts w:ascii="宋体" w:hAnsi="宋体"/>
                <w:color w:val="000000"/>
              </w:rPr>
            </w:pPr>
            <w:r>
              <w:rPr>
                <w:rFonts w:hint="eastAsia" w:ascii="宋体" w:hAnsi="宋体"/>
                <w:color w:val="000000"/>
              </w:rPr>
              <w:t>《挥发性有机物无组织排放控制标准》</w:t>
            </w:r>
          </w:p>
        </w:tc>
        <w:tc>
          <w:tcPr>
            <w:tcW w:w="2093" w:type="dxa"/>
          </w:tcPr>
          <w:p>
            <w:pPr>
              <w:spacing w:line="400" w:lineRule="exact"/>
              <w:rPr>
                <w:rFonts w:ascii="宋体" w:hAnsi="宋体"/>
                <w:color w:val="000000"/>
              </w:rPr>
            </w:pPr>
            <w:r>
              <w:rPr>
                <w:rFonts w:hint="eastAsia" w:ascii="宋体" w:hAnsi="宋体"/>
                <w:color w:val="000000"/>
              </w:rPr>
              <w:t>GB37822</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13</w:t>
            </w:r>
          </w:p>
        </w:tc>
        <w:tc>
          <w:tcPr>
            <w:tcW w:w="4455" w:type="dxa"/>
          </w:tcPr>
          <w:p>
            <w:pPr>
              <w:spacing w:line="400" w:lineRule="exact"/>
              <w:rPr>
                <w:rFonts w:ascii="宋体" w:hAnsi="宋体"/>
                <w:color w:val="000000"/>
              </w:rPr>
            </w:pPr>
            <w:r>
              <w:rPr>
                <w:rFonts w:hint="eastAsia" w:ascii="宋体" w:hAnsi="宋体"/>
                <w:color w:val="000000"/>
              </w:rPr>
              <w:t>《工作场所有害因素职业接触限值 第 1 部分：化学有害因素》</w:t>
            </w:r>
          </w:p>
        </w:tc>
        <w:tc>
          <w:tcPr>
            <w:tcW w:w="2093" w:type="dxa"/>
          </w:tcPr>
          <w:p>
            <w:pPr>
              <w:spacing w:line="400" w:lineRule="exact"/>
              <w:rPr>
                <w:rFonts w:ascii="宋体" w:hAnsi="宋体"/>
                <w:color w:val="000000"/>
              </w:rPr>
            </w:pPr>
            <w:r>
              <w:rPr>
                <w:rFonts w:ascii="宋体" w:hAnsi="宋体" w:cs="宋体"/>
                <w:bCs/>
                <w:sz w:val="24"/>
                <w:szCs w:val="24"/>
              </w:rPr>
              <w:t xml:space="preserve">GBZ </w:t>
            </w:r>
            <w:r>
              <w:rPr>
                <w:rFonts w:hint="eastAsia" w:ascii="宋体" w:hAnsi="宋体" w:cs="宋体"/>
                <w:bCs/>
                <w:sz w:val="24"/>
                <w:szCs w:val="24"/>
              </w:rPr>
              <w:t>2.1</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14</w:t>
            </w:r>
          </w:p>
        </w:tc>
        <w:tc>
          <w:tcPr>
            <w:tcW w:w="4455" w:type="dxa"/>
          </w:tcPr>
          <w:p>
            <w:pPr>
              <w:spacing w:line="400" w:lineRule="exact"/>
              <w:rPr>
                <w:rFonts w:ascii="宋体" w:hAnsi="宋体" w:cs="宋体"/>
                <w:bCs/>
                <w:sz w:val="24"/>
                <w:szCs w:val="24"/>
              </w:rPr>
            </w:pPr>
            <w:r>
              <w:rPr>
                <w:rFonts w:hint="eastAsia" w:ascii="宋体" w:hAnsi="宋体"/>
                <w:color w:val="000000"/>
              </w:rPr>
              <w:t>《</w:t>
            </w:r>
            <w:r>
              <w:rPr>
                <w:rFonts w:ascii="宋体" w:hAnsi="宋体"/>
                <w:color w:val="000000"/>
              </w:rPr>
              <w:t>工位器具技术规范</w:t>
            </w:r>
            <w:r>
              <w:rPr>
                <w:rFonts w:hint="eastAsia" w:ascii="宋体" w:hAnsi="宋体"/>
                <w:color w:val="000000"/>
              </w:rPr>
              <w:t>》</w:t>
            </w:r>
          </w:p>
        </w:tc>
        <w:tc>
          <w:tcPr>
            <w:tcW w:w="2093" w:type="dxa"/>
          </w:tcPr>
          <w:p>
            <w:pPr>
              <w:spacing w:line="400" w:lineRule="exact"/>
              <w:rPr>
                <w:rFonts w:ascii="宋体" w:hAnsi="宋体" w:cs="宋体"/>
                <w:bCs/>
                <w:sz w:val="24"/>
                <w:szCs w:val="24"/>
              </w:rPr>
            </w:pPr>
            <w:r>
              <w:rPr>
                <w:rFonts w:ascii="宋体" w:hAnsi="宋体" w:cs="宋体"/>
                <w:bCs/>
                <w:sz w:val="24"/>
                <w:szCs w:val="24"/>
              </w:rPr>
              <w:t>Q/ZZ</w:t>
            </w:r>
            <w:r>
              <w:rPr>
                <w:rFonts w:hint="eastAsia" w:ascii="宋体" w:hAnsi="宋体" w:cs="宋体"/>
                <w:bCs/>
                <w:sz w:val="24"/>
                <w:szCs w:val="24"/>
              </w:rPr>
              <w:t xml:space="preserve"> </w:t>
            </w:r>
            <w:r>
              <w:rPr>
                <w:rFonts w:ascii="宋体" w:hAnsi="宋体" w:cs="宋体"/>
                <w:bCs/>
                <w:sz w:val="24"/>
                <w:szCs w:val="24"/>
              </w:rPr>
              <w:t>30078</w:t>
            </w:r>
          </w:p>
        </w:tc>
        <w:tc>
          <w:tcPr>
            <w:tcW w:w="1807" w:type="dxa"/>
          </w:tcPr>
          <w:p>
            <w:pPr>
              <w:spacing w:line="360" w:lineRule="auto"/>
              <w:jc w:val="center"/>
              <w:rPr>
                <w:rFonts w:ascii="宋体" w:hAnsi="宋体"/>
                <w:color w:val="000000"/>
              </w:rPr>
            </w:pPr>
            <w:r>
              <w:rPr>
                <w:rFonts w:hint="eastAsia" w:ascii="宋体" w:hAnsi="宋体"/>
                <w:color w:val="000000"/>
              </w:rPr>
              <w:t>企标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15</w:t>
            </w:r>
          </w:p>
        </w:tc>
        <w:tc>
          <w:tcPr>
            <w:tcW w:w="4455" w:type="dxa"/>
          </w:tcPr>
          <w:p>
            <w:pPr>
              <w:spacing w:line="400" w:lineRule="exact"/>
              <w:rPr>
                <w:rFonts w:ascii="宋体" w:hAnsi="宋体" w:cs="宋体"/>
                <w:bCs/>
                <w:sz w:val="24"/>
                <w:szCs w:val="24"/>
              </w:rPr>
            </w:pPr>
            <w:r>
              <w:rPr>
                <w:rFonts w:hint="eastAsia" w:ascii="宋体" w:hAnsi="宋体" w:cs="宋体"/>
                <w:bCs/>
                <w:sz w:val="24"/>
                <w:szCs w:val="24"/>
              </w:rPr>
              <w:t>《生产设备安全卫生设计总则》</w:t>
            </w:r>
          </w:p>
        </w:tc>
        <w:tc>
          <w:tcPr>
            <w:tcW w:w="2093" w:type="dxa"/>
          </w:tcPr>
          <w:p>
            <w:pPr>
              <w:spacing w:line="400" w:lineRule="exact"/>
              <w:rPr>
                <w:rFonts w:ascii="宋体" w:hAnsi="宋体" w:cs="宋体"/>
                <w:bCs/>
                <w:sz w:val="24"/>
                <w:szCs w:val="24"/>
              </w:rPr>
            </w:pPr>
            <w:r>
              <w:rPr>
                <w:rFonts w:hint="eastAsia" w:ascii="宋体" w:hAnsi="宋体" w:eastAsia="宋体" w:cs="Times New Roman"/>
                <w:sz w:val="24"/>
                <w:szCs w:val="24"/>
              </w:rPr>
              <w:t>GB5083</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16</w:t>
            </w:r>
          </w:p>
        </w:tc>
        <w:tc>
          <w:tcPr>
            <w:tcW w:w="4455" w:type="dxa"/>
          </w:tcPr>
          <w:p>
            <w:pPr>
              <w:spacing w:line="400" w:lineRule="exact"/>
              <w:rPr>
                <w:rFonts w:ascii="宋体" w:hAnsi="宋体"/>
                <w:color w:val="000000"/>
              </w:rPr>
            </w:pPr>
            <w:r>
              <w:rPr>
                <w:rFonts w:ascii="宋体" w:hAnsi="宋体" w:eastAsia="宋体" w:cs="宋体"/>
                <w:sz w:val="24"/>
                <w:szCs w:val="24"/>
              </w:rPr>
              <w:t>《机械安全围栏防护系统安全要求》</w:t>
            </w:r>
          </w:p>
        </w:tc>
        <w:tc>
          <w:tcPr>
            <w:tcW w:w="2093" w:type="dxa"/>
          </w:tcPr>
          <w:p>
            <w:pPr>
              <w:spacing w:line="400" w:lineRule="exact"/>
              <w:rPr>
                <w:rFonts w:ascii="宋体" w:hAnsi="宋体" w:cs="宋体"/>
                <w:bCs/>
                <w:sz w:val="24"/>
                <w:szCs w:val="24"/>
              </w:rPr>
            </w:pPr>
            <w:r>
              <w:rPr>
                <w:rFonts w:ascii="宋体" w:hAnsi="宋体" w:eastAsia="宋体" w:cs="宋体"/>
                <w:sz w:val="24"/>
                <w:szCs w:val="24"/>
              </w:rPr>
              <w:t>GB/T42624</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17</w:t>
            </w:r>
          </w:p>
        </w:tc>
        <w:tc>
          <w:tcPr>
            <w:tcW w:w="4455" w:type="dxa"/>
          </w:tcPr>
          <w:p>
            <w:pPr>
              <w:spacing w:line="400" w:lineRule="exact"/>
              <w:rPr>
                <w:rFonts w:ascii="宋体" w:hAnsi="宋体" w:eastAsia="宋体" w:cs="宋体"/>
                <w:sz w:val="24"/>
                <w:szCs w:val="24"/>
              </w:rPr>
            </w:pPr>
            <w:r>
              <w:rPr>
                <w:rFonts w:ascii="宋体" w:hAnsi="宋体" w:eastAsia="宋体" w:cs="宋体"/>
                <w:sz w:val="24"/>
                <w:szCs w:val="24"/>
              </w:rPr>
              <w:t>《工业机器人 安全实施规范》</w:t>
            </w:r>
          </w:p>
        </w:tc>
        <w:tc>
          <w:tcPr>
            <w:tcW w:w="2093" w:type="dxa"/>
          </w:tcPr>
          <w:p>
            <w:pPr>
              <w:spacing w:line="400" w:lineRule="exact"/>
              <w:rPr>
                <w:rFonts w:ascii="宋体" w:hAnsi="宋体" w:eastAsia="宋体" w:cs="宋体"/>
                <w:sz w:val="24"/>
                <w:szCs w:val="24"/>
              </w:rPr>
            </w:pPr>
            <w:r>
              <w:rPr>
                <w:rFonts w:ascii="宋体" w:hAnsi="宋体" w:eastAsia="宋体" w:cs="宋体"/>
                <w:sz w:val="24"/>
                <w:szCs w:val="24"/>
              </w:rPr>
              <w:t>GBT 20867</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18</w:t>
            </w:r>
          </w:p>
        </w:tc>
        <w:tc>
          <w:tcPr>
            <w:tcW w:w="4455" w:type="dxa"/>
          </w:tcPr>
          <w:p>
            <w:pPr>
              <w:spacing w:line="400" w:lineRule="exact"/>
              <w:rPr>
                <w:rFonts w:ascii="宋体" w:hAnsi="宋体" w:eastAsia="宋体" w:cs="宋体"/>
                <w:sz w:val="24"/>
                <w:szCs w:val="24"/>
              </w:rPr>
            </w:pPr>
            <w:r>
              <w:rPr>
                <w:rFonts w:hint="eastAsia" w:ascii="宋体" w:hAnsi="宋体" w:eastAsia="宋体" w:cs="宋体"/>
                <w:sz w:val="24"/>
                <w:szCs w:val="24"/>
              </w:rPr>
              <w:t>《激光安全标准》</w:t>
            </w:r>
          </w:p>
        </w:tc>
        <w:tc>
          <w:tcPr>
            <w:tcW w:w="2093" w:type="dxa"/>
          </w:tcPr>
          <w:p>
            <w:pPr>
              <w:spacing w:line="400" w:lineRule="exact"/>
              <w:rPr>
                <w:rFonts w:ascii="宋体" w:hAnsi="宋体" w:eastAsia="宋体" w:cs="宋体"/>
                <w:sz w:val="24"/>
                <w:szCs w:val="24"/>
              </w:rPr>
            </w:pPr>
            <w:r>
              <w:rPr>
                <w:rFonts w:ascii="宋体" w:hAnsi="宋体" w:eastAsia="宋体" w:cs="宋体"/>
                <w:sz w:val="24"/>
                <w:szCs w:val="24"/>
              </w:rPr>
              <w:t>GB7247.1</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19</w:t>
            </w:r>
          </w:p>
        </w:tc>
        <w:tc>
          <w:tcPr>
            <w:tcW w:w="4455" w:type="dxa"/>
          </w:tcPr>
          <w:p>
            <w:pPr>
              <w:spacing w:line="400" w:lineRule="exact"/>
              <w:rPr>
                <w:rFonts w:ascii="宋体" w:hAnsi="宋体" w:eastAsia="宋体" w:cs="宋体"/>
                <w:sz w:val="24"/>
                <w:szCs w:val="24"/>
              </w:rPr>
            </w:pPr>
            <w:r>
              <w:rPr>
                <w:rFonts w:ascii="宋体" w:hAnsi="宋体" w:eastAsia="宋体" w:cs="宋体"/>
                <w:sz w:val="24"/>
                <w:szCs w:val="24"/>
              </w:rPr>
              <w:t>《工作场所有害因素职业接触限值 第2部分：物理因素》</w:t>
            </w:r>
          </w:p>
        </w:tc>
        <w:tc>
          <w:tcPr>
            <w:tcW w:w="2093" w:type="dxa"/>
          </w:tcPr>
          <w:p>
            <w:pPr>
              <w:spacing w:line="400" w:lineRule="exact"/>
              <w:rPr>
                <w:rFonts w:ascii="宋体" w:hAnsi="宋体" w:eastAsia="宋体" w:cs="宋体"/>
                <w:sz w:val="24"/>
                <w:szCs w:val="24"/>
              </w:rPr>
            </w:pPr>
            <w:r>
              <w:rPr>
                <w:rFonts w:ascii="宋体" w:hAnsi="宋体" w:eastAsia="宋体" w:cs="宋体"/>
                <w:sz w:val="24"/>
                <w:szCs w:val="24"/>
              </w:rPr>
              <w:t>GBZ2.2</w:t>
            </w:r>
          </w:p>
        </w:tc>
        <w:tc>
          <w:tcPr>
            <w:tcW w:w="1807" w:type="dxa"/>
          </w:tcPr>
          <w:p>
            <w:pPr>
              <w:spacing w:line="360" w:lineRule="auto"/>
              <w:jc w:val="center"/>
              <w:rPr>
                <w:rFonts w:ascii="宋体" w:hAnsi="宋体"/>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pPr>
              <w:spacing w:line="400" w:lineRule="exact"/>
              <w:jc w:val="center"/>
              <w:rPr>
                <w:rFonts w:ascii="宋体" w:hAnsi="宋体"/>
                <w:color w:val="000000"/>
              </w:rPr>
            </w:pPr>
            <w:r>
              <w:rPr>
                <w:rFonts w:hint="eastAsia" w:ascii="宋体" w:hAnsi="宋体"/>
                <w:color w:val="000000"/>
              </w:rPr>
              <w:t>20</w:t>
            </w:r>
          </w:p>
        </w:tc>
        <w:tc>
          <w:tcPr>
            <w:tcW w:w="4455" w:type="dxa"/>
            <w:shd w:val="clear" w:color="auto" w:fill="auto"/>
          </w:tcPr>
          <w:p>
            <w:pPr>
              <w:spacing w:line="400" w:lineRule="exact"/>
              <w:rPr>
                <w:rFonts w:ascii="宋体" w:hAnsi="宋体"/>
                <w:color w:val="000000"/>
              </w:rPr>
            </w:pPr>
            <w:r>
              <w:rPr>
                <w:rFonts w:hint="eastAsia" w:ascii="宋体" w:hAnsi="宋体"/>
                <w:color w:val="000000"/>
              </w:rPr>
              <w:t>《排污许可证申请与核发技术规范》</w:t>
            </w:r>
          </w:p>
        </w:tc>
        <w:tc>
          <w:tcPr>
            <w:tcW w:w="2093" w:type="dxa"/>
            <w:shd w:val="clear" w:color="auto" w:fill="auto"/>
          </w:tcPr>
          <w:p>
            <w:pPr>
              <w:spacing w:line="400" w:lineRule="exact"/>
              <w:rPr>
                <w:rFonts w:ascii="宋体" w:hAnsi="宋体"/>
                <w:color w:val="000000"/>
              </w:rPr>
            </w:pPr>
            <w:r>
              <w:rPr>
                <w:rFonts w:ascii="宋体" w:hAnsi="宋体"/>
                <w:color w:val="000000"/>
              </w:rPr>
              <w:t>HJ971</w:t>
            </w:r>
          </w:p>
        </w:tc>
        <w:tc>
          <w:tcPr>
            <w:tcW w:w="1807" w:type="dxa"/>
          </w:tcPr>
          <w:p>
            <w:pPr>
              <w:spacing w:line="360" w:lineRule="auto"/>
              <w:jc w:val="center"/>
              <w:rPr>
                <w:rFonts w:ascii="宋体" w:hAnsi="宋体"/>
                <w:color w:val="000000"/>
              </w:rPr>
            </w:pPr>
          </w:p>
        </w:tc>
      </w:tr>
    </w:tbl>
    <w:p>
      <w:pPr>
        <w:rPr>
          <w:rFonts w:ascii="Times New Roman" w:hAnsi="Times New Roman" w:eastAsia="宋体" w:cs="Times New Roman"/>
          <w:szCs w:val="20"/>
        </w:rPr>
        <w:sectPr>
          <w:footerReference r:id="rId15" w:type="default"/>
          <w:pgSz w:w="11906" w:h="16838"/>
          <w:pgMar w:top="1588" w:right="1418" w:bottom="1134" w:left="1418" w:header="851" w:footer="992" w:gutter="0"/>
          <w:cols w:space="425" w:num="1"/>
          <w:docGrid w:type="lines" w:linePitch="312" w:charSpace="0"/>
        </w:sect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一、供货范围</w:t>
      </w:r>
    </w:p>
    <w:tbl>
      <w:tblPr>
        <w:tblStyle w:val="37"/>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934"/>
        <w:gridCol w:w="1433"/>
        <w:gridCol w:w="750"/>
        <w:gridCol w:w="708"/>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型号规格</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上料料仓</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上料输送机构</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激光切割机</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12kW</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物料输送装置</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双头倒角机</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不少于3台。按需，满足节拍要求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激光打码设备</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按需</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不少于3台。按需，满足节拍要求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围栏等安全防护设施</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自动下料系统</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按需，满足节拍要求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工位器具</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10</w:t>
            </w:r>
          </w:p>
        </w:tc>
        <w:tc>
          <w:tcPr>
            <w:tcW w:w="3509" w:type="dxa"/>
            <w:vAlign w:val="center"/>
          </w:tcPr>
          <w:p>
            <w:pPr>
              <w:jc w:val="center"/>
              <w:rPr>
                <w:rFonts w:ascii="宋体" w:hAnsi="宋体" w:eastAsia="宋体" w:cs="宋体"/>
                <w:sz w:val="24"/>
                <w:szCs w:val="24"/>
              </w:rPr>
            </w:pPr>
            <w:r>
              <w:rPr>
                <w:rFonts w:hint="eastAsia" w:ascii="宋体" w:hAnsi="宋体" w:eastAsia="宋体" w:cs="宋体"/>
                <w:sz w:val="24"/>
                <w:szCs w:val="24"/>
              </w:rPr>
              <w:t>不低于10套，按需，满足轴管下料线正常运转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集线总成</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非标</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numPr>
                <w:ilvl w:val="0"/>
                <w:numId w:val="11"/>
              </w:numPr>
              <w:jc w:val="center"/>
              <w:rPr>
                <w:rFonts w:ascii="宋体" w:hAnsi="宋体" w:eastAsia="宋体" w:cs="宋体"/>
                <w:sz w:val="24"/>
                <w:szCs w:val="24"/>
              </w:rPr>
            </w:pPr>
          </w:p>
        </w:tc>
        <w:tc>
          <w:tcPr>
            <w:tcW w:w="1934" w:type="dxa"/>
            <w:vAlign w:val="center"/>
          </w:tcPr>
          <w:p>
            <w:pPr>
              <w:jc w:val="center"/>
              <w:rPr>
                <w:rFonts w:ascii="宋体" w:hAnsi="宋体" w:eastAsia="宋体" w:cs="宋体"/>
                <w:sz w:val="24"/>
                <w:szCs w:val="24"/>
              </w:rPr>
            </w:pPr>
            <w:r>
              <w:rPr>
                <w:rFonts w:hint="eastAsia" w:ascii="宋体" w:hAnsi="宋体" w:eastAsia="宋体" w:cs="宋体"/>
                <w:sz w:val="24"/>
                <w:szCs w:val="24"/>
              </w:rPr>
              <w:t>环保设施</w:t>
            </w:r>
          </w:p>
        </w:tc>
        <w:tc>
          <w:tcPr>
            <w:tcW w:w="1433" w:type="dxa"/>
            <w:vAlign w:val="center"/>
          </w:tcPr>
          <w:p>
            <w:pPr>
              <w:jc w:val="center"/>
              <w:rPr>
                <w:rFonts w:ascii="宋体" w:hAnsi="宋体" w:eastAsia="宋体" w:cs="宋体"/>
                <w:sz w:val="24"/>
                <w:szCs w:val="24"/>
              </w:rPr>
            </w:pPr>
            <w:r>
              <w:rPr>
                <w:rFonts w:hint="eastAsia" w:ascii="宋体" w:hAnsi="宋体" w:eastAsia="宋体" w:cs="宋体"/>
                <w:sz w:val="24"/>
                <w:szCs w:val="24"/>
              </w:rPr>
              <w:t>/</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708"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3509" w:type="dxa"/>
            <w:vAlign w:val="center"/>
          </w:tcPr>
          <w:p>
            <w:pPr>
              <w:jc w:val="center"/>
              <w:rPr>
                <w:rFonts w:ascii="宋体" w:hAnsi="宋体" w:eastAsia="宋体" w:cs="宋体"/>
                <w:sz w:val="24"/>
                <w:szCs w:val="24"/>
              </w:rPr>
            </w:pPr>
          </w:p>
        </w:tc>
      </w:tr>
    </w:tbl>
    <w:p>
      <w:pPr>
        <w:spacing w:line="420" w:lineRule="exact"/>
        <w:ind w:firstLine="482" w:firstLineChars="200"/>
        <w:outlineLvl w:val="3"/>
        <w:rPr>
          <w:rFonts w:ascii="宋体" w:hAnsi="宋体" w:eastAsia="宋体" w:cs="宋体"/>
          <w:b/>
          <w:bCs/>
          <w:sz w:val="24"/>
          <w:szCs w:val="24"/>
        </w:rPr>
      </w:pP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2.买方提供符合本技术标书中“采购货物概况”和“使用环境”章节所列明内容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1.提供数量见技术要求中</w:t>
      </w:r>
      <w:r>
        <w:rPr>
          <w:rFonts w:hint="eastAsia" w:eastAsia="宋体"/>
          <w:b/>
          <w:sz w:val="24"/>
          <w:szCs w:val="24"/>
        </w:rPr>
        <w:t>.</w:t>
      </w:r>
      <w:r>
        <w:rPr>
          <w:rFonts w:hint="eastAsia" w:ascii="宋体" w:hAnsi="宋体" w:eastAsia="宋体" w:cs="宋体"/>
          <w:sz w:val="24"/>
          <w:szCs w:val="24"/>
        </w:rPr>
        <w:t>配件、备件及耗材中约定。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济南部件公司传动轴线</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1.自合同生效后，接招标方通知后于</w:t>
      </w:r>
      <w:r>
        <w:rPr>
          <w:rFonts w:hint="eastAsia" w:ascii="宋体" w:hAnsi="宋体" w:eastAsia="宋体" w:cs="宋体"/>
          <w:sz w:val="24"/>
          <w:szCs w:val="24"/>
          <w:highlight w:val="yellow"/>
          <w:u w:val="single"/>
        </w:rPr>
        <w:t>90</w:t>
      </w:r>
      <w:r>
        <w:rPr>
          <w:rFonts w:hint="eastAsia" w:ascii="宋体" w:hAnsi="宋体" w:eastAsia="宋体" w:cs="宋体"/>
          <w:sz w:val="24"/>
          <w:szCs w:val="24"/>
        </w:rPr>
        <w:t>个日历日内，中标人须交付设备到招标人指定的安装和使用的现场，并保证整套测试系统正常进入试运行状态。</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30</w:t>
      </w:r>
      <w:r>
        <w:rPr>
          <w:rFonts w:hint="eastAsia" w:ascii="宋体" w:hAnsi="宋体" w:eastAsia="宋体" w:cs="宋体"/>
          <w:sz w:val="24"/>
          <w:szCs w:val="24"/>
        </w:rPr>
        <w:t>个日历日之内安装调试完毕。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u w:val="single"/>
        </w:rPr>
        <w:t>0</w:t>
      </w:r>
      <w:r>
        <w:rPr>
          <w:rFonts w:hint="eastAsia" w:ascii="宋体" w:hAnsi="宋体" w:eastAsia="宋体" w:cs="宋体"/>
          <w:sz w:val="24"/>
          <w:szCs w:val="24"/>
        </w:rPr>
        <w:t>个日历日之内完成终验收。</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5" w:name="_Toc169605884"/>
      <w:r>
        <w:rPr>
          <w:rFonts w:hint="eastAsia" w:ascii="宋体" w:hAnsi="宋体" w:eastAsia="宋体" w:cs="宋体"/>
          <w:b/>
          <w:bCs/>
          <w:kern w:val="44"/>
          <w:sz w:val="24"/>
          <w:szCs w:val="24"/>
        </w:rPr>
        <w:t>第四章  质保期及售后服务</w:t>
      </w:r>
      <w:bookmarkEnd w:id="35"/>
    </w:p>
    <w:p>
      <w:pPr>
        <w:pStyle w:val="120"/>
        <w:spacing w:line="360" w:lineRule="auto"/>
        <w:rPr>
          <w:rFonts w:ascii="宋体" w:hAnsi="宋体" w:cs="宋体"/>
          <w:color w:val="auto"/>
        </w:rPr>
      </w:pPr>
      <w:r>
        <w:rPr>
          <w:rFonts w:hint="eastAsia" w:ascii="宋体" w:hAnsi="宋体" w:cs="宋体"/>
          <w:color w:val="auto"/>
        </w:rPr>
        <w:t>一、质保期及质保要求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color w:val="0000FF"/>
          <w:sz w:val="24"/>
          <w:szCs w:val="24"/>
          <w:highlight w:val="yellow"/>
          <w:u w:val="single"/>
        </w:rPr>
        <w:t xml:space="preserve"> 12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pPr>
        <w:pStyle w:val="120"/>
        <w:spacing w:line="360" w:lineRule="auto"/>
        <w:rPr>
          <w:rFonts w:ascii="宋体" w:hAnsi="宋体" w:cs="宋体"/>
          <w:color w:val="auto"/>
        </w:rPr>
      </w:pPr>
      <w:r>
        <w:rPr>
          <w:rFonts w:hint="eastAsia" w:ascii="宋体" w:hAnsi="宋体" w:cs="宋体"/>
          <w:color w:val="auto"/>
        </w:rPr>
        <w:t>二、技术及培训服务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0"/>
        <w:spacing w:line="360" w:lineRule="auto"/>
        <w:rPr>
          <w:rFonts w:ascii="宋体" w:hAnsi="宋体" w:cs="宋体"/>
          <w:color w:val="auto"/>
        </w:rPr>
      </w:pPr>
      <w:r>
        <w:rPr>
          <w:rFonts w:hint="eastAsia" w:ascii="宋体" w:hAnsi="宋体" w:cs="宋体"/>
          <w:color w:val="auto"/>
        </w:rPr>
        <w:t>三、安装调试及验收服务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pPr>
        <w:pStyle w:val="120"/>
        <w:spacing w:line="360" w:lineRule="auto"/>
        <w:rPr>
          <w:rFonts w:ascii="宋体" w:hAnsi="宋体" w:cs="宋体"/>
          <w:color w:val="auto"/>
        </w:rPr>
      </w:pPr>
      <w:r>
        <w:rPr>
          <w:rFonts w:hint="eastAsia" w:ascii="宋体" w:hAnsi="宋体" w:cs="宋体"/>
          <w:color w:val="auto"/>
        </w:rPr>
        <w:t>四、售后服务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pPr>
        <w:pStyle w:val="120"/>
        <w:spacing w:line="360" w:lineRule="auto"/>
        <w:rPr>
          <w:rFonts w:ascii="宋体" w:hAnsi="宋体" w:cs="宋体"/>
          <w:color w:val="auto"/>
        </w:rPr>
      </w:pPr>
      <w:r>
        <w:rPr>
          <w:rFonts w:hint="eastAsia" w:ascii="宋体" w:hAnsi="宋体" w:cs="宋体"/>
          <w:color w:val="auto"/>
        </w:rPr>
        <w:t>五、其它服务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17"/>
        <w:spacing w:line="360" w:lineRule="auto"/>
        <w:rPr>
          <w:rFonts w:hAnsi="宋体" w:eastAsia="宋体" w:cs="宋体"/>
          <w:sz w:val="24"/>
          <w:szCs w:val="24"/>
        </w:rPr>
      </w:pPr>
      <w:r>
        <w:rPr>
          <w:rFonts w:hint="eastAsia" w:hAnsi="宋体" w:eastAsia="宋体" w:cs="宋体"/>
          <w:sz w:val="24"/>
          <w:szCs w:val="24"/>
        </w:rPr>
        <w:br w:type="page"/>
      </w:r>
    </w:p>
    <w:p>
      <w:pPr>
        <w:keepNext/>
        <w:keepLines/>
        <w:spacing w:line="360" w:lineRule="auto"/>
        <w:jc w:val="center"/>
        <w:outlineLvl w:val="1"/>
        <w:rPr>
          <w:rFonts w:ascii="宋体" w:hAnsi="宋体" w:eastAsia="宋体" w:cs="宋体"/>
          <w:b/>
          <w:bCs/>
          <w:kern w:val="44"/>
          <w:sz w:val="24"/>
          <w:szCs w:val="24"/>
        </w:rPr>
      </w:pPr>
      <w:bookmarkStart w:id="36" w:name="_Toc465187646"/>
      <w:r>
        <w:rPr>
          <w:rFonts w:hint="eastAsia" w:ascii="宋体" w:hAnsi="宋体" w:eastAsia="宋体" w:cs="宋体"/>
          <w:b/>
          <w:bCs/>
          <w:kern w:val="44"/>
          <w:sz w:val="24"/>
          <w:szCs w:val="24"/>
        </w:rPr>
        <w:t>第五章  预验收和终验收</w:t>
      </w:r>
      <w:bookmarkEnd w:id="36"/>
    </w:p>
    <w:p>
      <w:pPr>
        <w:pStyle w:val="120"/>
        <w:spacing w:line="360" w:lineRule="auto"/>
        <w:rPr>
          <w:rFonts w:ascii="宋体" w:hAnsi="宋体" w:cs="宋体"/>
          <w:color w:val="auto"/>
        </w:rPr>
      </w:pPr>
      <w:r>
        <w:rPr>
          <w:rFonts w:hint="eastAsia" w:ascii="宋体" w:hAnsi="宋体" w:cs="宋体"/>
          <w:color w:val="auto"/>
        </w:rPr>
        <w:t>一、验收依据和验收标准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pPr>
        <w:pStyle w:val="120"/>
        <w:spacing w:line="360" w:lineRule="auto"/>
        <w:rPr>
          <w:rFonts w:ascii="宋体" w:hAnsi="宋体" w:cs="宋体"/>
          <w:color w:val="auto"/>
        </w:rPr>
      </w:pPr>
      <w:r>
        <w:rPr>
          <w:rFonts w:hint="eastAsia" w:ascii="宋体" w:hAnsi="宋体" w:cs="宋体"/>
          <w:color w:val="auto"/>
        </w:rPr>
        <w:t>二、检验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0"/>
        <w:spacing w:line="360" w:lineRule="auto"/>
        <w:rPr>
          <w:rFonts w:ascii="宋体" w:hAnsi="宋体" w:cs="宋体"/>
          <w:color w:val="auto"/>
        </w:rPr>
      </w:pPr>
      <w:r>
        <w:rPr>
          <w:rFonts w:hint="eastAsia" w:ascii="宋体" w:hAnsi="宋体" w:cs="宋体"/>
          <w:color w:val="auto"/>
        </w:rPr>
        <w:t>三、验收基本条件</w:t>
      </w:r>
    </w:p>
    <w:p>
      <w:pPr>
        <w:adjustRightInd w:val="0"/>
        <w:snapToGrid w:val="0"/>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本项目不涉及预验收，仅有终验收部分。终验收在安装调试完成及试运行后的招标方现场进行。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1.终验收一般条件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r>
        <w:rPr>
          <w:rFonts w:hint="eastAsia" w:ascii="宋体" w:hAnsi="宋体" w:eastAsia="宋体" w:cs="宋体"/>
          <w:sz w:val="24"/>
          <w:szCs w:val="24"/>
        </w:rPr>
        <w:t>设备已完成硬件与软件系统的整体功能测试与调试，且功能正常。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.2</w:t>
      </w:r>
      <w:r>
        <w:rPr>
          <w:rFonts w:hint="eastAsia" w:ascii="宋体" w:hAnsi="宋体" w:eastAsia="宋体" w:cs="宋体"/>
          <w:sz w:val="24"/>
          <w:szCs w:val="24"/>
        </w:rPr>
        <w:t>通过试运行而且</w:t>
      </w:r>
      <w:r>
        <w:rPr>
          <w:rFonts w:ascii="宋体" w:hAnsi="宋体" w:eastAsia="宋体" w:cs="宋体"/>
          <w:sz w:val="24"/>
          <w:szCs w:val="24"/>
        </w:rPr>
        <w:t>没有出现新的质量问题，或者满足验收条款。</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.3货物安装调试完毕，并至少经过了验收要求的负荷试运行。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.4货物正常运行时，噪声等环境影响因素满足国家和当地环保主管部门规定，安全措施落实、有效。</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.5计量仪器、仪表配套合理，采用中国的法定计量单位，计量准确、灵敏可靠。保证设计指标和仪器说明书的参数的实现。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.6试运行期间或之后无维修、调整等行为（特殊情况除外）。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.7货物质量、技术性能等，达到签定的技术协议书和合同规定的终验收标准。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8</w:t>
      </w:r>
      <w:r>
        <w:rPr>
          <w:rFonts w:hint="eastAsia" w:ascii="宋体" w:hAnsi="宋体" w:eastAsia="宋体" w:cs="宋体"/>
          <w:sz w:val="24"/>
          <w:szCs w:val="24"/>
        </w:rPr>
        <w:t>首次计量由乙方负责，由省级或以上的计量机构计量，按照系统约束的性能指标进行计量检定，合格后方可进行终验收。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rPr>
        <w:t>终验收技术要求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w:t>
      </w:r>
      <w:r>
        <w:rPr>
          <w:rFonts w:hint="eastAsia" w:ascii="宋体" w:hAnsi="宋体" w:eastAsia="宋体" w:cs="宋体"/>
          <w:sz w:val="24"/>
          <w:szCs w:val="24"/>
          <w:highlight w:val="yellow"/>
        </w:rPr>
        <w:t>15</w:t>
      </w:r>
      <w:r>
        <w:rPr>
          <w:rFonts w:ascii="宋体" w:hAnsi="宋体" w:eastAsia="宋体" w:cs="宋体"/>
          <w:sz w:val="24"/>
          <w:szCs w:val="24"/>
        </w:rPr>
        <w:t>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2.2.1 考核期间生产加工内容为招标方正常生产的作业计划；</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2.2.2若生产计划出现加工产品不在标书或技术协议提出的产品明细内，双方友好商讨是否具备生产能力，若不具备应将其相关产品剔除生产计划。</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2.2.3验收时设备进行连续负荷运行时，货物应连续运行 </w:t>
      </w:r>
      <w:r>
        <w:rPr>
          <w:rFonts w:hint="eastAsia" w:ascii="宋体" w:hAnsi="宋体" w:eastAsia="宋体" w:cs="宋体"/>
          <w:sz w:val="24"/>
          <w:szCs w:val="24"/>
          <w:u w:val="single"/>
        </w:rPr>
        <w:t xml:space="preserve"> 15  </w:t>
      </w:r>
      <w:r>
        <w:rPr>
          <w:rFonts w:hint="eastAsia" w:ascii="宋体" w:hAnsi="宋体" w:eastAsia="宋体" w:cs="宋体"/>
          <w:sz w:val="24"/>
          <w:szCs w:val="24"/>
        </w:rPr>
        <w:t>天，每天连续</w:t>
      </w:r>
      <w:r>
        <w:rPr>
          <w:rFonts w:hint="eastAsia" w:ascii="宋体" w:hAnsi="宋体" w:eastAsia="宋体" w:cs="宋体"/>
          <w:sz w:val="24"/>
          <w:szCs w:val="24"/>
          <w:u w:val="single"/>
        </w:rPr>
        <w:t xml:space="preserve"> </w:t>
      </w:r>
      <w:r>
        <w:rPr>
          <w:rFonts w:hint="eastAsia" w:ascii="宋体" w:hAnsi="宋体" w:eastAsia="宋体" w:cs="宋体"/>
          <w:sz w:val="24"/>
          <w:szCs w:val="24"/>
          <w:highlight w:val="yellow"/>
          <w:u w:val="single"/>
        </w:rPr>
        <w:t xml:space="preserve">  8 </w:t>
      </w:r>
      <w:r>
        <w:rPr>
          <w:rFonts w:hint="eastAsia" w:ascii="宋体" w:hAnsi="宋体" w:eastAsia="宋体" w:cs="宋体"/>
          <w:sz w:val="24"/>
          <w:szCs w:val="24"/>
          <w:u w:val="single"/>
        </w:rPr>
        <w:t xml:space="preserve">  </w:t>
      </w:r>
      <w:r>
        <w:rPr>
          <w:rFonts w:hint="eastAsia" w:ascii="宋体" w:hAnsi="宋体" w:eastAsia="宋体" w:cs="宋体"/>
          <w:sz w:val="24"/>
          <w:szCs w:val="24"/>
        </w:rPr>
        <w:t>小时，除用户方面因素外，必须达到以下要求：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2.2.4在整个验收过程中没有维修、更换零部件或元件行为。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2.2.5所有出现的调整，每次调整时间均不超过</w:t>
      </w:r>
      <w:r>
        <w:rPr>
          <w:rFonts w:hint="eastAsia" w:ascii="宋体" w:hAnsi="宋体" w:eastAsia="宋体" w:cs="宋体"/>
          <w:sz w:val="24"/>
          <w:szCs w:val="24"/>
          <w:u w:val="single"/>
        </w:rPr>
        <w:t xml:space="preserve">   30    </w:t>
      </w:r>
      <w:r>
        <w:rPr>
          <w:rFonts w:hint="eastAsia" w:ascii="宋体" w:hAnsi="宋体" w:eastAsia="宋体" w:cs="宋体"/>
          <w:sz w:val="24"/>
          <w:szCs w:val="24"/>
        </w:rPr>
        <w:t>分钟。</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2.2.6所有调整时间的总和不超过总运行时间的</w:t>
      </w:r>
      <w:r>
        <w:rPr>
          <w:rFonts w:hint="eastAsia" w:ascii="宋体" w:hAnsi="宋体" w:eastAsia="宋体" w:cs="宋体"/>
          <w:sz w:val="24"/>
          <w:szCs w:val="24"/>
          <w:u w:val="single"/>
        </w:rPr>
        <w:t xml:space="preserve">   5   </w:t>
      </w:r>
      <w:r>
        <w:rPr>
          <w:rFonts w:hint="eastAsia" w:ascii="宋体" w:hAnsi="宋体" w:eastAsia="宋体" w:cs="宋体"/>
          <w:sz w:val="24"/>
          <w:szCs w:val="24"/>
        </w:rPr>
        <w:t xml:space="preserve">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.3由买方和卖方共同编制终验收报告并签字确认</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.4终验收期间，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.5最终验收以双方签订的合同和条件为准，逐项进行最终验收</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6对于终验收买方提出的问题，卖方应在15个工作日内完成整改。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.7终验收通过后买卖双方共同签署终验收报告，并移交、核对全部供货范围内物品。</w:t>
      </w:r>
    </w:p>
    <w:p>
      <w:pPr>
        <w:adjustRightInd w:val="0"/>
        <w:snapToGrid w:val="0"/>
        <w:spacing w:line="360" w:lineRule="auto"/>
        <w:rPr>
          <w:rFonts w:ascii="宋体" w:hAnsi="宋体" w:eastAsia="宋体" w:cs="宋体"/>
          <w:sz w:val="24"/>
          <w:szCs w:val="24"/>
        </w:rPr>
      </w:pPr>
    </w:p>
    <w:p>
      <w:pPr>
        <w:pStyle w:val="17"/>
        <w:spacing w:line="360" w:lineRule="auto"/>
        <w:rPr>
          <w:rFonts w:hAnsi="宋体" w:eastAsia="宋体" w:cs="宋体"/>
          <w:sz w:val="24"/>
          <w:szCs w:val="24"/>
        </w:rPr>
      </w:pPr>
    </w:p>
    <w:p>
      <w:pPr>
        <w:pStyle w:val="133"/>
        <w:spacing w:line="360" w:lineRule="auto"/>
        <w:outlineLvl w:val="1"/>
        <w:rPr>
          <w:rFonts w:ascii="宋体" w:hAnsi="宋体" w:eastAsia="宋体" w:cs="宋体"/>
          <w:b/>
          <w:bCs w:val="0"/>
          <w:iCs/>
          <w:color w:val="auto"/>
          <w:sz w:val="24"/>
        </w:rPr>
      </w:pPr>
      <w:bookmarkStart w:id="37" w:name="_Toc131008493"/>
      <w:bookmarkStart w:id="38" w:name="_Toc465187647"/>
      <w:bookmarkStart w:id="39" w:name="_Toc30824"/>
      <w:r>
        <w:rPr>
          <w:rFonts w:hint="eastAsia" w:ascii="宋体" w:hAnsi="宋体" w:eastAsia="宋体" w:cs="宋体"/>
          <w:b/>
          <w:bCs w:val="0"/>
          <w:iCs/>
          <w:color w:val="auto"/>
          <w:sz w:val="24"/>
        </w:rPr>
        <w:t>第六章  投标技术文件一般要求</w:t>
      </w:r>
      <w:bookmarkEnd w:id="37"/>
      <w:bookmarkEnd w:id="38"/>
      <w:bookmarkEnd w:id="39"/>
    </w:p>
    <w:p>
      <w:pPr>
        <w:pStyle w:val="120"/>
        <w:spacing w:line="360" w:lineRule="auto"/>
        <w:rPr>
          <w:rFonts w:ascii="宋体" w:hAnsi="宋体" w:cs="宋体"/>
          <w:color w:val="auto"/>
        </w:rPr>
      </w:pPr>
      <w:r>
        <w:rPr>
          <w:rFonts w:hint="eastAsia" w:ascii="宋体" w:hAnsi="宋体" w:cs="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7"/>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bl>
    <w:p>
      <w:pPr>
        <w:spacing w:line="360" w:lineRule="auto"/>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0"/>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0"/>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ascii="宋体" w:hAnsi="宋体" w:eastAsia="宋体" w:cs="宋体"/>
          <w:b w:val="0"/>
          <w:sz w:val="24"/>
          <w:szCs w:val="24"/>
        </w:rPr>
        <w:sectPr>
          <w:footerReference r:id="rId17" w:type="first"/>
          <w:footerReference r:id="rId16" w:type="default"/>
          <w:pgSz w:w="11906" w:h="16838"/>
          <w:pgMar w:top="1588" w:right="1418" w:bottom="1134" w:left="1418" w:header="851" w:footer="992" w:gutter="0"/>
          <w:cols w:space="720" w:num="1"/>
          <w:titlePg/>
          <w:docGrid w:linePitch="312" w:charSpace="0"/>
        </w:sectPr>
      </w:pPr>
      <w:bookmarkStart w:id="40" w:name="_Toc465187648"/>
    </w:p>
    <w:p>
      <w:pPr>
        <w:pStyle w:val="133"/>
        <w:spacing w:line="360" w:lineRule="auto"/>
        <w:outlineLvl w:val="1"/>
        <w:rPr>
          <w:rFonts w:ascii="宋体" w:hAnsi="宋体" w:eastAsia="宋体" w:cs="宋体"/>
          <w:b/>
          <w:bCs w:val="0"/>
          <w:iCs/>
          <w:color w:val="auto"/>
          <w:sz w:val="24"/>
        </w:rPr>
      </w:pPr>
      <w:bookmarkStart w:id="41" w:name="_Toc19570"/>
      <w:bookmarkStart w:id="42" w:name="_Toc131008494"/>
      <w:r>
        <w:rPr>
          <w:rFonts w:hint="eastAsia" w:ascii="宋体" w:hAnsi="宋体" w:eastAsia="宋体" w:cs="宋体"/>
          <w:b/>
          <w:bCs w:val="0"/>
          <w:iCs/>
          <w:color w:val="auto"/>
          <w:sz w:val="24"/>
        </w:rPr>
        <w:t>第七章  其它要求及说明</w:t>
      </w:r>
      <w:bookmarkEnd w:id="40"/>
      <w:bookmarkEnd w:id="41"/>
      <w:bookmarkEnd w:id="42"/>
    </w:p>
    <w:p>
      <w:pPr>
        <w:pStyle w:val="120"/>
        <w:spacing w:line="360" w:lineRule="auto"/>
        <w:rPr>
          <w:rFonts w:ascii="宋体" w:hAnsi="宋体" w:cs="宋体"/>
          <w:color w:val="auto"/>
        </w:rPr>
      </w:pPr>
      <w:r>
        <w:rPr>
          <w:rFonts w:hint="eastAsia" w:ascii="宋体" w:hAnsi="宋体" w:cs="宋体"/>
          <w:color w:val="auto"/>
        </w:rPr>
        <w:t>一、要求</w:t>
      </w:r>
    </w:p>
    <w:p>
      <w:pPr>
        <w:pStyle w:val="20"/>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w:t>
      </w:r>
      <w:bookmarkStart w:id="129" w:name="_GoBack"/>
      <w:r>
        <w:rPr>
          <w:rFonts w:hint="eastAsia" w:ascii="宋体" w:hAnsi="宋体" w:eastAsia="宋体" w:cs="宋体"/>
          <w:sz w:val="24"/>
          <w:szCs w:val="24"/>
        </w:rPr>
        <w:t>90</w:t>
      </w:r>
      <w:bookmarkEnd w:id="129"/>
      <w:r>
        <w:rPr>
          <w:rFonts w:hint="eastAsia" w:ascii="宋体" w:hAnsi="宋体" w:eastAsia="宋体" w:cs="宋体"/>
          <w:sz w:val="24"/>
          <w:szCs w:val="24"/>
        </w:rPr>
        <w:t>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20"/>
        <w:spacing w:line="360" w:lineRule="auto"/>
        <w:rPr>
          <w:rFonts w:ascii="宋体" w:hAnsi="宋体" w:cs="宋体"/>
          <w:color w:val="auto"/>
        </w:rPr>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Ansi="宋体" w:eastAsia="宋体" w:cs="宋体"/>
          <w:sz w:val="24"/>
          <w:szCs w:val="24"/>
        </w:rPr>
        <w:sectPr>
          <w:footerReference r:id="rId19" w:type="first"/>
          <w:footerReference r:id="rId18" w:type="default"/>
          <w:pgSz w:w="11907" w:h="16840"/>
          <w:pgMar w:top="1304" w:right="1418" w:bottom="1304" w:left="1418" w:header="724" w:footer="851" w:gutter="0"/>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pPr>
        <w:pStyle w:val="17"/>
      </w:pPr>
    </w:p>
    <w:p>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20" w:type="default"/>
          <w:footerReference r:id="rId21"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4"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5" w:name="_Toc16330018"/>
      <w:bookmarkStart w:id="46" w:name="_Toc17619"/>
      <w:bookmarkStart w:id="47" w:name="_Toc11823"/>
      <w:bookmarkStart w:id="48" w:name="_Toc11930"/>
      <w:r>
        <w:rPr>
          <w:rFonts w:hint="eastAsia" w:ascii="黑体" w:hAnsi="黑体" w:eastAsia="黑体" w:cstheme="minorEastAsia"/>
          <w:b w:val="0"/>
          <w:sz w:val="28"/>
          <w:szCs w:val="28"/>
        </w:rPr>
        <w:t>1 合同设备</w:t>
      </w:r>
      <w:bookmarkEnd w:id="45"/>
      <w:bookmarkEnd w:id="46"/>
      <w:bookmarkEnd w:id="47"/>
      <w:bookmarkEnd w:id="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9" w:name="_Toc29026"/>
      <w:bookmarkStart w:id="50" w:name="_Toc32510"/>
      <w:bookmarkStart w:id="51"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16330019"/>
      <w:r>
        <w:rPr>
          <w:rFonts w:hint="eastAsia" w:ascii="黑体" w:hAnsi="黑体" w:eastAsia="黑体" w:cstheme="minorEastAsia"/>
          <w:b w:val="0"/>
          <w:sz w:val="28"/>
          <w:szCs w:val="28"/>
        </w:rPr>
        <w:t>2 包装</w:t>
      </w:r>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2833"/>
      <w:bookmarkStart w:id="54" w:name="_Toc27144"/>
      <w:bookmarkStart w:id="55" w:name="_Toc27453"/>
      <w:bookmarkStart w:id="56" w:name="_Toc16330020"/>
      <w:r>
        <w:rPr>
          <w:rFonts w:hint="eastAsia" w:ascii="黑体" w:hAnsi="黑体" w:eastAsia="黑体" w:cstheme="minorEastAsia"/>
          <w:b w:val="0"/>
          <w:sz w:val="28"/>
          <w:szCs w:val="28"/>
        </w:rPr>
        <w:t>3 运输标记</w:t>
      </w:r>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16133"/>
      <w:bookmarkStart w:id="58" w:name="_Toc16330021"/>
      <w:bookmarkStart w:id="59" w:name="_Toc10630"/>
      <w:bookmarkStart w:id="60" w:name="_Toc7431"/>
      <w:r>
        <w:rPr>
          <w:rFonts w:hint="eastAsia" w:ascii="黑体" w:hAnsi="黑体" w:eastAsia="黑体" w:cstheme="minorEastAsia"/>
          <w:b w:val="0"/>
          <w:sz w:val="28"/>
          <w:szCs w:val="28"/>
        </w:rPr>
        <w:t>4 检验</w:t>
      </w:r>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24467"/>
      <w:bookmarkStart w:id="62" w:name="_Toc19850"/>
      <w:bookmarkStart w:id="63" w:name="_Toc11217"/>
      <w:bookmarkStart w:id="64" w:name="_Toc16330022"/>
      <w:r>
        <w:rPr>
          <w:rFonts w:hint="eastAsia" w:ascii="黑体" w:hAnsi="黑体" w:eastAsia="黑体" w:cstheme="minorEastAsia"/>
          <w:b w:val="0"/>
          <w:sz w:val="28"/>
          <w:szCs w:val="28"/>
        </w:rPr>
        <w:t>5 权利担保</w:t>
      </w:r>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27500"/>
      <w:bookmarkStart w:id="66" w:name="_Toc14809"/>
      <w:bookmarkStart w:id="67" w:name="_Toc16330023"/>
      <w:bookmarkStart w:id="68" w:name="_Toc11759"/>
      <w:r>
        <w:rPr>
          <w:rFonts w:hint="eastAsia" w:ascii="黑体" w:hAnsi="黑体" w:eastAsia="黑体" w:cstheme="minorEastAsia"/>
          <w:b w:val="0"/>
          <w:sz w:val="28"/>
          <w:szCs w:val="28"/>
        </w:rPr>
        <w:t>6 交货</w:t>
      </w:r>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2984"/>
      <w:bookmarkStart w:id="70" w:name="_Toc8024"/>
      <w:bookmarkStart w:id="71" w:name="_Toc25510"/>
      <w:bookmarkStart w:id="72" w:name="_Toc16330024"/>
      <w:r>
        <w:rPr>
          <w:rFonts w:hint="eastAsia" w:ascii="黑体" w:hAnsi="黑体" w:eastAsia="黑体" w:cstheme="minorEastAsia"/>
          <w:b w:val="0"/>
          <w:sz w:val="28"/>
          <w:szCs w:val="28"/>
        </w:rPr>
        <w:t>7 安装、调试</w:t>
      </w:r>
      <w:bookmarkEnd w:id="69"/>
      <w:bookmarkEnd w:id="70"/>
      <w:bookmarkEnd w:id="71"/>
      <w:bookmarkEnd w:id="72"/>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6350"/>
      <w:bookmarkStart w:id="74" w:name="_Toc14098"/>
      <w:bookmarkStart w:id="75" w:name="_Toc14260"/>
      <w:bookmarkStart w:id="76" w:name="_Toc16330025"/>
      <w:r>
        <w:rPr>
          <w:rFonts w:hint="eastAsia" w:ascii="黑体" w:hAnsi="黑体" w:eastAsia="黑体" w:cstheme="minorEastAsia"/>
          <w:b w:val="0"/>
          <w:sz w:val="28"/>
          <w:szCs w:val="28"/>
        </w:rPr>
        <w:t>8 价款与支付</w:t>
      </w:r>
      <w:bookmarkEnd w:id="73"/>
      <w:bookmarkEnd w:id="74"/>
      <w:bookmarkEnd w:id="75"/>
      <w:bookmarkEnd w:id="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77" w:name="_Toc14676804"/>
      <w:bookmarkStart w:id="7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7"/>
      <w:bookmarkEnd w:id="78"/>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24085"/>
      <w:bookmarkStart w:id="80" w:name="_Toc6726"/>
      <w:bookmarkStart w:id="81" w:name="_Toc16330026"/>
      <w:bookmarkStart w:id="82" w:name="_Toc25708"/>
      <w:r>
        <w:rPr>
          <w:rFonts w:hint="eastAsia" w:ascii="黑体" w:hAnsi="黑体" w:eastAsia="黑体" w:cstheme="minorEastAsia"/>
          <w:b w:val="0"/>
          <w:sz w:val="28"/>
          <w:szCs w:val="28"/>
        </w:rPr>
        <w:t>9 质量保证及售后服务</w:t>
      </w:r>
      <w:bookmarkEnd w:id="79"/>
      <w:bookmarkEnd w:id="80"/>
      <w:bookmarkEnd w:id="81"/>
      <w:bookmarkEnd w:id="8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5570"/>
      <w:bookmarkStart w:id="84" w:name="_Toc12927"/>
      <w:bookmarkStart w:id="85" w:name="_Toc16330027"/>
      <w:bookmarkStart w:id="86" w:name="_Toc10359"/>
      <w:r>
        <w:rPr>
          <w:rFonts w:hint="eastAsia" w:ascii="黑体" w:hAnsi="黑体" w:eastAsia="黑体" w:cstheme="minorEastAsia"/>
          <w:b w:val="0"/>
          <w:sz w:val="28"/>
          <w:szCs w:val="28"/>
        </w:rPr>
        <w:t>10法定责任</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27314"/>
      <w:bookmarkStart w:id="88" w:name="_Toc30381"/>
      <w:bookmarkStart w:id="89" w:name="_Toc16330028"/>
      <w:bookmarkStart w:id="90" w:name="_Toc9708"/>
      <w:r>
        <w:rPr>
          <w:rFonts w:hint="eastAsia" w:ascii="黑体" w:hAnsi="黑体" w:eastAsia="黑体" w:cstheme="minorEastAsia"/>
          <w:b w:val="0"/>
          <w:sz w:val="28"/>
          <w:szCs w:val="28"/>
        </w:rPr>
        <w:t>11 违约责任</w:t>
      </w:r>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31554"/>
      <w:bookmarkStart w:id="92" w:name="_Toc1827"/>
      <w:bookmarkStart w:id="93" w:name="_Toc16330029"/>
      <w:bookmarkStart w:id="94" w:name="_Toc9172"/>
      <w:r>
        <w:rPr>
          <w:rFonts w:hint="eastAsia" w:ascii="黑体" w:hAnsi="黑体" w:eastAsia="黑体" w:cstheme="minorEastAsia"/>
          <w:b w:val="0"/>
          <w:sz w:val="28"/>
          <w:szCs w:val="28"/>
        </w:rPr>
        <w:t>12 合同的终止与解除</w:t>
      </w:r>
      <w:bookmarkEnd w:id="91"/>
      <w:bookmarkEnd w:id="92"/>
      <w:bookmarkEnd w:id="93"/>
      <w:bookmarkEnd w:id="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13671"/>
      <w:bookmarkStart w:id="96" w:name="_Toc31945"/>
      <w:bookmarkStart w:id="97" w:name="_Toc8620"/>
      <w:bookmarkStart w:id="98" w:name="_Toc16330030"/>
      <w:r>
        <w:rPr>
          <w:rFonts w:hint="eastAsia" w:ascii="黑体" w:hAnsi="黑体" w:eastAsia="黑体" w:cstheme="minorEastAsia"/>
          <w:b w:val="0"/>
          <w:sz w:val="28"/>
          <w:szCs w:val="28"/>
        </w:rPr>
        <w:t>13 不可抗力</w:t>
      </w:r>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637"/>
      <w:bookmarkStart w:id="100" w:name="_Toc31243"/>
      <w:bookmarkStart w:id="101" w:name="_Toc16330031"/>
      <w:bookmarkStart w:id="102" w:name="_Toc30389"/>
      <w:r>
        <w:rPr>
          <w:rFonts w:hint="eastAsia" w:ascii="黑体" w:hAnsi="黑体" w:eastAsia="黑体" w:cstheme="minorEastAsia"/>
          <w:b w:val="0"/>
          <w:sz w:val="28"/>
          <w:szCs w:val="28"/>
        </w:rPr>
        <w:t>14 通讯</w:t>
      </w:r>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bookmarkStart w:id="103" w:name="_Toc12984"/>
      <w:bookmarkStart w:id="104" w:name="_Toc11290"/>
      <w:bookmarkStart w:id="105" w:name="_Toc9915"/>
      <w:bookmarkStart w:id="106" w:name="_Toc16330032"/>
      <w:r>
        <w:rPr>
          <w:rFonts w:hint="eastAsia" w:ascii="黑体" w:hAnsi="黑体" w:eastAsia="黑体" w:cstheme="minorEastAsia"/>
          <w:b w:val="0"/>
          <w:sz w:val="28"/>
          <w:szCs w:val="28"/>
        </w:rPr>
        <w:t>15 适用法律及争议解决</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16330033"/>
      <w:bookmarkStart w:id="108" w:name="_Toc18207"/>
      <w:bookmarkStart w:id="109" w:name="_Toc23906"/>
      <w:bookmarkStart w:id="110" w:name="_Toc23765"/>
      <w:r>
        <w:rPr>
          <w:rFonts w:hint="eastAsia" w:ascii="黑体" w:hAnsi="黑体" w:eastAsia="黑体" w:cstheme="minorEastAsia"/>
          <w:b w:val="0"/>
          <w:sz w:val="28"/>
          <w:szCs w:val="28"/>
        </w:rPr>
        <w:t>16 附件</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17656"/>
      <w:bookmarkStart w:id="112" w:name="_Toc27202"/>
      <w:bookmarkStart w:id="113" w:name="_Toc31331"/>
      <w:bookmarkStart w:id="114" w:name="_Toc16330034"/>
      <w:r>
        <w:rPr>
          <w:rFonts w:hint="eastAsia" w:ascii="黑体" w:hAnsi="黑体" w:eastAsia="黑体" w:cstheme="minorEastAsia"/>
          <w:b w:val="0"/>
          <w:sz w:val="28"/>
          <w:szCs w:val="28"/>
        </w:rPr>
        <w:t>17 其他规定</w:t>
      </w:r>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5" w:name="_Toc17952"/>
      <w:bookmarkStart w:id="116" w:name="_Toc29136"/>
      <w:bookmarkStart w:id="117" w:name="_Toc16330035"/>
      <w:bookmarkStart w:id="118"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19" w:name="_Toc24623"/>
      <w:bookmarkStart w:id="120" w:name="_Toc5379"/>
      <w:bookmarkStart w:id="121" w:name="_Toc3778"/>
      <w:bookmarkStart w:id="122" w:name="_Toc25120"/>
      <w:bookmarkStart w:id="123" w:name="_Toc16330037"/>
      <w:r>
        <w:rPr>
          <w:rFonts w:hint="eastAsia" w:asciiTheme="minorEastAsia" w:hAnsiTheme="minorEastAsia" w:eastAsiaTheme="minorEastAsia" w:cstheme="minorEastAsia"/>
          <w:sz w:val="20"/>
          <w:szCs w:val="20"/>
        </w:rPr>
        <w:br w:type="page"/>
      </w:r>
    </w:p>
    <w:p>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9"/>
      <w:bookmarkEnd w:id="120"/>
      <w:bookmarkEnd w:id="121"/>
      <w:bookmarkEnd w:id="122"/>
      <w:bookmarkEnd w:id="12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4" w:name="_Toc14341849"/>
    </w:p>
    <w:p>
      <w:pPr>
        <w:ind w:right="480"/>
        <w:jc w:val="center"/>
        <w:rPr>
          <w:sz w:val="24"/>
          <w:szCs w:val="24"/>
        </w:rPr>
      </w:pPr>
      <w:r>
        <w:rPr>
          <w:rFonts w:hint="eastAsia" w:ascii="楷体_GB2312" w:hAnsi="宋体" w:eastAsia="楷体_GB2312"/>
          <w:sz w:val="24"/>
        </w:rPr>
        <w:t xml:space="preserve">                                    </w:t>
      </w:r>
    </w:p>
    <w:bookmarkEnd w:id="12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4" w:type="first"/>
          <w:headerReference r:id="rId22" w:type="default"/>
          <w:footerReference r:id="rId23"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7" w:type="first"/>
          <w:headerReference r:id="rId25" w:type="defaul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639004"/>
      <w:bookmarkStart w:id="126" w:name="_Toc353881012"/>
      <w:bookmarkStart w:id="127" w:name="_Toc25811"/>
      <w:bookmarkStart w:id="12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eastAsia="zh-CN"/>
        </w:rPr>
        <w:t>济南部件公司下料外协收回自制-传动轴管下料生产线项目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lang w:eastAsia="zh-CN"/>
        </w:rPr>
        <w:t>济南部件公司下料外协收回自制-传动轴管下料生产线项目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项目编号</w:t>
      </w:r>
      <w:r>
        <w:rPr>
          <w:rFonts w:hint="eastAsia" w:ascii="宋体" w:hAnsi="宋体" w:eastAsia="宋体" w:cs="Times New Roman"/>
          <w:color w:val="000000"/>
          <w:sz w:val="24"/>
          <w:szCs w:val="24"/>
          <w:u w:val="single"/>
          <w:lang w:val="en-US" w:eastAsia="zh-CN"/>
        </w:rPr>
        <w:t>CGZX2025010190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2"/>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2"/>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2"/>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2"/>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14"/>
              <w:ind w:left="720"/>
            </w:pPr>
            <w:r>
              <w:t xml:space="preserve">品牌区分 </w:t>
            </w:r>
          </w:p>
        </w:tc>
        <w:tc>
          <w:tcPr>
            <w:tcW w:w="7500" w:type="dxa"/>
            <w:gridSpan w:val="6"/>
          </w:tcPr>
          <w:p>
            <w:pPr>
              <w:pStyle w:val="13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2"/>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2"/>
              <w:spacing w:before="15"/>
              <w:ind w:left="279"/>
            </w:pPr>
            <w:r>
              <w:rPr>
                <w:spacing w:val="-2"/>
              </w:rPr>
              <w:t>质量</w:t>
            </w:r>
            <w:r>
              <w:t xml:space="preserve"> </w:t>
            </w:r>
          </w:p>
          <w:p>
            <w:pPr>
              <w:pStyle w:val="132"/>
              <w:spacing w:before="30" w:line="277" w:lineRule="exact"/>
              <w:ind w:left="279"/>
            </w:pPr>
            <w:r>
              <w:rPr>
                <w:rFonts w:hint="eastAsia"/>
              </w:rPr>
              <w:t>体系</w:t>
            </w:r>
          </w:p>
        </w:tc>
        <w:tc>
          <w:tcPr>
            <w:tcW w:w="2820" w:type="dxa"/>
            <w:gridSpan w:val="2"/>
          </w:tcPr>
          <w:p>
            <w:pPr>
              <w:pStyle w:val="132"/>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2"/>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eastAsia="zh-CN"/>
        </w:rPr>
        <w:t>济南部件公司下料外协收回自制-传动轴管下料生产线项目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济南部件公司下料外协收回自制-传动轴管下料生产线项目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suppressLineNumbers w:val="0"/>
              <w:spacing w:before="0" w:beforeAutospacing="0" w:after="0" w:afterAutospacing="0" w:line="360" w:lineRule="exact"/>
              <w:ind w:left="0" w:leftChars="0" w:right="0" w:rightChars="0"/>
              <w:jc w:val="center"/>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ascii="宋体" w:hAnsi="宋体" w:eastAsia="宋体" w:cs="宋体"/>
                <w:szCs w:val="21"/>
              </w:rPr>
            </w:pPr>
          </w:p>
        </w:tc>
        <w:tc>
          <w:tcPr>
            <w:tcW w:w="2238" w:type="dxa"/>
            <w:vAlign w:val="center"/>
          </w:tcPr>
          <w:p>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32"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济南部件公司下料外协收回自制-传动轴管下料生产线项目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4" w:type="first"/>
          <w:footerReference r:id="rId3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color w:val="000000"/>
          <w:sz w:val="24"/>
          <w:szCs w:val="24"/>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color w:val="000000"/>
          <w:sz w:val="24"/>
          <w:szCs w:val="24"/>
          <w:u w:val="single"/>
          <w:lang w:eastAsia="zh-CN"/>
        </w:rPr>
        <w:t>济南部件公司下料外协收回自制-传动轴管下料生产线项目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6" w:type="first"/>
          <w:footerReference r:id="rId3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济南部件公司下料外协收回自制-传动轴管下料生产线项目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Times New Roman"/>
                <w:color w:val="000000"/>
                <w:sz w:val="24"/>
                <w:szCs w:val="24"/>
                <w:u w:val="single"/>
                <w:lang w:eastAsia="zh-CN"/>
              </w:rPr>
              <w:t>下料外协收回自制-传动轴管下料生产线项目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附件9</w:t>
      </w:r>
      <w:r>
        <w:rPr>
          <w:rFonts w:hint="eastAsia" w:ascii="宋体" w:hAnsi="宋体" w:cs="宋体"/>
          <w:color w:val="000000"/>
          <w:sz w:val="24"/>
          <w:szCs w:val="24"/>
          <w:lang w:val="en-US" w:eastAsia="zh-CN"/>
        </w:rPr>
        <w:t>-1</w:t>
      </w:r>
      <w:r>
        <w:rPr>
          <w:rFonts w:hint="eastAsia" w:ascii="宋体" w:hAnsi="宋体" w:cs="宋体"/>
          <w:color w:val="000000"/>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上料输送系统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激光切割</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分料输送系统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倒角单元</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打码单元</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下料系统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整线控制系统</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包装运输及现场调试</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其他</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2" w:line="221" w:lineRule="auto"/>
        <w:ind w:left="9"/>
        <w:jc w:val="right"/>
        <w:rPr>
          <w:rFonts w:ascii="宋体" w:hAnsi="宋体" w:eastAsia="宋体" w:cs="Times New Roman"/>
          <w:b/>
          <w:bCs/>
          <w:sz w:val="24"/>
          <w:szCs w:val="24"/>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7"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8"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9"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40"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4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济南部件公司下料外协收回自制-传动轴管下料生产线项目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lang w:eastAsia="zh-CN"/>
        </w:rPr>
        <w:t>济南部件公司下料外协收回自制-传动轴管下料生产线项目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4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color w:val="000000"/>
          <w:sz w:val="24"/>
          <w:szCs w:val="24"/>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lang w:eastAsia="zh-CN"/>
        </w:rPr>
        <w:t>济南部件公司下料外协收回自制-传动轴管下料生产线项目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Times New Roman"/>
                <w:color w:val="000000"/>
                <w:sz w:val="24"/>
                <w:szCs w:val="24"/>
                <w:u w:val="single"/>
                <w:lang w:eastAsia="zh-CN"/>
              </w:rPr>
            </w:pPr>
            <w:r>
              <w:rPr>
                <w:rFonts w:hint="eastAsia" w:ascii="宋体" w:hAnsi="宋体" w:eastAsia="宋体" w:cs="宋体"/>
                <w:b/>
                <w:szCs w:val="20"/>
              </w:rPr>
              <w:t>项目名称：</w:t>
            </w:r>
            <w:r>
              <w:rPr>
                <w:rFonts w:hint="eastAsia" w:ascii="宋体" w:hAnsi="宋体" w:eastAsia="宋体" w:cs="Times New Roman"/>
                <w:color w:val="000000"/>
                <w:sz w:val="24"/>
                <w:szCs w:val="24"/>
                <w:u w:val="single"/>
                <w:lang w:eastAsia="zh-CN"/>
              </w:rPr>
              <w:t>济南部件公司下料外协收回自制-传动轴管下料生产线项目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4" w:type="first"/>
          <w:footerReference r:id="rId46" w:type="first"/>
          <w:headerReference r:id="rId43" w:type="default"/>
          <w:footerReference r:id="rId45"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tbl>
      <w:tblPr>
        <w:tblStyle w:val="37"/>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宋体" w:eastAsia="宋体" w:cs="Times New Roman"/>
                <w:bCs/>
                <w:szCs w:val="21"/>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pPr>
              <w:tabs>
                <w:tab w:val="left" w:pos="13965"/>
              </w:tabs>
              <w:spacing w:line="420" w:lineRule="exact"/>
              <w:jc w:val="center"/>
              <w:rPr>
                <w:rFonts w:hint="default" w:ascii="宋体" w:hAnsi="宋体" w:eastAsia="宋体"/>
                <w:szCs w:val="21"/>
                <w:lang w:val="en-US" w:eastAsia="zh-CN"/>
              </w:rPr>
            </w:pPr>
            <w:r>
              <w:rPr>
                <w:rFonts w:ascii="宋体" w:hAnsi="宋体" w:eastAsia="宋体" w:cs="Times New Roman"/>
                <w:szCs w:val="21"/>
              </w:rPr>
              <w:t>20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eastAsia="宋体" w:cs="Times New Roman"/>
                <w:bCs/>
                <w:szCs w:val="21"/>
              </w:rPr>
              <w:t>投标人的装备制造能力、生产设备、加工工艺先进、完善程度，视情况得0-</w:t>
            </w:r>
            <w:r>
              <w:rPr>
                <w:rFonts w:ascii="宋体" w:hAnsi="宋体" w:eastAsia="宋体" w:cs="Times New Roman"/>
                <w:bCs/>
                <w:szCs w:val="21"/>
              </w:rPr>
              <w:t>2</w:t>
            </w:r>
            <w:r>
              <w:rPr>
                <w:rFonts w:hint="eastAsia" w:ascii="宋体" w:hAnsi="宋体" w:eastAsia="宋体"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Times New Roman" w:eastAsia="宋体" w:cs="Times New Roman"/>
                <w:bCs/>
                <w:szCs w:val="21"/>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cs="Times New Roman"/>
                <w:szCs w:val="21"/>
              </w:rPr>
              <w:t>40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Theme="minorEastAsia"/>
                <w:bCs/>
                <w:szCs w:val="21"/>
                <w:lang w:val="en-US" w:eastAsia="zh-CN"/>
              </w:rPr>
            </w:pPr>
            <w:r>
              <w:rPr>
                <w:rFonts w:hint="eastAsia" w:ascii="宋体" w:hAnsi="宋体" w:eastAsia="宋体" w:cs="Times New Roman"/>
                <w:bCs/>
                <w:szCs w:val="21"/>
              </w:rPr>
              <w:t>产品方案技术先进、各系统完善、性能可靠，设备主要核心部件，具备自身技术优势，节能环保，视情况得0-40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eastAsia="宋体" w:cs="Times New Roman"/>
                <w:bCs/>
                <w:szCs w:val="21"/>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ascii="宋体" w:hAnsi="宋体" w:eastAsia="宋体" w:cs="Times New Roman"/>
                <w:szCs w:val="21"/>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bCs/>
                <w:szCs w:val="21"/>
              </w:rPr>
            </w:pPr>
            <w:r>
              <w:rPr>
                <w:rFonts w:hint="eastAsia" w:ascii="宋体" w:hAnsi="宋体" w:eastAsia="宋体" w:cs="Times New Roman"/>
                <w:bCs/>
                <w:szCs w:val="21"/>
              </w:rPr>
              <w:t>易于维修、操作方便，产品附件配置齐全，质量可靠，设备在使用期内的维护费用，视情况得0-</w:t>
            </w:r>
            <w:r>
              <w:rPr>
                <w:rFonts w:ascii="宋体" w:hAnsi="宋体" w:eastAsia="宋体" w:cs="Times New Roman"/>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Times New Roman" w:eastAsia="宋体" w:cs="Times New Roman"/>
                <w:bCs/>
                <w:szCs w:val="21"/>
              </w:rPr>
              <w:t>计划控制及项目交期</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ascii="宋体" w:hAnsi="宋体" w:eastAsia="宋体" w:cs="Times New Roman"/>
                <w:szCs w:val="21"/>
              </w:rPr>
              <w:t>10</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宋体" w:eastAsia="宋体" w:cs="Times New Roman"/>
                <w:bCs/>
                <w:szCs w:val="21"/>
              </w:rPr>
              <w:t>有详细可行的项目计划能保证项目进度，有风险管理，可以提前完成项目交货，综合评审，自主赋分。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szCs w:val="21"/>
              </w:rPr>
            </w:pPr>
            <w:r>
              <w:rPr>
                <w:rFonts w:hint="eastAsia" w:ascii="宋体" w:hAnsi="Times New Roman" w:eastAsia="宋体" w:cs="Times New Roman"/>
                <w:szCs w:val="21"/>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宋体" w:hAnsi="Times New Roman" w:eastAsia="宋体"/>
                <w:bCs/>
                <w:szCs w:val="21"/>
              </w:rPr>
            </w:pPr>
            <w:r>
              <w:rPr>
                <w:rFonts w:hint="eastAsia" w:ascii="宋体" w:hAnsi="Times New Roman" w:eastAsia="宋体" w:cs="Times New Roman"/>
                <w:bCs/>
                <w:szCs w:val="21"/>
              </w:rPr>
              <w:t>技术方案优于招标要求的加分，不满足招标要求的减分，综合评议，自主赋分。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eastAsia="宋体"/>
                <w:szCs w:val="21"/>
              </w:rPr>
            </w:pPr>
            <w:r>
              <w:rPr>
                <w:rFonts w:hint="eastAsia" w:ascii="宋体" w:hAnsi="宋体" w:eastAsia="宋体" w:cs="Times New Roman"/>
                <w:szCs w:val="21"/>
              </w:rPr>
              <w:t>业绩</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szCs w:val="21"/>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Times New Roman" w:eastAsia="宋体"/>
                <w:bCs/>
                <w:szCs w:val="21"/>
              </w:rPr>
            </w:pPr>
            <w:r>
              <w:rPr>
                <w:rFonts w:hint="eastAsia" w:ascii="宋体" w:hAnsi="Times New Roman" w:eastAsia="宋体" w:cs="Times New Roman"/>
                <w:bCs/>
                <w:szCs w:val="21"/>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lang w:val="en-US" w:eastAsia="zh-CN"/>
              </w:rPr>
            </w:pPr>
            <w:r>
              <w:rPr>
                <w:rFonts w:hint="eastAsia" w:ascii="宋体" w:hAnsi="宋体" w:eastAsia="宋体" w:cs="Times New Roman"/>
                <w:szCs w:val="21"/>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ascii="宋体" w:hAnsi="Times New Roman" w:eastAsia="宋体" w:cs="Times New Roman"/>
                <w:bCs/>
                <w:szCs w:val="21"/>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宋体" w:eastAsia="宋体"/>
                <w:szCs w:val="21"/>
                <w:lang w:val="en-US" w:eastAsia="zh-CN"/>
              </w:rPr>
            </w:pPr>
            <w:r>
              <w:rPr>
                <w:rFonts w:hint="eastAsia" w:ascii="宋体" w:hAnsi="宋体" w:eastAsia="宋体" w:cs="Times New Roman"/>
                <w:szCs w:val="21"/>
              </w:rPr>
              <w:t>售后服务</w:t>
            </w:r>
          </w:p>
        </w:tc>
        <w:tc>
          <w:tcPr>
            <w:tcW w:w="77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szCs w:val="21"/>
                <w:lang w:val="en-US" w:eastAsia="zh-CN"/>
              </w:rPr>
            </w:pPr>
            <w:r>
              <w:rPr>
                <w:rFonts w:hint="eastAsia" w:ascii="宋体" w:hAnsi="宋体" w:eastAsia="宋体" w:cs="Times New Roman"/>
                <w:szCs w:val="21"/>
              </w:rPr>
              <w:t>5</w:t>
            </w:r>
          </w:p>
        </w:tc>
        <w:tc>
          <w:tcPr>
            <w:tcW w:w="5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ascii="宋体" w:hAnsi="Times New Roman" w:eastAsiaTheme="minorEastAsia"/>
                <w:bCs/>
                <w:szCs w:val="21"/>
                <w:lang w:val="en-US" w:eastAsia="zh-CN"/>
              </w:rPr>
            </w:pPr>
            <w:r>
              <w:rPr>
                <w:rFonts w:hint="eastAsia" w:ascii="宋体" w:hAnsi="Times New Roman" w:eastAsia="宋体" w:cs="Times New Roman"/>
                <w:bCs/>
                <w:szCs w:val="21"/>
              </w:rPr>
              <w:t>根据投标文件中提供的质量保证措施、售后服务方案等的响应情况综合评审赋分。</w:t>
            </w:r>
          </w:p>
        </w:tc>
      </w:tr>
    </w:tbl>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tbl>
      <w:tblPr>
        <w:tblStyle w:val="37"/>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w:t>
      </w:r>
      <w:r>
        <w:rPr>
          <w:rStyle w:val="45"/>
          <w:rFonts w:hint="eastAsia" w:ascii="宋体" w:hAnsi="宋体" w:eastAsia="宋体" w:cs="宋体"/>
          <w:sz w:val="24"/>
          <w:szCs w:val="24"/>
          <w:lang w:val="en-US" w:eastAsia="zh-CN"/>
        </w:rPr>
        <w:t>s</w:t>
      </w:r>
      <w:r>
        <w:rPr>
          <w:rStyle w:val="45"/>
          <w:rFonts w:hint="eastAsia" w:ascii="宋体" w:hAnsi="宋体" w:eastAsia="宋体" w:cs="宋体"/>
          <w:sz w:val="24"/>
          <w:szCs w:val="24"/>
        </w:rPr>
        <w:t>://ecaitong.sinotruk.com:8012/</w:t>
      </w:r>
      <w:r>
        <w:rPr>
          <w:rStyle w:val="45"/>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6"/>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7"/>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8"/>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9"/>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0"/>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1"/>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5F2621"/>
    <w:multiLevelType w:val="singleLevel"/>
    <w:tmpl w:val="265F2621"/>
    <w:lvl w:ilvl="0" w:tentative="0">
      <w:start w:val="1"/>
      <w:numFmt w:val="decimal"/>
      <w:lvlText w:val="%1."/>
      <w:lvlJc w:val="left"/>
      <w:pPr>
        <w:ind w:left="425" w:hanging="425"/>
      </w:pPr>
      <w:rPr>
        <w:rFonts w:hint="default"/>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abstractNum w:abstractNumId="10">
    <w:nsid w:val="7AD07D36"/>
    <w:multiLevelType w:val="singleLevel"/>
    <w:tmpl w:val="7AD07D36"/>
    <w:lvl w:ilvl="0" w:tentative="0">
      <w:start w:val="1"/>
      <w:numFmt w:val="decimal"/>
      <w:lvlText w:val="%1."/>
      <w:lvlJc w:val="left"/>
      <w:pPr>
        <w:ind w:left="425" w:hanging="425"/>
      </w:pPr>
      <w:rPr>
        <w:rFonts w:hint="default"/>
      </w:r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DI5Y2FjZjI2YWE1MWM3MGY1MzM4Yzg2MWMyZD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03580"/>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7433E3"/>
    <w:rsid w:val="02963F39"/>
    <w:rsid w:val="0296734E"/>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4E8234B"/>
    <w:rsid w:val="05000C0B"/>
    <w:rsid w:val="05174255"/>
    <w:rsid w:val="05412745"/>
    <w:rsid w:val="05491761"/>
    <w:rsid w:val="05515CC6"/>
    <w:rsid w:val="055D755A"/>
    <w:rsid w:val="058761A0"/>
    <w:rsid w:val="05A351AD"/>
    <w:rsid w:val="05F9748A"/>
    <w:rsid w:val="06266F78"/>
    <w:rsid w:val="063E7B7A"/>
    <w:rsid w:val="065344DE"/>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BD59BE"/>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2FE34CD"/>
    <w:rsid w:val="13057392"/>
    <w:rsid w:val="13695B36"/>
    <w:rsid w:val="1372609F"/>
    <w:rsid w:val="13837C04"/>
    <w:rsid w:val="138A301D"/>
    <w:rsid w:val="13CD6F8A"/>
    <w:rsid w:val="13D73572"/>
    <w:rsid w:val="141476FE"/>
    <w:rsid w:val="1449272D"/>
    <w:rsid w:val="14504752"/>
    <w:rsid w:val="145A6A37"/>
    <w:rsid w:val="1467440F"/>
    <w:rsid w:val="146B2014"/>
    <w:rsid w:val="147F6DAD"/>
    <w:rsid w:val="14846AB8"/>
    <w:rsid w:val="14E05B4D"/>
    <w:rsid w:val="14FA1F7A"/>
    <w:rsid w:val="153B68FF"/>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C438A3"/>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2B831EE"/>
    <w:rsid w:val="236356D1"/>
    <w:rsid w:val="23672FA4"/>
    <w:rsid w:val="23A45F21"/>
    <w:rsid w:val="23A91C83"/>
    <w:rsid w:val="23C962E8"/>
    <w:rsid w:val="243F7403"/>
    <w:rsid w:val="247E4FED"/>
    <w:rsid w:val="249059E1"/>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02B2B"/>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2657F"/>
    <w:rsid w:val="2ADC05A4"/>
    <w:rsid w:val="2AEF2177"/>
    <w:rsid w:val="2B0B6B2D"/>
    <w:rsid w:val="2B46348F"/>
    <w:rsid w:val="2B5E3CCB"/>
    <w:rsid w:val="2B6F0D7F"/>
    <w:rsid w:val="2B8716BD"/>
    <w:rsid w:val="2B8B76FF"/>
    <w:rsid w:val="2BA07020"/>
    <w:rsid w:val="2BB25AFD"/>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8C4439"/>
    <w:rsid w:val="2F933A9E"/>
    <w:rsid w:val="2FA12EAC"/>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081E1D"/>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825E89"/>
    <w:rsid w:val="39DC5BB6"/>
    <w:rsid w:val="39F1031B"/>
    <w:rsid w:val="3A074847"/>
    <w:rsid w:val="3A830B2E"/>
    <w:rsid w:val="3AA90FE6"/>
    <w:rsid w:val="3AA9318F"/>
    <w:rsid w:val="3AB62DA0"/>
    <w:rsid w:val="3AD04447"/>
    <w:rsid w:val="3AEA41B5"/>
    <w:rsid w:val="3B414BC4"/>
    <w:rsid w:val="3B602B9B"/>
    <w:rsid w:val="3B69577B"/>
    <w:rsid w:val="3B702D85"/>
    <w:rsid w:val="3B7905A1"/>
    <w:rsid w:val="3B7D3FD5"/>
    <w:rsid w:val="3B823DDF"/>
    <w:rsid w:val="3BC710C3"/>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2F63F5"/>
    <w:rsid w:val="40376375"/>
    <w:rsid w:val="407D0E43"/>
    <w:rsid w:val="40924768"/>
    <w:rsid w:val="40956EC5"/>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6FC6FEB"/>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37164"/>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374C8"/>
    <w:rsid w:val="4E2E4393"/>
    <w:rsid w:val="4E4478F5"/>
    <w:rsid w:val="4E535EF2"/>
    <w:rsid w:val="4EA75E6A"/>
    <w:rsid w:val="4EDF49D9"/>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19638F"/>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317CE"/>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43A15"/>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EC216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C81060"/>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5F45EF8"/>
    <w:rsid w:val="66174109"/>
    <w:rsid w:val="6617798C"/>
    <w:rsid w:val="66307F76"/>
    <w:rsid w:val="66580EAF"/>
    <w:rsid w:val="66694D0D"/>
    <w:rsid w:val="667B4472"/>
    <w:rsid w:val="66F041A8"/>
    <w:rsid w:val="6721178A"/>
    <w:rsid w:val="6739399A"/>
    <w:rsid w:val="673F39DE"/>
    <w:rsid w:val="674B6722"/>
    <w:rsid w:val="674C5D22"/>
    <w:rsid w:val="67663AF8"/>
    <w:rsid w:val="677243C5"/>
    <w:rsid w:val="67762CFD"/>
    <w:rsid w:val="67762DCB"/>
    <w:rsid w:val="677A678D"/>
    <w:rsid w:val="678C2D71"/>
    <w:rsid w:val="67A17493"/>
    <w:rsid w:val="67D30B32"/>
    <w:rsid w:val="67F268E1"/>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CF5389"/>
    <w:rsid w:val="6CD62D03"/>
    <w:rsid w:val="6CD97FB6"/>
    <w:rsid w:val="6D0B1173"/>
    <w:rsid w:val="6D0E5050"/>
    <w:rsid w:val="6D397DD1"/>
    <w:rsid w:val="6D4B22B8"/>
    <w:rsid w:val="6D930013"/>
    <w:rsid w:val="6DA51372"/>
    <w:rsid w:val="6DB53B8B"/>
    <w:rsid w:val="6DBA5A94"/>
    <w:rsid w:val="6E1A1656"/>
    <w:rsid w:val="6E231DD6"/>
    <w:rsid w:val="6E5A5288"/>
    <w:rsid w:val="6EE013EE"/>
    <w:rsid w:val="6EE079F1"/>
    <w:rsid w:val="6EE42C42"/>
    <w:rsid w:val="6F143527"/>
    <w:rsid w:val="6F7F7CB0"/>
    <w:rsid w:val="6FA0241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3B4E1E"/>
    <w:rsid w:val="71691ABB"/>
    <w:rsid w:val="718D0958"/>
    <w:rsid w:val="71AE1AEA"/>
    <w:rsid w:val="71CF3B6C"/>
    <w:rsid w:val="71F80F33"/>
    <w:rsid w:val="722922C6"/>
    <w:rsid w:val="72367C59"/>
    <w:rsid w:val="723C5278"/>
    <w:rsid w:val="723F4D5F"/>
    <w:rsid w:val="72532C9F"/>
    <w:rsid w:val="727176A7"/>
    <w:rsid w:val="72CB03A1"/>
    <w:rsid w:val="73047240"/>
    <w:rsid w:val="73096F4B"/>
    <w:rsid w:val="730F5864"/>
    <w:rsid w:val="732D4B5D"/>
    <w:rsid w:val="73393C88"/>
    <w:rsid w:val="7362513F"/>
    <w:rsid w:val="736612A1"/>
    <w:rsid w:val="73771D49"/>
    <w:rsid w:val="73846894"/>
    <w:rsid w:val="738B299C"/>
    <w:rsid w:val="73A1354E"/>
    <w:rsid w:val="73CB7009"/>
    <w:rsid w:val="73F12089"/>
    <w:rsid w:val="73FE05FF"/>
    <w:rsid w:val="73FE4ED9"/>
    <w:rsid w:val="743D3AC4"/>
    <w:rsid w:val="746E0500"/>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7569C7"/>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7475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C52305"/>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151911"/>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1"/>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2"/>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0"/>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3"/>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4"/>
    <w:qFormat/>
    <w:uiPriority w:val="0"/>
    <w:pPr>
      <w:ind w:left="100" w:leftChars="2500"/>
    </w:pPr>
    <w:rPr>
      <w:sz w:val="24"/>
    </w:rPr>
  </w:style>
  <w:style w:type="paragraph" w:styleId="20">
    <w:name w:val="Body Text Indent 2"/>
    <w:basedOn w:val="1"/>
    <w:link w:val="52"/>
    <w:qFormat/>
    <w:uiPriority w:val="0"/>
    <w:pPr>
      <w:spacing w:after="120" w:line="480" w:lineRule="auto"/>
      <w:ind w:left="420" w:leftChars="200"/>
    </w:pPr>
  </w:style>
  <w:style w:type="paragraph" w:styleId="21">
    <w:name w:val="Balloon Text"/>
    <w:basedOn w:val="1"/>
    <w:link w:val="68"/>
    <w:qFormat/>
    <w:uiPriority w:val="0"/>
    <w:rPr>
      <w:sz w:val="18"/>
    </w:rPr>
  </w:style>
  <w:style w:type="paragraph" w:styleId="22">
    <w:name w:val="footer"/>
    <w:basedOn w:val="1"/>
    <w:link w:val="74"/>
    <w:qFormat/>
    <w:uiPriority w:val="99"/>
    <w:pPr>
      <w:tabs>
        <w:tab w:val="center" w:pos="4153"/>
        <w:tab w:val="right" w:pos="8306"/>
      </w:tabs>
      <w:snapToGrid w:val="0"/>
      <w:jc w:val="left"/>
    </w:pPr>
    <w:rPr>
      <w:sz w:val="18"/>
    </w:rPr>
  </w:style>
  <w:style w:type="paragraph" w:styleId="23">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4"/>
    <w:qFormat/>
    <w:uiPriority w:val="0"/>
    <w:pPr>
      <w:spacing w:after="120"/>
      <w:ind w:left="420" w:leftChars="200"/>
    </w:pPr>
    <w:rPr>
      <w:sz w:val="16"/>
    </w:rPr>
  </w:style>
  <w:style w:type="paragraph" w:styleId="29">
    <w:name w:val="index 9"/>
    <w:basedOn w:val="1"/>
    <w:next w:val="1"/>
    <w:unhideWhenUsed/>
    <w:qFormat/>
    <w:uiPriority w:val="0"/>
    <w:pPr>
      <w:ind w:left="2520" w:hanging="280"/>
    </w:pPr>
    <w:rPr>
      <w:rFonts w:eastAsia="仿宋"/>
      <w:sz w:val="28"/>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qFormat/>
    <w:uiPriority w:val="0"/>
    <w:rPr>
      <w:b/>
    </w:rPr>
  </w:style>
  <w:style w:type="paragraph" w:styleId="36">
    <w:name w:val="Body Text First Indent 2"/>
    <w:basedOn w:val="13"/>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paragraph" w:customStyle="1" w:styleId="47">
    <w:name w:val="Fließtext"/>
    <w:basedOn w:val="1"/>
    <w:qFormat/>
    <w:uiPriority w:val="99"/>
    <w:pPr>
      <w:widowControl/>
      <w:ind w:left="1134"/>
      <w:jc w:val="left"/>
    </w:pPr>
    <w:rPr>
      <w:rFonts w:ascii="Arial" w:hAnsi="Arial"/>
      <w:kern w:val="0"/>
      <w:szCs w:val="20"/>
      <w:lang w:val="de-DE" w:eastAsia="de-DE"/>
    </w:rPr>
  </w:style>
  <w:style w:type="character" w:customStyle="1" w:styleId="48">
    <w:name w:val="标题 1 字符"/>
    <w:basedOn w:val="39"/>
    <w:link w:val="2"/>
    <w:qFormat/>
    <w:uiPriority w:val="9"/>
    <w:rPr>
      <w:rFonts w:ascii="Calibri" w:hAnsi="Calibri" w:eastAsia="宋体" w:cs="Times New Roman"/>
      <w:b/>
      <w:bCs/>
      <w:kern w:val="44"/>
      <w:sz w:val="36"/>
      <w:szCs w:val="44"/>
    </w:rPr>
  </w:style>
  <w:style w:type="character" w:customStyle="1" w:styleId="49">
    <w:name w:val="标题 2 字符"/>
    <w:basedOn w:val="39"/>
    <w:link w:val="3"/>
    <w:qFormat/>
    <w:uiPriority w:val="9"/>
    <w:rPr>
      <w:rFonts w:ascii="Arial" w:hAnsi="Arial" w:eastAsia="宋体" w:cs="Times New Roman"/>
      <w:b/>
      <w:bCs/>
      <w:sz w:val="24"/>
      <w:szCs w:val="32"/>
    </w:rPr>
  </w:style>
  <w:style w:type="character" w:customStyle="1" w:styleId="50">
    <w:name w:val="标题 3 字符"/>
    <w:basedOn w:val="39"/>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0"/>
    <w:qFormat/>
    <w:locked/>
    <w:uiPriority w:val="0"/>
  </w:style>
  <w:style w:type="character" w:customStyle="1" w:styleId="53">
    <w:name w:val="批注主题 字符"/>
    <w:link w:val="35"/>
    <w:qFormat/>
    <w:locked/>
    <w:uiPriority w:val="0"/>
    <w:rPr>
      <w:b/>
    </w:rPr>
  </w:style>
  <w:style w:type="character" w:customStyle="1" w:styleId="54">
    <w:name w:val="正文文本缩进 3 字符"/>
    <w:link w:val="28"/>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39"/>
    <w:qFormat/>
    <w:uiPriority w:val="0"/>
    <w:rPr>
      <w:rFonts w:cs="Times New Roman"/>
    </w:rPr>
  </w:style>
  <w:style w:type="character" w:customStyle="1" w:styleId="60">
    <w:name w:val="页眉 字符"/>
    <w:link w:val="23"/>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0"/>
    <w:qFormat/>
    <w:locked/>
    <w:uiPriority w:val="0"/>
  </w:style>
  <w:style w:type="character" w:customStyle="1" w:styleId="63">
    <w:name w:val="标题 字符"/>
    <w:link w:val="34"/>
    <w:qFormat/>
    <w:locked/>
    <w:uiPriority w:val="0"/>
    <w:rPr>
      <w:rFonts w:ascii="Arial" w:hAnsi="Arial"/>
      <w:b/>
      <w:sz w:val="32"/>
    </w:rPr>
  </w:style>
  <w:style w:type="character" w:customStyle="1" w:styleId="64">
    <w:name w:val="日期 字符"/>
    <w:link w:val="19"/>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字符"/>
    <w:link w:val="21"/>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8"/>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7"/>
    <w:qFormat/>
    <w:locked/>
    <w:uiPriority w:val="0"/>
    <w:rPr>
      <w:rFonts w:ascii="宋体" w:hAnsi="Courier New"/>
    </w:rPr>
  </w:style>
  <w:style w:type="character" w:customStyle="1" w:styleId="74">
    <w:name w:val="页脚 字符"/>
    <w:link w:val="22"/>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39"/>
    <w:semiHidden/>
    <w:qFormat/>
    <w:uiPriority w:val="99"/>
  </w:style>
  <w:style w:type="character" w:customStyle="1" w:styleId="79">
    <w:name w:val="批注文字 字符11"/>
    <w:basedOn w:val="39"/>
    <w:qFormat/>
    <w:uiPriority w:val="0"/>
    <w:rPr>
      <w:rFonts w:cs="Times New Roman"/>
      <w:kern w:val="2"/>
      <w:sz w:val="21"/>
    </w:rPr>
  </w:style>
  <w:style w:type="character" w:customStyle="1" w:styleId="80">
    <w:name w:val="正文文本缩进 字符"/>
    <w:basedOn w:val="39"/>
    <w:link w:val="13"/>
    <w:qFormat/>
    <w:uiPriority w:val="99"/>
    <w:rPr>
      <w:rFonts w:ascii="Calibri" w:hAnsi="Calibri" w:eastAsia="宋体" w:cs="Times New Roman"/>
      <w:szCs w:val="20"/>
    </w:rPr>
  </w:style>
  <w:style w:type="character" w:customStyle="1" w:styleId="81">
    <w:name w:val="文档结构图 字符1"/>
    <w:basedOn w:val="39"/>
    <w:semiHidden/>
    <w:qFormat/>
    <w:uiPriority w:val="99"/>
    <w:rPr>
      <w:rFonts w:ascii="Microsoft YaHei UI" w:eastAsia="Microsoft YaHei UI"/>
      <w:sz w:val="18"/>
      <w:szCs w:val="18"/>
    </w:rPr>
  </w:style>
  <w:style w:type="character" w:customStyle="1" w:styleId="82">
    <w:name w:val="文档结构图 字符11"/>
    <w:basedOn w:val="39"/>
    <w:semiHidden/>
    <w:qFormat/>
    <w:uiPriority w:val="99"/>
    <w:rPr>
      <w:rFonts w:ascii="Microsoft YaHei UI" w:eastAsia="Microsoft YaHei UI" w:cs="Times New Roman"/>
      <w:kern w:val="2"/>
      <w:sz w:val="18"/>
      <w:szCs w:val="18"/>
    </w:rPr>
  </w:style>
  <w:style w:type="character" w:customStyle="1" w:styleId="83">
    <w:name w:val="正文文本 字符"/>
    <w:basedOn w:val="39"/>
    <w:link w:val="12"/>
    <w:qFormat/>
    <w:uiPriority w:val="99"/>
    <w:rPr>
      <w:rFonts w:ascii="Calibri" w:hAnsi="Calibri" w:eastAsia="新宋体" w:cs="Times New Roman"/>
      <w:szCs w:val="21"/>
    </w:rPr>
  </w:style>
  <w:style w:type="character" w:customStyle="1" w:styleId="84">
    <w:name w:val="纯文本 字符1"/>
    <w:basedOn w:val="39"/>
    <w:semiHidden/>
    <w:qFormat/>
    <w:uiPriority w:val="99"/>
    <w:rPr>
      <w:rFonts w:hAnsi="Courier New" w:cs="Courier New" w:asciiTheme="minorEastAsia"/>
    </w:rPr>
  </w:style>
  <w:style w:type="character" w:customStyle="1" w:styleId="85">
    <w:name w:val="纯文本 字符11"/>
    <w:basedOn w:val="39"/>
    <w:qFormat/>
    <w:uiPriority w:val="0"/>
    <w:rPr>
      <w:rFonts w:hAnsi="Courier New" w:cs="Courier New" w:asciiTheme="minorEastAsia" w:eastAsiaTheme="minorEastAsia"/>
      <w:kern w:val="2"/>
      <w:sz w:val="21"/>
    </w:rPr>
  </w:style>
  <w:style w:type="character" w:customStyle="1" w:styleId="86">
    <w:name w:val="页眉 字符1"/>
    <w:basedOn w:val="39"/>
    <w:semiHidden/>
    <w:qFormat/>
    <w:uiPriority w:val="99"/>
    <w:rPr>
      <w:sz w:val="18"/>
      <w:szCs w:val="18"/>
    </w:rPr>
  </w:style>
  <w:style w:type="character" w:customStyle="1" w:styleId="87">
    <w:name w:val="页眉 字符11"/>
    <w:basedOn w:val="39"/>
    <w:semiHidden/>
    <w:qFormat/>
    <w:uiPriority w:val="99"/>
    <w:rPr>
      <w:rFonts w:cs="Times New Roman"/>
      <w:kern w:val="2"/>
      <w:sz w:val="18"/>
      <w:szCs w:val="18"/>
    </w:rPr>
  </w:style>
  <w:style w:type="character" w:customStyle="1" w:styleId="88">
    <w:name w:val="批注框文本 字符1"/>
    <w:basedOn w:val="39"/>
    <w:semiHidden/>
    <w:qFormat/>
    <w:uiPriority w:val="99"/>
    <w:rPr>
      <w:sz w:val="18"/>
      <w:szCs w:val="18"/>
    </w:rPr>
  </w:style>
  <w:style w:type="character" w:customStyle="1" w:styleId="89">
    <w:name w:val="批注框文本 字符11"/>
    <w:basedOn w:val="39"/>
    <w:semiHidden/>
    <w:qFormat/>
    <w:uiPriority w:val="99"/>
    <w:rPr>
      <w:rFonts w:cs="Times New Roman"/>
      <w:kern w:val="2"/>
      <w:sz w:val="18"/>
      <w:szCs w:val="18"/>
    </w:rPr>
  </w:style>
  <w:style w:type="character" w:customStyle="1" w:styleId="90">
    <w:name w:val="日期 字符1"/>
    <w:basedOn w:val="39"/>
    <w:semiHidden/>
    <w:qFormat/>
    <w:uiPriority w:val="99"/>
  </w:style>
  <w:style w:type="character" w:customStyle="1" w:styleId="91">
    <w:name w:val="日期 字符11"/>
    <w:basedOn w:val="39"/>
    <w:semiHidden/>
    <w:qFormat/>
    <w:uiPriority w:val="99"/>
    <w:rPr>
      <w:rFonts w:cs="Times New Roman"/>
      <w:kern w:val="2"/>
      <w:sz w:val="21"/>
    </w:rPr>
  </w:style>
  <w:style w:type="character" w:customStyle="1" w:styleId="92">
    <w:name w:val="页脚 字符1"/>
    <w:basedOn w:val="39"/>
    <w:semiHidden/>
    <w:qFormat/>
    <w:uiPriority w:val="99"/>
    <w:rPr>
      <w:sz w:val="18"/>
      <w:szCs w:val="18"/>
    </w:rPr>
  </w:style>
  <w:style w:type="character" w:customStyle="1" w:styleId="93">
    <w:name w:val="页脚 字符11"/>
    <w:basedOn w:val="39"/>
    <w:semiHidden/>
    <w:qFormat/>
    <w:uiPriority w:val="99"/>
    <w:rPr>
      <w:rFonts w:cs="Times New Roman"/>
      <w:kern w:val="2"/>
      <w:sz w:val="18"/>
      <w:szCs w:val="18"/>
    </w:rPr>
  </w:style>
  <w:style w:type="character" w:customStyle="1" w:styleId="94">
    <w:name w:val="正文文本缩进 2 字符1"/>
    <w:basedOn w:val="39"/>
    <w:semiHidden/>
    <w:qFormat/>
    <w:uiPriority w:val="99"/>
  </w:style>
  <w:style w:type="character" w:customStyle="1" w:styleId="95">
    <w:name w:val="正文文本缩进 2 字符11"/>
    <w:basedOn w:val="39"/>
    <w:semiHidden/>
    <w:qFormat/>
    <w:uiPriority w:val="99"/>
    <w:rPr>
      <w:rFonts w:cs="Times New Roman"/>
      <w:kern w:val="2"/>
      <w:sz w:val="21"/>
    </w:rPr>
  </w:style>
  <w:style w:type="character" w:customStyle="1" w:styleId="96">
    <w:name w:val="正文文本缩进 3 字符1"/>
    <w:basedOn w:val="39"/>
    <w:semiHidden/>
    <w:qFormat/>
    <w:uiPriority w:val="99"/>
    <w:rPr>
      <w:sz w:val="16"/>
      <w:szCs w:val="16"/>
    </w:rPr>
  </w:style>
  <w:style w:type="character" w:customStyle="1" w:styleId="97">
    <w:name w:val="正文文本缩进 3 字符11"/>
    <w:basedOn w:val="39"/>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39"/>
    <w:qFormat/>
    <w:uiPriority w:val="10"/>
    <w:rPr>
      <w:rFonts w:asciiTheme="majorHAnsi" w:hAnsiTheme="majorHAnsi" w:eastAsiaTheme="majorEastAsia" w:cstheme="majorBidi"/>
      <w:b/>
      <w:bCs/>
      <w:sz w:val="32"/>
      <w:szCs w:val="32"/>
    </w:rPr>
  </w:style>
  <w:style w:type="character" w:customStyle="1" w:styleId="101">
    <w:name w:val="标题 字符11"/>
    <w:basedOn w:val="39"/>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7"/>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4">
    <w:name w:val="无间隔1"/>
    <w:qFormat/>
    <w:uiPriority w:val="0"/>
    <w:rPr>
      <w:rFonts w:ascii="Calibri" w:hAnsi="Calibri" w:eastAsia="Calibri" w:cs="Times New Roman"/>
      <w:szCs w:val="22"/>
      <w:lang w:val="en-GB" w:eastAsia="en-US" w:bidi="ar-SA"/>
    </w:rPr>
  </w:style>
  <w:style w:type="paragraph" w:customStyle="1" w:styleId="135">
    <w:name w:val="CM22"/>
    <w:basedOn w:val="76"/>
    <w:next w:val="76"/>
    <w:qFormat/>
    <w:uiPriority w:val="0"/>
    <w:pPr>
      <w:spacing w:after="125"/>
    </w:pPr>
    <w:rPr>
      <w:rFonts w:cs="Times New Roman"/>
      <w:color w:val="auto"/>
    </w:rPr>
  </w:style>
  <w:style w:type="paragraph" w:customStyle="1" w:styleId="136">
    <w:name w:val="List Paragraph1"/>
    <w:basedOn w:val="1"/>
    <w:qFormat/>
    <w:uiPriority w:val="0"/>
    <w:pPr>
      <w:ind w:firstLine="420" w:firstLineChars="200"/>
    </w:pPr>
    <w:rPr>
      <w:rFonts w:ascii="Calibri" w:hAnsi="Calibri"/>
      <w:szCs w:val="22"/>
    </w:rPr>
  </w:style>
  <w:style w:type="character" w:customStyle="1" w:styleId="137">
    <w:name w:val="font12"/>
    <w:basedOn w:val="39"/>
    <w:qFormat/>
    <w:uiPriority w:val="0"/>
    <w:rPr>
      <w:rFonts w:hint="eastAsia" w:ascii="微软雅黑" w:hAnsi="微软雅黑" w:eastAsia="微软雅黑" w:cs="微软雅黑"/>
      <w:b/>
      <w:bCs/>
      <w:color w:val="000000"/>
      <w:sz w:val="22"/>
      <w:szCs w:val="22"/>
      <w:u w:val="none"/>
    </w:rPr>
  </w:style>
  <w:style w:type="character" w:customStyle="1" w:styleId="138">
    <w:name w:val="font31"/>
    <w:basedOn w:val="39"/>
    <w:qFormat/>
    <w:uiPriority w:val="0"/>
    <w:rPr>
      <w:rFonts w:hint="eastAsia" w:ascii="微软雅黑" w:hAnsi="微软雅黑" w:eastAsia="微软雅黑" w:cs="微软雅黑"/>
      <w:color w:val="000000"/>
      <w:sz w:val="22"/>
      <w:szCs w:val="22"/>
      <w:u w:val="none"/>
    </w:rPr>
  </w:style>
  <w:style w:type="character" w:customStyle="1" w:styleId="139">
    <w:name w:val="font21"/>
    <w:basedOn w:val="39"/>
    <w:qFormat/>
    <w:uiPriority w:val="0"/>
    <w:rPr>
      <w:rFonts w:hint="default" w:ascii="Calibri" w:hAnsi="Calibri" w:cs="Calibri"/>
      <w:color w:val="000000"/>
      <w:sz w:val="22"/>
      <w:szCs w:val="22"/>
      <w:u w:val="none"/>
    </w:rPr>
  </w:style>
  <w:style w:type="character" w:customStyle="1" w:styleId="140">
    <w:name w:val="font91"/>
    <w:basedOn w:val="39"/>
    <w:qFormat/>
    <w:uiPriority w:val="0"/>
    <w:rPr>
      <w:rFonts w:hint="eastAsia" w:ascii="微软雅黑" w:hAnsi="微软雅黑" w:eastAsia="微软雅黑" w:cs="微软雅黑"/>
      <w:color w:val="000000"/>
      <w:sz w:val="21"/>
      <w:szCs w:val="21"/>
      <w:u w:val="none"/>
    </w:rPr>
  </w:style>
  <w:style w:type="character" w:customStyle="1" w:styleId="141">
    <w:name w:val="font101"/>
    <w:basedOn w:val="39"/>
    <w:qFormat/>
    <w:uiPriority w:val="0"/>
    <w:rPr>
      <w:rFonts w:hint="default" w:ascii="Arial" w:hAnsi="Arial" w:cs="Arial"/>
      <w:color w:val="000000"/>
      <w:sz w:val="21"/>
      <w:szCs w:val="21"/>
      <w:u w:val="none"/>
    </w:rPr>
  </w:style>
  <w:style w:type="character" w:customStyle="1" w:styleId="142">
    <w:name w:val="font111"/>
    <w:basedOn w:val="3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14.png"/><Relationship Id="rId60" Type="http://schemas.openxmlformats.org/officeDocument/2006/relationships/image" Target="media/image13.png"/><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footer" Target="foot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4.xml"/><Relationship Id="rId45" Type="http://schemas.openxmlformats.org/officeDocument/2006/relationships/footer" Target="footer33.xml"/><Relationship Id="rId44" Type="http://schemas.openxmlformats.org/officeDocument/2006/relationships/header" Target="header10.xml"/><Relationship Id="rId43" Type="http://schemas.openxmlformats.org/officeDocument/2006/relationships/header" Target="header9.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93</Pages>
  <Words>40394</Words>
  <Characters>43167</Characters>
  <Lines>305</Lines>
  <Paragraphs>86</Paragraphs>
  <TotalTime>11</TotalTime>
  <ScaleCrop>false</ScaleCrop>
  <LinksUpToDate>false</LinksUpToDate>
  <CharactersWithSpaces>49411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2021-05-29T01:26:00Z</dcterms:created>
  <dc:creator>ZQNet</dc:creator>
  <cp:lastModifiedBy>李月兵</cp:lastModifiedBy>
  <cp:lastPrinted>2022-07-01T19:19:00Z</cp:lastPrinted>
  <dcterms:modified xsi:type="dcterms:W3CDTF">2025-01-26T02:48:48Z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19A73B4983934AE9B6E5D85C8D7BB8AB</vt:lpwstr>
  </property>
</Properties>
</file>