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中国重汽集团济南部件公司下料外协收回</w:t>
      </w:r>
    </w:p>
    <w:p>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 xml:space="preserve">自制-推力杆、拉杆下料生产线项目 </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1"/>
                <w:rFonts w:ascii="宋体" w:hAnsi="宋体" w:eastAsia="宋体" w:cs="宋体"/>
                <w:b/>
                <w:sz w:val="28"/>
                <w:szCs w:val="28"/>
              </w:rPr>
            </w:pPr>
            <w:bookmarkStart w:id="3" w:name="_Toc346372875"/>
            <w:r>
              <w:rPr>
                <w:rStyle w:val="13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u w:val="single"/>
                <w:lang w:eastAsia="zh-CN"/>
              </w:rPr>
              <w:t>济南部件公司下料外协收回自制-推力杆、拉杆下料生产线项目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u w:val="single"/>
                <w:lang w:eastAsia="zh-CN"/>
              </w:rPr>
              <w:t>CGZX2025010191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招标内容：下料外协收回自制-推力杆、拉杆下料生产线项目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5"/>
                <w:rFonts w:hint="eastAsia" w:ascii="宋体" w:hAnsi="宋体" w:eastAsia="宋体" w:cs="宋体"/>
                <w:bCs/>
                <w:snapToGrid w:val="0"/>
                <w:color w:val="auto"/>
                <w:kern w:val="0"/>
                <w:sz w:val="24"/>
                <w:szCs w:val="24"/>
              </w:rPr>
              <w:t>liyuebing@sinotruk.com</w:t>
            </w:r>
            <w:r>
              <w:rPr>
                <w:rStyle w:val="45"/>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490</w:t>
            </w:r>
            <w:r>
              <w:rPr>
                <w:rFonts w:hint="eastAsia" w:ascii="宋体" w:hAnsi="宋体" w:eastAsia="宋体" w:cs="Times New Roman"/>
                <w:b/>
                <w:bCs/>
                <w:color w:val="000000"/>
                <w:sz w:val="24"/>
                <w:szCs w:val="24"/>
                <w:highlight w:val="none"/>
                <w:lang w:val="en-US" w:eastAsia="zh-CN"/>
              </w:rPr>
              <w:t>万元</w:t>
            </w:r>
            <w:r>
              <w:rPr>
                <w:rFonts w:hint="eastAsia" w:hAnsi="宋体" w:eastAsia="宋体" w:cs="Times New Roman"/>
                <w:color w:val="000000"/>
                <w:sz w:val="24"/>
                <w:szCs w:val="24"/>
                <w:highlight w:val="none"/>
                <w:lang w:val="en-US" w:eastAsia="zh-CN"/>
              </w:rPr>
              <w:t>（含税，税率13%），超过投标限价无法投标。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2" w:firstLineChars="200"/>
              <w:rPr>
                <w:rFonts w:hint="eastAsia" w:hAnsi="宋体" w:eastAsia="宋体" w:cs="宋体"/>
                <w:color w:val="000000"/>
                <w:sz w:val="24"/>
                <w:szCs w:val="24"/>
                <w:highlight w:val="none"/>
                <w:lang w:val="en-US" w:eastAsia="zh-CN"/>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yellow"/>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bookmarkStart w:id="130" w:name="_GoBack"/>
            <w:bookmarkEnd w:id="130"/>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b/>
                <w:bCs/>
                <w:highlight w:val="yellow"/>
              </w:rPr>
              <w:t>：</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w:t>
            </w:r>
            <w:r>
              <w:rPr>
                <w:rFonts w:hint="eastAsia" w:eastAsia="宋体" w:cs="宋体"/>
                <w:highlight w:val="yellow"/>
                <w:lang w:val="en-US" w:eastAsia="zh-CN"/>
              </w:rPr>
              <w:t>12时00分00秒</w:t>
            </w:r>
          </w:p>
          <w:p>
            <w:pPr>
              <w:pStyle w:val="114"/>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yellow"/>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yellow"/>
                <w:lang w:val="en-US" w:eastAsia="zh-CN"/>
              </w:rPr>
              <w:t>技术标入围后，原则上选取</w:t>
            </w:r>
            <w:r>
              <w:rPr>
                <w:rFonts w:hint="eastAsia" w:ascii="宋体" w:hAnsi="宋体" w:eastAsia="宋体" w:cs="宋体"/>
                <w:b/>
                <w:bCs/>
                <w:color w:val="auto"/>
                <w:sz w:val="24"/>
                <w:szCs w:val="24"/>
                <w:highlight w:val="yellow"/>
                <w:lang w:val="en-US" w:eastAsia="zh-CN"/>
              </w:rPr>
              <w:t>综合评分最高者</w:t>
            </w:r>
            <w:r>
              <w:rPr>
                <w:rFonts w:hint="eastAsia" w:ascii="宋体" w:hAnsi="宋体" w:eastAsia="宋体" w:cs="宋体"/>
                <w:b/>
                <w:color w:val="auto"/>
                <w:sz w:val="24"/>
                <w:szCs w:val="24"/>
                <w:highlight w:val="yellow"/>
                <w:lang w:val="en-US" w:eastAsia="zh-CN"/>
              </w:rPr>
              <w:t>中标</w:t>
            </w:r>
            <w:r>
              <w:rPr>
                <w:rFonts w:hint="eastAsia" w:ascii="宋体" w:hAnsi="宋体" w:eastAsia="宋体" w:cs="宋体"/>
                <w:sz w:val="24"/>
                <w:szCs w:val="24"/>
                <w:highlight w:val="yellow"/>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1.</w:t>
            </w:r>
            <w:r>
              <w:rPr>
                <w:rFonts w:hint="eastAsia" w:hAnsi="宋体" w:eastAsia="宋体" w:cs="宋体"/>
                <w:color w:val="000000"/>
                <w:sz w:val="24"/>
                <w:szCs w:val="24"/>
                <w:highlight w:val="yellow"/>
                <w:lang w:val="en-US" w:eastAsia="zh-CN"/>
              </w:rPr>
              <w:t>定标后</w:t>
            </w:r>
            <w:r>
              <w:rPr>
                <w:rFonts w:hint="eastAsia" w:hAnsi="宋体" w:eastAsia="宋体" w:cs="宋体"/>
                <w:color w:val="000000"/>
                <w:sz w:val="24"/>
                <w:szCs w:val="24"/>
                <w:highlight w:val="yellow"/>
              </w:rPr>
              <w:t>，</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个日历日之内交货至供货地点</w:t>
            </w:r>
            <w:r>
              <w:rPr>
                <w:rFonts w:hAnsi="宋体" w:eastAsia="宋体" w:cs="宋体"/>
                <w:color w:val="000000"/>
                <w:sz w:val="24"/>
                <w:szCs w:val="24"/>
                <w:highlight w:val="yellow"/>
              </w:rPr>
              <w:t>。</w:t>
            </w:r>
          </w:p>
          <w:p>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个日历日之内安装调试完毕。</w:t>
            </w:r>
          </w:p>
          <w:p>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3.接续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u w:val="single"/>
              </w:rPr>
              <w:t>中国重汽集团济南汽车部件有限公司传动轴线</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firstLine="482"/>
              <w:rPr>
                <w:rFonts w:ascii="宋体" w:hAnsi="宋体" w:cs="宋体"/>
                <w:sz w:val="24"/>
                <w:szCs w:val="24"/>
                <w:highlight w:val="none"/>
              </w:rPr>
            </w:pPr>
            <w:r>
              <w:rPr>
                <w:rFonts w:hint="eastAsia" w:ascii="宋体" w:hAnsi="宋体" w:cs="宋体"/>
                <w:b/>
                <w:bCs/>
                <w:sz w:val="24"/>
                <w:szCs w:val="24"/>
                <w:highlight w:val="none"/>
                <w:u w:val="single"/>
              </w:rPr>
              <w:t>付款方式：半年期商业汇票（包括银行承兑汇票和商业承兑汇票）</w:t>
            </w:r>
          </w:p>
          <w:p>
            <w:pPr>
              <w:ind w:firstLine="480" w:firstLineChars="200"/>
              <w:rPr>
                <w:rFonts w:ascii="宋体" w:hAnsi="宋体" w:eastAsia="宋体" w:cs="宋体"/>
                <w:sz w:val="24"/>
                <w:szCs w:val="24"/>
              </w:rPr>
            </w:pPr>
            <w:r>
              <w:rPr>
                <w:rFonts w:ascii="宋体" w:hAnsi="宋体" w:eastAsia="宋体" w:cs="宋体"/>
                <w:sz w:val="24"/>
                <w:szCs w:val="24"/>
              </w:rPr>
              <w:t>1.合同生效后，卖方提交金额为合同价款30%的收据并提供合同价款30%的增值税专用发票（含复印件二份），经买方依照财务制度审核无误后30个工作日支付合同价款的30%。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2.设备全部到齐，经现场安装、调试、验收合格交付使用后，卖方提交金额为合同价款60%的收据并附带下列单据，经买方依照财务制度审核无误后30个工作日支付合同价款的60%。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3</w:t>
            </w:r>
            <w:r>
              <w:rPr>
                <w:rFonts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4"/>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6950"/>
      <w:bookmarkStart w:id="8" w:name="_Toc33266627"/>
      <w:bookmarkStart w:id="9" w:name="_Toc33265752"/>
      <w:bookmarkStart w:id="10" w:name="_Toc33267001"/>
      <w:bookmarkStart w:id="11" w:name="_Toc33266914"/>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2" w:firstLineChars="200"/>
        <w:rPr>
          <w:rFonts w:hint="eastAsia" w:ascii="宋体" w:hAnsi="宋体" w:eastAsia="宋体" w:cs="宋体"/>
          <w:b/>
          <w:color w:val="000000"/>
          <w:sz w:val="24"/>
          <w:szCs w:val="24"/>
          <w:highlight w:val="magenta"/>
        </w:rPr>
      </w:pPr>
      <w:r>
        <w:rPr>
          <w:rFonts w:hint="eastAsia" w:ascii="宋体" w:hAnsi="宋体" w:eastAsia="宋体" w:cs="宋体"/>
          <w:b/>
          <w:color w:val="000000"/>
          <w:sz w:val="24"/>
          <w:szCs w:val="24"/>
          <w:highlight w:val="magenta"/>
        </w:rPr>
        <w:t>本次招标采用</w:t>
      </w:r>
      <w:bookmarkStart w:id="14" w:name="_Toc33266628"/>
      <w:bookmarkStart w:id="15" w:name="_Toc33265753"/>
      <w:bookmarkStart w:id="16" w:name="_Toc33267002"/>
      <w:bookmarkStart w:id="17" w:name="_Toc33285489"/>
      <w:bookmarkStart w:id="18" w:name="_Toc33266915"/>
      <w:bookmarkStart w:id="19" w:name="_Toc33265654"/>
      <w:bookmarkStart w:id="20" w:name="_Toc395116634"/>
      <w:bookmarkStart w:id="21" w:name="_Toc33266951"/>
      <w:r>
        <w:rPr>
          <w:rFonts w:hint="eastAsia" w:ascii="宋体" w:hAnsi="宋体" w:eastAsia="宋体" w:cs="宋体"/>
          <w:b/>
          <w:color w:val="000000"/>
          <w:sz w:val="24"/>
          <w:szCs w:val="24"/>
          <w:highlight w:val="magenta"/>
          <w:lang w:val="en-US" w:eastAsia="zh-CN"/>
        </w:rPr>
        <w:t>综合评价法（详见附件14）。</w:t>
      </w:r>
      <w:r>
        <w:rPr>
          <w:rFonts w:hint="eastAsia" w:ascii="宋体" w:hAnsi="宋体" w:eastAsia="宋体" w:cs="宋体"/>
          <w:b/>
          <w:color w:val="000000"/>
          <w:sz w:val="24"/>
          <w:szCs w:val="24"/>
          <w:highlight w:val="magenta"/>
        </w:rPr>
        <w:t>本着公平、公正、公开的原则，在</w:t>
      </w:r>
      <w:r>
        <w:rPr>
          <w:rFonts w:hint="eastAsia" w:ascii="宋体" w:hAnsi="宋体" w:eastAsia="宋体" w:cs="宋体"/>
          <w:b/>
          <w:color w:val="000000"/>
          <w:sz w:val="24"/>
          <w:szCs w:val="24"/>
          <w:highlight w:val="magenta"/>
          <w:lang w:val="en-US" w:eastAsia="zh-CN"/>
        </w:rPr>
        <w:t>通过技术标</w:t>
      </w:r>
      <w:r>
        <w:rPr>
          <w:rFonts w:hint="eastAsia" w:ascii="宋体" w:hAnsi="宋体" w:eastAsia="宋体" w:cs="宋体"/>
          <w:b/>
          <w:color w:val="000000"/>
          <w:sz w:val="24"/>
          <w:szCs w:val="24"/>
          <w:highlight w:val="magenta"/>
        </w:rPr>
        <w:t>评审</w:t>
      </w:r>
      <w:r>
        <w:rPr>
          <w:rFonts w:hint="eastAsia" w:ascii="宋体" w:hAnsi="宋体" w:eastAsia="宋体" w:cs="宋体"/>
          <w:b/>
          <w:color w:val="000000"/>
          <w:sz w:val="24"/>
          <w:szCs w:val="24"/>
          <w:highlight w:val="magenta"/>
          <w:lang w:val="en-US" w:eastAsia="zh-CN"/>
        </w:rPr>
        <w:t>后入围</w:t>
      </w:r>
      <w:r>
        <w:rPr>
          <w:rFonts w:hint="eastAsia" w:ascii="宋体" w:hAnsi="宋体" w:eastAsia="宋体" w:cs="宋体"/>
          <w:b/>
          <w:color w:val="000000"/>
          <w:sz w:val="24"/>
          <w:szCs w:val="24"/>
          <w:highlight w:val="magenta"/>
        </w:rPr>
        <w:t>的前提下，对招标文件中规定的各项因素进行综合评审，确定中标人，对未中标单位不做任何解释。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highlight w:val="magenta"/>
        </w:rPr>
      </w:pPr>
      <w:r>
        <w:rPr>
          <w:rFonts w:hint="eastAsia" w:ascii="宋体" w:hAnsi="宋体" w:eastAsia="宋体" w:cs="宋体"/>
          <w:b/>
          <w:color w:val="auto"/>
          <w:sz w:val="24"/>
          <w:szCs w:val="24"/>
          <w:highlight w:val="magenta"/>
          <w:lang w:val="en-US" w:eastAsia="zh-CN"/>
        </w:rPr>
        <w:t>中标人确定</w:t>
      </w:r>
      <w:r>
        <w:rPr>
          <w:rFonts w:hint="eastAsia" w:ascii="宋体" w:hAnsi="宋体" w:eastAsia="宋体" w:cs="宋体"/>
          <w:b/>
          <w:color w:val="auto"/>
          <w:sz w:val="24"/>
          <w:szCs w:val="24"/>
          <w:highlight w:val="magenta"/>
        </w:rPr>
        <w:t>：</w:t>
      </w:r>
      <w:r>
        <w:rPr>
          <w:rFonts w:hint="eastAsia" w:ascii="宋体" w:hAnsi="宋体" w:eastAsia="宋体" w:cs="宋体"/>
          <w:b/>
          <w:color w:val="auto"/>
          <w:sz w:val="24"/>
          <w:szCs w:val="24"/>
          <w:highlight w:val="magenta"/>
          <w:lang w:val="en-US" w:eastAsia="zh-CN"/>
        </w:rPr>
        <w:t>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7"/>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bCs/>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中国重汽集团济南动力有限公司</w:t>
      </w:r>
      <w:r>
        <w:rPr>
          <w:rFonts w:hint="eastAsia" w:ascii="宋体" w:hAnsi="宋体" w:eastAsia="宋体" w:cs="宋体"/>
          <w:b/>
          <w:bCs/>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中国重汽集团济南部件公司</w:t>
      </w:r>
    </w:p>
    <w:p>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lang w:val="en-US" w:eastAsia="zh-CN"/>
        </w:rPr>
        <w:t>下料外协收回自制-推力杆、拉杆下料生产线项目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pPr>
        <w:pStyle w:val="12"/>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新增下料外协收回自制项目-推力杆、拉杆管子下料子项</w:t>
      </w:r>
    </w:p>
    <w:p>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济南汽车部件有限公司</w:t>
      </w:r>
    </w:p>
    <w:p>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rPr>
        <w:t>济南汽车部件有限公司部件线</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color w:val="000000"/>
        </w:rPr>
        <w:t>全年工作</w:t>
      </w:r>
      <w:r>
        <w:rPr>
          <w:color w:val="FF0000"/>
          <w:u w:val="single"/>
        </w:rPr>
        <w:t>300</w:t>
      </w:r>
      <w:r>
        <w:rPr>
          <w:color w:val="000000"/>
        </w:rPr>
        <w:t>天、</w:t>
      </w:r>
      <w:r>
        <w:rPr>
          <w:color w:val="FF0000"/>
          <w:u w:val="single"/>
        </w:rPr>
        <w:t>二</w:t>
      </w:r>
      <w:r>
        <w:rPr>
          <w:color w:val="000000"/>
        </w:rPr>
        <w:t>班制、</w:t>
      </w:r>
      <w:r>
        <w:rPr>
          <w:color w:val="FF0000"/>
          <w:u w:val="single"/>
        </w:rPr>
        <w:t>10</w:t>
      </w:r>
      <w:r>
        <w:rPr>
          <w:color w:val="FF0000"/>
        </w:rPr>
        <w:t>小时</w:t>
      </w:r>
      <w:r>
        <w:rPr>
          <w:color w:val="000000"/>
        </w:rPr>
        <w:t>/班</w:t>
      </w:r>
      <w:r>
        <w:rPr>
          <w:rFonts w:hint="eastAsia" w:ascii="宋体" w:hAnsi="宋体" w:eastAsia="宋体" w:cs="宋体"/>
          <w:sz w:val="24"/>
          <w:szCs w:val="24"/>
        </w:rPr>
        <w:t>。</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2.环境温度：室外极端最低温度-20℃、极端最高温度45℃,昼夜最大温差25℃；室内温度-5～45℃。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3.相对湿度：年平均59%，最大95%、最小15%。</w:t>
      </w:r>
    </w:p>
    <w:p>
      <w:pPr>
        <w:spacing w:line="360" w:lineRule="auto"/>
        <w:ind w:firstLine="480" w:firstLineChars="200"/>
        <w:rPr>
          <w:color w:val="000000"/>
        </w:rPr>
      </w:pPr>
      <w:r>
        <w:rPr>
          <w:rFonts w:hint="eastAsia" w:ascii="宋体" w:hAnsi="宋体" w:eastAsia="宋体" w:cs="宋体"/>
          <w:bCs/>
          <w:sz w:val="24"/>
          <w:szCs w:val="24"/>
        </w:rPr>
        <w:t>4.</w:t>
      </w:r>
      <w:r>
        <w:rPr>
          <w:rFonts w:hint="eastAsia"/>
          <w:color w:val="000000"/>
        </w:rPr>
        <w:t>地面基础：现有地面做法为≥2</w:t>
      </w:r>
      <w:r>
        <w:rPr>
          <w:color w:val="000000"/>
        </w:rPr>
        <w:t>00</w:t>
      </w:r>
      <w:r>
        <w:rPr>
          <w:rFonts w:hint="eastAsia"/>
          <w:color w:val="000000"/>
        </w:rPr>
        <w:t>mm厚，C</w:t>
      </w:r>
      <w:r>
        <w:rPr>
          <w:color w:val="000000"/>
        </w:rPr>
        <w:t>30</w:t>
      </w:r>
      <w:r>
        <w:rPr>
          <w:rFonts w:hint="eastAsia"/>
          <w:color w:val="000000"/>
        </w:rPr>
        <w:t>水泥浇灌，内无钢筋。</w:t>
      </w:r>
    </w:p>
    <w:p>
      <w:pPr>
        <w:spacing w:line="360" w:lineRule="auto"/>
        <w:ind w:firstLine="420" w:firstLineChars="200"/>
        <w:rPr>
          <w:color w:val="000000"/>
        </w:rPr>
      </w:pPr>
      <w:r>
        <w:rPr>
          <w:rFonts w:hint="eastAsia"/>
          <w:color w:val="000000"/>
        </w:rPr>
        <w:t>5.</w:t>
      </w:r>
      <w:r>
        <w:rPr>
          <w:color w:val="000000"/>
        </w:rPr>
        <w:t>工作区域：</w:t>
      </w:r>
      <w:r>
        <w:rPr>
          <w:rFonts w:hint="eastAsia"/>
          <w:color w:val="000000"/>
        </w:rPr>
        <w:t>部件</w:t>
      </w:r>
      <w:r>
        <w:rPr>
          <w:rFonts w:hint="eastAsia"/>
        </w:rPr>
        <w:t>线厂房内（甲方指定）</w:t>
      </w:r>
      <w:r>
        <w:rPr>
          <w:color w:val="000000"/>
        </w:rPr>
        <w:t>。</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1.电力：中国制式，供电电压380V±15%/220V±15%，供电频率50Hz±2%；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2.给水：市政自来水；</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3.压缩空气：自备空压机自产压缩空气，0.5 MPa±0.1。</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推力杆连接杆下料生产线、拉杆管子下料生产线</w:t>
      </w:r>
      <w:r>
        <w:rPr>
          <w:rFonts w:hint="eastAsia" w:ascii="宋体" w:hAnsi="宋体" w:eastAsia="宋体" w:cs="宋体"/>
          <w:sz w:val="24"/>
          <w:szCs w:val="24"/>
        </w:rPr>
        <w:t>（详见下表）</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rPr>
        <w:t>推力杆下料生产线、拉杆管子下料生产线各</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上料输送机构</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激光切割机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物料输送装置</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4</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双头倒角机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rPr>
              <w:t>不低于4套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5</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划刻式气动打标机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rPr>
              <w:t>不低于4套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6</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围栏等安全防护设施</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7</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机器人下料系统</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pPr>
            <w:r>
              <w:rPr>
                <w:rFonts w:hint="eastAsia"/>
              </w:rPr>
              <w:t>套</w:t>
            </w:r>
          </w:p>
        </w:tc>
        <w:tc>
          <w:tcPr>
            <w:tcW w:w="2835" w:type="dxa"/>
          </w:tcPr>
          <w:p>
            <w:pPr>
              <w:jc w:val="center"/>
            </w:pPr>
            <w:r>
              <w:rPr>
                <w:rFonts w:hint="eastAsia"/>
              </w:rPr>
              <w:t>非指机器人数量2套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8</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工位器具</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1134" w:type="dxa"/>
          </w:tcPr>
          <w:p>
            <w:pPr>
              <w:jc w:val="center"/>
            </w:pPr>
            <w:r>
              <w:rPr>
                <w:rFonts w:hint="eastAsia"/>
              </w:rPr>
              <w:t>套</w:t>
            </w:r>
          </w:p>
        </w:tc>
        <w:tc>
          <w:tcPr>
            <w:tcW w:w="2835" w:type="dxa"/>
          </w:tcPr>
          <w:p>
            <w:pPr>
              <w:jc w:val="center"/>
            </w:pPr>
            <w:r>
              <w:rPr>
                <w:rFonts w:hint="eastAsia"/>
              </w:rPr>
              <w:t>满足拉杆、推力杆产品正常使用的各3套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78" w:after="78" w:line="240" w:lineRule="auto"/>
              <w:jc w:val="center"/>
              <w:rPr>
                <w:rFonts w:ascii="宋体" w:hAnsi="宋体" w:eastAsia="宋体" w:cs="宋体"/>
                <w:sz w:val="24"/>
              </w:rPr>
            </w:pPr>
            <w:r>
              <w:rPr>
                <w:rFonts w:hint="eastAsia" w:ascii="宋体" w:hAnsi="宋体" w:eastAsia="宋体" w:cs="宋体"/>
                <w:sz w:val="24"/>
              </w:rPr>
              <w:t>9</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集线总成</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78" w:after="78" w:line="240" w:lineRule="auto"/>
              <w:jc w:val="center"/>
              <w:rPr>
                <w:rFonts w:ascii="宋体" w:hAnsi="宋体" w:eastAsia="宋体" w:cs="宋体"/>
                <w:sz w:val="24"/>
              </w:rPr>
            </w:pPr>
            <w:r>
              <w:rPr>
                <w:rFonts w:hint="eastAsia" w:ascii="宋体" w:hAnsi="宋体" w:eastAsia="宋体" w:cs="宋体"/>
                <w:sz w:val="24"/>
              </w:rPr>
              <w:t>10</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圆盘锯床</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台</w:t>
            </w:r>
          </w:p>
        </w:tc>
        <w:tc>
          <w:tcPr>
            <w:tcW w:w="2835"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78" w:after="78" w:line="240" w:lineRule="auto"/>
              <w:jc w:val="center"/>
              <w:rPr>
                <w:rFonts w:ascii="宋体" w:hAnsi="宋体" w:eastAsia="宋体" w:cs="宋体"/>
                <w:sz w:val="24"/>
              </w:rPr>
            </w:pPr>
            <w:r>
              <w:rPr>
                <w:rFonts w:hint="eastAsia" w:ascii="宋体" w:hAnsi="宋体" w:eastAsia="宋体" w:cs="宋体"/>
                <w:sz w:val="24"/>
              </w:rPr>
              <w:t>11</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环保设施</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rPr>
                <w:rFonts w:ascii="宋体" w:hAnsi="宋体" w:eastAsia="宋体" w:cs="宋体"/>
                <w:sz w:val="24"/>
                <w:szCs w:val="24"/>
              </w:rPr>
            </w:pPr>
          </w:p>
        </w:tc>
      </w:tr>
    </w:tbl>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3"/>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numPr>
          <w:ilvl w:val="0"/>
          <w:numId w:val="3"/>
        </w:numPr>
        <w:spacing w:line="360" w:lineRule="auto"/>
        <w:ind w:firstLine="480" w:firstLineChars="200"/>
        <w:rPr>
          <w:rFonts w:ascii="宋体" w:hAnsi="宋体" w:eastAsia="宋体" w:cs="宋体"/>
          <w:bCs/>
          <w:sz w:val="24"/>
          <w:szCs w:val="24"/>
        </w:rPr>
      </w:pPr>
      <w:r>
        <w:rPr>
          <w:rFonts w:hint="eastAsia" w:ascii="宋体" w:hAnsi="宋体"/>
          <w:sz w:val="24"/>
          <w:szCs w:val="24"/>
        </w:rPr>
        <w:t>4.招标方只提供所需厂房、货物的砼基础</w:t>
      </w:r>
      <w:r>
        <w:rPr>
          <w:rFonts w:hint="eastAsia" w:ascii="宋体" w:hAnsi="宋体" w:eastAsia="宋体" w:cs="宋体"/>
          <w:bCs/>
          <w:sz w:val="24"/>
          <w:szCs w:val="24"/>
        </w:rPr>
        <w:t>（原则上目前地基基础，基础不含预埋螺栓、螺母及垫片及地脚螺栓预钻孔等）。</w:t>
      </w:r>
    </w:p>
    <w:p>
      <w:pPr>
        <w:numPr>
          <w:ilvl w:val="0"/>
          <w:numId w:val="3"/>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招标方只负责提供符合本技术标书中“采购货物概况”和“使用环境”章节所列明品质的电力、自来水、压缩空气、蒸汽、天然气（或煤气）管线至系统接口（沿部件线厂房靠立柱或墙体配置），厂家负责由系统接头到设备的二次接线工作。如，招标方供电至系统电力接口（动力柜）的接线端，水、气、汽等供至系统联接法兰外端（不含联接所需螺栓等紧固件和其它必需配件）。</w:t>
      </w:r>
    </w:p>
    <w:p>
      <w:pPr>
        <w:spacing w:line="480" w:lineRule="exact"/>
        <w:ind w:firstLine="480" w:firstLineChars="200"/>
        <w:rPr>
          <w:rFonts w:ascii="宋体" w:hAnsi="宋体"/>
          <w:sz w:val="24"/>
          <w:szCs w:val="24"/>
        </w:rPr>
      </w:pPr>
      <w:r>
        <w:rPr>
          <w:rFonts w:hint="eastAsia" w:ascii="宋体" w:hAnsi="宋体"/>
          <w:sz w:val="24"/>
          <w:szCs w:val="24"/>
        </w:rPr>
        <w:t>6.投标方应提供包括货物正常运行所必需的全套连线设备、材料等；如：联接法兰外端面（含联接螺栓）之内的、电气系统接口压线板（插座等）之内的设备、材料等；</w:t>
      </w:r>
    </w:p>
    <w:p>
      <w:pPr>
        <w:spacing w:line="480" w:lineRule="exact"/>
        <w:ind w:firstLine="480" w:firstLineChars="200"/>
        <w:rPr>
          <w:rFonts w:ascii="宋体" w:hAnsi="宋体"/>
          <w:sz w:val="24"/>
          <w:szCs w:val="24"/>
        </w:rPr>
      </w:pPr>
      <w:r>
        <w:rPr>
          <w:rFonts w:hint="eastAsia" w:ascii="宋体" w:hAnsi="宋体"/>
          <w:sz w:val="24"/>
          <w:szCs w:val="24"/>
        </w:rPr>
        <w:t>7. 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pStyle w:val="17"/>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pPr>
        <w:widowControl/>
        <w:jc w:val="left"/>
      </w:pPr>
      <w:r>
        <w:br w:type="page"/>
      </w:r>
    </w:p>
    <w:p>
      <w:pPr>
        <w:keepNext/>
        <w:keepLines/>
        <w:tabs>
          <w:tab w:val="center" w:pos="4535"/>
          <w:tab w:val="left" w:pos="7056"/>
        </w:tabs>
        <w:spacing w:before="120" w:after="120" w:line="480" w:lineRule="exact"/>
        <w:jc w:val="left"/>
        <w:outlineLvl w:val="1"/>
        <w:rPr>
          <w:rFonts w:ascii="宋体" w:hAnsi="宋体" w:eastAsia="宋体" w:cs="宋体"/>
          <w:bCs/>
          <w:kern w:val="44"/>
          <w:sz w:val="24"/>
          <w:szCs w:val="24"/>
        </w:rPr>
      </w:pPr>
      <w:r>
        <w:rPr>
          <w:rFonts w:hint="eastAsia" w:ascii="宋体" w:hAnsi="宋体" w:eastAsia="宋体" w:cs="宋体"/>
          <w:b/>
          <w:bCs/>
          <w:kern w:val="44"/>
          <w:sz w:val="24"/>
          <w:szCs w:val="24"/>
        </w:rPr>
        <w:tab/>
      </w:r>
      <w:r>
        <w:rPr>
          <w:rFonts w:hint="eastAsia" w:ascii="宋体" w:hAnsi="宋体" w:eastAsia="宋体" w:cs="宋体"/>
          <w:b/>
          <w:bCs/>
          <w:kern w:val="44"/>
          <w:sz w:val="24"/>
          <w:szCs w:val="24"/>
        </w:rPr>
        <w:t>第二章  技术要求</w:t>
      </w:r>
      <w:r>
        <w:rPr>
          <w:rFonts w:hint="eastAsia" w:ascii="宋体" w:hAnsi="宋体" w:eastAsia="宋体" w:cs="宋体"/>
          <w:b/>
          <w:bCs/>
          <w:kern w:val="44"/>
          <w:sz w:val="24"/>
          <w:szCs w:val="24"/>
        </w:rPr>
        <w:tab/>
      </w:r>
    </w:p>
    <w:p>
      <w:pPr>
        <w:pStyle w:val="4"/>
        <w:ind w:firstLine="420"/>
        <w:rPr>
          <w:rFonts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1.本章技术要求，仅对功能、设计、结构、性能、安装等方面，提出了最低和一般性的技术要求，并未对一切技术细节作出规定。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4"/>
        <w:ind w:firstLine="420"/>
        <w:rPr>
          <w:rFonts w:ascii="宋体" w:hAnsi="宋体" w:cs="宋体"/>
          <w:b w:val="0"/>
          <w:bCs w:val="0"/>
          <w:sz w:val="24"/>
          <w:szCs w:val="24"/>
        </w:rPr>
      </w:pPr>
      <w:r>
        <w:rPr>
          <w:rFonts w:hint="eastAsia" w:ascii="宋体" w:hAnsi="宋体" w:cs="宋体"/>
          <w:sz w:val="24"/>
          <w:szCs w:val="24"/>
        </w:rPr>
        <w:t>二、基本要求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ascii="宋体" w:hAnsi="宋体" w:eastAsia="宋体" w:cs="宋体"/>
          <w:b/>
          <w:bCs/>
          <w:color w:val="FF0000"/>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rPr>
        <w:t>其中，功率≥7.5KW的电机，应选用1级能效（根据国标计算）。＜7.5KW的电机，能效等级不低于2级</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8.程序图纸要求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供方必须提供所有设备程序的源代码，包括但不限于 PLC程序、HMI 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供方所提供的程序不得设置任何密码、保护等限制手段，PLC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HMI 界面等需要密码保护的程序，供方必须提供所有级别的用户名、密码。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供方需在设备入场前提供设备程序源码，HMI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8.5 供方需在终验收前提供最新的设备程序源码和电气图纸，图纸要求为可编辑原格式（EPLAN、CAD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9.1 供方免费开放所有通讯接口，包括但不限于以太网、</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9.2 供方免费提供数据交互功能，交互数据包括但不限于实时数据、历史数据、报警信息等。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9.3 供方在设备入场前提供接口的技术文档和参数说明，包括但不限于接口协议、通讯速率、数据格式等。</w:t>
      </w:r>
    </w:p>
    <w:p>
      <w:pPr>
        <w:spacing w:line="360" w:lineRule="auto"/>
        <w:ind w:firstLine="480" w:firstLineChars="200"/>
      </w:pPr>
      <w:r>
        <w:rPr>
          <w:rFonts w:hint="eastAsia" w:ascii="宋体" w:hAnsi="宋体" w:eastAsia="宋体" w:cs="Times New Roman"/>
          <w:sz w:val="24"/>
          <w:szCs w:val="24"/>
        </w:rPr>
        <w:t>9.4 设备使用周期内，供方免费派遣技术人员与甲方调试团队共同进行设备通讯接口的调试工作。</w:t>
      </w:r>
    </w:p>
    <w:p>
      <w:pPr>
        <w:pStyle w:val="115"/>
        <w:spacing w:line="360" w:lineRule="auto"/>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1.项目概况：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1.1加工零件：推力杆连接杆、转向拉杆，管材直径兼容φ30-φ95范围；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1.2主要加工内容：管材送料、激光切割下料、齐端面、倒角、打标、下料等；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1.3工件材料：35#、45#、Q345B、Q420C、Q455C等结构用冷拔钢管；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推力杆连接杆、转向拉杆规格（外径*壁厚）：40*6、40*7、42*7、45*6.5、45*7、45*9、48*5、48*6、48*7、50*6、50*7、50*8、50*10、52*7、54*7、54*7.5、56*5、56*7、60*6、60*7、60*8、60*10、60*11、60*14、62*7、65*8、70*10、73*10、75*8.5、76*12、83*12等，管材执行标准《结构用无缝管》，标准号GB/T8162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1.5产能节拍：日产推力杆连接杆约3</w:t>
      </w:r>
      <w:r>
        <w:rPr>
          <w:rFonts w:ascii="宋体" w:hAnsi="宋体" w:eastAsia="宋体" w:cs="Times New Roman"/>
          <w:sz w:val="24"/>
          <w:szCs w:val="24"/>
        </w:rPr>
        <w:t>6</w:t>
      </w:r>
      <w:r>
        <w:rPr>
          <w:rFonts w:hint="eastAsia" w:ascii="宋体" w:hAnsi="宋体" w:eastAsia="宋体" w:cs="Times New Roman"/>
          <w:sz w:val="24"/>
          <w:szCs w:val="24"/>
        </w:rPr>
        <w:t>00根、转向拉杆约2000根合计5</w:t>
      </w:r>
      <w:r>
        <w:rPr>
          <w:rFonts w:ascii="宋体" w:hAnsi="宋体" w:eastAsia="宋体" w:cs="Times New Roman"/>
          <w:sz w:val="24"/>
          <w:szCs w:val="24"/>
        </w:rPr>
        <w:t>6</w:t>
      </w:r>
      <w:r>
        <w:rPr>
          <w:rFonts w:hint="eastAsia" w:ascii="宋体" w:hAnsi="宋体" w:eastAsia="宋体" w:cs="Times New Roman"/>
          <w:sz w:val="24"/>
          <w:szCs w:val="24"/>
        </w:rPr>
        <w:t>00根（按300工作日/年，20小时/日），双线生产，单线节拍</w:t>
      </w:r>
      <w:r>
        <w:rPr>
          <w:rFonts w:hint="eastAsia" w:ascii="宋体" w:hAnsi="宋体" w:eastAsia="宋体" w:cs="Times New Roman"/>
          <w:sz w:val="24"/>
          <w:szCs w:val="24"/>
          <w:u w:val="single"/>
        </w:rPr>
        <w:t>≤25s/根;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1.6来料长度：5m-7m左右，不同规格产品来料长度不同，整捆钢带捆扎来料；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1.7下料长度：200mm-2600mm范围内基于生产计划切换下料长度。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1.8工艺流程：整捆上料（人工）→人工拆包→单根自动上料→激光切割下料→齐端面+倒角（仅推力杆生产时使用）→打码→下料；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1.9整体要求：配备两条配置相同的自动下料生产线，用于产品加工（壁厚≤7mm），包含自动上料、自动切管、自动倒角、齐端面、打标、自动下料码垛等；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1.10关于产线控制，可结合生产实际情况，运行某些设备及工序独立运行及工作；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1.11 每条生产线布置区域：20m（长）×7.5m（宽）×6m（高），单线“一”字型布局；</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1.12 生产线不得出现两生产线共用同一设备的情况；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1.13单独配备一台圆盘锯设备，用于厚壁管材（壁厚≥8mm、外径≤160mm）切割，包含简易料架，下料自然落料，人工统一整理；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1.14工艺要求：①管材的截断工艺采用激光切割工艺；②推力杆连接杆下料两端需内外倒角（倒角大小有C1到C5.5多种尺寸）和齐端面加工，端口无毛刺，转向拉杆无需倒角及齐端面加工；③打码方式，采用划刻方式打码，配备打码机，打码要求不低于33个字符（验收按33个字符，执行验收），字高10mm，打刻深度不低于0.5mm；④下料长度公差要求±0.3。</w:t>
      </w:r>
    </w:p>
    <w:p>
      <w:pPr>
        <w:pStyle w:val="115"/>
        <w:outlineLvl w:val="3"/>
        <w:rPr>
          <w:rFonts w:eastAsia="宋体"/>
          <w:b/>
          <w:bCs w:val="0"/>
          <w:color w:val="000000"/>
          <w:sz w:val="24"/>
          <w:szCs w:val="24"/>
        </w:rPr>
      </w:pPr>
      <w:r>
        <w:rPr>
          <w:rFonts w:hint="eastAsia" w:eastAsia="宋体"/>
          <w:b/>
          <w:bCs w:val="0"/>
          <w:color w:val="000000"/>
          <w:sz w:val="24"/>
          <w:szCs w:val="24"/>
        </w:rPr>
        <w:t>2.上料输送机构</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2.1要求配备两个上料仓相同结构，成镜像相对布置，实现产品换型时，整线不停机；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2.2 上料操作过程：人工将整捆管料吊装至上料仓，人工剪断料带后，由上料机构自动将单根管料输送至激光切割机工位；</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2.3 产品换型时，料仓内余料应集中于料仓外侧叠放，便于人工辅助将上料仓内剩余原材料打包，并吊转至其他区域；</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2.4 上料仓承载能力不低于3t；</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2.5上料工位具备自动识别功能，料空时自动报警提醒；</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2.6上料机工作过程中不得出现对物料明显可见的磕碰伤。</w:t>
      </w:r>
    </w:p>
    <w:p>
      <w:pPr>
        <w:pStyle w:val="115"/>
        <w:outlineLvl w:val="3"/>
        <w:rPr>
          <w:rFonts w:eastAsia="宋体"/>
          <w:b/>
          <w:bCs w:val="0"/>
          <w:color w:val="000000"/>
          <w:sz w:val="24"/>
          <w:szCs w:val="24"/>
        </w:rPr>
      </w:pPr>
      <w:r>
        <w:rPr>
          <w:rFonts w:hint="eastAsia" w:eastAsia="宋体"/>
          <w:b/>
          <w:bCs w:val="0"/>
          <w:color w:val="000000"/>
          <w:sz w:val="24"/>
          <w:szCs w:val="24"/>
        </w:rPr>
        <w:t>3.激光切割机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 本次招标项目实施工艺采用压缩空气辅助激光切割管料切割工艺，但设备具备支持氧气和氮气辅助切割功能，招标方后期结合自身需要使用压缩空气、氧气或氮气进行生产；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 激光切割设备单独配备空压机、过滤器及所需的附属设施（如储气罐、设备基础、遮雨棚等），压缩空气应根据若达到特种设备标准，投标方需提供相关合法合规的资料文件并办理招标方正常使用的手续；其中排水要求使用自动排水阀，自动排水阀外接至招标方就近排污管道井，排水噪音不得大于80分贝（检测距离1米）。</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 激光切割机采用的激光器功率不低于12kW，使用国内知名品牌；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 激光切割机采用数控系统，具备自动套料功能，具备通讯功能，可实现与倒角机、打码机等单元数据传递，原则上系统可存储不低于5000条生产配方；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3.5 激光切割工序节拍需包含激光切割及送料时间，应考虑不同长度管材送料时间对节拍的影响，单下料切割工序节拍不得大于40s/5件（以60*7管料计算）；</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3.6 激光切割设备物料推送装置采用伺服电机驱动控制；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3.7设备尾料剩余长度小于100mm以下；</w:t>
      </w:r>
    </w:p>
    <w:p>
      <w:pPr>
        <w:pStyle w:val="36"/>
        <w:ind w:left="0" w:leftChars="0" w:firstLine="480"/>
      </w:pPr>
      <w:r>
        <w:rPr>
          <w:rFonts w:hint="eastAsia" w:ascii="宋体" w:hAnsi="宋体"/>
          <w:sz w:val="24"/>
          <w:szCs w:val="24"/>
        </w:rPr>
        <w:t>3.8特别说明，投标方应充分考虑压缩空气设备噪音问题，为保证噪音符合项目所在地及厂家的相关标准，若压缩空气设备布置于室内应配备隔音房，隔音房充分考虑其散热降温等设施或结构；若压缩空气设备布置于室外，投标方需提供相应的设备基础及设备放置的遮雨棚，</w:t>
      </w:r>
    </w:p>
    <w:p>
      <w:pPr>
        <w:pStyle w:val="115"/>
        <w:outlineLvl w:val="3"/>
        <w:rPr>
          <w:rFonts w:eastAsia="宋体"/>
          <w:b/>
          <w:bCs w:val="0"/>
          <w:color w:val="000000"/>
          <w:sz w:val="24"/>
          <w:szCs w:val="24"/>
        </w:rPr>
      </w:pPr>
      <w:r>
        <w:rPr>
          <w:rFonts w:hint="eastAsia" w:eastAsia="宋体"/>
          <w:b/>
          <w:bCs w:val="0"/>
          <w:color w:val="000000"/>
          <w:sz w:val="24"/>
          <w:szCs w:val="24"/>
        </w:rPr>
        <w:t>4.物料输送装置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4.1物料输送装置指各工序、设备间物料输送装置；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4.2输送装置应采用辊道式、带式、链条式等输送方式，要求设计模块化、标准化；</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4.3输送装置应根据生产线需求或设置保证物料的在工序间正常周转或实现单个工序间略过功能；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4.4为保证物料正确无误的到多工位的指定工位，可结合实际需要安装长度检测装置对物料进行检测，该检测功能仅用于防错或物料的判断，不作为产品尺寸合格与否的检测评判标准；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4.5长度检测装置要求采用接触式测量，定位夹具通用，不同规格产品无需人工干预调整或更换；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4.6物料装置具备NG料道的功能，当出现系统识别的加工异常产品时，报警灯可视化提示并输送至特殊指定位置，人工干预下线取出。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4.7物料装置具备抽检的功能，如需要对产品出现抽检时，可输送至至特殊指定位置，人工干预下线取出。</w:t>
      </w:r>
    </w:p>
    <w:p>
      <w:pPr>
        <w:pStyle w:val="115"/>
        <w:outlineLvl w:val="3"/>
        <w:rPr>
          <w:rFonts w:eastAsia="宋体"/>
          <w:b/>
          <w:bCs w:val="0"/>
          <w:color w:val="000000"/>
          <w:sz w:val="24"/>
          <w:szCs w:val="24"/>
        </w:rPr>
      </w:pPr>
      <w:r>
        <w:rPr>
          <w:rFonts w:hint="eastAsia" w:eastAsia="宋体"/>
          <w:b/>
          <w:bCs w:val="0"/>
          <w:color w:val="000000"/>
          <w:sz w:val="24"/>
          <w:szCs w:val="24"/>
        </w:rPr>
        <w:t>5.双头倒角机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 采用双头倒角同时加工工艺方式，由双动力动力刀头实现倒角、齐端面的同时加工或单一加工；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5.2 刀盘可自动通过伺服控制调整刀头位置，兼容不同规格管材的倒角需求，产品换型后不需更换刀盘；产品换型后不需要人工介入更换及调整工装、刀具；应覆盖甲方所有产品，倒角要求详见推力杆连接杆倒角明细表。</w:t>
      </w:r>
    </w:p>
    <w:tbl>
      <w:tblPr>
        <w:tblStyle w:val="37"/>
        <w:tblW w:w="8655" w:type="dxa"/>
        <w:tblInd w:w="91" w:type="dxa"/>
        <w:tblLayout w:type="autofit"/>
        <w:tblCellMar>
          <w:top w:w="0" w:type="dxa"/>
          <w:left w:w="108" w:type="dxa"/>
          <w:bottom w:w="0" w:type="dxa"/>
          <w:right w:w="108" w:type="dxa"/>
        </w:tblCellMar>
      </w:tblPr>
      <w:tblGrid>
        <w:gridCol w:w="686"/>
        <w:gridCol w:w="2167"/>
        <w:gridCol w:w="1348"/>
        <w:gridCol w:w="1176"/>
        <w:gridCol w:w="1176"/>
        <w:gridCol w:w="2102"/>
      </w:tblGrid>
      <w:tr>
        <w:tblPrEx>
          <w:tblCellMar>
            <w:top w:w="0" w:type="dxa"/>
            <w:left w:w="108" w:type="dxa"/>
            <w:bottom w:w="0" w:type="dxa"/>
            <w:right w:w="108" w:type="dxa"/>
          </w:tblCellMar>
        </w:tblPrEx>
        <w:trPr>
          <w:trHeight w:val="6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序号</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产品图号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规格（外径*壁厚mm）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内倒角mm(45°)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外倒角mm(45°)</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备注</w:t>
            </w: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AZ9725522030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AZ9725522060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AZ9925521185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AZ9925522181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AZ9114521186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AZ9631521186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AZ9925521190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AZ9925522184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CZ943252117701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CZ972552217401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AZ9925521181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AZ9114521188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AZ9725521186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AZ9725520524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AZ9631526187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AZ9631526287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AZ9725520522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AZ9725527211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AZ9744526197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AZ9750521286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AZ9750521287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CZW95255200004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60*7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AZ992552000804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AZ992552218203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48*6.5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AZ992552227214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YZ952552000161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YZ952552000167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YZ952552000171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TZ972552608002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48*5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AZ972552000068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AZ972552118601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AZ9925520651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5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AZ9919520213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56*5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仅1端倒角，内外倒角同侧</w:t>
            </w:r>
          </w:p>
        </w:tc>
      </w:tr>
      <w:tr>
        <w:tblPrEx>
          <w:tblCellMar>
            <w:top w:w="0" w:type="dxa"/>
            <w:left w:w="108" w:type="dxa"/>
            <w:bottom w:w="0" w:type="dxa"/>
            <w:right w:w="108" w:type="dxa"/>
          </w:tblCellMar>
        </w:tblPrEx>
        <w:trPr>
          <w:trHeight w:val="5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AZ9919520214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56*5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仅1端倒角，内外倒角同侧</w:t>
            </w: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AZ9925521211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56*5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5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AZ9925522213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56*5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仅1端倒角，内外倒角同侧</w:t>
            </w: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AZ9925522233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48*6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AZ9648522286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63*7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CZ000052000013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54*7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无</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AZ9925528120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AZ000052000076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AZ992552100032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YZ952552000173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44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CZ000052000074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52*7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r>
    </w:tbl>
    <w:p>
      <w:pPr>
        <w:pStyle w:val="36"/>
        <w:ind w:firstLine="480"/>
        <w:jc w:val="center"/>
        <w:rPr>
          <w:rFonts w:ascii="华文楷体" w:hAnsi="华文楷体" w:eastAsia="华文楷体" w:cs="华文楷体"/>
        </w:rPr>
      </w:pPr>
      <w:r>
        <w:rPr>
          <w:rFonts w:hint="eastAsia" w:ascii="华文楷体" w:hAnsi="华文楷体" w:eastAsia="华文楷体" w:cs="华文楷体"/>
          <w:color w:val="000000"/>
          <w:sz w:val="24"/>
          <w:szCs w:val="24"/>
        </w:rPr>
        <w:t>连接杆倒角明细表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5.3 倒角、齐端面刀片采用ISO标准规格刀片；</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5.4 V型夹紧工装可兼容不同规格管材，产品换型后不需更换工装；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5.5 要求管材齐端面后，不允许存在毛刺；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5.6 优选倒角设备要求两端夹紧装置与动力刀盘位置固定，通过直线导轨快速位移实现不同长度管材的加工；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5.7刀具更换寿命不低于200件。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5.8齐端面、倒角工序设备主要以兼容推力杆长度为300-800mm生产能力为主。不针对拉杆产品长度提出倒角及齐端面加工要求。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5.9设备具备排屑小推车，以单人工满载正常推动为使用标准，推车使用过程中不得出现铁屑飞出、飞溅、散落等功能。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5.10倒角机功率应该要求加工各产品不超过设备满载功率的80%；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5.11原则上单线倒角机配置不低于2台，并采用镜像相对布置方式；</w:t>
      </w:r>
    </w:p>
    <w:p>
      <w:pPr>
        <w:spacing w:line="360" w:lineRule="auto"/>
        <w:rPr>
          <w:rFonts w:ascii="宋体" w:hAnsi="宋体" w:eastAsia="宋体"/>
          <w:color w:val="000000"/>
          <w:sz w:val="24"/>
          <w:szCs w:val="24"/>
        </w:rPr>
      </w:pP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5.12设备具备存储不低于500条配方的能力，及根据加工产品的型号，可自动匹配相应的加工参数；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5.13 倒角机中若出现液压系统，应充分考虑招标方所提供的设备安装现场的的实际温度，配置油冷机，保证液压系统全年的正常工作；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5.14倒角加工所涉及的刀盘，按要求打刻激光标识，标识内容包含编号、加工管径的规格（φ外径</w:t>
      </w:r>
      <w:r>
        <w:rPr>
          <w:rFonts w:ascii="宋体" w:hAnsi="宋体" w:eastAsia="宋体" w:cs="Times New Roman"/>
          <w:sz w:val="24"/>
          <w:szCs w:val="24"/>
        </w:rPr>
        <w:t>×</w:t>
      </w:r>
      <w:r>
        <w:rPr>
          <w:rFonts w:hint="eastAsia" w:ascii="宋体" w:hAnsi="宋体" w:eastAsia="宋体" w:cs="Times New Roman"/>
          <w:sz w:val="24"/>
          <w:szCs w:val="24"/>
        </w:rPr>
        <w:t>壁厚）、内倒角尺寸、外倒角尺寸；如刀盘通用标识内容包含编号、加工管径的规格范围（最小φ外径</w:t>
      </w:r>
      <w:r>
        <w:rPr>
          <w:rFonts w:ascii="宋体" w:hAnsi="宋体" w:eastAsia="宋体" w:cs="Times New Roman"/>
          <w:sz w:val="24"/>
          <w:szCs w:val="24"/>
        </w:rPr>
        <w:t>×</w:t>
      </w:r>
      <w:r>
        <w:rPr>
          <w:rFonts w:hint="eastAsia" w:ascii="宋体" w:hAnsi="宋体" w:eastAsia="宋体" w:cs="Times New Roman"/>
          <w:sz w:val="24"/>
          <w:szCs w:val="24"/>
        </w:rPr>
        <w:t>壁厚-最大φ外径</w:t>
      </w:r>
      <w:r>
        <w:rPr>
          <w:rFonts w:ascii="宋体" w:hAnsi="宋体" w:eastAsia="宋体" w:cs="Times New Roman"/>
          <w:sz w:val="24"/>
          <w:szCs w:val="24"/>
        </w:rPr>
        <w:t>×</w:t>
      </w:r>
      <w:r>
        <w:rPr>
          <w:rFonts w:hint="eastAsia" w:ascii="宋体" w:hAnsi="宋体" w:eastAsia="宋体" w:cs="Times New Roman"/>
          <w:sz w:val="24"/>
          <w:szCs w:val="24"/>
        </w:rPr>
        <w:t>壁厚）、内倒角尺寸范围、外倒角尺寸范围。</w:t>
      </w:r>
    </w:p>
    <w:p>
      <w:pPr>
        <w:pStyle w:val="115"/>
        <w:outlineLvl w:val="3"/>
        <w:rPr>
          <w:rFonts w:eastAsia="宋体"/>
          <w:b/>
          <w:bCs w:val="0"/>
          <w:color w:val="000000"/>
          <w:sz w:val="24"/>
          <w:szCs w:val="24"/>
        </w:rPr>
      </w:pPr>
      <w:r>
        <w:rPr>
          <w:rFonts w:hint="eastAsia" w:eastAsia="宋体"/>
          <w:b/>
          <w:bCs w:val="0"/>
          <w:color w:val="000000"/>
          <w:sz w:val="24"/>
          <w:szCs w:val="24"/>
        </w:rPr>
        <w:t>6.划刻式气动打标机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6.1标识打刻方式采用划刻的打印方式。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6.2打刻位置管材中间位置，单行打刻；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6.3打刻内容仅为数值、字母、字符，不考虑二维码的打刻，打印内容包含产品图号、厂家代号、生产日期、流水号等，其中若涉及日期，自动适配适时日期，若涉及流水号，自动追加；</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如：CZ000052000066 62600 202501 430013 VZ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6.4打刻内容分模块方式进行设置，各模块可独立设置；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6.5打刻机具备打刻二维图形的功能，其中二维图形支持AutoCAD2016版本以下输出文件格式；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6.6.打刻内容要求喷漆或喷粉（最大涂层厚度100微米）后肉眼可识别；</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6.7打标头使用寿命不低于10000件；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6.8打标机附带定位工装，对打标位置进行定位，可有效防止工件打标时晃动；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6.7打标机夹具为各产品通用定位工装，打刻不同规格、长度产品不得进行夹具的人工更换和调整；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6.8原则上打码机与倒角机采用不低于2:1的配置。</w:t>
      </w:r>
    </w:p>
    <w:p>
      <w:pPr>
        <w:pStyle w:val="115"/>
        <w:outlineLvl w:val="3"/>
        <w:rPr>
          <w:rFonts w:eastAsia="宋体"/>
          <w:b/>
          <w:bCs w:val="0"/>
          <w:color w:val="000000"/>
          <w:sz w:val="24"/>
          <w:szCs w:val="24"/>
        </w:rPr>
      </w:pPr>
      <w:r>
        <w:rPr>
          <w:rFonts w:hint="eastAsia" w:eastAsia="宋体"/>
          <w:b/>
          <w:bCs w:val="0"/>
          <w:color w:val="000000"/>
          <w:sz w:val="24"/>
          <w:szCs w:val="24"/>
        </w:rPr>
        <w:t>7.机器人下料系统</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7.1机械手类型不做强制要求，可以选择六轴机械手臂、桁架机械手等方式，以满足功能性要求和生产节拍为准；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7.2单次取件数量不低于一次2件；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自动生产线自动下料码垛，下料工位器具为本标中所提到的工位器具，中间不得进行二次倒料，工位器具的更换或取放通过人工操作方式（具体方式采用人工操作电动搬运车进行交互），其中投标方配置承载量不低于2t的电动搬运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推力杆管材生产时，每个下料点工位一用一备，实现空满置换，在生产正常情况（设备不停机生产）下，同一图号的产品摆放于同一工位；拉杆产品生产时，工位三用一备，同一管径规格管材必须码放在同一料筐内，原则上同一筐仅为统一长度拉杆，但在生产数量少的情况下，可出现不同长度管材在同一工位器具内混放；</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7.5机械手臂类型若采用六轴机器人，品牌为ABB、库卡、发那科中的品牌。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7.6机器人夹爪选用雄克公司产品或相同档次品牌，气动元件选用SMC或费斯托公司产品。</w:t>
      </w:r>
    </w:p>
    <w:p>
      <w:pPr>
        <w:pStyle w:val="115"/>
        <w:outlineLvl w:val="3"/>
        <w:rPr>
          <w:rFonts w:eastAsia="宋体"/>
          <w:b/>
          <w:bCs w:val="0"/>
          <w:color w:val="000000"/>
          <w:sz w:val="24"/>
          <w:szCs w:val="24"/>
        </w:rPr>
      </w:pPr>
      <w:r>
        <w:rPr>
          <w:rFonts w:hint="eastAsia" w:eastAsia="宋体"/>
          <w:b/>
          <w:bCs w:val="0"/>
          <w:color w:val="000000"/>
          <w:sz w:val="24"/>
          <w:szCs w:val="24"/>
        </w:rPr>
        <w:t>8.集线总成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8.1单线配备独立的产线MES，对重点信息进行输入和显示以及数据采集、数据存储、数据查询；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8.2单线现场配置独立显示屏1套（尺寸不低于75寸），悬挂于线首位置，实现设备状态、物料状态、在制品、故障信息实时显示；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8.3在人机交互界面上，为保证运行可靠，上料准确，可直观的对各种生产参数进行监控；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8.4线体出现异常时，系统能够提供故障信息并自动诊断，保证系统安全；能够报警提示维修计划及信息；</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8.5生产信息应由某一特定的设备进行输入，同步下发至各工序工位的设备，不得每台设备独立输入，相关设备参数及控制应在各工序工位设备上独立输入设置；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8.6各生产信息及相关参数，一次输入后自动存储，具备自动调用的功能；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8.7产线具备自动套料的功能，要求包含但不限于以节省余料的方式进行生产，如操作人员以指定的Office Excel 文件或其它通用文件格式导入生产排产计划，自动测算生产过程以保证余料最少，并知道产线进行生产作业；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8.8在以节省余料方式组织生产时，设备具备可设置同一批规格管材生产种类数量的限制。</w:t>
      </w:r>
    </w:p>
    <w:p>
      <w:pPr>
        <w:pStyle w:val="115"/>
        <w:outlineLvl w:val="3"/>
        <w:rPr>
          <w:rFonts w:eastAsia="宋体"/>
          <w:color w:val="000000"/>
          <w:sz w:val="24"/>
          <w:szCs w:val="24"/>
        </w:rPr>
      </w:pPr>
      <w:r>
        <w:rPr>
          <w:rFonts w:hint="eastAsia" w:eastAsia="宋体"/>
          <w:b/>
          <w:bCs w:val="0"/>
          <w:color w:val="000000"/>
          <w:sz w:val="24"/>
          <w:szCs w:val="24"/>
        </w:rPr>
        <w:t>9.工位器具</w:t>
      </w:r>
    </w:p>
    <w:p>
      <w:pPr>
        <w:spacing w:line="360" w:lineRule="auto"/>
        <w:ind w:firstLine="480" w:firstLineChars="200"/>
        <w:rPr>
          <w:rFonts w:ascii="宋体" w:hAnsi="宋体" w:eastAsia="宋体" w:cs="Times New Roman"/>
          <w:sz w:val="24"/>
          <w:szCs w:val="24"/>
        </w:rPr>
      </w:pPr>
      <w:bookmarkStart w:id="32" w:name="_Hlk132112785"/>
      <w:r>
        <w:rPr>
          <w:rFonts w:hint="eastAsia" w:ascii="宋体" w:hAnsi="宋体" w:eastAsia="宋体" w:cs="Times New Roman"/>
          <w:sz w:val="24"/>
          <w:szCs w:val="24"/>
        </w:rPr>
        <w:t>9.1工位器具结构机各技术要求执行《工位器具</w:t>
      </w:r>
      <w:r>
        <w:rPr>
          <w:rFonts w:ascii="宋体" w:hAnsi="宋体" w:eastAsia="宋体" w:cs="Times New Roman"/>
          <w:sz w:val="24"/>
          <w:szCs w:val="24"/>
        </w:rPr>
        <w:t>技术规范</w:t>
      </w:r>
      <w:r>
        <w:rPr>
          <w:rFonts w:hint="eastAsia" w:ascii="宋体" w:hAnsi="宋体" w:eastAsia="宋体" w:cs="Times New Roman"/>
          <w:sz w:val="24"/>
          <w:szCs w:val="24"/>
        </w:rPr>
        <w:t>》，标准号Q/ZZ 30078-2020；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9.2管材容量以满放容量为准的原则，其中务必达到推力杆容量不低于340件（管材外径≤60），拉杆管材容量不低于100件（管材外径≤54）；</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9.3工位器具应具备电动搬运车、叉车、吊装搬运的必要结构，如护铲、吊钩等。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9.4工位器具应具备可叠放的相关结构，如堆垛脚等，其中不管何种叠放结构都应有防止地面划伤的护具；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9.5工位器具颜色、标识必须按照《工位器具</w:t>
      </w:r>
      <w:r>
        <w:rPr>
          <w:rFonts w:ascii="宋体" w:hAnsi="宋体" w:eastAsia="宋体" w:cs="Times New Roman"/>
          <w:sz w:val="24"/>
          <w:szCs w:val="24"/>
        </w:rPr>
        <w:t>技术规范</w:t>
      </w:r>
      <w:r>
        <w:rPr>
          <w:rFonts w:hint="eastAsia" w:ascii="宋体" w:hAnsi="宋体" w:eastAsia="宋体" w:cs="Times New Roman"/>
          <w:sz w:val="24"/>
          <w:szCs w:val="24"/>
        </w:rPr>
        <w:t>》执行；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9.6关于工位器具数量的说明，投标方提供相应3套样品实物及准确图纸，其中推力杆产品，两条产线都具备生产推力杆产品的能力，且存在同时段两条生产线同时生产的情况，每条产线如需要两个下料口，每个下料口工位器具摆放两件（一备一用），同时一件工位器具用于置换，故推力杆产品的工位器具总数：产线数量*下料口数*套数=2*2*3=12件（3套）；拉杆产品与推力杆产品工位器具数相同。若投标方中每条产线下料口高于2个下料口，则需相应等比例增加工位器具数量。</w:t>
      </w:r>
    </w:p>
    <w:p>
      <w:pPr>
        <w:pStyle w:val="115"/>
        <w:outlineLvl w:val="3"/>
        <w:rPr>
          <w:rFonts w:eastAsia="宋体"/>
          <w:b/>
          <w:bCs w:val="0"/>
          <w:color w:val="000000"/>
          <w:sz w:val="24"/>
          <w:szCs w:val="24"/>
        </w:rPr>
      </w:pPr>
      <w:r>
        <w:rPr>
          <w:rFonts w:hint="eastAsia" w:eastAsia="宋体"/>
          <w:b/>
          <w:bCs w:val="0"/>
          <w:color w:val="000000"/>
          <w:sz w:val="24"/>
          <w:szCs w:val="24"/>
        </w:rPr>
        <w:t>10.围栏等安全防护设施</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10.1安全围栏原则上将整线封闭（不含上下料处留取工位器具或物料取放口）在内并可以确保主机区传输、转运、维修全部工作过程中不伤及人或损坏设备。</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10.2安全围栏高度不低于1.8m，底部离地缝隙不高于18cm;</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10.3安全围栏上装有安全门，并配有安全门锁，如有设备故障或异常情况可按下门操作站上的请求开门按钮打开安全门，处理现场情况。门操作由总控</w:t>
      </w:r>
      <w:r>
        <w:rPr>
          <w:rFonts w:ascii="宋体" w:hAnsi="宋体" w:eastAsia="宋体"/>
          <w:color w:val="000000"/>
          <w:sz w:val="24"/>
          <w:szCs w:val="24"/>
        </w:rPr>
        <w:t xml:space="preserve">PLC </w:t>
      </w:r>
      <w:r>
        <w:rPr>
          <w:rFonts w:hint="eastAsia" w:ascii="宋体" w:hAnsi="宋体" w:eastAsia="宋体"/>
          <w:color w:val="000000"/>
          <w:sz w:val="24"/>
          <w:szCs w:val="24"/>
        </w:rPr>
        <w:t>和安全</w:t>
      </w:r>
      <w:r>
        <w:rPr>
          <w:rFonts w:ascii="宋体" w:hAnsi="宋体" w:eastAsia="宋体"/>
          <w:color w:val="000000"/>
          <w:sz w:val="24"/>
          <w:szCs w:val="24"/>
        </w:rPr>
        <w:t xml:space="preserve">PLC </w:t>
      </w:r>
      <w:r>
        <w:rPr>
          <w:rFonts w:hint="eastAsia" w:ascii="宋体" w:hAnsi="宋体" w:eastAsia="宋体"/>
          <w:color w:val="000000"/>
          <w:sz w:val="24"/>
          <w:szCs w:val="24"/>
        </w:rPr>
        <w:t>控制和监控，确保现场人员的安全；</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10.4设备面板或操作区域，如激光切割机、双头倒角机操控面板前等要求增加防滑踏板；</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10.5若电缆、线管等装置原则上不得沿地面铺设，若无法调整，需增加黄黑色硬质绝缘盖板；</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10.6其中关于线槽铺设要求风水电气油管道分开布置，其中动力电缆与信号电缆分开布置。</w:t>
      </w:r>
    </w:p>
    <w:p>
      <w:pPr>
        <w:pStyle w:val="115"/>
        <w:outlineLvl w:val="3"/>
        <w:rPr>
          <w:rFonts w:eastAsia="宋体"/>
          <w:b/>
          <w:bCs w:val="0"/>
          <w:color w:val="000000"/>
          <w:sz w:val="24"/>
          <w:szCs w:val="24"/>
        </w:rPr>
      </w:pPr>
      <w:r>
        <w:rPr>
          <w:rFonts w:hint="eastAsia" w:eastAsia="宋体"/>
          <w:b/>
          <w:bCs w:val="0"/>
          <w:color w:val="000000"/>
          <w:sz w:val="24"/>
          <w:szCs w:val="24"/>
        </w:rPr>
        <w:t>11.圆盘锯床</w:t>
      </w:r>
    </w:p>
    <w:p>
      <w:pPr>
        <w:spacing w:line="360" w:lineRule="auto"/>
        <w:ind w:firstLine="480" w:firstLineChars="200"/>
        <w:rPr>
          <w:rFonts w:ascii="宋体" w:hAnsi="宋体" w:eastAsia="宋体"/>
          <w:color w:val="000000"/>
          <w:sz w:val="24"/>
          <w:szCs w:val="24"/>
        </w:rPr>
      </w:pPr>
      <w:bookmarkStart w:id="33" w:name="_Hlk178507248"/>
      <w:r>
        <w:rPr>
          <w:rFonts w:hint="eastAsia" w:ascii="宋体" w:hAnsi="宋体" w:eastAsia="宋体"/>
          <w:color w:val="000000"/>
          <w:sz w:val="24"/>
          <w:szCs w:val="24"/>
        </w:rPr>
        <w:t>11.1圆盘锯床布置于产线之外，设备具有封闭式的防护罩及安全锁；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11.2设备匹配简易料架，用于实现对圆盘锯床物料的支承功能，料架采用型材焊接，可用于对长度小于等于6米并大于0.3米的管材的支承，为便于人工推送管料，可采用V型滚轮支承；</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11.4设备采用V型块的定位方式，具备液压自动夹紧的功能；</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11.5设备配置相关的排屑小推车，以单人工满载正常推动为使用标准，优选与双头倒角机推车排屑车相同；</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11.6设备操控面板前配置防滑脚踏；</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11.7生产节拍≤20s/件（规格直径*壁厚：83*12）；</w:t>
      </w:r>
    </w:p>
    <w:p>
      <w:pPr>
        <w:pStyle w:val="115"/>
        <w:outlineLvl w:val="3"/>
        <w:rPr>
          <w:rFonts w:eastAsia="宋体"/>
          <w:b/>
          <w:bCs w:val="0"/>
          <w:color w:val="000000"/>
          <w:sz w:val="24"/>
          <w:szCs w:val="24"/>
        </w:rPr>
      </w:pPr>
      <w:r>
        <w:rPr>
          <w:rFonts w:hint="eastAsia" w:eastAsia="宋体"/>
          <w:b/>
          <w:bCs w:val="0"/>
          <w:color w:val="000000"/>
          <w:sz w:val="24"/>
          <w:szCs w:val="24"/>
        </w:rPr>
        <w:t>12.</w:t>
      </w:r>
      <w:r>
        <w:rPr>
          <w:rFonts w:eastAsia="宋体"/>
          <w:b/>
          <w:bCs w:val="0"/>
          <w:color w:val="000000"/>
          <w:sz w:val="24"/>
          <w:szCs w:val="24"/>
        </w:rPr>
        <w:t xml:space="preserve"> </w:t>
      </w:r>
      <w:r>
        <w:rPr>
          <w:rFonts w:hint="eastAsia" w:eastAsia="宋体"/>
          <w:b/>
          <w:bCs w:val="0"/>
          <w:color w:val="000000"/>
          <w:sz w:val="24"/>
          <w:szCs w:val="24"/>
        </w:rPr>
        <w:t>设备场地施工要求</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12.1投标方需对项目实施场地进行考察，依据实施场地现场情况，结合自身设备特性，对设备实施场地进行布局，并出具布局图等。</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12.2项目施工期间，投标方需要执行并遵守招标方各方面的管理规范和要求。</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12.3若进行土建类施工内容，施工期间务必设置不低于1.8米瓦楞板进行围挡。</w:t>
      </w:r>
    </w:p>
    <w:p>
      <w:pPr>
        <w:pStyle w:val="115"/>
        <w:outlineLvl w:val="3"/>
        <w:rPr>
          <w:rFonts w:eastAsia="宋体"/>
          <w:b/>
          <w:color w:val="000000"/>
          <w:sz w:val="24"/>
          <w:szCs w:val="24"/>
        </w:rPr>
      </w:pPr>
      <w:r>
        <w:rPr>
          <w:rFonts w:hint="eastAsia" w:eastAsia="宋体"/>
          <w:b/>
          <w:bCs w:val="0"/>
          <w:color w:val="000000"/>
          <w:sz w:val="24"/>
          <w:szCs w:val="24"/>
        </w:rPr>
        <w:t>13.</w:t>
      </w:r>
      <w:r>
        <w:rPr>
          <w:rFonts w:hint="eastAsia" w:eastAsia="宋体"/>
          <w:b/>
          <w:color w:val="000000"/>
          <w:sz w:val="24"/>
          <w:szCs w:val="24"/>
        </w:rPr>
        <w:t>配件、备件及耗材。</w:t>
      </w:r>
    </w:p>
    <w:p>
      <w:pPr>
        <w:spacing w:line="360" w:lineRule="auto"/>
        <w:ind w:firstLine="480" w:firstLineChars="200"/>
        <w:rPr>
          <w:rFonts w:ascii="宋体" w:hAnsi="宋体" w:eastAsia="宋体"/>
          <w:color w:val="000000"/>
          <w:sz w:val="24"/>
          <w:szCs w:val="24"/>
        </w:rPr>
      </w:pPr>
      <w:bookmarkStart w:id="34" w:name="_Hlk178581072"/>
      <w:r>
        <w:rPr>
          <w:rFonts w:hint="eastAsia" w:ascii="宋体" w:hAnsi="宋体" w:eastAsia="宋体"/>
          <w:color w:val="000000"/>
          <w:sz w:val="24"/>
          <w:szCs w:val="24"/>
        </w:rPr>
        <w:t>13.1激光切割设备提供不低于正常使用周期1年的设备用备件及耗材；</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13.2圆盘锯床、倒角机用刀具、刀片、刀盘等；打标机使用打标针等耗材提供不低于使用周期1个月的数量，其中数量S具体折算标准：S≥30*Z/s</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注：Z 以正常的生产节拍下每天20个小时正常生产总数理论值，</w:t>
      </w:r>
    </w:p>
    <w:p>
      <w:pPr>
        <w:spacing w:line="360" w:lineRule="auto"/>
        <w:ind w:firstLine="960" w:firstLineChars="400"/>
        <w:rPr>
          <w:rFonts w:ascii="宋体" w:hAnsi="宋体" w:eastAsia="宋体"/>
          <w:color w:val="000000"/>
          <w:sz w:val="24"/>
          <w:szCs w:val="24"/>
        </w:rPr>
      </w:pPr>
      <w:r>
        <w:rPr>
          <w:rFonts w:hint="eastAsia" w:ascii="宋体" w:hAnsi="宋体" w:eastAsia="宋体"/>
          <w:color w:val="000000"/>
          <w:sz w:val="24"/>
          <w:szCs w:val="24"/>
        </w:rPr>
        <w:t>s各种刀具类、打标针单件使用寿命；</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13.3环保设施提供使用周期不低于半年的耗材；</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13.4 其它易损件或耗材提供不低于使用周期3个月的数量；</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13.5 使用周期从终验收完成之日起进行计算。</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13.6质保期内提供至少一次维修保养服务。</w:t>
      </w:r>
    </w:p>
    <w:bookmarkEnd w:id="33"/>
    <w:bookmarkEnd w:id="34"/>
    <w:p>
      <w:pPr>
        <w:pStyle w:val="115"/>
        <w:outlineLvl w:val="3"/>
        <w:rPr>
          <w:rFonts w:eastAsia="宋体"/>
          <w:b/>
          <w:bCs w:val="0"/>
          <w:color w:val="000000"/>
          <w:sz w:val="24"/>
          <w:szCs w:val="24"/>
        </w:rPr>
      </w:pPr>
      <w:bookmarkStart w:id="35" w:name="_Hlk178507286"/>
      <w:r>
        <w:rPr>
          <w:rFonts w:hint="eastAsia" w:eastAsia="宋体"/>
          <w:b/>
          <w:bCs w:val="0"/>
          <w:color w:val="000000"/>
          <w:sz w:val="24"/>
          <w:szCs w:val="24"/>
        </w:rPr>
        <w:t>14.主要设备、零部件、元器件、耗材的选用和配置要求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14.1 投标方推荐、提供详细的选用配置表。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14.2 所有原件和管线必须有标识，走管、走线应整洁、规范，维修方便。</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14.3 投标方需针对技术要求中所有设备的耗材及易损配件提供详细的清单及价目明细。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14.4 PLC及触摸屏或数控系统要求选用西门子品牌；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14.5 投标方所提供的各元器件、刀具、耗材、设备备件等外购件不可生产厂家停用、停产产品，或已知计划停用、停产产品；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14.6投标文件中关键配置，罗列品牌、重点参数，包括但不限于，关键电器元件，床身、导轨、电机、激光切割器、切割精度、倒角机加工精度传感器等。</w:t>
      </w:r>
    </w:p>
    <w:p>
      <w:pPr>
        <w:pStyle w:val="115"/>
        <w:outlineLvl w:val="3"/>
        <w:rPr>
          <w:rFonts w:eastAsia="宋体"/>
          <w:b/>
          <w:bCs w:val="0"/>
          <w:color w:val="000000"/>
          <w:sz w:val="24"/>
          <w:szCs w:val="24"/>
        </w:rPr>
      </w:pPr>
      <w:r>
        <w:rPr>
          <w:rFonts w:hint="eastAsia" w:eastAsia="宋体"/>
          <w:b/>
          <w:bCs w:val="0"/>
          <w:color w:val="000000"/>
          <w:sz w:val="24"/>
          <w:szCs w:val="24"/>
        </w:rPr>
        <w:t>15.自动化、数控化以及仪器仪表要求</w:t>
      </w:r>
    </w:p>
    <w:p>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pPr>
        <w:pStyle w:val="115"/>
        <w:outlineLvl w:val="3"/>
        <w:rPr>
          <w:rFonts w:eastAsia="宋体"/>
          <w:b/>
          <w:bCs w:val="0"/>
          <w:color w:val="000000"/>
          <w:sz w:val="24"/>
          <w:szCs w:val="24"/>
        </w:rPr>
      </w:pPr>
      <w:r>
        <w:rPr>
          <w:rFonts w:hint="eastAsia" w:eastAsia="宋体"/>
          <w:b/>
          <w:bCs w:val="0"/>
          <w:color w:val="000000"/>
          <w:sz w:val="24"/>
          <w:szCs w:val="24"/>
        </w:rPr>
        <w:t>16.材料选用及其材料处理要求。</w:t>
      </w:r>
    </w:p>
    <w:p>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pPr>
        <w:pStyle w:val="115"/>
        <w:outlineLvl w:val="3"/>
        <w:rPr>
          <w:rFonts w:eastAsia="宋体"/>
          <w:b/>
          <w:bCs w:val="0"/>
          <w:color w:val="000000"/>
          <w:sz w:val="24"/>
          <w:szCs w:val="24"/>
        </w:rPr>
      </w:pPr>
      <w:r>
        <w:rPr>
          <w:rFonts w:hint="eastAsia" w:eastAsia="宋体"/>
          <w:b/>
          <w:bCs w:val="0"/>
          <w:color w:val="000000"/>
          <w:sz w:val="24"/>
          <w:szCs w:val="24"/>
        </w:rPr>
        <w:t>17.环保设施、安全防护、节能要求。需符合中国有关标准要求。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17.1各设备、装置均应符合中国有关标准要求。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17.2其中要求投标方负责必须配备独立的激光切割器、倒角机设备环保设备的配置，确保设备运行时满足国家及当地最新环保标准。设备产生的烟雾或油雾等危废物需经由相应收集净化设备处理，危废物处理后可满足包含但不限于第4项中明细表中所列的各个排放标准。</w:t>
      </w:r>
    </w:p>
    <w:p>
      <w:pPr>
        <w:pStyle w:val="115"/>
        <w:ind w:firstLine="482" w:firstLineChars="200"/>
        <w:outlineLvl w:val="3"/>
        <w:rPr>
          <w:rFonts w:eastAsia="宋体"/>
          <w:b/>
          <w:bCs w:val="0"/>
          <w:color w:val="000000"/>
          <w:sz w:val="24"/>
          <w:szCs w:val="24"/>
        </w:rPr>
      </w:pPr>
      <w:r>
        <w:rPr>
          <w:rFonts w:hint="eastAsia" w:eastAsia="宋体"/>
          <w:b/>
          <w:bCs w:val="0"/>
          <w:color w:val="000000"/>
          <w:sz w:val="24"/>
          <w:szCs w:val="24"/>
        </w:rPr>
        <w:t>特别说明：原则上所有转动的部件及组件必须有相应的防护或遮蔽，即对存在高速转动飞出的潜在危险，必须进行有效的物理隔离。</w:t>
      </w:r>
    </w:p>
    <w:p>
      <w:pPr>
        <w:pStyle w:val="115"/>
        <w:outlineLvl w:val="3"/>
        <w:rPr>
          <w:rFonts w:eastAsia="宋体"/>
          <w:b/>
          <w:bCs w:val="0"/>
          <w:color w:val="000000"/>
          <w:sz w:val="24"/>
          <w:szCs w:val="24"/>
        </w:rPr>
      </w:pPr>
      <w:r>
        <w:rPr>
          <w:rFonts w:hint="eastAsia" w:eastAsia="宋体"/>
          <w:b/>
          <w:bCs w:val="0"/>
          <w:color w:val="000000"/>
          <w:sz w:val="24"/>
          <w:szCs w:val="24"/>
        </w:rPr>
        <w:t>18.</w:t>
      </w:r>
      <w:r>
        <w:rPr>
          <w:rFonts w:eastAsia="宋体"/>
          <w:b/>
          <w:bCs w:val="0"/>
          <w:color w:val="000000"/>
          <w:sz w:val="24"/>
          <w:szCs w:val="24"/>
        </w:rPr>
        <w:t xml:space="preserve"> </w:t>
      </w:r>
      <w:r>
        <w:rPr>
          <w:rFonts w:hint="eastAsia" w:eastAsia="宋体"/>
          <w:b/>
          <w:bCs w:val="0"/>
          <w:color w:val="000000"/>
          <w:sz w:val="24"/>
          <w:szCs w:val="24"/>
        </w:rPr>
        <w:t>培训</w:t>
      </w:r>
    </w:p>
    <w:p>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设备调试完成后，投标方需提供为期15天的设备使用、操作、维护保养、基本振动测试知识方面的培训，确保招标方设备使用人员达到独立操作、维护、进行相关试验的目标。</w:t>
      </w:r>
    </w:p>
    <w:bookmarkEnd w:id="35"/>
    <w:p>
      <w:pPr>
        <w:pStyle w:val="115"/>
        <w:outlineLvl w:val="3"/>
        <w:rPr>
          <w:rFonts w:eastAsia="宋体"/>
          <w:b/>
          <w:bCs w:val="0"/>
          <w:color w:val="000000"/>
          <w:sz w:val="24"/>
          <w:szCs w:val="24"/>
        </w:rPr>
      </w:pPr>
      <w:r>
        <w:rPr>
          <w:rFonts w:hint="eastAsia" w:eastAsia="宋体"/>
          <w:b/>
          <w:bCs w:val="0"/>
          <w:color w:val="000000"/>
          <w:sz w:val="24"/>
          <w:szCs w:val="24"/>
        </w:rPr>
        <w:t>19.</w:t>
      </w:r>
      <w:r>
        <w:rPr>
          <w:rFonts w:eastAsia="宋体"/>
          <w:b/>
          <w:bCs w:val="0"/>
          <w:color w:val="000000"/>
          <w:sz w:val="24"/>
          <w:szCs w:val="24"/>
        </w:rPr>
        <w:t xml:space="preserve"> </w:t>
      </w:r>
      <w:r>
        <w:rPr>
          <w:rFonts w:hint="eastAsia" w:eastAsia="宋体" w:cstheme="minorBidi"/>
          <w:b/>
          <w:bCs w:val="0"/>
          <w:color w:val="000000"/>
          <w:sz w:val="24"/>
          <w:szCs w:val="24"/>
        </w:rPr>
        <w:t>其他要求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19.1供方提供的设备及其所含测量原件（计量器具，若涉及）必须经过市级及以上国家法定计量检定部门检定/校准，并出具检定/校准证书，所需费用由供方承担。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19.2投标方需提供所有设备中文及英文版完整技术资料，技术资料需包含技术规格和指标、接口协议、安全操作规程、作业指导书、部件型号和参数清单、操作使用说明、安装技术要求、注意事项、维护维修和故障处理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19.3设备的运输、移动、就位、拆装，货物的搬运等均由卖家承担，买家提供必要的便利性协助。</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19.4需要提供详细的测试软件及测试硬件的中文使用说明。</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19.5设备需易于保养、维修，相关易损件容易更换。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19.6设备的材料具有防腐、防锈处理。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19.7本项目属交钥匙工程。招标方仅提供电气接口、冷却水接口、自来水接口、压缩空气接口、实施场地等协助工作，设备的运输、搬运、安置就位、电气接线等相关工作均由投标方提供完成，如有争议，解释权归招标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19.8投标方需针对技术要求中设备的耗材及易损配件提供详细的清单及价目明细。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19.9投标方需提供易损件及更换工装、刀杆、刀盘等准确的图纸。</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19.10投标方所交付的设备、软件等一切标的物，不得出现类似密钥输入的弹出窗口等交付后需要进行由投标方给相关信息才可开启设备正常使用情况。</w:t>
      </w:r>
    </w:p>
    <w:p>
      <w:pPr>
        <w:spacing w:line="420" w:lineRule="exact"/>
        <w:rPr>
          <w:rFonts w:ascii="宋体" w:hAnsi="宋体" w:eastAsia="宋体" w:cs="Times New Roman"/>
          <w:sz w:val="24"/>
          <w:szCs w:val="24"/>
        </w:rPr>
      </w:pPr>
    </w:p>
    <w:bookmarkEnd w:id="32"/>
    <w:p>
      <w:pPr>
        <w:pStyle w:val="4"/>
        <w:rPr>
          <w:rFonts w:ascii="宋体" w:hAnsi="宋体" w:cs="宋体"/>
          <w:b w:val="0"/>
          <w:bCs w:val="0"/>
          <w:sz w:val="24"/>
          <w:szCs w:val="24"/>
        </w:rPr>
      </w:pPr>
      <w:r>
        <w:rPr>
          <w:rFonts w:hint="eastAsia" w:ascii="宋体" w:hAnsi="宋体" w:cs="宋体"/>
          <w:sz w:val="24"/>
          <w:szCs w:val="24"/>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2.投标人需要执行的标准，应当采用所供货物通过招标方组织的最终验收之日已经开始执行的最新标准。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4.采购货物没有国家或专业（部）标准的，按企业标准执行时，卖方应在合同签署之前，将所涉及的企业标准提供给招标方确认。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Times New Roman" w:hAnsi="Times New Roman" w:eastAsia="宋体" w:cs="Times New Roman"/>
          <w:szCs w:val="20"/>
        </w:rPr>
      </w:pPr>
      <w:r>
        <w:rPr>
          <w:rFonts w:hint="eastAsia" w:ascii="宋体" w:hAnsi="宋体" w:eastAsia="宋体" w:cs="宋体"/>
          <w:sz w:val="24"/>
          <w:szCs w:val="24"/>
        </w:rPr>
        <w:t>7.涉及的主要标准表</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4455"/>
        <w:gridCol w:w="2093"/>
        <w:gridCol w:w="1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360" w:lineRule="exact"/>
              <w:jc w:val="center"/>
              <w:rPr>
                <w:rFonts w:ascii="宋体" w:hAnsi="宋体"/>
                <w:color w:val="000000"/>
              </w:rPr>
            </w:pPr>
            <w:r>
              <w:rPr>
                <w:rFonts w:hint="eastAsia" w:ascii="宋体" w:hAnsi="宋体"/>
                <w:color w:val="000000"/>
              </w:rPr>
              <w:t>序号</w:t>
            </w:r>
          </w:p>
        </w:tc>
        <w:tc>
          <w:tcPr>
            <w:tcW w:w="4455" w:type="dxa"/>
          </w:tcPr>
          <w:p>
            <w:pPr>
              <w:spacing w:line="360" w:lineRule="exact"/>
              <w:jc w:val="center"/>
              <w:rPr>
                <w:rFonts w:ascii="宋体" w:hAnsi="宋体"/>
                <w:color w:val="000000"/>
              </w:rPr>
            </w:pPr>
            <w:r>
              <w:rPr>
                <w:rFonts w:hint="eastAsia" w:ascii="宋体" w:hAnsi="宋体"/>
                <w:color w:val="000000"/>
              </w:rPr>
              <w:t>标准名称</w:t>
            </w:r>
          </w:p>
        </w:tc>
        <w:tc>
          <w:tcPr>
            <w:tcW w:w="2093" w:type="dxa"/>
          </w:tcPr>
          <w:p>
            <w:pPr>
              <w:spacing w:line="360" w:lineRule="exact"/>
              <w:jc w:val="center"/>
              <w:rPr>
                <w:rFonts w:ascii="宋体" w:hAnsi="宋体"/>
                <w:color w:val="000000"/>
              </w:rPr>
            </w:pPr>
            <w:r>
              <w:rPr>
                <w:rFonts w:hint="eastAsia" w:ascii="宋体" w:hAnsi="宋体"/>
                <w:color w:val="000000"/>
              </w:rPr>
              <w:t>标准编号</w:t>
            </w:r>
          </w:p>
        </w:tc>
        <w:tc>
          <w:tcPr>
            <w:tcW w:w="1807" w:type="dxa"/>
          </w:tcPr>
          <w:p>
            <w:pPr>
              <w:spacing w:line="360" w:lineRule="exact"/>
              <w:jc w:val="center"/>
              <w:rPr>
                <w:rFonts w:ascii="宋体" w:hAnsi="宋体"/>
                <w:color w:val="000000"/>
              </w:rPr>
            </w:pPr>
            <w:r>
              <w:rPr>
                <w:rFonts w:hint="eastAsia" w:ascii="宋体" w:hAnsi="宋体"/>
                <w:color w:val="00000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w:t>
            </w:r>
          </w:p>
        </w:tc>
        <w:tc>
          <w:tcPr>
            <w:tcW w:w="4455" w:type="dxa"/>
          </w:tcPr>
          <w:p>
            <w:pPr>
              <w:spacing w:line="400" w:lineRule="exact"/>
              <w:rPr>
                <w:rFonts w:ascii="宋体" w:hAnsi="宋体"/>
                <w:color w:val="000000"/>
              </w:rPr>
            </w:pPr>
            <w:r>
              <w:rPr>
                <w:rFonts w:hint="eastAsia" w:ascii="宋体" w:hAnsi="宋体"/>
                <w:color w:val="000000"/>
              </w:rPr>
              <w:t>《生产设备安全卫生设计总则》</w:t>
            </w:r>
          </w:p>
        </w:tc>
        <w:tc>
          <w:tcPr>
            <w:tcW w:w="2093" w:type="dxa"/>
          </w:tcPr>
          <w:p>
            <w:pPr>
              <w:spacing w:line="400" w:lineRule="exact"/>
              <w:rPr>
                <w:rFonts w:ascii="宋体" w:hAnsi="宋体"/>
                <w:color w:val="000000"/>
              </w:rPr>
            </w:pPr>
            <w:r>
              <w:rPr>
                <w:rFonts w:hint="eastAsia" w:ascii="宋体" w:hAnsi="宋体"/>
                <w:color w:val="000000"/>
              </w:rPr>
              <w:t>GB5083</w:t>
            </w:r>
          </w:p>
        </w:tc>
        <w:tc>
          <w:tcPr>
            <w:tcW w:w="1807" w:type="dxa"/>
            <w:vAlign w:val="center"/>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2</w:t>
            </w:r>
          </w:p>
        </w:tc>
        <w:tc>
          <w:tcPr>
            <w:tcW w:w="4455" w:type="dxa"/>
          </w:tcPr>
          <w:p>
            <w:pPr>
              <w:spacing w:line="400" w:lineRule="exact"/>
              <w:rPr>
                <w:rFonts w:ascii="宋体" w:hAnsi="宋体"/>
                <w:color w:val="000000"/>
              </w:rPr>
            </w:pPr>
            <w:r>
              <w:rPr>
                <w:rFonts w:hint="eastAsia" w:ascii="宋体" w:hAnsi="宋体"/>
                <w:color w:val="000000"/>
              </w:rPr>
              <w:t>《机械安全围栏防护系统安全要求》</w:t>
            </w:r>
          </w:p>
        </w:tc>
        <w:tc>
          <w:tcPr>
            <w:tcW w:w="2093" w:type="dxa"/>
          </w:tcPr>
          <w:p>
            <w:pPr>
              <w:spacing w:line="400" w:lineRule="exact"/>
              <w:rPr>
                <w:rFonts w:ascii="宋体" w:hAnsi="宋体"/>
                <w:color w:val="000000"/>
              </w:rPr>
            </w:pPr>
            <w:r>
              <w:rPr>
                <w:rFonts w:hint="eastAsia" w:ascii="宋体" w:hAnsi="宋体"/>
                <w:color w:val="000000"/>
              </w:rPr>
              <w:t>GB/T42624</w:t>
            </w:r>
          </w:p>
        </w:tc>
        <w:tc>
          <w:tcPr>
            <w:tcW w:w="1807" w:type="dxa"/>
            <w:vAlign w:val="center"/>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3</w:t>
            </w:r>
          </w:p>
        </w:tc>
        <w:tc>
          <w:tcPr>
            <w:tcW w:w="4455" w:type="dxa"/>
          </w:tcPr>
          <w:p>
            <w:pPr>
              <w:spacing w:line="400" w:lineRule="exact"/>
              <w:rPr>
                <w:rFonts w:ascii="宋体" w:hAnsi="宋体"/>
                <w:color w:val="000000"/>
              </w:rPr>
            </w:pPr>
            <w:r>
              <w:rPr>
                <w:rFonts w:hint="eastAsia" w:ascii="宋体" w:hAnsi="宋体"/>
                <w:color w:val="000000"/>
              </w:rPr>
              <w:t>《安全电压》</w:t>
            </w:r>
          </w:p>
        </w:tc>
        <w:tc>
          <w:tcPr>
            <w:tcW w:w="2093" w:type="dxa"/>
          </w:tcPr>
          <w:p>
            <w:pPr>
              <w:spacing w:line="400" w:lineRule="exact"/>
              <w:rPr>
                <w:rFonts w:ascii="宋体" w:hAnsi="宋体"/>
                <w:color w:val="000000"/>
              </w:rPr>
            </w:pPr>
            <w:r>
              <w:rPr>
                <w:rFonts w:hint="eastAsia" w:ascii="宋体" w:hAnsi="宋体"/>
                <w:color w:val="000000"/>
              </w:rPr>
              <w:t>GB3805</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4</w:t>
            </w:r>
          </w:p>
        </w:tc>
        <w:tc>
          <w:tcPr>
            <w:tcW w:w="4455" w:type="dxa"/>
          </w:tcPr>
          <w:p>
            <w:pPr>
              <w:spacing w:line="400" w:lineRule="exact"/>
              <w:rPr>
                <w:rFonts w:ascii="宋体" w:hAnsi="宋体"/>
                <w:color w:val="000000"/>
              </w:rPr>
            </w:pPr>
            <w:r>
              <w:rPr>
                <w:rFonts w:hint="eastAsia" w:ascii="宋体" w:hAnsi="宋体"/>
                <w:color w:val="000000"/>
              </w:rPr>
              <w:t>《工业企业生产过程中噪声控制规范》</w:t>
            </w:r>
          </w:p>
        </w:tc>
        <w:tc>
          <w:tcPr>
            <w:tcW w:w="2093" w:type="dxa"/>
          </w:tcPr>
          <w:p>
            <w:pPr>
              <w:spacing w:line="400" w:lineRule="exact"/>
              <w:rPr>
                <w:rFonts w:ascii="宋体" w:hAnsi="宋体"/>
                <w:color w:val="000000"/>
              </w:rPr>
            </w:pPr>
            <w:r>
              <w:rPr>
                <w:rFonts w:hint="eastAsia" w:ascii="宋体" w:hAnsi="宋体"/>
                <w:color w:val="000000"/>
              </w:rPr>
              <w:t>GBJ87</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5</w:t>
            </w:r>
          </w:p>
        </w:tc>
        <w:tc>
          <w:tcPr>
            <w:tcW w:w="4455" w:type="dxa"/>
          </w:tcPr>
          <w:p>
            <w:pPr>
              <w:spacing w:line="400" w:lineRule="exact"/>
              <w:rPr>
                <w:rFonts w:ascii="宋体" w:hAnsi="宋体"/>
                <w:color w:val="000000"/>
              </w:rPr>
            </w:pPr>
            <w:r>
              <w:rPr>
                <w:rFonts w:hint="eastAsia" w:ascii="宋体" w:hAnsi="宋体"/>
                <w:color w:val="000000"/>
              </w:rPr>
              <w:t>《工业企业设计卫生标准》</w:t>
            </w:r>
          </w:p>
        </w:tc>
        <w:tc>
          <w:tcPr>
            <w:tcW w:w="2093" w:type="dxa"/>
          </w:tcPr>
          <w:p>
            <w:pPr>
              <w:spacing w:line="400" w:lineRule="exact"/>
              <w:rPr>
                <w:rFonts w:ascii="宋体" w:hAnsi="宋体"/>
                <w:color w:val="000000"/>
              </w:rPr>
            </w:pPr>
            <w:r>
              <w:rPr>
                <w:rFonts w:hint="eastAsia" w:ascii="宋体" w:hAnsi="宋体"/>
                <w:color w:val="000000"/>
              </w:rPr>
              <w:t>GBZ1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6</w:t>
            </w:r>
          </w:p>
        </w:tc>
        <w:tc>
          <w:tcPr>
            <w:tcW w:w="4455" w:type="dxa"/>
          </w:tcPr>
          <w:p>
            <w:pPr>
              <w:spacing w:line="400" w:lineRule="exact"/>
              <w:rPr>
                <w:rFonts w:ascii="宋体" w:hAnsi="宋体"/>
                <w:color w:val="000000"/>
              </w:rPr>
            </w:pPr>
            <w:r>
              <w:rPr>
                <w:rFonts w:hint="eastAsia" w:ascii="宋体" w:hAnsi="宋体"/>
                <w:color w:val="000000"/>
              </w:rPr>
              <w:t>《机械设备防护罩要求》</w:t>
            </w:r>
          </w:p>
        </w:tc>
        <w:tc>
          <w:tcPr>
            <w:tcW w:w="2093" w:type="dxa"/>
          </w:tcPr>
          <w:p>
            <w:pPr>
              <w:spacing w:line="400" w:lineRule="exact"/>
              <w:rPr>
                <w:rFonts w:ascii="宋体" w:hAnsi="宋体"/>
                <w:color w:val="000000"/>
              </w:rPr>
            </w:pPr>
            <w:r>
              <w:rPr>
                <w:rFonts w:hint="eastAsia" w:ascii="宋体" w:hAnsi="宋体"/>
                <w:color w:val="000000"/>
              </w:rPr>
              <w:t>GB8196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7</w:t>
            </w:r>
          </w:p>
        </w:tc>
        <w:tc>
          <w:tcPr>
            <w:tcW w:w="4455" w:type="dxa"/>
          </w:tcPr>
          <w:p>
            <w:pPr>
              <w:spacing w:line="400" w:lineRule="exact"/>
              <w:rPr>
                <w:rFonts w:ascii="宋体" w:hAnsi="宋体"/>
                <w:color w:val="000000"/>
              </w:rPr>
            </w:pPr>
            <w:r>
              <w:rPr>
                <w:rFonts w:hint="eastAsia" w:ascii="宋体" w:hAnsi="宋体"/>
                <w:color w:val="000000"/>
              </w:rPr>
              <w:t>《机械设备防护罩安全标准》</w:t>
            </w:r>
          </w:p>
        </w:tc>
        <w:tc>
          <w:tcPr>
            <w:tcW w:w="2093" w:type="dxa"/>
          </w:tcPr>
          <w:p>
            <w:pPr>
              <w:spacing w:line="400" w:lineRule="exact"/>
              <w:rPr>
                <w:rFonts w:ascii="宋体" w:hAnsi="宋体"/>
                <w:color w:val="000000"/>
              </w:rPr>
            </w:pPr>
            <w:r>
              <w:rPr>
                <w:rFonts w:ascii="宋体" w:hAnsi="宋体"/>
                <w:color w:val="000000"/>
              </w:rPr>
              <w:t>GB8196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8</w:t>
            </w:r>
          </w:p>
        </w:tc>
        <w:tc>
          <w:tcPr>
            <w:tcW w:w="4455" w:type="dxa"/>
          </w:tcPr>
          <w:p>
            <w:pPr>
              <w:spacing w:line="400" w:lineRule="exact"/>
              <w:rPr>
                <w:rFonts w:ascii="宋体" w:hAnsi="宋体"/>
                <w:color w:val="000000"/>
              </w:rPr>
            </w:pPr>
            <w:r>
              <w:rPr>
                <w:rFonts w:hint="eastAsia" w:ascii="宋体" w:hAnsi="宋体"/>
                <w:color w:val="000000"/>
              </w:rPr>
              <w:t>《低压配电设计规范》</w:t>
            </w:r>
          </w:p>
        </w:tc>
        <w:tc>
          <w:tcPr>
            <w:tcW w:w="2093" w:type="dxa"/>
          </w:tcPr>
          <w:p>
            <w:pPr>
              <w:spacing w:line="400" w:lineRule="exact"/>
              <w:rPr>
                <w:rFonts w:ascii="宋体" w:hAnsi="宋体"/>
                <w:color w:val="000000"/>
              </w:rPr>
            </w:pPr>
            <w:r>
              <w:rPr>
                <w:rFonts w:ascii="宋体" w:hAnsi="宋体"/>
                <w:color w:val="000000"/>
              </w:rPr>
              <w:t>GB50054</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9</w:t>
            </w:r>
          </w:p>
        </w:tc>
        <w:tc>
          <w:tcPr>
            <w:tcW w:w="4455" w:type="dxa"/>
          </w:tcPr>
          <w:p>
            <w:pPr>
              <w:spacing w:line="400" w:lineRule="exact"/>
              <w:rPr>
                <w:rFonts w:ascii="宋体" w:hAnsi="宋体"/>
                <w:color w:val="000000"/>
              </w:rPr>
            </w:pPr>
            <w:r>
              <w:rPr>
                <w:rFonts w:hint="eastAsia" w:ascii="宋体" w:hAnsi="宋体"/>
                <w:color w:val="000000"/>
              </w:rPr>
              <w:t>《设备设施颜色标识》</w:t>
            </w:r>
          </w:p>
        </w:tc>
        <w:tc>
          <w:tcPr>
            <w:tcW w:w="2093" w:type="dxa"/>
          </w:tcPr>
          <w:p>
            <w:pPr>
              <w:spacing w:line="400" w:lineRule="exact"/>
              <w:rPr>
                <w:rFonts w:ascii="宋体" w:hAnsi="宋体"/>
                <w:color w:val="000000"/>
              </w:rPr>
            </w:pPr>
            <w:r>
              <w:rPr>
                <w:rFonts w:ascii="宋体" w:hAnsi="宋体"/>
                <w:color w:val="000000"/>
              </w:rPr>
              <w:t>Q/ZZ 30070</w:t>
            </w:r>
          </w:p>
        </w:tc>
        <w:tc>
          <w:tcPr>
            <w:tcW w:w="1807" w:type="dxa"/>
          </w:tcPr>
          <w:p>
            <w:pPr>
              <w:spacing w:line="360" w:lineRule="auto"/>
              <w:jc w:val="center"/>
              <w:rPr>
                <w:rFonts w:ascii="宋体" w:hAnsi="宋体"/>
                <w:color w:val="000000"/>
                <w:highlight w:val="yellow"/>
              </w:rPr>
            </w:pPr>
            <w:r>
              <w:rPr>
                <w:rFonts w:hint="eastAsia" w:ascii="宋体" w:hAnsi="宋体"/>
              </w:rPr>
              <w:t>企标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ascii="宋体" w:hAnsi="宋体"/>
                <w:color w:val="000000"/>
              </w:rPr>
              <w:t>10</w:t>
            </w:r>
          </w:p>
        </w:tc>
        <w:tc>
          <w:tcPr>
            <w:tcW w:w="4455" w:type="dxa"/>
          </w:tcPr>
          <w:p>
            <w:pPr>
              <w:spacing w:line="400" w:lineRule="exact"/>
              <w:rPr>
                <w:rFonts w:ascii="宋体" w:hAnsi="宋体"/>
                <w:color w:val="000000"/>
              </w:rPr>
            </w:pPr>
            <w:r>
              <w:rPr>
                <w:rFonts w:hint="eastAsia" w:ascii="宋体" w:hAnsi="宋体"/>
                <w:color w:val="000000"/>
              </w:rPr>
              <w:t>《结构用无缝钢管》</w:t>
            </w:r>
          </w:p>
        </w:tc>
        <w:tc>
          <w:tcPr>
            <w:tcW w:w="2093" w:type="dxa"/>
          </w:tcPr>
          <w:p>
            <w:pPr>
              <w:spacing w:line="400" w:lineRule="exact"/>
              <w:rPr>
                <w:rFonts w:ascii="宋体" w:hAnsi="宋体"/>
                <w:color w:val="000000"/>
              </w:rPr>
            </w:pPr>
            <w:r>
              <w:rPr>
                <w:rFonts w:hint="eastAsia" w:ascii="宋体" w:hAnsi="宋体"/>
                <w:color w:val="000000"/>
              </w:rPr>
              <w:t>GB/T 8162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ascii="宋体" w:hAnsi="宋体"/>
                <w:color w:val="000000"/>
              </w:rPr>
              <w:t>11</w:t>
            </w:r>
          </w:p>
        </w:tc>
        <w:tc>
          <w:tcPr>
            <w:tcW w:w="4455" w:type="dxa"/>
          </w:tcPr>
          <w:p>
            <w:pPr>
              <w:spacing w:line="400" w:lineRule="exact"/>
              <w:rPr>
                <w:rFonts w:ascii="宋体" w:hAnsi="宋体"/>
                <w:color w:val="000000"/>
              </w:rPr>
            </w:pPr>
            <w:r>
              <w:rPr>
                <w:rFonts w:hint="eastAsia" w:ascii="宋体" w:hAnsi="宋体"/>
                <w:color w:val="000000"/>
              </w:rPr>
              <w:t>《集气罩分类及技术要求》</w:t>
            </w:r>
          </w:p>
        </w:tc>
        <w:tc>
          <w:tcPr>
            <w:tcW w:w="2093" w:type="dxa"/>
          </w:tcPr>
          <w:p>
            <w:pPr>
              <w:spacing w:line="400" w:lineRule="exact"/>
              <w:rPr>
                <w:rFonts w:ascii="宋体" w:hAnsi="宋体"/>
                <w:color w:val="000000"/>
              </w:rPr>
            </w:pPr>
            <w:r>
              <w:rPr>
                <w:rFonts w:hint="eastAsia" w:ascii="宋体" w:hAnsi="宋体"/>
                <w:color w:val="000000"/>
              </w:rPr>
              <w:t>GB/T 16758</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12</w:t>
            </w:r>
          </w:p>
        </w:tc>
        <w:tc>
          <w:tcPr>
            <w:tcW w:w="4455" w:type="dxa"/>
          </w:tcPr>
          <w:p>
            <w:pPr>
              <w:spacing w:line="400" w:lineRule="exact"/>
              <w:rPr>
                <w:rFonts w:ascii="宋体" w:hAnsi="宋体"/>
                <w:color w:val="000000"/>
              </w:rPr>
            </w:pPr>
            <w:r>
              <w:rPr>
                <w:rFonts w:hint="eastAsia" w:ascii="宋体" w:hAnsi="宋体"/>
                <w:color w:val="000000"/>
              </w:rPr>
              <w:t>《山东省区域性大气污染物综合排放标准》</w:t>
            </w:r>
          </w:p>
        </w:tc>
        <w:tc>
          <w:tcPr>
            <w:tcW w:w="2093" w:type="dxa"/>
          </w:tcPr>
          <w:p>
            <w:pPr>
              <w:spacing w:line="400" w:lineRule="exact"/>
              <w:rPr>
                <w:rFonts w:ascii="宋体" w:hAnsi="宋体"/>
                <w:color w:val="000000"/>
              </w:rPr>
            </w:pPr>
            <w:r>
              <w:rPr>
                <w:rFonts w:hint="eastAsia" w:ascii="宋体" w:hAnsi="宋体"/>
                <w:color w:val="000000"/>
              </w:rPr>
              <w:t>DB37_2376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13</w:t>
            </w:r>
          </w:p>
        </w:tc>
        <w:tc>
          <w:tcPr>
            <w:tcW w:w="4455" w:type="dxa"/>
          </w:tcPr>
          <w:p>
            <w:pPr>
              <w:spacing w:line="400" w:lineRule="exact"/>
              <w:rPr>
                <w:rFonts w:ascii="宋体" w:hAnsi="宋体"/>
                <w:color w:val="000000"/>
              </w:rPr>
            </w:pPr>
            <w:r>
              <w:rPr>
                <w:rFonts w:hint="eastAsia" w:ascii="宋体" w:hAnsi="宋体"/>
                <w:color w:val="000000"/>
              </w:rPr>
              <w:t>《挥发性有机物无组织排放控制标准》</w:t>
            </w:r>
          </w:p>
        </w:tc>
        <w:tc>
          <w:tcPr>
            <w:tcW w:w="2093" w:type="dxa"/>
          </w:tcPr>
          <w:p>
            <w:pPr>
              <w:spacing w:line="400" w:lineRule="exact"/>
              <w:rPr>
                <w:rFonts w:ascii="宋体" w:hAnsi="宋体"/>
                <w:color w:val="000000"/>
              </w:rPr>
            </w:pPr>
            <w:r>
              <w:rPr>
                <w:rFonts w:hint="eastAsia" w:ascii="宋体" w:hAnsi="宋体"/>
                <w:color w:val="000000"/>
              </w:rPr>
              <w:t>GB37822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14</w:t>
            </w:r>
          </w:p>
        </w:tc>
        <w:tc>
          <w:tcPr>
            <w:tcW w:w="4455" w:type="dxa"/>
          </w:tcPr>
          <w:p>
            <w:pPr>
              <w:spacing w:line="400" w:lineRule="exact"/>
              <w:rPr>
                <w:rFonts w:ascii="宋体" w:hAnsi="宋体"/>
                <w:color w:val="000000"/>
              </w:rPr>
            </w:pPr>
            <w:r>
              <w:rPr>
                <w:rFonts w:hint="eastAsia" w:ascii="宋体" w:hAnsi="宋体"/>
                <w:color w:val="000000"/>
              </w:rPr>
              <w:t>《工作场所有害因素职业接触限值 第 1 部分：化学有害因素》</w:t>
            </w:r>
          </w:p>
        </w:tc>
        <w:tc>
          <w:tcPr>
            <w:tcW w:w="2093" w:type="dxa"/>
          </w:tcPr>
          <w:p>
            <w:pPr>
              <w:spacing w:line="400" w:lineRule="exact"/>
              <w:rPr>
                <w:rFonts w:ascii="宋体" w:hAnsi="宋体"/>
                <w:color w:val="000000"/>
              </w:rPr>
            </w:pPr>
            <w:r>
              <w:rPr>
                <w:rFonts w:ascii="宋体" w:hAnsi="宋体"/>
                <w:color w:val="000000"/>
              </w:rPr>
              <w:t xml:space="preserve">GBZ </w:t>
            </w:r>
            <w:r>
              <w:rPr>
                <w:rFonts w:hint="eastAsia" w:ascii="宋体" w:hAnsi="宋体"/>
                <w:color w:val="000000"/>
              </w:rPr>
              <w:t>2.1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15</w:t>
            </w:r>
          </w:p>
        </w:tc>
        <w:tc>
          <w:tcPr>
            <w:tcW w:w="4455" w:type="dxa"/>
          </w:tcPr>
          <w:p>
            <w:pPr>
              <w:spacing w:line="400" w:lineRule="exact"/>
              <w:rPr>
                <w:rFonts w:ascii="宋体" w:hAnsi="宋体" w:cs="宋体"/>
                <w:bCs/>
                <w:sz w:val="24"/>
                <w:szCs w:val="24"/>
              </w:rPr>
            </w:pPr>
            <w:r>
              <w:rPr>
                <w:rFonts w:hint="eastAsia" w:ascii="宋体" w:hAnsi="宋体"/>
                <w:color w:val="000000"/>
              </w:rPr>
              <w:t>《</w:t>
            </w:r>
            <w:r>
              <w:rPr>
                <w:rFonts w:ascii="宋体" w:hAnsi="宋体"/>
                <w:color w:val="000000"/>
              </w:rPr>
              <w:t>工位器具技术规范</w:t>
            </w:r>
            <w:r>
              <w:rPr>
                <w:rFonts w:hint="eastAsia" w:ascii="宋体" w:hAnsi="宋体"/>
                <w:color w:val="000000"/>
              </w:rPr>
              <w:t>》</w:t>
            </w:r>
          </w:p>
        </w:tc>
        <w:tc>
          <w:tcPr>
            <w:tcW w:w="2093" w:type="dxa"/>
          </w:tcPr>
          <w:p>
            <w:pPr>
              <w:spacing w:line="400" w:lineRule="exact"/>
              <w:rPr>
                <w:rFonts w:ascii="宋体" w:hAnsi="宋体"/>
                <w:color w:val="000000"/>
              </w:rPr>
            </w:pPr>
            <w:r>
              <w:rPr>
                <w:rFonts w:ascii="宋体" w:hAnsi="宋体"/>
                <w:color w:val="000000"/>
              </w:rPr>
              <w:t>Q/ZZ</w:t>
            </w:r>
            <w:r>
              <w:rPr>
                <w:rFonts w:hint="eastAsia" w:ascii="宋体" w:hAnsi="宋体"/>
                <w:color w:val="000000"/>
              </w:rPr>
              <w:t xml:space="preserve"> </w:t>
            </w:r>
            <w:r>
              <w:rPr>
                <w:rFonts w:ascii="宋体" w:hAnsi="宋体"/>
                <w:color w:val="000000"/>
              </w:rPr>
              <w:t>30078</w:t>
            </w:r>
          </w:p>
        </w:tc>
        <w:tc>
          <w:tcPr>
            <w:tcW w:w="1807" w:type="dxa"/>
          </w:tcPr>
          <w:p>
            <w:pPr>
              <w:spacing w:line="360" w:lineRule="auto"/>
              <w:jc w:val="center"/>
              <w:rPr>
                <w:rFonts w:ascii="宋体" w:hAnsi="宋体"/>
                <w:color w:val="000000"/>
              </w:rPr>
            </w:pPr>
            <w:r>
              <w:rPr>
                <w:rFonts w:hint="eastAsia" w:ascii="宋体" w:hAnsi="宋体"/>
                <w:color w:val="000000"/>
              </w:rPr>
              <w:t>企标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16</w:t>
            </w:r>
          </w:p>
        </w:tc>
        <w:tc>
          <w:tcPr>
            <w:tcW w:w="4455" w:type="dxa"/>
          </w:tcPr>
          <w:p>
            <w:pPr>
              <w:spacing w:line="400" w:lineRule="exact"/>
              <w:rPr>
                <w:rFonts w:ascii="宋体" w:hAnsi="宋体"/>
                <w:color w:val="000000"/>
              </w:rPr>
            </w:pPr>
            <w:r>
              <w:rPr>
                <w:rFonts w:hint="eastAsia" w:ascii="宋体" w:hAnsi="宋体"/>
                <w:color w:val="000000"/>
              </w:rPr>
              <w:t>《工作场所有害因素职业接触限值 第2部分：物理因素》</w:t>
            </w:r>
          </w:p>
        </w:tc>
        <w:tc>
          <w:tcPr>
            <w:tcW w:w="2093" w:type="dxa"/>
          </w:tcPr>
          <w:p>
            <w:pPr>
              <w:spacing w:line="400" w:lineRule="exact"/>
              <w:rPr>
                <w:rFonts w:ascii="宋体" w:hAnsi="宋体"/>
                <w:color w:val="000000"/>
              </w:rPr>
            </w:pPr>
            <w:r>
              <w:rPr>
                <w:rFonts w:ascii="宋体" w:hAnsi="宋体"/>
                <w:color w:val="000000"/>
              </w:rPr>
              <w:t>GBZ2.2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17</w:t>
            </w:r>
          </w:p>
        </w:tc>
        <w:tc>
          <w:tcPr>
            <w:tcW w:w="4455" w:type="dxa"/>
          </w:tcPr>
          <w:p>
            <w:pPr>
              <w:spacing w:line="400" w:lineRule="exact"/>
              <w:rPr>
                <w:rFonts w:ascii="宋体" w:hAnsi="宋体"/>
                <w:color w:val="000000"/>
              </w:rPr>
            </w:pPr>
            <w:r>
              <w:rPr>
                <w:rFonts w:hint="eastAsia" w:ascii="宋体" w:hAnsi="宋体"/>
                <w:color w:val="000000"/>
              </w:rPr>
              <w:t>《工业机器人 安全实施规范》</w:t>
            </w:r>
          </w:p>
        </w:tc>
        <w:tc>
          <w:tcPr>
            <w:tcW w:w="2093" w:type="dxa"/>
          </w:tcPr>
          <w:p>
            <w:pPr>
              <w:spacing w:line="400" w:lineRule="exact"/>
              <w:rPr>
                <w:rFonts w:ascii="宋体" w:hAnsi="宋体"/>
                <w:color w:val="000000"/>
              </w:rPr>
            </w:pPr>
            <w:r>
              <w:rPr>
                <w:rFonts w:ascii="宋体" w:hAnsi="宋体"/>
                <w:color w:val="000000"/>
              </w:rPr>
              <w:t>GBT 20867</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18</w:t>
            </w:r>
          </w:p>
        </w:tc>
        <w:tc>
          <w:tcPr>
            <w:tcW w:w="4455" w:type="dxa"/>
          </w:tcPr>
          <w:p>
            <w:pPr>
              <w:spacing w:line="400" w:lineRule="exact"/>
              <w:rPr>
                <w:rFonts w:ascii="宋体" w:hAnsi="宋体"/>
                <w:color w:val="000000"/>
              </w:rPr>
            </w:pPr>
            <w:r>
              <w:rPr>
                <w:rFonts w:hint="eastAsia" w:ascii="宋体" w:hAnsi="宋体"/>
                <w:color w:val="000000"/>
              </w:rPr>
              <w:t>《工业环境用机器人 安全要求 第1部分：机器人》</w:t>
            </w:r>
          </w:p>
        </w:tc>
        <w:tc>
          <w:tcPr>
            <w:tcW w:w="2093" w:type="dxa"/>
          </w:tcPr>
          <w:p>
            <w:pPr>
              <w:spacing w:line="400" w:lineRule="exact"/>
              <w:rPr>
                <w:rFonts w:ascii="宋体" w:hAnsi="宋体"/>
                <w:color w:val="000000"/>
              </w:rPr>
            </w:pPr>
            <w:r>
              <w:rPr>
                <w:rFonts w:ascii="宋体" w:hAnsi="宋体"/>
                <w:color w:val="000000"/>
              </w:rPr>
              <w:t>GB11291.1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19</w:t>
            </w:r>
          </w:p>
        </w:tc>
        <w:tc>
          <w:tcPr>
            <w:tcW w:w="4455" w:type="dxa"/>
          </w:tcPr>
          <w:p>
            <w:pPr>
              <w:spacing w:line="400" w:lineRule="exact"/>
              <w:rPr>
                <w:rFonts w:ascii="宋体" w:hAnsi="宋体"/>
                <w:color w:val="000000"/>
              </w:rPr>
            </w:pPr>
            <w:r>
              <w:rPr>
                <w:rFonts w:hint="eastAsia" w:ascii="宋体" w:hAnsi="宋体"/>
                <w:color w:val="000000"/>
              </w:rPr>
              <w:t>《排污许可证申请与核发技术规范》</w:t>
            </w:r>
          </w:p>
        </w:tc>
        <w:tc>
          <w:tcPr>
            <w:tcW w:w="2093" w:type="dxa"/>
          </w:tcPr>
          <w:p>
            <w:pPr>
              <w:spacing w:line="400" w:lineRule="exact"/>
              <w:rPr>
                <w:rFonts w:ascii="宋体" w:hAnsi="宋体"/>
                <w:color w:val="000000"/>
              </w:rPr>
            </w:pPr>
            <w:r>
              <w:rPr>
                <w:rFonts w:ascii="宋体" w:hAnsi="宋体"/>
                <w:color w:val="000000"/>
              </w:rPr>
              <w:t>HJ971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20</w:t>
            </w:r>
          </w:p>
        </w:tc>
        <w:tc>
          <w:tcPr>
            <w:tcW w:w="4455" w:type="dxa"/>
          </w:tcPr>
          <w:p>
            <w:pPr>
              <w:spacing w:line="400" w:lineRule="exact"/>
              <w:rPr>
                <w:rFonts w:ascii="Arial" w:hAnsi="Arial" w:eastAsia="宋体" w:cs="Arial"/>
                <w:color w:val="333333"/>
                <w:sz w:val="19"/>
                <w:szCs w:val="19"/>
                <w:shd w:val="clear" w:color="auto" w:fill="FFFFFF"/>
              </w:rPr>
            </w:pPr>
            <w:r>
              <w:rPr>
                <w:rFonts w:hint="eastAsia" w:ascii="宋体" w:hAnsi="宋体"/>
                <w:color w:val="000000"/>
              </w:rPr>
              <w:t>《激光安全标准》</w:t>
            </w:r>
          </w:p>
        </w:tc>
        <w:tc>
          <w:tcPr>
            <w:tcW w:w="2093" w:type="dxa"/>
          </w:tcPr>
          <w:p>
            <w:pPr>
              <w:spacing w:line="400" w:lineRule="exact"/>
              <w:rPr>
                <w:rFonts w:ascii="宋体" w:hAnsi="宋体"/>
                <w:color w:val="000000"/>
              </w:rPr>
            </w:pPr>
            <w:r>
              <w:rPr>
                <w:rFonts w:ascii="宋体" w:hAnsi="宋体"/>
                <w:color w:val="000000"/>
              </w:rPr>
              <w:t>GB7247.1</w:t>
            </w:r>
          </w:p>
        </w:tc>
        <w:tc>
          <w:tcPr>
            <w:tcW w:w="1807" w:type="dxa"/>
          </w:tcPr>
          <w:p>
            <w:pPr>
              <w:spacing w:line="360" w:lineRule="auto"/>
              <w:jc w:val="center"/>
              <w:rPr>
                <w:rFonts w:ascii="宋体" w:hAnsi="宋体"/>
                <w:color w:val="000000"/>
              </w:rPr>
            </w:pPr>
          </w:p>
        </w:tc>
      </w:tr>
    </w:tbl>
    <w:p>
      <w:pPr>
        <w:rPr>
          <w:rFonts w:ascii="Times New Roman" w:hAnsi="Times New Roman" w:eastAsia="宋体" w:cs="Times New Roman"/>
          <w:szCs w:val="20"/>
        </w:rPr>
        <w:sectPr>
          <w:footerReference r:id="rId14" w:type="default"/>
          <w:pgSz w:w="11906" w:h="16838"/>
          <w:pgMar w:top="1588" w:right="1418" w:bottom="1134" w:left="1418" w:header="851" w:footer="992" w:gutter="0"/>
          <w:cols w:space="425" w:num="1"/>
          <w:docGrid w:type="lines"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上料输送机构</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激光切割机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物料输送装置</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4</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双头倒角机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rPr>
              <w:t>不低于4套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5</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气动打标机</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rPr>
              <w:t>不低于4套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6</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围栏等安全防护设施</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pPr>
            <w:r>
              <w:rPr>
                <w:rFonts w:hint="eastAsia" w:ascii="宋体" w:hAnsi="宋体" w:eastAsia="宋体" w:cs="宋体"/>
                <w:sz w:val="24"/>
                <w:szCs w:val="24"/>
              </w:rPr>
              <w:t>套</w:t>
            </w:r>
          </w:p>
        </w:tc>
        <w:tc>
          <w:tcPr>
            <w:tcW w:w="2835" w:type="dxa"/>
          </w:tcPr>
          <w:p>
            <w:pPr>
              <w:jc w:val="cente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7</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机器人下料系统</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pPr>
            <w:r>
              <w:rPr>
                <w:rFonts w:hint="eastAsia"/>
              </w:rPr>
              <w:t>套</w:t>
            </w:r>
          </w:p>
        </w:tc>
        <w:tc>
          <w:tcPr>
            <w:tcW w:w="2835"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宋体" w:hAnsi="宋体" w:eastAsia="宋体" w:cs="宋体"/>
                <w:sz w:val="24"/>
                <w:szCs w:val="24"/>
              </w:rPr>
            </w:pPr>
            <w:r>
              <w:rPr>
                <w:rFonts w:hint="eastAsia" w:ascii="宋体" w:hAnsi="宋体" w:eastAsia="宋体" w:cs="宋体"/>
                <w:sz w:val="24"/>
                <w:szCs w:val="24"/>
              </w:rPr>
              <w:t>8</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工位器具</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1134" w:type="dxa"/>
          </w:tcPr>
          <w:p>
            <w:pPr>
              <w:jc w:val="center"/>
            </w:pPr>
            <w:r>
              <w:rPr>
                <w:rFonts w:hint="eastAsia"/>
              </w:rPr>
              <w:t>套</w:t>
            </w:r>
          </w:p>
        </w:tc>
        <w:tc>
          <w:tcPr>
            <w:tcW w:w="2835"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60" w:after="60" w:line="240" w:lineRule="auto"/>
              <w:jc w:val="center"/>
              <w:rPr>
                <w:rFonts w:ascii="宋体" w:hAnsi="宋体" w:eastAsia="宋体" w:cs="宋体"/>
                <w:sz w:val="24"/>
              </w:rPr>
            </w:pPr>
            <w:r>
              <w:rPr>
                <w:rFonts w:hint="eastAsia" w:ascii="宋体" w:hAnsi="宋体" w:eastAsia="宋体" w:cs="宋体"/>
                <w:sz w:val="24"/>
              </w:rPr>
              <w:t>9</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集线总成</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60" w:after="60" w:line="240" w:lineRule="auto"/>
              <w:jc w:val="center"/>
              <w:rPr>
                <w:rFonts w:ascii="宋体" w:hAnsi="宋体" w:eastAsia="宋体" w:cs="宋体"/>
                <w:sz w:val="24"/>
              </w:rPr>
            </w:pPr>
            <w:r>
              <w:rPr>
                <w:rFonts w:hint="eastAsia" w:ascii="宋体" w:hAnsi="宋体" w:eastAsia="宋体" w:cs="宋体"/>
                <w:sz w:val="24"/>
              </w:rPr>
              <w:t>10</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环保设施</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7"/>
              <w:spacing w:before="60" w:after="60" w:line="240" w:lineRule="auto"/>
              <w:jc w:val="center"/>
              <w:rPr>
                <w:rFonts w:ascii="宋体" w:hAnsi="宋体" w:eastAsia="宋体" w:cs="宋体"/>
                <w:sz w:val="24"/>
              </w:rPr>
            </w:pPr>
            <w:r>
              <w:rPr>
                <w:rFonts w:hint="eastAsia" w:ascii="宋体" w:hAnsi="宋体" w:eastAsia="宋体" w:cs="宋体"/>
                <w:sz w:val="24"/>
              </w:rPr>
              <w:t>11</w:t>
            </w:r>
          </w:p>
        </w:tc>
        <w:tc>
          <w:tcPr>
            <w:tcW w:w="2977" w:type="dxa"/>
            <w:vAlign w:val="center"/>
          </w:tcPr>
          <w:p>
            <w:pPr>
              <w:jc w:val="center"/>
              <w:rPr>
                <w:rFonts w:ascii="宋体" w:hAnsi="宋体" w:eastAsia="宋体" w:cs="宋体"/>
                <w:sz w:val="24"/>
                <w:szCs w:val="24"/>
              </w:rPr>
            </w:pPr>
            <w:r>
              <w:rPr>
                <w:rFonts w:hint="eastAsia" w:ascii="宋体" w:hAnsi="宋体" w:eastAsia="宋体" w:cs="宋体"/>
                <w:sz w:val="24"/>
                <w:szCs w:val="24"/>
              </w:rPr>
              <w:t>圆盘锯床</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tcPr>
          <w:p>
            <w:pPr>
              <w:jc w:val="center"/>
              <w:rPr>
                <w:rFonts w:ascii="宋体" w:hAnsi="宋体" w:eastAsia="宋体" w:cs="宋体"/>
                <w:sz w:val="24"/>
                <w:szCs w:val="24"/>
              </w:rPr>
            </w:pPr>
            <w:r>
              <w:rPr>
                <w:rFonts w:hint="eastAsia" w:ascii="宋体" w:hAnsi="宋体" w:eastAsia="宋体" w:cs="宋体"/>
                <w:sz w:val="24"/>
                <w:szCs w:val="24"/>
              </w:rPr>
              <w:t>套</w:t>
            </w:r>
          </w:p>
        </w:tc>
        <w:tc>
          <w:tcPr>
            <w:tcW w:w="2835" w:type="dxa"/>
          </w:tcPr>
          <w:p>
            <w:pPr>
              <w:jc w:val="center"/>
              <w:rPr>
                <w:rFonts w:ascii="宋体" w:hAnsi="宋体" w:eastAsia="宋体" w:cs="宋体"/>
                <w:sz w:val="24"/>
                <w:szCs w:val="24"/>
              </w:rPr>
            </w:pPr>
          </w:p>
        </w:tc>
      </w:tr>
    </w:tbl>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以上明细数量为最低配置数量，具体数量必须满足招标方所提的生产节拍要求。</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rPr>
        <w:t>2.招标方提供符合本技术标书中“采购货物概况”和“使用环境”章节所列明内容。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rPr>
        <w:t>1.提供数量见技术要求中</w:t>
      </w:r>
      <w:r>
        <w:rPr>
          <w:rFonts w:hint="eastAsia" w:eastAsia="宋体"/>
          <w:b/>
          <w:color w:val="000000"/>
          <w:sz w:val="24"/>
          <w:szCs w:val="24"/>
        </w:rPr>
        <w:t>.</w:t>
      </w:r>
      <w:r>
        <w:rPr>
          <w:rFonts w:hint="eastAsia" w:ascii="宋体" w:hAnsi="宋体" w:eastAsia="宋体" w:cs="宋体"/>
          <w:color w:val="FF0000"/>
          <w:sz w:val="24"/>
          <w:szCs w:val="24"/>
        </w:rPr>
        <w:t>配件、备件及耗材中约定。</w:t>
      </w:r>
    </w:p>
    <w:p>
      <w:pPr>
        <w:spacing w:line="360" w:lineRule="auto"/>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完全交钥匙方式，即本次招标货物至少包括以下货物及服务：非标或特需设计、制造、至交货地点的运输（含定点装卸）、安装、调试、招标方安装地竣工验收服务、货物移交、约定培训等全流程范围。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部件公司部件线</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1.自合同生效后，接招标方通知后于</w:t>
      </w:r>
      <w:r>
        <w:rPr>
          <w:rFonts w:hint="eastAsia" w:ascii="宋体" w:hAnsi="宋体" w:eastAsia="宋体" w:cs="宋体"/>
          <w:color w:val="FF0000"/>
          <w:sz w:val="24"/>
          <w:szCs w:val="24"/>
          <w:u w:val="single"/>
        </w:rPr>
        <w:t>90</w:t>
      </w:r>
      <w:r>
        <w:rPr>
          <w:rFonts w:hint="eastAsia" w:ascii="宋体" w:hAnsi="宋体" w:eastAsia="宋体" w:cs="宋体"/>
          <w:color w:val="FF0000"/>
          <w:sz w:val="24"/>
          <w:szCs w:val="24"/>
        </w:rPr>
        <w:t>个日历日内，中标人须交付设备到招标人指定的安装和使用的现场，并保证整套系统正常进入试运行状态。</w:t>
      </w:r>
    </w:p>
    <w:p>
      <w:pPr>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2.接续</w:t>
      </w:r>
      <w:r>
        <w:rPr>
          <w:rFonts w:hint="eastAsia" w:ascii="宋体" w:hAnsi="宋体" w:eastAsia="宋体" w:cs="宋体"/>
          <w:color w:val="FF0000"/>
          <w:sz w:val="24"/>
          <w:szCs w:val="24"/>
          <w:u w:val="single"/>
        </w:rPr>
        <w:t>30</w:t>
      </w:r>
      <w:r>
        <w:rPr>
          <w:rFonts w:hint="eastAsia" w:ascii="宋体" w:hAnsi="宋体" w:eastAsia="宋体" w:cs="宋体"/>
          <w:color w:val="FF0000"/>
          <w:sz w:val="24"/>
          <w:szCs w:val="24"/>
        </w:rPr>
        <w:t>个日历日之内安装调试完毕。</w:t>
      </w:r>
    </w:p>
    <w:p>
      <w:pPr>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3.接续</w:t>
      </w:r>
      <w:r>
        <w:rPr>
          <w:rFonts w:hint="eastAsia" w:ascii="宋体" w:hAnsi="宋体" w:eastAsia="宋体" w:cs="宋体"/>
          <w:color w:val="FF0000"/>
          <w:sz w:val="24"/>
          <w:szCs w:val="24"/>
          <w:u w:val="single"/>
          <w:lang w:val="en-US" w:eastAsia="zh-CN"/>
        </w:rPr>
        <w:t>9</w:t>
      </w:r>
      <w:r>
        <w:rPr>
          <w:rFonts w:hint="eastAsia" w:ascii="宋体" w:hAnsi="宋体" w:eastAsia="宋体" w:cs="宋体"/>
          <w:color w:val="FF0000"/>
          <w:sz w:val="24"/>
          <w:szCs w:val="24"/>
          <w:u w:val="single"/>
        </w:rPr>
        <w:t>0</w:t>
      </w:r>
      <w:r>
        <w:rPr>
          <w:rFonts w:hint="eastAsia" w:ascii="宋体" w:hAnsi="宋体" w:eastAsia="宋体" w:cs="宋体"/>
          <w:color w:val="FF0000"/>
          <w:sz w:val="24"/>
          <w:szCs w:val="24"/>
        </w:rPr>
        <w:t>个日历日之内完成终验收。</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6" w:name="_Toc169605884"/>
      <w:r>
        <w:rPr>
          <w:rFonts w:hint="eastAsia" w:ascii="宋体" w:hAnsi="宋体" w:eastAsia="宋体" w:cs="宋体"/>
          <w:b/>
          <w:bCs/>
          <w:kern w:val="44"/>
          <w:sz w:val="24"/>
          <w:szCs w:val="24"/>
        </w:rPr>
        <w:t>第四章  质保期及售后服务</w:t>
      </w:r>
      <w:bookmarkEnd w:id="36"/>
    </w:p>
    <w:p>
      <w:pPr>
        <w:pStyle w:val="120"/>
        <w:spacing w:line="360" w:lineRule="auto"/>
        <w:rPr>
          <w:rFonts w:ascii="宋体" w:hAnsi="宋体" w:cs="宋体"/>
          <w:color w:val="auto"/>
        </w:rPr>
      </w:pPr>
      <w:r>
        <w:rPr>
          <w:rFonts w:hint="eastAsia" w:ascii="宋体" w:hAnsi="宋体" w:cs="宋体"/>
          <w:color w:val="auto"/>
        </w:rPr>
        <w:t>一、质保期及质保要求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color w:val="0000FF"/>
          <w:sz w:val="24"/>
          <w:szCs w:val="24"/>
          <w:u w:val="single"/>
        </w:rPr>
        <w:t xml:space="preserve"> 12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pPr>
        <w:pStyle w:val="120"/>
        <w:spacing w:line="360" w:lineRule="auto"/>
        <w:rPr>
          <w:rFonts w:ascii="宋体" w:hAnsi="宋体" w:cs="宋体"/>
          <w:color w:val="auto"/>
        </w:rPr>
      </w:pPr>
      <w:r>
        <w:rPr>
          <w:rFonts w:hint="eastAsia" w:ascii="宋体" w:hAnsi="宋体" w:cs="宋体"/>
          <w:color w:val="auto"/>
        </w:rPr>
        <w:t>二、技术及培训服务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4.若卖方提供货物涉及到外购外协货物、而且该货物的技术质量等较为关键时，卖方应能保证得到配套厂家的技术支持，并免费为招标方提供技术服务。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pStyle w:val="120"/>
        <w:spacing w:line="360" w:lineRule="auto"/>
        <w:rPr>
          <w:rFonts w:ascii="宋体" w:hAnsi="宋体" w:cs="宋体"/>
          <w:color w:val="auto"/>
        </w:rPr>
      </w:pPr>
      <w:r>
        <w:rPr>
          <w:rFonts w:hint="eastAsia" w:ascii="宋体" w:hAnsi="宋体" w:cs="宋体"/>
          <w:color w:val="auto"/>
        </w:rPr>
        <w:t>三、安装调试及验收服务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卖方达到货物的各项技术指标和性能要求。卖方在招标方现场进行的货物的安装、调试和试运行，招标方有权参与，卖方应无条件向招标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招标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5.卖方应当向招标方提供货物试验、验收的有关标准、规范和方法，同时提供货物涉及并使用的软件合法性证明。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pStyle w:val="120"/>
        <w:spacing w:line="360" w:lineRule="auto"/>
        <w:rPr>
          <w:rFonts w:ascii="宋体" w:hAnsi="宋体" w:cs="宋体"/>
          <w:color w:val="auto"/>
        </w:rPr>
      </w:pPr>
      <w:r>
        <w:rPr>
          <w:rFonts w:hint="eastAsia" w:ascii="宋体" w:hAnsi="宋体" w:cs="宋体"/>
          <w:color w:val="auto"/>
        </w:rPr>
        <w:t>四、售后服务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3.卖方派往招标方使用现场的人员，应具有较高的业务素质；现场解决问题时，不得无故拖延或推迟，应为招标方提供最佳的服务。</w:t>
      </w:r>
    </w:p>
    <w:p>
      <w:pPr>
        <w:pStyle w:val="120"/>
        <w:spacing w:line="360" w:lineRule="auto"/>
        <w:rPr>
          <w:rFonts w:ascii="宋体" w:hAnsi="宋体" w:cs="宋体"/>
          <w:color w:val="auto"/>
        </w:rPr>
      </w:pPr>
      <w:r>
        <w:rPr>
          <w:rFonts w:hint="eastAsia" w:ascii="宋体" w:hAnsi="宋体" w:cs="宋体"/>
          <w:color w:val="auto"/>
        </w:rPr>
        <w:t>五、其它服务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17"/>
        <w:spacing w:line="360" w:lineRule="auto"/>
        <w:rPr>
          <w:rFonts w:hAnsi="宋体" w:eastAsia="宋体" w:cs="宋体"/>
          <w:sz w:val="24"/>
          <w:szCs w:val="24"/>
        </w:rPr>
      </w:pPr>
      <w:r>
        <w:rPr>
          <w:rFonts w:hint="eastAsia" w:hAnsi="宋体" w:eastAsia="宋体" w:cs="宋体"/>
          <w:sz w:val="24"/>
          <w:szCs w:val="24"/>
        </w:rPr>
        <w:br w:type="page"/>
      </w:r>
    </w:p>
    <w:p>
      <w:pPr>
        <w:keepNext/>
        <w:keepLines/>
        <w:spacing w:line="360" w:lineRule="auto"/>
        <w:jc w:val="center"/>
        <w:outlineLvl w:val="1"/>
        <w:rPr>
          <w:rFonts w:ascii="宋体" w:hAnsi="宋体" w:eastAsia="宋体" w:cs="宋体"/>
          <w:b/>
          <w:bCs/>
          <w:kern w:val="44"/>
          <w:sz w:val="24"/>
          <w:szCs w:val="24"/>
        </w:rPr>
      </w:pPr>
      <w:bookmarkStart w:id="37" w:name="_Toc465187646"/>
      <w:r>
        <w:rPr>
          <w:rFonts w:hint="eastAsia" w:ascii="宋体" w:hAnsi="宋体" w:eastAsia="宋体" w:cs="宋体"/>
          <w:b/>
          <w:bCs/>
          <w:kern w:val="44"/>
          <w:sz w:val="24"/>
          <w:szCs w:val="24"/>
        </w:rPr>
        <w:t>第五章  预验收和终验收</w:t>
      </w:r>
      <w:bookmarkEnd w:id="37"/>
    </w:p>
    <w:p>
      <w:pPr>
        <w:pStyle w:val="120"/>
        <w:spacing w:line="360" w:lineRule="auto"/>
        <w:rPr>
          <w:rFonts w:ascii="宋体" w:hAnsi="宋体" w:cs="宋体"/>
          <w:color w:val="auto"/>
        </w:rPr>
      </w:pPr>
      <w:r>
        <w:rPr>
          <w:rFonts w:hint="eastAsia" w:ascii="宋体" w:hAnsi="宋体" w:cs="宋体"/>
          <w:color w:val="auto"/>
        </w:rPr>
        <w:t>一、验收依据和验收标准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2.如果验收过程中，发现招标文件、投标文件、答疑文件、技术交流文件等与技术标书、合同存在差异，原则上以涉及条款中对招标方最有利条款为验收依据。</w:t>
      </w:r>
    </w:p>
    <w:p>
      <w:pPr>
        <w:pStyle w:val="120"/>
        <w:spacing w:line="360" w:lineRule="auto"/>
        <w:rPr>
          <w:rFonts w:ascii="宋体" w:hAnsi="宋体" w:cs="宋体"/>
          <w:color w:val="auto"/>
        </w:rPr>
      </w:pPr>
      <w:r>
        <w:rPr>
          <w:rFonts w:hint="eastAsia" w:ascii="宋体" w:hAnsi="宋体" w:cs="宋体"/>
          <w:color w:val="auto"/>
        </w:rPr>
        <w:t>二、检验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卖方提出索赔，因索赔所发生的一切费用(包括检验检疫费等)均由卖方承担。</w:t>
      </w:r>
    </w:p>
    <w:p>
      <w:pPr>
        <w:pStyle w:val="120"/>
        <w:spacing w:line="360" w:lineRule="auto"/>
        <w:rPr>
          <w:rFonts w:ascii="宋体" w:hAnsi="宋体" w:cs="宋体"/>
          <w:color w:val="auto"/>
        </w:rPr>
      </w:pPr>
      <w:r>
        <w:rPr>
          <w:rFonts w:hint="eastAsia" w:ascii="宋体" w:hAnsi="宋体" w:cs="宋体"/>
          <w:color w:val="auto"/>
        </w:rPr>
        <w:t>三、验收基本条件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本项目不涉及预验收，仅有终验收部分。终验收在安装调试完成及试运行后的招标方现场进行。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rPr>
          <w:rFonts w:ascii="宋体" w:hAnsi="宋体" w:eastAsia="宋体" w:cs="宋体"/>
          <w:sz w:val="24"/>
          <w:szCs w:val="24"/>
        </w:rPr>
      </w:pPr>
      <w:r>
        <w:rPr>
          <w:rFonts w:hint="eastAsia" w:ascii="宋体" w:hAnsi="宋体" w:eastAsia="宋体" w:cs="宋体"/>
          <w:sz w:val="24"/>
          <w:szCs w:val="24"/>
        </w:rPr>
        <w:t>1.终验收一般条件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设备已完成硬件与软件系统的整体功能测试与调试，且功能正常。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.2</w:t>
      </w:r>
      <w:r>
        <w:rPr>
          <w:rFonts w:hint="eastAsia" w:ascii="宋体" w:hAnsi="宋体" w:eastAsia="宋体" w:cs="宋体"/>
          <w:sz w:val="24"/>
          <w:szCs w:val="24"/>
        </w:rPr>
        <w:t>通过试运行</w:t>
      </w:r>
      <w:r>
        <w:rPr>
          <w:rFonts w:ascii="宋体" w:hAnsi="宋体" w:eastAsia="宋体" w:cs="宋体"/>
          <w:sz w:val="24"/>
          <w:szCs w:val="24"/>
        </w:rPr>
        <w:t>而且没有出现新的质量问题，或者满足验收条款。</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.3货物安装调试完毕，并至少经过了验收要求的负荷试运行。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.4货物正常运行时，噪声等环境影响因素满足国家和当地环保主管部门规定，安全措施落实、有效。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.5</w:t>
      </w:r>
      <w:r>
        <w:rPr>
          <w:rFonts w:hint="eastAsia" w:ascii="宋体" w:hAnsi="宋体" w:eastAsia="宋体" w:cs="宋体"/>
          <w:sz w:val="24"/>
          <w:szCs w:val="24"/>
        </w:rPr>
        <w:t>若涉及</w:t>
      </w:r>
      <w:r>
        <w:rPr>
          <w:rFonts w:ascii="宋体" w:hAnsi="宋体" w:eastAsia="宋体" w:cs="宋体"/>
          <w:sz w:val="24"/>
          <w:szCs w:val="24"/>
        </w:rPr>
        <w:t>计量仪器、仪表配套合理，采用中国的法定计量单位，计量准确、灵敏可靠。保证设计指标和仪器说明书的参数的实现。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.6试运行期间或之后无维修、调整等行为（特殊情况除外）。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.7货物质量、技术性能等，达到签定的技术协议书和合同规定的终验收标准。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8</w:t>
      </w:r>
      <w:r>
        <w:rPr>
          <w:rFonts w:hint="eastAsia" w:ascii="宋体" w:hAnsi="宋体" w:eastAsia="宋体" w:cs="宋体"/>
          <w:sz w:val="24"/>
          <w:szCs w:val="24"/>
        </w:rPr>
        <w:t>若涉及计量仪器、仪表，首次计量由投标方负责，由省级或以上的计量机构计量，按照系统约束的性能指标进行计量检定，合格后方可进行终验收。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终验收技术要求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w:t>
      </w:r>
      <w:r>
        <w:rPr>
          <w:rFonts w:hint="eastAsia" w:ascii="宋体" w:hAnsi="宋体" w:eastAsia="宋体" w:cs="宋体"/>
          <w:sz w:val="24"/>
          <w:szCs w:val="24"/>
          <w:u w:val="single"/>
        </w:rPr>
        <w:t>15</w:t>
      </w:r>
      <w:r>
        <w:rPr>
          <w:rFonts w:ascii="宋体" w:hAnsi="宋体" w:eastAsia="宋体" w:cs="宋体"/>
          <w:sz w:val="24"/>
          <w:szCs w:val="24"/>
        </w:rPr>
        <w:t>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.2由</w:t>
      </w:r>
      <w:r>
        <w:rPr>
          <w:rFonts w:hint="eastAsia" w:ascii="宋体" w:hAnsi="宋体" w:eastAsia="宋体" w:cs="宋体"/>
          <w:sz w:val="24"/>
          <w:szCs w:val="24"/>
        </w:rPr>
        <w:t>招标方</w:t>
      </w:r>
      <w:r>
        <w:rPr>
          <w:rFonts w:ascii="宋体" w:hAnsi="宋体" w:eastAsia="宋体" w:cs="宋体"/>
          <w:sz w:val="24"/>
          <w:szCs w:val="24"/>
        </w:rPr>
        <w:t>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2.2.1 考核期间生产加工内容为招标方正常生产的作业计划，产品切换种类不高于10种；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2.2.2若生产计划出现加工产品不在标书或技术协议提出的产品明细内，双方友好商讨是否具备生产能力，若不具备应将其相关产品剔除生产计划。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2.2.3关于生产节拍的考量，推力杆产品以AZ9725527211、AZ9925520651产品为准；拉杆产品以AZ9700430051、AZ962543006299产品为准。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2.2.4验收时设备进行连续负荷运行时，货物应连续运行 </w:t>
      </w:r>
      <w:r>
        <w:rPr>
          <w:rFonts w:hint="eastAsia" w:ascii="宋体" w:hAnsi="宋体" w:eastAsia="宋体" w:cs="宋体"/>
          <w:sz w:val="24"/>
          <w:szCs w:val="24"/>
          <w:u w:val="single"/>
        </w:rPr>
        <w:t xml:space="preserve"> 15  </w:t>
      </w:r>
      <w:r>
        <w:rPr>
          <w:rFonts w:hint="eastAsia" w:ascii="宋体" w:hAnsi="宋体" w:eastAsia="宋体" w:cs="宋体"/>
          <w:sz w:val="24"/>
          <w:szCs w:val="24"/>
        </w:rPr>
        <w:t>天，每天连续</w:t>
      </w:r>
      <w:r>
        <w:rPr>
          <w:rFonts w:hint="eastAsia" w:ascii="宋体" w:hAnsi="宋体" w:eastAsia="宋体" w:cs="宋体"/>
          <w:sz w:val="24"/>
          <w:szCs w:val="24"/>
          <w:u w:val="single"/>
        </w:rPr>
        <w:t xml:space="preserve">   8   </w:t>
      </w:r>
      <w:r>
        <w:rPr>
          <w:rFonts w:hint="eastAsia" w:ascii="宋体" w:hAnsi="宋体" w:eastAsia="宋体" w:cs="宋体"/>
          <w:sz w:val="24"/>
          <w:szCs w:val="24"/>
        </w:rPr>
        <w:t>小时，除用户方面因素外，必须达到以下要求：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2.2.1在整个验收过程中没有维修、更换零部件或元件行为。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2.2.2所有出现的调整，每次调整时间均不超过</w:t>
      </w:r>
      <w:r>
        <w:rPr>
          <w:rFonts w:hint="eastAsia" w:ascii="宋体" w:hAnsi="宋体" w:eastAsia="宋体" w:cs="宋体"/>
          <w:sz w:val="24"/>
          <w:szCs w:val="24"/>
          <w:u w:val="single"/>
        </w:rPr>
        <w:t xml:space="preserve">   30    </w:t>
      </w:r>
      <w:r>
        <w:rPr>
          <w:rFonts w:hint="eastAsia" w:ascii="宋体" w:hAnsi="宋体" w:eastAsia="宋体" w:cs="宋体"/>
          <w:sz w:val="24"/>
          <w:szCs w:val="24"/>
        </w:rPr>
        <w:t>分钟。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2.2.3所有调整时间的总和不超过总运行时间的</w:t>
      </w:r>
      <w:r>
        <w:rPr>
          <w:rFonts w:hint="eastAsia" w:ascii="宋体" w:hAnsi="宋体" w:eastAsia="宋体" w:cs="宋体"/>
          <w:sz w:val="24"/>
          <w:szCs w:val="24"/>
          <w:u w:val="single"/>
        </w:rPr>
        <w:t xml:space="preserve">   5   </w:t>
      </w:r>
      <w:r>
        <w:rPr>
          <w:rFonts w:hint="eastAsia" w:ascii="宋体" w:hAnsi="宋体" w:eastAsia="宋体" w:cs="宋体"/>
          <w:sz w:val="24"/>
          <w:szCs w:val="24"/>
        </w:rPr>
        <w:t xml:space="preserve">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.3由</w:t>
      </w:r>
      <w:r>
        <w:rPr>
          <w:rFonts w:hint="eastAsia" w:ascii="宋体" w:hAnsi="宋体" w:eastAsia="宋体" w:cs="宋体"/>
          <w:sz w:val="24"/>
          <w:szCs w:val="24"/>
        </w:rPr>
        <w:t>招标方</w:t>
      </w:r>
      <w:r>
        <w:rPr>
          <w:rFonts w:ascii="宋体" w:hAnsi="宋体" w:eastAsia="宋体" w:cs="宋体"/>
          <w:sz w:val="24"/>
          <w:szCs w:val="24"/>
        </w:rPr>
        <w:t>和卖方共同编制终验收报告并签字确认</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.5最终验收以双方签订的合同和条件为准，逐项进行最终验收</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.6对于终验收</w:t>
      </w:r>
      <w:r>
        <w:rPr>
          <w:rFonts w:hint="eastAsia" w:ascii="宋体" w:hAnsi="宋体" w:eastAsia="宋体" w:cs="宋体"/>
          <w:sz w:val="24"/>
          <w:szCs w:val="24"/>
        </w:rPr>
        <w:t>招标方</w:t>
      </w:r>
      <w:r>
        <w:rPr>
          <w:rFonts w:ascii="宋体" w:hAnsi="宋体" w:eastAsia="宋体" w:cs="宋体"/>
          <w:sz w:val="24"/>
          <w:szCs w:val="24"/>
        </w:rPr>
        <w:t>提出的问题，卖方应在15个工作日内完成整改。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.7终验收通过后买卖双方共同签署终验收报告，并移交、核对全部供货范围内物品。</w:t>
      </w:r>
    </w:p>
    <w:p>
      <w:pPr>
        <w:adjustRightInd w:val="0"/>
        <w:snapToGrid w:val="0"/>
        <w:spacing w:line="360" w:lineRule="auto"/>
        <w:rPr>
          <w:rFonts w:ascii="宋体" w:hAnsi="宋体" w:eastAsia="宋体" w:cs="宋体"/>
          <w:sz w:val="24"/>
          <w:szCs w:val="24"/>
        </w:rPr>
      </w:pPr>
    </w:p>
    <w:p>
      <w:pPr>
        <w:pStyle w:val="17"/>
        <w:spacing w:line="360" w:lineRule="auto"/>
        <w:rPr>
          <w:rFonts w:hAnsi="宋体" w:eastAsia="宋体" w:cs="宋体"/>
          <w:sz w:val="24"/>
          <w:szCs w:val="24"/>
        </w:rPr>
      </w:pPr>
    </w:p>
    <w:p>
      <w:pPr>
        <w:pStyle w:val="133"/>
        <w:spacing w:line="360" w:lineRule="auto"/>
        <w:outlineLvl w:val="1"/>
        <w:rPr>
          <w:rFonts w:ascii="宋体" w:hAnsi="宋体" w:eastAsia="宋体" w:cs="宋体"/>
          <w:b/>
          <w:bCs w:val="0"/>
          <w:iCs/>
          <w:color w:val="auto"/>
          <w:sz w:val="24"/>
        </w:rPr>
      </w:pPr>
      <w:bookmarkStart w:id="38" w:name="_Toc465187647"/>
      <w:bookmarkStart w:id="39" w:name="_Toc30824"/>
      <w:bookmarkStart w:id="40" w:name="_Toc131008493"/>
      <w:r>
        <w:rPr>
          <w:rFonts w:hint="eastAsia" w:ascii="宋体" w:hAnsi="宋体" w:eastAsia="宋体" w:cs="宋体"/>
          <w:b/>
          <w:bCs w:val="0"/>
          <w:iCs/>
          <w:color w:val="auto"/>
          <w:sz w:val="24"/>
        </w:rPr>
        <w:t>第六章  投标技术文件一般要求</w:t>
      </w:r>
      <w:bookmarkEnd w:id="38"/>
      <w:bookmarkEnd w:id="39"/>
      <w:bookmarkEnd w:id="40"/>
    </w:p>
    <w:p>
      <w:pPr>
        <w:pStyle w:val="120"/>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7"/>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bl>
    <w:p>
      <w:pPr>
        <w:spacing w:line="360" w:lineRule="auto"/>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0"/>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0"/>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宋体" w:hAnsi="宋体" w:eastAsia="宋体" w:cs="宋体"/>
          <w:b w:val="0"/>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41" w:name="_Toc465187648"/>
    </w:p>
    <w:p>
      <w:pPr>
        <w:pStyle w:val="133"/>
        <w:spacing w:line="360" w:lineRule="auto"/>
        <w:outlineLvl w:val="1"/>
        <w:rPr>
          <w:rFonts w:ascii="宋体" w:hAnsi="宋体" w:eastAsia="宋体" w:cs="宋体"/>
          <w:b/>
          <w:bCs w:val="0"/>
          <w:iCs/>
          <w:color w:val="auto"/>
          <w:sz w:val="24"/>
        </w:rPr>
      </w:pPr>
      <w:bookmarkStart w:id="42" w:name="_Toc19570"/>
      <w:bookmarkStart w:id="43" w:name="_Toc131008494"/>
      <w:r>
        <w:rPr>
          <w:rFonts w:hint="eastAsia" w:ascii="宋体" w:hAnsi="宋体" w:eastAsia="宋体" w:cs="宋体"/>
          <w:b/>
          <w:bCs w:val="0"/>
          <w:iCs/>
          <w:color w:val="auto"/>
          <w:sz w:val="24"/>
        </w:rPr>
        <w:t>第七章  其它要求及说明</w:t>
      </w:r>
      <w:bookmarkEnd w:id="41"/>
      <w:bookmarkEnd w:id="42"/>
      <w:bookmarkEnd w:id="43"/>
    </w:p>
    <w:p>
      <w:pPr>
        <w:pStyle w:val="120"/>
        <w:spacing w:line="360" w:lineRule="auto"/>
        <w:rPr>
          <w:rFonts w:ascii="宋体" w:hAnsi="宋体" w:cs="宋体"/>
          <w:color w:val="auto"/>
        </w:rPr>
      </w:pPr>
      <w:r>
        <w:rPr>
          <w:rFonts w:hint="eastAsia" w:ascii="宋体" w:hAnsi="宋体" w:cs="宋体"/>
          <w:color w:val="auto"/>
        </w:rPr>
        <w:t>一、要求</w:t>
      </w:r>
    </w:p>
    <w:p>
      <w:pPr>
        <w:pStyle w:val="20"/>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人应当保证其业绩的真实性，否则将影响投标或中标资格。</w:t>
      </w:r>
    </w:p>
    <w:p>
      <w:pPr>
        <w:pStyle w:val="120"/>
        <w:spacing w:line="360" w:lineRule="auto"/>
        <w:rPr>
          <w:rFonts w:ascii="宋体" w:hAnsi="宋体" w:cs="宋体"/>
          <w:color w:val="auto"/>
        </w:rPr>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Ansi="宋体" w:eastAsia="宋体" w:cs="宋体"/>
          <w:sz w:val="24"/>
          <w:szCs w:val="24"/>
        </w:rPr>
        <w:sectPr>
          <w:footerReference r:id="rId18" w:type="first"/>
          <w:footerReference r:id="rId17" w:type="default"/>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sz w:val="24"/>
          <w:szCs w:val="24"/>
        </w:rPr>
      </w:pPr>
    </w:p>
    <w:p>
      <w:pPr>
        <w:pStyle w:val="17"/>
      </w:pPr>
    </w:p>
    <w:p>
      <w:pPr>
        <w:spacing w:line="360" w:lineRule="auto"/>
        <w:jc w:val="center"/>
        <w:outlineLvl w:val="0"/>
        <w:rPr>
          <w:rFonts w:ascii="宋体" w:hAnsi="Calibri" w:eastAsia="宋体" w:cs="Times New Roman"/>
          <w:b/>
          <w:sz w:val="36"/>
          <w:szCs w:val="36"/>
        </w:rPr>
      </w:pPr>
      <w:bookmarkStart w:id="4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5"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6" w:name="_Toc17619"/>
      <w:bookmarkStart w:id="47" w:name="_Toc16330018"/>
      <w:bookmarkStart w:id="48" w:name="_Toc11930"/>
      <w:bookmarkStart w:id="49" w:name="_Toc11823"/>
      <w:r>
        <w:rPr>
          <w:rFonts w:hint="eastAsia" w:ascii="黑体" w:hAnsi="黑体" w:eastAsia="黑体" w:cstheme="minorEastAsia"/>
          <w:b w:val="0"/>
          <w:sz w:val="28"/>
          <w:szCs w:val="28"/>
        </w:rPr>
        <w:t>1 合同设备</w:t>
      </w:r>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0" w:name="_Toc32510"/>
      <w:bookmarkStart w:id="51" w:name="_Toc22800"/>
      <w:bookmarkStart w:id="52"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16330019"/>
      <w:r>
        <w:rPr>
          <w:rFonts w:hint="eastAsia" w:ascii="黑体" w:hAnsi="黑体" w:eastAsia="黑体" w:cstheme="minorEastAsia"/>
          <w:b w:val="0"/>
          <w:sz w:val="28"/>
          <w:szCs w:val="28"/>
        </w:rPr>
        <w:t>2 包装</w:t>
      </w:r>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2833"/>
      <w:bookmarkStart w:id="55" w:name="_Toc16330020"/>
      <w:bookmarkStart w:id="56" w:name="_Toc27144"/>
      <w:bookmarkStart w:id="57" w:name="_Toc27453"/>
      <w:r>
        <w:rPr>
          <w:rFonts w:hint="eastAsia" w:ascii="黑体" w:hAnsi="黑体" w:eastAsia="黑体" w:cstheme="minorEastAsia"/>
          <w:b w:val="0"/>
          <w:sz w:val="28"/>
          <w:szCs w:val="28"/>
        </w:rPr>
        <w:t>3 运输标记</w:t>
      </w:r>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8" w:name="_Toc7431"/>
      <w:bookmarkStart w:id="59" w:name="_Toc16133"/>
      <w:bookmarkStart w:id="60" w:name="_Toc16330021"/>
      <w:bookmarkStart w:id="61" w:name="_Toc10630"/>
      <w:r>
        <w:rPr>
          <w:rFonts w:hint="eastAsia" w:ascii="黑体" w:hAnsi="黑体" w:eastAsia="黑体" w:cstheme="minorEastAsia"/>
          <w:b w:val="0"/>
          <w:sz w:val="28"/>
          <w:szCs w:val="28"/>
        </w:rPr>
        <w:t>4 检验</w:t>
      </w:r>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24467"/>
      <w:bookmarkStart w:id="63" w:name="_Toc19850"/>
      <w:bookmarkStart w:id="64" w:name="_Toc11217"/>
      <w:bookmarkStart w:id="65" w:name="_Toc16330022"/>
      <w:r>
        <w:rPr>
          <w:rFonts w:hint="eastAsia" w:ascii="黑体" w:hAnsi="黑体" w:eastAsia="黑体" w:cstheme="minorEastAsia"/>
          <w:b w:val="0"/>
          <w:sz w:val="28"/>
          <w:szCs w:val="28"/>
        </w:rPr>
        <w:t>5 权利担保</w:t>
      </w:r>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6" w:name="_Toc27500"/>
      <w:bookmarkStart w:id="67" w:name="_Toc11759"/>
      <w:bookmarkStart w:id="68" w:name="_Toc14809"/>
      <w:bookmarkStart w:id="69" w:name="_Toc16330023"/>
      <w:r>
        <w:rPr>
          <w:rFonts w:hint="eastAsia" w:ascii="黑体" w:hAnsi="黑体" w:eastAsia="黑体" w:cstheme="minorEastAsia"/>
          <w:b w:val="0"/>
          <w:sz w:val="28"/>
          <w:szCs w:val="28"/>
        </w:rPr>
        <w:t>6 交货</w:t>
      </w:r>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25510"/>
      <w:bookmarkStart w:id="71" w:name="_Toc2984"/>
      <w:bookmarkStart w:id="72" w:name="_Toc16330024"/>
      <w:bookmarkStart w:id="73" w:name="_Toc8024"/>
      <w:r>
        <w:rPr>
          <w:rFonts w:hint="eastAsia" w:ascii="黑体" w:hAnsi="黑体" w:eastAsia="黑体" w:cstheme="minorEastAsia"/>
          <w:b w:val="0"/>
          <w:sz w:val="28"/>
          <w:szCs w:val="28"/>
        </w:rPr>
        <w:t>7 安装、调试</w:t>
      </w:r>
      <w:bookmarkEnd w:id="70"/>
      <w:bookmarkEnd w:id="71"/>
      <w:bookmarkEnd w:id="72"/>
      <w:bookmarkEnd w:id="73"/>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4" w:name="_Toc14098"/>
      <w:bookmarkStart w:id="75" w:name="_Toc6350"/>
      <w:bookmarkStart w:id="76" w:name="_Toc14260"/>
      <w:bookmarkStart w:id="77" w:name="_Toc16330025"/>
      <w:r>
        <w:rPr>
          <w:rFonts w:hint="eastAsia" w:ascii="黑体" w:hAnsi="黑体" w:eastAsia="黑体" w:cstheme="minorEastAsia"/>
          <w:b w:val="0"/>
          <w:sz w:val="28"/>
          <w:szCs w:val="28"/>
        </w:rPr>
        <w:t>8 价款与支付</w:t>
      </w:r>
      <w:bookmarkEnd w:id="74"/>
      <w:bookmarkEnd w:id="75"/>
      <w:bookmarkEnd w:id="76"/>
      <w:bookmarkEnd w:id="7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8" w:name="_Toc14676804"/>
      <w:bookmarkStart w:id="79"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8"/>
      <w:bookmarkEnd w:id="79"/>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6726"/>
      <w:bookmarkStart w:id="81" w:name="_Toc16330026"/>
      <w:bookmarkStart w:id="82" w:name="_Toc25708"/>
      <w:bookmarkStart w:id="83" w:name="_Toc24085"/>
      <w:r>
        <w:rPr>
          <w:rFonts w:hint="eastAsia" w:ascii="黑体" w:hAnsi="黑体" w:eastAsia="黑体" w:cstheme="minorEastAsia"/>
          <w:b w:val="0"/>
          <w:sz w:val="28"/>
          <w:szCs w:val="28"/>
        </w:rPr>
        <w:t>9 质量保证及售后服务</w:t>
      </w:r>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4" w:name="_Toc12927"/>
      <w:bookmarkStart w:id="85" w:name="_Toc16330027"/>
      <w:bookmarkStart w:id="86" w:name="_Toc15570"/>
      <w:bookmarkStart w:id="87" w:name="_Toc10359"/>
      <w:r>
        <w:rPr>
          <w:rFonts w:hint="eastAsia" w:ascii="黑体" w:hAnsi="黑体" w:eastAsia="黑体" w:cstheme="minorEastAsia"/>
          <w:b w:val="0"/>
          <w:sz w:val="28"/>
          <w:szCs w:val="28"/>
        </w:rPr>
        <w:t>10法定责任</w:t>
      </w:r>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8" w:name="_Toc27314"/>
      <w:bookmarkStart w:id="89" w:name="_Toc30381"/>
      <w:bookmarkStart w:id="90" w:name="_Toc9708"/>
      <w:bookmarkStart w:id="91" w:name="_Toc16330028"/>
      <w:r>
        <w:rPr>
          <w:rFonts w:hint="eastAsia" w:ascii="黑体" w:hAnsi="黑体" w:eastAsia="黑体" w:cstheme="minorEastAsia"/>
          <w:b w:val="0"/>
          <w:sz w:val="28"/>
          <w:szCs w:val="28"/>
        </w:rPr>
        <w:t>11 违约责任</w:t>
      </w:r>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2" w:name="_Toc9172"/>
      <w:bookmarkStart w:id="93" w:name="_Toc1827"/>
      <w:bookmarkStart w:id="94" w:name="_Toc16330029"/>
      <w:bookmarkStart w:id="95" w:name="_Toc31554"/>
      <w:r>
        <w:rPr>
          <w:rFonts w:hint="eastAsia" w:ascii="黑体" w:hAnsi="黑体" w:eastAsia="黑体" w:cstheme="minorEastAsia"/>
          <w:b w:val="0"/>
          <w:sz w:val="28"/>
          <w:szCs w:val="28"/>
        </w:rPr>
        <w:t>12 合同的终止与解除</w:t>
      </w:r>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6" w:name="_Toc31945"/>
      <w:bookmarkStart w:id="97" w:name="_Toc16330030"/>
      <w:bookmarkStart w:id="98" w:name="_Toc8620"/>
      <w:bookmarkStart w:id="99" w:name="_Toc13671"/>
      <w:r>
        <w:rPr>
          <w:rFonts w:hint="eastAsia" w:ascii="黑体" w:hAnsi="黑体" w:eastAsia="黑体" w:cstheme="minorEastAsia"/>
          <w:b w:val="0"/>
          <w:sz w:val="28"/>
          <w:szCs w:val="28"/>
        </w:rPr>
        <w:t>13 不可抗力</w:t>
      </w:r>
      <w:bookmarkEnd w:id="96"/>
      <w:bookmarkEnd w:id="97"/>
      <w:bookmarkEnd w:id="98"/>
      <w:bookmarkEnd w:id="9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0" w:name="_Toc31243"/>
      <w:bookmarkStart w:id="101" w:name="_Toc16330031"/>
      <w:bookmarkStart w:id="102" w:name="_Toc637"/>
      <w:bookmarkStart w:id="103" w:name="_Toc30389"/>
      <w:r>
        <w:rPr>
          <w:rFonts w:hint="eastAsia" w:ascii="黑体" w:hAnsi="黑体" w:eastAsia="黑体" w:cstheme="minorEastAsia"/>
          <w:b w:val="0"/>
          <w:sz w:val="28"/>
          <w:szCs w:val="28"/>
        </w:rPr>
        <w:t>14 通讯</w:t>
      </w:r>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04" w:name="_Toc16330032"/>
      <w:bookmarkStart w:id="105" w:name="_Toc9915"/>
      <w:bookmarkStart w:id="106" w:name="_Toc11290"/>
      <w:bookmarkStart w:id="107" w:name="_Toc12984"/>
      <w:r>
        <w:rPr>
          <w:rFonts w:hint="eastAsia" w:ascii="黑体" w:hAnsi="黑体" w:eastAsia="黑体" w:cstheme="minorEastAsia"/>
          <w:b w:val="0"/>
          <w:sz w:val="28"/>
          <w:szCs w:val="28"/>
        </w:rPr>
        <w:t>15 适用法律及争议解决</w:t>
      </w:r>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8" w:name="_Toc23765"/>
      <w:bookmarkStart w:id="109" w:name="_Toc16330033"/>
      <w:bookmarkStart w:id="110" w:name="_Toc23906"/>
      <w:bookmarkStart w:id="111" w:name="_Toc18207"/>
      <w:r>
        <w:rPr>
          <w:rFonts w:hint="eastAsia" w:ascii="黑体" w:hAnsi="黑体" w:eastAsia="黑体" w:cstheme="minorEastAsia"/>
          <w:b w:val="0"/>
          <w:sz w:val="28"/>
          <w:szCs w:val="28"/>
        </w:rPr>
        <w:t>16 附件</w:t>
      </w:r>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2" w:name="_Toc17656"/>
      <w:bookmarkStart w:id="113" w:name="_Toc16330034"/>
      <w:bookmarkStart w:id="114" w:name="_Toc27202"/>
      <w:bookmarkStart w:id="115" w:name="_Toc31331"/>
      <w:r>
        <w:rPr>
          <w:rFonts w:hint="eastAsia" w:ascii="黑体" w:hAnsi="黑体" w:eastAsia="黑体" w:cstheme="minorEastAsia"/>
          <w:b w:val="0"/>
          <w:sz w:val="28"/>
          <w:szCs w:val="28"/>
        </w:rPr>
        <w:t>17 其他规定</w:t>
      </w:r>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6" w:name="_Toc19077"/>
      <w:bookmarkStart w:id="117" w:name="_Toc29136"/>
      <w:bookmarkStart w:id="118" w:name="_Toc16330035"/>
      <w:bookmarkStart w:id="119"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6"/>
      <w:bookmarkEnd w:id="117"/>
      <w:bookmarkEnd w:id="118"/>
      <w:bookmarkEnd w:id="11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0" w:name="_Toc24623"/>
      <w:bookmarkStart w:id="121" w:name="_Toc25120"/>
      <w:bookmarkStart w:id="122" w:name="_Toc5379"/>
      <w:bookmarkStart w:id="123" w:name="_Toc3778"/>
      <w:bookmarkStart w:id="124" w:name="_Toc16330037"/>
      <w:r>
        <w:rPr>
          <w:rFonts w:hint="eastAsia" w:asciiTheme="minorEastAsia" w:hAnsiTheme="minorEastAsia" w:eastAsiaTheme="minorEastAsia" w:cstheme="minorEastAsia"/>
          <w:sz w:val="20"/>
          <w:szCs w:val="20"/>
        </w:rPr>
        <w:br w:type="page"/>
      </w:r>
    </w:p>
    <w:p>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0"/>
      <w:bookmarkEnd w:id="121"/>
      <w:bookmarkEnd w:id="122"/>
      <w:bookmarkEnd w:id="123"/>
      <w:bookmarkEnd w:id="124"/>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5" w:name="_Toc14341849"/>
    </w:p>
    <w:p>
      <w:pPr>
        <w:ind w:right="480"/>
        <w:jc w:val="center"/>
        <w:rPr>
          <w:sz w:val="24"/>
          <w:szCs w:val="24"/>
        </w:rPr>
      </w:pPr>
      <w:r>
        <w:rPr>
          <w:rFonts w:hint="eastAsia" w:ascii="楷体_GB2312" w:hAnsi="宋体" w:eastAsia="楷体_GB2312"/>
          <w:sz w:val="24"/>
        </w:rPr>
        <w:t xml:space="preserve">                                    </w:t>
      </w:r>
    </w:p>
    <w:bookmarkEnd w:id="125"/>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5"/>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6" w:name="_Toc353881012"/>
      <w:bookmarkStart w:id="127" w:name="_Toc639004"/>
      <w:bookmarkStart w:id="128" w:name="_Toc212369550"/>
      <w:bookmarkStart w:id="12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6"/>
      <w:bookmarkEnd w:id="127"/>
      <w:bookmarkEnd w:id="128"/>
      <w:bookmarkEnd w:id="129"/>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济南部件公司下料外协收回自制-推力杆、拉杆下料生产线项目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lang w:eastAsia="zh-CN"/>
        </w:rPr>
        <w:t>济南部件公司下料外协收回自制-推力杆、拉杆下料生产线项目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项目编号</w:t>
      </w:r>
      <w:r>
        <w:rPr>
          <w:rFonts w:hint="eastAsia" w:ascii="宋体" w:hAnsi="宋体" w:eastAsia="宋体" w:cs="Times New Roman"/>
          <w:color w:val="000000"/>
          <w:sz w:val="24"/>
          <w:szCs w:val="24"/>
          <w:u w:val="single"/>
          <w:lang w:val="en-US" w:eastAsia="zh-CN"/>
        </w:rPr>
        <w:t>CGZX2025010191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2"/>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2"/>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2"/>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2"/>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14"/>
              <w:ind w:left="720"/>
            </w:pPr>
            <w:r>
              <w:t xml:space="preserve">品牌区分 </w:t>
            </w:r>
          </w:p>
        </w:tc>
        <w:tc>
          <w:tcPr>
            <w:tcW w:w="7500" w:type="dxa"/>
            <w:gridSpan w:val="6"/>
          </w:tcPr>
          <w:p>
            <w:pPr>
              <w:pStyle w:val="13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2"/>
              <w:spacing w:before="15"/>
              <w:ind w:left="279"/>
            </w:pPr>
            <w:r>
              <w:rPr>
                <w:spacing w:val="-2"/>
              </w:rPr>
              <w:t>质量</w:t>
            </w:r>
            <w:r>
              <w:t xml:space="preserve"> </w:t>
            </w:r>
          </w:p>
          <w:p>
            <w:pPr>
              <w:pStyle w:val="132"/>
              <w:spacing w:before="30" w:line="277" w:lineRule="exact"/>
              <w:ind w:left="279"/>
            </w:pPr>
            <w:r>
              <w:rPr>
                <w:rFonts w:hint="eastAsia"/>
              </w:rPr>
              <w:t>体系</w:t>
            </w:r>
          </w:p>
        </w:tc>
        <w:tc>
          <w:tcPr>
            <w:tcW w:w="2820" w:type="dxa"/>
            <w:gridSpan w:val="2"/>
          </w:tcPr>
          <w:p>
            <w:pPr>
              <w:pStyle w:val="132"/>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2"/>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济南部件公司下料外协收回自制-推力杆、拉杆下料生产线项目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济南部件公司下料外协收回自制-推力杆、拉杆下料生产线项目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suppressLineNumbers w:val="0"/>
              <w:spacing w:before="0" w:beforeAutospacing="0" w:after="0" w:afterAutospacing="0" w:line="360" w:lineRule="exact"/>
              <w:ind w:left="0" w:leftChars="0" w:right="0" w:rightChars="0"/>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济南部件公司下料外协收回自制-推力杆、拉杆下料生产线项目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3" w:type="first"/>
          <w:footerReference r:id="rId3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color w:val="000000"/>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color w:val="000000"/>
          <w:sz w:val="24"/>
          <w:szCs w:val="24"/>
          <w:u w:val="single"/>
          <w:lang w:eastAsia="zh-CN"/>
        </w:rPr>
        <w:t>济南部件公司下料外协收回自制-推力杆、拉杆下料生产线项目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济南部件公司下料外协收回自制-推力杆、拉杆下料生产线项目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lang w:eastAsia="zh-CN"/>
              </w:rPr>
              <w:t>下料外协收回自制-推力杆、拉杆下料生产线项目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附件9</w:t>
      </w:r>
      <w:r>
        <w:rPr>
          <w:rFonts w:hint="eastAsia" w:ascii="宋体" w:hAnsi="宋体" w:cs="宋体"/>
          <w:color w:val="000000"/>
          <w:sz w:val="24"/>
          <w:szCs w:val="24"/>
          <w:lang w:val="en-US" w:eastAsia="zh-CN"/>
        </w:rPr>
        <w:t>-1</w:t>
      </w:r>
      <w:r>
        <w:rPr>
          <w:rFonts w:hint="eastAsia" w:ascii="宋体" w:hAnsi="宋体" w:cs="宋体"/>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上料输送系统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激光切割</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分料输送系统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倒角单元</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打码单元</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下料系统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整线控制系统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锯床设备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包装运输及现场调试</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其他</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2" w:line="221" w:lineRule="auto"/>
        <w:ind w:left="9"/>
        <w:jc w:val="right"/>
        <w:rPr>
          <w:rFonts w:ascii="宋体" w:hAnsi="宋体" w:eastAsia="宋体" w:cs="Times New Roman"/>
          <w:b/>
          <w:bCs/>
          <w:sz w:val="24"/>
          <w:szCs w:val="24"/>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6"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济南部件公司下料外协收回自制-推力杆、拉杆下料生产线项目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lang w:eastAsia="zh-CN"/>
        </w:rPr>
        <w:t>济南部件公司下料外协收回自制-推力杆、拉杆下料生产线项目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color w:val="000000"/>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eastAsia="zh-CN"/>
        </w:rPr>
        <w:t>济南部件公司下料外协收回自制-推力杆、拉杆下料生产线项目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Times New Roman"/>
                <w:color w:val="000000"/>
                <w:sz w:val="24"/>
                <w:szCs w:val="24"/>
                <w:u w:val="single"/>
                <w:lang w:eastAsia="zh-CN"/>
              </w:rPr>
            </w:pPr>
            <w:r>
              <w:rPr>
                <w:rFonts w:hint="eastAsia" w:ascii="宋体" w:hAnsi="宋体" w:eastAsia="宋体" w:cs="宋体"/>
                <w:b/>
                <w:szCs w:val="20"/>
              </w:rPr>
              <w:t>项目名称：</w:t>
            </w:r>
            <w:r>
              <w:rPr>
                <w:rFonts w:hint="eastAsia" w:ascii="宋体" w:hAnsi="宋体" w:eastAsia="宋体" w:cs="Times New Roman"/>
                <w:color w:val="000000"/>
                <w:sz w:val="24"/>
                <w:szCs w:val="24"/>
                <w:u w:val="single"/>
                <w:lang w:eastAsia="zh-CN"/>
              </w:rPr>
              <w:t>济南部件公司下料外协收回自制-推力杆、拉杆下料生产线项目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eastAsia="宋体" w:cs="Times New Roman"/>
                <w:bCs/>
                <w:szCs w:val="21"/>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pPr>
              <w:tabs>
                <w:tab w:val="left" w:pos="13965"/>
              </w:tabs>
              <w:spacing w:line="420" w:lineRule="exact"/>
              <w:jc w:val="center"/>
              <w:rPr>
                <w:rFonts w:hint="default" w:ascii="宋体" w:hAnsi="宋体" w:eastAsia="宋体"/>
                <w:szCs w:val="21"/>
                <w:lang w:val="en-US" w:eastAsia="zh-CN"/>
              </w:rPr>
            </w:pPr>
            <w:r>
              <w:rPr>
                <w:rFonts w:ascii="宋体" w:hAnsi="宋体" w:eastAsia="宋体" w:cs="Times New Roman"/>
                <w:szCs w:val="21"/>
              </w:rPr>
              <w:t>20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eastAsia="宋体" w:cs="Times New Roman"/>
                <w:bCs/>
                <w:szCs w:val="21"/>
              </w:rPr>
              <w:t>投标人的装备制造能力、生产设备、加工工艺先进、完善程度，视情况得0-</w:t>
            </w:r>
            <w:r>
              <w:rPr>
                <w:rFonts w:ascii="宋体" w:hAnsi="宋体" w:eastAsia="宋体" w:cs="Times New Roman"/>
                <w:bCs/>
                <w:szCs w:val="21"/>
              </w:rPr>
              <w:t>2</w:t>
            </w:r>
            <w:r>
              <w:rPr>
                <w:rFonts w:hint="eastAsia" w:ascii="宋体" w:hAnsi="宋体" w:eastAsia="宋体"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cs="Times New Roman"/>
                <w:szCs w:val="21"/>
              </w:rPr>
              <w:t>40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eastAsia="宋体" w:cs="Times New Roman"/>
                <w:bCs/>
                <w:szCs w:val="21"/>
              </w:rPr>
              <w:t>产品方案技术先进、各系统完善、性能可靠，设备主要核心部件，具备自身技术优势，节能环保，视情况得0-40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eastAsia="宋体" w:cs="Times New Roman"/>
                <w:bCs/>
                <w:szCs w:val="21"/>
              </w:rPr>
              <w:t>易于维修、操作方便，产品附件配置齐全，质量可靠，设备在使用期内的维护费用，视情况得0-</w:t>
            </w:r>
            <w:r>
              <w:rPr>
                <w:rFonts w:ascii="宋体" w:hAnsi="宋体" w:eastAsia="宋体" w:cs="Times New Roman"/>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bCs/>
                <w:szCs w:val="21"/>
              </w:rPr>
              <w:t>计划控制及项目交期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有详细可行的项目计划能保证项目进度，有风险管理，可以提前完成项目交货，综合评审，自主赋分。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宋体" w:hAnsi="Times New Roman" w:eastAsia="宋体"/>
                <w:bCs/>
                <w:szCs w:val="21"/>
              </w:rPr>
            </w:pPr>
            <w:r>
              <w:rPr>
                <w:rFonts w:hint="eastAsia" w:ascii="宋体" w:hAnsi="Times New Roman" w:eastAsia="宋体" w:cs="Times New Roman"/>
                <w:bCs/>
                <w:szCs w:val="21"/>
              </w:rPr>
              <w:t>技术方案优于招标要求的加分，不满足招标要求的减分，综合评议，自主赋分。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eastAsia="宋体" w:cs="Times New Roman"/>
                <w:szCs w:val="21"/>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lang w:val="en-US" w:eastAsia="zh-CN"/>
              </w:rPr>
            </w:pPr>
            <w:r>
              <w:rPr>
                <w:rFonts w:hint="eastAsia" w:ascii="宋体" w:hAnsi="宋体" w:eastAsia="宋体" w:cs="Times New Roman"/>
                <w:szCs w:val="21"/>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Cs/>
                <w:szCs w:val="21"/>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szCs w:val="21"/>
                <w:lang w:val="en-US" w:eastAsia="zh-CN"/>
              </w:rPr>
            </w:pPr>
            <w:r>
              <w:rPr>
                <w:rFonts w:hint="eastAsia" w:ascii="宋体" w:hAnsi="宋体" w:eastAsia="宋体" w:cs="Times New Roman"/>
                <w:szCs w:val="21"/>
              </w:rPr>
              <w:t>售后服务</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Times New Roman" w:eastAsiaTheme="minorEastAsia"/>
                <w:bCs/>
                <w:szCs w:val="21"/>
                <w:lang w:val="en-US" w:eastAsia="zh-CN"/>
              </w:rPr>
            </w:pPr>
            <w:r>
              <w:rPr>
                <w:rFonts w:hint="eastAsia" w:ascii="宋体" w:hAnsi="Times New Roman" w:eastAsia="宋体" w:cs="Times New Roman"/>
                <w:bCs/>
                <w:szCs w:val="21"/>
              </w:rPr>
              <w:t>根据投标文件中提供的质量保证措施、售后服务方案等的响应情况综合评审赋分。</w:t>
            </w:r>
          </w:p>
        </w:tc>
      </w:tr>
    </w:tbl>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DI5Y2FjZjI2YWE1MWM3MGY1MzM4Yzg2MWMyZD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03580"/>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7433E3"/>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4E8234B"/>
    <w:rsid w:val="05000C0B"/>
    <w:rsid w:val="05174255"/>
    <w:rsid w:val="05412745"/>
    <w:rsid w:val="05491761"/>
    <w:rsid w:val="05515CC6"/>
    <w:rsid w:val="055D755A"/>
    <w:rsid w:val="058761A0"/>
    <w:rsid w:val="05A351AD"/>
    <w:rsid w:val="05F9748A"/>
    <w:rsid w:val="06266F78"/>
    <w:rsid w:val="063E7B7A"/>
    <w:rsid w:val="065344DE"/>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652BF"/>
    <w:rsid w:val="0D08498F"/>
    <w:rsid w:val="0D0C2B7B"/>
    <w:rsid w:val="0D9308F8"/>
    <w:rsid w:val="0DBD59BE"/>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2E0649"/>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2FE34CD"/>
    <w:rsid w:val="13057392"/>
    <w:rsid w:val="13695B36"/>
    <w:rsid w:val="1372609F"/>
    <w:rsid w:val="13837C04"/>
    <w:rsid w:val="138A301D"/>
    <w:rsid w:val="13CD6F8A"/>
    <w:rsid w:val="13D73572"/>
    <w:rsid w:val="141476FE"/>
    <w:rsid w:val="1449272D"/>
    <w:rsid w:val="14504752"/>
    <w:rsid w:val="145A6A37"/>
    <w:rsid w:val="1467440F"/>
    <w:rsid w:val="146B2014"/>
    <w:rsid w:val="147F6DAD"/>
    <w:rsid w:val="14846AB8"/>
    <w:rsid w:val="14E05B4D"/>
    <w:rsid w:val="14FA1F7A"/>
    <w:rsid w:val="153B68FF"/>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C438A3"/>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2B831EE"/>
    <w:rsid w:val="236356D1"/>
    <w:rsid w:val="23672FA4"/>
    <w:rsid w:val="23A45F21"/>
    <w:rsid w:val="23A91C83"/>
    <w:rsid w:val="23C962E8"/>
    <w:rsid w:val="243F7403"/>
    <w:rsid w:val="247E4FED"/>
    <w:rsid w:val="249059E1"/>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02B2B"/>
    <w:rsid w:val="26ED706D"/>
    <w:rsid w:val="26F853FE"/>
    <w:rsid w:val="26F92E80"/>
    <w:rsid w:val="270D66E8"/>
    <w:rsid w:val="27514612"/>
    <w:rsid w:val="278B0DAB"/>
    <w:rsid w:val="278D3850"/>
    <w:rsid w:val="278D3F67"/>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25AFD"/>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8C4439"/>
    <w:rsid w:val="2F933A9E"/>
    <w:rsid w:val="2FA12EAC"/>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081E1D"/>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825E89"/>
    <w:rsid w:val="39DC5BB6"/>
    <w:rsid w:val="39F1031B"/>
    <w:rsid w:val="3A074847"/>
    <w:rsid w:val="3A830B2E"/>
    <w:rsid w:val="3AA90FE6"/>
    <w:rsid w:val="3AA9318F"/>
    <w:rsid w:val="3AB62DA0"/>
    <w:rsid w:val="3AD04447"/>
    <w:rsid w:val="3AEA41B5"/>
    <w:rsid w:val="3B414BC4"/>
    <w:rsid w:val="3B602B9B"/>
    <w:rsid w:val="3B69577B"/>
    <w:rsid w:val="3B702D85"/>
    <w:rsid w:val="3B7905A1"/>
    <w:rsid w:val="3B7D3FD5"/>
    <w:rsid w:val="3B823DDF"/>
    <w:rsid w:val="3BC710C3"/>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2F63F5"/>
    <w:rsid w:val="40376375"/>
    <w:rsid w:val="407D0E43"/>
    <w:rsid w:val="40924768"/>
    <w:rsid w:val="40956EC5"/>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6FC6FEB"/>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37164"/>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374C8"/>
    <w:rsid w:val="4E2E4393"/>
    <w:rsid w:val="4E4478F5"/>
    <w:rsid w:val="4E535EF2"/>
    <w:rsid w:val="4EA75E6A"/>
    <w:rsid w:val="4EDF49D9"/>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19638F"/>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317CE"/>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43A15"/>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A45B9B"/>
    <w:rsid w:val="5D0E2082"/>
    <w:rsid w:val="5D161948"/>
    <w:rsid w:val="5D722852"/>
    <w:rsid w:val="5E1D6F56"/>
    <w:rsid w:val="5E52187F"/>
    <w:rsid w:val="5E6A13CD"/>
    <w:rsid w:val="5E705D15"/>
    <w:rsid w:val="5E93326C"/>
    <w:rsid w:val="5E9F1A7A"/>
    <w:rsid w:val="5EAB5261"/>
    <w:rsid w:val="5EAF3818"/>
    <w:rsid w:val="5EE62ABD"/>
    <w:rsid w:val="5EEC216D"/>
    <w:rsid w:val="5EFB4BA4"/>
    <w:rsid w:val="5EFD23AE"/>
    <w:rsid w:val="5F025452"/>
    <w:rsid w:val="5F5F46B5"/>
    <w:rsid w:val="5FB25360"/>
    <w:rsid w:val="5FBA3CC0"/>
    <w:rsid w:val="5FCC7286"/>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C81060"/>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5F45EF8"/>
    <w:rsid w:val="66174109"/>
    <w:rsid w:val="6617798C"/>
    <w:rsid w:val="66307F76"/>
    <w:rsid w:val="66580EAF"/>
    <w:rsid w:val="66694D0D"/>
    <w:rsid w:val="667B4472"/>
    <w:rsid w:val="66F041A8"/>
    <w:rsid w:val="6721178A"/>
    <w:rsid w:val="6739399A"/>
    <w:rsid w:val="673F39DE"/>
    <w:rsid w:val="674B6722"/>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F5389"/>
    <w:rsid w:val="6CD62D03"/>
    <w:rsid w:val="6CD97FB6"/>
    <w:rsid w:val="6D0B1173"/>
    <w:rsid w:val="6D0E5050"/>
    <w:rsid w:val="6D397DD1"/>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3B4E1E"/>
    <w:rsid w:val="71691ABB"/>
    <w:rsid w:val="718D0958"/>
    <w:rsid w:val="71AE1AEA"/>
    <w:rsid w:val="71CF3B6C"/>
    <w:rsid w:val="71F80F33"/>
    <w:rsid w:val="722922C6"/>
    <w:rsid w:val="72367C59"/>
    <w:rsid w:val="723C5278"/>
    <w:rsid w:val="723F4D5F"/>
    <w:rsid w:val="72532C9F"/>
    <w:rsid w:val="727176A7"/>
    <w:rsid w:val="72CB03A1"/>
    <w:rsid w:val="73047240"/>
    <w:rsid w:val="73096F4B"/>
    <w:rsid w:val="730F5864"/>
    <w:rsid w:val="732D4B5D"/>
    <w:rsid w:val="73393C88"/>
    <w:rsid w:val="7362513F"/>
    <w:rsid w:val="736612A1"/>
    <w:rsid w:val="73771D49"/>
    <w:rsid w:val="73846894"/>
    <w:rsid w:val="738B299C"/>
    <w:rsid w:val="73A1354E"/>
    <w:rsid w:val="73CB7009"/>
    <w:rsid w:val="73F12089"/>
    <w:rsid w:val="73FE05FF"/>
    <w:rsid w:val="73FE4ED9"/>
    <w:rsid w:val="743D3AC4"/>
    <w:rsid w:val="746E0500"/>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7569C7"/>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7475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C52305"/>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1"/>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2"/>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0"/>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3"/>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4"/>
    <w:qFormat/>
    <w:uiPriority w:val="0"/>
    <w:pPr>
      <w:ind w:left="100" w:leftChars="2500"/>
    </w:pPr>
    <w:rPr>
      <w:sz w:val="24"/>
    </w:rPr>
  </w:style>
  <w:style w:type="paragraph" w:styleId="20">
    <w:name w:val="Body Text Indent 2"/>
    <w:basedOn w:val="1"/>
    <w:link w:val="52"/>
    <w:qFormat/>
    <w:uiPriority w:val="0"/>
    <w:pPr>
      <w:spacing w:after="120" w:line="480" w:lineRule="auto"/>
      <w:ind w:left="420" w:leftChars="200"/>
    </w:pPr>
  </w:style>
  <w:style w:type="paragraph" w:styleId="21">
    <w:name w:val="Balloon Text"/>
    <w:basedOn w:val="1"/>
    <w:link w:val="68"/>
    <w:qFormat/>
    <w:uiPriority w:val="0"/>
    <w:rPr>
      <w:sz w:val="18"/>
    </w:rPr>
  </w:style>
  <w:style w:type="paragraph" w:styleId="22">
    <w:name w:val="footer"/>
    <w:basedOn w:val="1"/>
    <w:link w:val="74"/>
    <w:qFormat/>
    <w:uiPriority w:val="99"/>
    <w:pPr>
      <w:tabs>
        <w:tab w:val="center" w:pos="4153"/>
        <w:tab w:val="right" w:pos="8306"/>
      </w:tabs>
      <w:snapToGrid w:val="0"/>
      <w:jc w:val="left"/>
    </w:pPr>
    <w:rPr>
      <w:sz w:val="18"/>
    </w:rPr>
  </w:style>
  <w:style w:type="paragraph" w:styleId="23">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4"/>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qFormat/>
    <w:uiPriority w:val="0"/>
    <w:rPr>
      <w:b/>
    </w:rPr>
  </w:style>
  <w:style w:type="paragraph" w:styleId="36">
    <w:name w:val="Body Text First Indent 2"/>
    <w:basedOn w:val="13"/>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paragraph" w:customStyle="1" w:styleId="47">
    <w:name w:val="Fließtext"/>
    <w:basedOn w:val="1"/>
    <w:qFormat/>
    <w:uiPriority w:val="99"/>
    <w:pPr>
      <w:widowControl/>
      <w:ind w:left="1134"/>
      <w:jc w:val="left"/>
    </w:pPr>
    <w:rPr>
      <w:rFonts w:ascii="Arial" w:hAnsi="Arial"/>
      <w:kern w:val="0"/>
      <w:szCs w:val="20"/>
      <w:lang w:val="de-DE" w:eastAsia="de-DE"/>
    </w:rPr>
  </w:style>
  <w:style w:type="character" w:customStyle="1" w:styleId="48">
    <w:name w:val="标题 1 字符"/>
    <w:basedOn w:val="39"/>
    <w:link w:val="2"/>
    <w:qFormat/>
    <w:uiPriority w:val="9"/>
    <w:rPr>
      <w:rFonts w:ascii="Calibri" w:hAnsi="Calibri" w:eastAsia="宋体" w:cs="Times New Roman"/>
      <w:b/>
      <w:bCs/>
      <w:kern w:val="44"/>
      <w:sz w:val="36"/>
      <w:szCs w:val="44"/>
    </w:rPr>
  </w:style>
  <w:style w:type="character" w:customStyle="1" w:styleId="49">
    <w:name w:val="标题 2 字符"/>
    <w:basedOn w:val="39"/>
    <w:link w:val="3"/>
    <w:qFormat/>
    <w:uiPriority w:val="9"/>
    <w:rPr>
      <w:rFonts w:ascii="Arial" w:hAnsi="Arial" w:eastAsia="宋体" w:cs="Times New Roman"/>
      <w:b/>
      <w:bCs/>
      <w:sz w:val="24"/>
      <w:szCs w:val="32"/>
    </w:rPr>
  </w:style>
  <w:style w:type="character" w:customStyle="1" w:styleId="50">
    <w:name w:val="标题 3 字符"/>
    <w:basedOn w:val="39"/>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0"/>
    <w:qFormat/>
    <w:locked/>
    <w:uiPriority w:val="0"/>
  </w:style>
  <w:style w:type="character" w:customStyle="1" w:styleId="53">
    <w:name w:val="批注主题 字符"/>
    <w:link w:val="35"/>
    <w:qFormat/>
    <w:locked/>
    <w:uiPriority w:val="0"/>
    <w:rPr>
      <w:b/>
    </w:rPr>
  </w:style>
  <w:style w:type="character" w:customStyle="1" w:styleId="54">
    <w:name w:val="正文文本缩进 3 字符"/>
    <w:link w:val="28"/>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39"/>
    <w:qFormat/>
    <w:uiPriority w:val="0"/>
    <w:rPr>
      <w:rFonts w:cs="Times New Roman"/>
    </w:rPr>
  </w:style>
  <w:style w:type="character" w:customStyle="1" w:styleId="60">
    <w:name w:val="页眉 字符"/>
    <w:link w:val="23"/>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0"/>
    <w:qFormat/>
    <w:locked/>
    <w:uiPriority w:val="0"/>
  </w:style>
  <w:style w:type="character" w:customStyle="1" w:styleId="63">
    <w:name w:val="标题 字符"/>
    <w:link w:val="34"/>
    <w:qFormat/>
    <w:locked/>
    <w:uiPriority w:val="0"/>
    <w:rPr>
      <w:rFonts w:ascii="Arial" w:hAnsi="Arial"/>
      <w:b/>
      <w:sz w:val="32"/>
    </w:rPr>
  </w:style>
  <w:style w:type="character" w:customStyle="1" w:styleId="64">
    <w:name w:val="日期 字符"/>
    <w:link w:val="19"/>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1"/>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8"/>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7"/>
    <w:qFormat/>
    <w:locked/>
    <w:uiPriority w:val="0"/>
    <w:rPr>
      <w:rFonts w:ascii="宋体" w:hAnsi="Courier New"/>
    </w:rPr>
  </w:style>
  <w:style w:type="character" w:customStyle="1" w:styleId="74">
    <w:name w:val="页脚 字符"/>
    <w:link w:val="22"/>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39"/>
    <w:semiHidden/>
    <w:qFormat/>
    <w:uiPriority w:val="99"/>
  </w:style>
  <w:style w:type="character" w:customStyle="1" w:styleId="79">
    <w:name w:val="批注文字 字符11"/>
    <w:basedOn w:val="39"/>
    <w:qFormat/>
    <w:uiPriority w:val="0"/>
    <w:rPr>
      <w:rFonts w:cs="Times New Roman"/>
      <w:kern w:val="2"/>
      <w:sz w:val="21"/>
    </w:rPr>
  </w:style>
  <w:style w:type="character" w:customStyle="1" w:styleId="80">
    <w:name w:val="正文文本缩进 字符"/>
    <w:basedOn w:val="39"/>
    <w:link w:val="13"/>
    <w:qFormat/>
    <w:uiPriority w:val="99"/>
    <w:rPr>
      <w:rFonts w:ascii="Calibri" w:hAnsi="Calibri" w:eastAsia="宋体" w:cs="Times New Roman"/>
      <w:szCs w:val="20"/>
    </w:rPr>
  </w:style>
  <w:style w:type="character" w:customStyle="1" w:styleId="81">
    <w:name w:val="文档结构图 字符1"/>
    <w:basedOn w:val="39"/>
    <w:semiHidden/>
    <w:qFormat/>
    <w:uiPriority w:val="99"/>
    <w:rPr>
      <w:rFonts w:ascii="Microsoft YaHei UI" w:eastAsia="Microsoft YaHei UI"/>
      <w:sz w:val="18"/>
      <w:szCs w:val="18"/>
    </w:rPr>
  </w:style>
  <w:style w:type="character" w:customStyle="1" w:styleId="82">
    <w:name w:val="文档结构图 字符11"/>
    <w:basedOn w:val="39"/>
    <w:semiHidden/>
    <w:qFormat/>
    <w:uiPriority w:val="99"/>
    <w:rPr>
      <w:rFonts w:ascii="Microsoft YaHei UI" w:eastAsia="Microsoft YaHei UI" w:cs="Times New Roman"/>
      <w:kern w:val="2"/>
      <w:sz w:val="18"/>
      <w:szCs w:val="18"/>
    </w:rPr>
  </w:style>
  <w:style w:type="character" w:customStyle="1" w:styleId="83">
    <w:name w:val="正文文本 字符"/>
    <w:basedOn w:val="39"/>
    <w:link w:val="12"/>
    <w:qFormat/>
    <w:uiPriority w:val="99"/>
    <w:rPr>
      <w:rFonts w:ascii="Calibri" w:hAnsi="Calibri" w:eastAsia="新宋体" w:cs="Times New Roman"/>
      <w:szCs w:val="21"/>
    </w:rPr>
  </w:style>
  <w:style w:type="character" w:customStyle="1" w:styleId="84">
    <w:name w:val="纯文本 字符1"/>
    <w:basedOn w:val="39"/>
    <w:semiHidden/>
    <w:qFormat/>
    <w:uiPriority w:val="99"/>
    <w:rPr>
      <w:rFonts w:hAnsi="Courier New" w:cs="Courier New" w:asciiTheme="minorEastAsia"/>
    </w:rPr>
  </w:style>
  <w:style w:type="character" w:customStyle="1" w:styleId="85">
    <w:name w:val="纯文本 字符11"/>
    <w:basedOn w:val="39"/>
    <w:qFormat/>
    <w:uiPriority w:val="0"/>
    <w:rPr>
      <w:rFonts w:hAnsi="Courier New" w:cs="Courier New" w:asciiTheme="minorEastAsia" w:eastAsiaTheme="minorEastAsia"/>
      <w:kern w:val="2"/>
      <w:sz w:val="21"/>
    </w:rPr>
  </w:style>
  <w:style w:type="character" w:customStyle="1" w:styleId="86">
    <w:name w:val="页眉 字符1"/>
    <w:basedOn w:val="39"/>
    <w:semiHidden/>
    <w:qFormat/>
    <w:uiPriority w:val="99"/>
    <w:rPr>
      <w:sz w:val="18"/>
      <w:szCs w:val="18"/>
    </w:rPr>
  </w:style>
  <w:style w:type="character" w:customStyle="1" w:styleId="87">
    <w:name w:val="页眉 字符11"/>
    <w:basedOn w:val="39"/>
    <w:semiHidden/>
    <w:qFormat/>
    <w:uiPriority w:val="99"/>
    <w:rPr>
      <w:rFonts w:cs="Times New Roman"/>
      <w:kern w:val="2"/>
      <w:sz w:val="18"/>
      <w:szCs w:val="18"/>
    </w:rPr>
  </w:style>
  <w:style w:type="character" w:customStyle="1" w:styleId="88">
    <w:name w:val="批注框文本 字符1"/>
    <w:basedOn w:val="39"/>
    <w:semiHidden/>
    <w:qFormat/>
    <w:uiPriority w:val="99"/>
    <w:rPr>
      <w:sz w:val="18"/>
      <w:szCs w:val="18"/>
    </w:rPr>
  </w:style>
  <w:style w:type="character" w:customStyle="1" w:styleId="89">
    <w:name w:val="批注框文本 字符11"/>
    <w:basedOn w:val="39"/>
    <w:semiHidden/>
    <w:qFormat/>
    <w:uiPriority w:val="99"/>
    <w:rPr>
      <w:rFonts w:cs="Times New Roman"/>
      <w:kern w:val="2"/>
      <w:sz w:val="18"/>
      <w:szCs w:val="18"/>
    </w:rPr>
  </w:style>
  <w:style w:type="character" w:customStyle="1" w:styleId="90">
    <w:name w:val="日期 字符1"/>
    <w:basedOn w:val="39"/>
    <w:semiHidden/>
    <w:qFormat/>
    <w:uiPriority w:val="99"/>
  </w:style>
  <w:style w:type="character" w:customStyle="1" w:styleId="91">
    <w:name w:val="日期 字符11"/>
    <w:basedOn w:val="39"/>
    <w:semiHidden/>
    <w:qFormat/>
    <w:uiPriority w:val="99"/>
    <w:rPr>
      <w:rFonts w:cs="Times New Roman"/>
      <w:kern w:val="2"/>
      <w:sz w:val="21"/>
    </w:rPr>
  </w:style>
  <w:style w:type="character" w:customStyle="1" w:styleId="92">
    <w:name w:val="页脚 字符1"/>
    <w:basedOn w:val="39"/>
    <w:semiHidden/>
    <w:qFormat/>
    <w:uiPriority w:val="99"/>
    <w:rPr>
      <w:sz w:val="18"/>
      <w:szCs w:val="18"/>
    </w:rPr>
  </w:style>
  <w:style w:type="character" w:customStyle="1" w:styleId="93">
    <w:name w:val="页脚 字符11"/>
    <w:basedOn w:val="39"/>
    <w:semiHidden/>
    <w:qFormat/>
    <w:uiPriority w:val="99"/>
    <w:rPr>
      <w:rFonts w:cs="Times New Roman"/>
      <w:kern w:val="2"/>
      <w:sz w:val="18"/>
      <w:szCs w:val="18"/>
    </w:rPr>
  </w:style>
  <w:style w:type="character" w:customStyle="1" w:styleId="94">
    <w:name w:val="正文文本缩进 2 字符1"/>
    <w:basedOn w:val="39"/>
    <w:semiHidden/>
    <w:qFormat/>
    <w:uiPriority w:val="99"/>
  </w:style>
  <w:style w:type="character" w:customStyle="1" w:styleId="95">
    <w:name w:val="正文文本缩进 2 字符11"/>
    <w:basedOn w:val="39"/>
    <w:semiHidden/>
    <w:qFormat/>
    <w:uiPriority w:val="99"/>
    <w:rPr>
      <w:rFonts w:cs="Times New Roman"/>
      <w:kern w:val="2"/>
      <w:sz w:val="21"/>
    </w:rPr>
  </w:style>
  <w:style w:type="character" w:customStyle="1" w:styleId="96">
    <w:name w:val="正文文本缩进 3 字符1"/>
    <w:basedOn w:val="39"/>
    <w:semiHidden/>
    <w:qFormat/>
    <w:uiPriority w:val="99"/>
    <w:rPr>
      <w:sz w:val="16"/>
      <w:szCs w:val="16"/>
    </w:rPr>
  </w:style>
  <w:style w:type="character" w:customStyle="1" w:styleId="97">
    <w:name w:val="正文文本缩进 3 字符11"/>
    <w:basedOn w:val="39"/>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39"/>
    <w:qFormat/>
    <w:uiPriority w:val="10"/>
    <w:rPr>
      <w:rFonts w:asciiTheme="majorHAnsi" w:hAnsiTheme="majorHAnsi" w:eastAsiaTheme="majorEastAsia" w:cstheme="majorBidi"/>
      <w:b/>
      <w:bCs/>
      <w:sz w:val="32"/>
      <w:szCs w:val="32"/>
    </w:rPr>
  </w:style>
  <w:style w:type="character" w:customStyle="1" w:styleId="101">
    <w:name w:val="标题 字符11"/>
    <w:basedOn w:val="39"/>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7"/>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4">
    <w:name w:val="无间隔1"/>
    <w:qFormat/>
    <w:uiPriority w:val="0"/>
    <w:rPr>
      <w:rFonts w:ascii="Calibri" w:hAnsi="Calibri" w:eastAsia="Calibri" w:cs="Times New Roman"/>
      <w:szCs w:val="22"/>
      <w:lang w:val="en-GB" w:eastAsia="en-US" w:bidi="ar-SA"/>
    </w:rPr>
  </w:style>
  <w:style w:type="paragraph" w:customStyle="1" w:styleId="135">
    <w:name w:val="CM22"/>
    <w:basedOn w:val="76"/>
    <w:next w:val="76"/>
    <w:qFormat/>
    <w:uiPriority w:val="0"/>
    <w:pPr>
      <w:spacing w:after="125"/>
    </w:pPr>
    <w:rPr>
      <w:rFonts w:cs="Times New Roman"/>
      <w:color w:val="auto"/>
    </w:rPr>
  </w:style>
  <w:style w:type="paragraph" w:customStyle="1" w:styleId="136">
    <w:name w:val="List Paragraph1"/>
    <w:basedOn w:val="1"/>
    <w:qFormat/>
    <w:uiPriority w:val="0"/>
    <w:pPr>
      <w:ind w:firstLine="420" w:firstLineChars="200"/>
    </w:pPr>
    <w:rPr>
      <w:rFonts w:ascii="Calibri" w:hAnsi="Calibri"/>
      <w:szCs w:val="22"/>
    </w:rPr>
  </w:style>
  <w:style w:type="character" w:customStyle="1" w:styleId="137">
    <w:name w:val="font12"/>
    <w:basedOn w:val="39"/>
    <w:qFormat/>
    <w:uiPriority w:val="0"/>
    <w:rPr>
      <w:rFonts w:hint="eastAsia" w:ascii="微软雅黑" w:hAnsi="微软雅黑" w:eastAsia="微软雅黑" w:cs="微软雅黑"/>
      <w:b/>
      <w:bCs/>
      <w:color w:val="000000"/>
      <w:sz w:val="22"/>
      <w:szCs w:val="22"/>
      <w:u w:val="none"/>
    </w:rPr>
  </w:style>
  <w:style w:type="character" w:customStyle="1" w:styleId="138">
    <w:name w:val="font31"/>
    <w:basedOn w:val="39"/>
    <w:qFormat/>
    <w:uiPriority w:val="0"/>
    <w:rPr>
      <w:rFonts w:hint="eastAsia" w:ascii="微软雅黑" w:hAnsi="微软雅黑" w:eastAsia="微软雅黑" w:cs="微软雅黑"/>
      <w:color w:val="000000"/>
      <w:sz w:val="22"/>
      <w:szCs w:val="22"/>
      <w:u w:val="none"/>
    </w:rPr>
  </w:style>
  <w:style w:type="character" w:customStyle="1" w:styleId="139">
    <w:name w:val="font21"/>
    <w:basedOn w:val="39"/>
    <w:qFormat/>
    <w:uiPriority w:val="0"/>
    <w:rPr>
      <w:rFonts w:hint="default" w:ascii="Calibri" w:hAnsi="Calibri" w:cs="Calibri"/>
      <w:color w:val="000000"/>
      <w:sz w:val="22"/>
      <w:szCs w:val="22"/>
      <w:u w:val="none"/>
    </w:rPr>
  </w:style>
  <w:style w:type="character" w:customStyle="1" w:styleId="140">
    <w:name w:val="font91"/>
    <w:basedOn w:val="39"/>
    <w:qFormat/>
    <w:uiPriority w:val="0"/>
    <w:rPr>
      <w:rFonts w:hint="eastAsia" w:ascii="微软雅黑" w:hAnsi="微软雅黑" w:eastAsia="微软雅黑" w:cs="微软雅黑"/>
      <w:color w:val="000000"/>
      <w:sz w:val="21"/>
      <w:szCs w:val="21"/>
      <w:u w:val="none"/>
    </w:rPr>
  </w:style>
  <w:style w:type="character" w:customStyle="1" w:styleId="141">
    <w:name w:val="font101"/>
    <w:basedOn w:val="39"/>
    <w:qFormat/>
    <w:uiPriority w:val="0"/>
    <w:rPr>
      <w:rFonts w:hint="default" w:ascii="Arial" w:hAnsi="Arial" w:cs="Arial"/>
      <w:color w:val="000000"/>
      <w:sz w:val="21"/>
      <w:szCs w:val="21"/>
      <w:u w:val="none"/>
    </w:rPr>
  </w:style>
  <w:style w:type="character" w:customStyle="1" w:styleId="142">
    <w:name w:val="font111"/>
    <w:basedOn w:val="3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93</Pages>
  <Words>40394</Words>
  <Characters>43167</Characters>
  <Lines>305</Lines>
  <Paragraphs>86</Paragraphs>
  <TotalTime>5</TotalTime>
  <ScaleCrop>false</ScaleCrop>
  <LinksUpToDate>false</LinksUpToDate>
  <CharactersWithSpaces>49411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2021-05-29T01:26:00Z</dcterms:created>
  <dc:creator>ZQNet</dc:creator>
  <cp:lastModifiedBy>李月兵</cp:lastModifiedBy>
  <cp:lastPrinted>2022-07-01T19:19:00Z</cp:lastPrinted>
  <dcterms:modified xsi:type="dcterms:W3CDTF">2025-01-26T02:47:02Z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19A73B4983934AE9B6E5D85C8D7BB8AB</vt:lpwstr>
  </property>
</Properties>
</file>