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AD36EB1">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济南发动机厂组合式凸轮轴工艺装备</w:t>
      </w:r>
    </w:p>
    <w:p w14:paraId="2B94838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技改项目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2025年3月</w:t>
      </w:r>
    </w:p>
    <w:p w14:paraId="64EBF87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28CDC2">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济南发动机厂组合式凸轮轴工艺装备技改项目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CGZX2025020181</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组合式凸轮轴工艺装备技改项目</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14:paraId="39B001F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490</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198E7633">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6EFEDD91">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2FC565C9">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3.拟投标人应提供法定代表人资格证明档；</w:t>
            </w:r>
          </w:p>
          <w:p w14:paraId="6E4F2A8F">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14:paraId="34BD16B0">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8C5CEC8">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3BF95B8E">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7.拟投标人2022年1月1日至今，有与本次招标内容相同或类似项目业绩的请注明，近三年内无因服务不当而造成重大事故；</w:t>
            </w:r>
          </w:p>
          <w:p w14:paraId="49D34615">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1FD28AE8">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0E0FD57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14:paraId="3F83F024">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14:paraId="6D1D50F9">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14:paraId="0528814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13.如为代理商投标，需获得生产厂家正式授权，提供授权书原件，保证提供原厂售后服务并提供原厂售后服务承诺书原件；</w:t>
            </w:r>
          </w:p>
          <w:p w14:paraId="0263D36D">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9440A4A">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15.与招标人存在利害关系可能影响招标公正性的法人、其他组织或者个人，不得参加投标。</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2025年3月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2025年3月</w:t>
            </w:r>
            <w:r>
              <w:rPr>
                <w:rFonts w:hint="eastAsia" w:ascii="宋体" w:hAnsi="宋体" w:eastAsia="宋体" w:cs="宋体"/>
                <w:bCs/>
                <w:sz w:val="24"/>
                <w:szCs w:val="24"/>
                <w:highlight w:val="yellow"/>
                <w:u w:val="single"/>
                <w:lang w:val="en-US" w:eastAsia="zh-CN"/>
              </w:rPr>
              <w:t>20</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2025年3月</w:t>
            </w:r>
            <w:r>
              <w:rPr>
                <w:rFonts w:hint="eastAsia" w:ascii="宋体" w:hAnsi="宋体" w:eastAsia="宋体" w:cs="宋体"/>
                <w:sz w:val="24"/>
                <w:szCs w:val="24"/>
                <w:highlight w:val="yellow"/>
                <w:u w:val="single"/>
                <w:lang w:val="en-US" w:eastAsia="zh-CN"/>
              </w:rPr>
              <w:t>24</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2025年3月</w:t>
            </w:r>
            <w:r>
              <w:rPr>
                <w:rFonts w:hint="eastAsia" w:eastAsia="宋体" w:cs="宋体"/>
                <w:highlight w:val="yellow"/>
                <w:lang w:val="en-US" w:eastAsia="zh-CN"/>
              </w:rPr>
              <w:t>24</w:t>
            </w:r>
            <w:r>
              <w:rPr>
                <w:rFonts w:hint="eastAsia" w:eastAsia="宋体" w:cs="宋体"/>
                <w:highlight w:val="yellow"/>
              </w:rPr>
              <w:t>日</w:t>
            </w:r>
            <w:r>
              <w:rPr>
                <w:rFonts w:hint="eastAsia" w:eastAsia="宋体" w:cs="宋体"/>
                <w:highlight w:val="yellow"/>
                <w:lang w:val="en-US" w:eastAsia="zh-CN"/>
              </w:rPr>
              <w:t>17时00分00秒</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2025年3月</w:t>
            </w:r>
            <w:r>
              <w:rPr>
                <w:rFonts w:hint="eastAsia"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2025年3月</w:t>
            </w:r>
            <w:r>
              <w:rPr>
                <w:rFonts w:hint="eastAsia" w:ascii="宋体" w:hAnsi="宋体" w:cs="宋体"/>
                <w:sz w:val="24"/>
                <w:szCs w:val="24"/>
                <w:highlight w:val="yellow"/>
                <w:lang w:val="en-US" w:eastAsia="zh-CN"/>
              </w:rPr>
              <w:t>24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2025年3月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C894393">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1.自接到中标通知起，堵头压装设备150日历日、凸轮自动化滚花装配设备180日历日之内交货至供货地点。</w:t>
            </w:r>
          </w:p>
          <w:p w14:paraId="40F4EC43">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2.接续60个日历日之内安装调试完毕。</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w:t>
            </w:r>
            <w:r>
              <w:rPr>
                <w:rFonts w:hint="eastAsia" w:hAnsi="宋体" w:eastAsia="宋体" w:cs="宋体"/>
                <w:color w:val="000000"/>
                <w:sz w:val="24"/>
                <w:szCs w:val="24"/>
                <w:u w:val="single"/>
                <w:lang w:val="en-US" w:eastAsia="zh-CN"/>
              </w:rPr>
              <w:t>77</w:t>
            </w:r>
            <w:r>
              <w:rPr>
                <w:rFonts w:hint="eastAsia" w:ascii="宋体" w:hAnsi="宋体" w:eastAsia="宋体" w:cs="宋体"/>
                <w:color w:val="000000"/>
                <w:sz w:val="24"/>
                <w:szCs w:val="24"/>
                <w:u w:val="single"/>
              </w:rPr>
              <w:t>77号中国重汽集团济南动力有限公司成型厂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9696D34">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1.合同生效后，卖方开具金额为该合同设备价格30%的增值税专用发票带30%的收据（含复印件二份），经买方依照财务制度审核无误后30个工作日支付合同价款的30%。</w:t>
            </w:r>
          </w:p>
          <w:p w14:paraId="490E15B1">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2.设备全部到齐，经现场安装、调试、终验收合格交付使用后，卖方提交金额为合同价款60%的收据并附带下列单据，经买方依照财务制度审核无误后30个工作日支付合同价款的60%。</w:t>
            </w:r>
          </w:p>
          <w:p w14:paraId="4D8A5E27">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a.金额为该合同设备价格70%的增值税专用发票（含复印件二份），具体开票信息详见发票信息表，根据表中所列分别开具增值税发票。</w:t>
            </w:r>
          </w:p>
          <w:p w14:paraId="54D8C882">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14:paraId="530868C9">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2037652">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5653"/>
      <w:bookmarkStart w:id="8" w:name="_Toc33266950"/>
      <w:bookmarkStart w:id="9" w:name="_Toc33285487"/>
      <w:bookmarkStart w:id="10" w:name="_Toc33265752"/>
      <w:bookmarkStart w:id="11" w:name="_Toc33267001"/>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7002"/>
      <w:bookmarkStart w:id="15" w:name="_Toc395116634"/>
      <w:bookmarkStart w:id="16" w:name="_Toc33285489"/>
      <w:bookmarkStart w:id="17" w:name="_Toc33266915"/>
      <w:bookmarkStart w:id="18" w:name="_Toc33266951"/>
      <w:bookmarkStart w:id="19" w:name="_Toc33265753"/>
      <w:bookmarkStart w:id="20" w:name="_Toc33265654"/>
      <w:bookmarkStart w:id="21" w:name="_Toc33266628"/>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7"/>
      <w:bookmarkStart w:id="24" w:name="OLE_LINK28"/>
      <w:bookmarkStart w:id="25" w:name="OLE_LINK25"/>
      <w:bookmarkStart w:id="26" w:name="OLE_LINK26"/>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8ECC9BB">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5B4807B">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济南发动机厂组合式凸轮轴工艺装备技改项目</w:t>
      </w:r>
    </w:p>
    <w:p w14:paraId="70729E50">
      <w:pPr>
        <w:pStyle w:val="16"/>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2025年3月</w:t>
      </w:r>
    </w:p>
    <w:p w14:paraId="2B49AB8C">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55EC12E3">
      <w:pPr>
        <w:pStyle w:val="2"/>
        <w:pageBreakBefore w:val="0"/>
        <w:widowControl w:val="0"/>
        <w:kinsoku/>
        <w:wordWrap/>
        <w:topLinePunct w:val="0"/>
        <w:autoSpaceDE/>
        <w:autoSpaceDN/>
        <w:bidi w:val="0"/>
        <w:spacing w:before="120" w:after="120" w:line="360" w:lineRule="auto"/>
        <w:jc w:val="center"/>
        <w:textAlignment w:val="auto"/>
        <w:rPr>
          <w:rFonts w:hint="eastAsia" w:ascii="黑体" w:eastAsia="黑体"/>
          <w:b w:val="0"/>
          <w:sz w:val="32"/>
          <w:szCs w:val="32"/>
        </w:rPr>
      </w:pPr>
      <w:bookmarkStart w:id="33" w:name="_Toc127880405"/>
      <w:bookmarkStart w:id="34" w:name="_Toc257037877"/>
      <w:bookmarkStart w:id="35" w:name="_Toc137705865"/>
      <w:bookmarkStart w:id="36" w:name="_Toc257033749"/>
      <w:bookmarkStart w:id="37" w:name="_Toc227726571"/>
      <w:bookmarkStart w:id="38" w:name="_Toc227726361"/>
      <w:bookmarkStart w:id="39" w:name="_Toc169605877"/>
      <w:bookmarkStart w:id="40" w:name="_Toc465187648"/>
      <w:r>
        <w:rPr>
          <w:rFonts w:hint="eastAsia"/>
          <w:sz w:val="32"/>
          <w:szCs w:val="32"/>
        </w:rPr>
        <w:t>第一章  采购货物概况</w:t>
      </w:r>
      <w:bookmarkEnd w:id="33"/>
      <w:bookmarkEnd w:id="34"/>
      <w:bookmarkEnd w:id="35"/>
      <w:bookmarkEnd w:id="36"/>
      <w:bookmarkEnd w:id="37"/>
      <w:bookmarkEnd w:id="38"/>
    </w:p>
    <w:p w14:paraId="65484294">
      <w:pPr>
        <w:pStyle w:val="3"/>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41" w:name="_Toc137705866"/>
      <w:bookmarkStart w:id="42" w:name="_Toc257037878"/>
      <w:bookmarkStart w:id="43" w:name="_Toc257033750"/>
      <w:bookmarkStart w:id="44" w:name="_Toc127880406"/>
      <w:bookmarkStart w:id="45" w:name="_Toc227726572"/>
      <w:bookmarkStart w:id="46" w:name="_Toc227726362"/>
      <w:r>
        <w:rPr>
          <w:rFonts w:hint="eastAsia" w:ascii="宋体" w:hAnsi="宋体" w:eastAsia="宋体" w:cs="宋体"/>
          <w:b w:val="0"/>
          <w:sz w:val="24"/>
          <w:szCs w:val="24"/>
        </w:rPr>
        <w:t>第一节  使用环境</w:t>
      </w:r>
      <w:bookmarkEnd w:id="41"/>
      <w:bookmarkEnd w:id="42"/>
      <w:bookmarkEnd w:id="43"/>
      <w:bookmarkEnd w:id="44"/>
      <w:bookmarkEnd w:id="45"/>
      <w:bookmarkEnd w:id="46"/>
    </w:p>
    <w:p w14:paraId="60FE9622">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项目名称：</w:t>
      </w:r>
      <w:r>
        <w:rPr>
          <w:rFonts w:hint="eastAsia" w:ascii="宋体" w:hAnsi="宋体" w:eastAsia="宋体" w:cs="宋体"/>
          <w:sz w:val="24"/>
          <w:szCs w:val="24"/>
          <w:highlight w:val="none"/>
          <w:u w:val="single"/>
          <w:lang w:val="en-US" w:eastAsia="zh-CN"/>
        </w:rPr>
        <w:t>济南发动机厂组合式凸轮轴工艺装备技改项目</w:t>
      </w:r>
      <w:r>
        <w:rPr>
          <w:rFonts w:hint="eastAsia" w:ascii="宋体" w:hAnsi="宋体" w:eastAsia="宋体" w:cs="宋体"/>
          <w:sz w:val="24"/>
          <w:szCs w:val="24"/>
          <w:u w:val="single"/>
          <w:shd w:val="pct10" w:color="auto" w:fill="FFFFFF"/>
        </w:rPr>
        <w:t xml:space="preserve">  </w:t>
      </w:r>
    </w:p>
    <w:p w14:paraId="15C9441F">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建设地点：</w:t>
      </w:r>
      <w:r>
        <w:rPr>
          <w:rFonts w:hint="eastAsia" w:ascii="宋体" w:hAnsi="宋体" w:eastAsia="宋体" w:cs="宋体"/>
          <w:sz w:val="24"/>
          <w:szCs w:val="24"/>
          <w:u w:val="single"/>
          <w:shd w:val="pct10" w:color="auto" w:fill="FFFFFF"/>
        </w:rPr>
        <w:t xml:space="preserve">济南市章丘圣井镇重汽工业园7777号                </w:t>
      </w:r>
      <w:r>
        <w:rPr>
          <w:rFonts w:hint="eastAsia" w:ascii="宋体" w:hAnsi="宋体" w:eastAsia="宋体" w:cs="宋体"/>
          <w:sz w:val="24"/>
          <w:szCs w:val="24"/>
        </w:rPr>
        <w:t xml:space="preserve"> </w:t>
      </w:r>
    </w:p>
    <w:p w14:paraId="277565AE">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使用地点：</w:t>
      </w:r>
      <w:r>
        <w:rPr>
          <w:rFonts w:hint="eastAsia" w:ascii="宋体" w:hAnsi="宋体" w:eastAsia="宋体" w:cs="宋体"/>
          <w:sz w:val="24"/>
          <w:szCs w:val="24"/>
          <w:u w:val="single"/>
          <w:shd w:val="pct10" w:color="auto" w:fill="FFFFFF"/>
        </w:rPr>
        <w:t xml:space="preserve">中国重汽集团济南动力有限公司发动机厂部件线       </w:t>
      </w:r>
    </w:p>
    <w:p w14:paraId="53BC968E">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使用地点区域自然环境：</w:t>
      </w:r>
    </w:p>
    <w:p w14:paraId="2F0FEDDE">
      <w:pPr>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海拨高度：1000m以下。</w:t>
      </w:r>
      <w:bookmarkStart w:id="236" w:name="_GoBack"/>
      <w:bookmarkEnd w:id="236"/>
    </w:p>
    <w:p w14:paraId="3106D9AA">
      <w:pPr>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环境温度：室外极端最低温度-17℃、极端最高温度42℃，昼夜最大温差25℃。</w:t>
      </w:r>
    </w:p>
    <w:p w14:paraId="75F3C536">
      <w:pPr>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相对湿度：年平均59%，最大85%、最小15%。</w:t>
      </w:r>
    </w:p>
    <w:p w14:paraId="02A4A218">
      <w:pPr>
        <w:pageBreakBefore w:val="0"/>
        <w:widowControl w:val="0"/>
        <w:kinsoku/>
        <w:wordWrap/>
        <w:topLinePunct w:val="0"/>
        <w:autoSpaceDE/>
        <w:autoSpaceDN/>
        <w:bidi w:val="0"/>
        <w:spacing w:after="0"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14:ligatures w14:val="none"/>
        </w:rPr>
        <w:t>4.安装方式：室内。</w:t>
      </w:r>
    </w:p>
    <w:p w14:paraId="7F9E0538">
      <w:pPr>
        <w:pageBreakBefore w:val="0"/>
        <w:widowControl w:val="0"/>
        <w:numPr>
          <w:ilvl w:val="0"/>
          <w:numId w:val="10"/>
        </w:numPr>
        <w:tabs>
          <w:tab w:val="left" w:pos="1080"/>
        </w:tabs>
        <w:kinsoku/>
        <w:wordWrap/>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能源环境：</w:t>
      </w:r>
    </w:p>
    <w:p w14:paraId="42EC5924">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14:paraId="440B03AB">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2、给水：市政自来水或软化水、去离子水处理系统。</w:t>
      </w:r>
    </w:p>
    <w:p w14:paraId="16DB8836">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color w:val="000000"/>
          <w:sz w:val="24"/>
          <w:szCs w:val="24"/>
        </w:rPr>
        <w:t>压缩空气：0.4～0.6MPa。</w:t>
      </w:r>
    </w:p>
    <w:p w14:paraId="2BB01885">
      <w:pPr>
        <w:pStyle w:val="3"/>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47" w:name="_Toc257037879"/>
      <w:bookmarkStart w:id="48" w:name="_Toc257033751"/>
      <w:bookmarkStart w:id="49" w:name="_Toc227726573"/>
      <w:bookmarkStart w:id="50" w:name="_Toc227726363"/>
      <w:bookmarkStart w:id="51" w:name="_Toc127880407"/>
      <w:bookmarkStart w:id="52" w:name="_Toc137705867"/>
      <w:r>
        <w:rPr>
          <w:rFonts w:hint="eastAsia" w:ascii="宋体" w:hAnsi="宋体" w:eastAsia="宋体" w:cs="宋体"/>
          <w:b w:val="0"/>
          <w:sz w:val="24"/>
          <w:szCs w:val="24"/>
        </w:rPr>
        <w:t>第二节  采购货物概况</w:t>
      </w:r>
      <w:bookmarkEnd w:id="47"/>
      <w:bookmarkEnd w:id="48"/>
      <w:bookmarkEnd w:id="49"/>
      <w:bookmarkEnd w:id="50"/>
      <w:bookmarkEnd w:id="51"/>
      <w:bookmarkEnd w:id="52"/>
    </w:p>
    <w:p w14:paraId="48BC2162">
      <w:pPr>
        <w:pageBreakBefore w:val="0"/>
        <w:widowControl w:val="0"/>
        <w:numPr>
          <w:ilvl w:val="0"/>
          <w:numId w:val="12"/>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货物（或生产线）名称：</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堵头压装设备、</w:t>
      </w:r>
      <w:r>
        <w:rPr>
          <w:rFonts w:hint="eastAsia" w:ascii="宋体" w:hAnsi="宋体" w:eastAsia="宋体" w:cs="宋体"/>
          <w:sz w:val="24"/>
          <w:szCs w:val="24"/>
          <w:u w:val="single"/>
          <w:shd w:val="pct10" w:color="auto" w:fill="FFFFFF"/>
          <w:lang w:eastAsia="zh-CN"/>
        </w:rPr>
        <w:t>凸轮自动化滚花装配设备</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（详见下表）</w:t>
      </w:r>
    </w:p>
    <w:p w14:paraId="7964F1AC">
      <w:pPr>
        <w:pageBreakBefore w:val="0"/>
        <w:widowControl w:val="0"/>
        <w:numPr>
          <w:ilvl w:val="0"/>
          <w:numId w:val="12"/>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货物（或生产线）数量：</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u w:val="single"/>
          <w:shd w:val="clear" w:color="auto" w:fill="FFFFFF"/>
          <w:lang w:val="en-US" w:eastAsia="zh-CN"/>
        </w:rPr>
        <w:t>各</w:t>
      </w:r>
      <w:r>
        <w:rPr>
          <w:rFonts w:hint="eastAsia" w:ascii="宋体" w:hAnsi="宋体" w:eastAsia="宋体" w:cs="宋体"/>
          <w:sz w:val="24"/>
          <w:szCs w:val="24"/>
          <w:u w:val="single"/>
          <w:shd w:val="clear" w:color="auto" w:fill="FFFFFF"/>
        </w:rPr>
        <w:t xml:space="preserve"> 1</w:t>
      </w:r>
      <w:r>
        <w:rPr>
          <w:rFonts w:hint="eastAsia" w:ascii="宋体" w:hAnsi="宋体" w:eastAsia="宋体" w:cs="宋体"/>
          <w:sz w:val="24"/>
          <w:szCs w:val="24"/>
          <w:u w:val="single"/>
          <w:shd w:val="clear" w:color="auto" w:fill="FFFFFF"/>
          <w:lang w:val="en-US" w:eastAsia="zh-CN"/>
        </w:rPr>
        <w:t>台</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w:t>
      </w:r>
      <w:r>
        <w:rPr>
          <w:rFonts w:hint="eastAsia" w:ascii="宋体" w:hAnsi="宋体" w:eastAsia="宋体" w:cs="宋体"/>
          <w:sz w:val="24"/>
          <w:szCs w:val="24"/>
        </w:rPr>
        <w:t>详见下表）</w:t>
      </w:r>
    </w:p>
    <w:p w14:paraId="4C4F0F49">
      <w:pPr>
        <w:pageBreakBefore w:val="0"/>
        <w:widowControl w:val="0"/>
        <w:numPr>
          <w:ilvl w:val="0"/>
          <w:numId w:val="12"/>
        </w:numPr>
        <w:tabs>
          <w:tab w:val="left" w:pos="1080"/>
        </w:tabs>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采购货物（或生产线）主要构成一览表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913"/>
        <w:gridCol w:w="1010"/>
        <w:gridCol w:w="690"/>
        <w:gridCol w:w="667"/>
        <w:gridCol w:w="2250"/>
        <w:gridCol w:w="1007"/>
        <w:gridCol w:w="861"/>
      </w:tblGrid>
      <w:tr w14:paraId="0C51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8F6A95C">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13" w:type="dxa"/>
            <w:noWrap w:val="0"/>
            <w:vAlign w:val="top"/>
          </w:tcPr>
          <w:p w14:paraId="7BCE2017">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010" w:type="dxa"/>
            <w:noWrap w:val="0"/>
            <w:vAlign w:val="top"/>
          </w:tcPr>
          <w:p w14:paraId="38707B21">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690" w:type="dxa"/>
            <w:noWrap w:val="0"/>
            <w:vAlign w:val="top"/>
          </w:tcPr>
          <w:p w14:paraId="1F478DC1">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667" w:type="dxa"/>
            <w:noWrap w:val="0"/>
            <w:vAlign w:val="top"/>
          </w:tcPr>
          <w:p w14:paraId="7DAD96CD">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2250" w:type="dxa"/>
            <w:noWrap w:val="0"/>
            <w:vAlign w:val="top"/>
          </w:tcPr>
          <w:p w14:paraId="050D3A15">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安装地点/服务对象</w:t>
            </w:r>
          </w:p>
        </w:tc>
        <w:tc>
          <w:tcPr>
            <w:tcW w:w="1007" w:type="dxa"/>
            <w:noWrap w:val="0"/>
            <w:vAlign w:val="top"/>
          </w:tcPr>
          <w:p w14:paraId="2264CF12">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供货方式</w:t>
            </w:r>
          </w:p>
        </w:tc>
        <w:tc>
          <w:tcPr>
            <w:tcW w:w="861" w:type="dxa"/>
            <w:noWrap w:val="0"/>
            <w:vAlign w:val="top"/>
          </w:tcPr>
          <w:p w14:paraId="0BE50A2D">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6AEA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605" w:type="dxa"/>
            <w:shd w:val="clear" w:color="auto" w:fill="auto"/>
            <w:noWrap w:val="0"/>
            <w:vAlign w:val="center"/>
          </w:tcPr>
          <w:p w14:paraId="19A43289">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1</w:t>
            </w:r>
          </w:p>
        </w:tc>
        <w:tc>
          <w:tcPr>
            <w:tcW w:w="1913" w:type="dxa"/>
            <w:shd w:val="clear" w:color="auto" w:fill="auto"/>
            <w:noWrap w:val="0"/>
            <w:vAlign w:val="center"/>
          </w:tcPr>
          <w:p w14:paraId="1517ECE6">
            <w:pPr>
              <w:pageBreakBefore w:val="0"/>
              <w:widowControl w:val="0"/>
              <w:kinsoku/>
              <w:wordWrap/>
              <w:overflowPunct/>
              <w:topLinePunct w:val="0"/>
              <w:autoSpaceDE/>
              <w:autoSpaceDN/>
              <w:bidi w:val="0"/>
              <w:spacing w:line="360" w:lineRule="auto"/>
              <w:jc w:val="center"/>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sz w:val="24"/>
                <w:szCs w:val="24"/>
                <w:lang w:val="en-US" w:eastAsia="zh-CN"/>
              </w:rPr>
              <w:t>堵头压装设备</w:t>
            </w:r>
          </w:p>
        </w:tc>
        <w:tc>
          <w:tcPr>
            <w:tcW w:w="1010" w:type="dxa"/>
            <w:shd w:val="clear" w:color="auto" w:fill="auto"/>
            <w:noWrap w:val="0"/>
            <w:vAlign w:val="center"/>
          </w:tcPr>
          <w:p w14:paraId="1B6157D3">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w:t>
            </w:r>
          </w:p>
        </w:tc>
        <w:tc>
          <w:tcPr>
            <w:tcW w:w="690" w:type="dxa"/>
            <w:shd w:val="clear" w:color="auto" w:fill="auto"/>
            <w:noWrap w:val="0"/>
            <w:vAlign w:val="center"/>
          </w:tcPr>
          <w:p w14:paraId="35B61F5B">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val="en-US" w:eastAsia="zh-CN"/>
              </w:rPr>
              <w:t>台</w:t>
            </w:r>
          </w:p>
        </w:tc>
        <w:tc>
          <w:tcPr>
            <w:tcW w:w="667" w:type="dxa"/>
            <w:shd w:val="clear" w:color="auto" w:fill="auto"/>
            <w:noWrap w:val="0"/>
            <w:vAlign w:val="center"/>
          </w:tcPr>
          <w:p w14:paraId="48FC8C98">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1</w:t>
            </w:r>
          </w:p>
        </w:tc>
        <w:tc>
          <w:tcPr>
            <w:tcW w:w="2250" w:type="dxa"/>
            <w:shd w:val="clear" w:color="auto" w:fill="auto"/>
            <w:noWrap w:val="0"/>
            <w:vAlign w:val="center"/>
          </w:tcPr>
          <w:p w14:paraId="2D365462">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中国重汽集团济南动力有限公司济南发动机厂</w:t>
            </w:r>
          </w:p>
        </w:tc>
        <w:tc>
          <w:tcPr>
            <w:tcW w:w="1007" w:type="dxa"/>
            <w:shd w:val="clear" w:color="auto" w:fill="auto"/>
            <w:noWrap w:val="0"/>
            <w:vAlign w:val="center"/>
          </w:tcPr>
          <w:p w14:paraId="5CCA035F">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交钥匙</w:t>
            </w:r>
          </w:p>
        </w:tc>
        <w:tc>
          <w:tcPr>
            <w:tcW w:w="861" w:type="dxa"/>
            <w:shd w:val="clear" w:color="auto" w:fill="auto"/>
            <w:noWrap w:val="0"/>
            <w:vAlign w:val="center"/>
          </w:tcPr>
          <w:p w14:paraId="2B488FC2">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w:t>
            </w:r>
          </w:p>
        </w:tc>
      </w:tr>
      <w:tr w14:paraId="38D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3D5B6343">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p>
        </w:tc>
        <w:tc>
          <w:tcPr>
            <w:tcW w:w="1913" w:type="dxa"/>
            <w:noWrap w:val="0"/>
            <w:vAlign w:val="center"/>
          </w:tcPr>
          <w:p w14:paraId="6252FE59">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凸轮自动化滚花装配设备</w:t>
            </w:r>
          </w:p>
        </w:tc>
        <w:tc>
          <w:tcPr>
            <w:tcW w:w="1010" w:type="dxa"/>
            <w:noWrap w:val="0"/>
            <w:vAlign w:val="center"/>
          </w:tcPr>
          <w:p w14:paraId="64781C7E">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90" w:type="dxa"/>
            <w:noWrap w:val="0"/>
            <w:vAlign w:val="center"/>
          </w:tcPr>
          <w:p w14:paraId="2F7C1916">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667" w:type="dxa"/>
            <w:noWrap w:val="0"/>
            <w:vAlign w:val="center"/>
          </w:tcPr>
          <w:p w14:paraId="20DF853E">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2250" w:type="dxa"/>
            <w:noWrap w:val="0"/>
            <w:vAlign w:val="center"/>
          </w:tcPr>
          <w:p w14:paraId="675C0CC0">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中国重汽集团济南动力有限公司济南发动机厂</w:t>
            </w:r>
          </w:p>
        </w:tc>
        <w:tc>
          <w:tcPr>
            <w:tcW w:w="1007" w:type="dxa"/>
            <w:noWrap w:val="0"/>
            <w:vAlign w:val="center"/>
          </w:tcPr>
          <w:p w14:paraId="4B5EC8F4">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交钥匙</w:t>
            </w:r>
          </w:p>
        </w:tc>
        <w:tc>
          <w:tcPr>
            <w:tcW w:w="861" w:type="dxa"/>
            <w:noWrap w:val="0"/>
            <w:vAlign w:val="center"/>
          </w:tcPr>
          <w:p w14:paraId="0901D1A2">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bl>
    <w:p w14:paraId="3ABB42DA">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备注：</w:t>
      </w:r>
    </w:p>
    <w:p w14:paraId="42FDC870">
      <w:pPr>
        <w:pageBreakBefore w:val="0"/>
        <w:widowControl w:val="0"/>
        <w:numPr>
          <w:ilvl w:val="0"/>
          <w:numId w:val="13"/>
        </w:numPr>
        <w:kinsoku/>
        <w:wordWrap/>
        <w:overflowPunct/>
        <w:topLinePunct w:val="0"/>
        <w:autoSpaceDE/>
        <w:autoSpaceDN/>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08C478AD">
      <w:pPr>
        <w:pageBreakBefore w:val="0"/>
        <w:widowControl w:val="0"/>
        <w:numPr>
          <w:ilvl w:val="0"/>
          <w:numId w:val="13"/>
        </w:numPr>
        <w:kinsoku/>
        <w:wordWrap/>
        <w:overflowPunct/>
        <w:topLinePunct w:val="0"/>
        <w:autoSpaceDE/>
        <w:autoSpaceDN/>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本表“供货方式”指：交钥匙方式——包括设计、制造、运输、定点卸货、安装、调试和协助验收以及约定培训等，指导安装——包括制造、运输、定点卸货、指导安装和调试、协助验收和约定培训等</w:t>
      </w:r>
      <w:bookmarkStart w:id="53" w:name="_Toc227726364"/>
      <w:bookmarkStart w:id="54" w:name="_Toc137705868"/>
      <w:bookmarkStart w:id="55" w:name="_Toc227726574"/>
      <w:r>
        <w:rPr>
          <w:rFonts w:hint="eastAsia" w:ascii="宋体" w:hAnsi="宋体" w:eastAsia="宋体" w:cs="宋体"/>
          <w:sz w:val="24"/>
          <w:szCs w:val="24"/>
        </w:rPr>
        <w:t>。</w:t>
      </w:r>
    </w:p>
    <w:p w14:paraId="437BAD7E">
      <w:pPr>
        <w:pStyle w:val="2"/>
        <w:pageBreakBefore w:val="0"/>
        <w:widowControl w:val="0"/>
        <w:kinsoku/>
        <w:wordWrap/>
        <w:overflowPunct/>
        <w:topLinePunct w:val="0"/>
        <w:autoSpaceDE/>
        <w:autoSpaceDN/>
        <w:bidi w:val="0"/>
        <w:spacing w:before="120" w:after="12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br w:type="page"/>
      </w:r>
      <w:bookmarkStart w:id="56" w:name="_Toc127880408"/>
      <w:bookmarkStart w:id="57" w:name="_Toc257033752"/>
      <w:bookmarkStart w:id="58" w:name="_Toc257037880"/>
      <w:r>
        <w:rPr>
          <w:rFonts w:hint="eastAsia" w:ascii="宋体" w:hAnsi="宋体" w:eastAsia="宋体" w:cs="宋体"/>
          <w:sz w:val="24"/>
          <w:szCs w:val="24"/>
        </w:rPr>
        <w:t>第二章  技术要求</w:t>
      </w:r>
      <w:bookmarkEnd w:id="53"/>
      <w:bookmarkEnd w:id="54"/>
      <w:bookmarkEnd w:id="55"/>
      <w:bookmarkEnd w:id="56"/>
      <w:bookmarkEnd w:id="57"/>
      <w:bookmarkEnd w:id="58"/>
    </w:p>
    <w:p w14:paraId="44052A1D">
      <w:pPr>
        <w:pageBreakBefore w:val="0"/>
        <w:widowControl w:val="0"/>
        <w:numPr>
          <w:ilvl w:val="0"/>
          <w:numId w:val="14"/>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59" w:name="_Toc127880409"/>
      <w:bookmarkStart w:id="60" w:name="_Toc227726575"/>
      <w:bookmarkStart w:id="61" w:name="_Toc227726365"/>
      <w:bookmarkStart w:id="62" w:name="_Toc257033753"/>
      <w:bookmarkStart w:id="63" w:name="_Toc257037881"/>
      <w:r>
        <w:rPr>
          <w:rFonts w:hint="eastAsia" w:ascii="宋体" w:hAnsi="宋体" w:eastAsia="宋体" w:cs="宋体"/>
          <w:b/>
          <w:sz w:val="24"/>
          <w:szCs w:val="24"/>
        </w:rPr>
        <w:t>基本要求</w:t>
      </w:r>
      <w:bookmarkEnd w:id="59"/>
      <w:bookmarkEnd w:id="60"/>
      <w:bookmarkEnd w:id="61"/>
      <w:bookmarkEnd w:id="62"/>
      <w:bookmarkEnd w:id="63"/>
    </w:p>
    <w:p w14:paraId="7406D72A">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投标方所供的货物（或生产线），符合中国最新版的法律、法规和相关标准、规范的要求，符合项目所在地政府有关特殊要求。</w:t>
      </w:r>
    </w:p>
    <w:p w14:paraId="40B3F7B2">
      <w:pPr>
        <w:pageBreakBefore w:val="0"/>
        <w:widowControl w:val="0"/>
        <w:numPr>
          <w:ilvl w:val="0"/>
          <w:numId w:val="15"/>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投标方所供货物（或生产线）涉及的专利权技术以及知识产权保护的其它技术等，应保证招标方不因此受到任何侵权指控以及实际损失。</w:t>
      </w:r>
    </w:p>
    <w:p w14:paraId="50907188">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投标方应保证所供货物（或生产线）的先进性、可靠性、经济性和实用性，并为全新货物（或设备）。</w:t>
      </w:r>
    </w:p>
    <w:p w14:paraId="00C137D2">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投标方应满足招标方提出的各项技术要求，必要时应当免费提供技术承诺或担保。</w:t>
      </w:r>
    </w:p>
    <w:p w14:paraId="63CD45A6">
      <w:pPr>
        <w:pageBreakBefore w:val="0"/>
        <w:widowControl w:val="0"/>
        <w:numPr>
          <w:ilvl w:val="0"/>
          <w:numId w:val="15"/>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投标方应保证所供货物（或设备）为中国公布的非淘汰货物（或设备），并为中国指定或规定的主管部门认可的环保型和节能型货物（或设备）。</w:t>
      </w:r>
    </w:p>
    <w:p w14:paraId="3C3CC149">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投标方应保证所供货物（或生产线）的完整性和成套性，能保证货物（或生产线）的正常运行、使用。</w:t>
      </w:r>
    </w:p>
    <w:p w14:paraId="3705F9C3">
      <w:pPr>
        <w:pageBreakBefore w:val="0"/>
        <w:widowControl w:val="0"/>
        <w:numPr>
          <w:ilvl w:val="0"/>
          <w:numId w:val="15"/>
        </w:numPr>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投标方应对招标方采购的货物（或生产线）所涉及的技术、产能等信息负有保密义务，招标方拥有追究投标方泄密责任的权利；招标方如有需要，投标方应无条件签署保密协议。</w:t>
      </w:r>
    </w:p>
    <w:p w14:paraId="0160DE30">
      <w:pPr>
        <w:pageBreakBefore w:val="0"/>
        <w:widowControl w:val="0"/>
        <w:numPr>
          <w:ilvl w:val="0"/>
          <w:numId w:val="14"/>
        </w:numPr>
        <w:tabs>
          <w:tab w:val="left" w:pos="1080"/>
        </w:tabs>
        <w:kinsoku/>
        <w:wordWrap/>
        <w:overflowPunct/>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64" w:name="_Toc257033754"/>
      <w:bookmarkStart w:id="65" w:name="_Toc127880410"/>
      <w:bookmarkStart w:id="66" w:name="_Toc257037882"/>
      <w:bookmarkStart w:id="67" w:name="_Toc227726366"/>
      <w:bookmarkStart w:id="68" w:name="_Toc227726576"/>
      <w:r>
        <w:rPr>
          <w:rFonts w:hint="eastAsia" w:ascii="宋体" w:hAnsi="宋体" w:eastAsia="宋体" w:cs="宋体"/>
          <w:b/>
          <w:sz w:val="24"/>
          <w:szCs w:val="24"/>
        </w:rPr>
        <w:t>执行标准</w:t>
      </w:r>
      <w:bookmarkEnd w:id="64"/>
      <w:bookmarkEnd w:id="65"/>
      <w:bookmarkEnd w:id="66"/>
      <w:bookmarkEnd w:id="67"/>
      <w:bookmarkEnd w:id="68"/>
    </w:p>
    <w:p w14:paraId="3F0BBEE5">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bookmarkStart w:id="69" w:name="_Toc227726367"/>
      <w:r>
        <w:rPr>
          <w:rFonts w:hint="eastAsia" w:ascii="宋体" w:hAnsi="宋体" w:eastAsia="宋体" w:cs="宋体"/>
          <w:sz w:val="24"/>
          <w:szCs w:val="24"/>
        </w:rPr>
        <w:t>招标方所涉及标准仅为涉及的主要标准，而且不保证其为最新版执行标准；投标方应当在投标文件中认真予以填写、补充和修改完善。</w:t>
      </w:r>
      <w:bookmarkEnd w:id="69"/>
      <w:bookmarkStart w:id="70" w:name="_Toc227726368"/>
    </w:p>
    <w:p w14:paraId="09032D88">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投标方需要执行的标准，应当以所供货物（或生产线）通过招标方将来组织的最终验收之日开始执行的最新标准。</w:t>
      </w:r>
      <w:bookmarkEnd w:id="70"/>
      <w:bookmarkStart w:id="71" w:name="_Toc227726369"/>
    </w:p>
    <w:p w14:paraId="2F94E30E">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采购货物（或生产线）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71"/>
      <w:bookmarkStart w:id="72" w:name="_Toc227726370"/>
    </w:p>
    <w:p w14:paraId="6A7625DC">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r>
        <w:rPr>
          <w:rFonts w:hint="eastAsia" w:ascii="宋体" w:hAnsi="宋体" w:eastAsia="宋体" w:cs="宋体"/>
          <w:sz w:val="24"/>
          <w:szCs w:val="24"/>
        </w:rPr>
        <w:t>如果有采用国际标准的货物，其执行标准由投标方提供、招标方确认。</w:t>
      </w:r>
      <w:bookmarkEnd w:id="72"/>
    </w:p>
    <w:p w14:paraId="51EEF551">
      <w:pPr>
        <w:pageBreakBefore w:val="0"/>
        <w:widowControl w:val="0"/>
        <w:numPr>
          <w:ilvl w:val="0"/>
          <w:numId w:val="16"/>
        </w:numPr>
        <w:kinsoku/>
        <w:wordWrap/>
        <w:overflowPunct/>
        <w:topLinePunct w:val="0"/>
        <w:autoSpaceDE/>
        <w:autoSpaceDN/>
        <w:bidi w:val="0"/>
        <w:spacing w:line="360" w:lineRule="auto"/>
        <w:ind w:left="902"/>
        <w:textAlignment w:val="auto"/>
        <w:rPr>
          <w:rFonts w:hint="eastAsia" w:ascii="宋体" w:hAnsi="宋体" w:eastAsia="宋体" w:cs="宋体"/>
          <w:sz w:val="24"/>
          <w:szCs w:val="24"/>
        </w:rPr>
      </w:pPr>
      <w:bookmarkStart w:id="73" w:name="_Toc227726371"/>
      <w:r>
        <w:rPr>
          <w:rFonts w:hint="eastAsia" w:ascii="宋体" w:hAnsi="宋体" w:eastAsia="宋体" w:cs="宋体"/>
          <w:sz w:val="24"/>
          <w:szCs w:val="24"/>
        </w:rPr>
        <w:t>涉及的主要标准表</w:t>
      </w:r>
      <w:bookmarkEnd w:id="73"/>
    </w:p>
    <w:tbl>
      <w:tblPr>
        <w:tblStyle w:val="35"/>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2"/>
        <w:gridCol w:w="3510"/>
        <w:gridCol w:w="885"/>
      </w:tblGrid>
      <w:tr w14:paraId="0906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74971B3">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842" w:type="dxa"/>
            <w:noWrap w:val="0"/>
            <w:vAlign w:val="top"/>
          </w:tcPr>
          <w:p w14:paraId="0796DA72">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标准名称</w:t>
            </w:r>
          </w:p>
        </w:tc>
        <w:tc>
          <w:tcPr>
            <w:tcW w:w="3510" w:type="dxa"/>
            <w:noWrap w:val="0"/>
            <w:vAlign w:val="top"/>
          </w:tcPr>
          <w:p w14:paraId="0B5E59AD">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标准编号</w:t>
            </w:r>
          </w:p>
        </w:tc>
        <w:tc>
          <w:tcPr>
            <w:tcW w:w="885" w:type="dxa"/>
            <w:noWrap w:val="0"/>
            <w:vAlign w:val="top"/>
          </w:tcPr>
          <w:p w14:paraId="705CFED2">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11EB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F940B34">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842" w:type="dxa"/>
            <w:noWrap w:val="0"/>
            <w:vAlign w:val="top"/>
          </w:tcPr>
          <w:p w14:paraId="3CE3611F">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3510" w:type="dxa"/>
            <w:noWrap w:val="0"/>
            <w:vAlign w:val="top"/>
          </w:tcPr>
          <w:p w14:paraId="3651A41C">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885" w:type="dxa"/>
            <w:noWrap w:val="0"/>
            <w:vAlign w:val="top"/>
          </w:tcPr>
          <w:p w14:paraId="3390B0D1">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r>
      <w:tr w14:paraId="6594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05FD75CA">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842" w:type="dxa"/>
            <w:noWrap w:val="0"/>
            <w:vAlign w:val="top"/>
          </w:tcPr>
          <w:p w14:paraId="5D7286A0">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3510" w:type="dxa"/>
            <w:noWrap w:val="0"/>
            <w:vAlign w:val="top"/>
          </w:tcPr>
          <w:p w14:paraId="7A1D0314">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885" w:type="dxa"/>
            <w:noWrap w:val="0"/>
            <w:vAlign w:val="top"/>
          </w:tcPr>
          <w:p w14:paraId="77B51434">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r>
      <w:tr w14:paraId="7995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182E6D79">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842" w:type="dxa"/>
            <w:noWrap w:val="0"/>
            <w:vAlign w:val="top"/>
          </w:tcPr>
          <w:p w14:paraId="25FE3196">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3510" w:type="dxa"/>
            <w:noWrap w:val="0"/>
            <w:vAlign w:val="top"/>
          </w:tcPr>
          <w:p w14:paraId="5A648B93">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c>
          <w:tcPr>
            <w:tcW w:w="885" w:type="dxa"/>
            <w:noWrap w:val="0"/>
            <w:vAlign w:val="top"/>
          </w:tcPr>
          <w:p w14:paraId="7455DF58">
            <w:pPr>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4"/>
                <w:szCs w:val="24"/>
              </w:rPr>
            </w:pPr>
          </w:p>
        </w:tc>
      </w:tr>
    </w:tbl>
    <w:p w14:paraId="7B2AC0ED">
      <w:pPr>
        <w:pageBreakBefore w:val="0"/>
        <w:widowControl w:val="0"/>
        <w:numPr>
          <w:ilvl w:val="0"/>
          <w:numId w:val="14"/>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74" w:name="_Toc227726372"/>
      <w:bookmarkStart w:id="75" w:name="_Toc227726577"/>
      <w:bookmarkStart w:id="76" w:name="_Toc257037883"/>
      <w:bookmarkStart w:id="77" w:name="_Toc127880411"/>
      <w:bookmarkStart w:id="78" w:name="_Toc257033755"/>
      <w:r>
        <w:rPr>
          <w:rFonts w:hint="eastAsia" w:ascii="宋体" w:hAnsi="宋体" w:eastAsia="宋体" w:cs="宋体"/>
          <w:b/>
          <w:sz w:val="24"/>
          <w:szCs w:val="24"/>
        </w:rPr>
        <w:t>技术</w:t>
      </w:r>
      <w:bookmarkEnd w:id="74"/>
      <w:bookmarkEnd w:id="75"/>
      <w:r>
        <w:rPr>
          <w:rFonts w:hint="eastAsia" w:ascii="宋体" w:hAnsi="宋体" w:eastAsia="宋体" w:cs="宋体"/>
          <w:b/>
          <w:sz w:val="24"/>
          <w:szCs w:val="24"/>
        </w:rPr>
        <w:t>要求概况</w:t>
      </w:r>
      <w:bookmarkEnd w:id="76"/>
      <w:bookmarkEnd w:id="77"/>
      <w:bookmarkEnd w:id="78"/>
      <w:bookmarkStart w:id="79" w:name="_Toc492889968"/>
      <w:bookmarkStart w:id="80" w:name="_Toc31871"/>
    </w:p>
    <w:bookmarkEnd w:id="79"/>
    <w:bookmarkEnd w:id="80"/>
    <w:p w14:paraId="46A3E94E">
      <w:pPr>
        <w:pageBreakBefore w:val="0"/>
        <w:widowControl w:val="0"/>
        <w:numPr>
          <w:ilvl w:val="0"/>
          <w:numId w:val="17"/>
        </w:numPr>
        <w:tabs>
          <w:tab w:val="left" w:pos="0"/>
        </w:tabs>
        <w:kinsoku/>
        <w:wordWrap/>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堵头压装设备</w:t>
      </w:r>
    </w:p>
    <w:p w14:paraId="7D85A2C9">
      <w:pPr>
        <w:pageBreakBefore w:val="0"/>
        <w:widowControl w:val="0"/>
        <w:numPr>
          <w:ilvl w:val="0"/>
          <w:numId w:val="18"/>
        </w:numPr>
        <w:tabs>
          <w:tab w:val="left" w:pos="0"/>
        </w:tabs>
        <w:kinsoku/>
        <w:wordWrap/>
        <w:topLinePunct w:val="0"/>
        <w:autoSpaceDE/>
        <w:autoSpaceDN/>
        <w:bidi w:val="0"/>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加工</w:t>
      </w:r>
      <w:r>
        <w:rPr>
          <w:rFonts w:hint="eastAsia" w:ascii="宋体" w:hAnsi="宋体" w:eastAsia="宋体" w:cs="宋体"/>
          <w:sz w:val="24"/>
          <w:szCs w:val="24"/>
        </w:rPr>
        <w:t>产品： 202V04400-6081</w:t>
      </w:r>
      <w:r>
        <w:rPr>
          <w:rFonts w:hint="eastAsia" w:ascii="宋体" w:hAnsi="宋体" w:eastAsia="宋体" w:cs="宋体"/>
          <w:sz w:val="24"/>
          <w:szCs w:val="24"/>
          <w:lang w:eastAsia="zh-CN"/>
        </w:rPr>
        <w:t>、</w:t>
      </w:r>
      <w:r>
        <w:rPr>
          <w:rFonts w:hint="eastAsia" w:ascii="宋体" w:hAnsi="宋体" w:eastAsia="宋体" w:cs="宋体"/>
          <w:sz w:val="24"/>
          <w:szCs w:val="24"/>
        </w:rPr>
        <w:t>202V04400-6092；参考图纸见附</w:t>
      </w:r>
      <w:r>
        <w:rPr>
          <w:rFonts w:hint="eastAsia" w:ascii="宋体" w:hAnsi="宋体" w:eastAsia="宋体" w:cs="宋体"/>
          <w:sz w:val="24"/>
          <w:szCs w:val="24"/>
          <w:lang w:val="en-US" w:eastAsia="zh-CN"/>
        </w:rPr>
        <w:t>图</w:t>
      </w:r>
      <w:r>
        <w:rPr>
          <w:rFonts w:hint="eastAsia" w:ascii="宋体" w:hAnsi="宋体" w:eastAsia="宋体" w:cs="宋体"/>
          <w:sz w:val="24"/>
          <w:szCs w:val="24"/>
        </w:rPr>
        <w:t>1《</w:t>
      </w:r>
      <w:r>
        <w:rPr>
          <w:rFonts w:hint="eastAsia" w:ascii="宋体" w:hAnsi="宋体" w:eastAsia="宋体" w:cs="宋体"/>
          <w:sz w:val="24"/>
          <w:szCs w:val="24"/>
          <w:lang w:val="en-US" w:eastAsia="zh-CN"/>
        </w:rPr>
        <w:t>堵头压装附图</w:t>
      </w:r>
      <w:r>
        <w:rPr>
          <w:rFonts w:hint="eastAsia" w:ascii="宋体" w:hAnsi="宋体" w:eastAsia="宋体" w:cs="宋体"/>
          <w:sz w:val="24"/>
          <w:szCs w:val="24"/>
        </w:rPr>
        <w:t>》。</w:t>
      </w:r>
    </w:p>
    <w:p w14:paraId="58089E1E">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sz w:val="24"/>
          <w:szCs w:val="24"/>
          <w:lang w:val="en-US" w:eastAsia="zh-CN"/>
        </w:rPr>
        <w:t>加工</w:t>
      </w:r>
      <w:r>
        <w:rPr>
          <w:rFonts w:hint="eastAsia" w:ascii="宋体" w:hAnsi="宋体" w:eastAsia="宋体" w:cs="宋体"/>
          <w:sz w:val="24"/>
          <w:szCs w:val="24"/>
        </w:rPr>
        <w:t>内容：</w:t>
      </w:r>
    </w:p>
    <w:p w14:paraId="0FFC59F7">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2.1实现钢管自动上</w:t>
      </w:r>
      <w:r>
        <w:rPr>
          <w:rFonts w:hint="eastAsia" w:eastAsia="宋体" w:cs="宋体"/>
          <w:sz w:val="24"/>
          <w:szCs w:val="24"/>
          <w:lang w:val="en-US" w:eastAsia="zh-CN"/>
        </w:rPr>
        <w:t>下料。</w:t>
      </w:r>
    </w:p>
    <w:p w14:paraId="569DC794">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2.2实现堵头自动上下料，堵头与钢管的自动装配。</w:t>
      </w:r>
    </w:p>
    <w:p w14:paraId="3AF750F0">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 </w:t>
      </w:r>
      <w:r>
        <w:rPr>
          <w:rFonts w:hint="eastAsia" w:ascii="宋体" w:hAnsi="宋体" w:eastAsia="宋体" w:cs="宋体"/>
          <w:sz w:val="24"/>
          <w:szCs w:val="24"/>
          <w:lang w:val="en-US" w:eastAsia="zh-CN"/>
        </w:rPr>
        <w:t>技术</w:t>
      </w:r>
      <w:r>
        <w:rPr>
          <w:rFonts w:hint="eastAsia" w:ascii="宋体" w:hAnsi="宋体" w:eastAsia="宋体" w:cs="宋体"/>
          <w:sz w:val="24"/>
          <w:szCs w:val="24"/>
        </w:rPr>
        <w:t>要求：</w:t>
      </w:r>
    </w:p>
    <w:p w14:paraId="1D30AAC7">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3.1</w:t>
      </w:r>
      <w:r>
        <w:rPr>
          <w:rFonts w:hint="eastAsia" w:ascii="宋体" w:hAnsi="宋体" w:eastAsia="宋体" w:cs="宋体"/>
          <w:sz w:val="24"/>
          <w:szCs w:val="24"/>
          <w:lang w:val="en-US" w:eastAsia="zh-CN"/>
        </w:rPr>
        <w:t>堵头压装</w:t>
      </w:r>
      <w:bookmarkStart w:id="81" w:name="OLE_LINK4"/>
      <w:r>
        <w:rPr>
          <w:rFonts w:hint="eastAsia" w:ascii="宋体" w:hAnsi="宋体" w:eastAsia="宋体" w:cs="宋体"/>
          <w:sz w:val="24"/>
          <w:szCs w:val="24"/>
          <w:lang w:val="en-US" w:eastAsia="zh-CN"/>
        </w:rPr>
        <w:t>前后钢管跳动变化量≤0.05mm</w:t>
      </w:r>
      <w:bookmarkEnd w:id="81"/>
      <w:r>
        <w:rPr>
          <w:rFonts w:hint="eastAsia" w:eastAsia="宋体" w:cs="宋体"/>
          <w:sz w:val="24"/>
          <w:szCs w:val="24"/>
          <w:lang w:val="en-US" w:eastAsia="zh-CN"/>
        </w:rPr>
        <w:t>，钢管外径不允许发生变形。</w:t>
      </w:r>
    </w:p>
    <w:p w14:paraId="5D85C34A">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3.2自动压装堵头，压装后保证钢管端面和堵头端面平齐</w:t>
      </w:r>
      <w:r>
        <w:rPr>
          <w:rFonts w:hint="eastAsia" w:ascii="宋体" w:hAnsi="宋体" w:eastAsia="宋体" w:cs="宋体"/>
          <w:sz w:val="24"/>
          <w:szCs w:val="24"/>
          <w:lang w:eastAsia="zh-CN"/>
        </w:rPr>
        <w:t>。</w:t>
      </w:r>
    </w:p>
    <w:p w14:paraId="426E65A7">
      <w:pPr>
        <w:pStyle w:val="16"/>
        <w:pageBreakBefore w:val="0"/>
        <w:widowControl w:val="0"/>
        <w:numPr>
          <w:ilvl w:val="0"/>
          <w:numId w:val="19"/>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生产节拍：节拍≤</w:t>
      </w:r>
      <w:r>
        <w:rPr>
          <w:rFonts w:hint="eastAsia" w:ascii="宋体" w:hAnsi="宋体" w:eastAsia="宋体" w:cs="宋体"/>
          <w:sz w:val="24"/>
          <w:szCs w:val="24"/>
          <w:lang w:val="en-US" w:eastAsia="zh-CN"/>
        </w:rPr>
        <w:t>4</w:t>
      </w:r>
      <w:r>
        <w:rPr>
          <w:rFonts w:hint="eastAsia" w:ascii="宋体" w:hAnsi="宋体" w:eastAsia="宋体" w:cs="宋体"/>
          <w:sz w:val="24"/>
          <w:szCs w:val="24"/>
        </w:rPr>
        <w:t>分钟/件（含</w:t>
      </w:r>
      <w:r>
        <w:rPr>
          <w:rFonts w:hint="eastAsia" w:ascii="宋体" w:hAnsi="宋体" w:eastAsia="宋体" w:cs="宋体"/>
          <w:sz w:val="24"/>
          <w:szCs w:val="24"/>
          <w:lang w:val="en-US" w:eastAsia="zh-CN"/>
        </w:rPr>
        <w:t>自动</w:t>
      </w:r>
      <w:r>
        <w:rPr>
          <w:rFonts w:hint="eastAsia" w:ascii="宋体" w:hAnsi="宋体" w:eastAsia="宋体" w:cs="宋体"/>
          <w:sz w:val="24"/>
          <w:szCs w:val="24"/>
        </w:rPr>
        <w:t>上下料等所有辅助时间）。</w:t>
      </w:r>
    </w:p>
    <w:p w14:paraId="6C86B962">
      <w:pPr>
        <w:pStyle w:val="16"/>
        <w:pageBreakBefore w:val="0"/>
        <w:widowControl w:val="0"/>
        <w:numPr>
          <w:ilvl w:val="0"/>
          <w:numId w:val="19"/>
        </w:numPr>
        <w:kinsoku/>
        <w:wordWrap/>
        <w:topLinePunct w:val="0"/>
        <w:autoSpaceDE/>
        <w:autoSpaceDN/>
        <w:bidi w:val="0"/>
        <w:spacing w:line="360" w:lineRule="auto"/>
        <w:ind w:firstLine="480" w:firstLineChars="200"/>
        <w:jc w:val="left"/>
        <w:textAlignment w:val="auto"/>
        <w:rPr>
          <w:rFonts w:hint="eastAsia" w:ascii="宋体" w:hAnsi="宋体" w:eastAsia="宋体" w:cs="宋体"/>
          <w:strike/>
          <w:dstrike w:val="0"/>
          <w:sz w:val="24"/>
          <w:szCs w:val="24"/>
          <w:lang w:val="en-US" w:eastAsia="zh-CN"/>
        </w:rPr>
      </w:pPr>
      <w:r>
        <w:rPr>
          <w:rFonts w:hint="eastAsia" w:ascii="宋体" w:hAnsi="宋体" w:eastAsia="宋体" w:cs="宋体"/>
          <w:sz w:val="24"/>
          <w:szCs w:val="24"/>
        </w:rPr>
        <w:t xml:space="preserve"> 自动化要求：</w:t>
      </w:r>
    </w:p>
    <w:p w14:paraId="039D1CC2">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5.1利用现有桁架机械手上下料</w:t>
      </w:r>
      <w:r>
        <w:rPr>
          <w:rFonts w:hint="eastAsia" w:eastAsia="宋体" w:cs="宋体"/>
          <w:sz w:val="24"/>
          <w:szCs w:val="24"/>
          <w:lang w:val="en-US" w:eastAsia="zh-CN"/>
        </w:rPr>
        <w:t>，设备需配合桁架机械手设计顶端自动门</w:t>
      </w:r>
      <w:r>
        <w:rPr>
          <w:rFonts w:hint="eastAsia" w:ascii="宋体" w:hAnsi="宋体" w:eastAsia="宋体" w:cs="宋体"/>
          <w:sz w:val="24"/>
          <w:szCs w:val="24"/>
          <w:lang w:val="en-US" w:eastAsia="zh-CN"/>
        </w:rPr>
        <w:t>。</w:t>
      </w:r>
    </w:p>
    <w:p w14:paraId="035EEB62">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eastAsia="宋体" w:cs="宋体"/>
          <w:sz w:val="24"/>
          <w:szCs w:val="24"/>
          <w:lang w:val="en-US" w:eastAsia="zh-CN"/>
        </w:rPr>
      </w:pPr>
      <w:r>
        <w:rPr>
          <w:rFonts w:hint="eastAsia" w:eastAsia="宋体" w:cs="宋体"/>
          <w:sz w:val="24"/>
          <w:szCs w:val="24"/>
          <w:lang w:val="en-US" w:eastAsia="zh-CN"/>
        </w:rPr>
        <w:t>5.2利用现有毛坯料道，增加钢管轴向定位工装，20套（20个工位）。</w:t>
      </w:r>
    </w:p>
    <w:p w14:paraId="796610CC">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eastAsia="宋体" w:cs="宋体"/>
          <w:sz w:val="24"/>
          <w:szCs w:val="24"/>
          <w:lang w:val="en-US" w:eastAsia="zh-CN"/>
        </w:rPr>
      </w:pPr>
      <w:r>
        <w:rPr>
          <w:rFonts w:hint="eastAsia" w:eastAsia="宋体" w:cs="宋体"/>
          <w:sz w:val="24"/>
          <w:szCs w:val="24"/>
          <w:lang w:val="en-US" w:eastAsia="zh-CN"/>
        </w:rPr>
        <w:t>5.3桁架机械手缓存料盒定位工装设计及制作，10套（1个缓存料盒）。</w:t>
      </w:r>
    </w:p>
    <w:p w14:paraId="6B66A46D">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eastAsia="宋体" w:cs="宋体"/>
          <w:sz w:val="24"/>
          <w:szCs w:val="24"/>
          <w:lang w:val="en-US" w:eastAsia="zh-CN"/>
        </w:rPr>
        <w:t>4</w:t>
      </w:r>
      <w:r>
        <w:rPr>
          <w:rFonts w:hint="eastAsia" w:ascii="宋体" w:hAnsi="宋体" w:eastAsia="宋体" w:cs="宋体"/>
          <w:sz w:val="24"/>
          <w:szCs w:val="24"/>
          <w:lang w:val="en-US" w:eastAsia="zh-CN"/>
        </w:rPr>
        <w:t>堵头</w:t>
      </w:r>
      <w:r>
        <w:rPr>
          <w:rFonts w:hint="eastAsia" w:eastAsia="宋体" w:cs="宋体"/>
          <w:sz w:val="24"/>
          <w:szCs w:val="24"/>
          <w:lang w:val="en-US" w:eastAsia="zh-CN"/>
        </w:rPr>
        <w:t>具备自动上料、压装功能</w:t>
      </w:r>
      <w:r>
        <w:rPr>
          <w:rFonts w:hint="eastAsia" w:ascii="宋体" w:hAnsi="宋体" w:eastAsia="宋体" w:cs="宋体"/>
          <w:sz w:val="24"/>
          <w:szCs w:val="24"/>
          <w:lang w:val="en-US" w:eastAsia="zh-CN"/>
        </w:rPr>
        <w:t>：设备设置料仓</w:t>
      </w:r>
      <w:r>
        <w:rPr>
          <w:rFonts w:hint="eastAsia" w:eastAsia="宋体" w:cs="宋体"/>
          <w:sz w:val="24"/>
          <w:szCs w:val="24"/>
          <w:lang w:val="en-US" w:eastAsia="zh-CN"/>
        </w:rPr>
        <w:t>，堵头存储数量≥</w:t>
      </w:r>
      <w:r>
        <w:rPr>
          <w:rFonts w:hint="eastAsia" w:eastAsia="宋体" w:cs="宋体"/>
          <w:sz w:val="24"/>
          <w:szCs w:val="24"/>
          <w:highlight w:val="none"/>
          <w:lang w:val="en-US" w:eastAsia="zh-CN"/>
        </w:rPr>
        <w:t>50个</w:t>
      </w:r>
      <w:r>
        <w:rPr>
          <w:rFonts w:hint="eastAsia" w:ascii="宋体" w:hAnsi="宋体" w:eastAsia="宋体" w:cs="宋体"/>
          <w:sz w:val="24"/>
          <w:szCs w:val="24"/>
          <w:lang w:val="en-US" w:eastAsia="zh-CN"/>
        </w:rPr>
        <w:t>。</w:t>
      </w:r>
    </w:p>
    <w:p w14:paraId="5C02347D">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default" w:eastAsia="宋体" w:cs="宋体"/>
          <w:sz w:val="24"/>
          <w:szCs w:val="24"/>
          <w:highlight w:val="yellow"/>
          <w:lang w:val="en-US" w:eastAsia="zh-CN"/>
        </w:rPr>
      </w:pPr>
      <w:r>
        <w:rPr>
          <w:rFonts w:hint="eastAsia" w:eastAsia="宋体" w:cs="宋体"/>
          <w:sz w:val="24"/>
          <w:szCs w:val="24"/>
          <w:highlight w:val="none"/>
          <w:lang w:val="en-US" w:eastAsia="zh-CN"/>
        </w:rPr>
        <w:t>5.5具备与桁架机械手自动化连接功能，完成自动化调试。</w:t>
      </w:r>
      <w:r>
        <w:rPr>
          <w:rFonts w:ascii="宋体" w:hAnsi="宋体" w:eastAsia="宋体" w:cs="宋体"/>
          <w:sz w:val="24"/>
          <w:szCs w:val="24"/>
        </w:rPr>
        <w:t>自动化联线采用Profinet接口，机床配备与Profinet接口所需要的硬件及软件。</w:t>
      </w:r>
    </w:p>
    <w:p w14:paraId="387A8484">
      <w:pPr>
        <w:pageBreakBefore w:val="0"/>
        <w:widowControl w:val="0"/>
        <w:numPr>
          <w:ilvl w:val="0"/>
          <w:numId w:val="19"/>
        </w:numPr>
        <w:tabs>
          <w:tab w:val="left" w:pos="0"/>
        </w:tabs>
        <w:kinsoku/>
        <w:wordWrap/>
        <w:topLinePunct w:val="0"/>
        <w:autoSpaceDE/>
        <w:autoSpaceDN/>
        <w:bidi w:val="0"/>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换型要求：针对不同型号</w:t>
      </w:r>
      <w:r>
        <w:rPr>
          <w:rFonts w:hint="eastAsia" w:ascii="宋体" w:hAnsi="宋体" w:eastAsia="宋体" w:cs="宋体"/>
          <w:sz w:val="24"/>
          <w:szCs w:val="24"/>
          <w:lang w:val="en-US" w:eastAsia="zh-CN"/>
        </w:rPr>
        <w:t>钢管、堵头等产品，方便换型（换型时间≤2h）</w:t>
      </w:r>
      <w:r>
        <w:rPr>
          <w:rFonts w:hint="eastAsia" w:ascii="宋体" w:hAnsi="宋体" w:eastAsia="宋体" w:cs="宋体"/>
          <w:sz w:val="24"/>
          <w:szCs w:val="24"/>
        </w:rPr>
        <w:t>。</w:t>
      </w:r>
    </w:p>
    <w:p w14:paraId="47FE031E">
      <w:pPr>
        <w:pageBreakBefore w:val="0"/>
        <w:widowControl w:val="0"/>
        <w:numPr>
          <w:ilvl w:val="0"/>
          <w:numId w:val="19"/>
        </w:numPr>
        <w:tabs>
          <w:tab w:val="left" w:pos="0"/>
        </w:tabs>
        <w:kinsoku/>
        <w:wordWrap/>
        <w:topLinePunct w:val="0"/>
        <w:autoSpaceDE/>
        <w:autoSpaceDN/>
        <w:bidi w:val="0"/>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附图1：堵头压装附图（6081、6092相同）</w:t>
      </w:r>
    </w:p>
    <w:p w14:paraId="6EA26581">
      <w:pPr>
        <w:pageBreakBefore w:val="0"/>
        <w:widowControl w:val="0"/>
        <w:numPr>
          <w:ilvl w:val="0"/>
          <w:numId w:val="0"/>
        </w:numPr>
        <w:tabs>
          <w:tab w:val="left" w:pos="0"/>
        </w:tabs>
        <w:kinsoku/>
        <w:wordWrap/>
        <w:topLinePunct w:val="0"/>
        <w:autoSpaceDE/>
        <w:autoSpaceDN/>
        <w:bidi w:val="0"/>
        <w:spacing w:line="360" w:lineRule="auto"/>
        <w:ind w:leftChars="200"/>
        <w:textAlignment w:val="auto"/>
        <w:rPr>
          <w:rFonts w:hint="eastAsia" w:ascii="宋体" w:hAnsi="宋体" w:eastAsia="宋体" w:cs="宋体"/>
          <w:sz w:val="24"/>
          <w:szCs w:val="24"/>
          <w:lang w:val="en-US" w:eastAsia="zh-CN"/>
        </w:rPr>
      </w:pPr>
    </w:p>
    <w:p w14:paraId="4D368FDA">
      <w:pPr>
        <w:pageBreakBefore w:val="0"/>
        <w:widowControl w:val="0"/>
        <w:numPr>
          <w:ilvl w:val="0"/>
          <w:numId w:val="0"/>
        </w:numPr>
        <w:tabs>
          <w:tab w:val="left" w:pos="0"/>
        </w:tabs>
        <w:kinsoku/>
        <w:wordWrap/>
        <w:topLinePunct w:val="0"/>
        <w:autoSpaceDE/>
        <w:autoSpaceDN/>
        <w:bidi w:val="0"/>
        <w:spacing w:line="360" w:lineRule="auto"/>
        <w:ind w:leftChars="200"/>
        <w:textAlignment w:val="auto"/>
        <w:rPr>
          <w:rFonts w:hint="eastAsia" w:ascii="宋体" w:hAnsi="宋体" w:eastAsia="宋体" w:cs="宋体"/>
          <w:sz w:val="24"/>
          <w:szCs w:val="24"/>
          <w:lang w:val="en-US" w:eastAsia="zh-CN"/>
        </w:rPr>
      </w:pPr>
    </w:p>
    <w:p w14:paraId="1659B91E">
      <w:pPr>
        <w:pageBreakBefore w:val="0"/>
        <w:widowControl w:val="0"/>
        <w:numPr>
          <w:ilvl w:val="0"/>
          <w:numId w:val="0"/>
        </w:numPr>
        <w:tabs>
          <w:tab w:val="left" w:pos="0"/>
        </w:tabs>
        <w:kinsoku/>
        <w:wordWrap/>
        <w:topLinePunct w:val="0"/>
        <w:autoSpaceDE/>
        <w:autoSpaceDN/>
        <w:bidi w:val="0"/>
        <w:spacing w:line="360" w:lineRule="auto"/>
        <w:ind w:leftChars="200"/>
        <w:textAlignment w:val="auto"/>
        <w:rPr>
          <w:rFonts w:hint="eastAsia" w:ascii="宋体" w:hAnsi="宋体" w:eastAsia="宋体" w:cs="宋体"/>
          <w:sz w:val="24"/>
          <w:szCs w:val="24"/>
          <w:lang w:val="en-US" w:eastAsia="zh-CN"/>
        </w:rPr>
      </w:pPr>
    </w:p>
    <w:p w14:paraId="115EBC2D">
      <w:pPr>
        <w:pageBreakBefore w:val="0"/>
        <w:widowControl w:val="0"/>
        <w:numPr>
          <w:ilvl w:val="0"/>
          <w:numId w:val="0"/>
        </w:numPr>
        <w:tabs>
          <w:tab w:val="left" w:pos="0"/>
        </w:tabs>
        <w:kinsoku/>
        <w:wordWrap/>
        <w:topLinePunct w:val="0"/>
        <w:autoSpaceDE/>
        <w:autoSpaceDN/>
        <w:bidi w:val="0"/>
        <w:spacing w:line="360" w:lineRule="auto"/>
        <w:ind w:leftChars="200"/>
        <w:textAlignment w:val="auto"/>
        <w:rPr>
          <w:rFonts w:hint="eastAsia" w:ascii="宋体" w:hAnsi="宋体" w:eastAsia="宋体" w:cs="宋体"/>
          <w:sz w:val="24"/>
          <w:szCs w:val="24"/>
          <w:lang w:val="en-US" w:eastAsia="zh-CN"/>
        </w:rPr>
      </w:pPr>
    </w:p>
    <w:p w14:paraId="28A60383">
      <w:pPr>
        <w:pageBreakBefore w:val="0"/>
        <w:widowControl w:val="0"/>
        <w:numPr>
          <w:ilvl w:val="0"/>
          <w:numId w:val="0"/>
        </w:numPr>
        <w:tabs>
          <w:tab w:val="left" w:pos="0"/>
        </w:tabs>
        <w:kinsoku/>
        <w:wordWrap/>
        <w:topLinePunct w:val="0"/>
        <w:autoSpaceDE/>
        <w:autoSpaceDN/>
        <w:bidi w:val="0"/>
        <w:spacing w:line="360" w:lineRule="auto"/>
        <w:ind w:leftChars="200"/>
        <w:textAlignment w:val="auto"/>
        <w:rPr>
          <w:rFonts w:hint="eastAsia" w:ascii="宋体" w:hAnsi="宋体" w:eastAsia="宋体" w:cs="宋体"/>
          <w:sz w:val="24"/>
          <w:szCs w:val="24"/>
          <w:lang w:val="en-US" w:eastAsia="zh-CN"/>
        </w:rPr>
      </w:pPr>
    </w:p>
    <w:p w14:paraId="19D8BCDD">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7.1钢管：材质E355+C</w:t>
      </w:r>
    </w:p>
    <w:p w14:paraId="052553E5">
      <w:pPr>
        <w:pageBreakBefore w:val="0"/>
        <w:widowControl w:val="0"/>
        <w:numPr>
          <w:ilvl w:val="0"/>
          <w:numId w:val="0"/>
        </w:numPr>
        <w:tabs>
          <w:tab w:val="left" w:pos="0"/>
        </w:tabs>
        <w:kinsoku/>
        <w:wordWrap/>
        <w:topLinePunct w:val="0"/>
        <w:autoSpaceDE/>
        <w:autoSpaceDN/>
        <w:bidi w:val="0"/>
        <w:spacing w:line="360" w:lineRule="auto"/>
        <w:ind w:leftChars="200"/>
        <w:textAlignment w:val="auto"/>
      </w:pPr>
      <w:r>
        <w:drawing>
          <wp:inline distT="0" distB="0" distL="114300" distR="114300">
            <wp:extent cx="5759450" cy="2091690"/>
            <wp:effectExtent l="0" t="0" r="1270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5759450" cy="2091690"/>
                    </a:xfrm>
                    <a:prstGeom prst="rect">
                      <a:avLst/>
                    </a:prstGeom>
                    <a:noFill/>
                    <a:ln>
                      <a:noFill/>
                    </a:ln>
                  </pic:spPr>
                </pic:pic>
              </a:graphicData>
            </a:graphic>
          </wp:inline>
        </w:drawing>
      </w:r>
    </w:p>
    <w:p w14:paraId="39719E1B">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7.2堵头：材质45</w:t>
      </w:r>
    </w:p>
    <w:p w14:paraId="48DB77F3">
      <w:pPr>
        <w:pageBreakBefore w:val="0"/>
        <w:widowControl w:val="0"/>
        <w:numPr>
          <w:ilvl w:val="0"/>
          <w:numId w:val="0"/>
        </w:numPr>
        <w:tabs>
          <w:tab w:val="left" w:pos="0"/>
        </w:tabs>
        <w:kinsoku/>
        <w:wordWrap/>
        <w:topLinePunct w:val="0"/>
        <w:autoSpaceDE/>
        <w:autoSpaceDN/>
        <w:bidi w:val="0"/>
        <w:spacing w:line="360" w:lineRule="auto"/>
        <w:ind w:leftChars="200"/>
        <w:jc w:val="center"/>
        <w:textAlignment w:val="auto"/>
        <w:rPr>
          <w:rFonts w:hint="eastAsia" w:ascii="宋体" w:hAnsi="宋体" w:eastAsia="宋体" w:cs="宋体"/>
          <w:sz w:val="24"/>
          <w:szCs w:val="24"/>
          <w:lang w:val="en-US" w:eastAsia="zh-CN"/>
        </w:rPr>
      </w:pPr>
      <w:r>
        <w:drawing>
          <wp:inline distT="0" distB="0" distL="114300" distR="114300">
            <wp:extent cx="2846070" cy="2446020"/>
            <wp:effectExtent l="0" t="0" r="1143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2846070" cy="2446020"/>
                    </a:xfrm>
                    <a:prstGeom prst="rect">
                      <a:avLst/>
                    </a:prstGeom>
                    <a:noFill/>
                    <a:ln>
                      <a:noFill/>
                    </a:ln>
                  </pic:spPr>
                </pic:pic>
              </a:graphicData>
            </a:graphic>
          </wp:inline>
        </w:drawing>
      </w:r>
    </w:p>
    <w:p w14:paraId="006327FD">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7.3堵头压装：</w:t>
      </w:r>
    </w:p>
    <w:p w14:paraId="63A2F4B2">
      <w:pPr>
        <w:pageBreakBefore w:val="0"/>
        <w:widowControl w:val="0"/>
        <w:numPr>
          <w:ilvl w:val="0"/>
          <w:numId w:val="0"/>
        </w:numPr>
        <w:tabs>
          <w:tab w:val="left" w:pos="0"/>
        </w:tabs>
        <w:kinsoku/>
        <w:wordWrap/>
        <w:topLinePunct w:val="0"/>
        <w:autoSpaceDE/>
        <w:autoSpaceDN/>
        <w:bidi w:val="0"/>
        <w:spacing w:line="360" w:lineRule="auto"/>
        <w:ind w:leftChars="200"/>
        <w:jc w:val="center"/>
        <w:textAlignment w:val="auto"/>
        <w:rPr>
          <w:rFonts w:hint="default" w:ascii="宋体" w:hAnsi="宋体" w:eastAsia="宋体" w:cs="宋体"/>
          <w:sz w:val="24"/>
          <w:szCs w:val="24"/>
          <w:lang w:val="en-US" w:eastAsia="zh-CN"/>
        </w:rPr>
      </w:pPr>
      <w:r>
        <w:drawing>
          <wp:inline distT="0" distB="0" distL="114300" distR="114300">
            <wp:extent cx="4537075" cy="2588895"/>
            <wp:effectExtent l="0" t="0" r="1587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4537075" cy="2588895"/>
                    </a:xfrm>
                    <a:prstGeom prst="rect">
                      <a:avLst/>
                    </a:prstGeom>
                    <a:noFill/>
                    <a:ln>
                      <a:noFill/>
                    </a:ln>
                  </pic:spPr>
                </pic:pic>
              </a:graphicData>
            </a:graphic>
          </wp:inline>
        </w:drawing>
      </w:r>
    </w:p>
    <w:p w14:paraId="7A09FC30">
      <w:pPr>
        <w:pageBreakBefore w:val="0"/>
        <w:widowControl w:val="0"/>
        <w:numPr>
          <w:ilvl w:val="0"/>
          <w:numId w:val="0"/>
        </w:numPr>
        <w:tabs>
          <w:tab w:val="left" w:pos="0"/>
        </w:tabs>
        <w:kinsoku/>
        <w:wordWrap/>
        <w:topLinePunct w:val="0"/>
        <w:autoSpaceDE/>
        <w:autoSpaceDN/>
        <w:bidi w:val="0"/>
        <w:spacing w:line="360" w:lineRule="auto"/>
        <w:textAlignment w:val="auto"/>
        <w:rPr>
          <w:rFonts w:hint="eastAsia" w:ascii="宋体" w:hAnsi="宋体" w:eastAsia="宋体" w:cs="宋体"/>
          <w:sz w:val="24"/>
          <w:szCs w:val="24"/>
          <w:lang w:val="en-US" w:eastAsia="zh-CN"/>
        </w:rPr>
      </w:pPr>
    </w:p>
    <w:p w14:paraId="4C8FDBB2">
      <w:pPr>
        <w:pageBreakBefore w:val="0"/>
        <w:widowControl w:val="0"/>
        <w:numPr>
          <w:ilvl w:val="0"/>
          <w:numId w:val="17"/>
        </w:numPr>
        <w:tabs>
          <w:tab w:val="left" w:pos="0"/>
        </w:tabs>
        <w:kinsoku/>
        <w:wordWrap/>
        <w:topLinePunct w:val="0"/>
        <w:autoSpaceDE/>
        <w:autoSpaceDN/>
        <w:bidi w:val="0"/>
        <w:spacing w:line="360" w:lineRule="auto"/>
        <w:ind w:left="48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凸轮自动化滚花装配设备</w:t>
      </w:r>
    </w:p>
    <w:p w14:paraId="0CF82B64">
      <w:pPr>
        <w:pageBreakBefore w:val="0"/>
        <w:widowControl w:val="0"/>
        <w:tabs>
          <w:tab w:val="left" w:pos="0"/>
        </w:tabs>
        <w:kinsoku/>
        <w:wordWrap/>
        <w:topLinePunct w:val="0"/>
        <w:autoSpaceDE/>
        <w:autoSpaceDN/>
        <w:bidi w:val="0"/>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加工</w:t>
      </w:r>
      <w:r>
        <w:rPr>
          <w:rFonts w:hint="eastAsia" w:ascii="宋体" w:hAnsi="宋体" w:eastAsia="宋体" w:cs="宋体"/>
          <w:sz w:val="24"/>
          <w:szCs w:val="24"/>
        </w:rPr>
        <w:t>产品： 202V04400-6081、202V04400-6092；参考图纸见附</w:t>
      </w:r>
      <w:r>
        <w:rPr>
          <w:rFonts w:hint="eastAsia" w:ascii="宋体" w:hAnsi="宋体" w:eastAsia="宋体" w:cs="宋体"/>
          <w:sz w:val="24"/>
          <w:szCs w:val="24"/>
          <w:lang w:val="en-US" w:eastAsia="zh-CN"/>
        </w:rPr>
        <w:t>图2</w:t>
      </w:r>
      <w:r>
        <w:rPr>
          <w:rFonts w:hint="eastAsia" w:ascii="宋体" w:hAnsi="宋体" w:eastAsia="宋体" w:cs="宋体"/>
          <w:sz w:val="24"/>
          <w:szCs w:val="24"/>
        </w:rPr>
        <w:t>《</w:t>
      </w:r>
      <w:r>
        <w:rPr>
          <w:rFonts w:hint="eastAsia" w:ascii="宋体" w:hAnsi="宋体" w:eastAsia="宋体" w:cs="宋体"/>
          <w:sz w:val="24"/>
          <w:szCs w:val="24"/>
          <w:lang w:val="en-US" w:eastAsia="zh-CN"/>
        </w:rPr>
        <w:t>零部件</w:t>
      </w:r>
      <w:r>
        <w:rPr>
          <w:rFonts w:hint="eastAsia" w:ascii="宋体" w:hAnsi="宋体" w:eastAsia="宋体" w:cs="宋体"/>
          <w:sz w:val="24"/>
          <w:szCs w:val="24"/>
        </w:rPr>
        <w:t>图》、附</w:t>
      </w:r>
      <w:r>
        <w:rPr>
          <w:rFonts w:hint="eastAsia" w:ascii="宋体" w:hAnsi="宋体" w:eastAsia="宋体" w:cs="宋体"/>
          <w:sz w:val="24"/>
          <w:szCs w:val="24"/>
          <w:lang w:val="en-US" w:eastAsia="zh-CN"/>
        </w:rPr>
        <w:t>图3</w:t>
      </w:r>
      <w:r>
        <w:rPr>
          <w:rFonts w:hint="eastAsia" w:ascii="宋体" w:hAnsi="宋体" w:eastAsia="宋体" w:cs="宋体"/>
          <w:sz w:val="24"/>
          <w:szCs w:val="24"/>
        </w:rPr>
        <w:t>《</w:t>
      </w:r>
      <w:r>
        <w:rPr>
          <w:rFonts w:hint="eastAsia" w:ascii="宋体" w:hAnsi="宋体" w:eastAsia="宋体" w:cs="宋体"/>
          <w:sz w:val="24"/>
          <w:szCs w:val="24"/>
          <w:lang w:val="en-US" w:eastAsia="zh-CN"/>
        </w:rPr>
        <w:t>凸轮和止推片压装</w:t>
      </w:r>
      <w:r>
        <w:rPr>
          <w:rFonts w:hint="eastAsia" w:ascii="宋体" w:hAnsi="宋体" w:eastAsia="宋体" w:cs="宋体"/>
          <w:sz w:val="24"/>
          <w:szCs w:val="24"/>
        </w:rPr>
        <w:t>附图》。</w:t>
      </w:r>
    </w:p>
    <w:p w14:paraId="3C3776EB">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sz w:val="24"/>
          <w:szCs w:val="24"/>
          <w:lang w:val="en-US" w:eastAsia="zh-CN"/>
        </w:rPr>
        <w:t>加工</w:t>
      </w:r>
      <w:r>
        <w:rPr>
          <w:rFonts w:hint="eastAsia" w:ascii="宋体" w:hAnsi="宋体" w:eastAsia="宋体" w:cs="宋体"/>
          <w:sz w:val="24"/>
          <w:szCs w:val="24"/>
        </w:rPr>
        <w:t>内容：</w:t>
      </w:r>
    </w:p>
    <w:p w14:paraId="193B5F18">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2.1实现钢管、凸轮、止推片自动上料，并实现</w:t>
      </w:r>
      <w:r>
        <w:rPr>
          <w:rFonts w:hint="eastAsia" w:eastAsia="宋体" w:cs="宋体"/>
          <w:sz w:val="24"/>
          <w:szCs w:val="24"/>
          <w:highlight w:val="none"/>
          <w:lang w:val="en-US" w:eastAsia="zh-CN"/>
        </w:rPr>
        <w:t>钢管、</w:t>
      </w:r>
      <w:r>
        <w:rPr>
          <w:rFonts w:hint="eastAsia" w:ascii="宋体" w:hAnsi="宋体" w:eastAsia="宋体" w:cs="宋体"/>
          <w:sz w:val="24"/>
          <w:szCs w:val="24"/>
          <w:highlight w:val="none"/>
          <w:lang w:val="en-US" w:eastAsia="zh-CN"/>
        </w:rPr>
        <w:t>凸轮</w:t>
      </w:r>
      <w:r>
        <w:rPr>
          <w:rFonts w:hint="eastAsia" w:ascii="宋体" w:hAnsi="宋体" w:eastAsia="宋体" w:cs="宋体"/>
          <w:sz w:val="24"/>
          <w:szCs w:val="24"/>
          <w:lang w:val="en-US" w:eastAsia="zh-CN"/>
        </w:rPr>
        <w:t>的自动打码；</w:t>
      </w:r>
    </w:p>
    <w:p w14:paraId="0D9EBC6D">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2.2实现钢管的自动滚花，凸轮与钢管的自动装配；</w:t>
      </w:r>
    </w:p>
    <w:p w14:paraId="16C30337">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2.3实现止推片的自动加热，并完成与钢管的热装配合。</w:t>
      </w:r>
    </w:p>
    <w:p w14:paraId="22745743">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 </w:t>
      </w:r>
      <w:r>
        <w:rPr>
          <w:rFonts w:hint="eastAsia" w:ascii="宋体" w:hAnsi="宋体" w:eastAsia="宋体" w:cs="宋体"/>
          <w:sz w:val="24"/>
          <w:szCs w:val="24"/>
          <w:lang w:val="en-US" w:eastAsia="zh-CN"/>
        </w:rPr>
        <w:t>技术</w:t>
      </w:r>
      <w:r>
        <w:rPr>
          <w:rFonts w:hint="eastAsia" w:ascii="宋体" w:hAnsi="宋体" w:eastAsia="宋体" w:cs="宋体"/>
          <w:sz w:val="24"/>
          <w:szCs w:val="24"/>
        </w:rPr>
        <w:t>要求：</w:t>
      </w:r>
    </w:p>
    <w:p w14:paraId="4D62CDF7">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3.1</w:t>
      </w:r>
      <w:r>
        <w:rPr>
          <w:rFonts w:hint="eastAsia" w:ascii="宋体" w:hAnsi="宋体" w:eastAsia="宋体" w:cs="宋体"/>
          <w:sz w:val="24"/>
          <w:szCs w:val="24"/>
          <w:lang w:val="en-US" w:eastAsia="zh-CN"/>
        </w:rPr>
        <w:t>相位角：</w:t>
      </w:r>
      <w:r>
        <w:rPr>
          <w:rFonts w:hint="eastAsia" w:ascii="宋体" w:hAnsi="宋体" w:eastAsia="宋体" w:cs="宋体"/>
          <w:sz w:val="24"/>
          <w:szCs w:val="24"/>
        </w:rPr>
        <w:t>装配后</w:t>
      </w:r>
      <w:r>
        <w:rPr>
          <w:rFonts w:hint="eastAsia" w:ascii="宋体" w:hAnsi="宋体" w:eastAsia="宋体" w:cs="宋体"/>
          <w:sz w:val="24"/>
          <w:szCs w:val="24"/>
          <w:lang w:val="en-US" w:eastAsia="zh-CN"/>
        </w:rPr>
        <w:t>保证各凸轮与销孔之间的相位角</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轴向尺寸保证±0.</w:t>
      </w:r>
      <w:r>
        <w:rPr>
          <w:rFonts w:hint="eastAsia" w:eastAsia="宋体" w:cs="宋体"/>
          <w:sz w:val="24"/>
          <w:szCs w:val="24"/>
          <w:lang w:val="en-US" w:eastAsia="zh-CN"/>
        </w:rPr>
        <w:t>4</w:t>
      </w:r>
      <w:r>
        <w:rPr>
          <w:rFonts w:hint="eastAsia" w:ascii="宋体" w:hAnsi="宋体" w:eastAsia="宋体" w:cs="宋体"/>
          <w:sz w:val="24"/>
          <w:szCs w:val="24"/>
          <w:lang w:val="en-US" w:eastAsia="zh-CN"/>
        </w:rPr>
        <w:t>mm。</w:t>
      </w:r>
    </w:p>
    <w:p w14:paraId="438CA641">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3.2止推片热套后不出现变形，侧面与排气6凸轮贴合紧密、无间隙。</w:t>
      </w:r>
    </w:p>
    <w:p w14:paraId="7A45186F">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3.3装配前后钢管跳动变化量≤0.</w:t>
      </w:r>
      <w:r>
        <w:rPr>
          <w:rFonts w:hint="eastAsia" w:eastAsia="宋体" w:cs="宋体"/>
          <w:sz w:val="24"/>
          <w:szCs w:val="24"/>
          <w:lang w:val="en-US" w:eastAsia="zh-CN"/>
        </w:rPr>
        <w:t>1</w:t>
      </w:r>
      <w:r>
        <w:rPr>
          <w:rFonts w:hint="eastAsia" w:ascii="宋体" w:hAnsi="宋体" w:eastAsia="宋体" w:cs="宋体"/>
          <w:sz w:val="24"/>
          <w:szCs w:val="24"/>
          <w:lang w:val="en-US" w:eastAsia="zh-CN"/>
        </w:rPr>
        <w:t>mm（装配前钢管</w:t>
      </w:r>
      <w:r>
        <w:rPr>
          <w:rFonts w:hint="eastAsia" w:eastAsia="宋体" w:cs="宋体"/>
          <w:sz w:val="24"/>
          <w:szCs w:val="24"/>
          <w:lang w:val="en-US" w:eastAsia="zh-CN"/>
        </w:rPr>
        <w:t>工艺要求</w:t>
      </w:r>
      <w:r>
        <w:rPr>
          <w:rFonts w:hint="eastAsia" w:ascii="宋体" w:hAnsi="宋体" w:eastAsia="宋体" w:cs="宋体"/>
          <w:sz w:val="24"/>
          <w:szCs w:val="24"/>
          <w:lang w:val="en-US" w:eastAsia="zh-CN"/>
        </w:rPr>
        <w:t>跳动≤0.15mm）。</w:t>
      </w:r>
    </w:p>
    <w:p w14:paraId="442A9858">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3.4</w:t>
      </w:r>
      <w:r>
        <w:rPr>
          <w:rFonts w:hint="eastAsia" w:eastAsia="宋体" w:cs="宋体"/>
          <w:sz w:val="24"/>
          <w:szCs w:val="24"/>
          <w:lang w:val="en-US" w:eastAsia="zh-CN"/>
        </w:rPr>
        <w:t>采用激光打标，</w:t>
      </w:r>
      <w:r>
        <w:rPr>
          <w:rFonts w:hint="eastAsia" w:ascii="宋体" w:hAnsi="宋体" w:eastAsia="宋体" w:cs="宋体"/>
          <w:sz w:val="24"/>
          <w:szCs w:val="24"/>
          <w:lang w:val="en-US" w:eastAsia="zh-CN"/>
        </w:rPr>
        <w:t>二维码</w:t>
      </w:r>
      <w:r>
        <w:rPr>
          <w:rFonts w:hint="eastAsia" w:eastAsia="宋体" w:cs="宋体"/>
          <w:sz w:val="24"/>
          <w:szCs w:val="24"/>
          <w:lang w:val="en-US" w:eastAsia="zh-CN"/>
        </w:rPr>
        <w:t>尺寸规格及打标位置详见附件3</w:t>
      </w:r>
      <w:r>
        <w:rPr>
          <w:rFonts w:hint="eastAsia" w:ascii="宋体" w:hAnsi="宋体" w:eastAsia="宋体" w:cs="宋体"/>
          <w:sz w:val="24"/>
          <w:szCs w:val="24"/>
          <w:lang w:val="en-US" w:eastAsia="zh-CN"/>
        </w:rPr>
        <w:t>。</w:t>
      </w:r>
    </w:p>
    <w:p w14:paraId="2FDF7E82">
      <w:pPr>
        <w:pStyle w:val="16"/>
        <w:pageBreakBefore w:val="0"/>
        <w:widowControl w:val="0"/>
        <w:kinsoku/>
        <w:wordWrap/>
        <w:topLinePunct w:val="0"/>
        <w:autoSpaceDE/>
        <w:autoSpaceDN/>
        <w:bidi w:val="0"/>
        <w:spacing w:line="360" w:lineRule="auto"/>
        <w:ind w:left="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3.5动静态扭矩要求：凸轮装配后静态扭矩</w:t>
      </w:r>
      <w:r>
        <w:rPr>
          <w:rFonts w:hint="eastAsia" w:ascii="宋体" w:hAnsi="宋体" w:eastAsia="宋体" w:cs="宋体"/>
          <w:sz w:val="24"/>
          <w:szCs w:val="24"/>
        </w:rPr>
        <w:t>≥</w:t>
      </w:r>
      <w:r>
        <w:rPr>
          <w:rFonts w:hint="eastAsia" w:ascii="宋体" w:hAnsi="宋体" w:eastAsia="宋体" w:cs="宋体"/>
          <w:sz w:val="24"/>
          <w:szCs w:val="24"/>
          <w:lang w:val="en-US" w:eastAsia="zh-CN"/>
        </w:rPr>
        <w:t>40</w:t>
      </w:r>
      <w:r>
        <w:rPr>
          <w:rFonts w:hint="eastAsia" w:ascii="宋体" w:hAnsi="宋体" w:eastAsia="宋体" w:cs="宋体"/>
          <w:sz w:val="24"/>
          <w:szCs w:val="24"/>
        </w:rPr>
        <w:t>0Nm</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动态扭矩：±320Nm、次数：1000万次；止推片</w:t>
      </w:r>
      <w:r>
        <w:rPr>
          <w:rFonts w:hint="eastAsia" w:ascii="宋体" w:hAnsi="宋体" w:eastAsia="宋体" w:cs="宋体"/>
          <w:sz w:val="24"/>
          <w:szCs w:val="24"/>
        </w:rPr>
        <w:t>热套后静态扭矩≥50Nm。</w:t>
      </w:r>
    </w:p>
    <w:p w14:paraId="61760412">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4.</w:t>
      </w:r>
      <w:r>
        <w:rPr>
          <w:rFonts w:hint="eastAsia" w:ascii="宋体" w:hAnsi="宋体" w:eastAsia="宋体" w:cs="宋体"/>
          <w:sz w:val="24"/>
          <w:szCs w:val="24"/>
        </w:rPr>
        <w:t>生产节拍：</w:t>
      </w:r>
    </w:p>
    <w:p w14:paraId="75C09D7B">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 xml:space="preserve">4.1 </w:t>
      </w:r>
      <w:r>
        <w:rPr>
          <w:rFonts w:hint="eastAsia" w:ascii="宋体" w:hAnsi="宋体" w:eastAsia="宋体" w:cs="宋体"/>
          <w:sz w:val="24"/>
          <w:szCs w:val="24"/>
          <w:lang w:val="en-US" w:eastAsia="zh-CN"/>
        </w:rPr>
        <w:t>202V04400-6081产品</w:t>
      </w:r>
      <w:r>
        <w:rPr>
          <w:rFonts w:hint="eastAsia" w:ascii="宋体" w:hAnsi="宋体" w:eastAsia="宋体" w:cs="宋体"/>
          <w:sz w:val="24"/>
          <w:szCs w:val="24"/>
        </w:rPr>
        <w:t>节拍≤</w:t>
      </w:r>
      <w:r>
        <w:rPr>
          <w:rFonts w:hint="eastAsia" w:ascii="宋体" w:hAnsi="宋体" w:eastAsia="宋体" w:cs="宋体"/>
          <w:sz w:val="24"/>
          <w:szCs w:val="24"/>
          <w:lang w:val="en-US" w:eastAsia="zh-CN"/>
        </w:rPr>
        <w:t>6</w:t>
      </w:r>
      <w:r>
        <w:rPr>
          <w:rFonts w:hint="eastAsia" w:ascii="宋体" w:hAnsi="宋体" w:eastAsia="宋体" w:cs="宋体"/>
          <w:sz w:val="24"/>
          <w:szCs w:val="24"/>
        </w:rPr>
        <w:t>分钟/件（含</w:t>
      </w:r>
      <w:r>
        <w:rPr>
          <w:rFonts w:hint="eastAsia" w:ascii="宋体" w:hAnsi="宋体" w:eastAsia="宋体" w:cs="宋体"/>
          <w:sz w:val="24"/>
          <w:szCs w:val="24"/>
          <w:lang w:val="en-US" w:eastAsia="zh-CN"/>
        </w:rPr>
        <w:t>自动</w:t>
      </w:r>
      <w:r>
        <w:rPr>
          <w:rFonts w:hint="eastAsia" w:ascii="宋体" w:hAnsi="宋体" w:eastAsia="宋体" w:cs="宋体"/>
          <w:sz w:val="24"/>
          <w:szCs w:val="24"/>
        </w:rPr>
        <w:t>上下料、</w:t>
      </w:r>
      <w:r>
        <w:rPr>
          <w:rFonts w:hint="eastAsia" w:ascii="宋体" w:hAnsi="宋体" w:eastAsia="宋体" w:cs="宋体"/>
          <w:sz w:val="24"/>
          <w:szCs w:val="24"/>
          <w:lang w:val="en-US" w:eastAsia="zh-CN"/>
        </w:rPr>
        <w:t>凸轮打码、滚花</w:t>
      </w:r>
      <w:r>
        <w:rPr>
          <w:rFonts w:hint="eastAsia" w:ascii="宋体" w:hAnsi="宋体" w:eastAsia="宋体" w:cs="宋体"/>
          <w:sz w:val="24"/>
          <w:szCs w:val="24"/>
        </w:rPr>
        <w:t>装配</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止推片热套、止推片</w:t>
      </w:r>
      <w:r>
        <w:rPr>
          <w:rFonts w:hint="eastAsia" w:ascii="宋体" w:hAnsi="宋体" w:eastAsia="宋体" w:cs="宋体"/>
          <w:sz w:val="24"/>
          <w:szCs w:val="24"/>
        </w:rPr>
        <w:t>冷却等所有辅助时间）。</w:t>
      </w:r>
    </w:p>
    <w:p w14:paraId="6C633E54">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ascii="宋体" w:hAnsi="宋体" w:eastAsia="宋体" w:cs="宋体"/>
          <w:sz w:val="24"/>
          <w:szCs w:val="24"/>
        </w:rPr>
      </w:pPr>
      <w:r>
        <w:rPr>
          <w:rFonts w:hint="eastAsia" w:eastAsia="宋体" w:cs="宋体"/>
          <w:sz w:val="24"/>
          <w:szCs w:val="24"/>
          <w:lang w:val="en-US" w:eastAsia="zh-CN"/>
        </w:rPr>
        <w:t xml:space="preserve">4.2 </w:t>
      </w:r>
      <w:r>
        <w:rPr>
          <w:rFonts w:hint="eastAsia" w:ascii="宋体" w:hAnsi="宋体" w:eastAsia="宋体" w:cs="宋体"/>
          <w:sz w:val="24"/>
          <w:szCs w:val="24"/>
          <w:lang w:val="en-US" w:eastAsia="zh-CN"/>
        </w:rPr>
        <w:t>202V04400-6092产品</w:t>
      </w:r>
      <w:r>
        <w:rPr>
          <w:rFonts w:hint="eastAsia" w:ascii="宋体" w:hAnsi="宋体" w:eastAsia="宋体" w:cs="宋体"/>
          <w:sz w:val="24"/>
          <w:szCs w:val="24"/>
        </w:rPr>
        <w:t>节拍≤</w:t>
      </w:r>
      <w:r>
        <w:rPr>
          <w:rFonts w:hint="eastAsia" w:ascii="宋体" w:hAnsi="宋体" w:eastAsia="宋体" w:cs="宋体"/>
          <w:sz w:val="24"/>
          <w:szCs w:val="24"/>
          <w:lang w:val="en-US" w:eastAsia="zh-CN"/>
        </w:rPr>
        <w:t>9</w:t>
      </w:r>
      <w:r>
        <w:rPr>
          <w:rFonts w:hint="eastAsia" w:ascii="宋体" w:hAnsi="宋体" w:eastAsia="宋体" w:cs="宋体"/>
          <w:sz w:val="24"/>
          <w:szCs w:val="24"/>
        </w:rPr>
        <w:t>分钟/件（含</w:t>
      </w:r>
      <w:r>
        <w:rPr>
          <w:rFonts w:hint="eastAsia" w:ascii="宋体" w:hAnsi="宋体" w:eastAsia="宋体" w:cs="宋体"/>
          <w:sz w:val="24"/>
          <w:szCs w:val="24"/>
          <w:lang w:val="en-US" w:eastAsia="zh-CN"/>
        </w:rPr>
        <w:t>自动</w:t>
      </w:r>
      <w:r>
        <w:rPr>
          <w:rFonts w:hint="eastAsia" w:ascii="宋体" w:hAnsi="宋体" w:eastAsia="宋体" w:cs="宋体"/>
          <w:sz w:val="24"/>
          <w:szCs w:val="24"/>
        </w:rPr>
        <w:t>上下料、</w:t>
      </w:r>
      <w:r>
        <w:rPr>
          <w:rFonts w:hint="eastAsia" w:ascii="宋体" w:hAnsi="宋体" w:eastAsia="宋体" w:cs="宋体"/>
          <w:sz w:val="24"/>
          <w:szCs w:val="24"/>
          <w:lang w:val="en-US" w:eastAsia="zh-CN"/>
        </w:rPr>
        <w:t>凸轮打码、滚花</w:t>
      </w:r>
      <w:r>
        <w:rPr>
          <w:rFonts w:hint="eastAsia" w:ascii="宋体" w:hAnsi="宋体" w:eastAsia="宋体" w:cs="宋体"/>
          <w:sz w:val="24"/>
          <w:szCs w:val="24"/>
        </w:rPr>
        <w:t>装配等所有辅助时间）。</w:t>
      </w:r>
    </w:p>
    <w:p w14:paraId="55465732">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ascii="宋体" w:hAnsi="宋体" w:eastAsia="宋体" w:cs="宋体"/>
          <w:sz w:val="24"/>
          <w:szCs w:val="24"/>
        </w:rPr>
      </w:pPr>
      <w:r>
        <w:rPr>
          <w:rFonts w:hint="eastAsia" w:ascii="宋体" w:hAnsi="宋体" w:eastAsia="宋体" w:cs="宋体"/>
          <w:sz w:val="24"/>
          <w:szCs w:val="24"/>
        </w:rPr>
        <w:t>5.下料温度≤</w:t>
      </w:r>
      <w:r>
        <w:rPr>
          <w:rFonts w:hint="eastAsia" w:eastAsia="宋体" w:cs="宋体"/>
          <w:sz w:val="24"/>
          <w:szCs w:val="24"/>
          <w:lang w:val="en-US" w:eastAsia="zh-CN"/>
        </w:rPr>
        <w:t>6</w:t>
      </w:r>
      <w:r>
        <w:rPr>
          <w:rFonts w:hint="eastAsia" w:ascii="宋体" w:hAnsi="宋体" w:eastAsia="宋体" w:cs="宋体"/>
          <w:sz w:val="24"/>
          <w:szCs w:val="24"/>
        </w:rPr>
        <w:t>0℃。</w:t>
      </w:r>
    </w:p>
    <w:p w14:paraId="79BCE0D4">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ascii="宋体" w:hAnsi="宋体" w:eastAsia="宋体" w:cs="宋体"/>
          <w:sz w:val="24"/>
          <w:szCs w:val="24"/>
        </w:rPr>
      </w:pPr>
      <w:r>
        <w:rPr>
          <w:rFonts w:hint="eastAsia" w:ascii="宋体" w:hAnsi="宋体" w:eastAsia="宋体" w:cs="宋体"/>
          <w:sz w:val="24"/>
          <w:szCs w:val="24"/>
        </w:rPr>
        <w:t>6. 自动化要求：</w:t>
      </w:r>
    </w:p>
    <w:p w14:paraId="1A2A0B5D">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6.1设备和前后工序的上下料，设计</w:t>
      </w:r>
      <w:r>
        <w:rPr>
          <w:rFonts w:hint="eastAsia" w:eastAsia="宋体" w:cs="宋体"/>
          <w:sz w:val="24"/>
          <w:szCs w:val="24"/>
          <w:lang w:val="en-US" w:eastAsia="zh-CN"/>
        </w:rPr>
        <w:t>两</w:t>
      </w:r>
      <w:r>
        <w:rPr>
          <w:rFonts w:hint="eastAsia" w:ascii="宋体" w:hAnsi="宋体" w:eastAsia="宋体" w:cs="宋体"/>
          <w:sz w:val="24"/>
          <w:szCs w:val="24"/>
          <w:lang w:val="en-US" w:eastAsia="zh-CN"/>
        </w:rPr>
        <w:t>段辊道和</w:t>
      </w:r>
      <w:r>
        <w:rPr>
          <w:rFonts w:hint="eastAsia" w:eastAsia="宋体" w:cs="宋体"/>
          <w:sz w:val="24"/>
          <w:szCs w:val="24"/>
          <w:lang w:val="en-US" w:eastAsia="zh-CN"/>
        </w:rPr>
        <w:t>前后</w:t>
      </w:r>
      <w:r>
        <w:rPr>
          <w:rFonts w:hint="eastAsia" w:ascii="宋体" w:hAnsi="宋体" w:eastAsia="宋体" w:cs="宋体"/>
          <w:sz w:val="24"/>
          <w:szCs w:val="24"/>
          <w:lang w:val="en-US" w:eastAsia="zh-CN"/>
        </w:rPr>
        <w:t>桁架机械手连接，实现自动上下料。</w:t>
      </w:r>
    </w:p>
    <w:p w14:paraId="11CA7682">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6.2设备内部的钢管、凸轮、</w:t>
      </w:r>
      <w:r>
        <w:rPr>
          <w:rFonts w:hint="eastAsia" w:eastAsia="宋体" w:cs="宋体"/>
          <w:sz w:val="24"/>
          <w:szCs w:val="24"/>
          <w:lang w:val="en-US" w:eastAsia="zh-CN"/>
        </w:rPr>
        <w:t>止推片</w:t>
      </w:r>
      <w:r>
        <w:rPr>
          <w:rFonts w:hint="eastAsia" w:ascii="宋体" w:hAnsi="宋体" w:eastAsia="宋体" w:cs="宋体"/>
          <w:sz w:val="24"/>
          <w:szCs w:val="24"/>
          <w:lang w:val="en-US" w:eastAsia="zh-CN"/>
        </w:rPr>
        <w:t>等上料，不合格品下料，由六轴机械手负责，实现自动上下料。</w:t>
      </w:r>
    </w:p>
    <w:p w14:paraId="23742525">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ascii="宋体" w:hAnsi="宋体" w:eastAsia="宋体" w:cs="宋体"/>
          <w:strike/>
          <w:dstrike w:val="0"/>
          <w:sz w:val="24"/>
          <w:szCs w:val="24"/>
          <w:lang w:val="en-US" w:eastAsia="zh-CN"/>
        </w:rPr>
      </w:pPr>
      <w:r>
        <w:rPr>
          <w:rFonts w:hint="eastAsia" w:eastAsia="宋体" w:cs="宋体"/>
          <w:sz w:val="24"/>
          <w:szCs w:val="24"/>
          <w:lang w:val="en-US" w:eastAsia="zh-CN"/>
        </w:rPr>
        <w:t>6.3设备具备抽检和回线功能。</w:t>
      </w:r>
    </w:p>
    <w:p w14:paraId="1C96DECF">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eastAsia="宋体" w:cs="宋体"/>
          <w:sz w:val="24"/>
          <w:szCs w:val="24"/>
          <w:lang w:val="en-US" w:eastAsia="zh-CN"/>
        </w:rPr>
      </w:pPr>
      <w:r>
        <w:rPr>
          <w:rFonts w:hint="eastAsia" w:eastAsia="宋体" w:cs="宋体"/>
          <w:sz w:val="24"/>
          <w:szCs w:val="24"/>
          <w:lang w:val="en-US" w:eastAsia="zh-CN"/>
        </w:rPr>
        <w:t>6.4桁架机械手卡爪设计及制作，2套。</w:t>
      </w:r>
    </w:p>
    <w:p w14:paraId="1AF58007">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default" w:eastAsia="宋体" w:cs="宋体"/>
          <w:sz w:val="24"/>
          <w:szCs w:val="24"/>
          <w:lang w:val="en-US" w:eastAsia="zh-CN"/>
        </w:rPr>
      </w:pPr>
      <w:r>
        <w:rPr>
          <w:rFonts w:hint="eastAsia" w:eastAsia="宋体" w:cs="宋体"/>
          <w:sz w:val="24"/>
          <w:szCs w:val="24"/>
          <w:lang w:val="en-US" w:eastAsia="zh-CN"/>
        </w:rPr>
        <w:t>6.5桁架机械手缓存料盒定位工装设计及制作，30套（3个缓存料盒）。</w:t>
      </w:r>
    </w:p>
    <w:p w14:paraId="3505C366">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default" w:ascii="宋体" w:hAnsi="宋体" w:eastAsia="宋体" w:cs="宋体"/>
          <w:strike w:val="0"/>
          <w:dstrike w:val="0"/>
          <w:sz w:val="24"/>
          <w:szCs w:val="24"/>
          <w:lang w:val="en-US" w:eastAsia="zh-CN"/>
        </w:rPr>
      </w:pPr>
      <w:r>
        <w:rPr>
          <w:rFonts w:hint="eastAsia" w:eastAsia="宋体" w:cs="宋体"/>
          <w:sz w:val="24"/>
          <w:szCs w:val="24"/>
          <w:highlight w:val="none"/>
          <w:lang w:val="en-US" w:eastAsia="zh-CN"/>
        </w:rPr>
        <w:t>6.6具备与桁架机械手自动化连接功能，完成自动化调试。</w:t>
      </w:r>
      <w:r>
        <w:rPr>
          <w:rFonts w:ascii="宋体" w:hAnsi="宋体" w:eastAsia="宋体" w:cs="宋体"/>
          <w:sz w:val="24"/>
          <w:szCs w:val="24"/>
        </w:rPr>
        <w:t>自动化联线采用Profinet接口，机床配备与Profinet接口所需要的硬件及软件。</w:t>
      </w:r>
    </w:p>
    <w:p w14:paraId="6527042D">
      <w:pPr>
        <w:pageBreakBefore w:val="0"/>
        <w:widowControl w:val="0"/>
        <w:numPr>
          <w:ilvl w:val="0"/>
          <w:numId w:val="20"/>
        </w:numPr>
        <w:tabs>
          <w:tab w:val="left" w:pos="0"/>
          <w:tab w:val="clear" w:pos="312"/>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换型要求：</w:t>
      </w:r>
      <w:r>
        <w:rPr>
          <w:rFonts w:hint="eastAsia" w:ascii="宋体" w:hAnsi="宋体" w:eastAsia="宋体" w:cs="宋体"/>
          <w:sz w:val="24"/>
          <w:szCs w:val="24"/>
          <w:lang w:val="en-US" w:eastAsia="zh-CN"/>
        </w:rPr>
        <w:t>工装设计为可更换结构，针对不同型号的钢管、凸轮、齿轮等，方便换型（换型时间≤2h）。</w:t>
      </w:r>
    </w:p>
    <w:p w14:paraId="18444372">
      <w:pPr>
        <w:pageBreakBefore w:val="0"/>
        <w:widowControl w:val="0"/>
        <w:numPr>
          <w:ilvl w:val="0"/>
          <w:numId w:val="20"/>
        </w:numPr>
        <w:tabs>
          <w:tab w:val="left" w:pos="0"/>
          <w:tab w:val="clear" w:pos="312"/>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设备地基要求，由投标方负责现有产线旧设备（拉鲁、台中、回火炉、校直机共4台设备，拉鲁和台中设备约6T、回火炉约10T、校直机约3T）的迁移工作（拉鲁和台中安装和恢复精度），并完成所需设备地基设计和施工（3个地面，每个面积约6m*6m），投标时需进行方案描述。</w:t>
      </w:r>
      <w:r>
        <w:rPr>
          <w:rFonts w:hint="eastAsia" w:ascii="宋体" w:hAnsi="宋体" w:eastAsia="宋体" w:cs="宋体"/>
          <w:sz w:val="24"/>
          <w:szCs w:val="24"/>
        </w:rPr>
        <w:t xml:space="preserve">  </w:t>
      </w:r>
    </w:p>
    <w:p w14:paraId="1B979A1D">
      <w:pPr>
        <w:pageBreakBefore w:val="0"/>
        <w:widowControl w:val="0"/>
        <w:numPr>
          <w:ilvl w:val="0"/>
          <w:numId w:val="20"/>
        </w:numPr>
        <w:tabs>
          <w:tab w:val="left" w:pos="0"/>
          <w:tab w:val="clear" w:pos="312"/>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信息化：投标方负责完成堵头压装设备、凸轮自动化滚花装配设备等MES连接工作，实现数据自动抓取、储存、追溯等功能。</w:t>
      </w:r>
      <w:r>
        <w:rPr>
          <w:rFonts w:hint="eastAsia" w:ascii="宋体" w:hAnsi="宋体" w:eastAsia="宋体" w:cs="宋体"/>
          <w:sz w:val="24"/>
          <w:szCs w:val="24"/>
        </w:rPr>
        <w:t xml:space="preserve"> </w:t>
      </w:r>
    </w:p>
    <w:p w14:paraId="5BC77464">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10.附图2:零部件图</w:t>
      </w:r>
    </w:p>
    <w:p w14:paraId="090357BF">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10.1前序输入半成品（6081、6092相同）</w:t>
      </w:r>
    </w:p>
    <w:p w14:paraId="190BA40A">
      <w:pPr>
        <w:pageBreakBefore w:val="0"/>
        <w:widowControl w:val="0"/>
        <w:numPr>
          <w:ilvl w:val="0"/>
          <w:numId w:val="0"/>
        </w:numPr>
        <w:tabs>
          <w:tab w:val="left" w:pos="0"/>
        </w:tabs>
        <w:kinsoku/>
        <w:wordWrap/>
        <w:topLinePunct w:val="0"/>
        <w:autoSpaceDE/>
        <w:autoSpaceDN/>
        <w:bidi w:val="0"/>
        <w:spacing w:line="360" w:lineRule="auto"/>
        <w:ind w:firstLine="420" w:firstLineChars="200"/>
        <w:textAlignment w:val="auto"/>
        <w:rPr>
          <w:rFonts w:hint="eastAsia" w:ascii="宋体" w:hAnsi="宋体" w:eastAsia="宋体" w:cs="宋体"/>
          <w:sz w:val="24"/>
          <w:szCs w:val="24"/>
        </w:rPr>
      </w:pPr>
      <w:r>
        <w:drawing>
          <wp:inline distT="0" distB="0" distL="114300" distR="114300">
            <wp:extent cx="5754370" cy="1809750"/>
            <wp:effectExtent l="0" t="0" r="1778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46"/>
                    <a:stretch>
                      <a:fillRect/>
                    </a:stretch>
                  </pic:blipFill>
                  <pic:spPr>
                    <a:xfrm>
                      <a:off x="0" y="0"/>
                      <a:ext cx="5754370" cy="1809750"/>
                    </a:xfrm>
                    <a:prstGeom prst="rect">
                      <a:avLst/>
                    </a:prstGeom>
                    <a:noFill/>
                    <a:ln>
                      <a:noFill/>
                    </a:ln>
                  </pic:spPr>
                </pic:pic>
              </a:graphicData>
            </a:graphic>
          </wp:inline>
        </w:drawing>
      </w:r>
    </w:p>
    <w:p w14:paraId="112E367E">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 6081产品止推片：材料55</w:t>
      </w:r>
    </w:p>
    <w:p w14:paraId="7B9B985D">
      <w:pPr>
        <w:pageBreakBefore w:val="0"/>
        <w:widowControl w:val="0"/>
        <w:numPr>
          <w:ilvl w:val="0"/>
          <w:numId w:val="0"/>
        </w:numPr>
        <w:tabs>
          <w:tab w:val="left" w:pos="0"/>
        </w:tabs>
        <w:kinsoku/>
        <w:wordWrap/>
        <w:topLinePunct w:val="0"/>
        <w:autoSpaceDE/>
        <w:autoSpaceDN/>
        <w:bidi w:val="0"/>
        <w:spacing w:line="360" w:lineRule="auto"/>
        <w:ind w:firstLine="420" w:firstLineChars="200"/>
        <w:jc w:val="center"/>
        <w:textAlignment w:val="auto"/>
        <w:rPr>
          <w:rFonts w:hint="eastAsia" w:ascii="宋体" w:hAnsi="宋体" w:eastAsia="宋体" w:cs="宋体"/>
          <w:sz w:val="24"/>
          <w:szCs w:val="24"/>
          <w:lang w:val="en-US" w:eastAsia="zh-CN"/>
        </w:rPr>
      </w:pPr>
      <w:r>
        <w:drawing>
          <wp:inline distT="0" distB="0" distL="114300" distR="114300">
            <wp:extent cx="2901950" cy="2003425"/>
            <wp:effectExtent l="0" t="0" r="12700" b="1587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47"/>
                    <a:stretch>
                      <a:fillRect/>
                    </a:stretch>
                  </pic:blipFill>
                  <pic:spPr>
                    <a:xfrm>
                      <a:off x="0" y="0"/>
                      <a:ext cx="2901950" cy="2003425"/>
                    </a:xfrm>
                    <a:prstGeom prst="rect">
                      <a:avLst/>
                    </a:prstGeom>
                    <a:noFill/>
                    <a:ln>
                      <a:noFill/>
                    </a:ln>
                  </pic:spPr>
                </pic:pic>
              </a:graphicData>
            </a:graphic>
          </wp:inline>
        </w:drawing>
      </w:r>
    </w:p>
    <w:p w14:paraId="1E6D54C6">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p>
    <w:p w14:paraId="11122B52">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10.3 6081产品凸轮：材料100Cr6</w:t>
      </w:r>
    </w:p>
    <w:p w14:paraId="66AA29D7">
      <w:pPr>
        <w:pageBreakBefore w:val="0"/>
        <w:widowControl w:val="0"/>
        <w:numPr>
          <w:ilvl w:val="0"/>
          <w:numId w:val="0"/>
        </w:numPr>
        <w:tabs>
          <w:tab w:val="left" w:pos="0"/>
        </w:tabs>
        <w:kinsoku/>
        <w:wordWrap/>
        <w:topLinePunct w:val="0"/>
        <w:autoSpaceDE/>
        <w:autoSpaceDN/>
        <w:bidi w:val="0"/>
        <w:spacing w:line="360" w:lineRule="auto"/>
        <w:ind w:firstLine="420" w:firstLineChars="200"/>
        <w:textAlignment w:val="auto"/>
        <w:rPr>
          <w:rFonts w:hint="default" w:ascii="宋体" w:hAnsi="宋体" w:eastAsia="宋体" w:cs="宋体"/>
          <w:sz w:val="24"/>
          <w:szCs w:val="24"/>
          <w:lang w:val="en-US" w:eastAsia="zh-CN"/>
        </w:rPr>
      </w:pPr>
      <w:r>
        <w:drawing>
          <wp:inline distT="0" distB="0" distL="114300" distR="114300">
            <wp:extent cx="5040630" cy="1958340"/>
            <wp:effectExtent l="0" t="0" r="7620" b="381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48"/>
                    <a:stretch>
                      <a:fillRect/>
                    </a:stretch>
                  </pic:blipFill>
                  <pic:spPr>
                    <a:xfrm>
                      <a:off x="0" y="0"/>
                      <a:ext cx="5040630" cy="1958340"/>
                    </a:xfrm>
                    <a:prstGeom prst="rect">
                      <a:avLst/>
                    </a:prstGeom>
                    <a:noFill/>
                    <a:ln>
                      <a:noFill/>
                    </a:ln>
                  </pic:spPr>
                </pic:pic>
              </a:graphicData>
            </a:graphic>
          </wp:inline>
        </w:drawing>
      </w:r>
    </w:p>
    <w:p w14:paraId="1643AA62">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p>
    <w:p w14:paraId="66D7F708">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10.4 6092产品凸轮：材料100Cr6</w:t>
      </w:r>
    </w:p>
    <w:p w14:paraId="441B587A">
      <w:pPr>
        <w:pageBreakBefore w:val="0"/>
        <w:widowControl w:val="0"/>
        <w:numPr>
          <w:ilvl w:val="0"/>
          <w:numId w:val="0"/>
        </w:numPr>
        <w:tabs>
          <w:tab w:val="left" w:pos="0"/>
        </w:tabs>
        <w:kinsoku/>
        <w:wordWrap/>
        <w:topLinePunct w:val="0"/>
        <w:autoSpaceDE/>
        <w:autoSpaceDN/>
        <w:bidi w:val="0"/>
        <w:spacing w:line="360" w:lineRule="auto"/>
        <w:ind w:firstLine="420" w:firstLineChars="200"/>
        <w:jc w:val="left"/>
        <w:textAlignment w:val="auto"/>
        <w:rPr>
          <w:rFonts w:hint="default" w:ascii="宋体" w:hAnsi="宋体" w:eastAsia="宋体" w:cs="宋体"/>
          <w:sz w:val="24"/>
          <w:szCs w:val="24"/>
          <w:lang w:val="en-US" w:eastAsia="zh-CN"/>
        </w:rPr>
      </w:pPr>
      <w:r>
        <w:drawing>
          <wp:inline distT="0" distB="0" distL="114300" distR="114300">
            <wp:extent cx="5748020" cy="1346200"/>
            <wp:effectExtent l="0" t="0" r="5080" b="635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9"/>
                    <a:stretch>
                      <a:fillRect/>
                    </a:stretch>
                  </pic:blipFill>
                  <pic:spPr>
                    <a:xfrm>
                      <a:off x="0" y="0"/>
                      <a:ext cx="5748020" cy="1346200"/>
                    </a:xfrm>
                    <a:prstGeom prst="rect">
                      <a:avLst/>
                    </a:prstGeom>
                    <a:noFill/>
                    <a:ln>
                      <a:noFill/>
                    </a:ln>
                  </pic:spPr>
                </pic:pic>
              </a:graphicData>
            </a:graphic>
          </wp:inline>
        </w:drawing>
      </w:r>
    </w:p>
    <w:p w14:paraId="3E1F08E7">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11.附图3：凸轮和止推片压装附图</w:t>
      </w:r>
    </w:p>
    <w:p w14:paraId="2293AE4C">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11.1 6081产品</w:t>
      </w:r>
    </w:p>
    <w:p w14:paraId="6DB30709">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r>
        <w:drawing>
          <wp:inline distT="0" distB="0" distL="114300" distR="114300">
            <wp:extent cx="5758180" cy="1751330"/>
            <wp:effectExtent l="0" t="0" r="13970" b="127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0"/>
                    <a:stretch>
                      <a:fillRect/>
                    </a:stretch>
                  </pic:blipFill>
                  <pic:spPr>
                    <a:xfrm>
                      <a:off x="0" y="0"/>
                      <a:ext cx="5758180" cy="1751330"/>
                    </a:xfrm>
                    <a:prstGeom prst="rect">
                      <a:avLst/>
                    </a:prstGeom>
                    <a:noFill/>
                    <a:ln>
                      <a:noFill/>
                    </a:ln>
                  </pic:spPr>
                </pic:pic>
              </a:graphicData>
            </a:graphic>
          </wp:inline>
        </w:drawing>
      </w:r>
    </w:p>
    <w:p w14:paraId="7862B915">
      <w:pPr>
        <w:pageBreakBefore w:val="0"/>
        <w:widowControl w:val="0"/>
        <w:numPr>
          <w:ilvl w:val="0"/>
          <w:numId w:val="0"/>
        </w:numPr>
        <w:tabs>
          <w:tab w:val="left" w:pos="0"/>
        </w:tabs>
        <w:suppressAutoHyphens/>
        <w:kinsoku/>
        <w:wordWrap/>
        <w:topLinePunct w:val="0"/>
        <w:autoSpaceDE/>
        <w:autoSpaceDN/>
        <w:bidi w:val="0"/>
        <w:spacing w:before="0" w:after="0" w:line="360" w:lineRule="auto"/>
        <w:jc w:val="center"/>
        <w:textAlignment w:val="auto"/>
        <w:rPr>
          <w:rFonts w:hint="eastAsia" w:ascii="宋体" w:hAnsi="宋体" w:eastAsia="宋体" w:cs="宋体"/>
          <w:sz w:val="24"/>
          <w:szCs w:val="24"/>
        </w:rPr>
      </w:pPr>
      <w:r>
        <w:drawing>
          <wp:inline distT="0" distB="0" distL="114300" distR="114300">
            <wp:extent cx="3500755" cy="2070100"/>
            <wp:effectExtent l="0" t="0" r="4445" b="635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51"/>
                    <a:stretch>
                      <a:fillRect/>
                    </a:stretch>
                  </pic:blipFill>
                  <pic:spPr>
                    <a:xfrm>
                      <a:off x="0" y="0"/>
                      <a:ext cx="3500755" cy="2070100"/>
                    </a:xfrm>
                    <a:prstGeom prst="rect">
                      <a:avLst/>
                    </a:prstGeom>
                    <a:noFill/>
                    <a:ln>
                      <a:noFill/>
                    </a:ln>
                  </pic:spPr>
                </pic:pic>
              </a:graphicData>
            </a:graphic>
          </wp:inline>
        </w:drawing>
      </w:r>
    </w:p>
    <w:p w14:paraId="1599C0E8">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p>
    <w:p w14:paraId="150C2C5B">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r>
        <w:drawing>
          <wp:inline distT="0" distB="0" distL="114300" distR="114300">
            <wp:extent cx="5755005" cy="2257425"/>
            <wp:effectExtent l="0" t="0" r="17145" b="952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52"/>
                    <a:stretch>
                      <a:fillRect/>
                    </a:stretch>
                  </pic:blipFill>
                  <pic:spPr>
                    <a:xfrm>
                      <a:off x="0" y="0"/>
                      <a:ext cx="5755005" cy="2257425"/>
                    </a:xfrm>
                    <a:prstGeom prst="rect">
                      <a:avLst/>
                    </a:prstGeom>
                    <a:noFill/>
                    <a:ln>
                      <a:noFill/>
                    </a:ln>
                  </pic:spPr>
                </pic:pic>
              </a:graphicData>
            </a:graphic>
          </wp:inline>
        </w:drawing>
      </w:r>
    </w:p>
    <w:p w14:paraId="22E537C5">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11.2 6092产品</w:t>
      </w:r>
    </w:p>
    <w:p w14:paraId="17EA550F">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r>
        <w:drawing>
          <wp:inline distT="0" distB="0" distL="114300" distR="114300">
            <wp:extent cx="6260465" cy="2072640"/>
            <wp:effectExtent l="0" t="0" r="6985" b="381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53"/>
                    <a:stretch>
                      <a:fillRect/>
                    </a:stretch>
                  </pic:blipFill>
                  <pic:spPr>
                    <a:xfrm>
                      <a:off x="0" y="0"/>
                      <a:ext cx="6260465" cy="2072640"/>
                    </a:xfrm>
                    <a:prstGeom prst="rect">
                      <a:avLst/>
                    </a:prstGeom>
                    <a:noFill/>
                    <a:ln>
                      <a:noFill/>
                    </a:ln>
                  </pic:spPr>
                </pic:pic>
              </a:graphicData>
            </a:graphic>
          </wp:inline>
        </w:drawing>
      </w:r>
    </w:p>
    <w:p w14:paraId="4FF112FB">
      <w:pPr>
        <w:pageBreakBefore w:val="0"/>
        <w:widowControl w:val="0"/>
        <w:numPr>
          <w:ilvl w:val="0"/>
          <w:numId w:val="0"/>
        </w:numPr>
        <w:tabs>
          <w:tab w:val="left" w:pos="0"/>
        </w:tabs>
        <w:suppressAutoHyphens/>
        <w:kinsoku/>
        <w:wordWrap/>
        <w:topLinePunct w:val="0"/>
        <w:autoSpaceDE/>
        <w:autoSpaceDN/>
        <w:bidi w:val="0"/>
        <w:spacing w:before="0" w:after="0" w:line="360" w:lineRule="auto"/>
        <w:jc w:val="center"/>
        <w:textAlignment w:val="auto"/>
        <w:rPr>
          <w:rFonts w:hint="eastAsia" w:ascii="宋体" w:hAnsi="宋体" w:eastAsia="宋体" w:cs="宋体"/>
          <w:sz w:val="24"/>
          <w:szCs w:val="24"/>
        </w:rPr>
      </w:pPr>
      <w:r>
        <w:drawing>
          <wp:inline distT="0" distB="0" distL="114300" distR="114300">
            <wp:extent cx="3538855" cy="2191385"/>
            <wp:effectExtent l="0" t="0" r="4445" b="1841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54"/>
                    <a:stretch>
                      <a:fillRect/>
                    </a:stretch>
                  </pic:blipFill>
                  <pic:spPr>
                    <a:xfrm>
                      <a:off x="0" y="0"/>
                      <a:ext cx="3538855" cy="2191385"/>
                    </a:xfrm>
                    <a:prstGeom prst="rect">
                      <a:avLst/>
                    </a:prstGeom>
                    <a:noFill/>
                    <a:ln>
                      <a:noFill/>
                    </a:ln>
                  </pic:spPr>
                </pic:pic>
              </a:graphicData>
            </a:graphic>
          </wp:inline>
        </w:drawing>
      </w:r>
    </w:p>
    <w:p w14:paraId="10F0BFC3">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p>
    <w:p w14:paraId="363AB8BA">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p>
    <w:p w14:paraId="6AB90A8D">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p>
    <w:p w14:paraId="78480936">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p>
    <w:p w14:paraId="6B04F369">
      <w:pPr>
        <w:pageBreakBefore w:val="0"/>
        <w:widowControl w:val="0"/>
        <w:numPr>
          <w:ilvl w:val="0"/>
          <w:numId w:val="0"/>
        </w:numPr>
        <w:tabs>
          <w:tab w:val="left" w:pos="0"/>
        </w:tabs>
        <w:suppressAutoHyphens/>
        <w:kinsoku/>
        <w:wordWrap/>
        <w:topLinePunct w:val="0"/>
        <w:autoSpaceDE/>
        <w:autoSpaceDN/>
        <w:bidi w:val="0"/>
        <w:spacing w:before="0" w:after="0" w:line="360" w:lineRule="auto"/>
        <w:jc w:val="both"/>
        <w:textAlignment w:val="auto"/>
        <w:rPr>
          <w:rFonts w:hint="eastAsia" w:ascii="宋体" w:hAnsi="宋体" w:eastAsia="宋体" w:cs="宋体"/>
          <w:sz w:val="24"/>
          <w:szCs w:val="24"/>
        </w:rPr>
      </w:pPr>
    </w:p>
    <w:p w14:paraId="762F4D09">
      <w:pPr>
        <w:pageBreakBefore w:val="0"/>
        <w:widowControl w:val="0"/>
        <w:numPr>
          <w:ilvl w:val="0"/>
          <w:numId w:val="0"/>
        </w:numPr>
        <w:tabs>
          <w:tab w:val="left" w:pos="0"/>
        </w:tabs>
        <w:suppressAutoHyphens/>
        <w:kinsoku/>
        <w:wordWrap/>
        <w:topLinePunct w:val="0"/>
        <w:autoSpaceDE/>
        <w:autoSpaceDN/>
        <w:bidi w:val="0"/>
        <w:spacing w:before="0" w:after="0" w:line="360" w:lineRule="auto"/>
        <w:jc w:val="center"/>
        <w:textAlignment w:val="auto"/>
        <w:rPr>
          <w:rFonts w:hint="eastAsia" w:ascii="宋体" w:hAnsi="宋体" w:eastAsia="宋体" w:cs="宋体"/>
          <w:sz w:val="24"/>
          <w:szCs w:val="24"/>
        </w:rPr>
      </w:pPr>
      <w:r>
        <w:drawing>
          <wp:inline distT="0" distB="0" distL="114300" distR="114300">
            <wp:extent cx="5300345" cy="3049270"/>
            <wp:effectExtent l="0" t="0" r="14605" b="1778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55"/>
                    <a:stretch>
                      <a:fillRect/>
                    </a:stretch>
                  </pic:blipFill>
                  <pic:spPr>
                    <a:xfrm>
                      <a:off x="0" y="0"/>
                      <a:ext cx="5300345" cy="3049270"/>
                    </a:xfrm>
                    <a:prstGeom prst="rect">
                      <a:avLst/>
                    </a:prstGeom>
                    <a:noFill/>
                    <a:ln>
                      <a:noFill/>
                    </a:ln>
                  </pic:spPr>
                </pic:pic>
              </a:graphicData>
            </a:graphic>
          </wp:inline>
        </w:drawing>
      </w:r>
    </w:p>
    <w:p w14:paraId="3DA1CB30">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System" w:hAnsi="System" w:eastAsia="System"/>
          <w:color w:val="00FF00"/>
          <w:sz w:val="24"/>
          <w:szCs w:val="24"/>
        </w:rPr>
      </w:pPr>
      <w:r>
        <w:rPr>
          <w:rFonts w:hint="eastAsia" w:ascii="宋体" w:hAnsi="宋体" w:eastAsia="宋体" w:cs="宋体"/>
          <w:sz w:val="24"/>
          <w:szCs w:val="24"/>
          <w:lang w:val="en-US" w:eastAsia="zh-CN"/>
        </w:rPr>
        <w:t>11.3凸轮装配后技术要求（6092多制动凸轮，其余要求二产品通用）</w:t>
      </w:r>
    </w:p>
    <w:p w14:paraId="1F9DF85A">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11.3.1凸轮片的正反面，圆点标记，进气凸轮一个圆点，排气凸轮两个圆点，制动凸轮1个圆点。装配时凸轮圆点向下放入工装。</w:t>
      </w:r>
    </w:p>
    <w:p w14:paraId="4EF634BC">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11.3.2进气、排气和制动凸轮静态扭矩≥400Nm，动态扭矩±320Nm，负荷交替≥1000万次；排气6凸轮轴向力≥10000N。</w:t>
      </w:r>
    </w:p>
    <w:p w14:paraId="2E513318">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11.4打码要求</w:t>
      </w:r>
    </w:p>
    <w:p w14:paraId="7E9B3BCC">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11.4.1凸轮打码位置（6092多制动凸轮，其余要求二产品通用）</w:t>
      </w:r>
    </w:p>
    <w:p w14:paraId="65268532">
      <w:pPr>
        <w:pageBreakBefore w:val="0"/>
        <w:widowControl w:val="0"/>
        <w:numPr>
          <w:ilvl w:val="0"/>
          <w:numId w:val="0"/>
        </w:numPr>
        <w:tabs>
          <w:tab w:val="left" w:pos="0"/>
        </w:tabs>
        <w:suppressAutoHyphens/>
        <w:kinsoku/>
        <w:wordWrap/>
        <w:topLinePunct w:val="0"/>
        <w:autoSpaceDE/>
        <w:autoSpaceDN/>
        <w:bidi w:val="0"/>
        <w:spacing w:before="0" w:after="0" w:line="360" w:lineRule="auto"/>
        <w:ind w:left="1260" w:leftChars="200" w:hanging="840" w:hangingChars="400"/>
        <w:jc w:val="both"/>
        <w:textAlignment w:val="auto"/>
        <w:rPr>
          <w:rFonts w:hint="eastAsia"/>
          <w:lang w:val="en-US" w:eastAsia="zh-CN"/>
        </w:rPr>
      </w:pPr>
      <w:r>
        <w:drawing>
          <wp:inline distT="0" distB="0" distL="114300" distR="114300">
            <wp:extent cx="5750560" cy="1845945"/>
            <wp:effectExtent l="0" t="0" r="2540" b="190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56"/>
                    <a:stretch>
                      <a:fillRect/>
                    </a:stretch>
                  </pic:blipFill>
                  <pic:spPr>
                    <a:xfrm>
                      <a:off x="0" y="0"/>
                      <a:ext cx="5750560" cy="1845945"/>
                    </a:xfrm>
                    <a:prstGeom prst="rect">
                      <a:avLst/>
                    </a:prstGeom>
                    <a:noFill/>
                    <a:ln>
                      <a:noFill/>
                    </a:ln>
                  </pic:spPr>
                </pic:pic>
              </a:graphicData>
            </a:graphic>
          </wp:inline>
        </w:drawing>
      </w:r>
      <w:r>
        <w:rPr>
          <w:rFonts w:hint="eastAsia"/>
          <w:lang w:val="en-US" w:eastAsia="zh-CN"/>
        </w:rPr>
        <w:t>进气凸轮                                    排气凸轮                                           制动凸轮</w:t>
      </w:r>
    </w:p>
    <w:p w14:paraId="58EEB583">
      <w:pPr>
        <w:pageBreakBefore w:val="0"/>
        <w:widowControl w:val="0"/>
        <w:numPr>
          <w:ilvl w:val="0"/>
          <w:numId w:val="0"/>
        </w:numPr>
        <w:tabs>
          <w:tab w:val="left" w:pos="0"/>
        </w:tabs>
        <w:suppressAutoHyphens/>
        <w:kinsoku/>
        <w:wordWrap/>
        <w:topLinePunct w:val="0"/>
        <w:autoSpaceDE/>
        <w:autoSpaceDN/>
        <w:bidi w:val="0"/>
        <w:spacing w:before="0" w:after="0" w:line="360" w:lineRule="auto"/>
        <w:ind w:left="1260" w:leftChars="200" w:hanging="840" w:hangingChars="400"/>
        <w:jc w:val="both"/>
        <w:textAlignment w:val="auto"/>
        <w:rPr>
          <w:rFonts w:hint="eastAsia" w:ascii="宋体" w:hAnsi="宋体" w:eastAsia="宋体" w:cs="宋体"/>
          <w:sz w:val="24"/>
          <w:szCs w:val="24"/>
          <w:lang w:val="en-US" w:eastAsia="zh-CN"/>
        </w:rPr>
      </w:pPr>
      <w:r>
        <w:rPr>
          <w:rFonts w:hint="eastAsia"/>
          <w:lang w:val="en-US" w:eastAsia="zh-CN"/>
        </w:rPr>
        <w:t xml:space="preserve">  </w:t>
      </w:r>
      <w:r>
        <w:rPr>
          <w:rFonts w:hint="eastAsia" w:ascii="宋体" w:hAnsi="宋体" w:eastAsia="宋体" w:cs="宋体"/>
          <w:sz w:val="24"/>
          <w:szCs w:val="24"/>
          <w:lang w:val="en-US" w:eastAsia="zh-CN"/>
        </w:rPr>
        <w:t>11.4.2 凸轮打码要求</w:t>
      </w:r>
    </w:p>
    <w:p w14:paraId="5479611F">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11.4.2.1凸轮压装前进行打码，仅标记二维码。</w:t>
      </w:r>
    </w:p>
    <w:p w14:paraId="3D629E71">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11.4.2.2二维码初始大小6*6mm，二维码清晰、大小可调整。</w:t>
      </w:r>
    </w:p>
    <w:p w14:paraId="3A00E98A">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11.4.2.3打码采用激光打标。</w:t>
      </w:r>
    </w:p>
    <w:p w14:paraId="0E39DFF4">
      <w:pPr>
        <w:pageBreakBefore w:val="0"/>
        <w:widowControl w:val="0"/>
        <w:numPr>
          <w:ilvl w:val="0"/>
          <w:numId w:val="0"/>
        </w:numPr>
        <w:tabs>
          <w:tab w:val="left" w:pos="0"/>
        </w:tabs>
        <w:suppressAutoHyphens/>
        <w:kinsoku/>
        <w:wordWrap/>
        <w:topLinePunct w:val="0"/>
        <w:autoSpaceDE/>
        <w:autoSpaceDN/>
        <w:bidi w:val="0"/>
        <w:spacing w:before="0" w:after="0" w:line="360" w:lineRule="auto"/>
        <w:ind w:left="1380" w:leftChars="200" w:hanging="960" w:hangingChars="400"/>
        <w:jc w:val="both"/>
        <w:textAlignment w:val="auto"/>
        <w:rPr>
          <w:rFonts w:hint="default" w:ascii="宋体" w:hAnsi="宋体" w:eastAsia="宋体" w:cs="宋体"/>
          <w:sz w:val="24"/>
          <w:szCs w:val="24"/>
          <w:lang w:val="en-US" w:eastAsia="zh-CN"/>
        </w:rPr>
      </w:pPr>
    </w:p>
    <w:p w14:paraId="01A9877E">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11.4.3钢管打码要求</w:t>
      </w:r>
    </w:p>
    <w:p w14:paraId="4A9AC667">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11.4.3.1凸轮压装后再进行打码，明码内容，分三行：</w:t>
      </w:r>
    </w:p>
    <w:p w14:paraId="63E4FFFD">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960" w:firstLineChars="4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202V04400-6092 </w:t>
      </w:r>
    </w:p>
    <w:p w14:paraId="72FF0AA3">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960" w:firstLineChars="4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90000 </w:t>
      </w:r>
    </w:p>
    <w:p w14:paraId="5EACA632">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960" w:firstLineChars="4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204250100001；</w:t>
      </w:r>
    </w:p>
    <w:p w14:paraId="104E3AE9">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11.4.3.2二维码内容:22位（9位物流条码号、1位单件或批次管理（1或2，可选择）、明码第三行内容）；</w:t>
      </w:r>
    </w:p>
    <w:p w14:paraId="582A229F">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11.4.3.3二维码初始大小8*8mm，二维码清晰、大小可调整。</w:t>
      </w:r>
    </w:p>
    <w:p w14:paraId="1F05CAC8">
      <w:pPr>
        <w:pageBreakBefore w:val="0"/>
        <w:widowControl w:val="0"/>
        <w:numPr>
          <w:ilvl w:val="0"/>
          <w:numId w:val="0"/>
        </w:numPr>
        <w:tabs>
          <w:tab w:val="left" w:pos="0"/>
        </w:tabs>
        <w:suppressAutoHyphens/>
        <w:kinsoku/>
        <w:wordWrap/>
        <w:topLinePunct w:val="0"/>
        <w:autoSpaceDE/>
        <w:autoSpaceDN/>
        <w:bidi w:val="0"/>
        <w:spacing w:before="0" w:after="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11.4.3.4打码采用激光打标，区域沿圆周、轴向均可调。</w:t>
      </w:r>
    </w:p>
    <w:p w14:paraId="2BC5051E">
      <w:pPr>
        <w:pageBreakBefore w:val="0"/>
        <w:widowControl w:val="0"/>
        <w:numPr>
          <w:ilvl w:val="0"/>
          <w:numId w:val="21"/>
        </w:numPr>
        <w:tabs>
          <w:tab w:val="left" w:pos="1080"/>
        </w:tabs>
        <w:kinsoku/>
        <w:wordWrap/>
        <w:topLinePunct w:val="0"/>
        <w:autoSpaceDE/>
        <w:autoSpaceDN/>
        <w:bidi w:val="0"/>
        <w:spacing w:before="156" w:beforeLines="50" w:after="156" w:afterLines="50" w:line="360" w:lineRule="auto"/>
        <w:textAlignment w:val="auto"/>
        <w:outlineLvl w:val="1"/>
        <w:rPr>
          <w:rFonts w:hint="eastAsia" w:ascii="宋体" w:hAnsi="宋体" w:eastAsia="宋体" w:cs="宋体"/>
          <w:b/>
          <w:sz w:val="24"/>
          <w:szCs w:val="24"/>
        </w:rPr>
      </w:pPr>
      <w:bookmarkStart w:id="82" w:name="_Toc127880412"/>
      <w:r>
        <w:rPr>
          <w:rFonts w:hint="eastAsia" w:ascii="宋体" w:hAnsi="宋体" w:eastAsia="宋体" w:cs="宋体"/>
          <w:b/>
          <w:sz w:val="24"/>
          <w:szCs w:val="24"/>
        </w:rPr>
        <w:t>方案及主要技术规格</w:t>
      </w:r>
      <w:bookmarkEnd w:id="82"/>
    </w:p>
    <w:p w14:paraId="1EABF446">
      <w:pPr>
        <w:pStyle w:val="16"/>
        <w:pageBreakBefore w:val="0"/>
        <w:widowControl w:val="0"/>
        <w:numPr>
          <w:ilvl w:val="0"/>
          <w:numId w:val="22"/>
        </w:numPr>
        <w:kinsoku/>
        <w:wordWrap/>
        <w:topLinePunct w:val="0"/>
        <w:autoSpaceDE/>
        <w:autoSpaceDN/>
        <w:bidi w:val="0"/>
        <w:spacing w:line="360" w:lineRule="auto"/>
        <w:ind w:firstLine="480" w:firstLineChars="200"/>
        <w:jc w:val="left"/>
        <w:textAlignment w:val="auto"/>
        <w:rPr>
          <w:rFonts w:hint="eastAsia" w:eastAsia="宋体" w:cs="宋体"/>
          <w:sz w:val="24"/>
          <w:szCs w:val="24"/>
          <w:lang w:val="en-US" w:eastAsia="zh-CN"/>
        </w:rPr>
      </w:pPr>
      <w:r>
        <w:rPr>
          <w:rFonts w:hint="eastAsia" w:eastAsia="宋体" w:cs="宋体"/>
          <w:sz w:val="24"/>
          <w:szCs w:val="24"/>
          <w:lang w:val="en-US" w:eastAsia="zh-CN"/>
        </w:rPr>
        <w:t>堵头压装设备</w:t>
      </w:r>
    </w:p>
    <w:p w14:paraId="29E69B09">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1.技术方案要求</w:t>
      </w:r>
      <w:bookmarkStart w:id="83" w:name="OLE_LINK5"/>
      <w:r>
        <w:rPr>
          <w:rFonts w:hint="eastAsia" w:eastAsia="宋体" w:cs="宋体"/>
          <w:sz w:val="24"/>
          <w:szCs w:val="24"/>
          <w:lang w:eastAsia="zh-CN"/>
        </w:rPr>
        <w:t>（</w:t>
      </w:r>
      <w:r>
        <w:rPr>
          <w:rFonts w:hint="eastAsia" w:eastAsia="宋体" w:cs="宋体"/>
          <w:sz w:val="24"/>
          <w:szCs w:val="24"/>
          <w:lang w:val="en-US" w:eastAsia="zh-CN"/>
        </w:rPr>
        <w:t>招标时投标方需详细介绍</w:t>
      </w:r>
      <w:r>
        <w:rPr>
          <w:rFonts w:hint="eastAsia" w:eastAsia="宋体" w:cs="宋体"/>
          <w:sz w:val="24"/>
          <w:szCs w:val="24"/>
          <w:lang w:eastAsia="zh-CN"/>
        </w:rPr>
        <w:t>）</w:t>
      </w:r>
      <w:bookmarkEnd w:id="83"/>
    </w:p>
    <w:p w14:paraId="06FE93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设备为堵头自动压装机，具备堵头料仓和自动上料模块、钢管上料和产品输送机构、钢管定</w:t>
      </w:r>
      <w:r>
        <w:rPr>
          <w:rFonts w:hint="eastAsia" w:ascii="宋体" w:hAnsi="宋体" w:eastAsia="宋体" w:cs="宋体"/>
          <w:color w:val="auto"/>
          <w:kern w:val="2"/>
          <w:sz w:val="24"/>
          <w:szCs w:val="24"/>
          <w:lang w:val="en-US" w:eastAsia="zh-CN" w:bidi="ar-SA"/>
        </w:rPr>
        <w:t>位和夹持机构、</w:t>
      </w:r>
      <w:r>
        <w:rPr>
          <w:rFonts w:hint="eastAsia" w:ascii="宋体" w:hAnsi="宋体" w:eastAsia="宋体" w:cs="宋体"/>
          <w:color w:val="auto"/>
          <w:kern w:val="2"/>
          <w:sz w:val="24"/>
          <w:szCs w:val="24"/>
          <w:highlight w:val="none"/>
          <w:lang w:val="en-US" w:eastAsia="zh-CN" w:bidi="ar-SA"/>
        </w:rPr>
        <w:t>钢管感应加热机构、钢管堵头装配机构、钢管旋转机构</w:t>
      </w:r>
      <w:r>
        <w:rPr>
          <w:rFonts w:hint="eastAsia" w:ascii="宋体" w:hAnsi="宋体" w:eastAsia="宋体" w:cs="宋体"/>
          <w:color w:val="auto"/>
          <w:kern w:val="2"/>
          <w:sz w:val="24"/>
          <w:szCs w:val="24"/>
          <w:lang w:val="en-US" w:eastAsia="zh-CN" w:bidi="ar-SA"/>
        </w:rPr>
        <w:t>、压力位移监控模块、不合格品料道、控制模块等；可实现堵头自动压装，同时具备压力位移曲线监控、产品追溯等功能，保证装配的可靠性。</w:t>
      </w:r>
    </w:p>
    <w:p w14:paraId="1B1028EF">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1.2堵头自动料仓，具备缓存和自动定位功能，缓存数量≥50件，可实现堵头的自动定位和自动运转。</w:t>
      </w:r>
    </w:p>
    <w:p w14:paraId="637F3AC6">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1.3钢管上料和产品输送机构，利用现有</w:t>
      </w:r>
      <w:r>
        <w:rPr>
          <w:rFonts w:hint="eastAsia" w:eastAsia="宋体" w:cs="宋体"/>
          <w:sz w:val="24"/>
          <w:szCs w:val="24"/>
          <w:lang w:val="en-US" w:eastAsia="zh-CN"/>
        </w:rPr>
        <w:t>桁架机械手和</w:t>
      </w:r>
      <w:r>
        <w:rPr>
          <w:rFonts w:hint="eastAsia" w:ascii="宋体" w:hAnsi="宋体" w:eastAsia="宋体" w:cs="宋体"/>
          <w:sz w:val="24"/>
          <w:szCs w:val="24"/>
          <w:lang w:val="en-US" w:eastAsia="zh-CN"/>
        </w:rPr>
        <w:t>毛坯辊道，实现钢管自动上料，由投标方负责机械手、毛坯辊道联线程序调试和硬件准备等事项。</w:t>
      </w:r>
    </w:p>
    <w:p w14:paraId="43302D89">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1.4钢管定位和夹持机构，具备钢管自动定位功能，实现钢管定位、夹紧；定位和夹持部分可调整，便于后期新产品换型。</w:t>
      </w:r>
    </w:p>
    <w:p w14:paraId="02E64B87">
      <w:pPr>
        <w:pStyle w:val="16"/>
        <w:pageBreakBefore w:val="0"/>
        <w:widowControl w:val="0"/>
        <w:kinsoku/>
        <w:wordWrap/>
        <w:overflowPunct/>
        <w:topLinePunct w:val="0"/>
        <w:autoSpaceDE/>
        <w:autoSpaceDN/>
        <w:bidi w:val="0"/>
        <w:spacing w:line="360" w:lineRule="auto"/>
        <w:ind w:firstLine="480" w:firstLineChars="200"/>
        <w:jc w:val="left"/>
        <w:textAlignment w:val="auto"/>
        <w:rPr>
          <w:rFonts w:hint="eastAsia" w:eastAsia="宋体" w:cs="宋体"/>
          <w:sz w:val="24"/>
          <w:szCs w:val="24"/>
          <w:highlight w:val="yellow"/>
          <w:lang w:val="en-US" w:eastAsia="zh-CN"/>
        </w:rPr>
      </w:pPr>
      <w:r>
        <w:rPr>
          <w:rFonts w:hint="eastAsia" w:eastAsia="宋体" w:cs="宋体"/>
          <w:sz w:val="24"/>
          <w:szCs w:val="24"/>
          <w:lang w:val="en-US" w:eastAsia="zh-CN"/>
        </w:rPr>
        <w:t>1.5钢管感应加热机构：</w:t>
      </w:r>
      <w:r>
        <w:rPr>
          <w:rFonts w:hint="eastAsia" w:ascii="宋体" w:hAnsi="宋体" w:eastAsia="宋体" w:cs="宋体"/>
          <w:sz w:val="24"/>
          <w:szCs w:val="24"/>
        </w:rPr>
        <w:t>具有</w:t>
      </w:r>
      <w:r>
        <w:rPr>
          <w:rFonts w:hint="eastAsia" w:eastAsia="宋体" w:cs="宋体"/>
          <w:sz w:val="24"/>
          <w:szCs w:val="24"/>
          <w:lang w:val="en-US" w:eastAsia="zh-CN"/>
        </w:rPr>
        <w:t>钢管</w:t>
      </w:r>
      <w:r>
        <w:rPr>
          <w:rFonts w:hint="eastAsia" w:ascii="宋体" w:hAnsi="宋体" w:eastAsia="宋体" w:cs="宋体"/>
          <w:sz w:val="24"/>
          <w:szCs w:val="24"/>
        </w:rPr>
        <w:t>自动加热、温度监控等功能，加热时可实现加热温度和加热时间的实时监控；该模块加热单元具有过载保护和隔热保护功能。</w:t>
      </w:r>
      <w:r>
        <w:rPr>
          <w:rFonts w:hint="eastAsia" w:eastAsia="宋体" w:cs="宋体"/>
          <w:sz w:val="24"/>
          <w:szCs w:val="24"/>
          <w:lang w:val="en-US" w:eastAsia="zh-CN"/>
        </w:rPr>
        <w:t>加热温度、加热时间均可调整。</w:t>
      </w:r>
      <w:r>
        <w:rPr>
          <w:rFonts w:hint="eastAsia" w:eastAsia="宋体" w:cs="宋体"/>
          <w:sz w:val="24"/>
          <w:szCs w:val="24"/>
          <w:highlight w:val="none"/>
          <w:lang w:val="en-US" w:eastAsia="zh-CN"/>
        </w:rPr>
        <w:t>最大加热温度≥300℃，加热功率≥15KW。</w:t>
      </w:r>
    </w:p>
    <w:p w14:paraId="2F2B5222">
      <w:pPr>
        <w:pStyle w:val="16"/>
        <w:pageBreakBefore w:val="0"/>
        <w:widowControl w:val="0"/>
        <w:kinsoku/>
        <w:wordWrap/>
        <w:overflowPunct/>
        <w:topLinePunct w:val="0"/>
        <w:autoSpaceDE/>
        <w:autoSpaceDN/>
        <w:bidi w:val="0"/>
        <w:spacing w:line="360" w:lineRule="auto"/>
        <w:ind w:firstLine="480" w:firstLineChars="200"/>
        <w:jc w:val="left"/>
        <w:textAlignment w:val="auto"/>
        <w:rPr>
          <w:rFonts w:hint="eastAsia" w:eastAsia="宋体" w:cs="宋体"/>
          <w:sz w:val="24"/>
          <w:szCs w:val="24"/>
          <w:lang w:val="en-US" w:eastAsia="zh-CN"/>
        </w:rPr>
      </w:pPr>
      <w:r>
        <w:rPr>
          <w:rFonts w:hint="eastAsia" w:eastAsia="宋体" w:cs="宋体"/>
          <w:sz w:val="24"/>
          <w:szCs w:val="24"/>
          <w:lang w:val="en-US" w:eastAsia="zh-CN"/>
        </w:rPr>
        <w:t>1.6钢管堵头装配机构：采用伺服电缸控制，可实现堵头的自动装配，最大压入力≥5T。</w:t>
      </w:r>
    </w:p>
    <w:p w14:paraId="5C386D41">
      <w:pPr>
        <w:pStyle w:val="16"/>
        <w:pageBreakBefore w:val="0"/>
        <w:widowControl w:val="0"/>
        <w:kinsoku/>
        <w:wordWrap/>
        <w:overflowPunct/>
        <w:topLinePunct w:val="0"/>
        <w:autoSpaceDE/>
        <w:autoSpaceDN/>
        <w:bidi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eastAsia="宋体" w:cs="宋体"/>
          <w:sz w:val="24"/>
          <w:szCs w:val="24"/>
          <w:lang w:val="en-US" w:eastAsia="zh-CN"/>
        </w:rPr>
        <w:t>1.7钢管旋转机构：采用伺服或气缸控制，可实现钢管的自动举升和自动旋转。</w:t>
      </w:r>
    </w:p>
    <w:p w14:paraId="184378F6">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eastAsia="宋体" w:cs="宋体"/>
          <w:sz w:val="24"/>
          <w:szCs w:val="24"/>
          <w:lang w:val="en-US" w:eastAsia="zh-CN"/>
        </w:rPr>
        <w:t>8</w:t>
      </w:r>
      <w:r>
        <w:rPr>
          <w:rFonts w:hint="eastAsia" w:ascii="宋体" w:hAnsi="宋体" w:eastAsia="宋体" w:cs="宋体"/>
          <w:sz w:val="24"/>
          <w:szCs w:val="24"/>
          <w:lang w:val="en-US" w:eastAsia="zh-CN"/>
        </w:rPr>
        <w:t>压力-位移曲线监控模块，设备可实现堵头压装力的精准监控，并具有存储功能，设备内部存储量≥1万件。</w:t>
      </w:r>
    </w:p>
    <w:p w14:paraId="2619E55F">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eastAsia="宋体" w:cs="宋体"/>
          <w:sz w:val="24"/>
          <w:szCs w:val="24"/>
          <w:lang w:val="en-US" w:eastAsia="zh-CN"/>
        </w:rPr>
        <w:t>9</w:t>
      </w:r>
      <w:r>
        <w:rPr>
          <w:rFonts w:hint="eastAsia" w:ascii="宋体" w:hAnsi="宋体" w:eastAsia="宋体" w:cs="宋体"/>
          <w:sz w:val="24"/>
          <w:szCs w:val="24"/>
          <w:lang w:val="en-US" w:eastAsia="zh-CN"/>
        </w:rPr>
        <w:t>不合格品料道，具有不合格品缓存料道，缓存数量≥10件；不合格品自动识别、自动转运至不合格品缓存区，人工确认后，手动转运至不合格品区。</w:t>
      </w:r>
    </w:p>
    <w:p w14:paraId="02362B5E">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1.</w:t>
      </w:r>
      <w:r>
        <w:rPr>
          <w:rFonts w:hint="eastAsia" w:eastAsia="宋体" w:cs="宋体"/>
          <w:sz w:val="24"/>
          <w:szCs w:val="24"/>
          <w:lang w:val="en-US" w:eastAsia="zh-CN"/>
        </w:rPr>
        <w:t>10</w:t>
      </w:r>
      <w:r>
        <w:rPr>
          <w:rFonts w:hint="eastAsia" w:ascii="宋体" w:hAnsi="宋体" w:eastAsia="宋体" w:cs="宋体"/>
          <w:sz w:val="24"/>
          <w:szCs w:val="24"/>
          <w:lang w:val="en-US" w:eastAsia="zh-CN"/>
        </w:rPr>
        <w:t>控制模块，控制系统采用西门子</w:t>
      </w:r>
      <w:r>
        <w:rPr>
          <w:rFonts w:hint="eastAsia" w:ascii="宋体" w:hAnsi="宋体" w:eastAsia="宋体" w:cs="宋体"/>
          <w:sz w:val="24"/>
          <w:szCs w:val="24"/>
          <w:highlight w:val="none"/>
          <w:lang w:val="en-US" w:eastAsia="zh-CN"/>
        </w:rPr>
        <w:t>S7-1200</w:t>
      </w:r>
      <w:r>
        <w:rPr>
          <w:rFonts w:hint="eastAsia" w:ascii="宋体" w:hAnsi="宋体" w:eastAsia="宋体" w:cs="宋体"/>
          <w:sz w:val="24"/>
          <w:szCs w:val="24"/>
          <w:lang w:val="en-US" w:eastAsia="zh-CN"/>
        </w:rPr>
        <w:t>以上型号，具有MES对接功能，存储数据可上传至整线MES系统；</w:t>
      </w:r>
      <w:r>
        <w:rPr>
          <w:rFonts w:hint="eastAsia" w:ascii="宋体" w:hAnsi="宋体" w:eastAsia="宋体" w:cs="宋体"/>
          <w:sz w:val="24"/>
          <w:szCs w:val="24"/>
          <w:highlight w:val="none"/>
          <w:lang w:val="en-US" w:eastAsia="zh-CN"/>
        </w:rPr>
        <w:t>MES对接功能由投标方负责联系MES厂家完成。</w:t>
      </w:r>
      <w:r>
        <w:rPr>
          <w:rFonts w:hint="eastAsia" w:ascii="宋体" w:hAnsi="宋体" w:eastAsia="宋体" w:cs="宋体"/>
          <w:sz w:val="24"/>
          <w:szCs w:val="24"/>
        </w:rPr>
        <w:t>留有产品新图号扩展功能。</w:t>
      </w:r>
    </w:p>
    <w:p w14:paraId="11B59503">
      <w:pPr>
        <w:pStyle w:val="16"/>
        <w:pageBreakBefore w:val="0"/>
        <w:widowControl w:val="0"/>
        <w:kinsoku/>
        <w:wordWrap/>
        <w:topLinePunct w:val="0"/>
        <w:autoSpaceDE/>
        <w:autoSpaceDN/>
        <w:bidi w:val="0"/>
        <w:spacing w:line="360" w:lineRule="auto"/>
        <w:ind w:firstLine="480" w:firstLineChars="200"/>
        <w:jc w:val="left"/>
        <w:textAlignment w:val="auto"/>
        <w:rPr>
          <w:rFonts w:hint="eastAsia" w:eastAsia="宋体" w:cs="宋体"/>
          <w:sz w:val="24"/>
          <w:szCs w:val="24"/>
          <w:lang w:val="en-US" w:eastAsia="zh-CN"/>
        </w:rPr>
      </w:pPr>
      <w:r>
        <w:rPr>
          <w:rFonts w:hint="eastAsia" w:ascii="宋体" w:hAnsi="宋体" w:eastAsia="宋体" w:cs="宋体"/>
          <w:sz w:val="24"/>
          <w:szCs w:val="24"/>
        </w:rPr>
        <w:t>1.</w:t>
      </w:r>
      <w:r>
        <w:rPr>
          <w:rFonts w:hint="eastAsia" w:eastAsia="宋体" w:cs="宋体"/>
          <w:sz w:val="24"/>
          <w:szCs w:val="24"/>
          <w:lang w:val="en-US" w:eastAsia="zh-CN"/>
        </w:rPr>
        <w:t>11</w:t>
      </w:r>
      <w:r>
        <w:rPr>
          <w:rFonts w:hint="eastAsia" w:ascii="宋体" w:hAnsi="宋体" w:eastAsia="宋体" w:cs="宋体"/>
          <w:sz w:val="24"/>
          <w:szCs w:val="24"/>
        </w:rPr>
        <w:t xml:space="preserve"> </w:t>
      </w:r>
      <w:r>
        <w:rPr>
          <w:rFonts w:hint="eastAsia" w:ascii="宋体" w:hAnsi="宋体" w:eastAsia="宋体" w:cs="宋体"/>
          <w:sz w:val="24"/>
          <w:szCs w:val="24"/>
          <w:lang w:eastAsia="zh-CN"/>
        </w:rPr>
        <w:t>堵头压装机</w:t>
      </w:r>
      <w:r>
        <w:rPr>
          <w:rFonts w:hint="eastAsia" w:ascii="宋体" w:hAnsi="宋体" w:eastAsia="宋体" w:cs="宋体"/>
          <w:sz w:val="24"/>
          <w:szCs w:val="24"/>
        </w:rPr>
        <w:t>的技术特性、结构布置、控制原理、加工方案等必须成熟可靠、先进合理，投标方应根据各自技术优势提出系统工艺方案，并作详细的分析描述和分项报价，其中分项报价单中应明细标准件品牌、规格。</w:t>
      </w:r>
    </w:p>
    <w:p w14:paraId="1FF9E6DA">
      <w:pPr>
        <w:pStyle w:val="16"/>
        <w:pageBreakBefore w:val="0"/>
        <w:widowControl w:val="0"/>
        <w:numPr>
          <w:ilvl w:val="0"/>
          <w:numId w:val="22"/>
        </w:numPr>
        <w:kinsoku/>
        <w:wordWrap/>
        <w:topLinePunct w:val="0"/>
        <w:autoSpaceDE/>
        <w:autoSpaceDN/>
        <w:bidi w:val="0"/>
        <w:spacing w:line="360" w:lineRule="auto"/>
        <w:ind w:firstLine="480" w:firstLineChars="200"/>
        <w:jc w:val="left"/>
        <w:textAlignment w:val="auto"/>
        <w:rPr>
          <w:rFonts w:hint="default" w:eastAsia="宋体" w:cs="宋体"/>
          <w:sz w:val="24"/>
          <w:szCs w:val="24"/>
          <w:lang w:val="en-US" w:eastAsia="zh-CN"/>
        </w:rPr>
      </w:pPr>
      <w:r>
        <w:rPr>
          <w:rFonts w:hint="eastAsia" w:eastAsia="宋体" w:cs="宋体"/>
          <w:sz w:val="24"/>
          <w:szCs w:val="24"/>
          <w:lang w:val="en-US" w:eastAsia="zh-CN"/>
        </w:rPr>
        <w:t>凸轮压装设备</w:t>
      </w:r>
    </w:p>
    <w:p w14:paraId="274FC02D">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1.技术方案要求</w:t>
      </w:r>
      <w:r>
        <w:rPr>
          <w:rFonts w:hint="eastAsia" w:eastAsia="宋体" w:cs="宋体"/>
          <w:sz w:val="24"/>
          <w:szCs w:val="24"/>
          <w:lang w:eastAsia="zh-CN"/>
        </w:rPr>
        <w:t>（</w:t>
      </w:r>
      <w:r>
        <w:rPr>
          <w:rFonts w:hint="eastAsia" w:eastAsia="宋体" w:cs="宋体"/>
          <w:sz w:val="24"/>
          <w:szCs w:val="24"/>
          <w:lang w:val="en-US" w:eastAsia="zh-CN"/>
        </w:rPr>
        <w:t>招标时投标方需详细介绍</w:t>
      </w:r>
      <w:r>
        <w:rPr>
          <w:rFonts w:hint="eastAsia" w:eastAsia="宋体" w:cs="宋体"/>
          <w:sz w:val="24"/>
          <w:szCs w:val="24"/>
          <w:lang w:eastAsia="zh-CN"/>
        </w:rPr>
        <w:t>）</w:t>
      </w:r>
    </w:p>
    <w:p w14:paraId="4BB930BE">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设备为高度集成的自动化单元，由辊道线和桁架机械手连接，实现和前后工序的自动上下料。装配整个单元具有上料料道、钢管上料机器人</w:t>
      </w:r>
      <w:r>
        <w:rPr>
          <w:rFonts w:hint="eastAsia" w:eastAsia="宋体" w:cs="宋体"/>
          <w:sz w:val="24"/>
          <w:szCs w:val="24"/>
          <w:lang w:val="en-US" w:eastAsia="zh-CN"/>
        </w:rPr>
        <w:t>（六轴）</w:t>
      </w:r>
      <w:r>
        <w:rPr>
          <w:rFonts w:hint="eastAsia" w:ascii="宋体" w:hAnsi="宋体" w:eastAsia="宋体" w:cs="宋体"/>
          <w:sz w:val="24"/>
          <w:szCs w:val="24"/>
          <w:lang w:val="en-US" w:eastAsia="zh-CN"/>
        </w:rPr>
        <w:t>、凸轮上料机器人</w:t>
      </w:r>
      <w:r>
        <w:rPr>
          <w:rFonts w:hint="eastAsia" w:eastAsia="宋体" w:cs="宋体"/>
          <w:sz w:val="24"/>
          <w:szCs w:val="24"/>
          <w:lang w:val="en-US" w:eastAsia="zh-CN"/>
        </w:rPr>
        <w:t>（六轴）</w:t>
      </w:r>
      <w:r>
        <w:rPr>
          <w:rFonts w:hint="eastAsia" w:ascii="宋体" w:hAnsi="宋体" w:eastAsia="宋体" w:cs="宋体"/>
          <w:sz w:val="24"/>
          <w:szCs w:val="24"/>
          <w:lang w:val="en-US" w:eastAsia="zh-CN"/>
        </w:rPr>
        <w:t>、视觉识别系统、打标和扫码、旋转工作台及仿形工装、压装单元、止推片热套装配单元、成品料道、不合格品料道、自动测量单元等模块，可实现凸轮的自动滚花装配和止推片的热套装配，同时具备压力位移曲线监控、产品追溯等功能</w:t>
      </w:r>
      <w:r>
        <w:rPr>
          <w:rFonts w:hint="eastAsia" w:ascii="宋体" w:hAnsi="宋体" w:eastAsia="宋体" w:cs="宋体"/>
          <w:sz w:val="24"/>
          <w:szCs w:val="24"/>
        </w:rPr>
        <w:t>，保证装配的</w:t>
      </w:r>
      <w:r>
        <w:rPr>
          <w:rFonts w:hint="eastAsia" w:ascii="宋体" w:hAnsi="宋体" w:eastAsia="宋体" w:cs="宋体"/>
          <w:sz w:val="24"/>
          <w:szCs w:val="24"/>
          <w:lang w:val="en-US" w:eastAsia="zh-CN"/>
        </w:rPr>
        <w:t>可靠性</w:t>
      </w:r>
      <w:r>
        <w:rPr>
          <w:rFonts w:hint="eastAsia" w:ascii="宋体" w:hAnsi="宋体" w:eastAsia="宋体" w:cs="宋体"/>
          <w:sz w:val="24"/>
          <w:szCs w:val="24"/>
        </w:rPr>
        <w:t>。</w:t>
      </w:r>
    </w:p>
    <w:p w14:paraId="5DEC7E75">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1.2辊道线，分上料辊道线和下料辊道线，每段辊道线缓存工件≥5件，具有工件轴向和角向定位功能，便于桁架机械手抓取回线，由投标方负责和桁架机械手连接，实现前后工序的自动上下料。</w:t>
      </w:r>
    </w:p>
    <w:p w14:paraId="646A6FBF">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1.3上料料道，分为钢管料道、凸轮料道和止推片料道等，具备缓存功能，钢管缓存数量≥</w:t>
      </w:r>
      <w:r>
        <w:rPr>
          <w:rFonts w:hint="eastAsia" w:eastAsia="宋体" w:cs="宋体"/>
          <w:sz w:val="24"/>
          <w:szCs w:val="24"/>
          <w:lang w:val="en-US" w:eastAsia="zh-CN"/>
        </w:rPr>
        <w:t>10</w:t>
      </w:r>
      <w:r>
        <w:rPr>
          <w:rFonts w:hint="eastAsia" w:ascii="宋体" w:hAnsi="宋体" w:eastAsia="宋体" w:cs="宋体"/>
          <w:sz w:val="24"/>
          <w:szCs w:val="24"/>
          <w:lang w:val="en-US" w:eastAsia="zh-CN"/>
        </w:rPr>
        <w:t>件，凸轮缓存数量每种凸轮≥40件，止推片缓存数量≥</w:t>
      </w:r>
      <w:r>
        <w:rPr>
          <w:rFonts w:hint="eastAsia" w:eastAsia="宋体" w:cs="宋体"/>
          <w:sz w:val="24"/>
          <w:szCs w:val="24"/>
          <w:lang w:val="en-US" w:eastAsia="zh-CN"/>
        </w:rPr>
        <w:t>100</w:t>
      </w:r>
      <w:r>
        <w:rPr>
          <w:rFonts w:hint="eastAsia" w:ascii="宋体" w:hAnsi="宋体" w:eastAsia="宋体" w:cs="宋体"/>
          <w:sz w:val="24"/>
          <w:szCs w:val="24"/>
          <w:lang w:val="en-US" w:eastAsia="zh-CN"/>
        </w:rPr>
        <w:t>件；可实现钢管、凸轮、止推片的自动定位和自动运转。定位部分可更换，方便新产品换型。</w:t>
      </w:r>
    </w:p>
    <w:p w14:paraId="4D65E3EA">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1.4钢管上料机器人，由六轴机械手构成，负责钢管的上料、</w:t>
      </w:r>
      <w:r>
        <w:rPr>
          <w:rFonts w:hint="eastAsia" w:eastAsia="宋体" w:cs="宋体"/>
          <w:sz w:val="24"/>
          <w:szCs w:val="24"/>
          <w:lang w:val="en-US" w:eastAsia="zh-CN"/>
        </w:rPr>
        <w:t>止推片上料、</w:t>
      </w:r>
      <w:r>
        <w:rPr>
          <w:rFonts w:hint="eastAsia" w:ascii="宋体" w:hAnsi="宋体" w:eastAsia="宋体" w:cs="宋体"/>
          <w:sz w:val="24"/>
          <w:szCs w:val="24"/>
          <w:lang w:val="en-US" w:eastAsia="zh-CN"/>
        </w:rPr>
        <w:t>成品转至下料辊道、不合格品转至缓存料道等，抓取过程不允许划伤和压弯工件；机械手抓取重量≥20Kg；机械手卡爪加持部分可调整，便于后期新产品换型。</w:t>
      </w:r>
    </w:p>
    <w:p w14:paraId="099F708C">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1.5凸轮上料机器人，由六轴机械手构成，负责凸轮上料，抓取过程不允许划伤凸轮和止推片；机械手抓取重量≥10Kg；机械手卡爪加持部分可调整，便于后期新产品换型。</w:t>
      </w:r>
    </w:p>
    <w:p w14:paraId="6D5E668D">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1.6视觉识别系统，</w:t>
      </w:r>
      <w:r>
        <w:rPr>
          <w:rFonts w:hint="eastAsia" w:ascii="宋体" w:hAnsi="宋体" w:eastAsia="宋体" w:cs="宋体"/>
          <w:sz w:val="24"/>
          <w:szCs w:val="24"/>
        </w:rPr>
        <w:t>应具备100%识别</w:t>
      </w:r>
      <w:r>
        <w:rPr>
          <w:rFonts w:hint="eastAsia" w:ascii="宋体" w:hAnsi="宋体" w:eastAsia="宋体" w:cs="宋体"/>
          <w:sz w:val="24"/>
          <w:szCs w:val="24"/>
          <w:lang w:val="en-US" w:eastAsia="zh-CN"/>
        </w:rPr>
        <w:t>进气、排气和制动凸轮的功能，</w:t>
      </w:r>
      <w:r>
        <w:rPr>
          <w:rFonts w:hint="eastAsia" w:ascii="宋体" w:hAnsi="宋体" w:eastAsia="宋体" w:cs="宋体"/>
          <w:sz w:val="24"/>
          <w:szCs w:val="24"/>
        </w:rPr>
        <w:t>不允许存在漏判</w:t>
      </w:r>
      <w:r>
        <w:rPr>
          <w:rFonts w:hint="eastAsia" w:ascii="宋体" w:hAnsi="宋体" w:eastAsia="宋体" w:cs="宋体"/>
          <w:sz w:val="24"/>
          <w:szCs w:val="24"/>
          <w:lang w:eastAsia="zh-CN"/>
        </w:rPr>
        <w:t>，</w:t>
      </w:r>
      <w:r>
        <w:rPr>
          <w:rFonts w:hint="eastAsia" w:ascii="宋体" w:hAnsi="宋体" w:eastAsia="宋体" w:cs="宋体"/>
          <w:sz w:val="24"/>
          <w:szCs w:val="24"/>
        </w:rPr>
        <w:t>误判率不超过0.2%（合格件判定为不合格件比例）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和凸轮上料机器人联动，正确上料。</w:t>
      </w:r>
      <w:r>
        <w:rPr>
          <w:rFonts w:hint="eastAsia" w:ascii="宋体" w:hAnsi="宋体" w:eastAsia="宋体" w:cs="宋体"/>
          <w:strike w:val="0"/>
          <w:dstrike w:val="0"/>
          <w:sz w:val="24"/>
          <w:szCs w:val="24"/>
          <w:highlight w:val="none"/>
        </w:rPr>
        <w:t>设计缓存区域，识别的出的工件放置到缓存区域，设计连锁保护，联机状态下可人工将不合格工件取出。</w:t>
      </w:r>
    </w:p>
    <w:p w14:paraId="10EE7454">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1.7打标和扫码单元，</w:t>
      </w:r>
      <w:r>
        <w:rPr>
          <w:rFonts w:hint="eastAsia" w:eastAsia="宋体" w:cs="宋体"/>
          <w:sz w:val="24"/>
          <w:szCs w:val="24"/>
          <w:lang w:val="en-US" w:eastAsia="zh-CN"/>
        </w:rPr>
        <w:t>分钢管和凸轮打标两个单元，分别由两个机器人</w:t>
      </w:r>
      <w:r>
        <w:rPr>
          <w:rFonts w:hint="eastAsia" w:ascii="宋体" w:hAnsi="宋体" w:eastAsia="宋体" w:cs="宋体"/>
          <w:sz w:val="24"/>
          <w:szCs w:val="24"/>
          <w:lang w:val="en-US" w:eastAsia="zh-CN"/>
        </w:rPr>
        <w:t>上下料，</w:t>
      </w:r>
      <w:r>
        <w:rPr>
          <w:rFonts w:hint="eastAsia" w:eastAsia="宋体" w:cs="宋体"/>
          <w:sz w:val="24"/>
          <w:szCs w:val="24"/>
          <w:lang w:val="en-US" w:eastAsia="zh-CN"/>
        </w:rPr>
        <w:t>具体打码要求见附件3</w:t>
      </w:r>
      <w:r>
        <w:rPr>
          <w:rFonts w:hint="eastAsia" w:ascii="宋体" w:hAnsi="宋体" w:eastAsia="宋体" w:cs="宋体"/>
          <w:sz w:val="24"/>
          <w:szCs w:val="24"/>
          <w:lang w:val="en-US" w:eastAsia="zh-CN"/>
        </w:rPr>
        <w:t>；凸轮打码后与钢管二维码绑定，实现产品编码、压力位移曲线的监控。</w:t>
      </w:r>
      <w:r>
        <w:rPr>
          <w:rFonts w:hint="eastAsia" w:eastAsia="宋体" w:cs="宋体"/>
          <w:sz w:val="24"/>
          <w:szCs w:val="24"/>
          <w:lang w:val="en-US" w:eastAsia="zh-CN"/>
        </w:rPr>
        <w:t>激光器功率≥30W。</w:t>
      </w:r>
    </w:p>
    <w:p w14:paraId="2ED4670E">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旋转工作台及仿形工装，工作台至少包含6081进气、排气，6092进气、排气、制动五个仿形工装，工作台由伺服电机驱动，实现不同凸轮的压装；仿形工装由主体部分和可拆卸部分组成，可拆卸部分根据不同凸轮的结构设计，便于产品换型。</w:t>
      </w:r>
    </w:p>
    <w:p w14:paraId="3B13C9E9">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1.9压装单元，分为滚齿和压装两部分，采用伺服电机控制，以Φ</w:t>
      </w:r>
      <w:r>
        <w:rPr>
          <w:rFonts w:hint="eastAsia" w:eastAsia="宋体" w:cs="宋体"/>
          <w:sz w:val="24"/>
          <w:szCs w:val="24"/>
          <w:lang w:val="en-US" w:eastAsia="zh-CN"/>
        </w:rPr>
        <w:t>6</w:t>
      </w:r>
      <w:r>
        <w:rPr>
          <w:rFonts w:hint="eastAsia" w:ascii="宋体" w:hAnsi="宋体" w:eastAsia="宋体" w:cs="宋体"/>
          <w:sz w:val="24"/>
          <w:szCs w:val="24"/>
          <w:lang w:val="en-US" w:eastAsia="zh-CN"/>
        </w:rPr>
        <w:t>N7销孔定位，以Φ6N7端面为轴向基准，依次进行滚花装配，实现钢管的滚花和凸轮装配。滚齿刀采用两个滚齿刀对称设计，实现钢管的滚花，刀具坚固耐用、便于换型，刀具寿命≥5000件；滚齿刀滚花轨迹重合，严禁出现乱齿现象，更换新刀后，方便调整滚齿轨迹。</w:t>
      </w:r>
    </w:p>
    <w:p w14:paraId="6671D51B">
      <w:pPr>
        <w:pStyle w:val="16"/>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1.10止推片热套装配单元，</w:t>
      </w:r>
      <w:r>
        <w:rPr>
          <w:rFonts w:hint="eastAsia" w:eastAsia="宋体" w:cs="宋体"/>
          <w:sz w:val="24"/>
          <w:szCs w:val="24"/>
          <w:lang w:val="en-US" w:eastAsia="zh-CN"/>
        </w:rPr>
        <w:t>止推片缓存数量≥100件，</w:t>
      </w:r>
      <w:r>
        <w:rPr>
          <w:rFonts w:hint="eastAsia" w:ascii="宋体" w:hAnsi="宋体" w:eastAsia="宋体" w:cs="宋体"/>
          <w:sz w:val="24"/>
          <w:szCs w:val="24"/>
          <w:lang w:val="en-US" w:eastAsia="zh-CN"/>
        </w:rPr>
        <w:t>由机器人上料，具有温度或时间监控、自动冷却、压力位移曲线监控等功能，实现202V-04400-6081产品止推片的热套装配；</w:t>
      </w:r>
      <w:r>
        <w:rPr>
          <w:rFonts w:hint="eastAsia" w:eastAsia="宋体" w:cs="宋体"/>
          <w:sz w:val="24"/>
          <w:szCs w:val="24"/>
          <w:lang w:val="en-US" w:eastAsia="zh-CN"/>
        </w:rPr>
        <w:t>加热温度、加热时间均可调整；</w:t>
      </w:r>
      <w:r>
        <w:rPr>
          <w:rFonts w:hint="eastAsia" w:eastAsia="宋体" w:cs="宋体"/>
          <w:sz w:val="24"/>
          <w:szCs w:val="24"/>
          <w:highlight w:val="none"/>
          <w:lang w:val="en-US" w:eastAsia="zh-CN"/>
        </w:rPr>
        <w:t>最大加热温度≥300℃，加热功率≥15KW。</w:t>
      </w:r>
      <w:r>
        <w:rPr>
          <w:rFonts w:hint="eastAsia" w:ascii="宋体" w:hAnsi="宋体" w:eastAsia="宋体" w:cs="宋体"/>
          <w:sz w:val="24"/>
          <w:szCs w:val="24"/>
          <w:highlight w:val="none"/>
          <w:lang w:val="en-US" w:eastAsia="zh-CN"/>
        </w:rPr>
        <w:t>止推片热套工装由主体部分和可拆卸部分</w:t>
      </w:r>
      <w:r>
        <w:rPr>
          <w:rFonts w:hint="eastAsia" w:ascii="宋体" w:hAnsi="宋体" w:eastAsia="宋体" w:cs="宋体"/>
          <w:sz w:val="24"/>
          <w:szCs w:val="24"/>
          <w:lang w:val="en-US" w:eastAsia="zh-CN"/>
        </w:rPr>
        <w:t>组成，可拆卸部分根据不同止推片的结构设计，便于产品换型。</w:t>
      </w:r>
      <w:r>
        <w:rPr>
          <w:rFonts w:hint="eastAsia" w:ascii="宋体" w:hAnsi="宋体" w:eastAsia="宋体" w:cs="宋体"/>
          <w:sz w:val="24"/>
          <w:szCs w:val="24"/>
        </w:rPr>
        <w:t>该加热单元可单独布置</w:t>
      </w:r>
      <w:r>
        <w:rPr>
          <w:rFonts w:hint="eastAsia" w:ascii="宋体" w:hAnsi="宋体" w:eastAsia="宋体" w:cs="宋体"/>
          <w:sz w:val="24"/>
          <w:szCs w:val="24"/>
          <w:lang w:eastAsia="zh-CN"/>
        </w:rPr>
        <w:t>，</w:t>
      </w:r>
      <w:r>
        <w:rPr>
          <w:rFonts w:hint="eastAsia" w:ascii="宋体" w:hAnsi="宋体" w:eastAsia="宋体" w:cs="宋体"/>
          <w:sz w:val="24"/>
          <w:szCs w:val="24"/>
        </w:rPr>
        <w:t>具有过载保护和隔热保护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温度或时间监控、压力位移曲线监控等功能，监控数据和钢管二维码绑定，便于追溯。</w:t>
      </w:r>
    </w:p>
    <w:p w14:paraId="76F93B9F">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r>
        <w:rPr>
          <w:rFonts w:hint="eastAsia" w:eastAsia="宋体" w:cs="宋体"/>
          <w:sz w:val="24"/>
          <w:szCs w:val="24"/>
          <w:lang w:val="en-US" w:eastAsia="zh-CN"/>
        </w:rPr>
        <w:t>1</w:t>
      </w:r>
      <w:r>
        <w:rPr>
          <w:rFonts w:hint="eastAsia" w:ascii="宋体" w:hAnsi="宋体" w:eastAsia="宋体" w:cs="宋体"/>
          <w:sz w:val="24"/>
          <w:szCs w:val="24"/>
          <w:lang w:val="en-US" w:eastAsia="zh-CN"/>
        </w:rPr>
        <w:t>不合格品料道，缓存数量≥</w:t>
      </w:r>
      <w:r>
        <w:rPr>
          <w:rFonts w:hint="eastAsia" w:eastAsia="宋体" w:cs="宋体"/>
          <w:sz w:val="24"/>
          <w:szCs w:val="24"/>
          <w:lang w:val="en-US" w:eastAsia="zh-CN"/>
        </w:rPr>
        <w:t>5</w:t>
      </w:r>
      <w:r>
        <w:rPr>
          <w:rFonts w:hint="eastAsia" w:ascii="宋体" w:hAnsi="宋体" w:eastAsia="宋体" w:cs="宋体"/>
          <w:sz w:val="24"/>
          <w:szCs w:val="24"/>
          <w:lang w:val="en-US" w:eastAsia="zh-CN"/>
        </w:rPr>
        <w:t>件，不合格品自动识别后，由钢管上料机器人负责下料，人工确认后，手动转运至不合格品区。</w:t>
      </w:r>
    </w:p>
    <w:p w14:paraId="2673460B">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r>
        <w:rPr>
          <w:rFonts w:hint="eastAsia" w:eastAsia="宋体" w:cs="宋体"/>
          <w:sz w:val="24"/>
          <w:szCs w:val="24"/>
          <w:lang w:val="en-US" w:eastAsia="zh-CN"/>
        </w:rPr>
        <w:t>2</w:t>
      </w:r>
      <w:r>
        <w:rPr>
          <w:rFonts w:hint="eastAsia" w:ascii="宋体" w:hAnsi="宋体" w:eastAsia="宋体" w:cs="宋体"/>
          <w:sz w:val="24"/>
          <w:szCs w:val="24"/>
          <w:lang w:val="en-US" w:eastAsia="zh-CN"/>
        </w:rPr>
        <w:t>自动测量单元，可实现齿形</w:t>
      </w:r>
      <w:r>
        <w:rPr>
          <w:rFonts w:hint="eastAsia" w:ascii="宋体" w:hAnsi="宋体" w:eastAsia="宋体" w:cs="宋体"/>
          <w:sz w:val="24"/>
          <w:szCs w:val="24"/>
          <w:highlight w:val="none"/>
          <w:lang w:val="en-US" w:eastAsia="zh-CN"/>
        </w:rPr>
        <w:t>最大高度</w:t>
      </w:r>
      <w:r>
        <w:rPr>
          <w:rFonts w:hint="eastAsia" w:ascii="宋体" w:hAnsi="宋体" w:eastAsia="宋体" w:cs="宋体"/>
          <w:sz w:val="24"/>
          <w:szCs w:val="24"/>
          <w:lang w:val="en-US" w:eastAsia="zh-CN"/>
        </w:rPr>
        <w:t>的自动测量、止推片加热温度或时间的自动测量。</w:t>
      </w:r>
    </w:p>
    <w:p w14:paraId="55665E6D">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r>
        <w:rPr>
          <w:rFonts w:hint="eastAsia" w:eastAsia="宋体" w:cs="宋体"/>
          <w:sz w:val="24"/>
          <w:szCs w:val="24"/>
          <w:lang w:val="en-US" w:eastAsia="zh-CN"/>
        </w:rPr>
        <w:t>3</w:t>
      </w:r>
      <w:r>
        <w:rPr>
          <w:rFonts w:hint="eastAsia" w:ascii="宋体" w:hAnsi="宋体" w:eastAsia="宋体" w:cs="宋体"/>
          <w:sz w:val="24"/>
          <w:szCs w:val="24"/>
          <w:lang w:val="en-US" w:eastAsia="zh-CN"/>
        </w:rPr>
        <w:t>压力-位移曲线监控模块，设备可实现钢管二维码、各凸轮为二维码和各凸轮压装力、止推片加热时间或温度的精准监控，并具有存储功能，设备内部存储量≥1万件。</w:t>
      </w:r>
    </w:p>
    <w:p w14:paraId="40EECBDB">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1.1</w:t>
      </w:r>
      <w:r>
        <w:rPr>
          <w:rFonts w:hint="eastAsia" w:eastAsia="宋体" w:cs="宋体"/>
          <w:sz w:val="24"/>
          <w:szCs w:val="24"/>
          <w:lang w:val="en-US" w:eastAsia="zh-CN"/>
        </w:rPr>
        <w:t>4</w:t>
      </w:r>
      <w:r>
        <w:rPr>
          <w:rFonts w:hint="eastAsia" w:ascii="宋体" w:hAnsi="宋体" w:eastAsia="宋体" w:cs="宋体"/>
          <w:sz w:val="24"/>
          <w:szCs w:val="24"/>
          <w:lang w:val="en-US" w:eastAsia="zh-CN"/>
        </w:rPr>
        <w:t>控制模块，控制系统采用西门子</w:t>
      </w:r>
      <w:r>
        <w:rPr>
          <w:rFonts w:hint="eastAsia" w:ascii="宋体" w:hAnsi="宋体" w:eastAsia="宋体" w:cs="宋体"/>
          <w:sz w:val="24"/>
          <w:szCs w:val="24"/>
          <w:highlight w:val="none"/>
          <w:lang w:val="en-US" w:eastAsia="zh-CN"/>
        </w:rPr>
        <w:t>828D及</w:t>
      </w:r>
      <w:r>
        <w:rPr>
          <w:rFonts w:hint="eastAsia" w:ascii="宋体" w:hAnsi="宋体" w:eastAsia="宋体" w:cs="宋体"/>
          <w:sz w:val="24"/>
          <w:szCs w:val="24"/>
          <w:lang w:val="en-US" w:eastAsia="zh-CN"/>
        </w:rPr>
        <w:t>以上型号</w:t>
      </w:r>
      <w:r>
        <w:rPr>
          <w:rFonts w:hint="eastAsia" w:eastAsia="宋体" w:cs="宋体"/>
          <w:sz w:val="24"/>
          <w:szCs w:val="24"/>
          <w:lang w:val="en-US" w:eastAsia="zh-CN"/>
        </w:rPr>
        <w:t>、PLC控制采用西门子</w:t>
      </w:r>
      <w:r>
        <w:rPr>
          <w:rFonts w:hint="eastAsia" w:ascii="宋体" w:hAnsi="宋体" w:eastAsia="宋体" w:cs="宋体"/>
          <w:sz w:val="24"/>
          <w:szCs w:val="24"/>
          <w:highlight w:val="none"/>
          <w:lang w:val="en-US" w:eastAsia="zh-CN"/>
        </w:rPr>
        <w:t>S7-1200</w:t>
      </w:r>
      <w:r>
        <w:rPr>
          <w:rFonts w:hint="eastAsia" w:ascii="宋体" w:hAnsi="宋体" w:eastAsia="宋体" w:cs="宋体"/>
          <w:sz w:val="24"/>
          <w:szCs w:val="24"/>
          <w:lang w:val="en-US" w:eastAsia="zh-CN"/>
        </w:rPr>
        <w:t>以上型号，具有MES对接功能，存储数据可上传至整线MES系统；</w:t>
      </w:r>
      <w:r>
        <w:rPr>
          <w:rFonts w:hint="eastAsia" w:ascii="宋体" w:hAnsi="宋体" w:eastAsia="宋体" w:cs="宋体"/>
          <w:sz w:val="24"/>
          <w:szCs w:val="24"/>
          <w:highlight w:val="none"/>
          <w:lang w:val="en-US" w:eastAsia="zh-CN"/>
        </w:rPr>
        <w:t>MES对接功能由投标方负责联系MES厂家完成。</w:t>
      </w:r>
      <w:r>
        <w:rPr>
          <w:rFonts w:hint="eastAsia" w:ascii="宋体" w:hAnsi="宋体" w:eastAsia="宋体" w:cs="宋体"/>
          <w:sz w:val="24"/>
          <w:szCs w:val="24"/>
        </w:rPr>
        <w:t>留有产品新图号扩展功能。</w:t>
      </w:r>
    </w:p>
    <w:p w14:paraId="6EBA49C8">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eastAsia="宋体" w:cs="宋体"/>
          <w:sz w:val="24"/>
          <w:szCs w:val="24"/>
          <w:lang w:val="en-US" w:eastAsia="zh-CN"/>
        </w:rPr>
        <w:t>5</w:t>
      </w:r>
      <w:r>
        <w:rPr>
          <w:rFonts w:hint="eastAsia" w:ascii="宋体" w:hAnsi="宋体" w:eastAsia="宋体" w:cs="宋体"/>
          <w:sz w:val="24"/>
          <w:szCs w:val="24"/>
        </w:rPr>
        <w:t xml:space="preserve"> </w:t>
      </w:r>
      <w:r>
        <w:rPr>
          <w:rFonts w:hint="eastAsia" w:ascii="宋体" w:hAnsi="宋体" w:eastAsia="宋体" w:cs="宋体"/>
          <w:sz w:val="24"/>
          <w:szCs w:val="24"/>
          <w:lang w:eastAsia="zh-CN"/>
        </w:rPr>
        <w:t>凸轮自动化滚花装配机</w:t>
      </w:r>
      <w:r>
        <w:rPr>
          <w:rFonts w:hint="eastAsia" w:ascii="宋体" w:hAnsi="宋体" w:eastAsia="宋体" w:cs="宋体"/>
          <w:sz w:val="24"/>
          <w:szCs w:val="24"/>
        </w:rPr>
        <w:t>的技术特性、结构布置、控制原理、加工方案等必须成熟可靠、先进合理，投标方应根据各自技术优势提出系统工艺方案，并作详细的分析描述和分项报价，其中分项报价单中应明细标准件品牌、规格，非标件应提供相关图纸。</w:t>
      </w:r>
    </w:p>
    <w:p w14:paraId="45A8C605">
      <w:pPr>
        <w:pStyle w:val="16"/>
        <w:pageBreakBefore w:val="0"/>
        <w:widowControl w:val="0"/>
        <w:kinsoku/>
        <w:wordWrap/>
        <w:topLinePunct w:val="0"/>
        <w:autoSpaceDE/>
        <w:autoSpaceDN/>
        <w:bidi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eastAsia="宋体" w:cs="宋体"/>
          <w:sz w:val="24"/>
          <w:szCs w:val="24"/>
          <w:lang w:val="en-US" w:eastAsia="zh-CN"/>
        </w:rPr>
        <w:t>（三）两台设备通用要求</w:t>
      </w:r>
    </w:p>
    <w:p w14:paraId="66DDF428">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1</w:t>
      </w:r>
      <w:r>
        <w:rPr>
          <w:rFonts w:hint="eastAsia" w:ascii="宋体" w:hAnsi="宋体" w:eastAsia="宋体" w:cs="宋体"/>
          <w:sz w:val="24"/>
          <w:szCs w:val="24"/>
        </w:rPr>
        <w:t>.主要供货范围</w:t>
      </w:r>
    </w:p>
    <w:p w14:paraId="0B9A2FDF">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.1负责提供</w:t>
      </w:r>
      <w:r>
        <w:rPr>
          <w:rFonts w:hint="eastAsia" w:ascii="宋体" w:hAnsi="宋体" w:eastAsia="宋体" w:cs="宋体"/>
          <w:sz w:val="24"/>
          <w:szCs w:val="24"/>
          <w:lang w:val="en-US" w:eastAsia="zh-CN"/>
        </w:rPr>
        <w:t>堵头压装设备、</w:t>
      </w:r>
      <w:r>
        <w:rPr>
          <w:rFonts w:hint="eastAsia" w:ascii="宋体" w:hAnsi="宋体" w:eastAsia="宋体" w:cs="宋体"/>
          <w:sz w:val="24"/>
          <w:szCs w:val="24"/>
          <w:lang w:eastAsia="zh-CN"/>
        </w:rPr>
        <w:t>凸轮自动化滚花装配机</w:t>
      </w:r>
      <w:r>
        <w:rPr>
          <w:rFonts w:hint="eastAsia" w:ascii="宋体" w:hAnsi="宋体" w:eastAsia="宋体" w:cs="宋体"/>
          <w:sz w:val="24"/>
          <w:szCs w:val="24"/>
        </w:rPr>
        <w:t>的货物、图纸等；</w:t>
      </w:r>
    </w:p>
    <w:p w14:paraId="0538147F">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.2负责母电、主气管路等到</w:t>
      </w:r>
      <w:r>
        <w:rPr>
          <w:rFonts w:hint="eastAsia" w:ascii="宋体" w:hAnsi="宋体" w:eastAsia="宋体" w:cs="宋体"/>
          <w:sz w:val="24"/>
          <w:szCs w:val="24"/>
          <w:lang w:val="en-US" w:eastAsia="zh-CN"/>
        </w:rPr>
        <w:t>堵头压装设备、</w:t>
      </w:r>
      <w:r>
        <w:rPr>
          <w:rFonts w:hint="eastAsia" w:ascii="宋体" w:hAnsi="宋体" w:eastAsia="宋体" w:cs="宋体"/>
          <w:sz w:val="24"/>
          <w:szCs w:val="24"/>
          <w:lang w:eastAsia="zh-CN"/>
        </w:rPr>
        <w:t>凸轮自动化滚花装配机</w:t>
      </w:r>
      <w:r>
        <w:rPr>
          <w:rFonts w:hint="eastAsia" w:ascii="宋体" w:hAnsi="宋体" w:eastAsia="宋体" w:cs="宋体"/>
          <w:sz w:val="24"/>
          <w:szCs w:val="24"/>
        </w:rPr>
        <w:t>的连接及施工,包含母线插接箱。</w:t>
      </w:r>
    </w:p>
    <w:p w14:paraId="5654FD31">
      <w:pPr>
        <w:pStyle w:val="16"/>
        <w:pageBreakBefore w:val="0"/>
        <w:widowControl w:val="0"/>
        <w:numPr>
          <w:ilvl w:val="0"/>
          <w:numId w:val="18"/>
        </w:numPr>
        <w:kinsoku/>
        <w:wordWrap/>
        <w:topLinePunct w:val="0"/>
        <w:autoSpaceDE/>
        <w:autoSpaceDN/>
        <w:bidi w:val="0"/>
        <w:spacing w:line="360" w:lineRule="auto"/>
        <w:ind w:left="480" w:leftChars="0" w:firstLine="0" w:firstLineChars="0"/>
        <w:jc w:val="left"/>
        <w:textAlignment w:val="auto"/>
        <w:rPr>
          <w:rFonts w:hint="eastAsia" w:ascii="宋体" w:hAnsi="宋体" w:eastAsia="宋体" w:cs="宋体"/>
          <w:sz w:val="24"/>
          <w:szCs w:val="24"/>
        </w:rPr>
      </w:pPr>
      <w:r>
        <w:rPr>
          <w:rFonts w:hint="eastAsia" w:eastAsia="宋体" w:cs="宋体"/>
          <w:sz w:val="24"/>
          <w:szCs w:val="24"/>
          <w:lang w:val="en-US" w:eastAsia="zh-CN"/>
        </w:rPr>
        <w:t>设备</w:t>
      </w:r>
      <w:r>
        <w:rPr>
          <w:rFonts w:hint="eastAsia" w:ascii="宋体" w:hAnsi="宋体" w:eastAsia="宋体" w:cs="宋体"/>
          <w:sz w:val="24"/>
          <w:szCs w:val="24"/>
        </w:rPr>
        <w:t>配置要求</w:t>
      </w:r>
    </w:p>
    <w:p w14:paraId="0CFBA00E">
      <w:pPr>
        <w:pStyle w:val="16"/>
        <w:pageBreakBefore w:val="0"/>
        <w:widowControl w:val="0"/>
        <w:numPr>
          <w:ilvl w:val="0"/>
          <w:numId w:val="0"/>
        </w:numPr>
        <w:kinsoku/>
        <w:wordWrap/>
        <w:topLinePunct w:val="0"/>
        <w:autoSpaceDE/>
        <w:autoSpaceDN/>
        <w:bidi w:val="0"/>
        <w:spacing w:line="360" w:lineRule="auto"/>
        <w:ind w:leftChars="200"/>
        <w:jc w:val="left"/>
        <w:textAlignment w:val="auto"/>
        <w:rPr>
          <w:rFonts w:hint="eastAsia" w:eastAsia="宋体" w:cs="宋体"/>
          <w:sz w:val="24"/>
          <w:szCs w:val="24"/>
          <w:lang w:val="en-US" w:eastAsia="zh-CN"/>
        </w:rPr>
      </w:pPr>
      <w:r>
        <w:rPr>
          <w:rFonts w:hint="eastAsia" w:eastAsia="宋体" w:cs="宋体"/>
          <w:sz w:val="24"/>
          <w:szCs w:val="24"/>
          <w:lang w:val="en-US" w:eastAsia="zh-CN"/>
        </w:rPr>
        <w:t>2.1设备床身及主体结构：</w:t>
      </w:r>
    </w:p>
    <w:p w14:paraId="473567DD">
      <w:pPr>
        <w:pStyle w:val="16"/>
        <w:pageBreakBefore w:val="0"/>
        <w:widowControl w:val="0"/>
        <w:numPr>
          <w:ilvl w:val="0"/>
          <w:numId w:val="0"/>
        </w:numPr>
        <w:kinsoku/>
        <w:wordWrap/>
        <w:topLinePunct w:val="0"/>
        <w:autoSpaceDE/>
        <w:autoSpaceDN/>
        <w:bidi w:val="0"/>
        <w:spacing w:line="360" w:lineRule="auto"/>
        <w:ind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eastAsia="宋体" w:cs="宋体"/>
          <w:sz w:val="24"/>
          <w:szCs w:val="24"/>
          <w:lang w:val="en-US" w:eastAsia="zh-CN"/>
        </w:rPr>
        <w:t>2.1.1床身、工作台面、导轨采用优质材料制造，具有良好的刚性，精度稳定，经久耐用。</w:t>
      </w:r>
      <w:r>
        <w:rPr>
          <w:rFonts w:hint="eastAsia" w:eastAsia="宋体" w:cs="宋体"/>
          <w:sz w:val="24"/>
          <w:szCs w:val="24"/>
          <w:lang w:val="en-US" w:eastAsia="zh-CN"/>
        </w:rPr>
        <w:br w:type="textWrapping"/>
      </w:r>
      <w:r>
        <w:rPr>
          <w:rFonts w:hint="eastAsia" w:eastAsia="宋体" w:cs="宋体"/>
          <w:sz w:val="24"/>
          <w:szCs w:val="24"/>
          <w:lang w:val="en-US" w:eastAsia="zh-CN"/>
        </w:rPr>
        <w:t xml:space="preserve">    2.1.2优先采用一体化的整体结构，具有良好的刚性和吸震性，并有减小热变形及其他变形的措施。</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2.1.3机床各轴应有可靠的静态刚性和动态刚性。</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2.1.4所有导轨、丝杠和其他运动副都必须保证自润滑性能优良。</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2.1.5结构设计应充分考虑各个部件、装置、附件在安装、操作、维修过程中的方便性。</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2.1.6机床采用全封闭、安全性好的防护门，手动上下料门、自动上下料天窗等所有可进入的门均有电气系统来控制和锁止。</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2.1.7机床配备机床垫铁及地脚螺栓。</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2.1.8各主轴轴承、导轨采用国际名牌公司的产品。</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2.1.9由交流伺服电机和滚珠丝杠实现快速反应，位置和运动控制由旋转编码器实现。各轴位置和运动控制通过光栅尺实现。</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2.1.10机床设计合理紧凑，具有高效低能耗的特点。</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2.2 设备夹具及夹辅具： </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2.2.1夹具的设计制造符合ISO标准。</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2.2.2夹具、部件及易损件应力求结构一致或通用。</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2.2.3夹具的夹紧、松开状态必须设有信号检测装置，不能仅仅靠压力变化进行检测。</w:t>
      </w:r>
      <w:r>
        <w:rPr>
          <w:rFonts w:hint="eastAsia" w:ascii="宋体" w:hAnsi="宋体" w:eastAsia="宋体" w:cs="宋体"/>
          <w:color w:val="auto"/>
          <w:kern w:val="2"/>
          <w:sz w:val="24"/>
          <w:szCs w:val="24"/>
          <w:lang w:val="en-US" w:eastAsia="zh-CN" w:bidi="ar-SA"/>
        </w:rPr>
        <w:br w:type="textWrapping"/>
      </w:r>
      <w:r>
        <w:rPr>
          <w:rFonts w:hint="eastAsia"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t>2.2.4自定心夹紧，夹紧力可无级变化。夹紧单元由数控单元控制实现自动定位并夹紧。</w:t>
      </w:r>
    </w:p>
    <w:p w14:paraId="6614C5C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2.2.5</w:t>
      </w:r>
      <w:r>
        <w:rPr>
          <w:rFonts w:hint="eastAsia" w:ascii="宋体" w:hAnsi="宋体" w:eastAsia="宋体" w:cs="宋体"/>
          <w:sz w:val="24"/>
          <w:szCs w:val="24"/>
        </w:rPr>
        <w:t>工装设计合理，承载安全系数高；液压气动动作平稳，方便维护。定位机构与工件接触部分要防止对工件表面产生损伤。在满足参数和工艺要求的前提下，应该具有良好的可靠性、稳定性和便于维修性，并具有尽可能高的效率。</w:t>
      </w:r>
    </w:p>
    <w:p w14:paraId="159E3D66">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2</w:t>
      </w:r>
      <w:r>
        <w:rPr>
          <w:rFonts w:hint="eastAsia" w:ascii="宋体" w:hAnsi="宋体" w:eastAsia="宋体" w:cs="宋体"/>
          <w:sz w:val="24"/>
          <w:szCs w:val="24"/>
        </w:rPr>
        <w:t>.</w:t>
      </w:r>
      <w:r>
        <w:rPr>
          <w:rFonts w:hint="eastAsia" w:eastAsia="宋体" w:cs="宋体"/>
          <w:sz w:val="24"/>
          <w:szCs w:val="24"/>
          <w:lang w:val="en-US" w:eastAsia="zh-CN"/>
        </w:rPr>
        <w:t>3</w:t>
      </w:r>
      <w:r>
        <w:rPr>
          <w:rFonts w:hint="eastAsia" w:ascii="宋体" w:hAnsi="宋体" w:eastAsia="宋体" w:cs="宋体"/>
          <w:sz w:val="24"/>
          <w:szCs w:val="24"/>
        </w:rPr>
        <w:t>导轨、丝杠、电机</w:t>
      </w:r>
    </w:p>
    <w:p w14:paraId="1F33A4FA">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导轨（线轨）</w:t>
      </w:r>
      <w:r>
        <w:rPr>
          <w:rFonts w:hint="eastAsia" w:ascii="宋体" w:hAnsi="宋体" w:eastAsia="宋体" w:cs="宋体"/>
          <w:sz w:val="24"/>
          <w:szCs w:val="24"/>
        </w:rPr>
        <w:t>采用</w:t>
      </w:r>
      <w:r>
        <w:rPr>
          <w:rFonts w:hint="eastAsia" w:ascii="宋体" w:hAnsi="宋体" w:eastAsia="宋体" w:cs="宋体"/>
          <w:color w:val="000000"/>
          <w:sz w:val="24"/>
          <w:szCs w:val="24"/>
        </w:rPr>
        <w:t>THK、Thomson、NSK</w:t>
      </w:r>
      <w:r>
        <w:rPr>
          <w:rFonts w:hint="eastAsia" w:ascii="宋体" w:hAnsi="宋体" w:eastAsia="宋体" w:cs="宋体"/>
          <w:color w:val="000000"/>
          <w:sz w:val="24"/>
          <w:szCs w:val="24"/>
          <w:lang w:val="en-US" w:eastAsia="zh-CN"/>
        </w:rPr>
        <w:t>等</w:t>
      </w:r>
      <w:r>
        <w:rPr>
          <w:rFonts w:hint="eastAsia" w:ascii="宋体" w:hAnsi="宋体" w:eastAsia="宋体" w:cs="宋体"/>
          <w:color w:val="000000"/>
          <w:sz w:val="24"/>
          <w:szCs w:val="24"/>
        </w:rPr>
        <w:t>国际知名品牌，丝杠等运动部件采用THK、NSK、力士乐</w:t>
      </w:r>
      <w:r>
        <w:rPr>
          <w:rFonts w:hint="eastAsia" w:ascii="宋体" w:hAnsi="宋体" w:eastAsia="宋体" w:cs="宋体"/>
          <w:color w:val="000000"/>
          <w:sz w:val="24"/>
          <w:szCs w:val="24"/>
          <w:lang w:val="en-US" w:eastAsia="zh-CN"/>
        </w:rPr>
        <w:t>等</w:t>
      </w:r>
      <w:r>
        <w:rPr>
          <w:rFonts w:hint="eastAsia" w:ascii="宋体" w:hAnsi="宋体" w:eastAsia="宋体" w:cs="宋体"/>
          <w:color w:val="000000"/>
          <w:sz w:val="24"/>
          <w:szCs w:val="24"/>
        </w:rPr>
        <w:t>国际知名品牌，主电机为伺服电机驱动，采用西门子、施耐德、三菱品牌或同等质量的国际知名品牌，并在投标文件中予以标明</w:t>
      </w:r>
    </w:p>
    <w:p w14:paraId="6C8251EB">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2</w:t>
      </w:r>
      <w:r>
        <w:rPr>
          <w:rFonts w:hint="eastAsia" w:ascii="宋体" w:hAnsi="宋体" w:eastAsia="宋体" w:cs="宋体"/>
          <w:sz w:val="24"/>
          <w:szCs w:val="24"/>
        </w:rPr>
        <w:t>.</w:t>
      </w:r>
      <w:r>
        <w:rPr>
          <w:rFonts w:hint="eastAsia" w:eastAsia="宋体" w:cs="宋体"/>
          <w:sz w:val="24"/>
          <w:szCs w:val="24"/>
          <w:lang w:val="en-US" w:eastAsia="zh-CN"/>
        </w:rPr>
        <w:t>4</w:t>
      </w:r>
      <w:r>
        <w:rPr>
          <w:rFonts w:hint="eastAsia" w:ascii="宋体" w:hAnsi="宋体" w:eastAsia="宋体" w:cs="宋体"/>
          <w:sz w:val="24"/>
          <w:szCs w:val="24"/>
        </w:rPr>
        <w:t>电气系统要求</w:t>
      </w:r>
    </w:p>
    <w:p w14:paraId="507C5721">
      <w:pPr>
        <w:pageBreakBefore w:val="0"/>
        <w:widowControl w:val="0"/>
        <w:kinsoku/>
        <w:wordWrap/>
        <w:overflowPunct w:val="0"/>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2.4.1</w:t>
      </w:r>
      <w:r>
        <w:rPr>
          <w:rFonts w:hint="eastAsia" w:ascii="宋体" w:hAnsi="宋体" w:eastAsia="宋体" w:cs="宋体"/>
          <w:sz w:val="24"/>
          <w:szCs w:val="24"/>
        </w:rPr>
        <w:t>安全</w:t>
      </w:r>
      <w:r>
        <w:rPr>
          <w:rFonts w:hint="eastAsia" w:ascii="宋体" w:hAnsi="宋体" w:eastAsia="宋体" w:cs="宋体"/>
          <w:sz w:val="24"/>
          <w:szCs w:val="24"/>
          <w:lang w:eastAsia="zh-CN"/>
        </w:rPr>
        <w:t>设备</w:t>
      </w:r>
      <w:r>
        <w:rPr>
          <w:rFonts w:hint="eastAsia" w:ascii="宋体" w:hAnsi="宋体" w:eastAsia="宋体" w:cs="宋体"/>
          <w:sz w:val="24"/>
          <w:szCs w:val="24"/>
        </w:rPr>
        <w:t>：紧急停止按钮，采用“安士能”安全门锁，实现各种工况下的互锁及安全保护。</w:t>
      </w:r>
      <w:r>
        <w:rPr>
          <w:rFonts w:hint="eastAsia" w:ascii="宋体" w:hAnsi="宋体" w:eastAsia="宋体" w:cs="宋体"/>
          <w:sz w:val="24"/>
          <w:szCs w:val="24"/>
          <w:lang w:val="en-US" w:eastAsia="zh-CN"/>
        </w:rPr>
        <w:t>当门锁打开时，机器人、压装单元等所有部件全部停止动作，确认人员安全。门锁方案安全等级B级以上。</w:t>
      </w:r>
    </w:p>
    <w:p w14:paraId="491AE34B">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2.4.2</w:t>
      </w:r>
      <w:r>
        <w:rPr>
          <w:rFonts w:hint="eastAsia" w:ascii="宋体" w:hAnsi="宋体" w:eastAsia="宋体" w:cs="宋体"/>
          <w:sz w:val="24"/>
          <w:szCs w:val="24"/>
        </w:rPr>
        <w:t>低压电器：采用施耐德、西门子、ABB</w:t>
      </w:r>
      <w:r>
        <w:rPr>
          <w:rFonts w:hint="eastAsia" w:ascii="宋体" w:hAnsi="宋体" w:eastAsia="宋体" w:cs="宋体"/>
          <w:sz w:val="24"/>
          <w:szCs w:val="24"/>
          <w:lang w:val="en-US" w:eastAsia="zh-CN"/>
        </w:rPr>
        <w:t>等</w:t>
      </w:r>
      <w:r>
        <w:rPr>
          <w:rFonts w:hint="eastAsia" w:ascii="宋体" w:hAnsi="宋体" w:eastAsia="宋体" w:cs="宋体"/>
          <w:sz w:val="24"/>
          <w:szCs w:val="24"/>
        </w:rPr>
        <w:t>国际知名品牌，并在投标文件中予以分别标明。</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trike w:val="0"/>
          <w:dstrike w:val="0"/>
          <w:sz w:val="24"/>
          <w:szCs w:val="24"/>
          <w:u w:val="none"/>
          <w:lang w:val="en-US" w:eastAsia="zh-CN"/>
        </w:rPr>
        <w:t>2.4.3凸轮自动化滚花装配设备</w:t>
      </w:r>
      <w:r>
        <w:rPr>
          <w:rFonts w:ascii="宋体" w:hAnsi="宋体" w:eastAsia="宋体" w:cs="宋体"/>
          <w:sz w:val="24"/>
          <w:szCs w:val="24"/>
        </w:rPr>
        <w:t>数控系统采用西门子8</w:t>
      </w:r>
      <w:r>
        <w:rPr>
          <w:rFonts w:hint="eastAsia" w:ascii="宋体" w:hAnsi="宋体" w:eastAsia="宋体" w:cs="宋体"/>
          <w:sz w:val="24"/>
          <w:szCs w:val="24"/>
          <w:lang w:val="en-US" w:eastAsia="zh-CN"/>
        </w:rPr>
        <w:t>28D</w:t>
      </w:r>
      <w:r>
        <w:rPr>
          <w:rFonts w:ascii="宋体" w:hAnsi="宋体" w:eastAsia="宋体" w:cs="宋体"/>
          <w:sz w:val="24"/>
          <w:szCs w:val="24"/>
        </w:rPr>
        <w:t>系统或其它更高档次数控系统。</w:t>
      </w:r>
      <w:r>
        <w:rPr>
          <w:rFonts w:hint="eastAsia" w:ascii="宋体" w:hAnsi="宋体" w:eastAsia="宋体" w:cs="宋体"/>
          <w:sz w:val="24"/>
          <w:szCs w:val="24"/>
          <w:lang w:val="en-US" w:eastAsia="zh-CN"/>
        </w:rPr>
        <w:t>两台设备PLC</w:t>
      </w:r>
      <w:r>
        <w:rPr>
          <w:rFonts w:hint="eastAsia" w:ascii="宋体" w:hAnsi="宋体" w:eastAsia="宋体" w:cs="宋体"/>
          <w:sz w:val="24"/>
          <w:szCs w:val="24"/>
        </w:rPr>
        <w:t>采用西门子品牌，型号选择S7-1200及以上系列，PLC应预留20%节点，程序具有完整的注释和交叉表。</w:t>
      </w:r>
      <w:r>
        <w:rPr>
          <w:rFonts w:ascii="宋体" w:hAnsi="宋体" w:eastAsia="宋体" w:cs="宋体"/>
          <w:strike/>
          <w:dstrike w:val="0"/>
          <w:sz w:val="24"/>
          <w:szCs w:val="24"/>
          <w:u w:val="none"/>
        </w:rPr>
        <w:br w:type="textWrapping"/>
      </w:r>
      <w:r>
        <w:rPr>
          <w:rFonts w:hint="eastAsia" w:ascii="宋体" w:hAnsi="宋体" w:eastAsia="宋体" w:cs="宋体"/>
          <w:strike w:val="0"/>
          <w:dstrike w:val="0"/>
          <w:sz w:val="24"/>
          <w:szCs w:val="24"/>
          <w:u w:val="none"/>
          <w:lang w:val="en-US" w:eastAsia="zh-CN"/>
        </w:rPr>
        <w:t xml:space="preserve">    </w:t>
      </w:r>
      <w:r>
        <w:rPr>
          <w:rFonts w:hint="eastAsia" w:ascii="宋体" w:hAnsi="宋体" w:eastAsia="宋体" w:cs="宋体"/>
          <w:sz w:val="24"/>
          <w:szCs w:val="24"/>
          <w:lang w:val="en-US" w:eastAsia="zh-CN"/>
        </w:rPr>
        <w:t>2.4.4</w:t>
      </w:r>
      <w:r>
        <w:rPr>
          <w:rFonts w:ascii="宋体" w:hAnsi="宋体" w:eastAsia="宋体" w:cs="宋体"/>
          <w:sz w:val="24"/>
          <w:szCs w:val="24"/>
        </w:rPr>
        <w:t>实现数控系统故障自动检测、故障报警、报警履历、操作履历，具有中/英文操作界面、刀具寿命管理、工件计数器、运行时间计数器等功能。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2.4.5</w:t>
      </w:r>
      <w:r>
        <w:rPr>
          <w:rFonts w:ascii="宋体" w:hAnsi="宋体" w:eastAsia="宋体" w:cs="宋体"/>
          <w:sz w:val="24"/>
          <w:szCs w:val="24"/>
        </w:rPr>
        <w:t>电控柜必须使用独立的空调装置，并具有温度超标报警功能。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2.4.6</w:t>
      </w:r>
      <w:r>
        <w:rPr>
          <w:rFonts w:ascii="宋体" w:hAnsi="宋体" w:eastAsia="宋体" w:cs="宋体"/>
          <w:sz w:val="24"/>
          <w:szCs w:val="24"/>
        </w:rPr>
        <w:t>电控柜内有照明设备，至少有两个220V的交流插座（中国制式）以便维修，操作台上有供便携电脑的220V的交流插座（中国制式）和与PC通讯接口、USB接口。</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2.4.7</w:t>
      </w:r>
      <w:r>
        <w:rPr>
          <w:rFonts w:ascii="宋体" w:hAnsi="宋体" w:eastAsia="宋体" w:cs="宋体"/>
          <w:sz w:val="24"/>
          <w:szCs w:val="24"/>
        </w:rPr>
        <w:t>数控部分必须有电抗滤波装置。</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2.4.8</w:t>
      </w:r>
      <w:r>
        <w:rPr>
          <w:rFonts w:ascii="宋体" w:hAnsi="宋体" w:eastAsia="宋体" w:cs="宋体"/>
          <w:sz w:val="24"/>
          <w:szCs w:val="24"/>
        </w:rPr>
        <w:t>配备数控和PLC编程的软件。</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.9配备远程诊断软件，支持ETHERNET方式。</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.10所有进入电控柜（箱、台）的动力电源及控制线均由电控柜（箱、台）的顶部从空中进线。</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.11控制柜布置要留有足够的备用安装元件空间（≥10%），个别元件更换不应影响周边其他元件，电器元件安装应采用导轨安装。</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12所有的接地线以及接地要求都必须符合相关标准。</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 xml:space="preserve">.13生产线监控系统的信息化要求：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.13.1 PLC需提供信息化系统专用的以太网模块或以太网接口，并按照招标人要求定义IP地址（如192.168.12.12~230）。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.13.2提供PLC通讯协议如S7协议、UDP协议、Modbus协议、Profibus DP协议等。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2.4</w:t>
      </w:r>
      <w:r>
        <w:rPr>
          <w:rFonts w:ascii="宋体" w:hAnsi="宋体" w:eastAsia="宋体" w:cs="宋体"/>
          <w:sz w:val="24"/>
          <w:szCs w:val="24"/>
        </w:rPr>
        <w:t>.13.3要求PLC能提供以下信息变量及地址（需提供的信息包含但不限于以下要求，具体要求招标人与信息化厂家签订合同后5-6周内提供）。</w:t>
      </w:r>
    </w:p>
    <w:p w14:paraId="7CE4C28F">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2</w:t>
      </w:r>
      <w:r>
        <w:rPr>
          <w:rFonts w:hint="eastAsia" w:ascii="宋体" w:hAnsi="宋体" w:eastAsia="宋体" w:cs="宋体"/>
          <w:sz w:val="24"/>
          <w:szCs w:val="24"/>
        </w:rPr>
        <w:t>.4液压系统要求</w:t>
      </w:r>
    </w:p>
    <w:p w14:paraId="3ECF4AE2">
      <w:pPr>
        <w:pageBreakBefore w:val="0"/>
        <w:widowControl w:val="0"/>
        <w:kinsoku/>
        <w:wordWrap/>
        <w:topLinePunct w:val="0"/>
        <w:autoSpaceDE/>
        <w:autoSpaceDN/>
        <w:bidi w:val="0"/>
        <w:spacing w:line="360" w:lineRule="auto"/>
        <w:ind w:left="479" w:leftChars="228" w:firstLine="0" w:firstLineChars="0"/>
        <w:textAlignment w:val="auto"/>
        <w:rPr>
          <w:rFonts w:hint="eastAsia" w:ascii="宋体" w:hAnsi="宋体" w:eastAsia="宋体" w:cs="宋体"/>
          <w:sz w:val="24"/>
          <w:szCs w:val="24"/>
        </w:rPr>
      </w:pPr>
      <w:r>
        <w:rPr>
          <w:rFonts w:hint="eastAsia" w:ascii="宋体" w:hAnsi="宋体" w:eastAsia="宋体" w:cs="宋体"/>
          <w:color w:val="auto"/>
          <w:kern w:val="2"/>
          <w:sz w:val="24"/>
          <w:szCs w:val="24"/>
          <w:lang w:val="en-US" w:eastAsia="zh-CN" w:bidi="ar-SA"/>
        </w:rPr>
        <w:t>2.4.1所有运动的零部件应进行自动润滑。</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2.4.2输出压力要求可调。</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2.4.3油箱液位显示器必须安装在便于点检的位置，即操作者可以在设备自动运行状态下，不打开任何操作门就可以对油箱的液位进行点检。</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2.4.4液压油箱设有放油口，放油口位置设计合理。</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2.4.5油箱设有低液位报警功能。</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2.4.6液压箱装有温度控制装置，保证机床正常工作。</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2.4.7液压站的压力要有显示装置，能任意设定压力监控值，当压力超出设定值时进行报警。</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2.4.8所有电控阀门的接线方式必须为插头式，不允许直接接线，阀的插头上必须带有指示灯，可以实时显示阀的工作状态。</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2.4.9液压系统和元件尽量采用一家供货商，</w:t>
      </w:r>
      <w:r>
        <w:rPr>
          <w:rFonts w:hint="eastAsia" w:ascii="宋体" w:hAnsi="宋体" w:eastAsia="宋体" w:cs="宋体"/>
          <w:sz w:val="24"/>
          <w:szCs w:val="24"/>
        </w:rPr>
        <w:t>液压阀、液压缸采用博世、力士乐、Parker、哈威</w:t>
      </w:r>
      <w:r>
        <w:rPr>
          <w:rFonts w:hint="eastAsia" w:ascii="宋体" w:hAnsi="宋体" w:eastAsia="宋体" w:cs="宋体"/>
          <w:sz w:val="24"/>
          <w:szCs w:val="24"/>
          <w:lang w:val="en-US" w:eastAsia="zh-CN"/>
        </w:rPr>
        <w:t>等</w:t>
      </w:r>
      <w:r>
        <w:rPr>
          <w:rFonts w:hint="eastAsia" w:ascii="宋体" w:hAnsi="宋体" w:eastAsia="宋体" w:cs="宋体"/>
          <w:sz w:val="24"/>
          <w:szCs w:val="24"/>
        </w:rPr>
        <w:t>国际知名品牌，并在投标文件中予以标明。</w:t>
      </w:r>
    </w:p>
    <w:p w14:paraId="08784DD5">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.5传感器使用IFM、巴鲁夫、SICK</w:t>
      </w:r>
      <w:r>
        <w:rPr>
          <w:rFonts w:hint="eastAsia" w:ascii="宋体" w:hAnsi="宋体" w:eastAsia="宋体" w:cs="宋体"/>
          <w:sz w:val="24"/>
          <w:szCs w:val="24"/>
          <w:lang w:val="en-US" w:eastAsia="zh-CN"/>
        </w:rPr>
        <w:t>等</w:t>
      </w:r>
      <w:r>
        <w:rPr>
          <w:rFonts w:hint="eastAsia" w:ascii="宋体" w:hAnsi="宋体" w:eastAsia="宋体" w:cs="宋体"/>
          <w:sz w:val="24"/>
          <w:szCs w:val="24"/>
        </w:rPr>
        <w:t>国际知名品牌。</w:t>
      </w:r>
    </w:p>
    <w:p w14:paraId="67FBF7E5">
      <w:pPr>
        <w:pStyle w:val="16"/>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eastAsia="宋体" w:cs="宋体"/>
          <w:sz w:val="24"/>
          <w:szCs w:val="24"/>
          <w:lang w:val="en-US" w:eastAsia="zh-CN"/>
        </w:rPr>
        <w:t>2</w:t>
      </w:r>
      <w:r>
        <w:rPr>
          <w:rFonts w:hint="eastAsia" w:ascii="宋体" w:hAnsi="宋体" w:eastAsia="宋体" w:cs="宋体"/>
          <w:sz w:val="24"/>
          <w:szCs w:val="24"/>
        </w:rPr>
        <w:t>.6气动系统要求</w:t>
      </w:r>
    </w:p>
    <w:p w14:paraId="6D6F31E3">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color w:val="auto"/>
          <w:kern w:val="2"/>
          <w:sz w:val="24"/>
          <w:szCs w:val="24"/>
          <w:lang w:val="en-US" w:eastAsia="zh-CN" w:bidi="ar-SA"/>
        </w:rPr>
        <w:t>2.6.1主回路及光栅尺密封回路需增加过滤功能，保证机床精度及可靠性。</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2.6.2气动系统主回路压力超出或低于设定值时进行报警。</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2.6.3所有电控阀门的接线方式必须为插头式，不允许直接接线，阀的插头上必须带有指示灯，可以实时显示阀的工作状态。</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2.6.4气动系统和元件尽量采用一家供货商，气管接头选用FESTO卡套式或同等质量的国际知名品牌。气动元件（气缸、电磁阀等）采用FESTO、安沃驰、SMC品牌或同等质量的国际知名品牌，并在投标文件中予以标明。</w:t>
      </w:r>
      <w:r>
        <w:rPr>
          <w:rFonts w:ascii="宋体" w:hAnsi="宋体" w:eastAsia="宋体" w:cs="宋体"/>
          <w:sz w:val="24"/>
          <w:szCs w:val="24"/>
          <w:highlight w:val="yellow"/>
        </w:rPr>
        <w:br w:type="textWrapping"/>
      </w:r>
      <w:r>
        <w:rPr>
          <w:rFonts w:hint="eastAsia" w:ascii="宋体" w:hAnsi="宋体" w:eastAsia="宋体" w:cs="宋体"/>
          <w:sz w:val="24"/>
          <w:szCs w:val="24"/>
          <w:highlight w:val="none"/>
          <w:lang w:val="en-US" w:eastAsia="zh-CN"/>
        </w:rPr>
        <w:t xml:space="preserve">    </w:t>
      </w:r>
      <w:r>
        <w:rPr>
          <w:rFonts w:hint="eastAsia" w:ascii="宋体" w:hAnsi="宋体" w:eastAsia="宋体" w:cs="宋体"/>
          <w:color w:val="auto"/>
          <w:kern w:val="2"/>
          <w:sz w:val="24"/>
          <w:szCs w:val="24"/>
          <w:lang w:val="en-US" w:eastAsia="zh-CN" w:bidi="ar-SA"/>
        </w:rPr>
        <w:t>2.7设备润滑系统</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2.7.1润滑油箱要求安装于便于加油的位置，带有观察窗，可目视检查油箱内的油位。并要求有液位开关，具有液位低报警功能。</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2.7.2润滑泵的出口工作压力要求显示。</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 xml:space="preserve">    2.7.3单油路系统，向滚珠丝杠和导轨供应润滑油。当油面太低时机床停车，并在控制器屏幕上发出报警显示。油压按距离油泵最远的润滑点来设定和控制。</w:t>
      </w:r>
    </w:p>
    <w:p w14:paraId="7C66C541">
      <w:pPr>
        <w:pageBreakBefore w:val="0"/>
        <w:widowControl w:val="0"/>
        <w:kinsoku/>
        <w:wordWrap/>
        <w:topLinePunct w:val="0"/>
        <w:autoSpaceDE/>
        <w:autoSpaceDN/>
        <w:bidi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扫码枪使用康耐视、</w:t>
      </w:r>
      <w:r>
        <w:rPr>
          <w:rFonts w:hint="eastAsia" w:ascii="宋体" w:hAnsi="宋体" w:eastAsia="宋体" w:cs="宋体"/>
          <w:sz w:val="24"/>
          <w:szCs w:val="24"/>
          <w:lang w:val="en-US" w:eastAsia="zh-CN"/>
        </w:rPr>
        <w:t>基恩士等</w:t>
      </w:r>
      <w:r>
        <w:rPr>
          <w:rFonts w:hint="eastAsia" w:ascii="宋体" w:hAnsi="宋体" w:eastAsia="宋体" w:cs="宋体"/>
          <w:sz w:val="24"/>
          <w:szCs w:val="24"/>
        </w:rPr>
        <w:t>国际知名品牌。</w:t>
      </w:r>
      <w:r>
        <w:rPr>
          <w:rFonts w:hint="eastAsia" w:ascii="宋体" w:hAnsi="宋体" w:eastAsia="宋体" w:cs="宋体"/>
          <w:sz w:val="24"/>
          <w:szCs w:val="24"/>
          <w:lang w:val="en-US" w:eastAsia="zh-CN"/>
        </w:rPr>
        <w:t>激光器采用IPG品牌。</w:t>
      </w:r>
    </w:p>
    <w:p w14:paraId="1DF0A417">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2.9机器人采用库卡或ABB等国际知名品牌。</w:t>
      </w:r>
    </w:p>
    <w:p w14:paraId="06103366">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2.10视觉识别系统</w:t>
      </w:r>
      <w:r>
        <w:rPr>
          <w:rFonts w:hint="eastAsia" w:ascii="宋体" w:hAnsi="宋体" w:eastAsia="宋体" w:cs="宋体"/>
          <w:sz w:val="24"/>
          <w:szCs w:val="24"/>
        </w:rPr>
        <w:t>采用欧姆龙、基恩士或康耐视品牌。</w:t>
      </w:r>
    </w:p>
    <w:p w14:paraId="6700C339">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2.11感应加热器使用应达、GH、EFD、雷丁、Ultraflex、Ambrell、CEIA、Bodine、TEI、多林、福源、双平、容大等知名品牌。</w:t>
      </w:r>
    </w:p>
    <w:p w14:paraId="0D866366">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12</w:t>
      </w:r>
      <w:r>
        <w:rPr>
          <w:rFonts w:hint="eastAsia" w:ascii="宋体" w:hAnsi="宋体" w:eastAsia="宋体" w:cs="宋体"/>
          <w:sz w:val="24"/>
          <w:szCs w:val="24"/>
        </w:rPr>
        <w:t>设备布线要求</w:t>
      </w:r>
    </w:p>
    <w:p w14:paraId="35503DB6">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主电缆下方设置照明，自动线整线布置；</w:t>
      </w:r>
    </w:p>
    <w:p w14:paraId="3532594A">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机床安全防护高≥2200mm；</w:t>
      </w:r>
    </w:p>
    <w:p w14:paraId="029683A8">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所有的元件和管线必须有标识；空中走管、走线（高度2200－2500mm）严禁泄漏。布置美观合理并方便工装的维修，空中液压、水管、气管、走线分别以不同的颜色区别。</w:t>
      </w:r>
    </w:p>
    <w:p w14:paraId="17EB540D">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设备</w:t>
      </w:r>
      <w:r>
        <w:rPr>
          <w:rFonts w:hint="eastAsia" w:ascii="宋体" w:hAnsi="宋体" w:eastAsia="宋体" w:cs="宋体"/>
          <w:sz w:val="24"/>
          <w:szCs w:val="24"/>
          <w:lang w:val="en-US" w:eastAsia="zh-CN"/>
        </w:rPr>
        <w:t>及机器人</w:t>
      </w:r>
      <w:r>
        <w:rPr>
          <w:rFonts w:hint="eastAsia" w:ascii="宋体" w:hAnsi="宋体" w:eastAsia="宋体" w:cs="宋体"/>
          <w:sz w:val="24"/>
          <w:szCs w:val="24"/>
        </w:rPr>
        <w:t>外观颜色</w:t>
      </w:r>
    </w:p>
    <w:p w14:paraId="23671206">
      <w:pPr>
        <w:pageBreakBefore w:val="0"/>
        <w:widowControl w:val="0"/>
        <w:kinsoku/>
        <w:wordWrap/>
        <w:topLinePunct w:val="0"/>
        <w:autoSpaceDE/>
        <w:autoSpaceDN/>
        <w:bidi w:val="0"/>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rPr>
        <w:t>灰白色，喷塑工艺，按照RAL9002标准执行。</w:t>
      </w:r>
    </w:p>
    <w:p w14:paraId="617811AA">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4</w:t>
      </w:r>
      <w:r>
        <w:rPr>
          <w:rFonts w:hint="eastAsia" w:ascii="宋体" w:hAnsi="宋体" w:eastAsia="宋体" w:cs="宋体"/>
          <w:sz w:val="24"/>
          <w:szCs w:val="24"/>
          <w:lang w:eastAsia="zh-CN"/>
        </w:rPr>
        <w:t>设备</w:t>
      </w:r>
      <w:r>
        <w:rPr>
          <w:rFonts w:hint="eastAsia" w:ascii="宋体" w:hAnsi="宋体" w:eastAsia="宋体" w:cs="宋体"/>
          <w:sz w:val="24"/>
          <w:szCs w:val="24"/>
        </w:rPr>
        <w:t>噪音达标要求：常时音不大于80dB，连续音不大于85dB，瞬间音不大于90dB，检测规范按照国家标准噪音测试依据：GBT16769-2008执行。</w:t>
      </w:r>
    </w:p>
    <w:p w14:paraId="75801D9F">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bCs/>
          <w:sz w:val="24"/>
          <w:szCs w:val="24"/>
        </w:rPr>
        <w:t>测量设备要求</w:t>
      </w:r>
    </w:p>
    <w:p w14:paraId="10F21070">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方提供《监视、测量设备清单》，清单应包含所有监视和测量设备，如：压力表、温度计、试漏仪、流量计、传感器等。验收前，需提供清单中工装对应的国家、省、市、县级法定计量检测机构第三方检测机构出具的检定、校准或测试报告。</w:t>
      </w:r>
    </w:p>
    <w:p w14:paraId="48650742">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.1</w:t>
      </w:r>
      <w:r>
        <w:rPr>
          <w:rFonts w:hint="eastAsia" w:ascii="宋体" w:hAnsi="宋体" w:eastAsia="宋体" w:cs="宋体"/>
          <w:bCs/>
          <w:sz w:val="24"/>
          <w:szCs w:val="24"/>
          <w:lang w:val="en-US" w:eastAsia="zh-CN"/>
        </w:rPr>
        <w:t>6</w:t>
      </w:r>
      <w:r>
        <w:rPr>
          <w:rFonts w:hint="eastAsia" w:ascii="宋体" w:hAnsi="宋体" w:eastAsia="宋体" w:cs="宋体"/>
          <w:bCs/>
          <w:sz w:val="24"/>
          <w:szCs w:val="24"/>
        </w:rPr>
        <w:t>节能环保要求</w:t>
      </w:r>
    </w:p>
    <w:p w14:paraId="452E6617">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所选电机、电气元件能耗要符合国家最新法规要求，选用节能产品。电机功率≥7.5KW时，必须选用一级能效；电机功率＜7.5KW时，优先选用一级能效；对于能源供应类</w:t>
      </w:r>
      <w:r>
        <w:rPr>
          <w:rFonts w:hint="eastAsia" w:ascii="宋体" w:hAnsi="宋体" w:eastAsia="宋体" w:cs="宋体"/>
          <w:bCs/>
          <w:sz w:val="24"/>
          <w:szCs w:val="24"/>
          <w:lang w:eastAsia="zh-CN"/>
        </w:rPr>
        <w:t>设备</w:t>
      </w:r>
      <w:r>
        <w:rPr>
          <w:rFonts w:hint="eastAsia" w:ascii="宋体" w:hAnsi="宋体" w:eastAsia="宋体" w:cs="宋体"/>
          <w:bCs/>
          <w:sz w:val="24"/>
          <w:szCs w:val="24"/>
        </w:rPr>
        <w:t>及年运行时间≥2000小时工艺</w:t>
      </w:r>
      <w:r>
        <w:rPr>
          <w:rFonts w:hint="eastAsia" w:ascii="宋体" w:hAnsi="宋体" w:eastAsia="宋体" w:cs="宋体"/>
          <w:bCs/>
          <w:sz w:val="24"/>
          <w:szCs w:val="24"/>
          <w:lang w:eastAsia="zh-CN"/>
        </w:rPr>
        <w:t>设备</w:t>
      </w:r>
      <w:r>
        <w:rPr>
          <w:rFonts w:hint="eastAsia" w:ascii="宋体" w:hAnsi="宋体" w:eastAsia="宋体" w:cs="宋体"/>
          <w:bCs/>
          <w:sz w:val="24"/>
          <w:szCs w:val="24"/>
        </w:rPr>
        <w:t>的电机必须选用一级能效；禁止使用三级及以下能效电机；空调必须选用一级能效；变压器最低选用二级能效。</w:t>
      </w:r>
    </w:p>
    <w:p w14:paraId="29ABE6D8">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.1</w:t>
      </w:r>
      <w:r>
        <w:rPr>
          <w:rFonts w:hint="eastAsia" w:ascii="宋体" w:hAnsi="宋体" w:eastAsia="宋体" w:cs="宋体"/>
          <w:bCs/>
          <w:sz w:val="24"/>
          <w:szCs w:val="24"/>
          <w:lang w:val="en-US" w:eastAsia="zh-CN"/>
        </w:rPr>
        <w:t>7</w:t>
      </w:r>
      <w:r>
        <w:rPr>
          <w:rFonts w:hint="eastAsia" w:ascii="宋体" w:hAnsi="宋体" w:eastAsia="宋体" w:cs="宋体"/>
          <w:bCs/>
          <w:sz w:val="24"/>
          <w:szCs w:val="24"/>
        </w:rPr>
        <w:t>防护等级：电气柜、按钮箱、分线盒、防护等级IP65；限位、压力等开关防护等级IP67；</w:t>
      </w:r>
    </w:p>
    <w:p w14:paraId="41113DE9">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.1</w:t>
      </w:r>
      <w:r>
        <w:rPr>
          <w:rFonts w:hint="eastAsia" w:ascii="宋体" w:hAnsi="宋体" w:eastAsia="宋体" w:cs="宋体"/>
          <w:bCs/>
          <w:sz w:val="24"/>
          <w:szCs w:val="24"/>
          <w:lang w:val="en-US" w:eastAsia="zh-CN"/>
        </w:rPr>
        <w:t>8</w:t>
      </w:r>
      <w:r>
        <w:rPr>
          <w:rFonts w:hint="eastAsia" w:ascii="宋体" w:hAnsi="宋体" w:eastAsia="宋体" w:cs="宋体"/>
          <w:bCs/>
          <w:sz w:val="24"/>
          <w:szCs w:val="24"/>
        </w:rPr>
        <w:t xml:space="preserve"> 所具有的电气系统、液压系统、气动系统、润滑系统应各自独立；此</w:t>
      </w:r>
      <w:r>
        <w:rPr>
          <w:rFonts w:hint="eastAsia" w:ascii="宋体" w:hAnsi="宋体" w:eastAsia="宋体" w:cs="宋体"/>
          <w:bCs/>
          <w:sz w:val="24"/>
          <w:szCs w:val="24"/>
          <w:lang w:eastAsia="zh-CN"/>
        </w:rPr>
        <w:t>设备</w:t>
      </w:r>
      <w:r>
        <w:rPr>
          <w:rFonts w:hint="eastAsia" w:ascii="宋体" w:hAnsi="宋体" w:eastAsia="宋体" w:cs="宋体"/>
          <w:bCs/>
          <w:sz w:val="24"/>
          <w:szCs w:val="24"/>
        </w:rPr>
        <w:t>要求配备安全运行保护单元和故障报警。</w:t>
      </w:r>
    </w:p>
    <w:p w14:paraId="10933380">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2.19</w:t>
      </w:r>
      <w:r>
        <w:rPr>
          <w:rFonts w:hint="eastAsia" w:ascii="宋体" w:hAnsi="宋体" w:eastAsia="宋体" w:cs="宋体"/>
          <w:bCs/>
          <w:sz w:val="24"/>
          <w:szCs w:val="24"/>
        </w:rPr>
        <w:t>程序图纸要求：供方必须提供所有</w:t>
      </w:r>
      <w:r>
        <w:rPr>
          <w:rFonts w:hint="eastAsia" w:ascii="宋体" w:hAnsi="宋体" w:eastAsia="宋体" w:cs="宋体"/>
          <w:bCs/>
          <w:sz w:val="24"/>
          <w:szCs w:val="24"/>
          <w:lang w:eastAsia="zh-CN"/>
        </w:rPr>
        <w:t>设备</w:t>
      </w:r>
      <w:r>
        <w:rPr>
          <w:rFonts w:hint="eastAsia" w:ascii="宋体" w:hAnsi="宋体" w:eastAsia="宋体" w:cs="宋体"/>
          <w:bCs/>
          <w:sz w:val="24"/>
          <w:szCs w:val="24"/>
        </w:rPr>
        <w:t>程序的源代码，包括但不限于PLC程序、HMI程序、机器人程序、视觉程序、伺服等。供方所提供的程序不得设置任何密码、保护等限制手段，PLC不得设置修改下载权限，功能块不得设置密码保护。HMI界面等需要密码保护的程序，供方必须提供所有级别的用户名、密码。供方需在</w:t>
      </w:r>
      <w:r>
        <w:rPr>
          <w:rFonts w:hint="eastAsia" w:ascii="宋体" w:hAnsi="宋体" w:eastAsia="宋体" w:cs="宋体"/>
          <w:bCs/>
          <w:sz w:val="24"/>
          <w:szCs w:val="24"/>
          <w:lang w:eastAsia="zh-CN"/>
        </w:rPr>
        <w:t>设备</w:t>
      </w:r>
      <w:r>
        <w:rPr>
          <w:rFonts w:hint="eastAsia" w:ascii="宋体" w:hAnsi="宋体" w:eastAsia="宋体" w:cs="宋体"/>
          <w:bCs/>
          <w:sz w:val="24"/>
          <w:szCs w:val="24"/>
        </w:rPr>
        <w:t>入场前提供</w:t>
      </w:r>
      <w:r>
        <w:rPr>
          <w:rFonts w:hint="eastAsia" w:ascii="宋体" w:hAnsi="宋体" w:eastAsia="宋体" w:cs="宋体"/>
          <w:bCs/>
          <w:sz w:val="24"/>
          <w:szCs w:val="24"/>
          <w:lang w:eastAsia="zh-CN"/>
        </w:rPr>
        <w:t>设备</w:t>
      </w:r>
      <w:r>
        <w:rPr>
          <w:rFonts w:hint="eastAsia" w:ascii="宋体" w:hAnsi="宋体" w:eastAsia="宋体" w:cs="宋体"/>
          <w:bCs/>
          <w:sz w:val="24"/>
          <w:szCs w:val="24"/>
        </w:rPr>
        <w:t>程序源码，HMI界面各级用户名和密码，并保证与现场程序一致。供方需在终验收前提供最新的</w:t>
      </w:r>
      <w:r>
        <w:rPr>
          <w:rFonts w:hint="eastAsia" w:ascii="宋体" w:hAnsi="宋体" w:eastAsia="宋体" w:cs="宋体"/>
          <w:bCs/>
          <w:sz w:val="24"/>
          <w:szCs w:val="24"/>
          <w:lang w:eastAsia="zh-CN"/>
        </w:rPr>
        <w:t>设备</w:t>
      </w:r>
      <w:r>
        <w:rPr>
          <w:rFonts w:hint="eastAsia" w:ascii="宋体" w:hAnsi="宋体" w:eastAsia="宋体" w:cs="宋体"/>
          <w:bCs/>
          <w:sz w:val="24"/>
          <w:szCs w:val="24"/>
        </w:rPr>
        <w:t>程序源码和电气图纸，图纸要求为可编辑原格式（EPLAN、CAD格式）且与实际接线一致。</w:t>
      </w:r>
    </w:p>
    <w:p w14:paraId="112BAD62">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2.20</w:t>
      </w:r>
      <w:r>
        <w:rPr>
          <w:rFonts w:hint="eastAsia" w:ascii="宋体" w:hAnsi="宋体" w:eastAsia="宋体" w:cs="宋体"/>
          <w:bCs/>
          <w:sz w:val="24"/>
          <w:szCs w:val="24"/>
        </w:rPr>
        <w:t>接口协议要求：供方免费开放所有通讯接口，包括但不限于以太网、RS232、RS485、PROFIBUS、PROFINET、MODBUS 等常见接口，以及</w:t>
      </w:r>
      <w:r>
        <w:rPr>
          <w:rFonts w:hint="eastAsia" w:ascii="宋体" w:hAnsi="宋体" w:eastAsia="宋体" w:cs="宋体"/>
          <w:bCs/>
          <w:sz w:val="24"/>
          <w:szCs w:val="24"/>
          <w:lang w:eastAsia="zh-CN"/>
        </w:rPr>
        <w:t>设备</w:t>
      </w:r>
      <w:r>
        <w:rPr>
          <w:rFonts w:hint="eastAsia" w:ascii="宋体" w:hAnsi="宋体" w:eastAsia="宋体" w:cs="宋体"/>
          <w:bCs/>
          <w:sz w:val="24"/>
          <w:szCs w:val="24"/>
        </w:rPr>
        <w:t>特有的专用接口。供方免费提供数据交互功能，交互数据包括但不限于实时数据、历史数据、报警信息等。供方在</w:t>
      </w:r>
      <w:r>
        <w:rPr>
          <w:rFonts w:hint="eastAsia" w:ascii="宋体" w:hAnsi="宋体" w:eastAsia="宋体" w:cs="宋体"/>
          <w:bCs/>
          <w:sz w:val="24"/>
          <w:szCs w:val="24"/>
          <w:lang w:eastAsia="zh-CN"/>
        </w:rPr>
        <w:t>设备</w:t>
      </w:r>
      <w:r>
        <w:rPr>
          <w:rFonts w:hint="eastAsia" w:ascii="宋体" w:hAnsi="宋体" w:eastAsia="宋体" w:cs="宋体"/>
          <w:bCs/>
          <w:sz w:val="24"/>
          <w:szCs w:val="24"/>
        </w:rPr>
        <w:t>入场前提供接口的技术文档和参数说明，包括 但不限于接口协议、通讯速率、数据格式等。</w:t>
      </w:r>
      <w:r>
        <w:rPr>
          <w:rFonts w:hint="eastAsia" w:ascii="宋体" w:hAnsi="宋体" w:eastAsia="宋体" w:cs="宋体"/>
          <w:bCs/>
          <w:sz w:val="24"/>
          <w:szCs w:val="24"/>
          <w:lang w:eastAsia="zh-CN"/>
        </w:rPr>
        <w:t>设备</w:t>
      </w:r>
      <w:r>
        <w:rPr>
          <w:rFonts w:hint="eastAsia" w:ascii="宋体" w:hAnsi="宋体" w:eastAsia="宋体" w:cs="宋体"/>
          <w:bCs/>
          <w:sz w:val="24"/>
          <w:szCs w:val="24"/>
        </w:rPr>
        <w:t>使用周期内，供方免费派遣技术人员与甲方调试团队共同进行</w:t>
      </w:r>
      <w:r>
        <w:rPr>
          <w:rFonts w:hint="eastAsia" w:ascii="宋体" w:hAnsi="宋体" w:eastAsia="宋体" w:cs="宋体"/>
          <w:bCs/>
          <w:sz w:val="24"/>
          <w:szCs w:val="24"/>
          <w:lang w:eastAsia="zh-CN"/>
        </w:rPr>
        <w:t>设备</w:t>
      </w:r>
      <w:r>
        <w:rPr>
          <w:rFonts w:hint="eastAsia" w:ascii="宋体" w:hAnsi="宋体" w:eastAsia="宋体" w:cs="宋体"/>
          <w:bCs/>
          <w:sz w:val="24"/>
          <w:szCs w:val="24"/>
        </w:rPr>
        <w:t>通讯接口的调试工作。</w:t>
      </w:r>
    </w:p>
    <w:p w14:paraId="101F670C">
      <w:pPr>
        <w:pageBreakBefore w:val="0"/>
        <w:widowControl w:val="0"/>
        <w:numPr>
          <w:ilvl w:val="0"/>
          <w:numId w:val="21"/>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84" w:name="_Toc127880413"/>
      <w:bookmarkEnd w:id="84"/>
      <w:bookmarkStart w:id="85" w:name="_Toc127880414"/>
      <w:bookmarkEnd w:id="85"/>
      <w:bookmarkStart w:id="86" w:name="_Toc127880415"/>
      <w:bookmarkEnd w:id="86"/>
      <w:bookmarkStart w:id="87" w:name="_Toc127880416"/>
      <w:r>
        <w:rPr>
          <w:rFonts w:hint="eastAsia" w:ascii="宋体" w:hAnsi="宋体" w:eastAsia="宋体" w:cs="宋体"/>
          <w:b/>
          <w:sz w:val="24"/>
          <w:szCs w:val="24"/>
        </w:rPr>
        <w:t>其他要求</w:t>
      </w:r>
      <w:bookmarkEnd w:id="87"/>
    </w:p>
    <w:p w14:paraId="5ED4CDE9">
      <w:pPr>
        <w:pageBreakBefore w:val="0"/>
        <w:widowControl w:val="0"/>
        <w:kinsoku/>
        <w:wordWrap/>
        <w:topLinePunct w:val="0"/>
        <w:autoSpaceDE/>
        <w:autoSpaceDN/>
        <w:bidi w:val="0"/>
        <w:spacing w:line="360" w:lineRule="auto"/>
        <w:ind w:left="540"/>
        <w:textAlignment w:val="auto"/>
        <w:rPr>
          <w:rFonts w:hint="eastAsia" w:ascii="宋体" w:hAnsi="宋体" w:eastAsia="宋体" w:cs="宋体"/>
          <w:b/>
          <w:sz w:val="24"/>
          <w:szCs w:val="24"/>
          <w:u w:val="single"/>
        </w:rPr>
      </w:pPr>
      <w:r>
        <w:rPr>
          <w:rFonts w:hint="eastAsia" w:ascii="宋体" w:hAnsi="宋体" w:eastAsia="宋体" w:cs="宋体"/>
          <w:b/>
          <w:sz w:val="24"/>
          <w:szCs w:val="24"/>
          <w:u w:val="single"/>
        </w:rPr>
        <w:t>1.投标方负责货物运输、安装、调试等内容，上述项目以及其他未提到的相关项目都应在投标报价中有相应的分项报价。</w:t>
      </w:r>
    </w:p>
    <w:p w14:paraId="5FA46D00">
      <w:pPr>
        <w:pageBreakBefore w:val="0"/>
        <w:widowControl w:val="0"/>
        <w:kinsoku/>
        <w:wordWrap/>
        <w:topLinePunct w:val="0"/>
        <w:autoSpaceDE/>
        <w:autoSpaceDN/>
        <w:bidi w:val="0"/>
        <w:spacing w:line="360" w:lineRule="auto"/>
        <w:ind w:left="540"/>
        <w:textAlignment w:val="auto"/>
        <w:rPr>
          <w:rFonts w:hint="eastAsia" w:ascii="宋体" w:hAnsi="宋体" w:eastAsia="宋体" w:cs="宋体"/>
          <w:b/>
          <w:sz w:val="24"/>
          <w:szCs w:val="24"/>
          <w:u w:val="single"/>
        </w:rPr>
      </w:pPr>
      <w:r>
        <w:rPr>
          <w:rFonts w:hint="eastAsia" w:ascii="宋体" w:hAnsi="宋体" w:eastAsia="宋体" w:cs="宋体"/>
          <w:b/>
          <w:sz w:val="24"/>
          <w:szCs w:val="24"/>
          <w:u w:val="single"/>
        </w:rPr>
        <w:t>2.投标方需现场考察，确认安装方案，在投标文件中详细说明。</w:t>
      </w:r>
    </w:p>
    <w:p w14:paraId="73037774">
      <w:pPr>
        <w:pageBreakBefore w:val="0"/>
        <w:widowControl w:val="0"/>
        <w:numPr>
          <w:ilvl w:val="0"/>
          <w:numId w:val="21"/>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88" w:name="_Toc227726578"/>
      <w:bookmarkStart w:id="89" w:name="_Toc257037887"/>
      <w:bookmarkStart w:id="90" w:name="_Toc257033759"/>
      <w:bookmarkStart w:id="91" w:name="_Toc127880417"/>
      <w:bookmarkStart w:id="92" w:name="_Toc227726373"/>
      <w:r>
        <w:rPr>
          <w:rFonts w:hint="eastAsia" w:ascii="宋体" w:hAnsi="宋体" w:eastAsia="宋体" w:cs="宋体"/>
          <w:b/>
          <w:sz w:val="24"/>
          <w:szCs w:val="24"/>
        </w:rPr>
        <w:t>投标技术说明</w:t>
      </w:r>
      <w:bookmarkEnd w:id="88"/>
      <w:bookmarkEnd w:id="89"/>
      <w:bookmarkEnd w:id="90"/>
      <w:bookmarkEnd w:id="91"/>
      <w:bookmarkEnd w:id="92"/>
    </w:p>
    <w:p w14:paraId="49194704">
      <w:pPr>
        <w:pageBreakBefore w:val="0"/>
        <w:widowControl w:val="0"/>
        <w:numPr>
          <w:ilvl w:val="0"/>
          <w:numId w:val="23"/>
        </w:numPr>
        <w:kinsoku/>
        <w:wordWrap/>
        <w:topLinePunct w:val="0"/>
        <w:autoSpaceDE/>
        <w:autoSpaceDN/>
        <w:bidi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投标方投标时需持有所有有效法律文件。</w:t>
      </w:r>
    </w:p>
    <w:p w14:paraId="30EFE5C8">
      <w:pPr>
        <w:pageBreakBefore w:val="0"/>
        <w:widowControl w:val="0"/>
        <w:numPr>
          <w:ilvl w:val="0"/>
          <w:numId w:val="23"/>
        </w:numPr>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分投分中：不允许。</w:t>
      </w:r>
    </w:p>
    <w:p w14:paraId="0386F0B2">
      <w:pPr>
        <w:pageBreakBefore w:val="0"/>
        <w:widowControl w:val="0"/>
        <w:numPr>
          <w:ilvl w:val="0"/>
          <w:numId w:val="23"/>
        </w:numPr>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投标方近两年来的销售业绩及用户清单，中国国内已成功应用的项目介绍。</w:t>
      </w:r>
    </w:p>
    <w:p w14:paraId="3EF50AB6">
      <w:pPr>
        <w:pageBreakBefore w:val="0"/>
        <w:widowControl w:val="0"/>
        <w:numPr>
          <w:ilvl w:val="0"/>
          <w:numId w:val="23"/>
        </w:numPr>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在满足使用的情况下应优先选用重汽所列元器件品牌，未涉及的零部件要求选用知名品牌，元器件的最终选用由双方协商确认。                           </w:t>
      </w:r>
    </w:p>
    <w:p w14:paraId="574073A5">
      <w:pPr>
        <w:pageBreakBefore w:val="0"/>
        <w:widowControl w:val="0"/>
        <w:numPr>
          <w:ilvl w:val="0"/>
          <w:numId w:val="23"/>
        </w:numPr>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投标方在投标时应提供设计、制造、供货进度表（从合同签字起计算、包括设计、会审、制造、预验收、终验收等所有过程），并作为中标后供货周期的依据。</w:t>
      </w:r>
    </w:p>
    <w:p w14:paraId="12B0FF2F">
      <w:pPr>
        <w:pageBreakBefore w:val="0"/>
        <w:widowControl w:val="0"/>
        <w:numPr>
          <w:ilvl w:val="0"/>
          <w:numId w:val="21"/>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b/>
          <w:sz w:val="24"/>
          <w:szCs w:val="24"/>
        </w:rPr>
      </w:pPr>
      <w:bookmarkStart w:id="93" w:name="_Toc257033760"/>
      <w:bookmarkStart w:id="94" w:name="_Toc257037888"/>
      <w:bookmarkStart w:id="95" w:name="_Toc127880418"/>
      <w:r>
        <w:rPr>
          <w:rFonts w:hint="eastAsia" w:ascii="宋体" w:hAnsi="宋体" w:eastAsia="宋体" w:cs="宋体"/>
          <w:b/>
          <w:sz w:val="24"/>
          <w:szCs w:val="24"/>
        </w:rPr>
        <w:t>特别提示</w:t>
      </w:r>
      <w:bookmarkEnd w:id="93"/>
      <w:bookmarkEnd w:id="94"/>
      <w:bookmarkEnd w:id="95"/>
    </w:p>
    <w:p w14:paraId="3CFF0C3D">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本章技术要求，仅对功能、设计、结构、性能、安装和试验检验等方面，提出了最低和一般性的技术要求；并未对一切技术细节作出规定，未充分引述有关标准和规范的条文。投标方应保证提供的货物（或生产线）符合本技术标书和国家最新的有关法律法规和标准、规范。</w:t>
      </w:r>
    </w:p>
    <w:p w14:paraId="25D7D63E">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本技术要求所使用的标准、规范等，如与投标方所执行的标准、规范不一致时，应按高于本技术要求所列的标准、规范执行。</w:t>
      </w:r>
    </w:p>
    <w:p w14:paraId="45EA76AB">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投标方应同时提出对厂房、设备基础（或安装平台）、公用设施、消防、环保等超出招标文件、投标文件、答疑文件、技术交流文件、技术协议书和合同等规定的、有特殊需要的解释、说明和要求。</w:t>
      </w:r>
    </w:p>
    <w:p w14:paraId="05116B9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无论是否有技术偏离，投标方均应在投标文件“技术偏离”中明确作出有无说明。若有异议，不管是多么微小，投标方予以明确和详细的说明或澄清。</w:t>
      </w:r>
    </w:p>
    <w:p w14:paraId="352BA053">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为避免投标方优势评审漏项，质保期超出本技术标书要求的，应当在投标文件“技术偏离”中特别注明。</w:t>
      </w:r>
    </w:p>
    <w:p w14:paraId="3F89B0D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投标文件中，针对“特别提示”条款所做的回应，将作为投标方能否中标的重要依据之一。</w:t>
      </w:r>
    </w:p>
    <w:p w14:paraId="71F53245">
      <w:pPr>
        <w:pStyle w:val="2"/>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96" w:name="_Toc227726374"/>
      <w:bookmarkStart w:id="97" w:name="_Toc257037889"/>
      <w:bookmarkStart w:id="98" w:name="_Toc137705869"/>
      <w:bookmarkStart w:id="99" w:name="_Toc127880419"/>
      <w:bookmarkStart w:id="100" w:name="_Toc257033761"/>
      <w:bookmarkStart w:id="101" w:name="_Toc227726579"/>
      <w:r>
        <w:rPr>
          <w:rFonts w:hint="eastAsia" w:ascii="宋体" w:hAnsi="宋体" w:eastAsia="宋体" w:cs="宋体"/>
          <w:b w:val="0"/>
          <w:sz w:val="24"/>
          <w:szCs w:val="24"/>
        </w:rPr>
        <w:t>第三章  供货范围及供货方式</w:t>
      </w:r>
      <w:bookmarkEnd w:id="96"/>
      <w:bookmarkEnd w:id="97"/>
      <w:bookmarkEnd w:id="98"/>
      <w:bookmarkEnd w:id="99"/>
      <w:bookmarkEnd w:id="100"/>
      <w:bookmarkEnd w:id="101"/>
    </w:p>
    <w:p w14:paraId="6C8D4598">
      <w:pPr>
        <w:pStyle w:val="3"/>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102" w:name="_Toc127880420"/>
      <w:bookmarkStart w:id="103" w:name="_Toc227726375"/>
      <w:bookmarkStart w:id="104" w:name="_Toc227726580"/>
      <w:bookmarkStart w:id="105" w:name="_Toc257037890"/>
      <w:bookmarkStart w:id="106" w:name="_Toc137705870"/>
      <w:bookmarkStart w:id="107" w:name="_Toc257033762"/>
      <w:r>
        <w:rPr>
          <w:rFonts w:hint="eastAsia" w:ascii="宋体" w:hAnsi="宋体" w:eastAsia="宋体" w:cs="宋体"/>
          <w:b w:val="0"/>
          <w:sz w:val="24"/>
          <w:szCs w:val="24"/>
        </w:rPr>
        <w:t>第一节  供货范围</w:t>
      </w:r>
      <w:bookmarkEnd w:id="102"/>
      <w:bookmarkEnd w:id="103"/>
      <w:bookmarkEnd w:id="104"/>
      <w:bookmarkEnd w:id="105"/>
      <w:bookmarkEnd w:id="106"/>
      <w:bookmarkEnd w:id="107"/>
    </w:p>
    <w:p w14:paraId="561BD148">
      <w:pPr>
        <w:pageBreakBefore w:val="0"/>
        <w:widowControl w:val="0"/>
        <w:numPr>
          <w:ilvl w:val="0"/>
          <w:numId w:val="24"/>
        </w:numPr>
        <w:tabs>
          <w:tab w:val="left" w:pos="1080"/>
        </w:tabs>
        <w:kinsoku/>
        <w:wordWrap/>
        <w:topLinePunct w:val="0"/>
        <w:autoSpaceDE/>
        <w:autoSpaceDN/>
        <w:bidi w:val="0"/>
        <w:spacing w:line="360" w:lineRule="auto"/>
        <w:ind w:left="902"/>
        <w:textAlignment w:val="auto"/>
        <w:outlineLvl w:val="2"/>
        <w:rPr>
          <w:rFonts w:hint="eastAsia" w:ascii="宋体" w:hAnsi="宋体" w:eastAsia="宋体" w:cs="宋体"/>
          <w:sz w:val="24"/>
          <w:szCs w:val="24"/>
        </w:rPr>
      </w:pPr>
      <w:r>
        <w:rPr>
          <w:rFonts w:hint="eastAsia" w:ascii="宋体" w:hAnsi="宋体" w:eastAsia="宋体" w:cs="宋体"/>
          <w:sz w:val="24"/>
          <w:szCs w:val="24"/>
        </w:rPr>
        <w:t>主要货物一般供货范围界定</w:t>
      </w:r>
    </w:p>
    <w:p w14:paraId="3576BFB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1、供货范围包括本技术标书“采购货物概况” 所列及所要求的货物（或生产线）。</w:t>
      </w:r>
    </w:p>
    <w:p w14:paraId="2D112F31">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2、供货范围包括为保证货物（或生产线）正常安装、调试和验收完成及以前所必需的整套配件、附件及材料、油料、控制软件及程序或指令等。</w:t>
      </w:r>
    </w:p>
    <w:p w14:paraId="742A51C1">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2A2D526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3、供货范围包括货物（或生产线）维护维修所必需的专用工具。</w:t>
      </w:r>
    </w:p>
    <w:p w14:paraId="348A63E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0929B5E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5D8F76C8">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5、供货范围包括为保证货物（或生产线）自身正常运行所必需的、满足使用地点环境条件的通风、冷却、降温等必需设施。</w:t>
      </w:r>
    </w:p>
    <w:p w14:paraId="7BBB5A0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6、以“交钥匙”方式采购的货物（或生产线），在满足技术标书本节上述要求之外，供货范围还包括如下界定（货物）：</w:t>
      </w:r>
    </w:p>
    <w:p w14:paraId="33A32E57">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招标方只提供货物（或生产线）所需的厂房以及砼基础（基础含预埋螺栓、螺母及垫片）；只提供符合本技术标书中“采购货物概况”和“使用环境”章节所列明品质的电力、自来水、压缩空气、蒸汽、天然气（或煤气）管线至系统接口，如：系统电力接口的接线端，水、气、汽等外围管线端联接法兰外端面。</w:t>
      </w:r>
    </w:p>
    <w:p w14:paraId="686B83DB">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  供货范围包括货物（或生产线）正常运行所必需的全套连线设备、材料等。如货物端联接法兰外端面之内的、电气系统接口压线板（插座等）之内的设备、材料、联接螺栓、垫片等。</w:t>
      </w:r>
    </w:p>
    <w:p w14:paraId="7682F34A">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供货范围包括货物（或生产线）正常运行、使用所需要的过桥、护栏、防护网、盖板等辅助设施。</w:t>
      </w:r>
    </w:p>
    <w:p w14:paraId="212F29A0">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  供货范围包括招标文件中无明确具体要求而投标方认为具备的其它货物。但是，在投标文件报价明细中，该部分货物单独报价（该报价含运杂费及税费等其它费用，而且不再作为其它报价涉及的其它费用的计算基数）。</w:t>
      </w:r>
    </w:p>
    <w:p w14:paraId="2E122799">
      <w:pPr>
        <w:pageBreakBefore w:val="0"/>
        <w:widowControl w:val="0"/>
        <w:numPr>
          <w:ilvl w:val="0"/>
          <w:numId w:val="24"/>
        </w:numPr>
        <w:tabs>
          <w:tab w:val="left" w:pos="1080"/>
        </w:tabs>
        <w:kinsoku/>
        <w:wordWrap/>
        <w:topLinePunct w:val="0"/>
        <w:autoSpaceDE/>
        <w:autoSpaceDN/>
        <w:bidi w:val="0"/>
        <w:spacing w:line="360" w:lineRule="auto"/>
        <w:ind w:left="902"/>
        <w:textAlignment w:val="auto"/>
        <w:outlineLvl w:val="2"/>
        <w:rPr>
          <w:rFonts w:hint="eastAsia" w:ascii="宋体" w:hAnsi="宋体" w:eastAsia="宋体" w:cs="宋体"/>
          <w:sz w:val="24"/>
          <w:szCs w:val="24"/>
        </w:rPr>
      </w:pPr>
      <w:r>
        <w:rPr>
          <w:rFonts w:hint="eastAsia" w:ascii="宋体" w:hAnsi="宋体" w:eastAsia="宋体" w:cs="宋体"/>
          <w:sz w:val="24"/>
          <w:szCs w:val="24"/>
        </w:rPr>
        <w:t>备品备件、易损件和专用耗材供货范围</w:t>
      </w:r>
    </w:p>
    <w:p w14:paraId="09783A5A">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或生产线）质保期之后正常运行一年所自备自用的备品备件、易损件和专用耗材。质保期之内正常需要的备品备件、易损件和专用耗材全部包括在供货范围之内而不属于本条款界定的范围（应有明细）。</w:t>
      </w:r>
    </w:p>
    <w:p w14:paraId="502FAE3A">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14:paraId="34F6A839">
      <w:pPr>
        <w:pageBreakBefore w:val="0"/>
        <w:widowControl w:val="0"/>
        <w:numPr>
          <w:ilvl w:val="0"/>
          <w:numId w:val="24"/>
        </w:numPr>
        <w:tabs>
          <w:tab w:val="left" w:pos="1080"/>
        </w:tabs>
        <w:kinsoku/>
        <w:wordWrap/>
        <w:topLinePunct w:val="0"/>
        <w:autoSpaceDE/>
        <w:autoSpaceDN/>
        <w:bidi w:val="0"/>
        <w:spacing w:line="360" w:lineRule="auto"/>
        <w:ind w:left="902"/>
        <w:textAlignment w:val="auto"/>
        <w:outlineLvl w:val="2"/>
        <w:rPr>
          <w:rFonts w:hint="eastAsia" w:ascii="宋体" w:hAnsi="宋体" w:eastAsia="宋体" w:cs="宋体"/>
          <w:sz w:val="24"/>
          <w:szCs w:val="24"/>
        </w:rPr>
      </w:pPr>
      <w:r>
        <w:rPr>
          <w:rFonts w:hint="eastAsia" w:ascii="宋体" w:hAnsi="宋体" w:eastAsia="宋体" w:cs="宋体"/>
          <w:sz w:val="24"/>
          <w:szCs w:val="24"/>
        </w:rPr>
        <w:t>技术资料供货范围</w:t>
      </w:r>
    </w:p>
    <w:p w14:paraId="7C66E911">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7552873D">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30  </w:t>
      </w:r>
      <w:r>
        <w:rPr>
          <w:rFonts w:hint="eastAsia" w:ascii="宋体" w:hAnsi="宋体" w:eastAsia="宋体" w:cs="宋体"/>
          <w:bCs/>
          <w:sz w:val="24"/>
          <w:szCs w:val="24"/>
        </w:rPr>
        <w:t>个日历日内，提供货物（或生产线）基础及相关的设计、制作所需的纸质及电子版资料；电子版文件应当能够使用常用版本软件可以阅读甚至使用，进口货物、设备应有中外文对照。</w:t>
      </w:r>
    </w:p>
    <w:p w14:paraId="04FF1A5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2、在终验收前，</w:t>
      </w:r>
      <w:r>
        <w:rPr>
          <w:rFonts w:hint="eastAsia" w:ascii="宋体" w:hAnsi="宋体" w:eastAsia="宋体" w:cs="宋体"/>
          <w:bCs/>
          <w:sz w:val="24"/>
          <w:szCs w:val="24"/>
        </w:rPr>
        <w:t>提供货物（或生产线）各部分的功能描述文件、图片、影像等资料（进口、设备应有中外文对照）。</w:t>
      </w:r>
    </w:p>
    <w:p w14:paraId="17B0CE53">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在终验收前，提供为保证货物（或生产线）后续正常运行所需的工装、吊（挂）具明细及其图纸、具体技术要求等资料（如果供货范围包含该部分实物）。需要现场配做的部分图纸应在终验收后一个月内提供所有图纸。</w:t>
      </w:r>
    </w:p>
    <w:p w14:paraId="6BEAD0BE">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18AD6E2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5、在终验收后、终验收后的第一笔货款支付日之前，提供包括货物（或生产线）的备品备件、易损件和专用耗材的图纸及技术参数、技术要求等资料。</w:t>
      </w:r>
    </w:p>
    <w:p w14:paraId="473E5590">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14:paraId="7857023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14:paraId="55E86FE6">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8、本条款所列的技术资料、图片、影像等，投标方应各提供5套，其中2套为电子版光盘；每份技术文件应装有目录清单，电子版及纸板内容编排一致，方便查阅。</w:t>
      </w:r>
    </w:p>
    <w:p w14:paraId="3FCDCE47">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55395436">
      <w:pPr>
        <w:pStyle w:val="3"/>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bookmarkStart w:id="108" w:name="_Toc127880421"/>
      <w:bookmarkStart w:id="109" w:name="_Toc227726581"/>
      <w:bookmarkStart w:id="110" w:name="_Toc257037891"/>
      <w:bookmarkStart w:id="111" w:name="_Toc227726376"/>
      <w:bookmarkStart w:id="112" w:name="_Toc137705871"/>
      <w:bookmarkStart w:id="113" w:name="_Toc257033763"/>
      <w:r>
        <w:rPr>
          <w:rFonts w:hint="eastAsia" w:ascii="宋体" w:hAnsi="宋体" w:eastAsia="宋体" w:cs="宋体"/>
          <w:b w:val="0"/>
          <w:sz w:val="24"/>
          <w:szCs w:val="24"/>
        </w:rPr>
        <w:t>第二节  供货方式</w:t>
      </w:r>
      <w:bookmarkEnd w:id="108"/>
      <w:bookmarkEnd w:id="109"/>
      <w:bookmarkEnd w:id="110"/>
      <w:bookmarkEnd w:id="111"/>
      <w:bookmarkEnd w:id="112"/>
      <w:bookmarkEnd w:id="113"/>
    </w:p>
    <w:p w14:paraId="4E53DEFF">
      <w:pPr>
        <w:pageBreakBefore w:val="0"/>
        <w:widowControl w:val="0"/>
        <w:numPr>
          <w:ilvl w:val="0"/>
          <w:numId w:val="25"/>
        </w:numPr>
        <w:tabs>
          <w:tab w:val="left" w:pos="1080"/>
        </w:tabs>
        <w:kinsoku/>
        <w:wordWrap/>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供货地点：本项目建设工地。</w:t>
      </w:r>
    </w:p>
    <w:p w14:paraId="1405B21B">
      <w:pPr>
        <w:pageBreakBefore w:val="0"/>
        <w:widowControl w:val="0"/>
        <w:numPr>
          <w:ilvl w:val="0"/>
          <w:numId w:val="25"/>
        </w:numPr>
        <w:tabs>
          <w:tab w:val="left" w:pos="1080"/>
        </w:tabs>
        <w:kinsoku/>
        <w:wordWrap/>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供货时间</w:t>
      </w:r>
    </w:p>
    <w:p w14:paraId="533AE4C3">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1、以交钥匙方式供货的，按照以下时间要求（投标方应当随标书提供详细的工期计划）：</w:t>
      </w:r>
    </w:p>
    <w:p w14:paraId="52346F38">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1.1  自</w:t>
      </w:r>
      <w:r>
        <w:rPr>
          <w:rFonts w:hint="eastAsia" w:ascii="宋体" w:hAnsi="宋体" w:eastAsia="宋体" w:cs="宋体"/>
          <w:sz w:val="24"/>
          <w:szCs w:val="24"/>
          <w:lang w:val="en-US" w:eastAsia="zh-CN"/>
        </w:rPr>
        <w:t>接到中标通知</w:t>
      </w:r>
      <w:r>
        <w:rPr>
          <w:rFonts w:hint="eastAsia" w:ascii="宋体" w:hAnsi="宋体" w:eastAsia="宋体" w:cs="宋体"/>
          <w:sz w:val="24"/>
          <w:szCs w:val="24"/>
        </w:rPr>
        <w:t>起，</w:t>
      </w:r>
      <w:r>
        <w:rPr>
          <w:rFonts w:hint="eastAsia" w:ascii="宋体" w:hAnsi="宋体" w:eastAsia="宋体" w:cs="宋体"/>
          <w:sz w:val="24"/>
          <w:szCs w:val="24"/>
          <w:highlight w:val="none"/>
          <w:u w:val="single"/>
          <w:shd w:val="pct10" w:color="auto" w:fill="FFFFFF"/>
          <w:lang w:val="en-US" w:eastAsia="zh-CN"/>
        </w:rPr>
        <w:t>堵头压装设备150日历日、凸轮自动化滚花装配设备180</w:t>
      </w:r>
      <w:r>
        <w:rPr>
          <w:rFonts w:hint="eastAsia" w:ascii="宋体" w:hAnsi="宋体" w:eastAsia="宋体" w:cs="宋体"/>
          <w:sz w:val="24"/>
          <w:szCs w:val="24"/>
          <w:highlight w:val="none"/>
        </w:rPr>
        <w:t>日历日之内交货至供货地点。</w:t>
      </w:r>
    </w:p>
    <w:p w14:paraId="67760ED3">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60</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个日历日之内安装调试完毕，具备加工能力。</w:t>
      </w:r>
    </w:p>
    <w:p w14:paraId="7565953D">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投标方应当提供详细的工期计划。</w:t>
      </w:r>
    </w:p>
    <w:p w14:paraId="7D3687DB">
      <w:pPr>
        <w:pageBreakBefore w:val="0"/>
        <w:widowControl w:val="0"/>
        <w:numPr>
          <w:ilvl w:val="0"/>
          <w:numId w:val="25"/>
        </w:numPr>
        <w:tabs>
          <w:tab w:val="left" w:pos="1080"/>
        </w:tabs>
        <w:kinsoku/>
        <w:wordWrap/>
        <w:topLinePunct w:val="0"/>
        <w:autoSpaceDE/>
        <w:autoSpaceDN/>
        <w:bidi w:val="0"/>
        <w:spacing w:line="360" w:lineRule="auto"/>
        <w:textAlignment w:val="auto"/>
        <w:outlineLvl w:val="2"/>
        <w:rPr>
          <w:rFonts w:hint="eastAsia" w:ascii="宋体" w:hAnsi="宋体" w:eastAsia="宋体" w:cs="宋体"/>
          <w:sz w:val="24"/>
          <w:szCs w:val="24"/>
          <w:highlight w:val="none"/>
        </w:rPr>
      </w:pPr>
      <w:r>
        <w:rPr>
          <w:rFonts w:hint="eastAsia" w:ascii="宋体" w:hAnsi="宋体" w:eastAsia="宋体" w:cs="宋体"/>
          <w:sz w:val="24"/>
          <w:szCs w:val="24"/>
          <w:highlight w:val="none"/>
        </w:rPr>
        <w:t>质保期及质保要求</w:t>
      </w:r>
    </w:p>
    <w:p w14:paraId="23BF51C2">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1、全部供货范围内的设备、材料、零配件和工器具等，除合同特别约定外，其质保期均自终验收签字生效之日起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lang w:val="en-US" w:eastAsia="zh-CN"/>
        </w:rPr>
        <w:t>24</w:t>
      </w:r>
      <w:r>
        <w:rPr>
          <w:rFonts w:hint="eastAsia" w:ascii="宋体" w:hAnsi="宋体" w:eastAsia="宋体" w:cs="宋体"/>
          <w:sz w:val="24"/>
          <w:szCs w:val="24"/>
          <w:highlight w:val="none"/>
        </w:rPr>
        <w:t>个月，电气控制部分</w:t>
      </w:r>
      <w:r>
        <w:rPr>
          <w:rFonts w:hint="eastAsia" w:ascii="宋体" w:hAnsi="宋体" w:eastAsia="宋体" w:cs="宋体"/>
          <w:sz w:val="24"/>
          <w:szCs w:val="24"/>
          <w:highlight w:val="none"/>
          <w:u w:val="single"/>
          <w:shd w:val="pct10" w:color="auto" w:fill="FFFFFF"/>
          <w:lang w:val="en-US" w:eastAsia="zh-CN"/>
        </w:rPr>
        <w:t>24</w:t>
      </w:r>
      <w:r>
        <w:rPr>
          <w:rFonts w:hint="eastAsia" w:ascii="宋体" w:hAnsi="宋体" w:eastAsia="宋体" w:cs="宋体"/>
          <w:sz w:val="24"/>
          <w:szCs w:val="24"/>
        </w:rPr>
        <w:t>个月。</w:t>
      </w:r>
    </w:p>
    <w:p w14:paraId="6C26DC53">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58E17FD4">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0F2224A">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2、质保期之内，如果货物（或生产线）出现设备、总成、关键零部件或者多处一般零部件的更换或维修行为，则质保期自更换或维修行为结束、货物（或生产线）重新正常运行使用之日起重新计算。</w:t>
      </w:r>
    </w:p>
    <w:p w14:paraId="4EBC9501">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05E8FDC8">
      <w:pPr>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71AF8BC7">
      <w:pPr>
        <w:pageBreakBefore w:val="0"/>
        <w:widowControl w:val="0"/>
        <w:numPr>
          <w:ilvl w:val="0"/>
          <w:numId w:val="25"/>
        </w:numPr>
        <w:tabs>
          <w:tab w:val="left" w:pos="1080"/>
        </w:tabs>
        <w:kinsoku/>
        <w:wordWrap/>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包装</w:t>
      </w:r>
    </w:p>
    <w:p w14:paraId="1EFDC9B0">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4D6F3DF">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66066B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4D5B36E">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20E02F1">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381E9EC4">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6、每个包装箱应有明显标志，并具有中文书写的合同号、装运标志、发货和到货地点名称、发货人和收货人名称、货物（或生产线）名称和项目号、箱号和外型尺寸等内容。</w:t>
      </w:r>
    </w:p>
    <w:p w14:paraId="6366B93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1E7D280E">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3EE9F47">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0CCCA5A">
      <w:pPr>
        <w:pageBreakBefore w:val="0"/>
        <w:widowControl w:val="0"/>
        <w:numPr>
          <w:ilvl w:val="0"/>
          <w:numId w:val="25"/>
        </w:numPr>
        <w:tabs>
          <w:tab w:val="left" w:pos="1080"/>
        </w:tabs>
        <w:kinsoku/>
        <w:wordWrap/>
        <w:topLinePunct w:val="0"/>
        <w:autoSpaceDE/>
        <w:autoSpaceDN/>
        <w:bidi w:val="0"/>
        <w:spacing w:line="360" w:lineRule="auto"/>
        <w:textAlignment w:val="auto"/>
        <w:outlineLvl w:val="2"/>
        <w:rPr>
          <w:rFonts w:hint="eastAsia" w:ascii="宋体" w:hAnsi="宋体" w:eastAsia="宋体" w:cs="宋体"/>
          <w:sz w:val="24"/>
          <w:szCs w:val="24"/>
        </w:rPr>
      </w:pPr>
      <w:r>
        <w:rPr>
          <w:rFonts w:hint="eastAsia" w:ascii="宋体" w:hAnsi="宋体" w:eastAsia="宋体" w:cs="宋体"/>
          <w:sz w:val="24"/>
          <w:szCs w:val="24"/>
        </w:rPr>
        <w:t>运输</w:t>
      </w:r>
    </w:p>
    <w:p w14:paraId="50FD579C">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b/>
          <w:i/>
          <w:sz w:val="24"/>
          <w:szCs w:val="24"/>
        </w:rPr>
      </w:pPr>
      <w:r>
        <w:rPr>
          <w:rFonts w:hint="eastAsia" w:ascii="宋体" w:hAnsi="宋体" w:eastAsia="宋体" w:cs="宋体"/>
          <w:sz w:val="24"/>
          <w:szCs w:val="24"/>
        </w:rPr>
        <w:t>1、应负责将货物（或设备）运到目的地，并做到货物（或设备）在任何运输过程中不受损坏和遗失。</w:t>
      </w:r>
    </w:p>
    <w:p w14:paraId="2FE2D80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5A38A9B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6B81D74">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199A563C">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FF"/>
          <w:sz w:val="24"/>
          <w:szCs w:val="24"/>
        </w:rPr>
      </w:pPr>
      <w:r>
        <w:rPr>
          <w:rFonts w:hint="eastAsia" w:ascii="宋体" w:hAnsi="宋体" w:eastAsia="宋体" w:cs="宋体"/>
          <w:sz w:val="24"/>
          <w:szCs w:val="24"/>
        </w:rPr>
        <w:t>5、货物（或设备）运抵交货地点后，</w:t>
      </w:r>
      <w:r>
        <w:rPr>
          <w:rFonts w:hint="eastAsia" w:ascii="宋体" w:hAnsi="宋体" w:eastAsia="宋体" w:cs="宋体"/>
          <w:color w:val="0000FF"/>
          <w:sz w:val="24"/>
          <w:szCs w:val="24"/>
        </w:rPr>
        <w:t>投标方应负责货物（或设备）的卸货、搬运、保管等事宜；或按照合同约定。</w:t>
      </w:r>
    </w:p>
    <w:p w14:paraId="082CE936">
      <w:pPr>
        <w:pStyle w:val="2"/>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14" w:name="_Toc137705872"/>
      <w:bookmarkStart w:id="115" w:name="_Toc227726377"/>
      <w:bookmarkStart w:id="116" w:name="_Toc257037892"/>
      <w:bookmarkStart w:id="117" w:name="_Toc227726582"/>
      <w:bookmarkStart w:id="118" w:name="_Toc257033764"/>
      <w:bookmarkStart w:id="119" w:name="_Toc127880422"/>
      <w:r>
        <w:rPr>
          <w:rFonts w:hint="eastAsia" w:ascii="宋体" w:hAnsi="宋体" w:eastAsia="宋体" w:cs="宋体"/>
          <w:b w:val="0"/>
          <w:sz w:val="24"/>
          <w:szCs w:val="24"/>
        </w:rPr>
        <w:t>第四章  售中售后服务</w:t>
      </w:r>
      <w:bookmarkEnd w:id="114"/>
      <w:bookmarkEnd w:id="115"/>
      <w:bookmarkEnd w:id="116"/>
      <w:bookmarkEnd w:id="117"/>
      <w:bookmarkEnd w:id="118"/>
      <w:bookmarkEnd w:id="119"/>
    </w:p>
    <w:p w14:paraId="5F104D9E">
      <w:pPr>
        <w:pageBreakBefore w:val="0"/>
        <w:widowControl w:val="0"/>
        <w:numPr>
          <w:ilvl w:val="0"/>
          <w:numId w:val="26"/>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0" w:name="_Toc127880423"/>
      <w:r>
        <w:rPr>
          <w:rFonts w:hint="eastAsia" w:ascii="宋体" w:hAnsi="宋体" w:eastAsia="宋体" w:cs="宋体"/>
          <w:sz w:val="24"/>
          <w:szCs w:val="24"/>
        </w:rPr>
        <w:t>技术及培训服务</w:t>
      </w:r>
      <w:bookmarkEnd w:id="120"/>
    </w:p>
    <w:p w14:paraId="040BA2F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1、应负责对招标方至少</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名技术、维修和操作人员在招标方货物（或生产线）使用现场，提供不少于</w:t>
      </w:r>
      <w:r>
        <w:rPr>
          <w:rFonts w:hint="eastAsia" w:ascii="宋体" w:hAnsi="宋体" w:eastAsia="宋体" w:cs="宋体"/>
          <w:sz w:val="24"/>
          <w:szCs w:val="24"/>
          <w:u w:val="single"/>
          <w:shd w:val="pct10" w:color="auto" w:fill="FFFFFF"/>
        </w:rPr>
        <w:t xml:space="preserve">   1   </w:t>
      </w:r>
      <w:r>
        <w:rPr>
          <w:rFonts w:hint="eastAsia" w:ascii="宋体" w:hAnsi="宋体" w:eastAsia="宋体" w:cs="宋体"/>
          <w:sz w:val="24"/>
          <w:szCs w:val="24"/>
        </w:rPr>
        <w:t>个日历日的免费理论、技术和操作、维修等方面的技术指导和培训。</w:t>
      </w:r>
    </w:p>
    <w:p w14:paraId="6EB8F1E3">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2、应负责在招标方货物（或生产线）使用现场，接受招标方有关人员的技术咨询。</w:t>
      </w:r>
    </w:p>
    <w:p w14:paraId="0D6A860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3、应免费提供一定数量的培训资料。</w:t>
      </w:r>
    </w:p>
    <w:p w14:paraId="2E7980E6">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4、应按要求免费积极协助和提供招标方以及招标方所委托的工程设计单位有关人员所需要的、与货物（或生产线）有关的工程设计资料、技术咨询等。</w:t>
      </w:r>
    </w:p>
    <w:p w14:paraId="40D61F4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5、若投标方提供的货物（或生产线）涉及到外购外协货物、而且该货物的技术质量等较为关键时，投标方应能保证得到配套厂家的技术支持，并免费为招标方提供技术服务。</w:t>
      </w:r>
    </w:p>
    <w:p w14:paraId="2644068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3EAB5CA">
      <w:pPr>
        <w:pageBreakBefore w:val="0"/>
        <w:widowControl w:val="0"/>
        <w:numPr>
          <w:ilvl w:val="0"/>
          <w:numId w:val="26"/>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1" w:name="_Toc127880424"/>
      <w:r>
        <w:rPr>
          <w:rFonts w:hint="eastAsia" w:ascii="宋体" w:hAnsi="宋体" w:eastAsia="宋体" w:cs="宋体"/>
          <w:sz w:val="24"/>
          <w:szCs w:val="24"/>
        </w:rPr>
        <w:t>安装调试及验收服务</w:t>
      </w:r>
      <w:bookmarkEnd w:id="121"/>
    </w:p>
    <w:p w14:paraId="3C00A80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93E8933">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2、若投标方提供的货物（或生产线）涉及到外购外协货物、而且该货物的技术质量等较为关键时，应保证能得到供应商的技术支持，并免费为招标方提供安装使用现场的指导与培训。</w:t>
      </w:r>
    </w:p>
    <w:p w14:paraId="4FD432CD">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货物（或生产线）的要求，调试及验收可分空载和负载两个阶段进行；招标方将积极协助投标方达到货物（或生产线）的各项技术指标和性能要求。投标方在招标方现场进行的货物的安装、调试和试运行，招标方有权参与，投标方应无条件向招标方提供现场记录和试运行数据及报告。</w:t>
      </w:r>
    </w:p>
    <w:p w14:paraId="7EC3D33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0C483F9">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4FB3BD69">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09E82B1E">
      <w:pPr>
        <w:pageBreakBefore w:val="0"/>
        <w:widowControl w:val="0"/>
        <w:numPr>
          <w:ilvl w:val="0"/>
          <w:numId w:val="26"/>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2" w:name="_Toc127880425"/>
      <w:r>
        <w:rPr>
          <w:rFonts w:hint="eastAsia" w:ascii="宋体" w:hAnsi="宋体" w:eastAsia="宋体" w:cs="宋体"/>
          <w:sz w:val="24"/>
          <w:szCs w:val="24"/>
        </w:rPr>
        <w:t>售后服务</w:t>
      </w:r>
      <w:bookmarkEnd w:id="122"/>
    </w:p>
    <w:p w14:paraId="1C64C6ED">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1、投标方提供的货物（或生产线）涉及的所有售后服务均由投标方负责。如果发生问题并且收到通知，投标方应当在2小时内予以答复。</w:t>
      </w:r>
    </w:p>
    <w:p w14:paraId="42C1A740">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2、如发现所提供的货物（或生产线）存在问题，需要投标方解决或配合解决时：在质保期之内，应在接到通知后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14:paraId="2216B5A7">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53B50D38">
      <w:pPr>
        <w:pageBreakBefore w:val="0"/>
        <w:widowControl w:val="0"/>
        <w:numPr>
          <w:ilvl w:val="0"/>
          <w:numId w:val="26"/>
        </w:numPr>
        <w:tabs>
          <w:tab w:val="left" w:pos="1080"/>
        </w:tabs>
        <w:kinsoku/>
        <w:wordWrap/>
        <w:topLinePunct w:val="0"/>
        <w:autoSpaceDE/>
        <w:autoSpaceDN/>
        <w:bidi w:val="0"/>
        <w:spacing w:before="156" w:beforeLines="50" w:after="156" w:afterLines="50" w:line="360" w:lineRule="auto"/>
        <w:ind w:left="902"/>
        <w:textAlignment w:val="auto"/>
        <w:outlineLvl w:val="1"/>
        <w:rPr>
          <w:rFonts w:hint="eastAsia" w:ascii="宋体" w:hAnsi="宋体" w:eastAsia="宋体" w:cs="宋体"/>
          <w:sz w:val="24"/>
          <w:szCs w:val="24"/>
        </w:rPr>
      </w:pPr>
      <w:bookmarkStart w:id="123" w:name="_Toc127880426"/>
      <w:r>
        <w:rPr>
          <w:rFonts w:hint="eastAsia" w:ascii="宋体" w:hAnsi="宋体" w:eastAsia="宋体" w:cs="宋体"/>
          <w:sz w:val="24"/>
          <w:szCs w:val="24"/>
        </w:rPr>
        <w:t>其它服务</w:t>
      </w:r>
      <w:bookmarkEnd w:id="123"/>
    </w:p>
    <w:p w14:paraId="06B5442A">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1、若投标方所提供货物（或生产线）有需要进口的，投标方一般应自行、自费办理；必要时，买卖双方共同办理。</w:t>
      </w:r>
    </w:p>
    <w:p w14:paraId="1EC86D9D">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2、除招标文件、投标文件、答疑文件、技术协议、合同等约定之外，投标方应免费负责必要的或强制性的货物（或生产线）的检验、试验、化验等直接费用。</w:t>
      </w:r>
    </w:p>
    <w:p w14:paraId="3980413D">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4577E61C">
      <w:pPr>
        <w:pStyle w:val="2"/>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24" w:name="_Toc137705873"/>
      <w:bookmarkStart w:id="125" w:name="_Toc257037893"/>
      <w:bookmarkStart w:id="126" w:name="_Toc257033765"/>
      <w:bookmarkStart w:id="127" w:name="_Toc227726378"/>
      <w:bookmarkStart w:id="128" w:name="_Toc127880427"/>
      <w:bookmarkStart w:id="129" w:name="_Toc227726583"/>
      <w:r>
        <w:rPr>
          <w:rFonts w:hint="eastAsia" w:ascii="宋体" w:hAnsi="宋体" w:eastAsia="宋体" w:cs="宋体"/>
          <w:b w:val="0"/>
          <w:sz w:val="24"/>
          <w:szCs w:val="24"/>
        </w:rPr>
        <w:t>第五章  预验收和终验收</w:t>
      </w:r>
      <w:bookmarkEnd w:id="124"/>
      <w:bookmarkEnd w:id="125"/>
      <w:bookmarkEnd w:id="126"/>
      <w:bookmarkEnd w:id="127"/>
      <w:bookmarkEnd w:id="128"/>
      <w:bookmarkEnd w:id="129"/>
    </w:p>
    <w:p w14:paraId="16AD1DBC">
      <w:pPr>
        <w:pageBreakBefore w:val="0"/>
        <w:widowControl w:val="0"/>
        <w:numPr>
          <w:ilvl w:val="0"/>
          <w:numId w:val="27"/>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0" w:name="_Toc127880428"/>
      <w:r>
        <w:rPr>
          <w:rFonts w:hint="eastAsia" w:ascii="宋体" w:hAnsi="宋体" w:eastAsia="宋体" w:cs="宋体"/>
          <w:sz w:val="24"/>
          <w:szCs w:val="24"/>
        </w:rPr>
        <w:t>验收的一般约定</w:t>
      </w:r>
      <w:bookmarkEnd w:id="130"/>
    </w:p>
    <w:p w14:paraId="7A202227">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w:t>
      </w:r>
    </w:p>
    <w:p w14:paraId="25AE3D5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06606203">
      <w:pPr>
        <w:pageBreakBefore w:val="0"/>
        <w:widowControl w:val="0"/>
        <w:numPr>
          <w:ilvl w:val="0"/>
          <w:numId w:val="27"/>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1" w:name="_Toc127880429"/>
      <w:r>
        <w:rPr>
          <w:rFonts w:hint="eastAsia" w:ascii="宋体" w:hAnsi="宋体" w:eastAsia="宋体" w:cs="宋体"/>
          <w:sz w:val="24"/>
          <w:szCs w:val="24"/>
        </w:rPr>
        <w:t>检验</w:t>
      </w:r>
      <w:bookmarkEnd w:id="131"/>
    </w:p>
    <w:p w14:paraId="038A3FD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1、国产货物（或生产线）的检验由买卖双方按照合同要求或在制造现场进行。</w:t>
      </w:r>
    </w:p>
    <w:p w14:paraId="6B9C7A87">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2、进口货物（或生产线）的检验，投标方需要按照下述要求进行：</w:t>
      </w:r>
    </w:p>
    <w:p w14:paraId="64B7B74F">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进口货物（或生产线）发货前，应对货物（或生产线）的质量、型号、规格、性能和数量/重量作精密、全面的检验，并出具证明书，证明所供货物（或生产线）符合合同规定。</w:t>
      </w:r>
    </w:p>
    <w:p w14:paraId="07844C1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应依据合同规定的要求，提供买卖双方达成一致的货物（或生产线）的验收标准和装箱单，作为招标方检验的依据。</w:t>
      </w:r>
    </w:p>
    <w:p w14:paraId="64B541CE">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进口货物（或生产线）到达目的地后，招标方有权申请中国商品检验检疫局进行检验，如发现货物（或生产线）的品质及规格与合同或发票不符，除招标方的责任外，招标方有权在货物（或生产线）到达卸货目的地后180个日历日内，根据中国商品检验检疫局出具的证明书向投标方提出索赔，因索赔所发生的一切费用(包括检验检疫费等)均由投标方承担。</w:t>
      </w:r>
    </w:p>
    <w:p w14:paraId="6A351C4C">
      <w:pPr>
        <w:pageBreakBefore w:val="0"/>
        <w:widowControl w:val="0"/>
        <w:numPr>
          <w:ilvl w:val="0"/>
          <w:numId w:val="27"/>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2" w:name="_Toc127880430"/>
      <w:r>
        <w:rPr>
          <w:rFonts w:hint="eastAsia" w:ascii="宋体" w:hAnsi="宋体" w:eastAsia="宋体" w:cs="宋体"/>
          <w:sz w:val="24"/>
          <w:szCs w:val="24"/>
        </w:rPr>
        <w:t>验收基本条件</w:t>
      </w:r>
      <w:bookmarkEnd w:id="132"/>
    </w:p>
    <w:p w14:paraId="786607B4">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一般分预验收和终验收，预验收一般在卖方现场进行；终验收在安装调试完成及试运行后的招标方现场进行。但是所有的项目，包括不能预验收的项目和预验收通过的项目都在终验收时重新检验，最终只以终验收为准。</w:t>
      </w:r>
    </w:p>
    <w:p w14:paraId="2E3ED6FA">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买卖双方按照合同约定执行了合同，同时货物（或生产线）完成了试运行并经检验合格，则具备验收条件。</w:t>
      </w:r>
    </w:p>
    <w:p w14:paraId="5A7DA626">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1、预验收一般条件</w:t>
      </w:r>
    </w:p>
    <w:p w14:paraId="472A6D51">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14:paraId="58942023">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  夹具应运行稳定、可靠、安全，无非正常变形，非正常振动，无异常声音；无漏水、漏液、漏气（汽）、漏电等现象。运动的零部件动作平稳、灵活运动准确。</w:t>
      </w:r>
    </w:p>
    <w:p w14:paraId="5CA893E7">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  夹具应完整且所有的零部件应该安装牢固，外观无损伤，所有的焊缝饱满、无残渣等缺陷。</w:t>
      </w:r>
    </w:p>
    <w:p w14:paraId="31CA10C6">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  一般情况下，所有的管路和线缆等，接头应完全正确、可靠地联接；应排列有序（正确、牢固、整齐），有必要的防护，无皱褶、收缩和裂缝等不良现象。</w:t>
      </w:r>
    </w:p>
    <w:p w14:paraId="28B96C23">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  夹具的润滑系统工作正常、可靠，润滑点易于到达。</w:t>
      </w:r>
    </w:p>
    <w:p w14:paraId="7BA3FF10">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  使用的压力容器、电气等应具备合格证（如果有压力容器）。</w:t>
      </w:r>
    </w:p>
    <w:p w14:paraId="79F4B8F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  夹具的油漆质量应饱满、有光泽，无掉漆、无色差、无“桔皮”等不良现象（特殊标志除外）。</w:t>
      </w:r>
    </w:p>
    <w:p w14:paraId="0A5A4FF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  夹具标牌完整、清晰、明确。</w:t>
      </w:r>
    </w:p>
    <w:p w14:paraId="59A1907C">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  地线联接和地极符合国际（ISO/IEC）标准规范。</w:t>
      </w:r>
    </w:p>
    <w:p w14:paraId="59A3DB46">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1.10  夹具的安全要求符合中国最新的相关法律、法规、标准和规范以及合同要求。</w:t>
      </w:r>
    </w:p>
    <w:p w14:paraId="6AA353A5">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2、终验收一般条件</w:t>
      </w:r>
    </w:p>
    <w:p w14:paraId="583A7A55">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781C996A">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货物（或生产线）安装调试完毕，并至少经过了验收要求的负荷试运行。</w:t>
      </w:r>
    </w:p>
    <w:p w14:paraId="0FF02CD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3.2.3  货物（或生产线）正常运行时，噪声等环境影响因素满足国家和当地环保主管部门规定或相关合同、技术协议的要求。安全措施落实、有效。</w:t>
      </w:r>
    </w:p>
    <w:p w14:paraId="2EF8805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14:paraId="02B35FD0">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2CF50EF9">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2.6  货物（或生产线）质量、技术性能等，达到签定的技术协议书和合同规定的终验收标准。</w:t>
      </w:r>
    </w:p>
    <w:p w14:paraId="2E83DD18">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3、终验收基本要求</w:t>
      </w:r>
    </w:p>
    <w:p w14:paraId="571695F7">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  货物（或生产线）允许情况下，一般先连续空运转</w:t>
      </w:r>
      <w:r>
        <w:rPr>
          <w:rFonts w:hint="eastAsia" w:ascii="宋体" w:hAnsi="宋体" w:eastAsia="宋体" w:cs="宋体"/>
          <w:sz w:val="24"/>
          <w:szCs w:val="24"/>
          <w:u w:val="single"/>
          <w:shd w:val="pct10" w:color="auto" w:fill="FFFFFF"/>
        </w:rPr>
        <w:t xml:space="preserve">   4   </w:t>
      </w:r>
      <w:r>
        <w:rPr>
          <w:rFonts w:hint="eastAsia" w:ascii="宋体" w:hAnsi="宋体" w:eastAsia="宋体" w:cs="宋体"/>
          <w:sz w:val="24"/>
          <w:szCs w:val="24"/>
        </w:rPr>
        <w:t>小时，然后再进行负荷运行（无需进行空载运行的除外）。</w:t>
      </w:r>
    </w:p>
    <w:p w14:paraId="4DC4B834">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3.2  负荷运行时，货物（或生产线）应连续运行</w:t>
      </w:r>
      <w:r>
        <w:rPr>
          <w:rFonts w:hint="eastAsia" w:ascii="宋体" w:hAnsi="宋体" w:eastAsia="宋体" w:cs="宋体"/>
          <w:sz w:val="24"/>
          <w:szCs w:val="24"/>
          <w:u w:val="single"/>
          <w:shd w:val="pct10" w:color="auto" w:fill="FFFFFF"/>
        </w:rPr>
        <w:t xml:space="preserve">   7   </w:t>
      </w:r>
      <w:r>
        <w:rPr>
          <w:rFonts w:hint="eastAsia" w:ascii="宋体" w:hAnsi="宋体" w:eastAsia="宋体" w:cs="宋体"/>
          <w:sz w:val="24"/>
          <w:szCs w:val="24"/>
        </w:rPr>
        <w:t>天，每天按三班工作制进行。</w:t>
      </w:r>
    </w:p>
    <w:p w14:paraId="721D1364">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  进行设备能力评价，每个工位数量不少于30件。</w:t>
      </w:r>
    </w:p>
    <w:p w14:paraId="4B5F922F">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  出现下列问题之一，视作验收失败：</w:t>
      </w:r>
    </w:p>
    <w:p w14:paraId="5077B70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14:paraId="34B7D8F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5    </w:t>
      </w:r>
      <w:r>
        <w:rPr>
          <w:rFonts w:hint="eastAsia" w:ascii="宋体" w:hAnsi="宋体" w:eastAsia="宋体" w:cs="宋体"/>
          <w:sz w:val="24"/>
          <w:szCs w:val="24"/>
        </w:rPr>
        <w:t>次；</w:t>
      </w:r>
    </w:p>
    <w:p w14:paraId="1C258192">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10    </w:t>
      </w:r>
      <w:r>
        <w:rPr>
          <w:rFonts w:hint="eastAsia" w:ascii="宋体" w:hAnsi="宋体" w:eastAsia="宋体" w:cs="宋体"/>
          <w:sz w:val="24"/>
          <w:szCs w:val="24"/>
        </w:rPr>
        <w:t>%；</w:t>
      </w:r>
    </w:p>
    <w:p w14:paraId="04B51D9E">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1F860296">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3.4  累计负载运行实际性能（或生产率）达到合同规定；</w:t>
      </w:r>
    </w:p>
    <w:p w14:paraId="44752FD1">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  终验收原则上要求一次完成。若一次验收不成功，最多允许两次；如果出现第三次验收失败，重新作价或退货；</w:t>
      </w:r>
    </w:p>
    <w:p w14:paraId="3899D221">
      <w:pPr>
        <w:pStyle w:val="2"/>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33" w:name="_Toc127880431"/>
      <w:bookmarkStart w:id="134" w:name="_Toc257033766"/>
      <w:bookmarkStart w:id="135" w:name="_Toc257037894"/>
      <w:bookmarkStart w:id="136" w:name="_Toc227726379"/>
      <w:bookmarkStart w:id="137" w:name="_Toc227726584"/>
      <w:bookmarkStart w:id="138" w:name="_Toc137705874"/>
      <w:r>
        <w:rPr>
          <w:rFonts w:hint="eastAsia" w:ascii="宋体" w:hAnsi="宋体" w:eastAsia="宋体" w:cs="宋体"/>
          <w:b w:val="0"/>
          <w:sz w:val="24"/>
          <w:szCs w:val="24"/>
        </w:rPr>
        <w:t>第六章  投标技术文件要求</w:t>
      </w:r>
      <w:bookmarkEnd w:id="133"/>
      <w:bookmarkEnd w:id="134"/>
      <w:bookmarkEnd w:id="135"/>
      <w:bookmarkEnd w:id="136"/>
      <w:bookmarkEnd w:id="137"/>
      <w:bookmarkEnd w:id="138"/>
    </w:p>
    <w:p w14:paraId="3BA75EBE">
      <w:pPr>
        <w:pageBreakBefore w:val="0"/>
        <w:widowControl w:val="0"/>
        <w:numPr>
          <w:ilvl w:val="0"/>
          <w:numId w:val="28"/>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39" w:name="_Toc127880432"/>
      <w:r>
        <w:rPr>
          <w:rFonts w:hint="eastAsia" w:ascii="宋体" w:hAnsi="宋体" w:eastAsia="宋体" w:cs="宋体"/>
          <w:sz w:val="24"/>
          <w:szCs w:val="24"/>
        </w:rPr>
        <w:t>技术文件一般内容要求</w:t>
      </w:r>
      <w:bookmarkEnd w:id="139"/>
    </w:p>
    <w:p w14:paraId="2F44AEB8">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2DBE4577">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2、投标技术文件至少应对投标货物（或生产线）的功能用途、技术性能、质量标准、技术参数等作出详细说明。</w:t>
      </w:r>
    </w:p>
    <w:p w14:paraId="0500F25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3、投标技术文件至少应根据投标货物（或生产线）的关键设备、总成、零部件或系统作出优越性说明。</w:t>
      </w:r>
    </w:p>
    <w:p w14:paraId="0DBFF7D2">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72D4B040">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5、投标方应当而且分别说明所列备品备件、易损件和专用耗材的使用寿命（以有效工作小时数说明）。</w:t>
      </w:r>
    </w:p>
    <w:p w14:paraId="1F10F756">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6、投标的货物（或生产线），应当根据其配置和备品备件、易损件、专用耗材情况，尽可能详细且分类填入下表：</w:t>
      </w:r>
    </w:p>
    <w:p w14:paraId="44AC8D3E">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投标货物（或生产线）配置一览表：</w:t>
      </w:r>
    </w:p>
    <w:p w14:paraId="1EE04596">
      <w:pPr>
        <w:pageBreakBefore w:val="0"/>
        <w:widowControl w:val="0"/>
        <w:kinsoku/>
        <w:wordWrap/>
        <w:topLinePunct w:val="0"/>
        <w:autoSpaceDE/>
        <w:autoSpaceDN/>
        <w:bidi w:val="0"/>
        <w:adjustRightInd w:val="0"/>
        <w:snapToGrid w:val="0"/>
        <w:spacing w:line="360" w:lineRule="auto"/>
        <w:ind w:firstLine="2160" w:firstLineChars="900"/>
        <w:textAlignment w:val="auto"/>
        <w:rPr>
          <w:rFonts w:hint="eastAsia" w:ascii="宋体" w:hAnsi="宋体" w:eastAsia="宋体" w:cs="宋体"/>
          <w:sz w:val="24"/>
          <w:szCs w:val="24"/>
        </w:rPr>
      </w:pPr>
      <w:r>
        <w:rPr>
          <w:rFonts w:hint="eastAsia" w:ascii="宋体" w:hAnsi="宋体" w:eastAsia="宋体" w:cs="宋体"/>
          <w:sz w:val="24"/>
          <w:szCs w:val="24"/>
        </w:rPr>
        <w:t>投标货物（或生产线）配置一览表          单位：元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E21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57F70D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1E4C7680">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54C244B6">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1B8DA2DE">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55BDF7EA">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02A6C94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0F2493A7">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4161AB6A">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制造商</w:t>
            </w:r>
          </w:p>
        </w:tc>
      </w:tr>
      <w:tr w14:paraId="1B06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B5D06E0">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067C9977">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560A2FCF">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6F015234">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9E47BBA">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B603C5C">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28C922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0CB36F2D">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48A4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D84F642">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4C00348E">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1039E976">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085D015A">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64A079BB">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68969C23">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2EF7F48">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06E8183D">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0ACC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2B6325F">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7B13DED6">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6660D5A8">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22662541">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152C74C">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E0F9DA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4AF3607">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398AAA6F">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32F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5F35126">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486988F5">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13F22E46">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0B78137F">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FA2606C">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B717207">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49F85A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7E7DCEE0">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1CB0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8673AE5">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56A9CD94">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2573C245">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2281251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64D2B8EF">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F809ECC">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36F8863">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2A2E1F28">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362E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3E1CC6A">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0E097B53">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64715002">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3F3E9E5E">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ABDF593">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947FF54">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76EABB60">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0EA1A73E">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bl>
    <w:p w14:paraId="3A69105D">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  备品备件、易损件和专用耗材明细表：</w:t>
      </w:r>
    </w:p>
    <w:p w14:paraId="210C8C49">
      <w:pPr>
        <w:pageBreakBefore w:val="0"/>
        <w:widowControl w:val="0"/>
        <w:kinsoku/>
        <w:wordWrap/>
        <w:topLinePunct w:val="0"/>
        <w:autoSpaceDE/>
        <w:autoSpaceDN/>
        <w:bidi w:val="0"/>
        <w:adjustRightInd w:val="0"/>
        <w:snapToGrid w:val="0"/>
        <w:spacing w:line="360" w:lineRule="auto"/>
        <w:ind w:firstLine="2160" w:firstLineChars="900"/>
        <w:textAlignment w:val="auto"/>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628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A84C286">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66B79F50">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5C817664">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3A3E5A6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6E0E472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5A2E5642">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45AABBE5">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67586A1C">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制造商</w:t>
            </w:r>
          </w:p>
        </w:tc>
      </w:tr>
      <w:tr w14:paraId="463A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48070E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0FF23D9F">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050C8C57">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7CE880D2">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52B3ABB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5197761">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7AAE1F5">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20DA5CB0">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7AF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5A01085">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3253A9B2">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3E494B7F">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69F9BA28">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043D3F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A4C7405">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6A50B00">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2DDFD145">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5688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5D6D262">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2DA475F6">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4EB0B515">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28E20A8B">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ED22EAE">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08808137">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DAEB671">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7215CF13">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691D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5E8179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3696E464">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3296A702">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0A43AEB6">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6B8D49C8">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E8D4570">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1F4786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01A5A5E5">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11F1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86D994F">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6A6997E2">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6762F7CE">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7FA0B6B8">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3D8BBF6E">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24FAA43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4CD41BCE">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684CFA6B">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r w14:paraId="60F2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7931EAD">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1924" w:type="dxa"/>
            <w:noWrap w:val="0"/>
            <w:vAlign w:val="top"/>
          </w:tcPr>
          <w:p w14:paraId="6F7B9ABB">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1236" w:type="dxa"/>
            <w:noWrap w:val="0"/>
            <w:vAlign w:val="top"/>
          </w:tcPr>
          <w:p w14:paraId="0A773437">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c>
          <w:tcPr>
            <w:tcW w:w="720" w:type="dxa"/>
            <w:noWrap w:val="0"/>
            <w:vAlign w:val="top"/>
          </w:tcPr>
          <w:p w14:paraId="7A2E16F9">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162E7537">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7FF51FAB">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720" w:type="dxa"/>
            <w:noWrap w:val="0"/>
            <w:vAlign w:val="top"/>
          </w:tcPr>
          <w:p w14:paraId="6FFE22E5">
            <w:pPr>
              <w:pageBreakBefore w:val="0"/>
              <w:widowControl w:val="0"/>
              <w:kinsoku/>
              <w:wordWrap/>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p>
        </w:tc>
        <w:tc>
          <w:tcPr>
            <w:tcW w:w="2235" w:type="dxa"/>
            <w:noWrap w:val="0"/>
            <w:vAlign w:val="top"/>
          </w:tcPr>
          <w:p w14:paraId="04AC06CF">
            <w:pPr>
              <w:pageBreakBefore w:val="0"/>
              <w:widowControl w:val="0"/>
              <w:kinsoku/>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tc>
      </w:tr>
    </w:tbl>
    <w:p w14:paraId="4E6E4685">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6.2.1 报价时提供</w:t>
      </w:r>
      <w:r>
        <w:rPr>
          <w:rFonts w:hint="eastAsia" w:ascii="宋体" w:hAnsi="宋体" w:eastAsia="宋体" w:cs="宋体"/>
          <w:sz w:val="24"/>
          <w:szCs w:val="24"/>
          <w:lang w:eastAsia="zh-CN"/>
        </w:rPr>
        <w:t>设备</w:t>
      </w:r>
      <w:r>
        <w:rPr>
          <w:rFonts w:hint="eastAsia" w:ascii="宋体" w:hAnsi="宋体" w:eastAsia="宋体" w:cs="宋体"/>
          <w:sz w:val="24"/>
          <w:szCs w:val="24"/>
        </w:rPr>
        <w:t>总价2%的随机备件及易损件，报价保持3年不变。</w:t>
      </w:r>
    </w:p>
    <w:p w14:paraId="55860E03">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6.2.2 投标方应提前将备件及易损件清单发给招标方，供招标方选择。</w:t>
      </w:r>
    </w:p>
    <w:p w14:paraId="2F4A95FB">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6.2.3 备件及易损件需在终验收前提供。</w:t>
      </w:r>
    </w:p>
    <w:p w14:paraId="27A6FA1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14:paraId="381BDD7C">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  应当尽可能将货物（或生产线）的配置列全、列细，这将有助于投标方胜出。</w:t>
      </w:r>
    </w:p>
    <w:p w14:paraId="057385F6">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14:paraId="548CC7FD">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14:paraId="36DB87F1">
      <w:pPr>
        <w:pageBreakBefore w:val="0"/>
        <w:widowControl w:val="0"/>
        <w:numPr>
          <w:ilvl w:val="0"/>
          <w:numId w:val="28"/>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0" w:name="_Toc127880433"/>
      <w:r>
        <w:rPr>
          <w:rFonts w:hint="eastAsia" w:ascii="宋体" w:hAnsi="宋体" w:eastAsia="宋体" w:cs="宋体"/>
          <w:sz w:val="24"/>
          <w:szCs w:val="24"/>
        </w:rPr>
        <w:t>技术文件中货物（或生产线）报价格式要求</w:t>
      </w:r>
      <w:bookmarkEnd w:id="140"/>
    </w:p>
    <w:p w14:paraId="50E6A413">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货物（或生产线）配置一览表合计价以及备品备件、易损件和专用耗材明细表合计价应当在投标总报价内对应重现而且应当数据准确。其中，质保期之内需要的备品备件、易损件和专用耗材，需要在配置一览表内单独分类列出并计入货物（或生产线）配置一览表合计价。</w:t>
      </w:r>
    </w:p>
    <w:p w14:paraId="2BF1C23F">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2A735EB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14:paraId="6379AB1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4、投标总报价为自合同签定生效至合同无异议执行完毕涉及的招标方需要支付的全部费用。如投标方认为本招标及投标货物（或生产线）涉及专门的设计，应当列明设计费。</w:t>
      </w:r>
    </w:p>
    <w:p w14:paraId="76AFDE1F">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266863A1">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1EBCF068">
      <w:pPr>
        <w:pageBreakBefore w:val="0"/>
        <w:widowControl w:val="0"/>
        <w:numPr>
          <w:ilvl w:val="0"/>
          <w:numId w:val="28"/>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1" w:name="_Toc127880434"/>
      <w:r>
        <w:rPr>
          <w:rFonts w:hint="eastAsia" w:ascii="宋体" w:hAnsi="宋体" w:eastAsia="宋体" w:cs="宋体"/>
          <w:sz w:val="24"/>
          <w:szCs w:val="24"/>
        </w:rPr>
        <w:t>验收标准及内容要求</w:t>
      </w:r>
      <w:bookmarkEnd w:id="141"/>
    </w:p>
    <w:p w14:paraId="2E379C7A">
      <w:pPr>
        <w:pageBreakBefore w:val="0"/>
        <w:widowControl w:val="0"/>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65CEF898">
      <w:pPr>
        <w:pStyle w:val="2"/>
        <w:pageBreakBefore w:val="0"/>
        <w:widowControl w:val="0"/>
        <w:kinsoku/>
        <w:wordWrap/>
        <w:topLinePunct w:val="0"/>
        <w:autoSpaceDE/>
        <w:autoSpaceDN/>
        <w:bidi w:val="0"/>
        <w:spacing w:before="120" w:after="120" w:line="360" w:lineRule="auto"/>
        <w:jc w:val="center"/>
        <w:textAlignment w:val="auto"/>
        <w:rPr>
          <w:rFonts w:hint="eastAsia" w:ascii="宋体" w:hAnsi="宋体" w:eastAsia="宋体" w:cs="宋体"/>
          <w:b w:val="0"/>
          <w:sz w:val="24"/>
          <w:szCs w:val="24"/>
        </w:rPr>
      </w:pPr>
      <w:r>
        <w:rPr>
          <w:rFonts w:hint="eastAsia" w:ascii="宋体" w:hAnsi="宋体" w:eastAsia="宋体" w:cs="宋体"/>
          <w:sz w:val="24"/>
          <w:szCs w:val="24"/>
        </w:rPr>
        <w:br w:type="page"/>
      </w:r>
      <w:bookmarkStart w:id="142" w:name="_Toc257037895"/>
      <w:bookmarkStart w:id="143" w:name="_Toc227726585"/>
      <w:bookmarkStart w:id="144" w:name="_Toc227726380"/>
      <w:bookmarkStart w:id="145" w:name="_Toc127880435"/>
      <w:bookmarkStart w:id="146" w:name="_Toc137705875"/>
      <w:bookmarkStart w:id="147" w:name="_Toc257033767"/>
      <w:r>
        <w:rPr>
          <w:rFonts w:hint="eastAsia" w:ascii="宋体" w:hAnsi="宋体" w:eastAsia="宋体" w:cs="宋体"/>
          <w:b w:val="0"/>
          <w:sz w:val="24"/>
          <w:szCs w:val="24"/>
        </w:rPr>
        <w:t>第七章  其它要求及说明</w:t>
      </w:r>
      <w:bookmarkEnd w:id="142"/>
      <w:bookmarkEnd w:id="143"/>
      <w:bookmarkEnd w:id="144"/>
      <w:bookmarkEnd w:id="145"/>
      <w:bookmarkEnd w:id="146"/>
      <w:bookmarkEnd w:id="147"/>
    </w:p>
    <w:p w14:paraId="3D8387BD">
      <w:pPr>
        <w:pageBreakBefore w:val="0"/>
        <w:widowControl w:val="0"/>
        <w:numPr>
          <w:ilvl w:val="0"/>
          <w:numId w:val="29"/>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8" w:name="_Toc127880436"/>
      <w:r>
        <w:rPr>
          <w:rFonts w:hint="eastAsia" w:ascii="宋体" w:hAnsi="宋体" w:eastAsia="宋体" w:cs="宋体"/>
          <w:sz w:val="24"/>
          <w:szCs w:val="24"/>
        </w:rPr>
        <w:t>要求</w:t>
      </w:r>
      <w:bookmarkEnd w:id="148"/>
    </w:p>
    <w:p w14:paraId="38C4AA60">
      <w:pPr>
        <w:pStyle w:val="19"/>
        <w:pageBreakBefore w:val="0"/>
        <w:widowControl w:val="0"/>
        <w:kinsoku/>
        <w:wordWrap/>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为保证本技术标书所列采购货物（或生产线）的质量以及先进性、可靠性、经济性和实用性，要求投标方在投标文件中，至少应具备以下资格证明文件或资料：</w:t>
      </w:r>
    </w:p>
    <w:p w14:paraId="791E6567">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214612E0">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24DAE6E4">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24EB7E3">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4、应附有其它与投标单位、采购货物（或生产线）有关的荣誉证书或资料。</w:t>
      </w:r>
    </w:p>
    <w:p w14:paraId="24D34CCE">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5、附有投标货物（或生产线）涉及产品要求的、国家或行业管理规定要求的、或者投标方认为能够体现其投标货物合法性及先进性的最高级别的证明材料（投标货物不涉及的除外）：</w:t>
      </w:r>
    </w:p>
    <w:p w14:paraId="400113C1">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14:paraId="03F71947">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14:paraId="01136DE6">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14:paraId="3E38EA50">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5.4  其它能够证明所供货物（或生产线）的质量水平、技术水平、安全性水平、节能性水平、环保性水平等相关的其它证明文件或资料、报告等。</w:t>
      </w:r>
    </w:p>
    <w:p w14:paraId="276B44EC">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14:paraId="671E4ED6">
      <w:pPr>
        <w:pageBreakBefore w:val="0"/>
        <w:widowControl w:val="0"/>
        <w:kinsoku/>
        <w:wordWrap/>
        <w:topLinePunct w:val="0"/>
        <w:autoSpaceDE/>
        <w:autoSpaceDN/>
        <w:bidi w:val="0"/>
        <w:spacing w:line="360" w:lineRule="auto"/>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6、附有与本采购货物（或生产线）相同或相似技术规格、型号的而且已经正常使用或通过验收的近三年以上的货物（或生产线）的市场销售业绩清单，清单中应具备：招标方单位名称、销售货物（或生产线）的规格型号、数量、（交货）时间、联系人和联系电话（非移动通信号码）等条目内容；投标方应当保证其业绩的真实性，否则将影响投标或中标资格。</w:t>
      </w:r>
    </w:p>
    <w:p w14:paraId="0F11F8BE">
      <w:pPr>
        <w:pageBreakBefore w:val="0"/>
        <w:widowControl w:val="0"/>
        <w:numPr>
          <w:ilvl w:val="0"/>
          <w:numId w:val="29"/>
        </w:numPr>
        <w:tabs>
          <w:tab w:val="left" w:pos="1080"/>
        </w:tabs>
        <w:kinsoku/>
        <w:wordWrap/>
        <w:topLinePunct w:val="0"/>
        <w:autoSpaceDE/>
        <w:autoSpaceDN/>
        <w:bidi w:val="0"/>
        <w:spacing w:line="360" w:lineRule="auto"/>
        <w:ind w:left="902"/>
        <w:textAlignment w:val="auto"/>
        <w:outlineLvl w:val="1"/>
        <w:rPr>
          <w:rFonts w:hint="eastAsia" w:ascii="宋体" w:hAnsi="宋体" w:eastAsia="宋体" w:cs="宋体"/>
          <w:sz w:val="24"/>
          <w:szCs w:val="24"/>
        </w:rPr>
      </w:pPr>
      <w:bookmarkStart w:id="149" w:name="_Toc127880437"/>
      <w:r>
        <w:rPr>
          <w:rFonts w:hint="eastAsia" w:ascii="宋体" w:hAnsi="宋体" w:eastAsia="宋体" w:cs="宋体"/>
          <w:sz w:val="24"/>
          <w:szCs w:val="24"/>
        </w:rPr>
        <w:t>说明</w:t>
      </w:r>
      <w:bookmarkEnd w:id="149"/>
    </w:p>
    <w:p w14:paraId="3EBD53DD">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1、投标方可以根据自身的技术、经验等优势以及对招标文件和本技术标书的理解，写明对招标方所采购货物（或生产线）的优化方案或建议意见。投标方的这些努力，招标方表示感谢，并将有助于投标方胜出。</w:t>
      </w:r>
    </w:p>
    <w:p w14:paraId="729831C4">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14:paraId="52A698DE">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21CB5B09">
      <w:pPr>
        <w:pageBreakBefore w:val="0"/>
        <w:widowControl w:val="0"/>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14:paraId="1D34EB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65E9B077">
      <w:pPr>
        <w:spacing w:line="360" w:lineRule="auto"/>
        <w:ind w:firstLine="480" w:firstLineChars="200"/>
        <w:rPr>
          <w:rFonts w:hint="eastAsia" w:ascii="宋体" w:hAnsi="宋体" w:eastAsia="宋体" w:cs="宋体"/>
          <w:sz w:val="24"/>
          <w:szCs w:val="24"/>
          <w:lang w:val="en-US" w:eastAsia="zh-CN"/>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bookmarkEnd w:id="39"/>
    <w:bookmarkEnd w:id="40"/>
    <w:p w14:paraId="0A49FB1A">
      <w:pPr>
        <w:pStyle w:val="16"/>
      </w:pPr>
    </w:p>
    <w:p w14:paraId="37C11464">
      <w:pPr>
        <w:spacing w:line="360" w:lineRule="auto"/>
        <w:jc w:val="center"/>
        <w:outlineLvl w:val="0"/>
        <w:rPr>
          <w:rFonts w:ascii="宋体" w:hAnsi="Calibri" w:eastAsia="宋体" w:cs="Times New Roman"/>
          <w:b/>
          <w:sz w:val="36"/>
          <w:szCs w:val="36"/>
        </w:rPr>
      </w:pPr>
      <w:bookmarkStart w:id="150"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50"/>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45549728">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51"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2" w:name="_Toc16330018"/>
      <w:bookmarkStart w:id="153" w:name="_Toc11823"/>
      <w:bookmarkStart w:id="154" w:name="_Toc17619"/>
      <w:bookmarkStart w:id="155" w:name="_Toc11930"/>
      <w:r>
        <w:rPr>
          <w:rFonts w:hint="eastAsia" w:ascii="黑体" w:hAnsi="黑体" w:eastAsia="黑体" w:cstheme="minorEastAsia"/>
          <w:b w:val="0"/>
          <w:sz w:val="28"/>
          <w:szCs w:val="28"/>
        </w:rPr>
        <w:t>1 合同设备</w:t>
      </w:r>
      <w:bookmarkEnd w:id="152"/>
      <w:bookmarkEnd w:id="153"/>
      <w:bookmarkEnd w:id="154"/>
      <w:bookmarkEnd w:id="155"/>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156" w:name="_Toc32510"/>
      <w:bookmarkStart w:id="157" w:name="_Toc29026"/>
      <w:bookmarkStart w:id="158" w:name="_Toc22800"/>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9" w:name="_Toc16330019"/>
      <w:r>
        <w:rPr>
          <w:rFonts w:hint="eastAsia" w:ascii="黑体" w:hAnsi="黑体" w:eastAsia="黑体" w:cstheme="minorEastAsia"/>
          <w:b w:val="0"/>
          <w:sz w:val="28"/>
          <w:szCs w:val="28"/>
        </w:rPr>
        <w:t>2 包装</w:t>
      </w:r>
      <w:bookmarkEnd w:id="156"/>
      <w:bookmarkEnd w:id="157"/>
      <w:bookmarkEnd w:id="158"/>
      <w:bookmarkEnd w:id="159"/>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60" w:name="_Toc27144"/>
      <w:bookmarkStart w:id="161" w:name="_Toc16330020"/>
      <w:bookmarkStart w:id="162" w:name="_Toc27453"/>
      <w:bookmarkStart w:id="163" w:name="_Toc2833"/>
      <w:r>
        <w:rPr>
          <w:rFonts w:hint="eastAsia" w:ascii="黑体" w:hAnsi="黑体" w:eastAsia="黑体" w:cstheme="minorEastAsia"/>
          <w:b w:val="0"/>
          <w:sz w:val="28"/>
          <w:szCs w:val="28"/>
        </w:rPr>
        <w:t>3 运输标记</w:t>
      </w:r>
      <w:bookmarkEnd w:id="160"/>
      <w:bookmarkEnd w:id="161"/>
      <w:bookmarkEnd w:id="162"/>
      <w:bookmarkEnd w:id="163"/>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64" w:name="_Toc7431"/>
      <w:bookmarkStart w:id="165" w:name="_Toc10630"/>
      <w:bookmarkStart w:id="166" w:name="_Toc16133"/>
      <w:bookmarkStart w:id="167" w:name="_Toc16330021"/>
      <w:r>
        <w:rPr>
          <w:rFonts w:hint="eastAsia" w:ascii="黑体" w:hAnsi="黑体" w:eastAsia="黑体" w:cstheme="minorEastAsia"/>
          <w:b w:val="0"/>
          <w:sz w:val="28"/>
          <w:szCs w:val="28"/>
        </w:rPr>
        <w:t>4 检验</w:t>
      </w:r>
      <w:bookmarkEnd w:id="164"/>
      <w:bookmarkEnd w:id="165"/>
      <w:bookmarkEnd w:id="166"/>
      <w:bookmarkEnd w:id="167"/>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68" w:name="_Toc19850"/>
      <w:bookmarkStart w:id="169" w:name="_Toc11217"/>
      <w:bookmarkStart w:id="170" w:name="_Toc16330022"/>
      <w:bookmarkStart w:id="171" w:name="_Toc24467"/>
      <w:r>
        <w:rPr>
          <w:rFonts w:hint="eastAsia" w:ascii="黑体" w:hAnsi="黑体" w:eastAsia="黑体" w:cstheme="minorEastAsia"/>
          <w:b w:val="0"/>
          <w:sz w:val="28"/>
          <w:szCs w:val="28"/>
        </w:rPr>
        <w:t>5 权利担保</w:t>
      </w:r>
      <w:bookmarkEnd w:id="168"/>
      <w:bookmarkEnd w:id="169"/>
      <w:bookmarkEnd w:id="170"/>
      <w:bookmarkEnd w:id="171"/>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72" w:name="_Toc16330023"/>
      <w:bookmarkStart w:id="173" w:name="_Toc11759"/>
      <w:bookmarkStart w:id="174" w:name="_Toc14809"/>
      <w:bookmarkStart w:id="175" w:name="_Toc27500"/>
      <w:r>
        <w:rPr>
          <w:rFonts w:hint="eastAsia" w:ascii="黑体" w:hAnsi="黑体" w:eastAsia="黑体" w:cstheme="minorEastAsia"/>
          <w:b w:val="0"/>
          <w:sz w:val="28"/>
          <w:szCs w:val="28"/>
        </w:rPr>
        <w:t>6 交货</w:t>
      </w:r>
      <w:bookmarkEnd w:id="172"/>
      <w:bookmarkEnd w:id="173"/>
      <w:bookmarkEnd w:id="174"/>
      <w:bookmarkEnd w:id="175"/>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76" w:name="_Toc8024"/>
      <w:bookmarkStart w:id="177" w:name="_Toc16330024"/>
      <w:bookmarkStart w:id="178" w:name="_Toc25510"/>
      <w:bookmarkStart w:id="179" w:name="_Toc2984"/>
      <w:r>
        <w:rPr>
          <w:rFonts w:hint="eastAsia" w:ascii="黑体" w:hAnsi="黑体" w:eastAsia="黑体" w:cstheme="minorEastAsia"/>
          <w:b w:val="0"/>
          <w:sz w:val="28"/>
          <w:szCs w:val="28"/>
        </w:rPr>
        <w:t>7 安装、调试</w:t>
      </w:r>
      <w:bookmarkEnd w:id="176"/>
      <w:bookmarkEnd w:id="177"/>
      <w:bookmarkEnd w:id="178"/>
      <w:bookmarkEnd w:id="179"/>
    </w:p>
    <w:p w14:paraId="5C90C264">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80" w:name="_Toc14098"/>
      <w:bookmarkStart w:id="181" w:name="_Toc14260"/>
      <w:bookmarkStart w:id="182" w:name="_Toc16330025"/>
      <w:bookmarkStart w:id="183" w:name="_Toc6350"/>
      <w:r>
        <w:rPr>
          <w:rFonts w:hint="eastAsia" w:ascii="黑体" w:hAnsi="黑体" w:eastAsia="黑体" w:cstheme="minorEastAsia"/>
          <w:b w:val="0"/>
          <w:sz w:val="28"/>
          <w:szCs w:val="28"/>
        </w:rPr>
        <w:t>8 价款与支付</w:t>
      </w:r>
      <w:bookmarkEnd w:id="180"/>
      <w:bookmarkEnd w:id="181"/>
      <w:bookmarkEnd w:id="182"/>
      <w:bookmarkEnd w:id="183"/>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184" w:name="_Toc14531628"/>
      <w:bookmarkStart w:id="185"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84"/>
      <w:bookmarkEnd w:id="185"/>
    </w:p>
    <w:p w14:paraId="1BADBF5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86" w:name="_Toc6726"/>
      <w:bookmarkStart w:id="187" w:name="_Toc25708"/>
      <w:bookmarkStart w:id="188" w:name="_Toc16330026"/>
      <w:bookmarkStart w:id="189" w:name="_Toc24085"/>
      <w:r>
        <w:rPr>
          <w:rFonts w:hint="eastAsia" w:ascii="黑体" w:hAnsi="黑体" w:eastAsia="黑体" w:cstheme="minorEastAsia"/>
          <w:b w:val="0"/>
          <w:sz w:val="28"/>
          <w:szCs w:val="28"/>
        </w:rPr>
        <w:t>9 质量保证及售后服务</w:t>
      </w:r>
      <w:bookmarkEnd w:id="186"/>
      <w:bookmarkEnd w:id="187"/>
      <w:bookmarkEnd w:id="188"/>
      <w:bookmarkEnd w:id="189"/>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90" w:name="_Toc15570"/>
      <w:bookmarkStart w:id="191" w:name="_Toc10359"/>
      <w:bookmarkStart w:id="192" w:name="_Toc16330027"/>
      <w:bookmarkStart w:id="193" w:name="_Toc12927"/>
      <w:r>
        <w:rPr>
          <w:rFonts w:hint="eastAsia" w:ascii="黑体" w:hAnsi="黑体" w:eastAsia="黑体" w:cstheme="minorEastAsia"/>
          <w:b w:val="0"/>
          <w:sz w:val="28"/>
          <w:szCs w:val="28"/>
        </w:rPr>
        <w:t>10法定责任</w:t>
      </w:r>
      <w:bookmarkEnd w:id="190"/>
      <w:bookmarkEnd w:id="191"/>
      <w:bookmarkEnd w:id="192"/>
      <w:bookmarkEnd w:id="193"/>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94" w:name="_Toc27314"/>
      <w:bookmarkStart w:id="195" w:name="_Toc30381"/>
      <w:bookmarkStart w:id="196" w:name="_Toc16330028"/>
      <w:bookmarkStart w:id="197" w:name="_Toc9708"/>
      <w:r>
        <w:rPr>
          <w:rFonts w:hint="eastAsia" w:ascii="黑体" w:hAnsi="黑体" w:eastAsia="黑体" w:cstheme="minorEastAsia"/>
          <w:b w:val="0"/>
          <w:sz w:val="28"/>
          <w:szCs w:val="28"/>
        </w:rPr>
        <w:t>11 违约责任</w:t>
      </w:r>
      <w:bookmarkEnd w:id="194"/>
      <w:bookmarkEnd w:id="195"/>
      <w:bookmarkEnd w:id="196"/>
      <w:bookmarkEnd w:id="197"/>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98" w:name="_Toc9172"/>
      <w:bookmarkStart w:id="199" w:name="_Toc31554"/>
      <w:bookmarkStart w:id="200" w:name="_Toc1827"/>
      <w:bookmarkStart w:id="201" w:name="_Toc16330029"/>
      <w:r>
        <w:rPr>
          <w:rFonts w:hint="eastAsia" w:ascii="黑体" w:hAnsi="黑体" w:eastAsia="黑体" w:cstheme="minorEastAsia"/>
          <w:b w:val="0"/>
          <w:sz w:val="28"/>
          <w:szCs w:val="28"/>
        </w:rPr>
        <w:t>12 合同的终止与解除</w:t>
      </w:r>
      <w:bookmarkEnd w:id="198"/>
      <w:bookmarkEnd w:id="199"/>
      <w:bookmarkEnd w:id="200"/>
      <w:bookmarkEnd w:id="201"/>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202" w:name="_Toc13671"/>
      <w:bookmarkStart w:id="203" w:name="_Toc31945"/>
      <w:bookmarkStart w:id="204" w:name="_Toc16330030"/>
      <w:bookmarkStart w:id="205" w:name="_Toc8620"/>
      <w:r>
        <w:rPr>
          <w:rFonts w:hint="eastAsia" w:ascii="黑体" w:hAnsi="黑体" w:eastAsia="黑体" w:cstheme="minorEastAsia"/>
          <w:b w:val="0"/>
          <w:sz w:val="28"/>
          <w:szCs w:val="28"/>
        </w:rPr>
        <w:t>13 不可抗力</w:t>
      </w:r>
      <w:bookmarkEnd w:id="202"/>
      <w:bookmarkEnd w:id="203"/>
      <w:bookmarkEnd w:id="204"/>
      <w:bookmarkEnd w:id="205"/>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206" w:name="_Toc31243"/>
      <w:bookmarkStart w:id="207" w:name="_Toc16330031"/>
      <w:bookmarkStart w:id="208" w:name="_Toc637"/>
      <w:bookmarkStart w:id="209" w:name="_Toc30389"/>
      <w:r>
        <w:rPr>
          <w:rFonts w:hint="eastAsia" w:ascii="黑体" w:hAnsi="黑体" w:eastAsia="黑体" w:cstheme="minorEastAsia"/>
          <w:b w:val="0"/>
          <w:sz w:val="28"/>
          <w:szCs w:val="28"/>
        </w:rPr>
        <w:t>14 通讯</w:t>
      </w:r>
      <w:bookmarkEnd w:id="206"/>
      <w:bookmarkEnd w:id="207"/>
      <w:bookmarkEnd w:id="208"/>
      <w:bookmarkEnd w:id="209"/>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3"/>
        <w:tabs>
          <w:tab w:val="right" w:leader="dot" w:pos="9061"/>
        </w:tabs>
        <w:spacing w:before="240" w:beforeLines="100"/>
        <w:jc w:val="both"/>
        <w:rPr>
          <w:rFonts w:ascii="黑体" w:hAnsi="黑体" w:eastAsia="黑体" w:cstheme="minorEastAsia"/>
          <w:b w:val="0"/>
          <w:sz w:val="28"/>
          <w:szCs w:val="28"/>
        </w:rPr>
      </w:pPr>
      <w:bookmarkStart w:id="210" w:name="_Toc12984"/>
      <w:bookmarkStart w:id="211" w:name="_Toc9915"/>
      <w:bookmarkStart w:id="212" w:name="_Toc11290"/>
      <w:bookmarkStart w:id="213" w:name="_Toc16330032"/>
      <w:r>
        <w:rPr>
          <w:rFonts w:hint="eastAsia" w:ascii="黑体" w:hAnsi="黑体" w:eastAsia="黑体" w:cstheme="minorEastAsia"/>
          <w:b w:val="0"/>
          <w:sz w:val="28"/>
          <w:szCs w:val="28"/>
        </w:rPr>
        <w:t>15 适用法律及争议解决</w:t>
      </w:r>
      <w:bookmarkEnd w:id="210"/>
      <w:bookmarkEnd w:id="211"/>
      <w:bookmarkEnd w:id="212"/>
      <w:bookmarkEnd w:id="213"/>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214" w:name="_Toc16330033"/>
      <w:bookmarkStart w:id="215" w:name="_Toc23765"/>
      <w:bookmarkStart w:id="216" w:name="_Toc18207"/>
      <w:bookmarkStart w:id="217" w:name="_Toc23906"/>
      <w:r>
        <w:rPr>
          <w:rFonts w:hint="eastAsia" w:ascii="黑体" w:hAnsi="黑体" w:eastAsia="黑体" w:cstheme="minorEastAsia"/>
          <w:b w:val="0"/>
          <w:sz w:val="28"/>
          <w:szCs w:val="28"/>
        </w:rPr>
        <w:t>16 附件</w:t>
      </w:r>
      <w:bookmarkEnd w:id="214"/>
      <w:bookmarkEnd w:id="215"/>
      <w:bookmarkEnd w:id="216"/>
      <w:bookmarkEnd w:id="217"/>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218" w:name="_Toc16330034"/>
      <w:bookmarkStart w:id="219" w:name="_Toc27202"/>
      <w:bookmarkStart w:id="220" w:name="_Toc31331"/>
      <w:bookmarkStart w:id="221" w:name="_Toc17656"/>
      <w:r>
        <w:rPr>
          <w:rFonts w:hint="eastAsia" w:ascii="黑体" w:hAnsi="黑体" w:eastAsia="黑体" w:cstheme="minorEastAsia"/>
          <w:b w:val="0"/>
          <w:sz w:val="28"/>
          <w:szCs w:val="28"/>
        </w:rPr>
        <w:t>17 其他规定</w:t>
      </w:r>
      <w:bookmarkEnd w:id="218"/>
      <w:bookmarkEnd w:id="219"/>
      <w:bookmarkEnd w:id="220"/>
      <w:bookmarkEnd w:id="221"/>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222" w:name="_Toc16330035"/>
      <w:bookmarkStart w:id="223" w:name="_Toc19077"/>
      <w:bookmarkStart w:id="224" w:name="_Toc29136"/>
      <w:bookmarkStart w:id="225"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222"/>
      <w:bookmarkEnd w:id="223"/>
      <w:bookmarkEnd w:id="224"/>
      <w:bookmarkEnd w:id="225"/>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5"/>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5"/>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5"/>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244DDF56">
      <w:pPr>
        <w:rPr>
          <w:rFonts w:asciiTheme="minorEastAsia" w:hAnsiTheme="minorEastAsia" w:eastAsiaTheme="minorEastAsia" w:cstheme="minorEastAsia"/>
          <w:sz w:val="20"/>
          <w:szCs w:val="20"/>
        </w:rPr>
      </w:pPr>
      <w:bookmarkStart w:id="226" w:name="_Toc24623"/>
      <w:bookmarkStart w:id="227" w:name="_Toc16330037"/>
      <w:bookmarkStart w:id="228" w:name="_Toc25120"/>
      <w:bookmarkStart w:id="229" w:name="_Toc5379"/>
      <w:bookmarkStart w:id="230" w:name="_Toc3778"/>
      <w:r>
        <w:rPr>
          <w:rFonts w:hint="eastAsia" w:asciiTheme="minorEastAsia" w:hAnsiTheme="minorEastAsia" w:eastAsiaTheme="minorEastAsia" w:cstheme="minorEastAsia"/>
          <w:sz w:val="20"/>
          <w:szCs w:val="20"/>
        </w:rPr>
        <w:br w:type="page"/>
      </w:r>
    </w:p>
    <w:p w14:paraId="495F9056">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226"/>
      <w:bookmarkEnd w:id="227"/>
      <w:bookmarkEnd w:id="228"/>
      <w:bookmarkEnd w:id="229"/>
      <w:bookmarkEnd w:id="230"/>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231" w:name="_Toc14341849"/>
    </w:p>
    <w:p w14:paraId="11E56A8A">
      <w:pPr>
        <w:ind w:right="480"/>
        <w:jc w:val="center"/>
        <w:rPr>
          <w:sz w:val="24"/>
          <w:szCs w:val="24"/>
        </w:rPr>
      </w:pPr>
      <w:r>
        <w:rPr>
          <w:rFonts w:hint="eastAsia" w:ascii="楷体_GB2312" w:hAnsi="宋体" w:eastAsia="楷体_GB2312"/>
          <w:sz w:val="24"/>
        </w:rPr>
        <w:t xml:space="preserve">                                    </w:t>
      </w:r>
    </w:p>
    <w:bookmarkEnd w:id="231"/>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1"/>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1"/>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1"/>
        <w:ind w:left="0" w:firstLine="0"/>
        <w:rPr>
          <w:rFonts w:ascii="楷体" w:hAnsi="楷体" w:eastAsia="楷体" w:cs="楷体"/>
          <w:b/>
          <w:sz w:val="24"/>
          <w:szCs w:val="28"/>
        </w:rPr>
      </w:pPr>
    </w:p>
    <w:p w14:paraId="628C201B">
      <w:pPr>
        <w:pStyle w:val="11"/>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1"/>
        <w:ind w:left="0" w:firstLine="0"/>
        <w:rPr>
          <w:rFonts w:ascii="楷体" w:hAnsi="楷体" w:eastAsia="楷体" w:cs="楷体"/>
          <w:b/>
          <w:sz w:val="24"/>
          <w:szCs w:val="28"/>
        </w:rPr>
      </w:pPr>
    </w:p>
    <w:p w14:paraId="17ADDBE5">
      <w:pPr>
        <w:pStyle w:val="11"/>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20A6353D">
      <w:pPr>
        <w:keepNext/>
        <w:keepLines/>
        <w:jc w:val="center"/>
        <w:outlineLvl w:val="0"/>
        <w:rPr>
          <w:rFonts w:hint="eastAsia"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1"/>
    </w:p>
    <w:p w14:paraId="5E519D5E">
      <w:pPr>
        <w:keepNext/>
        <w:keepLines/>
        <w:outlineLvl w:val="9"/>
        <w:rPr>
          <w:rFonts w:hint="eastAsia" w:ascii="Times New Roman" w:hAnsi="Times New Roman" w:eastAsia="宋体" w:cs="Times New Roman"/>
          <w:b/>
          <w:bCs/>
          <w:color w:val="000000"/>
          <w:sz w:val="24"/>
          <w:szCs w:val="24"/>
        </w:rPr>
      </w:pPr>
    </w:p>
    <w:p w14:paraId="279EAE60">
      <w:pPr>
        <w:pStyle w:val="16"/>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6101069">
      <w:pPr>
        <w:pStyle w:val="16"/>
        <w:rPr>
          <w:rFonts w:hint="eastAsia"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32" w:name="_Toc353881012"/>
      <w:bookmarkStart w:id="233" w:name="_Toc639004"/>
      <w:bookmarkStart w:id="234" w:name="_Toc212369550"/>
      <w:bookmarkStart w:id="23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32"/>
      <w:bookmarkEnd w:id="233"/>
      <w:bookmarkEnd w:id="234"/>
      <w:bookmarkEnd w:id="235"/>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济南发动机厂组合式凸轮轴工艺装备技改项目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6"/>
        <w:rPr>
          <w:rFonts w:ascii="黑体" w:hAnsi="Calibri" w:eastAsia="黑体" w:cs="Times New Roman"/>
          <w:color w:val="000000"/>
          <w:sz w:val="24"/>
          <w:szCs w:val="24"/>
        </w:rPr>
      </w:pPr>
    </w:p>
    <w:p w14:paraId="713F887B">
      <w:pPr>
        <w:pStyle w:val="16"/>
        <w:rPr>
          <w:rFonts w:ascii="黑体" w:hAnsi="Calibri" w:eastAsia="黑体" w:cs="Times New Roman"/>
          <w:color w:val="000000"/>
          <w:sz w:val="24"/>
          <w:szCs w:val="24"/>
        </w:rPr>
      </w:pPr>
    </w:p>
    <w:p w14:paraId="112365BE">
      <w:pPr>
        <w:pStyle w:val="16"/>
        <w:rPr>
          <w:rFonts w:ascii="黑体" w:hAnsi="Calibri" w:eastAsia="黑体" w:cs="Times New Roman"/>
          <w:color w:val="000000"/>
          <w:sz w:val="24"/>
          <w:szCs w:val="24"/>
        </w:rPr>
      </w:pPr>
    </w:p>
    <w:p w14:paraId="68B3EA20">
      <w:pPr>
        <w:pStyle w:val="16"/>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济南发动机厂组合式凸轮轴工艺装备技改项目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CGZX2025020181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32C5F757">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6"/>
        <w:rPr>
          <w:rFonts w:ascii="Times New Roman" w:hAnsi="Times New Roman" w:eastAsia="宋体" w:cs="Times New Roman"/>
          <w:b/>
          <w:bCs/>
          <w:color w:val="000000"/>
          <w:sz w:val="24"/>
          <w:szCs w:val="24"/>
        </w:rPr>
      </w:pPr>
    </w:p>
    <w:p w14:paraId="3929C070">
      <w:pPr>
        <w:pStyle w:val="16"/>
        <w:rPr>
          <w:rFonts w:ascii="Times New Roman" w:hAnsi="Times New Roman" w:eastAsia="宋体" w:cs="Times New Roman"/>
          <w:b/>
          <w:bCs/>
          <w:color w:val="000000"/>
          <w:sz w:val="24"/>
          <w:szCs w:val="24"/>
        </w:rPr>
      </w:pPr>
    </w:p>
    <w:p w14:paraId="47337A43">
      <w:pPr>
        <w:pStyle w:val="16"/>
        <w:rPr>
          <w:rFonts w:ascii="Times New Roman" w:hAnsi="Times New Roman" w:eastAsia="宋体" w:cs="Times New Roman"/>
          <w:b/>
          <w:bCs/>
          <w:color w:val="000000"/>
          <w:sz w:val="24"/>
          <w:szCs w:val="24"/>
        </w:rPr>
      </w:pPr>
    </w:p>
    <w:p w14:paraId="3426FB8F">
      <w:pPr>
        <w:pStyle w:val="16"/>
        <w:rPr>
          <w:rFonts w:ascii="Times New Roman" w:hAnsi="Times New Roman" w:eastAsia="宋体" w:cs="Times New Roman"/>
          <w:b/>
          <w:bCs/>
          <w:color w:val="000000"/>
          <w:sz w:val="24"/>
          <w:szCs w:val="24"/>
        </w:rPr>
      </w:pPr>
    </w:p>
    <w:p w14:paraId="1D2036A2">
      <w:pPr>
        <w:pStyle w:val="16"/>
        <w:rPr>
          <w:rFonts w:ascii="Times New Roman" w:hAnsi="Times New Roman" w:eastAsia="宋体" w:cs="Times New Roman"/>
          <w:b/>
          <w:bCs/>
          <w:color w:val="000000"/>
          <w:sz w:val="24"/>
          <w:szCs w:val="24"/>
        </w:rPr>
      </w:pPr>
    </w:p>
    <w:p w14:paraId="3FF6C249">
      <w:pPr>
        <w:pStyle w:val="16"/>
        <w:rPr>
          <w:rFonts w:ascii="Times New Roman" w:hAnsi="Times New Roman" w:eastAsia="宋体" w:cs="Times New Roman"/>
          <w:b/>
          <w:bCs/>
          <w:color w:val="000000"/>
          <w:sz w:val="24"/>
          <w:szCs w:val="24"/>
        </w:rPr>
      </w:pPr>
    </w:p>
    <w:p w14:paraId="6D8CD7B5">
      <w:pPr>
        <w:pStyle w:val="16"/>
        <w:rPr>
          <w:rFonts w:ascii="Times New Roman" w:hAnsi="Times New Roman" w:eastAsia="宋体" w:cs="Times New Roman"/>
          <w:b/>
          <w:bCs/>
          <w:color w:val="000000"/>
          <w:sz w:val="24"/>
          <w:szCs w:val="24"/>
        </w:rPr>
      </w:pPr>
    </w:p>
    <w:p w14:paraId="74461546">
      <w:pPr>
        <w:pStyle w:val="16"/>
        <w:rPr>
          <w:rFonts w:ascii="Times New Roman" w:hAnsi="Times New Roman" w:eastAsia="宋体" w:cs="Times New Roman"/>
          <w:b/>
          <w:bCs/>
          <w:color w:val="000000"/>
          <w:sz w:val="24"/>
          <w:szCs w:val="24"/>
        </w:rPr>
      </w:pPr>
    </w:p>
    <w:p w14:paraId="5224F6FE">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F8C07F">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济南发动机厂组合式凸轮轴工艺装备技改项目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A5DF66">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济南发动机厂组合式凸轮轴工艺装备技改项目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6ACC2B70">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0F175002">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0C65254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1F53283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543AE4F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726F359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2F67DBD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3E6995D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41180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3917" w:type="dxa"/>
            <w:gridSpan w:val="7"/>
            <w:shd w:val="clear" w:color="auto" w:fill="auto"/>
            <w:vAlign w:val="center"/>
          </w:tcPr>
          <w:p w14:paraId="7FE7998C">
            <w:pPr>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堵头压装设备</w:t>
            </w:r>
          </w:p>
        </w:tc>
      </w:tr>
      <w:tr w14:paraId="478B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FB8D7C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997" w:type="dxa"/>
            <w:shd w:val="clear" w:color="auto" w:fill="auto"/>
            <w:vAlign w:val="center"/>
          </w:tcPr>
          <w:p w14:paraId="1D5F38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主机部分</w:t>
            </w:r>
          </w:p>
        </w:tc>
        <w:tc>
          <w:tcPr>
            <w:tcW w:w="3015" w:type="dxa"/>
            <w:shd w:val="clear" w:color="auto" w:fill="auto"/>
            <w:vAlign w:val="center"/>
          </w:tcPr>
          <w:p w14:paraId="2F9D857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B7BB7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910C31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910B71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5557375">
            <w:pPr>
              <w:jc w:val="center"/>
              <w:rPr>
                <w:rFonts w:hint="eastAsia" w:ascii="宋体" w:hAnsi="宋体" w:eastAsia="宋体" w:cs="宋体"/>
                <w:sz w:val="20"/>
                <w:szCs w:val="20"/>
                <w:highlight w:val="yellow"/>
              </w:rPr>
            </w:pPr>
          </w:p>
        </w:tc>
      </w:tr>
      <w:tr w14:paraId="50C8C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C691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997" w:type="dxa"/>
            <w:shd w:val="clear" w:color="auto" w:fill="auto"/>
            <w:vAlign w:val="center"/>
          </w:tcPr>
          <w:p w14:paraId="0C6877C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钢管夹持、旋转部分</w:t>
            </w:r>
          </w:p>
        </w:tc>
        <w:tc>
          <w:tcPr>
            <w:tcW w:w="3015" w:type="dxa"/>
            <w:shd w:val="clear" w:color="auto" w:fill="auto"/>
            <w:vAlign w:val="center"/>
          </w:tcPr>
          <w:p w14:paraId="68332A5D">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DC2F2A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DADC77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21CA20D">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14343B78">
            <w:pPr>
              <w:jc w:val="center"/>
              <w:rPr>
                <w:rFonts w:hint="eastAsia" w:ascii="宋体" w:hAnsi="宋体" w:eastAsia="宋体" w:cs="宋体"/>
                <w:sz w:val="20"/>
                <w:szCs w:val="20"/>
                <w:highlight w:val="yellow"/>
              </w:rPr>
            </w:pPr>
          </w:p>
        </w:tc>
      </w:tr>
      <w:tr w14:paraId="7686B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D17BEC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997" w:type="dxa"/>
            <w:shd w:val="clear" w:color="auto" w:fill="auto"/>
            <w:vAlign w:val="center"/>
          </w:tcPr>
          <w:p w14:paraId="1B9B148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钢管加热部分</w:t>
            </w:r>
          </w:p>
        </w:tc>
        <w:tc>
          <w:tcPr>
            <w:tcW w:w="3015" w:type="dxa"/>
            <w:shd w:val="clear" w:color="auto" w:fill="auto"/>
            <w:vAlign w:val="center"/>
          </w:tcPr>
          <w:p w14:paraId="2109A9C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EBDE42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2BA3713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574CF378">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43342EA">
            <w:pPr>
              <w:jc w:val="center"/>
              <w:rPr>
                <w:rFonts w:hint="eastAsia" w:ascii="宋体" w:hAnsi="宋体" w:eastAsia="宋体" w:cs="宋体"/>
                <w:sz w:val="20"/>
                <w:szCs w:val="20"/>
                <w:highlight w:val="yellow"/>
              </w:rPr>
            </w:pPr>
          </w:p>
        </w:tc>
      </w:tr>
      <w:tr w14:paraId="60C2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749DB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997" w:type="dxa"/>
            <w:shd w:val="clear" w:color="auto" w:fill="auto"/>
            <w:vAlign w:val="center"/>
          </w:tcPr>
          <w:p w14:paraId="1CEAA83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堵头上料部分</w:t>
            </w:r>
          </w:p>
        </w:tc>
        <w:tc>
          <w:tcPr>
            <w:tcW w:w="3015" w:type="dxa"/>
            <w:shd w:val="clear" w:color="auto" w:fill="auto"/>
            <w:vAlign w:val="center"/>
          </w:tcPr>
          <w:p w14:paraId="09F40E6C">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31B16EF">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88B382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596628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D348C89">
            <w:pPr>
              <w:jc w:val="center"/>
              <w:rPr>
                <w:rFonts w:hint="eastAsia" w:ascii="宋体" w:hAnsi="宋体" w:eastAsia="宋体" w:cs="宋体"/>
                <w:sz w:val="20"/>
                <w:szCs w:val="20"/>
                <w:highlight w:val="yellow"/>
              </w:rPr>
            </w:pPr>
          </w:p>
        </w:tc>
      </w:tr>
      <w:tr w14:paraId="7D579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8E3EB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997" w:type="dxa"/>
            <w:shd w:val="clear" w:color="auto" w:fill="auto"/>
            <w:vAlign w:val="center"/>
          </w:tcPr>
          <w:p w14:paraId="41C3E47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堵头压装部分</w:t>
            </w:r>
          </w:p>
        </w:tc>
        <w:tc>
          <w:tcPr>
            <w:tcW w:w="3015" w:type="dxa"/>
            <w:shd w:val="clear" w:color="auto" w:fill="auto"/>
            <w:vAlign w:val="center"/>
          </w:tcPr>
          <w:p w14:paraId="22EC2DB4">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C6F18D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3385DB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021F64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0A9FE5">
            <w:pPr>
              <w:jc w:val="center"/>
              <w:rPr>
                <w:rFonts w:hint="eastAsia" w:ascii="宋体" w:hAnsi="宋体" w:eastAsia="宋体" w:cs="宋体"/>
                <w:sz w:val="20"/>
                <w:szCs w:val="20"/>
                <w:highlight w:val="yellow"/>
              </w:rPr>
            </w:pP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06F5D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997" w:type="dxa"/>
            <w:shd w:val="clear" w:color="auto" w:fill="auto"/>
            <w:vAlign w:val="center"/>
          </w:tcPr>
          <w:p w14:paraId="2B5212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控制系统</w:t>
            </w:r>
          </w:p>
        </w:tc>
        <w:tc>
          <w:tcPr>
            <w:tcW w:w="3015" w:type="dxa"/>
            <w:shd w:val="clear" w:color="auto" w:fill="auto"/>
            <w:vAlign w:val="center"/>
          </w:tcPr>
          <w:p w14:paraId="06986F88">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20FB68C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DD5EE01">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3189573">
            <w:pPr>
              <w:jc w:val="center"/>
              <w:rPr>
                <w:rFonts w:hint="eastAsia" w:ascii="宋体" w:hAnsi="宋体" w:eastAsia="宋体" w:cs="宋体"/>
                <w:sz w:val="20"/>
                <w:szCs w:val="20"/>
                <w:highlight w:val="yellow"/>
              </w:rPr>
            </w:pPr>
          </w:p>
        </w:tc>
      </w:tr>
      <w:tr w14:paraId="7DEBF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3917" w:type="dxa"/>
            <w:gridSpan w:val="7"/>
            <w:shd w:val="clear" w:color="auto" w:fill="auto"/>
            <w:vAlign w:val="center"/>
          </w:tcPr>
          <w:p w14:paraId="44784D9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凸轮自动化滚花装配设备</w:t>
            </w:r>
          </w:p>
        </w:tc>
      </w:tr>
      <w:tr w14:paraId="1878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FA29C4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997" w:type="dxa"/>
            <w:shd w:val="clear" w:color="auto" w:fill="auto"/>
            <w:vAlign w:val="center"/>
          </w:tcPr>
          <w:p w14:paraId="145A2A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主机部分</w:t>
            </w:r>
          </w:p>
        </w:tc>
        <w:tc>
          <w:tcPr>
            <w:tcW w:w="3015" w:type="dxa"/>
            <w:shd w:val="clear" w:color="auto" w:fill="auto"/>
            <w:vAlign w:val="center"/>
          </w:tcPr>
          <w:p w14:paraId="388ABD42">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20D2A2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ED9F9EE">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D60E84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9D63302">
            <w:pPr>
              <w:jc w:val="center"/>
              <w:rPr>
                <w:rFonts w:hint="eastAsia" w:ascii="宋体" w:hAnsi="宋体" w:eastAsia="宋体" w:cs="宋体"/>
                <w:sz w:val="20"/>
                <w:szCs w:val="20"/>
                <w:highlight w:val="yellow"/>
              </w:rPr>
            </w:pPr>
          </w:p>
        </w:tc>
      </w:tr>
      <w:tr w14:paraId="0FFAD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9B486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997" w:type="dxa"/>
            <w:shd w:val="clear" w:color="auto" w:fill="auto"/>
            <w:vAlign w:val="center"/>
          </w:tcPr>
          <w:p w14:paraId="4301E8F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钢管机器人</w:t>
            </w:r>
          </w:p>
        </w:tc>
        <w:tc>
          <w:tcPr>
            <w:tcW w:w="3015" w:type="dxa"/>
            <w:shd w:val="clear" w:color="auto" w:fill="auto"/>
            <w:vAlign w:val="center"/>
          </w:tcPr>
          <w:p w14:paraId="6F52321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BE2C39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C6D874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75E6A67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CD6892E">
            <w:pPr>
              <w:jc w:val="center"/>
              <w:rPr>
                <w:rFonts w:hint="eastAsia" w:ascii="宋体" w:hAnsi="宋体" w:eastAsia="宋体" w:cs="宋体"/>
                <w:sz w:val="20"/>
                <w:szCs w:val="20"/>
                <w:highlight w:val="yellow"/>
              </w:rPr>
            </w:pPr>
          </w:p>
        </w:tc>
      </w:tr>
      <w:tr w14:paraId="1A06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B991F1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997" w:type="dxa"/>
            <w:shd w:val="clear" w:color="auto" w:fill="auto"/>
            <w:vAlign w:val="center"/>
          </w:tcPr>
          <w:p w14:paraId="3A25822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凸轮机器人</w:t>
            </w:r>
          </w:p>
        </w:tc>
        <w:tc>
          <w:tcPr>
            <w:tcW w:w="3015" w:type="dxa"/>
            <w:shd w:val="clear" w:color="auto" w:fill="auto"/>
            <w:vAlign w:val="center"/>
          </w:tcPr>
          <w:p w14:paraId="0C06430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4F9CEB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7D569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F9B0E8C">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DF5A630">
            <w:pPr>
              <w:jc w:val="center"/>
              <w:rPr>
                <w:rFonts w:hint="eastAsia" w:ascii="宋体" w:hAnsi="宋体" w:eastAsia="宋体" w:cs="宋体"/>
                <w:sz w:val="20"/>
                <w:szCs w:val="20"/>
                <w:highlight w:val="yellow"/>
              </w:rPr>
            </w:pPr>
          </w:p>
        </w:tc>
      </w:tr>
      <w:tr w14:paraId="6861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45B966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997" w:type="dxa"/>
            <w:shd w:val="clear" w:color="auto" w:fill="auto"/>
            <w:vAlign w:val="center"/>
          </w:tcPr>
          <w:p w14:paraId="374A70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凸轮压装电机、电缸</w:t>
            </w:r>
          </w:p>
        </w:tc>
        <w:tc>
          <w:tcPr>
            <w:tcW w:w="3015" w:type="dxa"/>
            <w:shd w:val="clear" w:color="auto" w:fill="auto"/>
            <w:vAlign w:val="center"/>
          </w:tcPr>
          <w:p w14:paraId="0541FE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77E13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0546E6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0D424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E558A62">
            <w:pPr>
              <w:jc w:val="center"/>
              <w:rPr>
                <w:rFonts w:hint="eastAsia" w:ascii="宋体" w:hAnsi="宋体" w:eastAsia="宋体" w:cs="宋体"/>
                <w:sz w:val="20"/>
                <w:szCs w:val="20"/>
                <w:highlight w:val="yellow"/>
              </w:rPr>
            </w:pPr>
          </w:p>
        </w:tc>
      </w:tr>
      <w:tr w14:paraId="3936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5C612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997" w:type="dxa"/>
            <w:shd w:val="clear" w:color="auto" w:fill="auto"/>
            <w:vAlign w:val="center"/>
          </w:tcPr>
          <w:p w14:paraId="2B388AA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止推片加热、伺服电缸</w:t>
            </w:r>
          </w:p>
        </w:tc>
        <w:tc>
          <w:tcPr>
            <w:tcW w:w="3015" w:type="dxa"/>
            <w:shd w:val="clear" w:color="auto" w:fill="auto"/>
            <w:vAlign w:val="center"/>
          </w:tcPr>
          <w:p w14:paraId="49549F2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9CF56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04860B0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72A1FA9">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89DCDC3">
            <w:pPr>
              <w:jc w:val="center"/>
              <w:rPr>
                <w:rFonts w:hint="eastAsia" w:ascii="宋体" w:hAnsi="宋体" w:eastAsia="宋体" w:cs="宋体"/>
                <w:sz w:val="20"/>
                <w:szCs w:val="20"/>
                <w:highlight w:val="yellow"/>
              </w:rPr>
            </w:pPr>
          </w:p>
        </w:tc>
      </w:tr>
      <w:tr w14:paraId="22D56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060AE3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997" w:type="dxa"/>
            <w:shd w:val="clear" w:color="auto" w:fill="auto"/>
            <w:vAlign w:val="center"/>
          </w:tcPr>
          <w:p w14:paraId="32C2F69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激光器、扫码枪</w:t>
            </w:r>
          </w:p>
        </w:tc>
        <w:tc>
          <w:tcPr>
            <w:tcW w:w="3015" w:type="dxa"/>
            <w:shd w:val="clear" w:color="auto" w:fill="auto"/>
            <w:vAlign w:val="center"/>
          </w:tcPr>
          <w:p w14:paraId="56680006">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984313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F244A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1057C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252AF474">
            <w:pPr>
              <w:jc w:val="center"/>
              <w:rPr>
                <w:rFonts w:hint="eastAsia" w:ascii="宋体" w:hAnsi="宋体" w:eastAsia="宋体" w:cs="宋体"/>
                <w:sz w:val="20"/>
                <w:szCs w:val="20"/>
                <w:highlight w:val="yellow"/>
              </w:rPr>
            </w:pPr>
          </w:p>
        </w:tc>
      </w:tr>
      <w:tr w14:paraId="2253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21C027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3997" w:type="dxa"/>
            <w:shd w:val="clear" w:color="auto" w:fill="auto"/>
            <w:vAlign w:val="center"/>
          </w:tcPr>
          <w:p w14:paraId="5C97F5E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视觉识别</w:t>
            </w:r>
          </w:p>
        </w:tc>
        <w:tc>
          <w:tcPr>
            <w:tcW w:w="3015" w:type="dxa"/>
            <w:shd w:val="clear" w:color="auto" w:fill="auto"/>
            <w:vAlign w:val="center"/>
          </w:tcPr>
          <w:p w14:paraId="21BC0D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48971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5E6D5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5DCD7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74CD6B4">
            <w:pPr>
              <w:jc w:val="center"/>
              <w:rPr>
                <w:rFonts w:hint="eastAsia" w:ascii="宋体" w:hAnsi="宋体" w:eastAsia="宋体" w:cs="宋体"/>
                <w:sz w:val="20"/>
                <w:szCs w:val="20"/>
                <w:highlight w:val="yellow"/>
              </w:rPr>
            </w:pPr>
          </w:p>
        </w:tc>
      </w:tr>
      <w:tr w14:paraId="45701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11E7BC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997" w:type="dxa"/>
            <w:shd w:val="clear" w:color="auto" w:fill="auto"/>
            <w:vAlign w:val="center"/>
          </w:tcPr>
          <w:p w14:paraId="037EB78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控制系统</w:t>
            </w:r>
          </w:p>
        </w:tc>
        <w:tc>
          <w:tcPr>
            <w:tcW w:w="3015" w:type="dxa"/>
            <w:shd w:val="clear" w:color="auto" w:fill="auto"/>
            <w:vAlign w:val="center"/>
          </w:tcPr>
          <w:p w14:paraId="206EA80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FF8C5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0E041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790494B">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A58EBF0">
            <w:pPr>
              <w:jc w:val="center"/>
              <w:rPr>
                <w:rFonts w:hint="eastAsia" w:ascii="宋体" w:hAnsi="宋体" w:eastAsia="宋体" w:cs="宋体"/>
                <w:sz w:val="20"/>
                <w:szCs w:val="20"/>
                <w:highlight w:val="yellow"/>
              </w:rPr>
            </w:pPr>
          </w:p>
        </w:tc>
      </w:tr>
      <w:tr w14:paraId="53DE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E34EA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3997" w:type="dxa"/>
            <w:shd w:val="clear" w:color="auto" w:fill="auto"/>
            <w:vAlign w:val="center"/>
          </w:tcPr>
          <w:p w14:paraId="644DAE3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安全防护</w:t>
            </w:r>
          </w:p>
        </w:tc>
        <w:tc>
          <w:tcPr>
            <w:tcW w:w="3015" w:type="dxa"/>
            <w:shd w:val="clear" w:color="auto" w:fill="auto"/>
            <w:vAlign w:val="center"/>
          </w:tcPr>
          <w:p w14:paraId="27B9468E">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61A2C03">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6585D9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3139DBB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142787">
            <w:pPr>
              <w:jc w:val="center"/>
              <w:rPr>
                <w:rFonts w:hint="eastAsia" w:ascii="宋体" w:hAnsi="宋体" w:eastAsia="宋体" w:cs="宋体"/>
                <w:sz w:val="20"/>
                <w:szCs w:val="20"/>
                <w:highlight w:val="yellow"/>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1B7930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3997" w:type="dxa"/>
            <w:vAlign w:val="center"/>
          </w:tcPr>
          <w:p w14:paraId="3A8FB94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信息化（2台MES对接）</w:t>
            </w:r>
          </w:p>
        </w:tc>
        <w:tc>
          <w:tcPr>
            <w:tcW w:w="3015" w:type="dxa"/>
            <w:vAlign w:val="center"/>
          </w:tcPr>
          <w:p w14:paraId="36C299F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6298E6F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1EE1EDA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5C66B1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6AA8DEB2">
            <w:pPr>
              <w:jc w:val="center"/>
              <w:rPr>
                <w:rFonts w:hint="eastAsia" w:ascii="宋体" w:hAnsi="宋体" w:eastAsia="宋体" w:cs="宋体"/>
                <w:sz w:val="20"/>
                <w:szCs w:val="20"/>
                <w:highlight w:val="yellow"/>
              </w:rPr>
            </w:pPr>
          </w:p>
        </w:tc>
      </w:tr>
      <w:tr w14:paraId="4CED8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28C284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3997" w:type="dxa"/>
            <w:vAlign w:val="center"/>
          </w:tcPr>
          <w:p w14:paraId="09A433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旧设备搬迁及地基</w:t>
            </w:r>
          </w:p>
        </w:tc>
        <w:tc>
          <w:tcPr>
            <w:tcW w:w="3015" w:type="dxa"/>
            <w:vAlign w:val="center"/>
          </w:tcPr>
          <w:p w14:paraId="48209A2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49B1211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7D73B8C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28DFBB1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138B55C">
            <w:pPr>
              <w:jc w:val="center"/>
              <w:rPr>
                <w:rFonts w:hint="eastAsia" w:ascii="宋体" w:hAnsi="宋体" w:eastAsia="宋体" w:cs="宋体"/>
                <w:sz w:val="20"/>
                <w:szCs w:val="20"/>
                <w:highlight w:val="yellow"/>
              </w:rPr>
            </w:pPr>
          </w:p>
        </w:tc>
      </w:tr>
    </w:tbl>
    <w:p w14:paraId="395D2BB0">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07DEC732">
      <w:pPr>
        <w:sectPr>
          <w:footerReference r:id="rId29"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62D2A5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济南发动机厂组合式凸轮轴工艺装备技改项目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207773C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济南发动机厂组合式凸轮轴工艺装备技改项目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C66A66C">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济南发动机厂组合式凸轮轴工艺装备技改项目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济南发动机厂组合式凸轮轴工艺装备技改项目</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3D509417">
      <w:pPr>
        <w:pStyle w:val="16"/>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9F75B8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308DF7B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2558BF3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76EE9DD2">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26D6FA2E">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5DAC7889">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38A7AD0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77F97AD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2A69569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B7DD08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35AF23F0">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1D698E1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08B8EF89">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5F5A8274">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419014B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1573FDF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D40BB3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3E7F6A1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14:paraId="16A9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474" w:type="dxa"/>
            <w:gridSpan w:val="9"/>
            <w:tcBorders>
              <w:top w:val="single" w:color="000000" w:sz="2" w:space="0"/>
              <w:left w:val="single" w:color="000000" w:sz="2" w:space="0"/>
              <w:bottom w:val="single" w:color="000000" w:sz="2" w:space="0"/>
              <w:right w:val="single" w:color="000000" w:sz="2" w:space="0"/>
            </w:tcBorders>
            <w:shd w:val="clear" w:color="auto" w:fill="auto"/>
            <w:vAlign w:val="center"/>
          </w:tcPr>
          <w:p w14:paraId="19B45AA5">
            <w:pPr>
              <w:jc w:val="center"/>
              <w:rPr>
                <w:rFonts w:hint="default" w:ascii="宋体" w:hAnsi="宋体" w:eastAsia="宋体" w:cs="宋体"/>
                <w:b w:val="0"/>
                <w:bCs w:val="0"/>
                <w:kern w:val="0"/>
                <w:sz w:val="20"/>
                <w:szCs w:val="20"/>
                <w:lang w:val="en-US"/>
              </w:rPr>
            </w:pPr>
            <w:r>
              <w:rPr>
                <w:rFonts w:hint="eastAsia" w:ascii="宋体" w:hAnsi="宋体" w:eastAsia="宋体" w:cs="宋体"/>
                <w:sz w:val="20"/>
                <w:szCs w:val="20"/>
                <w:highlight w:val="none"/>
                <w:lang w:val="en-US" w:eastAsia="zh-CN"/>
              </w:rPr>
              <w:t>堵头压装设备</w:t>
            </w: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主机部分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AAB590D">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1AEA1E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268FFE9">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0EFF466">
            <w:pPr>
              <w:jc w:val="center"/>
              <w:rPr>
                <w:rFonts w:hint="eastAsia" w:ascii="宋体" w:hAnsi="宋体" w:eastAsia="宋体" w:cs="宋体"/>
                <w:b w:val="0"/>
                <w:bCs w:val="0"/>
                <w:kern w:val="0"/>
                <w:sz w:val="20"/>
                <w:szCs w:val="20"/>
              </w:rPr>
            </w:pPr>
          </w:p>
        </w:tc>
      </w:tr>
      <w:tr w14:paraId="2A2E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6DB4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3E11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钢管夹持、旋转部分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071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E615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A12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DFA57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0BCCE8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1C8D38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C894164">
            <w:pPr>
              <w:jc w:val="center"/>
              <w:rPr>
                <w:rFonts w:hint="eastAsia" w:ascii="宋体" w:hAnsi="宋体" w:eastAsia="宋体" w:cs="宋体"/>
                <w:b w:val="0"/>
                <w:bCs w:val="0"/>
                <w:kern w:val="0"/>
                <w:sz w:val="20"/>
                <w:szCs w:val="20"/>
              </w:rPr>
            </w:pPr>
          </w:p>
        </w:tc>
      </w:tr>
      <w:tr w14:paraId="50C29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A704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E783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钢管加热部分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F099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4B4A7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451B5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F58739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3BF17CF">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F89C36">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BACC27">
            <w:pPr>
              <w:jc w:val="center"/>
              <w:rPr>
                <w:rFonts w:hint="eastAsia" w:ascii="宋体" w:hAnsi="宋体" w:eastAsia="宋体" w:cs="宋体"/>
                <w:b w:val="0"/>
                <w:bCs w:val="0"/>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BC5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堵头上料部分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B635F17">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226419D">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943425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4ADDC67">
            <w:pPr>
              <w:jc w:val="center"/>
              <w:rPr>
                <w:rFonts w:hint="eastAsia" w:ascii="宋体" w:hAnsi="宋体" w:eastAsia="宋体" w:cs="宋体"/>
                <w:b w:val="0"/>
                <w:bCs w:val="0"/>
                <w:kern w:val="0"/>
                <w:sz w:val="20"/>
                <w:szCs w:val="20"/>
              </w:rPr>
            </w:pPr>
          </w:p>
        </w:tc>
      </w:tr>
      <w:tr w14:paraId="41DA6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24277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BCBA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堵头压装部分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D80D4E">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0791BA">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54A505">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6B6A0C1">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BCFD8C4">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C6C14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CEE68BC">
            <w:pPr>
              <w:jc w:val="center"/>
              <w:rPr>
                <w:rFonts w:hint="eastAsia" w:ascii="宋体" w:hAnsi="宋体" w:eastAsia="宋体" w:cs="宋体"/>
                <w:b w:val="0"/>
                <w:bCs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57B0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31197E8">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ACBC8C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608FCCA">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75FE404">
            <w:pPr>
              <w:jc w:val="center"/>
              <w:rPr>
                <w:rFonts w:hint="eastAsia" w:ascii="宋体" w:hAnsi="宋体" w:eastAsia="宋体" w:cs="宋体"/>
                <w:b w:val="0"/>
                <w:bCs w:val="0"/>
                <w:sz w:val="20"/>
                <w:szCs w:val="20"/>
              </w:rPr>
            </w:pPr>
          </w:p>
        </w:tc>
      </w:tr>
      <w:tr w14:paraId="76038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474" w:type="dxa"/>
            <w:gridSpan w:val="9"/>
            <w:tcBorders>
              <w:top w:val="single" w:color="000000" w:sz="2" w:space="0"/>
              <w:left w:val="single" w:color="000000" w:sz="2" w:space="0"/>
              <w:bottom w:val="single" w:color="000000" w:sz="2" w:space="0"/>
              <w:right w:val="single" w:color="000000" w:sz="2" w:space="0"/>
            </w:tcBorders>
            <w:shd w:val="clear" w:color="auto" w:fill="auto"/>
            <w:vAlign w:val="center"/>
          </w:tcPr>
          <w:p w14:paraId="71C51DA2">
            <w:pPr>
              <w:jc w:val="center"/>
              <w:rPr>
                <w:rFonts w:hint="eastAsia" w:ascii="宋体" w:hAnsi="宋体" w:eastAsia="宋体" w:cs="宋体"/>
                <w:b w:val="0"/>
                <w:bCs w:val="0"/>
                <w:sz w:val="20"/>
                <w:szCs w:val="20"/>
              </w:rPr>
            </w:pPr>
            <w:r>
              <w:rPr>
                <w:rFonts w:hint="eastAsia" w:ascii="宋体" w:hAnsi="宋体" w:eastAsia="宋体" w:cs="宋体"/>
                <w:i w:val="0"/>
                <w:iCs w:val="0"/>
                <w:color w:val="000000"/>
                <w:kern w:val="0"/>
                <w:sz w:val="20"/>
                <w:szCs w:val="20"/>
                <w:u w:val="none"/>
                <w:lang w:val="en-US" w:eastAsia="zh-CN" w:bidi="ar"/>
              </w:rPr>
              <w:t>凸轮自动化滚花装配设备</w:t>
            </w:r>
          </w:p>
        </w:tc>
      </w:tr>
      <w:tr w14:paraId="7AF5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B0B7CA">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7B31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主机部分</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876A4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A75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9BEB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B52A6E0">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D81949D">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FE7E42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69DC397">
            <w:pPr>
              <w:jc w:val="center"/>
              <w:rPr>
                <w:rFonts w:hint="eastAsia" w:ascii="宋体" w:hAnsi="宋体" w:eastAsia="宋体" w:cs="宋体"/>
                <w:b w:val="0"/>
                <w:bCs w:val="0"/>
                <w:sz w:val="20"/>
                <w:szCs w:val="20"/>
              </w:rPr>
            </w:pPr>
          </w:p>
        </w:tc>
      </w:tr>
      <w:tr w14:paraId="241F0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2F04E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8F58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钢管机器人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1CE6F1">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6C0C8">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0FF3DF">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EA31E8F">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9A5E705">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C90F5F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447D466">
            <w:pPr>
              <w:jc w:val="center"/>
              <w:rPr>
                <w:rFonts w:hint="eastAsia" w:ascii="宋体" w:hAnsi="宋体" w:eastAsia="宋体" w:cs="宋体"/>
                <w:b w:val="0"/>
                <w:bCs w:val="0"/>
                <w:sz w:val="20"/>
                <w:szCs w:val="20"/>
              </w:rPr>
            </w:pPr>
          </w:p>
        </w:tc>
      </w:tr>
      <w:tr w14:paraId="59457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9F965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A91A6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凸轮机器人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96B6C7">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01279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A32E3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3AC3C46">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8A4F322">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2195DF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ABECD11">
            <w:pPr>
              <w:jc w:val="center"/>
              <w:rPr>
                <w:rFonts w:hint="eastAsia" w:ascii="宋体" w:hAnsi="宋体" w:eastAsia="宋体" w:cs="宋体"/>
                <w:b w:val="0"/>
                <w:bCs w:val="0"/>
                <w:sz w:val="20"/>
                <w:szCs w:val="20"/>
              </w:rPr>
            </w:pPr>
          </w:p>
        </w:tc>
      </w:tr>
      <w:tr w14:paraId="2BD7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E89B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5FCB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凸轮压装电机、电缸</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F729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C6716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3AC12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69FB3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097A3E6">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2FFFF40">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455A296">
            <w:pPr>
              <w:jc w:val="center"/>
              <w:rPr>
                <w:rFonts w:hint="eastAsia" w:ascii="宋体" w:hAnsi="宋体" w:eastAsia="宋体" w:cs="宋体"/>
                <w:b w:val="0"/>
                <w:bCs w:val="0"/>
                <w:sz w:val="20"/>
                <w:szCs w:val="20"/>
              </w:rPr>
            </w:pPr>
          </w:p>
        </w:tc>
      </w:tr>
      <w:tr w14:paraId="74C4D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3AD5F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C9A1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止推片加热、伺服电缸</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3E32F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51F041">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96B308">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A56E9ED">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45F80772">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9E8CB9C">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FF5B164">
            <w:pPr>
              <w:jc w:val="center"/>
              <w:rPr>
                <w:rFonts w:hint="eastAsia" w:ascii="宋体" w:hAnsi="宋体" w:eastAsia="宋体" w:cs="宋体"/>
                <w:b w:val="0"/>
                <w:bCs w:val="0"/>
                <w:sz w:val="20"/>
                <w:szCs w:val="20"/>
              </w:rPr>
            </w:pPr>
          </w:p>
        </w:tc>
      </w:tr>
      <w:tr w14:paraId="5107F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5FDC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7AD9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激光器、扫码枪</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D3028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2A67E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FC5DB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8145CF0">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2A5C923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0EAF91A0">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9E5CE10">
            <w:pPr>
              <w:jc w:val="center"/>
              <w:rPr>
                <w:rFonts w:hint="eastAsia" w:ascii="宋体" w:hAnsi="宋体" w:eastAsia="宋体" w:cs="宋体"/>
                <w:b w:val="0"/>
                <w:bCs w:val="0"/>
                <w:sz w:val="20"/>
                <w:szCs w:val="20"/>
              </w:rPr>
            </w:pPr>
          </w:p>
        </w:tc>
      </w:tr>
      <w:tr w14:paraId="7F39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05227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5CA0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视觉识别</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55C551">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58F538">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20FDC7">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D0E3837">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3528405">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EFEFD3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0C900E3">
            <w:pPr>
              <w:jc w:val="center"/>
              <w:rPr>
                <w:rFonts w:hint="eastAsia" w:ascii="宋体" w:hAnsi="宋体" w:eastAsia="宋体" w:cs="宋体"/>
                <w:b w:val="0"/>
                <w:bCs w:val="0"/>
                <w:sz w:val="20"/>
                <w:szCs w:val="20"/>
              </w:rPr>
            </w:pPr>
          </w:p>
        </w:tc>
      </w:tr>
      <w:tr w14:paraId="4949B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9E569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813B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F076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9881E4">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115A89">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866C5F4">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4061FC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5BCA5C86">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29370B7">
            <w:pPr>
              <w:jc w:val="center"/>
              <w:rPr>
                <w:rFonts w:hint="eastAsia" w:ascii="宋体" w:hAnsi="宋体" w:eastAsia="宋体" w:cs="宋体"/>
                <w:b w:val="0"/>
                <w:bCs w:val="0"/>
                <w:sz w:val="20"/>
                <w:szCs w:val="20"/>
              </w:rPr>
            </w:pPr>
          </w:p>
        </w:tc>
      </w:tr>
      <w:tr w14:paraId="3DD12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9B3BA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E90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安全防护</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90CBB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8D82E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27D03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C436B5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81126B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6CCE2D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7252E42">
            <w:pPr>
              <w:jc w:val="center"/>
              <w:rPr>
                <w:rFonts w:hint="eastAsia" w:ascii="宋体" w:hAnsi="宋体" w:eastAsia="宋体" w:cs="宋体"/>
                <w:b w:val="0"/>
                <w:bCs w:val="0"/>
                <w:sz w:val="20"/>
                <w:szCs w:val="20"/>
              </w:rPr>
            </w:pPr>
          </w:p>
        </w:tc>
      </w:tr>
      <w:tr w14:paraId="0348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924D8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C823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信息化（2台MES对接）</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5484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1D12F9">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6B1DBB">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495C283">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963F1A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703E20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732973">
            <w:pPr>
              <w:jc w:val="center"/>
              <w:rPr>
                <w:rFonts w:hint="eastAsia" w:ascii="宋体" w:hAnsi="宋体" w:eastAsia="宋体" w:cs="宋体"/>
                <w:b w:val="0"/>
                <w:bCs w:val="0"/>
                <w:sz w:val="20"/>
                <w:szCs w:val="20"/>
              </w:rPr>
            </w:pPr>
          </w:p>
        </w:tc>
      </w:tr>
      <w:tr w14:paraId="70332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6CDF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6500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旧设备搬迁及地基</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2C914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332D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59EA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2F86F8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C5B4BE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E8036A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47A7A79">
            <w:pPr>
              <w:jc w:val="center"/>
              <w:rPr>
                <w:rFonts w:hint="eastAsia" w:ascii="宋体" w:hAnsi="宋体" w:eastAsia="宋体" w:cs="宋体"/>
                <w:b w:val="0"/>
                <w:bCs w:val="0"/>
                <w:sz w:val="20"/>
                <w:szCs w:val="20"/>
              </w:rPr>
            </w:pPr>
          </w:p>
        </w:tc>
      </w:tr>
      <w:tr w14:paraId="772A3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8B188F">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0803BF9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35"/>
                <w:rFonts w:hint="eastAsia" w:ascii="宋体" w:hAnsi="宋体" w:eastAsia="宋体" w:cs="宋体"/>
                <w:b/>
                <w:bCs/>
                <w:sz w:val="20"/>
                <w:szCs w:val="20"/>
                <w:lang w:val="en-US" w:eastAsia="zh-CN" w:bidi="ar"/>
              </w:rPr>
              <w:t xml:space="preserve">价合计列入价格汇总表 </w:t>
            </w:r>
            <w:r>
              <w:rPr>
                <w:rStyle w:val="136"/>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553E25FB">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14:paraId="1DAFBC16">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4931955C">
      <w:pPr>
        <w:sectPr>
          <w:footerReference r:id="rId32"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52FD9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4E0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47FD7228">
            <w:pPr>
              <w:spacing w:line="296" w:lineRule="auto"/>
              <w:rPr>
                <w:rFonts w:ascii="Arial"/>
              </w:rPr>
            </w:pPr>
          </w:p>
          <w:p w14:paraId="5EAD809B">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14:paraId="1B5F18A1">
            <w:pPr>
              <w:spacing w:line="295" w:lineRule="auto"/>
              <w:rPr>
                <w:rFonts w:ascii="Arial"/>
              </w:rPr>
            </w:pPr>
          </w:p>
          <w:p w14:paraId="66B2F754">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14:paraId="0885302E">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14:paraId="6E2B019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14:paraId="5A668BB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14:paraId="48A18D11">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84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73D3D995">
            <w:pPr>
              <w:rPr>
                <w:rFonts w:ascii="Arial"/>
              </w:rPr>
            </w:pPr>
          </w:p>
        </w:tc>
        <w:tc>
          <w:tcPr>
            <w:tcW w:w="3530" w:type="dxa"/>
            <w:vMerge w:val="continue"/>
            <w:tcBorders>
              <w:top w:val="nil"/>
            </w:tcBorders>
            <w:noWrap w:val="0"/>
            <w:vAlign w:val="top"/>
          </w:tcPr>
          <w:p w14:paraId="2727DAE2">
            <w:pPr>
              <w:rPr>
                <w:rFonts w:ascii="Arial"/>
              </w:rPr>
            </w:pPr>
          </w:p>
        </w:tc>
        <w:tc>
          <w:tcPr>
            <w:tcW w:w="2159" w:type="dxa"/>
            <w:noWrap w:val="0"/>
            <w:vAlign w:val="top"/>
          </w:tcPr>
          <w:p w14:paraId="7A4AF9F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14:paraId="600B0B6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14:paraId="6C98B301">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14:paraId="7DA62C2A">
            <w:pPr>
              <w:spacing w:before="161" w:line="185" w:lineRule="auto"/>
              <w:ind w:left="1031"/>
              <w:rPr>
                <w:rFonts w:ascii="宋体" w:hAnsi="宋体" w:eastAsia="宋体" w:cs="宋体"/>
                <w:szCs w:val="21"/>
              </w:rPr>
            </w:pPr>
            <w:r>
              <w:rPr>
                <w:rFonts w:ascii="宋体" w:hAnsi="宋体" w:eastAsia="宋体" w:cs="宋体"/>
                <w:szCs w:val="21"/>
              </w:rPr>
              <w:t>4</w:t>
            </w:r>
          </w:p>
        </w:tc>
      </w:tr>
      <w:tr w14:paraId="40515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9F55985">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14:paraId="48E10860">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14:paraId="5A1BEFC8">
            <w:pPr>
              <w:rPr>
                <w:rFonts w:ascii="Arial"/>
              </w:rPr>
            </w:pPr>
          </w:p>
        </w:tc>
        <w:tc>
          <w:tcPr>
            <w:tcW w:w="2186" w:type="dxa"/>
            <w:noWrap w:val="0"/>
            <w:vAlign w:val="top"/>
          </w:tcPr>
          <w:p w14:paraId="4E012B4D">
            <w:pPr>
              <w:rPr>
                <w:rFonts w:ascii="Arial"/>
              </w:rPr>
            </w:pPr>
          </w:p>
        </w:tc>
        <w:tc>
          <w:tcPr>
            <w:tcW w:w="2596" w:type="dxa"/>
            <w:noWrap w:val="0"/>
            <w:vAlign w:val="top"/>
          </w:tcPr>
          <w:p w14:paraId="3EBE53CC">
            <w:pPr>
              <w:rPr>
                <w:rFonts w:ascii="Arial"/>
              </w:rPr>
            </w:pPr>
          </w:p>
        </w:tc>
        <w:tc>
          <w:tcPr>
            <w:tcW w:w="2164" w:type="dxa"/>
            <w:noWrap w:val="0"/>
            <w:vAlign w:val="top"/>
          </w:tcPr>
          <w:p w14:paraId="12BF52D3">
            <w:pPr>
              <w:rPr>
                <w:rFonts w:ascii="Arial"/>
              </w:rPr>
            </w:pPr>
          </w:p>
        </w:tc>
      </w:tr>
      <w:tr w14:paraId="08A48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B9BD274">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14:paraId="4F3DB22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14:paraId="30C91914">
            <w:pPr>
              <w:rPr>
                <w:rFonts w:ascii="Arial"/>
              </w:rPr>
            </w:pPr>
          </w:p>
        </w:tc>
        <w:tc>
          <w:tcPr>
            <w:tcW w:w="2186" w:type="dxa"/>
            <w:noWrap w:val="0"/>
            <w:vAlign w:val="top"/>
          </w:tcPr>
          <w:p w14:paraId="0C29838B">
            <w:pPr>
              <w:rPr>
                <w:rFonts w:ascii="Arial"/>
              </w:rPr>
            </w:pPr>
          </w:p>
        </w:tc>
        <w:tc>
          <w:tcPr>
            <w:tcW w:w="2596" w:type="dxa"/>
            <w:noWrap w:val="0"/>
            <w:vAlign w:val="top"/>
          </w:tcPr>
          <w:p w14:paraId="36F04CC6">
            <w:pPr>
              <w:rPr>
                <w:rFonts w:ascii="Arial"/>
              </w:rPr>
            </w:pPr>
          </w:p>
        </w:tc>
        <w:tc>
          <w:tcPr>
            <w:tcW w:w="2164" w:type="dxa"/>
            <w:vMerge w:val="restart"/>
            <w:tcBorders>
              <w:bottom w:val="nil"/>
            </w:tcBorders>
            <w:noWrap w:val="0"/>
            <w:vAlign w:val="top"/>
          </w:tcPr>
          <w:p w14:paraId="36D61613">
            <w:pPr>
              <w:spacing w:line="295" w:lineRule="auto"/>
              <w:rPr>
                <w:rFonts w:ascii="Arial"/>
              </w:rPr>
            </w:pPr>
          </w:p>
          <w:p w14:paraId="1AD0BB8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B11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7AFE316C">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14:paraId="32667D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14:paraId="3837B04E">
            <w:pPr>
              <w:rPr>
                <w:rFonts w:ascii="Arial"/>
              </w:rPr>
            </w:pPr>
          </w:p>
        </w:tc>
        <w:tc>
          <w:tcPr>
            <w:tcW w:w="2186" w:type="dxa"/>
            <w:noWrap w:val="0"/>
            <w:vAlign w:val="top"/>
          </w:tcPr>
          <w:p w14:paraId="2B872907">
            <w:pPr>
              <w:rPr>
                <w:rFonts w:ascii="Arial"/>
              </w:rPr>
            </w:pPr>
          </w:p>
        </w:tc>
        <w:tc>
          <w:tcPr>
            <w:tcW w:w="2596" w:type="dxa"/>
            <w:noWrap w:val="0"/>
            <w:vAlign w:val="top"/>
          </w:tcPr>
          <w:p w14:paraId="2C94548B">
            <w:pPr>
              <w:rPr>
                <w:rFonts w:ascii="Arial"/>
              </w:rPr>
            </w:pPr>
          </w:p>
        </w:tc>
        <w:tc>
          <w:tcPr>
            <w:tcW w:w="2164" w:type="dxa"/>
            <w:vMerge w:val="continue"/>
            <w:tcBorders>
              <w:top w:val="nil"/>
            </w:tcBorders>
            <w:noWrap w:val="0"/>
            <w:vAlign w:val="top"/>
          </w:tcPr>
          <w:p w14:paraId="2AC550E1">
            <w:pPr>
              <w:rPr>
                <w:rFonts w:ascii="Arial"/>
              </w:rPr>
            </w:pPr>
          </w:p>
        </w:tc>
      </w:tr>
      <w:tr w14:paraId="5FD7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0322A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14:paraId="3D72CC9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14:paraId="7F02F3D0">
            <w:pPr>
              <w:rPr>
                <w:rFonts w:ascii="Arial"/>
              </w:rPr>
            </w:pPr>
          </w:p>
        </w:tc>
        <w:tc>
          <w:tcPr>
            <w:tcW w:w="2186" w:type="dxa"/>
            <w:noWrap w:val="0"/>
            <w:vAlign w:val="top"/>
          </w:tcPr>
          <w:p w14:paraId="43FE3BF3">
            <w:pPr>
              <w:rPr>
                <w:rFonts w:ascii="Arial"/>
              </w:rPr>
            </w:pPr>
          </w:p>
        </w:tc>
        <w:tc>
          <w:tcPr>
            <w:tcW w:w="2596" w:type="dxa"/>
            <w:noWrap w:val="0"/>
            <w:vAlign w:val="top"/>
          </w:tcPr>
          <w:p w14:paraId="3A413899">
            <w:pPr>
              <w:rPr>
                <w:rFonts w:ascii="Arial"/>
              </w:rPr>
            </w:pPr>
          </w:p>
        </w:tc>
        <w:tc>
          <w:tcPr>
            <w:tcW w:w="2164" w:type="dxa"/>
            <w:noWrap w:val="0"/>
            <w:vAlign w:val="top"/>
          </w:tcPr>
          <w:p w14:paraId="5FCA3779">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8B71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4245A49C">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14:paraId="237B3B41">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14:paraId="0B0B1421">
            <w:pPr>
              <w:rPr>
                <w:rFonts w:ascii="Arial"/>
              </w:rPr>
            </w:pPr>
          </w:p>
        </w:tc>
        <w:tc>
          <w:tcPr>
            <w:tcW w:w="2186" w:type="dxa"/>
            <w:noWrap w:val="0"/>
            <w:vAlign w:val="top"/>
          </w:tcPr>
          <w:p w14:paraId="16107EAD">
            <w:pPr>
              <w:rPr>
                <w:rFonts w:ascii="Arial"/>
              </w:rPr>
            </w:pPr>
          </w:p>
        </w:tc>
        <w:tc>
          <w:tcPr>
            <w:tcW w:w="2596" w:type="dxa"/>
            <w:noWrap w:val="0"/>
            <w:vAlign w:val="top"/>
          </w:tcPr>
          <w:p w14:paraId="56B16331">
            <w:pPr>
              <w:rPr>
                <w:rFonts w:ascii="Arial"/>
              </w:rPr>
            </w:pPr>
          </w:p>
        </w:tc>
        <w:tc>
          <w:tcPr>
            <w:tcW w:w="2164" w:type="dxa"/>
            <w:noWrap w:val="0"/>
            <w:vAlign w:val="top"/>
          </w:tcPr>
          <w:p w14:paraId="3F016EE7">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0FF1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31BAF5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14:paraId="69DC5A79">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A8B1332">
      <w:pPr>
        <w:spacing w:line="172" w:lineRule="exact"/>
      </w:pPr>
    </w:p>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96DB657">
      <w:pPr>
        <w:rPr>
          <w:sz w:val="24"/>
          <w:szCs w:val="24"/>
        </w:rPr>
        <w:sectPr>
          <w:footerReference r:id="rId33" w:type="default"/>
          <w:pgSz w:w="16841" w:h="11907"/>
          <w:pgMar w:top="400" w:right="1699" w:bottom="1184" w:left="1481" w:header="0" w:footer="1022" w:gutter="0"/>
          <w:cols w:space="720" w:num="1"/>
        </w:sectPr>
      </w:pPr>
    </w:p>
    <w:p w14:paraId="4BB3FF42">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6"/>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82AC12">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14:paraId="42789972">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9B77D4">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14:paraId="71228EB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6"/>
      </w:pPr>
    </w:p>
    <w:p w14:paraId="321614E8">
      <w:pPr>
        <w:pStyle w:val="16"/>
      </w:pPr>
    </w:p>
    <w:p w14:paraId="0310FDC6">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济南发动机厂组合式凸轮轴工艺装备技改项目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17BA170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济南发动机厂组合式凸轮轴工艺装备技改项目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70CE9D6">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济南发动机厂组合式凸轮轴工艺装备技改项目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6"/>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济南发动机厂组合式凸轮轴工艺装备技改项目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6"/>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536516A6">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tbl>
      <w:tblPr>
        <w:tblStyle w:val="35"/>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52"/>
        <w:gridCol w:w="554"/>
        <w:gridCol w:w="2213"/>
        <w:gridCol w:w="582"/>
        <w:gridCol w:w="4796"/>
      </w:tblGrid>
      <w:tr w14:paraId="40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660" w:type="dxa"/>
            <w:noWrap w:val="0"/>
            <w:vAlign w:val="center"/>
          </w:tcPr>
          <w:p w14:paraId="792BCC83">
            <w:pPr>
              <w:tabs>
                <w:tab w:val="left" w:pos="13965"/>
              </w:tabs>
              <w:jc w:val="center"/>
              <w:rPr>
                <w:rFonts w:hint="eastAsia" w:ascii="宋体" w:hAnsi="宋体" w:cs="Times New Roman"/>
                <w:sz w:val="18"/>
                <w:szCs w:val="18"/>
              </w:rPr>
            </w:pPr>
            <w:r>
              <w:rPr>
                <w:rFonts w:hint="eastAsia" w:ascii="宋体" w:hAnsi="宋体" w:cs="Times New Roman"/>
                <w:sz w:val="18"/>
                <w:szCs w:val="18"/>
              </w:rPr>
              <w:t>评价类型</w:t>
            </w:r>
          </w:p>
        </w:tc>
        <w:tc>
          <w:tcPr>
            <w:tcW w:w="552" w:type="dxa"/>
            <w:noWrap w:val="0"/>
            <w:vAlign w:val="center"/>
          </w:tcPr>
          <w:p w14:paraId="24091540">
            <w:pPr>
              <w:tabs>
                <w:tab w:val="left" w:pos="13965"/>
              </w:tabs>
              <w:jc w:val="center"/>
              <w:rPr>
                <w:rFonts w:hint="eastAsia" w:ascii="宋体" w:hAnsi="宋体" w:cs="Times New Roman"/>
                <w:sz w:val="18"/>
                <w:szCs w:val="18"/>
              </w:rPr>
            </w:pPr>
            <w:r>
              <w:rPr>
                <w:rFonts w:hint="eastAsia" w:ascii="宋体" w:hAnsi="宋体" w:cs="Times New Roman"/>
                <w:sz w:val="18"/>
                <w:szCs w:val="18"/>
              </w:rPr>
              <w:t>评审内容</w:t>
            </w:r>
          </w:p>
        </w:tc>
        <w:tc>
          <w:tcPr>
            <w:tcW w:w="554" w:type="dxa"/>
            <w:noWrap w:val="0"/>
            <w:vAlign w:val="center"/>
          </w:tcPr>
          <w:p w14:paraId="5D7F9BC6">
            <w:pPr>
              <w:tabs>
                <w:tab w:val="left" w:pos="13965"/>
              </w:tabs>
              <w:jc w:val="center"/>
              <w:rPr>
                <w:rFonts w:hint="eastAsia" w:ascii="宋体" w:hAnsi="宋体" w:cs="Times New Roman"/>
                <w:sz w:val="18"/>
                <w:szCs w:val="18"/>
              </w:rPr>
            </w:pPr>
            <w:r>
              <w:rPr>
                <w:rFonts w:hint="eastAsia" w:ascii="宋体" w:hAnsi="宋体" w:cs="Times New Roman"/>
                <w:sz w:val="18"/>
                <w:szCs w:val="18"/>
              </w:rPr>
              <w:t>序号</w:t>
            </w:r>
          </w:p>
        </w:tc>
        <w:tc>
          <w:tcPr>
            <w:tcW w:w="2213" w:type="dxa"/>
            <w:noWrap w:val="0"/>
            <w:vAlign w:val="center"/>
          </w:tcPr>
          <w:p w14:paraId="06650892">
            <w:pPr>
              <w:tabs>
                <w:tab w:val="left" w:pos="13965"/>
              </w:tabs>
              <w:jc w:val="center"/>
              <w:rPr>
                <w:rFonts w:hint="eastAsia" w:ascii="宋体" w:hAnsi="宋体" w:cs="Times New Roman"/>
                <w:sz w:val="18"/>
                <w:szCs w:val="18"/>
              </w:rPr>
            </w:pPr>
            <w:r>
              <w:rPr>
                <w:rFonts w:hint="eastAsia" w:ascii="宋体" w:hAnsi="宋体" w:cs="Times New Roman"/>
                <w:sz w:val="18"/>
                <w:szCs w:val="18"/>
              </w:rPr>
              <w:t>内   容</w:t>
            </w:r>
          </w:p>
        </w:tc>
        <w:tc>
          <w:tcPr>
            <w:tcW w:w="582" w:type="dxa"/>
            <w:noWrap w:val="0"/>
            <w:vAlign w:val="center"/>
          </w:tcPr>
          <w:p w14:paraId="1CFAC543">
            <w:pPr>
              <w:tabs>
                <w:tab w:val="left" w:pos="13965"/>
              </w:tabs>
              <w:jc w:val="center"/>
              <w:rPr>
                <w:rFonts w:hint="eastAsia" w:ascii="宋体" w:hAnsi="宋体" w:cs="Times New Roman"/>
                <w:sz w:val="18"/>
                <w:szCs w:val="18"/>
              </w:rPr>
            </w:pPr>
            <w:r>
              <w:rPr>
                <w:rFonts w:hint="eastAsia" w:ascii="宋体" w:hAnsi="宋体" w:cs="Times New Roman"/>
                <w:sz w:val="18"/>
                <w:szCs w:val="18"/>
              </w:rPr>
              <w:t>标准分</w:t>
            </w:r>
          </w:p>
        </w:tc>
        <w:tc>
          <w:tcPr>
            <w:tcW w:w="4796" w:type="dxa"/>
            <w:noWrap w:val="0"/>
            <w:vAlign w:val="center"/>
          </w:tcPr>
          <w:p w14:paraId="638E30C8">
            <w:pPr>
              <w:tabs>
                <w:tab w:val="left" w:pos="13965"/>
              </w:tabs>
              <w:jc w:val="center"/>
              <w:rPr>
                <w:rFonts w:hint="eastAsia" w:ascii="宋体" w:hAnsi="宋体" w:cs="Times New Roman"/>
                <w:sz w:val="18"/>
                <w:szCs w:val="18"/>
              </w:rPr>
            </w:pPr>
            <w:r>
              <w:rPr>
                <w:rFonts w:hint="eastAsia" w:ascii="宋体" w:hAnsi="宋体" w:cs="Times New Roman"/>
                <w:sz w:val="18"/>
                <w:szCs w:val="18"/>
              </w:rPr>
              <w:t>评分标准</w:t>
            </w:r>
          </w:p>
        </w:tc>
      </w:tr>
      <w:tr w14:paraId="7591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660" w:type="dxa"/>
            <w:vMerge w:val="restart"/>
            <w:noWrap w:val="0"/>
            <w:vAlign w:val="center"/>
          </w:tcPr>
          <w:p w14:paraId="0B9F055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rPr>
              <w:t>技术</w:t>
            </w:r>
            <w:r>
              <w:rPr>
                <w:rFonts w:hint="eastAsia" w:ascii="宋体" w:hAnsi="宋体" w:cs="Times New Roman"/>
                <w:sz w:val="18"/>
                <w:szCs w:val="18"/>
                <w:lang w:val="en-US" w:eastAsia="zh-CN"/>
              </w:rPr>
              <w:t>标</w:t>
            </w:r>
          </w:p>
          <w:p w14:paraId="5DC5B85F">
            <w:pPr>
              <w:tabs>
                <w:tab w:val="left" w:pos="13965"/>
              </w:tabs>
              <w:jc w:val="center"/>
              <w:rPr>
                <w:rFonts w:hint="eastAsia" w:ascii="宋体" w:hAnsi="宋体" w:cs="Times New Roman"/>
                <w:sz w:val="18"/>
                <w:szCs w:val="18"/>
              </w:rPr>
            </w:pPr>
            <w:r>
              <w:rPr>
                <w:rFonts w:hint="eastAsia" w:ascii="宋体" w:hAnsi="宋体" w:cs="Times New Roman"/>
                <w:sz w:val="18"/>
                <w:szCs w:val="18"/>
              </w:rPr>
              <w:t>100分</w:t>
            </w:r>
          </w:p>
        </w:tc>
        <w:tc>
          <w:tcPr>
            <w:tcW w:w="552" w:type="dxa"/>
            <w:noWrap w:val="0"/>
            <w:vAlign w:val="center"/>
          </w:tcPr>
          <w:p w14:paraId="2EECBADF">
            <w:pPr>
              <w:tabs>
                <w:tab w:val="left" w:pos="13965"/>
              </w:tabs>
              <w:jc w:val="center"/>
              <w:rPr>
                <w:rFonts w:hint="eastAsia" w:ascii="宋体" w:hAnsi="宋体" w:cs="Times New Roman"/>
                <w:sz w:val="18"/>
                <w:szCs w:val="18"/>
              </w:rPr>
            </w:pPr>
            <w:r>
              <w:rPr>
                <w:rFonts w:hint="eastAsia" w:ascii="宋体" w:hAnsi="宋体" w:cs="Times New Roman"/>
                <w:sz w:val="18"/>
                <w:szCs w:val="18"/>
              </w:rPr>
              <w:t>业绩</w:t>
            </w:r>
          </w:p>
        </w:tc>
        <w:tc>
          <w:tcPr>
            <w:tcW w:w="554" w:type="dxa"/>
            <w:noWrap w:val="0"/>
            <w:vAlign w:val="center"/>
          </w:tcPr>
          <w:p w14:paraId="246E7D6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1</w:t>
            </w:r>
          </w:p>
        </w:tc>
        <w:tc>
          <w:tcPr>
            <w:tcW w:w="2213" w:type="dxa"/>
            <w:noWrap w:val="0"/>
            <w:vAlign w:val="center"/>
          </w:tcPr>
          <w:p w14:paraId="55D39BC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设备制造商同 类型项目业绩</w:t>
            </w:r>
          </w:p>
        </w:tc>
        <w:tc>
          <w:tcPr>
            <w:tcW w:w="582" w:type="dxa"/>
            <w:noWrap w:val="0"/>
            <w:vAlign w:val="center"/>
          </w:tcPr>
          <w:p w14:paraId="5D53F52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1E307217">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305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660" w:type="dxa"/>
            <w:vMerge w:val="continue"/>
            <w:noWrap w:val="0"/>
            <w:vAlign w:val="center"/>
          </w:tcPr>
          <w:p w14:paraId="6A39C70F">
            <w:pPr>
              <w:tabs>
                <w:tab w:val="left" w:pos="13965"/>
              </w:tabs>
              <w:jc w:val="center"/>
              <w:rPr>
                <w:rFonts w:hint="eastAsia" w:ascii="宋体" w:hAnsi="宋体" w:cs="Times New Roman"/>
                <w:sz w:val="18"/>
                <w:szCs w:val="18"/>
              </w:rPr>
            </w:pPr>
          </w:p>
        </w:tc>
        <w:tc>
          <w:tcPr>
            <w:tcW w:w="552" w:type="dxa"/>
            <w:vMerge w:val="restart"/>
            <w:noWrap w:val="0"/>
            <w:vAlign w:val="center"/>
          </w:tcPr>
          <w:p w14:paraId="1BB80FF0">
            <w:pPr>
              <w:tabs>
                <w:tab w:val="left" w:pos="13965"/>
              </w:tabs>
              <w:jc w:val="center"/>
              <w:rPr>
                <w:rFonts w:hint="eastAsia" w:ascii="宋体" w:hAnsi="宋体" w:cs="Times New Roman"/>
                <w:sz w:val="18"/>
                <w:szCs w:val="18"/>
              </w:rPr>
            </w:pPr>
            <w:r>
              <w:rPr>
                <w:rFonts w:hint="eastAsia" w:ascii="宋体" w:hAnsi="宋体" w:cs="Times New Roman"/>
                <w:sz w:val="18"/>
                <w:szCs w:val="18"/>
              </w:rPr>
              <w:t>产品技术</w:t>
            </w:r>
          </w:p>
        </w:tc>
        <w:tc>
          <w:tcPr>
            <w:tcW w:w="554" w:type="dxa"/>
            <w:noWrap w:val="0"/>
            <w:vAlign w:val="center"/>
          </w:tcPr>
          <w:p w14:paraId="143C2D77">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2</w:t>
            </w:r>
          </w:p>
        </w:tc>
        <w:tc>
          <w:tcPr>
            <w:tcW w:w="2213" w:type="dxa"/>
            <w:noWrap w:val="0"/>
            <w:vAlign w:val="center"/>
          </w:tcPr>
          <w:p w14:paraId="6E59C8E4">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设备制造商装备制造能力、生产设备、加工工艺、完善程度</w:t>
            </w:r>
          </w:p>
        </w:tc>
        <w:tc>
          <w:tcPr>
            <w:tcW w:w="582" w:type="dxa"/>
            <w:noWrap w:val="0"/>
            <w:vAlign w:val="center"/>
          </w:tcPr>
          <w:p w14:paraId="3ED3536D">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14C5BBD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421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9" w:hRule="atLeast"/>
          <w:jc w:val="center"/>
        </w:trPr>
        <w:tc>
          <w:tcPr>
            <w:tcW w:w="660" w:type="dxa"/>
            <w:vMerge w:val="continue"/>
            <w:noWrap w:val="0"/>
            <w:vAlign w:val="center"/>
          </w:tcPr>
          <w:p w14:paraId="2D8B6750">
            <w:pPr>
              <w:tabs>
                <w:tab w:val="left" w:pos="13965"/>
              </w:tabs>
              <w:jc w:val="center"/>
              <w:rPr>
                <w:rFonts w:hint="eastAsia" w:ascii="宋体" w:hAnsi="宋体" w:cs="Times New Roman"/>
                <w:sz w:val="18"/>
                <w:szCs w:val="18"/>
              </w:rPr>
            </w:pPr>
          </w:p>
        </w:tc>
        <w:tc>
          <w:tcPr>
            <w:tcW w:w="552" w:type="dxa"/>
            <w:vMerge w:val="continue"/>
            <w:noWrap w:val="0"/>
            <w:vAlign w:val="center"/>
          </w:tcPr>
          <w:p w14:paraId="2F9FF5A4">
            <w:pPr>
              <w:tabs>
                <w:tab w:val="left" w:pos="13965"/>
              </w:tabs>
              <w:jc w:val="center"/>
              <w:rPr>
                <w:rFonts w:hint="eastAsia" w:ascii="宋体" w:hAnsi="宋体" w:cs="Times New Roman"/>
                <w:sz w:val="18"/>
                <w:szCs w:val="18"/>
              </w:rPr>
            </w:pPr>
          </w:p>
        </w:tc>
        <w:tc>
          <w:tcPr>
            <w:tcW w:w="554" w:type="dxa"/>
            <w:noWrap w:val="0"/>
            <w:vAlign w:val="center"/>
          </w:tcPr>
          <w:p w14:paraId="0C4C28EF">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3</w:t>
            </w:r>
          </w:p>
        </w:tc>
        <w:tc>
          <w:tcPr>
            <w:tcW w:w="2213" w:type="dxa"/>
            <w:noWrap w:val="0"/>
            <w:vAlign w:val="center"/>
          </w:tcPr>
          <w:p w14:paraId="57B7193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产品方案技术先进、各系统完善、性能可靠，设备主要核心部件，具备自身技术优势</w:t>
            </w:r>
          </w:p>
        </w:tc>
        <w:tc>
          <w:tcPr>
            <w:tcW w:w="582" w:type="dxa"/>
            <w:noWrap w:val="0"/>
            <w:vAlign w:val="center"/>
          </w:tcPr>
          <w:p w14:paraId="0B134AB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50</w:t>
            </w:r>
          </w:p>
        </w:tc>
        <w:tc>
          <w:tcPr>
            <w:tcW w:w="4796" w:type="dxa"/>
            <w:noWrap w:val="0"/>
            <w:vAlign w:val="center"/>
          </w:tcPr>
          <w:p w14:paraId="5A27B51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以下各项由评标委员会成员独立进行客观、公正的评价打分。</w:t>
            </w:r>
          </w:p>
          <w:p w14:paraId="781ADA8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①定制系统方案已到达招标要求，设备主要核心部件，具备自身技术优势，打分0-16分。</w:t>
            </w:r>
          </w:p>
          <w:p w14:paraId="71E968E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②系统配置齐全，其精度、参数、技术水平、可靠性等优势明显，打分0-16分。</w:t>
            </w:r>
          </w:p>
          <w:p w14:paraId="106C73A1">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③操作灵活方便，系统开放程度高，打分0-10分。</w:t>
            </w:r>
          </w:p>
          <w:p w14:paraId="05B2569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④综合评价，打分0-8分。</w:t>
            </w:r>
          </w:p>
        </w:tc>
      </w:tr>
      <w:tr w14:paraId="78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660" w:type="dxa"/>
            <w:vMerge w:val="continue"/>
            <w:noWrap w:val="0"/>
            <w:vAlign w:val="center"/>
          </w:tcPr>
          <w:p w14:paraId="572FE7F9">
            <w:pPr>
              <w:tabs>
                <w:tab w:val="left" w:pos="13965"/>
              </w:tabs>
              <w:jc w:val="center"/>
              <w:rPr>
                <w:rFonts w:hint="eastAsia" w:ascii="宋体" w:hAnsi="宋体" w:cs="Times New Roman"/>
                <w:sz w:val="18"/>
                <w:szCs w:val="18"/>
              </w:rPr>
            </w:pPr>
          </w:p>
        </w:tc>
        <w:tc>
          <w:tcPr>
            <w:tcW w:w="552" w:type="dxa"/>
            <w:noWrap w:val="0"/>
            <w:vAlign w:val="center"/>
          </w:tcPr>
          <w:p w14:paraId="1E45F0C5">
            <w:pPr>
              <w:tabs>
                <w:tab w:val="left" w:pos="13965"/>
              </w:tabs>
              <w:jc w:val="center"/>
              <w:rPr>
                <w:rFonts w:hint="eastAsia" w:ascii="宋体" w:hAnsi="宋体" w:cs="Times New Roman"/>
                <w:sz w:val="18"/>
                <w:szCs w:val="18"/>
              </w:rPr>
            </w:pPr>
            <w:r>
              <w:rPr>
                <w:rFonts w:hint="eastAsia" w:ascii="宋体" w:hAnsi="宋体" w:cs="Times New Roman"/>
                <w:sz w:val="18"/>
                <w:szCs w:val="18"/>
              </w:rPr>
              <w:t>答疑</w:t>
            </w:r>
          </w:p>
        </w:tc>
        <w:tc>
          <w:tcPr>
            <w:tcW w:w="554" w:type="dxa"/>
            <w:noWrap w:val="0"/>
            <w:vAlign w:val="center"/>
          </w:tcPr>
          <w:p w14:paraId="5498FEB8">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4</w:t>
            </w:r>
          </w:p>
        </w:tc>
        <w:tc>
          <w:tcPr>
            <w:tcW w:w="2213" w:type="dxa"/>
            <w:noWrap w:val="0"/>
            <w:vAlign w:val="center"/>
          </w:tcPr>
          <w:p w14:paraId="719716D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现场答疑</w:t>
            </w:r>
          </w:p>
        </w:tc>
        <w:tc>
          <w:tcPr>
            <w:tcW w:w="582" w:type="dxa"/>
            <w:noWrap w:val="0"/>
            <w:vAlign w:val="center"/>
          </w:tcPr>
          <w:p w14:paraId="5026505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8</w:t>
            </w:r>
          </w:p>
        </w:tc>
        <w:tc>
          <w:tcPr>
            <w:tcW w:w="4796" w:type="dxa"/>
            <w:noWrap w:val="0"/>
            <w:vAlign w:val="center"/>
          </w:tcPr>
          <w:p w14:paraId="567CF97F">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投标人代表对方案、技术优势的讲解，</w:t>
            </w:r>
          </w:p>
          <w:p w14:paraId="20285964">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以及就该项目难点回答评标专家现场提问，打分0-8分。</w:t>
            </w:r>
          </w:p>
        </w:tc>
      </w:tr>
      <w:tr w14:paraId="27C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660" w:type="dxa"/>
            <w:vMerge w:val="continue"/>
            <w:noWrap w:val="0"/>
            <w:vAlign w:val="center"/>
          </w:tcPr>
          <w:p w14:paraId="2B31677E">
            <w:pPr>
              <w:tabs>
                <w:tab w:val="left" w:pos="13965"/>
              </w:tabs>
              <w:jc w:val="center"/>
              <w:rPr>
                <w:rFonts w:hint="eastAsia" w:ascii="宋体" w:hAnsi="宋体" w:cs="Times New Roman"/>
                <w:sz w:val="18"/>
                <w:szCs w:val="18"/>
              </w:rPr>
            </w:pPr>
          </w:p>
        </w:tc>
        <w:tc>
          <w:tcPr>
            <w:tcW w:w="552" w:type="dxa"/>
            <w:noWrap w:val="0"/>
            <w:vAlign w:val="center"/>
          </w:tcPr>
          <w:p w14:paraId="517B1447">
            <w:pPr>
              <w:tabs>
                <w:tab w:val="left" w:pos="13965"/>
              </w:tabs>
              <w:jc w:val="center"/>
              <w:rPr>
                <w:rFonts w:hint="eastAsia" w:ascii="宋体" w:hAnsi="宋体" w:cs="Times New Roman"/>
                <w:sz w:val="18"/>
                <w:szCs w:val="18"/>
              </w:rPr>
            </w:pPr>
            <w:r>
              <w:rPr>
                <w:rFonts w:hint="eastAsia" w:ascii="宋体" w:hAnsi="宋体" w:cs="Times New Roman"/>
                <w:sz w:val="18"/>
                <w:szCs w:val="18"/>
              </w:rPr>
              <w:t>技术偏离</w:t>
            </w:r>
          </w:p>
        </w:tc>
        <w:tc>
          <w:tcPr>
            <w:tcW w:w="554" w:type="dxa"/>
            <w:noWrap w:val="0"/>
            <w:vAlign w:val="center"/>
          </w:tcPr>
          <w:p w14:paraId="460B9393">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5</w:t>
            </w:r>
          </w:p>
        </w:tc>
        <w:tc>
          <w:tcPr>
            <w:tcW w:w="2213" w:type="dxa"/>
            <w:noWrap w:val="0"/>
            <w:vAlign w:val="center"/>
          </w:tcPr>
          <w:p w14:paraId="4D5D766A">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技术偏离</w:t>
            </w:r>
          </w:p>
        </w:tc>
        <w:tc>
          <w:tcPr>
            <w:tcW w:w="582" w:type="dxa"/>
            <w:noWrap w:val="0"/>
            <w:vAlign w:val="center"/>
          </w:tcPr>
          <w:p w14:paraId="2644F91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12</w:t>
            </w:r>
          </w:p>
        </w:tc>
        <w:tc>
          <w:tcPr>
            <w:tcW w:w="4796" w:type="dxa"/>
            <w:noWrap w:val="0"/>
            <w:vAlign w:val="center"/>
          </w:tcPr>
          <w:p w14:paraId="147374E2">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250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660" w:type="dxa"/>
            <w:vMerge w:val="continue"/>
            <w:noWrap w:val="0"/>
            <w:vAlign w:val="center"/>
          </w:tcPr>
          <w:p w14:paraId="67138327">
            <w:pPr>
              <w:tabs>
                <w:tab w:val="left" w:pos="13965"/>
              </w:tabs>
              <w:jc w:val="center"/>
              <w:rPr>
                <w:rFonts w:hint="eastAsia" w:ascii="宋体" w:hAnsi="宋体" w:cs="Times New Roman"/>
                <w:sz w:val="18"/>
                <w:szCs w:val="18"/>
              </w:rPr>
            </w:pPr>
          </w:p>
        </w:tc>
        <w:tc>
          <w:tcPr>
            <w:tcW w:w="552" w:type="dxa"/>
            <w:vMerge w:val="restart"/>
            <w:noWrap w:val="0"/>
            <w:vAlign w:val="center"/>
          </w:tcPr>
          <w:p w14:paraId="0601A3E7">
            <w:pPr>
              <w:tabs>
                <w:tab w:val="left" w:pos="13965"/>
              </w:tabs>
              <w:jc w:val="center"/>
              <w:rPr>
                <w:rFonts w:hint="eastAsia" w:ascii="宋体" w:hAnsi="宋体" w:cs="Times New Roman"/>
                <w:sz w:val="18"/>
                <w:szCs w:val="18"/>
              </w:rPr>
            </w:pPr>
            <w:r>
              <w:rPr>
                <w:rFonts w:hint="eastAsia" w:ascii="宋体" w:hAnsi="宋体" w:cs="Times New Roman"/>
                <w:sz w:val="18"/>
                <w:szCs w:val="18"/>
              </w:rPr>
              <w:t>售后服务</w:t>
            </w:r>
          </w:p>
        </w:tc>
        <w:tc>
          <w:tcPr>
            <w:tcW w:w="554" w:type="dxa"/>
            <w:noWrap w:val="0"/>
            <w:vAlign w:val="center"/>
          </w:tcPr>
          <w:p w14:paraId="12D88B1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2213" w:type="dxa"/>
            <w:noWrap w:val="0"/>
            <w:vAlign w:val="center"/>
          </w:tcPr>
          <w:p w14:paraId="01E225F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技 术 培 训 方 案：对招标方 人员的技术培 训方案安排科 学、合理、可 行</w:t>
            </w:r>
          </w:p>
        </w:tc>
        <w:tc>
          <w:tcPr>
            <w:tcW w:w="582" w:type="dxa"/>
            <w:noWrap w:val="0"/>
            <w:vAlign w:val="center"/>
          </w:tcPr>
          <w:p w14:paraId="1234DD33">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2EBFD8E2">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702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660" w:type="dxa"/>
            <w:vMerge w:val="continue"/>
            <w:noWrap w:val="0"/>
            <w:vAlign w:val="center"/>
          </w:tcPr>
          <w:p w14:paraId="4DE9C1CB">
            <w:pPr>
              <w:tabs>
                <w:tab w:val="left" w:pos="13965"/>
              </w:tabs>
              <w:jc w:val="center"/>
              <w:rPr>
                <w:rFonts w:hint="eastAsia" w:ascii="宋体" w:hAnsi="宋体" w:cs="Times New Roman"/>
                <w:sz w:val="18"/>
                <w:szCs w:val="18"/>
              </w:rPr>
            </w:pPr>
          </w:p>
        </w:tc>
        <w:tc>
          <w:tcPr>
            <w:tcW w:w="552" w:type="dxa"/>
            <w:vMerge w:val="continue"/>
            <w:noWrap w:val="0"/>
            <w:vAlign w:val="center"/>
          </w:tcPr>
          <w:p w14:paraId="636DA90C">
            <w:pPr>
              <w:tabs>
                <w:tab w:val="left" w:pos="13965"/>
              </w:tabs>
              <w:jc w:val="center"/>
              <w:rPr>
                <w:rFonts w:hint="eastAsia" w:ascii="宋体" w:hAnsi="宋体" w:cs="Times New Roman"/>
                <w:sz w:val="18"/>
                <w:szCs w:val="18"/>
              </w:rPr>
            </w:pPr>
          </w:p>
        </w:tc>
        <w:tc>
          <w:tcPr>
            <w:tcW w:w="554" w:type="dxa"/>
            <w:noWrap w:val="0"/>
            <w:vAlign w:val="center"/>
          </w:tcPr>
          <w:p w14:paraId="3820D2E3">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7</w:t>
            </w:r>
          </w:p>
        </w:tc>
        <w:tc>
          <w:tcPr>
            <w:tcW w:w="2213" w:type="dxa"/>
            <w:noWrap w:val="0"/>
            <w:vAlign w:val="center"/>
          </w:tcPr>
          <w:p w14:paraId="3D280A7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安装调试方案：有详尽的安装调试计划及方案，方案科学合理，可实施性强。</w:t>
            </w:r>
          </w:p>
        </w:tc>
        <w:tc>
          <w:tcPr>
            <w:tcW w:w="582" w:type="dxa"/>
            <w:noWrap w:val="0"/>
            <w:vAlign w:val="center"/>
          </w:tcPr>
          <w:p w14:paraId="48DE5255">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21B8FEC2">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4F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660" w:type="dxa"/>
            <w:vMerge w:val="continue"/>
            <w:noWrap w:val="0"/>
            <w:vAlign w:val="center"/>
          </w:tcPr>
          <w:p w14:paraId="47218E70">
            <w:pPr>
              <w:tabs>
                <w:tab w:val="left" w:pos="13965"/>
              </w:tabs>
              <w:jc w:val="center"/>
              <w:rPr>
                <w:rFonts w:hint="eastAsia" w:ascii="宋体" w:hAnsi="宋体" w:cs="Times New Roman"/>
                <w:sz w:val="18"/>
                <w:szCs w:val="18"/>
              </w:rPr>
            </w:pPr>
          </w:p>
        </w:tc>
        <w:tc>
          <w:tcPr>
            <w:tcW w:w="552" w:type="dxa"/>
            <w:vMerge w:val="continue"/>
            <w:noWrap w:val="0"/>
            <w:vAlign w:val="center"/>
          </w:tcPr>
          <w:p w14:paraId="073CD52D">
            <w:pPr>
              <w:tabs>
                <w:tab w:val="left" w:pos="13965"/>
              </w:tabs>
              <w:jc w:val="center"/>
              <w:rPr>
                <w:rFonts w:hint="eastAsia" w:ascii="宋体" w:hAnsi="宋体" w:cs="Times New Roman"/>
                <w:sz w:val="18"/>
                <w:szCs w:val="18"/>
              </w:rPr>
            </w:pPr>
          </w:p>
        </w:tc>
        <w:tc>
          <w:tcPr>
            <w:tcW w:w="554" w:type="dxa"/>
            <w:noWrap w:val="0"/>
            <w:vAlign w:val="center"/>
          </w:tcPr>
          <w:p w14:paraId="560ABD2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8</w:t>
            </w:r>
          </w:p>
        </w:tc>
        <w:tc>
          <w:tcPr>
            <w:tcW w:w="2213" w:type="dxa"/>
            <w:noWrap w:val="0"/>
            <w:vAlign w:val="center"/>
          </w:tcPr>
          <w:p w14:paraId="4F7E3C9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售后服务及时周到，有相应 的服务承诺和具体的保证措施</w:t>
            </w:r>
          </w:p>
        </w:tc>
        <w:tc>
          <w:tcPr>
            <w:tcW w:w="582" w:type="dxa"/>
            <w:noWrap w:val="0"/>
            <w:vAlign w:val="center"/>
          </w:tcPr>
          <w:p w14:paraId="128C4DA5">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6EDA1607">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2BE7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jc w:val="center"/>
        </w:trPr>
        <w:tc>
          <w:tcPr>
            <w:tcW w:w="660" w:type="dxa"/>
            <w:noWrap w:val="0"/>
            <w:vAlign w:val="center"/>
          </w:tcPr>
          <w:p w14:paraId="359E13E4">
            <w:pPr>
              <w:tabs>
                <w:tab w:val="left" w:pos="13965"/>
              </w:tabs>
              <w:jc w:val="center"/>
              <w:rPr>
                <w:rFonts w:hint="default" w:ascii="宋体" w:hAnsi="宋体" w:cs="Times New Roman"/>
                <w:sz w:val="18"/>
                <w:szCs w:val="18"/>
                <w:lang w:val="en-US" w:eastAsia="zh-CN"/>
              </w:rPr>
            </w:pPr>
            <w:r>
              <w:rPr>
                <w:rFonts w:hint="eastAsia" w:ascii="宋体" w:hAnsi="宋体" w:cs="Times New Roman"/>
                <w:sz w:val="18"/>
                <w:szCs w:val="18"/>
                <w:lang w:val="en-US" w:eastAsia="zh-CN"/>
              </w:rPr>
              <w:t>商务标100分</w:t>
            </w:r>
          </w:p>
        </w:tc>
        <w:tc>
          <w:tcPr>
            <w:tcW w:w="8697" w:type="dxa"/>
            <w:gridSpan w:val="5"/>
            <w:noWrap w:val="0"/>
            <w:vAlign w:val="center"/>
          </w:tcPr>
          <w:p w14:paraId="6D95C259">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评标基准价： </w:t>
            </w:r>
          </w:p>
          <w:p w14:paraId="16AC29BA">
            <w:pPr>
              <w:tabs>
                <w:tab w:val="left" w:pos="13965"/>
              </w:tabs>
              <w:jc w:val="center"/>
              <w:rPr>
                <w:rFonts w:hint="eastAsia" w:ascii="宋体" w:hAnsi="宋体" w:cs="Times New Roman"/>
                <w:sz w:val="18"/>
                <w:szCs w:val="18"/>
              </w:rPr>
            </w:pPr>
            <w:r>
              <w:rPr>
                <w:rFonts w:hint="eastAsia" w:ascii="宋体" w:hAnsi="宋体" w:cs="Times New Roman"/>
                <w:sz w:val="18"/>
                <w:szCs w:val="18"/>
              </w:rPr>
              <w:t>1、评标基准价为所有合理有效的最终投标报价的最低价。</w:t>
            </w:r>
          </w:p>
          <w:p w14:paraId="389AF6F8">
            <w:pPr>
              <w:tabs>
                <w:tab w:val="left" w:pos="13965"/>
              </w:tabs>
              <w:jc w:val="center"/>
              <w:rPr>
                <w:rFonts w:hint="eastAsia" w:ascii="宋体" w:hAnsi="宋体" w:cs="Times New Roman"/>
                <w:sz w:val="18"/>
                <w:szCs w:val="18"/>
              </w:rPr>
            </w:pPr>
            <w:r>
              <w:rPr>
                <w:rFonts w:hint="eastAsia" w:ascii="宋体" w:hAnsi="宋体" w:cs="Times New Roman"/>
                <w:sz w:val="18"/>
                <w:szCs w:val="18"/>
              </w:rPr>
              <w:t>2、有效的评标基准价得</w:t>
            </w:r>
            <w:r>
              <w:rPr>
                <w:rFonts w:hint="eastAsia" w:ascii="宋体" w:hAnsi="宋体" w:cs="Times New Roman"/>
                <w:sz w:val="18"/>
                <w:szCs w:val="18"/>
                <w:lang w:val="en-US" w:eastAsia="zh-CN"/>
              </w:rPr>
              <w:t>100</w:t>
            </w:r>
            <w:r>
              <w:rPr>
                <w:rFonts w:hint="eastAsia" w:ascii="宋体" w:hAnsi="宋体" w:cs="Times New Roman"/>
                <w:sz w:val="18"/>
                <w:szCs w:val="18"/>
              </w:rPr>
              <w:t>分；其他投标人的价格得分按下列公式计算：投标价格得分=</w:t>
            </w:r>
            <w:r>
              <w:rPr>
                <w:rFonts w:hint="eastAsia" w:ascii="宋体" w:hAnsi="宋体" w:cs="Times New Roman"/>
                <w:sz w:val="18"/>
                <w:szCs w:val="18"/>
                <w:lang w:val="en-US" w:eastAsia="zh-CN"/>
              </w:rPr>
              <w:t>100</w:t>
            </w:r>
            <w:r>
              <w:rPr>
                <w:rFonts w:hint="eastAsia" w:ascii="宋体" w:hAnsi="宋体" w:cs="Times New Roman"/>
                <w:sz w:val="18"/>
                <w:szCs w:val="18"/>
              </w:rPr>
              <w:t>×（评标基准价/投标报价）。</w:t>
            </w:r>
          </w:p>
          <w:p w14:paraId="17E5B9B8">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注：得分值取小数点后两位，不足一个百分点的，按照四舍五入法计算。 </w:t>
            </w:r>
          </w:p>
        </w:tc>
      </w:tr>
      <w:tr w14:paraId="3E79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660" w:type="dxa"/>
            <w:noWrap w:val="0"/>
            <w:vAlign w:val="center"/>
          </w:tcPr>
          <w:p w14:paraId="0CF44937">
            <w:pPr>
              <w:tabs>
                <w:tab w:val="left" w:pos="13965"/>
              </w:tabs>
              <w:jc w:val="center"/>
              <w:rPr>
                <w:rFonts w:hint="default" w:ascii="宋体" w:hAnsi="宋体" w:cs="Times New Roman"/>
                <w:sz w:val="18"/>
                <w:szCs w:val="18"/>
                <w:lang w:val="en-US" w:eastAsia="zh-CN"/>
              </w:rPr>
            </w:pPr>
            <w:r>
              <w:rPr>
                <w:rFonts w:hint="eastAsia" w:ascii="宋体" w:hAnsi="宋体" w:cs="Times New Roman"/>
                <w:sz w:val="18"/>
                <w:szCs w:val="18"/>
                <w:lang w:val="en-US" w:eastAsia="zh-CN"/>
              </w:rPr>
              <w:t>综合得分</w:t>
            </w:r>
          </w:p>
        </w:tc>
        <w:tc>
          <w:tcPr>
            <w:tcW w:w="8697" w:type="dxa"/>
            <w:gridSpan w:val="5"/>
            <w:noWrap w:val="0"/>
            <w:vAlign w:val="center"/>
          </w:tcPr>
          <w:p w14:paraId="006EEF07">
            <w:pPr>
              <w:tabs>
                <w:tab w:val="left" w:pos="13965"/>
              </w:tabs>
              <w:jc w:val="center"/>
              <w:rPr>
                <w:rFonts w:hint="eastAsia" w:ascii="宋体" w:hAnsi="宋体" w:cs="Times New Roman"/>
                <w:sz w:val="18"/>
                <w:szCs w:val="18"/>
                <w:lang w:eastAsia="zh-CN"/>
              </w:rPr>
            </w:pPr>
            <w:r>
              <w:rPr>
                <w:rFonts w:hint="eastAsia" w:ascii="宋体" w:hAnsi="宋体" w:cs="Times New Roman"/>
                <w:sz w:val="18"/>
                <w:szCs w:val="18"/>
                <w:lang w:eastAsia="zh-CN"/>
              </w:rPr>
              <w:tab/>
            </w:r>
            <w:r>
              <w:rPr>
                <w:rFonts w:hint="eastAsia" w:ascii="宋体" w:hAnsi="宋体" w:cs="Times New Roman"/>
                <w:sz w:val="18"/>
                <w:szCs w:val="18"/>
                <w:lang w:val="en-US" w:eastAsia="zh-CN"/>
              </w:rPr>
              <w:t>综合得分=技术标得分×30%＋商务标得分×70%</w:t>
            </w:r>
          </w:p>
        </w:tc>
      </w:tr>
    </w:tbl>
    <w:p w14:paraId="3FA05042">
      <w:pPr>
        <w:pStyle w:val="16"/>
        <w:rPr>
          <w:rFonts w:hint="eastAsia"/>
        </w:rPr>
        <w:sectPr>
          <w:pgSz w:w="11906" w:h="16838"/>
          <w:pgMar w:top="1588" w:right="1418" w:bottom="1134" w:left="1418" w:header="851" w:footer="992" w:gutter="0"/>
          <w:cols w:space="720" w:num="1"/>
          <w:titlePg/>
          <w:docGrid w:type="lines" w:linePitch="312" w:charSpace="0"/>
        </w:sectPr>
      </w:pPr>
    </w:p>
    <w:p w14:paraId="5A8D00C5">
      <w:pPr>
        <w:pStyle w:val="16"/>
        <w:rPr>
          <w:rFonts w:hint="eastAsia"/>
        </w:rPr>
      </w:pPr>
    </w:p>
    <w:p w14:paraId="5967B124">
      <w:pPr>
        <w:rPr>
          <w:rFonts w:hint="eastAsia" w:ascii="宋体" w:hAnsi="宋体" w:eastAsia="宋体" w:cs="宋体"/>
          <w:b/>
          <w:bCs/>
          <w:color w:val="000000"/>
          <w:sz w:val="24"/>
          <w:szCs w:val="24"/>
          <w:lang w:val="en-US" w:eastAsia="zh-CN"/>
        </w:rPr>
      </w:pPr>
    </w:p>
    <w:p w14:paraId="79B95C4E">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6"/>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7"/>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8"/>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9"/>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60"/>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6"/>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61"/>
                    <a:stretch>
                      <a:fillRect/>
                    </a:stretch>
                  </pic:blipFill>
                  <pic:spPr>
                    <a:xfrm>
                      <a:off x="0" y="0"/>
                      <a:ext cx="5760085" cy="2810122"/>
                    </a:xfrm>
                    <a:prstGeom prst="rect">
                      <a:avLst/>
                    </a:prstGeom>
                  </pic:spPr>
                </pic:pic>
              </a:graphicData>
            </a:graphic>
          </wp:inline>
        </w:drawing>
      </w:r>
    </w:p>
    <w:p w14:paraId="29DBB90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62"/>
                    <a:stretch>
                      <a:fillRect/>
                    </a:stretch>
                  </pic:blipFill>
                  <pic:spPr>
                    <a:xfrm>
                      <a:off x="0" y="0"/>
                      <a:ext cx="5760085" cy="2820042"/>
                    </a:xfrm>
                    <a:prstGeom prst="rect">
                      <a:avLst/>
                    </a:prstGeom>
                  </pic:spPr>
                </pic:pic>
              </a:graphicData>
            </a:graphic>
          </wp:inline>
        </w:drawing>
      </w:r>
    </w:p>
    <w:p w14:paraId="3F913ABC">
      <w:pPr>
        <w:pStyle w:val="16"/>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FCB9465">
      <w:pPr>
        <w:pStyle w:val="16"/>
        <w:sectPr>
          <w:pgSz w:w="11906" w:h="16838"/>
          <w:pgMar w:top="1588" w:right="1418" w:bottom="1134" w:left="1418" w:header="851" w:footer="992" w:gutter="0"/>
          <w:cols w:space="720" w:num="1"/>
          <w:titlePg/>
          <w:docGrid w:type="lines" w:linePitch="312" w:charSpace="0"/>
        </w:sectPr>
      </w:pPr>
    </w:p>
    <w:p w14:paraId="6FEFF112">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8"/>
                    <a:stretch>
                      <a:fillRect/>
                    </a:stretch>
                  </pic:blipFill>
                  <pic:spPr>
                    <a:xfrm>
                      <a:off x="0" y="0"/>
                      <a:ext cx="5760085" cy="1956600"/>
                    </a:xfrm>
                    <a:prstGeom prst="rect">
                      <a:avLst/>
                    </a:prstGeom>
                  </pic:spPr>
                </pic:pic>
              </a:graphicData>
            </a:graphic>
          </wp:inline>
        </w:drawing>
      </w:r>
    </w:p>
    <w:p w14:paraId="45C48505">
      <w:pPr>
        <w:pStyle w:val="16"/>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4CE47E7F">
      <w:pPr>
        <w:pStyle w:val="16"/>
        <w:rPr>
          <w:rFonts w:hint="eastAsia" w:hAnsi="宋体" w:eastAsia="宋体" w:cs="Times New Roman"/>
          <w:b/>
          <w:color w:val="000000"/>
          <w:sz w:val="24"/>
          <w:szCs w:val="24"/>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System">
    <w:altName w:val="宋体"/>
    <w:panose1 w:val="00000000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E058">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FD1A3">
                          <w:pPr>
                            <w:pStyle w:val="21"/>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FFD1A3">
                    <w:pPr>
                      <w:pStyle w:val="21"/>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B349">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3F61A">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093F61A">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88DA2">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AEBCE"/>
    <w:multiLevelType w:val="singleLevel"/>
    <w:tmpl w:val="866AEBCE"/>
    <w:lvl w:ilvl="0" w:tentative="0">
      <w:start w:val="1"/>
      <w:numFmt w:val="decimal"/>
      <w:suff w:val="nothing"/>
      <w:lvlText w:val="%1."/>
      <w:lvlJc w:val="left"/>
      <w:rPr>
        <w:rFonts w:ascii="Times New Roman" w:hAnsi="Times New Roman" w:eastAsia="宋体" w:cs="Times New Roman"/>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9A895B1"/>
    <w:multiLevelType w:val="singleLevel"/>
    <w:tmpl w:val="A9A895B1"/>
    <w:lvl w:ilvl="0" w:tentative="0">
      <w:start w:val="1"/>
      <w:numFmt w:val="chineseCounting"/>
      <w:suff w:val="nothing"/>
      <w:lvlText w:val="（%1）"/>
      <w:lvlJc w:val="left"/>
      <w:rPr>
        <w:rFonts w:hint="eastAsia"/>
      </w:rPr>
    </w:lvl>
  </w:abstractNum>
  <w:abstractNum w:abstractNumId="3">
    <w:nsid w:val="AA594234"/>
    <w:multiLevelType w:val="multilevel"/>
    <w:tmpl w:val="AA594234"/>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E185667"/>
    <w:multiLevelType w:val="multilevel"/>
    <w:tmpl w:val="EE185667"/>
    <w:lvl w:ilvl="0" w:tentative="0">
      <w:start w:val="4"/>
      <w:numFmt w:val="decimal"/>
      <w:suff w:val="space"/>
      <w:lvlText w:val="%1."/>
      <w:lvlJc w:val="left"/>
      <w:rPr>
        <w:rFonts w:hint="default"/>
        <w:strike w:val="0"/>
        <w:dstrike w:val="0"/>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7032E8A"/>
    <w:multiLevelType w:val="multilevel"/>
    <w:tmpl w:val="07032E8A"/>
    <w:lvl w:ilvl="0" w:tentative="0">
      <w:start w:val="4"/>
      <w:numFmt w:val="chineseCountingThousand"/>
      <w:lvlText w:val="%1、"/>
      <w:lvlJc w:val="left"/>
      <w:pPr>
        <w:tabs>
          <w:tab w:val="left" w:pos="900"/>
        </w:tabs>
        <w:ind w:left="900" w:hanging="420"/>
      </w:pPr>
      <w:rPr>
        <w:rFonts w:hint="eastAsia"/>
      </w:r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8">
    <w:nsid w:val="0AC60D01"/>
    <w:multiLevelType w:val="multilevel"/>
    <w:tmpl w:val="0AC60D01"/>
    <w:lvl w:ilvl="0" w:tentative="0">
      <w:start w:val="1"/>
      <w:numFmt w:val="chineseCountingThousand"/>
      <w:lvlText w:val="%1、"/>
      <w:lvlJc w:val="left"/>
      <w:pPr>
        <w:tabs>
          <w:tab w:val="left" w:pos="900"/>
        </w:tabs>
        <w:ind w:left="900" w:hanging="420"/>
      </w:p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0F793BDC"/>
    <w:multiLevelType w:val="multilevel"/>
    <w:tmpl w:val="0F793BDC"/>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37B7BC1"/>
    <w:multiLevelType w:val="multilevel"/>
    <w:tmpl w:val="137B7B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3">
    <w:nsid w:val="25BE2CEA"/>
    <w:multiLevelType w:val="multilevel"/>
    <w:tmpl w:val="25BE2CEA"/>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38597C80"/>
    <w:multiLevelType w:val="multilevel"/>
    <w:tmpl w:val="38597C80"/>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3991AC6F"/>
    <w:multiLevelType w:val="singleLevel"/>
    <w:tmpl w:val="3991AC6F"/>
    <w:lvl w:ilvl="0" w:tentative="0">
      <w:start w:val="7"/>
      <w:numFmt w:val="decimal"/>
      <w:lvlText w:val="%1."/>
      <w:lvlJc w:val="left"/>
      <w:pPr>
        <w:tabs>
          <w:tab w:val="left" w:pos="312"/>
        </w:tabs>
      </w:pPr>
    </w:lvl>
  </w:abstractNum>
  <w:abstractNum w:abstractNumId="17">
    <w:nsid w:val="3DA401BC"/>
    <w:multiLevelType w:val="multilevel"/>
    <w:tmpl w:val="3DA401BC"/>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3F5907E3"/>
    <w:multiLevelType w:val="multilevel"/>
    <w:tmpl w:val="3F5907E3"/>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0">
    <w:nsid w:val="45A346A0"/>
    <w:multiLevelType w:val="multilevel"/>
    <w:tmpl w:val="45A346A0"/>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49F74A31"/>
    <w:multiLevelType w:val="multilevel"/>
    <w:tmpl w:val="49F74A31"/>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592C3E8C"/>
    <w:multiLevelType w:val="multilevel"/>
    <w:tmpl w:val="592C3E8C"/>
    <w:lvl w:ilvl="0" w:tentative="0">
      <w:start w:val="1"/>
      <w:numFmt w:val="decimal"/>
      <w:lvlText w:val="%1、"/>
      <w:lvlJc w:val="left"/>
      <w:pPr>
        <w:ind w:left="987"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6E8C6948"/>
    <w:multiLevelType w:val="singleLevel"/>
    <w:tmpl w:val="6E8C6948"/>
    <w:lvl w:ilvl="0" w:tentative="0">
      <w:start w:val="1"/>
      <w:numFmt w:val="chineseCounting"/>
      <w:suff w:val="space"/>
      <w:lvlText w:val="第%1部分"/>
      <w:lvlJc w:val="left"/>
      <w:rPr>
        <w:rFonts w:hint="eastAsia"/>
      </w:rPr>
    </w:lvl>
  </w:abstractNum>
  <w:abstractNum w:abstractNumId="24">
    <w:nsid w:val="71C43492"/>
    <w:multiLevelType w:val="multilevel"/>
    <w:tmpl w:val="71C43492"/>
    <w:lvl w:ilvl="0" w:tentative="0">
      <w:start w:val="1"/>
      <w:numFmt w:val="chineseCountingThousand"/>
      <w:lvlText w:val="%1、"/>
      <w:lvlJc w:val="left"/>
      <w:pPr>
        <w:tabs>
          <w:tab w:val="left" w:pos="900"/>
        </w:tabs>
        <w:ind w:left="900" w:hanging="420"/>
      </w:pPr>
      <w:rPr>
        <w:rFonts w:ascii="黑体" w:hAnsi="黑体" w:eastAsia="黑体"/>
        <w:b/>
      </w:rPr>
    </w:lvl>
    <w:lvl w:ilvl="1" w:tentative="0">
      <w:start w:val="1"/>
      <w:numFmt w:val="decimal"/>
      <w:lvlText w:val="%2、"/>
      <w:lvlJc w:val="left"/>
      <w:pPr>
        <w:tabs>
          <w:tab w:val="left" w:pos="927"/>
        </w:tabs>
        <w:ind w:left="927"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5">
    <w:nsid w:val="73E599A5"/>
    <w:multiLevelType w:val="singleLevel"/>
    <w:tmpl w:val="73E599A5"/>
    <w:lvl w:ilvl="0" w:tentative="0">
      <w:start w:val="1"/>
      <w:numFmt w:val="chineseCounting"/>
      <w:suff w:val="nothing"/>
      <w:lvlText w:val="（%1）"/>
      <w:lvlJc w:val="left"/>
      <w:rPr>
        <w:rFonts w:hint="eastAsia"/>
      </w:rPr>
    </w:lvl>
  </w:abstractNum>
  <w:abstractNum w:abstractNumId="26">
    <w:nsid w:val="756F7DF2"/>
    <w:multiLevelType w:val="multilevel"/>
    <w:tmpl w:val="756F7DF2"/>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7">
    <w:nsid w:val="7A612DE2"/>
    <w:multiLevelType w:val="singleLevel"/>
    <w:tmpl w:val="7A612DE2"/>
    <w:lvl w:ilvl="0" w:tentative="0">
      <w:start w:val="2"/>
      <w:numFmt w:val="decimal"/>
      <w:lvlText w:val="%1."/>
      <w:lvlJc w:val="left"/>
      <w:pPr>
        <w:tabs>
          <w:tab w:val="left" w:pos="312"/>
        </w:tabs>
      </w:pPr>
    </w:lvl>
  </w:abstractNum>
  <w:abstractNum w:abstractNumId="28">
    <w:nsid w:val="7FD15BF4"/>
    <w:multiLevelType w:val="multilevel"/>
    <w:tmpl w:val="7FD15BF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3"/>
  </w:num>
  <w:num w:numId="2">
    <w:abstractNumId w:val="1"/>
  </w:num>
  <w:num w:numId="3">
    <w:abstractNumId w:val="27"/>
  </w:num>
  <w:num w:numId="4">
    <w:abstractNumId w:val="12"/>
  </w:num>
  <w:num w:numId="5">
    <w:abstractNumId w:val="6"/>
  </w:num>
  <w:num w:numId="6">
    <w:abstractNumId w:val="19"/>
  </w:num>
  <w:num w:numId="7">
    <w:abstractNumId w:val="4"/>
  </w:num>
  <w:num w:numId="8">
    <w:abstractNumId w:val="14"/>
  </w:num>
  <w:num w:numId="9">
    <w:abstractNumId w:val="11"/>
  </w:num>
  <w:num w:numId="10">
    <w:abstractNumId w:val="24"/>
  </w:num>
  <w:num w:numId="11">
    <w:abstractNumId w:val="28"/>
  </w:num>
  <w:num w:numId="12">
    <w:abstractNumId w:val="13"/>
  </w:num>
  <w:num w:numId="13">
    <w:abstractNumId w:val="10"/>
  </w:num>
  <w:num w:numId="14">
    <w:abstractNumId w:val="8"/>
  </w:num>
  <w:num w:numId="15">
    <w:abstractNumId w:val="9"/>
  </w:num>
  <w:num w:numId="16">
    <w:abstractNumId w:val="22"/>
  </w:num>
  <w:num w:numId="17">
    <w:abstractNumId w:val="25"/>
  </w:num>
  <w:num w:numId="18">
    <w:abstractNumId w:val="3"/>
  </w:num>
  <w:num w:numId="19">
    <w:abstractNumId w:val="5"/>
  </w:num>
  <w:num w:numId="20">
    <w:abstractNumId w:val="16"/>
  </w:num>
  <w:num w:numId="21">
    <w:abstractNumId w:val="7"/>
  </w:num>
  <w:num w:numId="22">
    <w:abstractNumId w:val="2"/>
  </w:num>
  <w:num w:numId="23">
    <w:abstractNumId w:val="0"/>
  </w:num>
  <w:num w:numId="24">
    <w:abstractNumId w:val="26"/>
  </w:num>
  <w:num w:numId="25">
    <w:abstractNumId w:val="18"/>
  </w:num>
  <w:num w:numId="26">
    <w:abstractNumId w:val="21"/>
  </w:num>
  <w:num w:numId="27">
    <w:abstractNumId w:val="17"/>
  </w:num>
  <w:num w:numId="28">
    <w:abstractNumId w:val="2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390B2F"/>
    <w:rsid w:val="0942017F"/>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2C442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0D5C9B"/>
    <w:rsid w:val="2F5C684F"/>
    <w:rsid w:val="2F63756E"/>
    <w:rsid w:val="307610EA"/>
    <w:rsid w:val="307776D1"/>
    <w:rsid w:val="30862574"/>
    <w:rsid w:val="30B631E1"/>
    <w:rsid w:val="311933AA"/>
    <w:rsid w:val="317D15BB"/>
    <w:rsid w:val="31C825FC"/>
    <w:rsid w:val="31D07E6C"/>
    <w:rsid w:val="31F6203D"/>
    <w:rsid w:val="323F65DA"/>
    <w:rsid w:val="32412074"/>
    <w:rsid w:val="327C2FDC"/>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7774C5"/>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0632A1B"/>
    <w:rsid w:val="412732B7"/>
    <w:rsid w:val="4127791F"/>
    <w:rsid w:val="41281794"/>
    <w:rsid w:val="413C1FDF"/>
    <w:rsid w:val="41806A69"/>
    <w:rsid w:val="41B0259C"/>
    <w:rsid w:val="41BC6F1C"/>
    <w:rsid w:val="41EF2363"/>
    <w:rsid w:val="41F77860"/>
    <w:rsid w:val="420E6F2F"/>
    <w:rsid w:val="424A4B98"/>
    <w:rsid w:val="42581D3A"/>
    <w:rsid w:val="42AB29D0"/>
    <w:rsid w:val="42ED2EA4"/>
    <w:rsid w:val="42F6649D"/>
    <w:rsid w:val="42FE0080"/>
    <w:rsid w:val="43315D2E"/>
    <w:rsid w:val="43670C99"/>
    <w:rsid w:val="43824A1C"/>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1A51E1"/>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4D771FD"/>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F01962"/>
    <w:rsid w:val="760E19DF"/>
    <w:rsid w:val="764E52E0"/>
    <w:rsid w:val="764F3097"/>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next w:val="12"/>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character" w:customStyle="1" w:styleId="135">
    <w:name w:val="font61"/>
    <w:basedOn w:val="37"/>
    <w:qFormat/>
    <w:uiPriority w:val="0"/>
    <w:rPr>
      <w:rFonts w:hint="default" w:ascii="Times New Roman" w:hAnsi="Times New Roman" w:cs="Times New Roman"/>
      <w:color w:val="000000"/>
      <w:sz w:val="20"/>
      <w:szCs w:val="20"/>
      <w:u w:val="none"/>
    </w:rPr>
  </w:style>
  <w:style w:type="character" w:customStyle="1" w:styleId="136">
    <w:name w:val="font51"/>
    <w:basedOn w:val="37"/>
    <w:qFormat/>
    <w:uiPriority w:val="0"/>
    <w:rPr>
      <w:rFonts w:hint="eastAsia" w:ascii="宋体" w:hAnsi="宋体" w:eastAsia="宋体" w:cs="宋体"/>
      <w:color w:val="000000"/>
      <w:sz w:val="20"/>
      <w:szCs w:val="20"/>
      <w:u w:val="none"/>
    </w:rPr>
  </w:style>
  <w:style w:type="paragraph" w:customStyle="1" w:styleId="137">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2.xml"/><Relationship Id="rId69" Type="http://schemas.openxmlformats.org/officeDocument/2006/relationships/customXml" Target="../customXml/item1.xml"/><Relationship Id="rId68" Type="http://schemas.openxmlformats.org/officeDocument/2006/relationships/image" Target="media/image26.png"/><Relationship Id="rId67" Type="http://schemas.openxmlformats.org/officeDocument/2006/relationships/image" Target="media/image25.png"/><Relationship Id="rId66" Type="http://schemas.openxmlformats.org/officeDocument/2006/relationships/image" Target="media/image24.png"/><Relationship Id="rId65" Type="http://schemas.openxmlformats.org/officeDocument/2006/relationships/image" Target="media/image23.png"/><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3.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header" Target="header9.xml"/><Relationship Id="rId38" Type="http://schemas.openxmlformats.org/officeDocument/2006/relationships/header" Target="header8.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97</Pages>
  <Words>13770</Words>
  <Characters>14859</Characters>
  <Lines>305</Lines>
  <Paragraphs>86</Paragraphs>
  <TotalTime>5</TotalTime>
  <ScaleCrop>false</ScaleCrop>
  <LinksUpToDate>false</LinksUpToDate>
  <CharactersWithSpaces>15294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刘剑</cp:lastModifiedBy>
  <dcterms:modified xsi:type="dcterms:W3CDTF">2025-03-11T05:31:07Z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09BDEC1243614C78AFDF3F798DF4106D_11</vt:lpwstr>
  </property>
  <property fmtid="{D5CDD505-2E9C-101B-9397-08002B2CF9AE}" pid="4" name="KSOTemplateDocerSaveRecord">
    <vt:lpwstr>eyJoZGlkIjoiMDExZmI5NTc2OTFhZWY2NDZlZTFkMTUzMWFkYzBmYWMiLCJ1c2VySWQiOiIyMjk2MTM5MDEifQ==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