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F810AE">
      <w:pPr>
        <w:jc w:val="center"/>
        <w:rPr>
          <w:rFonts w:ascii="宋体" w:hAnsi="Calibri" w:eastAsia="宋体" w:cs="Times New Roman"/>
          <w:color w:val="000000"/>
          <w:sz w:val="30"/>
          <w:szCs w:val="30"/>
        </w:rPr>
      </w:pPr>
      <w:bookmarkStart w:id="0" w:name="OLE_LINK30"/>
      <w:bookmarkStart w:id="1" w:name="OLE_LINK31"/>
    </w:p>
    <w:p w14:paraId="22A694E8">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重汽（济南）车桥有限公司</w:t>
      </w:r>
    </w:p>
    <w:p w14:paraId="7A38E81E">
      <w:pPr>
        <w:jc w:val="center"/>
        <w:rPr>
          <w:rFonts w:hint="eastAsia" w:ascii="Calibri" w:hAnsi="Calibri" w:eastAsia="宋体" w:cs="Times New Roman"/>
          <w:color w:val="000000"/>
          <w:sz w:val="28"/>
          <w:szCs w:val="28"/>
          <w:lang w:eastAsia="zh-CN"/>
        </w:rPr>
      </w:pPr>
      <w:r>
        <w:rPr>
          <w:rFonts w:hint="eastAsia" w:ascii="Calibri" w:hAnsi="宋体" w:eastAsia="宋体" w:cs="Times New Roman"/>
          <w:b/>
          <w:bCs/>
          <w:color w:val="000000"/>
          <w:spacing w:val="-8"/>
          <w:sz w:val="48"/>
          <w:szCs w:val="44"/>
          <w:lang w:eastAsia="zh-CN"/>
        </w:rPr>
        <w:t>主减装配 DE线产品兼容性改造技改项目</w:t>
      </w:r>
    </w:p>
    <w:p w14:paraId="3DF002D5">
      <w:pPr>
        <w:pStyle w:val="16"/>
      </w:pPr>
    </w:p>
    <w:p w14:paraId="44AC6371">
      <w:pPr>
        <w:pStyle w:val="16"/>
      </w:pPr>
    </w:p>
    <w:p w14:paraId="6EFBB7BC">
      <w:pPr>
        <w:pStyle w:val="16"/>
      </w:pPr>
    </w:p>
    <w:p w14:paraId="37B4A289">
      <w:pPr>
        <w:jc w:val="right"/>
        <w:rPr>
          <w:rFonts w:ascii="Calibri" w:hAnsi="Calibri" w:eastAsia="宋体" w:cs="Times New Roman"/>
          <w:color w:val="000000"/>
          <w:sz w:val="28"/>
          <w:szCs w:val="28"/>
        </w:rPr>
      </w:pPr>
    </w:p>
    <w:p w14:paraId="5CB8430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6288B2EC">
      <w:pPr>
        <w:jc w:val="center"/>
        <w:rPr>
          <w:rFonts w:ascii="黑体" w:hAnsi="宋体" w:eastAsia="黑体" w:cs="Times New Roman"/>
          <w:color w:val="000000"/>
          <w:sz w:val="72"/>
          <w:szCs w:val="72"/>
        </w:rPr>
      </w:pPr>
    </w:p>
    <w:p w14:paraId="06A87EE3">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80C3C07">
      <w:pPr>
        <w:jc w:val="center"/>
        <w:rPr>
          <w:rFonts w:ascii="黑体" w:hAnsi="宋体" w:eastAsia="黑体" w:cs="Times New Roman"/>
          <w:color w:val="000000"/>
          <w:sz w:val="72"/>
          <w:szCs w:val="72"/>
        </w:rPr>
      </w:pPr>
    </w:p>
    <w:p w14:paraId="71446411">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6DD9F05C">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2DB234A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622FA366">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6692DCD0">
      <w:pPr>
        <w:pStyle w:val="16"/>
        <w:rPr>
          <w:b/>
          <w:bCs/>
        </w:rPr>
      </w:pPr>
    </w:p>
    <w:p w14:paraId="6B46685E">
      <w:pPr>
        <w:jc w:val="center"/>
        <w:rPr>
          <w:rFonts w:ascii="宋体" w:hAnsi="宋体"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人：重汽（济南）车桥有限公司</w:t>
      </w:r>
    </w:p>
    <w:p w14:paraId="1B8B4483">
      <w:pPr>
        <w:jc w:val="center"/>
        <w:rPr>
          <w:rFonts w:hint="eastAsia" w:ascii="宋体" w:hAnsi="Calibri" w:eastAsia="宋体" w:cs="Times New Roman"/>
          <w:color w:val="000000"/>
          <w:sz w:val="28"/>
          <w:szCs w:val="28"/>
          <w:lang w:eastAsia="zh-CN"/>
        </w:rPr>
      </w:pPr>
      <w:r>
        <w:rPr>
          <w:rFonts w:hint="eastAsia" w:ascii="Calibri" w:hAnsi="Calibri" w:eastAsia="宋体" w:cs="Times New Roman"/>
          <w:color w:val="000000"/>
          <w:sz w:val="28"/>
          <w:szCs w:val="28"/>
          <w:lang w:eastAsia="zh-CN"/>
        </w:rPr>
        <w:t>2025年3月</w:t>
      </w:r>
    </w:p>
    <w:p w14:paraId="723369BE">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14:paraId="132328D3">
          <w:pPr>
            <w:spacing w:line="480" w:lineRule="auto"/>
            <w:jc w:val="center"/>
            <w:rPr>
              <w:rFonts w:cs="宋体"/>
              <w:b/>
              <w:bCs/>
              <w:sz w:val="48"/>
              <w:szCs w:val="48"/>
            </w:rPr>
          </w:pPr>
          <w:r>
            <w:rPr>
              <w:rFonts w:ascii="宋体" w:hAnsi="宋体" w:eastAsia="宋体" w:cs="宋体"/>
              <w:b/>
              <w:bCs/>
              <w:sz w:val="48"/>
              <w:szCs w:val="48"/>
            </w:rPr>
            <w:t>目录</w:t>
          </w:r>
        </w:p>
        <w:p w14:paraId="4BEB01FE">
          <w:pPr>
            <w:pStyle w:val="23"/>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150EC14D">
          <w:pPr>
            <w:pStyle w:val="23"/>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7337F499">
          <w:pPr>
            <w:pStyle w:val="23"/>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59819C26">
          <w:pPr>
            <w:pStyle w:val="23"/>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10950DAD">
          <w:pPr>
            <w:pStyle w:val="23"/>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37</w:t>
          </w:r>
        </w:p>
        <w:p w14:paraId="1188C8C8">
          <w:pPr>
            <w:pStyle w:val="23"/>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55</w:t>
          </w:r>
        </w:p>
        <w:p w14:paraId="44EC3980">
          <w:pPr>
            <w:pStyle w:val="16"/>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r>
            <w:rPr>
              <w:rFonts w:hint="eastAsia" w:ascii="Calibri" w:hAnsi="Calibri" w:eastAsia="宋体" w:cs="Times New Roman"/>
              <w:bCs/>
              <w:kern w:val="44"/>
              <w:szCs w:val="44"/>
            </w:rPr>
            <w:fldChar w:fldCharType="end"/>
          </w:r>
        </w:p>
      </w:sdtContent>
    </w:sdt>
    <w:p w14:paraId="585D6343">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574BDAA6">
      <w:pPr>
        <w:pStyle w:val="16"/>
        <w:jc w:val="center"/>
        <w:rPr>
          <w:rFonts w:ascii="Calibri" w:hAnsi="Calibri" w:eastAsia="宋体" w:cs="Times New Roman"/>
          <w:b/>
          <w:bCs/>
          <w:kern w:val="44"/>
          <w:sz w:val="36"/>
          <w:szCs w:val="44"/>
        </w:rPr>
      </w:pPr>
    </w:p>
    <w:p w14:paraId="17AB52EB">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6AD3A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17CD9E75">
            <w:pPr>
              <w:jc w:val="center"/>
              <w:rPr>
                <w:rStyle w:val="130"/>
                <w:rFonts w:ascii="宋体" w:hAnsi="宋体" w:eastAsia="宋体" w:cs="宋体"/>
                <w:b/>
                <w:sz w:val="28"/>
                <w:szCs w:val="28"/>
              </w:rPr>
            </w:pPr>
            <w:bookmarkStart w:id="3" w:name="_Toc346372875"/>
            <w:r>
              <w:rPr>
                <w:rStyle w:val="130"/>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05643608">
            <w:pPr>
              <w:ind w:firstLine="562" w:firstLineChars="200"/>
              <w:jc w:val="center"/>
              <w:rPr>
                <w:rFonts w:ascii="宋体" w:hAnsi="宋体" w:eastAsia="宋体" w:cs="宋体"/>
                <w:b/>
                <w:bCs/>
                <w:sz w:val="28"/>
                <w:szCs w:val="28"/>
              </w:rPr>
            </w:pPr>
            <w:r>
              <w:rPr>
                <w:rStyle w:val="130"/>
                <w:rFonts w:hint="eastAsia" w:ascii="宋体" w:hAnsi="宋体" w:eastAsia="宋体" w:cs="宋体"/>
                <w:b/>
                <w:sz w:val="28"/>
                <w:szCs w:val="28"/>
              </w:rPr>
              <w:t>编  列  内  容</w:t>
            </w:r>
          </w:p>
        </w:tc>
      </w:tr>
      <w:tr w14:paraId="4D7943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00C9455">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552F3D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916E7C1">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775C493B">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w:t>
            </w:r>
            <w:r>
              <w:rPr>
                <w:rFonts w:hint="eastAsia" w:ascii="宋体" w:hAnsi="宋体" w:eastAsia="宋体" w:cs="宋体"/>
                <w:sz w:val="24"/>
                <w:szCs w:val="24"/>
                <w:u w:val="single"/>
                <w:lang w:eastAsia="zh-CN"/>
              </w:rPr>
              <w:t>主减装配 DE线产品兼容性改造技改项目</w:t>
            </w:r>
          </w:p>
        </w:tc>
      </w:tr>
      <w:tr w14:paraId="1A4841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2CBDACD">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1C0902AE">
            <w:pPr>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rPr>
              <w:t>采购形式编号：</w:t>
            </w:r>
            <w:r>
              <w:rPr>
                <w:rFonts w:hint="eastAsia" w:ascii="宋体" w:hAnsi="宋体" w:eastAsia="宋体" w:cs="宋体"/>
                <w:sz w:val="24"/>
                <w:szCs w:val="24"/>
                <w:highlight w:val="yellow"/>
                <w:u w:val="single"/>
                <w:lang w:eastAsia="zh-CN"/>
              </w:rPr>
              <w:t>CGZX2025020050</w:t>
            </w:r>
          </w:p>
        </w:tc>
      </w:tr>
      <w:tr w14:paraId="2DC520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154F016">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5F7CD634">
            <w:pPr>
              <w:ind w:firstLine="482" w:firstLineChars="200"/>
              <w:rPr>
                <w:rFonts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sz w:val="24"/>
                <w:szCs w:val="24"/>
                <w:u w:val="single"/>
              </w:rPr>
              <w:t>为满足济南车桥公司生产需要，实施主减装配DE线产品兼容性改造技改项目，投资16T压力机6台、线体改造及线体随行小车、单轴拧紧机3台、气动压装机构2台、装配工装26套、工件、工具运输小车22台、设备基础及公用动力等相关配套设施。</w:t>
            </w:r>
          </w:p>
        </w:tc>
      </w:tr>
      <w:tr w14:paraId="163141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AD4BD6F">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338BDBFB">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14:paraId="0FB455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39F458A8">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034B2337">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重汽（济南）车桥有限公司</w:t>
            </w:r>
          </w:p>
          <w:p w14:paraId="05B336C6">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济南市高新区孙村镇西顿邱</w:t>
            </w:r>
          </w:p>
          <w:p w14:paraId="4D82CE37">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商务联系人：</w:t>
            </w:r>
            <w:r>
              <w:rPr>
                <w:rFonts w:hint="eastAsia" w:ascii="宋体" w:hAnsi="宋体" w:eastAsia="宋体" w:cs="宋体"/>
                <w:bCs/>
                <w:snapToGrid w:val="0"/>
                <w:kern w:val="0"/>
                <w:sz w:val="24"/>
                <w:szCs w:val="24"/>
              </w:rPr>
              <w:t>林保良</w:t>
            </w:r>
          </w:p>
          <w:p w14:paraId="79E300FD">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rPr>
              <w:t>13668829221</w:t>
            </w:r>
          </w:p>
          <w:p w14:paraId="6E3F4343">
            <w:pPr>
              <w:ind w:firstLine="482" w:firstLineChars="200"/>
              <w:rPr>
                <w:rFonts w:eastAsia="宋体"/>
                <w:highlight w:val="yellow"/>
              </w:rPr>
            </w:pPr>
            <w:r>
              <w:rPr>
                <w:rFonts w:hint="eastAsia" w:ascii="宋体" w:hAnsi="宋体" w:eastAsia="宋体" w:cs="宋体"/>
                <w:b/>
                <w:snapToGrid w:val="0"/>
                <w:kern w:val="0"/>
                <w:sz w:val="24"/>
                <w:szCs w:val="24"/>
              </w:rPr>
              <w:t>邮箱：</w:t>
            </w:r>
            <w:r>
              <w:fldChar w:fldCharType="begin"/>
            </w:r>
            <w:r>
              <w:instrText xml:space="preserve"> HYPERLINK "mailto:kongmingwei@sinotruk.com" </w:instrText>
            </w:r>
            <w:r>
              <w:fldChar w:fldCharType="separate"/>
            </w:r>
            <w:r>
              <w:rPr>
                <w:rStyle w:val="44"/>
                <w:rFonts w:hint="eastAsia" w:ascii="宋体" w:hAnsi="宋体" w:eastAsia="宋体" w:cs="宋体"/>
                <w:bCs/>
                <w:snapToGrid w:val="0"/>
                <w:color w:val="auto"/>
                <w:kern w:val="0"/>
                <w:sz w:val="24"/>
                <w:szCs w:val="24"/>
              </w:rPr>
              <w:t>linbl@sinotruk.com</w:t>
            </w:r>
            <w:r>
              <w:rPr>
                <w:rStyle w:val="44"/>
                <w:rFonts w:hint="eastAsia" w:ascii="宋体" w:hAnsi="宋体" w:eastAsia="宋体" w:cs="宋体"/>
                <w:bCs/>
                <w:snapToGrid w:val="0"/>
                <w:color w:val="auto"/>
                <w:kern w:val="0"/>
                <w:sz w:val="24"/>
                <w:szCs w:val="24"/>
              </w:rPr>
              <w:fldChar w:fldCharType="end"/>
            </w:r>
          </w:p>
        </w:tc>
      </w:tr>
      <w:tr w14:paraId="4D6F23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0CD6C3B8">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3561F15A">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057123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5949EED9">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41A8604D">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20F79286">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12562B11">
            <w:pPr>
              <w:pStyle w:val="16"/>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int="eastAsia" w:hAnsi="宋体" w:eastAsia="宋体" w:cs="Times New Roman"/>
                <w:b/>
                <w:bCs/>
                <w:color w:val="000000"/>
                <w:sz w:val="24"/>
                <w:szCs w:val="24"/>
                <w:highlight w:val="yellow"/>
                <w:lang w:val="en-US" w:eastAsia="zh-CN"/>
              </w:rPr>
              <w:t>339</w:t>
            </w:r>
            <w:r>
              <w:rPr>
                <w:rFonts w:hint="eastAsia" w:hAnsi="宋体" w:eastAsia="宋体" w:cs="Times New Roman"/>
                <w:color w:val="000000"/>
                <w:sz w:val="24"/>
                <w:szCs w:val="24"/>
              </w:rPr>
              <w:t>万元（含税，税率13%），超过投标限价无法投标。</w:t>
            </w:r>
          </w:p>
        </w:tc>
      </w:tr>
      <w:tr w14:paraId="02D824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03365A83">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63536ABC">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51315F4C">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投标人必须是在中华人民共和国境内注册的独立法人机构，具有独立承担民事责任能力；注册资金不少于350万人民币（或等值其他货币）；公司成立三年以上（以营业执照成立日期到开标当日满三年为准），且经营范围满足招标人需求；并在人员、设备、资金等方面具有承担本项目的能力；</w:t>
            </w:r>
          </w:p>
          <w:p w14:paraId="63EF3897">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14:paraId="4BC8D208">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7B36926F">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4.在“国家企业信用信息公示系统”“中国执行信息公开网”“信用中国”“天眼查”“裁判文书网”等信息平台中，无行政处罚及失信记录等信息；</w:t>
            </w:r>
          </w:p>
          <w:p w14:paraId="454101A7">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2BF13D10">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6.拟投标人应提供2022年1月1日至今经会计师事务所审计且出具无保留意见的财务审计报告，并加盖公章，包括但不限于资产负债表、利润表、现金流量表，且未显示异常；</w:t>
            </w:r>
          </w:p>
          <w:p w14:paraId="6C5F4561">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7.拟投标人有与本次招标内容相同或类似项目业绩，且近3年内无因服务不当而造成重大事故；</w:t>
            </w:r>
          </w:p>
          <w:p w14:paraId="2A5E98EE">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w:t>
            </w:r>
          </w:p>
          <w:p w14:paraId="4B5B4442">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0AE65D04">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10.拟投标人财务状况良好，最近半年纳税正常；</w:t>
            </w:r>
          </w:p>
          <w:p w14:paraId="760148D5">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11.拟投标人信用证明材料（征信中心出具的信用报告）未显示异常；</w:t>
            </w:r>
          </w:p>
          <w:p w14:paraId="3F844813">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4F670DFA">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13.如为代理商投标，需获得生产厂家正式授权，提供授权书原件，保证提供原厂售后服务并提供原厂售后服务承诺书原件；</w:t>
            </w:r>
          </w:p>
          <w:p w14:paraId="0A4C42E6">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14.本项目不接受联合体投标，拟投标人必须是最终投标单位和签订合同单位，不得以任何理由将已中标项目以任何形式分包或转包给其他单位；</w:t>
            </w:r>
          </w:p>
          <w:p w14:paraId="5FE25835">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15.无招标违规、谎报年度报告信息、提供虚假资质资料等行为或其他行政处罚记录。</w:t>
            </w:r>
          </w:p>
          <w:p w14:paraId="46061892">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16.投标方应保证所供货物（或设备）必须符合当前国家或地方最新安全、环保、消防、职业健康最新法律法规及《机械制造企业安全生产标准化规范》各项要求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2B7BEE6E">
            <w:pPr>
              <w:pStyle w:val="16"/>
              <w:ind w:firstLine="482" w:firstLineChars="200"/>
              <w:rPr>
                <w:rFonts w:hAnsi="宋体" w:eastAsia="宋体" w:cs="宋体"/>
                <w:color w:val="000000"/>
                <w:sz w:val="24"/>
                <w:szCs w:val="24"/>
              </w:rPr>
            </w:pPr>
            <w:r>
              <w:rPr>
                <w:rFonts w:hint="eastAsia" w:hAnsi="宋体" w:eastAsia="宋体" w:cs="宋体"/>
                <w:b/>
                <w:bCs/>
                <w:sz w:val="24"/>
                <w:szCs w:val="24"/>
              </w:rPr>
              <w:t>1-11</w:t>
            </w:r>
            <w:r>
              <w:rPr>
                <w:rFonts w:hAnsi="宋体" w:eastAsia="宋体" w:cs="宋体"/>
                <w:b/>
                <w:bCs/>
                <w:sz w:val="24"/>
                <w:szCs w:val="24"/>
              </w:rPr>
              <w:t>项文件必须提供，未提供者直接视为资质、资格审查未通过，无法继续参与投标！</w:t>
            </w:r>
          </w:p>
        </w:tc>
      </w:tr>
      <w:tr w14:paraId="729C92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3848EB8">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184364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5A6D4041">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9EBF2D9">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2025年3月</w:t>
            </w:r>
            <w:r>
              <w:rPr>
                <w:rFonts w:hint="eastAsia" w:ascii="宋体" w:hAnsi="宋体" w:eastAsia="宋体" w:cs="宋体"/>
                <w:bCs/>
                <w:sz w:val="24"/>
                <w:szCs w:val="24"/>
                <w:highlight w:val="yellow"/>
                <w:u w:val="single"/>
                <w:lang w:val="en-US" w:eastAsia="zh-CN"/>
              </w:rPr>
              <w:t>11</w:t>
            </w:r>
            <w:r>
              <w:rPr>
                <w:rFonts w:hint="eastAsia" w:ascii="宋体" w:hAnsi="宋体" w:eastAsia="宋体" w:cs="宋体"/>
                <w:bCs/>
                <w:sz w:val="24"/>
                <w:szCs w:val="24"/>
                <w:highlight w:val="yellow"/>
              </w:rPr>
              <w:t>日;</w:t>
            </w:r>
          </w:p>
        </w:tc>
      </w:tr>
      <w:tr w14:paraId="11746F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609824F1">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1F231847">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774338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5DFB980">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19427850">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66D74BD5">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3</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24</w:t>
            </w:r>
            <w:r>
              <w:rPr>
                <w:rFonts w:hint="eastAsia" w:ascii="宋体" w:hAnsi="宋体" w:eastAsia="宋体" w:cs="宋体"/>
                <w:bCs/>
                <w:sz w:val="24"/>
                <w:szCs w:val="24"/>
                <w:highlight w:val="yellow"/>
              </w:rPr>
              <w:t>日17:00:00前；</w:t>
            </w:r>
          </w:p>
          <w:p w14:paraId="31F9A09F">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36D706A6">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4C155E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FB3A4FC">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676EDC2">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24</w:t>
            </w:r>
            <w:r>
              <w:rPr>
                <w:rFonts w:hint="eastAsia" w:ascii="宋体" w:hAnsi="宋体" w:eastAsia="宋体" w:cs="宋体"/>
                <w:sz w:val="24"/>
                <w:szCs w:val="24"/>
                <w:highlight w:val="yellow"/>
              </w:rPr>
              <w:t>日</w:t>
            </w:r>
            <w:r>
              <w:rPr>
                <w:rFonts w:hint="eastAsia" w:ascii="宋体" w:hAnsi="宋体" w:eastAsia="宋体" w:cs="宋体"/>
                <w:bCs/>
                <w:sz w:val="24"/>
                <w:szCs w:val="24"/>
                <w:highlight w:val="yellow"/>
              </w:rPr>
              <w:t>17:00:00</w:t>
            </w:r>
            <w:r>
              <w:rPr>
                <w:rFonts w:hint="eastAsia" w:ascii="宋体" w:hAnsi="宋体" w:eastAsia="宋体" w:cs="宋体"/>
                <w:sz w:val="24"/>
                <w:szCs w:val="24"/>
              </w:rPr>
              <w:t>前；</w:t>
            </w:r>
          </w:p>
          <w:p w14:paraId="09BEE2CE">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57268A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3067902">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45B5AF93">
            <w:pPr>
              <w:pStyle w:val="113"/>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0C0471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2CEB1C1E">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492EB991">
            <w:pPr>
              <w:pStyle w:val="113"/>
              <w:spacing w:line="240" w:lineRule="auto"/>
              <w:ind w:firstLine="482"/>
              <w:rPr>
                <w:rFonts w:eastAsia="宋体" w:cs="宋体"/>
                <w:highlight w:val="yellow"/>
              </w:rPr>
            </w:pPr>
            <w:r>
              <w:rPr>
                <w:rFonts w:hint="eastAsia" w:eastAsia="宋体" w:cs="宋体"/>
                <w:b/>
                <w:bCs/>
              </w:rPr>
              <w:t>应标截止时间：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eastAsia="宋体" w:cs="宋体"/>
                <w:sz w:val="24"/>
                <w:szCs w:val="24"/>
                <w:highlight w:val="yellow"/>
                <w:lang w:val="en-US" w:eastAsia="zh-CN"/>
              </w:rPr>
              <w:t>3</w:t>
            </w:r>
            <w:r>
              <w:rPr>
                <w:rFonts w:hint="eastAsia" w:ascii="宋体" w:hAnsi="宋体" w:eastAsia="宋体" w:cs="宋体"/>
                <w:sz w:val="24"/>
                <w:szCs w:val="24"/>
                <w:highlight w:val="yellow"/>
              </w:rPr>
              <w:t>月</w:t>
            </w:r>
            <w:r>
              <w:rPr>
                <w:rFonts w:hint="eastAsia" w:eastAsia="宋体" w:cs="宋体"/>
                <w:sz w:val="24"/>
                <w:szCs w:val="24"/>
                <w:highlight w:val="yellow"/>
                <w:u w:val="single"/>
                <w:lang w:val="en-US" w:eastAsia="zh-CN"/>
              </w:rPr>
              <w:t>24</w:t>
            </w:r>
            <w:r>
              <w:rPr>
                <w:rFonts w:hint="eastAsia" w:ascii="宋体" w:hAnsi="宋体" w:eastAsia="宋体" w:cs="宋体"/>
                <w:sz w:val="24"/>
                <w:szCs w:val="24"/>
                <w:highlight w:val="yellow"/>
              </w:rPr>
              <w:t>日</w:t>
            </w:r>
            <w:r>
              <w:rPr>
                <w:rFonts w:hint="eastAsia" w:ascii="宋体" w:hAnsi="宋体" w:eastAsia="宋体" w:cs="宋体"/>
                <w:bCs/>
                <w:sz w:val="24"/>
                <w:szCs w:val="24"/>
                <w:highlight w:val="yellow"/>
              </w:rPr>
              <w:t>17:00:00</w:t>
            </w:r>
            <w:r>
              <w:rPr>
                <w:rFonts w:hint="eastAsia" w:eastAsia="宋体" w:cs="宋体"/>
                <w:bCs/>
                <w:highlight w:val="yellow"/>
              </w:rPr>
              <w:t>前</w:t>
            </w:r>
          </w:p>
          <w:p w14:paraId="7C8BDDD3">
            <w:pPr>
              <w:pStyle w:val="113"/>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0DEA81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6906B61">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2F9938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613D53B3">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7427C534">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7A94F918">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0ABA276B">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54ACD9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6F202EF5">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02ACA367">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1D6C5519">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rPr>
              <w:t>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21BE03CD">
            <w:pPr>
              <w:pStyle w:val="16"/>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7A5C3D6E">
            <w:pPr>
              <w:pStyle w:val="16"/>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73713D6B">
            <w:pPr>
              <w:pStyle w:val="16"/>
              <w:ind w:firstLine="482" w:firstLineChars="200"/>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山东省济南市历城区华奥路</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w:t>
            </w:r>
          </w:p>
          <w:p w14:paraId="44E1DB4D">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联系人及联系方式：</w:t>
            </w:r>
            <w:r>
              <w:rPr>
                <w:rFonts w:hint="eastAsia" w:ascii="宋体" w:hAnsi="宋体" w:eastAsia="宋体" w:cs="宋体"/>
                <w:bCs/>
                <w:snapToGrid w:val="0"/>
                <w:kern w:val="0"/>
                <w:sz w:val="24"/>
                <w:szCs w:val="24"/>
                <w:highlight w:val="yellow"/>
              </w:rPr>
              <w:t>林保良/13668829221</w:t>
            </w:r>
          </w:p>
        </w:tc>
      </w:tr>
      <w:tr w14:paraId="74E2DE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3FA9B091">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3E9AF61E">
            <w:pPr>
              <w:pStyle w:val="16"/>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14:paraId="6423F5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1F91AED5">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4881BE36">
            <w:pPr>
              <w:pStyle w:val="2"/>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74730EB6">
            <w:pPr>
              <w:pStyle w:val="16"/>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22C5A0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500FBDD1">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6535258F">
            <w:pPr>
              <w:pStyle w:val="16"/>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3</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25</w:t>
            </w:r>
            <w:r>
              <w:rPr>
                <w:rFonts w:hint="eastAsia" w:hAnsi="宋体" w:eastAsia="宋体" w:cs="宋体"/>
                <w:sz w:val="24"/>
                <w:szCs w:val="24"/>
                <w:highlight w:val="yellow"/>
              </w:rPr>
              <w:t>日上午 9:00:00（北京时间）</w:t>
            </w:r>
          </w:p>
          <w:p w14:paraId="536E7E21">
            <w:pPr>
              <w:pStyle w:val="16"/>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46CC8A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29D79E62">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636C8A85">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3D9FA6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5AD25A7">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5B2716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9727829">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3DCDC875">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3B79F0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236763B4">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3AEAC121">
            <w:pPr>
              <w:tabs>
                <w:tab w:val="left" w:pos="932"/>
              </w:tabs>
              <w:ind w:firstLine="482" w:firstLineChars="200"/>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人民币2</w:t>
            </w:r>
            <w:r>
              <w:rPr>
                <w:rFonts w:hint="eastAsia" w:ascii="宋体" w:hAnsi="宋体" w:eastAsia="宋体" w:cs="宋体"/>
                <w:sz w:val="24"/>
                <w:szCs w:val="24"/>
                <w:highlight w:val="yellow"/>
                <w:lang w:val="en-US" w:eastAsia="zh-CN"/>
              </w:rPr>
              <w:t>0</w:t>
            </w:r>
            <w:r>
              <w:rPr>
                <w:rFonts w:hint="eastAsia" w:ascii="宋体" w:hAnsi="宋体" w:eastAsia="宋体" w:cs="宋体"/>
                <w:sz w:val="24"/>
                <w:szCs w:val="24"/>
                <w:highlight w:val="yellow"/>
              </w:rPr>
              <w:t>000.00元</w:t>
            </w:r>
          </w:p>
          <w:p w14:paraId="3CBE3F49">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5435A7E5">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6AFA3BE9">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76DE1461">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1EC18EEB">
            <w:pPr>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748A4B44">
            <w:pPr>
              <w:ind w:firstLine="480" w:firstLineChars="200"/>
              <w:rPr>
                <w:rFonts w:ascii="宋体" w:hAnsi="宋体" w:eastAsia="宋体" w:cs="宋体"/>
                <w:sz w:val="24"/>
                <w:szCs w:val="24"/>
                <w:highlight w:val="cyan"/>
              </w:rPr>
            </w:pPr>
            <w:r>
              <w:rPr>
                <w:rFonts w:hint="eastAsia" w:eastAsia="宋体" w:cs="Times New Roman"/>
                <w:sz w:val="24"/>
                <w:szCs w:val="28"/>
                <w:highlight w:val="yellow"/>
              </w:rPr>
              <w:t>转账附言：公司名称+项目名称+投标保证金。</w:t>
            </w:r>
          </w:p>
        </w:tc>
      </w:tr>
      <w:tr w14:paraId="6224AB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0737C0F9">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00C0A97C">
            <w:pPr>
              <w:pStyle w:val="35"/>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3</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24</w:t>
            </w:r>
            <w:r>
              <w:rPr>
                <w:rFonts w:hint="eastAsia" w:ascii="宋体" w:hAnsi="宋体" w:cs="宋体"/>
                <w:sz w:val="24"/>
                <w:szCs w:val="24"/>
                <w:highlight w:val="yellow"/>
              </w:rPr>
              <w:t>日</w:t>
            </w:r>
            <w:r>
              <w:rPr>
                <w:rFonts w:hint="eastAsia" w:ascii="宋体" w:hAnsi="宋体" w:cs="宋体"/>
                <w:bCs/>
                <w:sz w:val="24"/>
                <w:szCs w:val="24"/>
                <w:highlight w:val="yellow"/>
              </w:rPr>
              <w:t>17:00:00</w:t>
            </w:r>
            <w:r>
              <w:rPr>
                <w:rFonts w:hint="eastAsia" w:ascii="宋体" w:hAnsi="宋体" w:cs="宋体"/>
                <w:sz w:val="24"/>
                <w:szCs w:val="24"/>
                <w:highlight w:val="yellow"/>
              </w:rPr>
              <w:t>前（同应标截止时间）</w:t>
            </w:r>
          </w:p>
          <w:p w14:paraId="0A362AC0">
            <w:pPr>
              <w:pStyle w:val="35"/>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2EE8ED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153EF52D">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06B419FA">
            <w:pPr>
              <w:pStyle w:val="35"/>
              <w:spacing w:after="0" w:line="240" w:lineRule="auto"/>
              <w:ind w:left="0" w:leftChars="0" w:firstLine="480"/>
              <w:rPr>
                <w:rFonts w:ascii="宋体" w:hAnsi="宋体" w:cs="宋体"/>
                <w:sz w:val="24"/>
                <w:szCs w:val="24"/>
              </w:rPr>
            </w:pPr>
            <w:bookmarkStart w:id="1429" w:name="_GoBack"/>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bookmarkEnd w:id="1429"/>
          </w:p>
        </w:tc>
      </w:tr>
      <w:tr w14:paraId="276A00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DE460F4">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2401C6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27FAD492">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145C6A38">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3</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25</w:t>
            </w:r>
            <w:r>
              <w:rPr>
                <w:rFonts w:hint="eastAsia" w:ascii="宋体" w:hAnsi="宋体" w:cs="宋体"/>
                <w:sz w:val="24"/>
                <w:szCs w:val="24"/>
                <w:highlight w:val="yellow"/>
              </w:rPr>
              <w:t>日9:</w:t>
            </w:r>
            <w:r>
              <w:rPr>
                <w:rFonts w:ascii="宋体" w:hAnsi="宋体" w:cs="宋体"/>
                <w:sz w:val="24"/>
                <w:szCs w:val="24"/>
                <w:highlight w:val="yellow"/>
              </w:rPr>
              <w:t>0</w:t>
            </w:r>
            <w:r>
              <w:rPr>
                <w:rFonts w:hint="eastAsia" w:ascii="宋体" w:hAnsi="宋体" w:cs="宋体"/>
                <w:sz w:val="24"/>
                <w:szCs w:val="24"/>
                <w:highlight w:val="yellow"/>
              </w:rPr>
              <w:t>0:00</w:t>
            </w:r>
            <w:r>
              <w:rPr>
                <w:rFonts w:hint="eastAsia" w:ascii="宋体" w:hAnsi="宋体" w:eastAsia="宋体" w:cs="宋体"/>
                <w:kern w:val="0"/>
                <w:sz w:val="24"/>
                <w:szCs w:val="24"/>
                <w:highlight w:val="yellow"/>
              </w:rPr>
              <w:t>。</w:t>
            </w:r>
          </w:p>
          <w:p w14:paraId="2E1B7B8E">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华奥路777号重汽科技大厦1311会议室</w:t>
            </w:r>
            <w:r>
              <w:rPr>
                <w:rFonts w:hint="eastAsia" w:ascii="宋体" w:hAnsi="宋体" w:eastAsia="宋体" w:cs="宋体"/>
                <w:sz w:val="24"/>
                <w:szCs w:val="24"/>
              </w:rPr>
              <w:t>。</w:t>
            </w:r>
          </w:p>
        </w:tc>
      </w:tr>
      <w:tr w14:paraId="065629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FD2AB00">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414BD8FE">
            <w:pPr>
              <w:pStyle w:val="12"/>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评标方法：资质标审核→唱标→技术标评审→商务标评审。</w:t>
            </w:r>
            <w:r>
              <w:rPr>
                <w:rFonts w:hint="eastAsia" w:ascii="宋体" w:hAnsi="宋体" w:eastAsia="宋体" w:cs="宋体"/>
                <w:b/>
                <w:bCs/>
                <w:sz w:val="24"/>
                <w:szCs w:val="24"/>
                <w:highlight w:val="magenta"/>
              </w:rPr>
              <w:t>技术标入围后，原则上合理最低价</w:t>
            </w:r>
            <w:r>
              <w:rPr>
                <w:rFonts w:hint="eastAsia" w:ascii="宋体" w:hAnsi="宋体" w:eastAsia="宋体" w:cs="宋体"/>
                <w:b/>
                <w:sz w:val="24"/>
                <w:szCs w:val="24"/>
                <w:highlight w:val="magenta"/>
              </w:rPr>
              <w:t>中标</w:t>
            </w:r>
            <w:r>
              <w:rPr>
                <w:rFonts w:hint="eastAsia" w:ascii="宋体" w:hAnsi="宋体" w:eastAsia="宋体" w:cs="宋体"/>
                <w:sz w:val="24"/>
                <w:szCs w:val="24"/>
                <w:highlight w:val="magenta"/>
              </w:rPr>
              <w:t>。</w:t>
            </w:r>
            <w:r>
              <w:rPr>
                <w:rFonts w:hint="eastAsia" w:ascii="宋体" w:hAnsi="宋体" w:eastAsia="宋体" w:cs="宋体"/>
                <w:sz w:val="24"/>
                <w:szCs w:val="24"/>
              </w:rPr>
              <w:t>具体详见“第二部分投标须知第六条：评标原则”。</w:t>
            </w:r>
          </w:p>
        </w:tc>
      </w:tr>
      <w:tr w14:paraId="40C109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75463E9">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5A21A1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97527A5">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59E2E041">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7F5D15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55AAEFD">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2F6390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0873A04E">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48B49BC5">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23F55EF7">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1.定标后，210个日历日之内交货至供货地点</w:t>
            </w:r>
            <w:r>
              <w:rPr>
                <w:rFonts w:hAnsi="宋体" w:eastAsia="宋体" w:cs="宋体"/>
                <w:color w:val="000000"/>
                <w:sz w:val="24"/>
                <w:szCs w:val="24"/>
              </w:rPr>
              <w:t>。</w:t>
            </w:r>
          </w:p>
          <w:p w14:paraId="093A7420">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2.接续</w:t>
            </w:r>
            <w:r>
              <w:rPr>
                <w:rFonts w:hint="eastAsia" w:hAnsi="宋体" w:eastAsia="宋体" w:cs="宋体"/>
                <w:color w:val="000000"/>
                <w:sz w:val="24"/>
                <w:szCs w:val="24"/>
                <w:lang w:val="en-US" w:eastAsia="zh-CN"/>
              </w:rPr>
              <w:t>90</w:t>
            </w:r>
            <w:r>
              <w:rPr>
                <w:rFonts w:hint="eastAsia" w:hAnsi="宋体" w:eastAsia="宋体" w:cs="宋体"/>
                <w:color w:val="000000"/>
                <w:sz w:val="24"/>
                <w:szCs w:val="24"/>
              </w:rPr>
              <w:t>个日历日之内安装调试完毕。</w:t>
            </w:r>
          </w:p>
          <w:p w14:paraId="0B2A227F">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3.接续30个日历日之内完成终验收。</w:t>
            </w:r>
          </w:p>
          <w:p w14:paraId="7F7F0DCE">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安装调试时间或终验收时间超过规定时间的，投标人应当随标书提供详细的工期计划。</w:t>
            </w:r>
          </w:p>
        </w:tc>
      </w:tr>
      <w:tr w14:paraId="44BECB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512E05C">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2EECA9A3">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5B130108">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rPr>
              <w:t>招标方指定地点。</w:t>
            </w:r>
          </w:p>
        </w:tc>
      </w:tr>
      <w:tr w14:paraId="3464DA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F053404">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626BFBD8">
            <w:pPr>
              <w:pStyle w:val="12"/>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31AA41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C397B6A">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083ED30B">
            <w:pPr>
              <w:ind w:firstLine="480" w:firstLineChars="200"/>
              <w:rPr>
                <w:rFonts w:hint="eastAsia" w:hAnsi="宋体" w:eastAsia="宋体" w:cs="宋体"/>
                <w:b w:val="0"/>
                <w:bCs w:val="0"/>
                <w:color w:val="000000"/>
                <w:sz w:val="24"/>
                <w:szCs w:val="24"/>
              </w:rPr>
            </w:pPr>
            <w:r>
              <w:rPr>
                <w:rFonts w:hint="eastAsia" w:hAnsi="宋体" w:eastAsia="宋体" w:cs="宋体"/>
                <w:b w:val="0"/>
                <w:bCs w:val="0"/>
                <w:color w:val="000000"/>
                <w:sz w:val="24"/>
                <w:szCs w:val="24"/>
              </w:rPr>
              <w:t>A.合同生效后，中标人提供合同价款30%的增值税专用发票，经招标人依照财务制度审核通过后支付；</w:t>
            </w:r>
          </w:p>
          <w:p w14:paraId="1E6B4445">
            <w:pPr>
              <w:ind w:firstLine="480" w:firstLineChars="200"/>
              <w:rPr>
                <w:rFonts w:hint="eastAsia" w:hAnsi="宋体" w:eastAsia="宋体" w:cs="宋体"/>
                <w:b w:val="0"/>
                <w:bCs w:val="0"/>
                <w:color w:val="000000"/>
                <w:sz w:val="24"/>
                <w:szCs w:val="24"/>
              </w:rPr>
            </w:pPr>
            <w:r>
              <w:rPr>
                <w:rFonts w:hint="eastAsia" w:hAnsi="宋体" w:eastAsia="宋体" w:cs="宋体"/>
                <w:b w:val="0"/>
                <w:bCs w:val="0"/>
                <w:color w:val="000000"/>
                <w:sz w:val="24"/>
                <w:szCs w:val="24"/>
              </w:rPr>
              <w:t>B.设备全部到货后，中标人提供合同价款30%的增值税专用发票，经招标人依照财务制度审核通过后支付；</w:t>
            </w:r>
          </w:p>
          <w:p w14:paraId="76991030">
            <w:pPr>
              <w:ind w:firstLine="480" w:firstLineChars="200"/>
              <w:rPr>
                <w:rFonts w:hint="eastAsia" w:hAnsi="宋体" w:eastAsia="宋体" w:cs="宋体"/>
                <w:b w:val="0"/>
                <w:bCs w:val="0"/>
                <w:color w:val="000000"/>
                <w:sz w:val="24"/>
                <w:szCs w:val="24"/>
              </w:rPr>
            </w:pPr>
            <w:r>
              <w:rPr>
                <w:rFonts w:hint="eastAsia" w:hAnsi="宋体" w:eastAsia="宋体" w:cs="宋体"/>
                <w:b w:val="0"/>
                <w:bCs w:val="0"/>
                <w:color w:val="000000"/>
                <w:sz w:val="24"/>
                <w:szCs w:val="24"/>
              </w:rPr>
              <w:t>C.设备验收合格后，中标人提供合同价款40%的增值税专用发票，经招标人依照财务制度审核通过后支付合同价款的30%；</w:t>
            </w:r>
          </w:p>
          <w:p w14:paraId="0B0466BC">
            <w:pPr>
              <w:ind w:firstLine="480" w:firstLineChars="200"/>
              <w:rPr>
                <w:rFonts w:ascii="宋体" w:hAnsi="宋体" w:eastAsia="宋体" w:cs="宋体"/>
                <w:sz w:val="24"/>
                <w:szCs w:val="24"/>
              </w:rPr>
            </w:pPr>
            <w:r>
              <w:rPr>
                <w:rFonts w:hint="eastAsia" w:hAnsi="宋体" w:eastAsia="宋体" w:cs="宋体"/>
                <w:b w:val="0"/>
                <w:bCs w:val="0"/>
                <w:color w:val="000000"/>
                <w:sz w:val="24"/>
                <w:szCs w:val="24"/>
              </w:rPr>
              <w:t>D.合同总价款的10%作为本合同约定设备的质量保证金，质量保证金在质量保证期内不计利息。质保期届满后支付。</w:t>
            </w:r>
          </w:p>
        </w:tc>
      </w:tr>
      <w:tr w14:paraId="0BD3EE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0FEB6B8">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2BD78F8E">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增值税专用发票开票信息：</w:t>
            </w:r>
          </w:p>
          <w:p w14:paraId="57F6BA66">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公司名称：重汽（济南）车桥有限公司</w:t>
            </w:r>
          </w:p>
          <w:p w14:paraId="529114C1">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纳税识别号：</w:t>
            </w:r>
            <w:r>
              <w:rPr>
                <w:rFonts w:ascii="宋体" w:hAnsi="宋体" w:eastAsia="宋体" w:cs="宋体"/>
                <w:color w:val="000000"/>
                <w:sz w:val="24"/>
                <w:szCs w:val="24"/>
              </w:rPr>
              <w:t>91370100780623443J</w:t>
            </w:r>
          </w:p>
          <w:p w14:paraId="7AF9EB3B">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地址</w:t>
            </w:r>
            <w:r>
              <w:rPr>
                <w:rFonts w:ascii="宋体" w:hAnsi="宋体" w:eastAsia="宋体" w:cs="宋体"/>
                <w:color w:val="000000"/>
                <w:sz w:val="24"/>
                <w:szCs w:val="24"/>
              </w:rPr>
              <w:t>: 济南市高新区孙村镇西顿邱</w:t>
            </w:r>
          </w:p>
          <w:p w14:paraId="595EA188">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开户行</w:t>
            </w:r>
            <w:r>
              <w:rPr>
                <w:rFonts w:ascii="宋体" w:hAnsi="宋体" w:eastAsia="宋体" w:cs="宋体"/>
                <w:color w:val="000000"/>
                <w:sz w:val="24"/>
                <w:szCs w:val="24"/>
              </w:rPr>
              <w:t>: 中信济分舜耕支行</w:t>
            </w:r>
          </w:p>
          <w:p w14:paraId="74769331">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帐号：</w:t>
            </w:r>
            <w:r>
              <w:rPr>
                <w:rFonts w:ascii="宋体" w:hAnsi="宋体" w:eastAsia="宋体" w:cs="宋体"/>
                <w:color w:val="000000"/>
                <w:sz w:val="24"/>
                <w:szCs w:val="24"/>
              </w:rPr>
              <w:t xml:space="preserve"> 7372610182600060479</w:t>
            </w:r>
          </w:p>
          <w:p w14:paraId="5559DE12">
            <w:pPr>
              <w:ind w:firstLine="480" w:firstLineChars="200"/>
              <w:rPr>
                <w:rFonts w:ascii="宋体" w:hAnsi="宋体" w:cs="宋体"/>
                <w:bCs/>
                <w:sz w:val="24"/>
                <w:szCs w:val="24"/>
              </w:rPr>
            </w:pPr>
            <w:r>
              <w:rPr>
                <w:rFonts w:hint="eastAsia" w:ascii="宋体" w:hAnsi="宋体" w:eastAsia="宋体" w:cs="宋体"/>
                <w:color w:val="000000"/>
                <w:sz w:val="24"/>
                <w:szCs w:val="24"/>
              </w:rPr>
              <w:t>行号：</w:t>
            </w:r>
            <w:r>
              <w:rPr>
                <w:rFonts w:ascii="宋体" w:hAnsi="宋体" w:eastAsia="宋体" w:cs="宋体"/>
                <w:color w:val="000000"/>
                <w:sz w:val="24"/>
                <w:szCs w:val="24"/>
              </w:rPr>
              <w:t>302451037264</w:t>
            </w:r>
          </w:p>
        </w:tc>
      </w:tr>
      <w:tr w14:paraId="4BAAEC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7BC4526">
            <w:pPr>
              <w:pStyle w:val="12"/>
              <w:jc w:val="center"/>
              <w:rPr>
                <w:rFonts w:ascii="宋体" w:hAnsi="宋体" w:eastAsia="宋体" w:cs="宋体"/>
                <w:sz w:val="24"/>
                <w:szCs w:val="24"/>
              </w:rPr>
            </w:pPr>
            <w:r>
              <w:rPr>
                <w:rFonts w:hint="eastAsia" w:ascii="宋体" w:hAnsi="宋体" w:eastAsia="宋体" w:cs="宋体"/>
                <w:b/>
                <w:bCs/>
                <w:sz w:val="24"/>
                <w:szCs w:val="24"/>
              </w:rPr>
              <w:t>8.其它</w:t>
            </w:r>
          </w:p>
        </w:tc>
      </w:tr>
      <w:tr w14:paraId="6C61BD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0C9D4FB">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12E2C0A">
            <w:pPr>
              <w:pStyle w:val="12"/>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2DC20D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9433CAA">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78CFF4F8">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5E5A51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295F1BC">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36C5C8D4">
            <w:pPr>
              <w:pStyle w:val="12"/>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中标方应在合同签订后规定时间内需根据设计</w:t>
            </w:r>
            <w:r>
              <w:rPr>
                <w:rStyle w:val="42"/>
                <w:rFonts w:hint="eastAsia" w:ascii="宋体" w:hAnsi="宋体" w:eastAsia="宋体" w:cs="宋体"/>
                <w:sz w:val="24"/>
                <w:szCs w:val="24"/>
              </w:rPr>
              <w:t>提资</w:t>
            </w:r>
            <w:r>
              <w:rPr>
                <w:rFonts w:hint="eastAsia" w:ascii="宋体" w:hAnsi="宋体" w:eastAsia="宋体" w:cs="宋体"/>
                <w:sz w:val="24"/>
                <w:szCs w:val="24"/>
              </w:rPr>
              <w:t>要求提供详细的</w:t>
            </w:r>
            <w:r>
              <w:rPr>
                <w:rStyle w:val="42"/>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2"/>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2"/>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05357FFB">
      <w:pPr>
        <w:pStyle w:val="16"/>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14:paraId="3B56B386">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第二部分 投标须知</w:t>
      </w:r>
      <w:bookmarkEnd w:id="4"/>
    </w:p>
    <w:p w14:paraId="41E9017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20C83066">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57DF01F9">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34486EFF">
      <w:pPr>
        <w:pStyle w:val="16"/>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38A85340">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33D9F23A">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3501D730">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4662B48F">
      <w:pPr>
        <w:pStyle w:val="16"/>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596ADCA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603F917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1F3DCDA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14:paraId="6384078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29E778B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5A495C36">
      <w:pPr>
        <w:keepNext/>
        <w:keepLines/>
        <w:numPr>
          <w:ilvl w:val="0"/>
          <w:numId w:val="3"/>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0E82CF07">
      <w:pPr>
        <w:pStyle w:val="16"/>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6CADA09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65AF7B14">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3B4BF81C">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7D0AC26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r>
        <w:rPr>
          <w:rFonts w:hint="eastAsia" w:ascii="宋体" w:hAnsi="宋体" w:eastAsia="宋体" w:cs="宋体"/>
          <w:b/>
          <w:bCs/>
          <w:color w:val="000000"/>
          <w:sz w:val="24"/>
          <w:szCs w:val="24"/>
          <w:highlight w:val="yellow"/>
        </w:rPr>
        <w:t>。</w:t>
      </w:r>
    </w:p>
    <w:p w14:paraId="007FFF15">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0723CD7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211AA86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0157279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5F2D199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50D97FD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3CFA8379">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1F49AC22">
      <w:pPr>
        <w:pStyle w:val="16"/>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rPr>
        <w:t>4.7</w:t>
      </w:r>
      <w:r>
        <w:rPr>
          <w:rFonts w:hint="eastAsia" w:hAnsi="宋体" w:eastAsia="宋体" w:cs="宋体"/>
          <w:color w:val="000000"/>
          <w:sz w:val="24"/>
          <w:szCs w:val="24"/>
          <w:highlight w:val="yellow"/>
        </w:rPr>
        <w:t>设备设施颜色严格执行我公司企业标准《设备设施颜色标识》（Q/ZZ30070</w:t>
      </w:r>
    </w:p>
    <w:p w14:paraId="2162B8B7">
      <w:pPr>
        <w:pStyle w:val="16"/>
        <w:spacing w:line="360" w:lineRule="auto"/>
        <w:rPr>
          <w:rFonts w:hAnsi="宋体" w:eastAsia="宋体" w:cs="宋体"/>
          <w:color w:val="000000"/>
          <w:sz w:val="24"/>
          <w:szCs w:val="24"/>
        </w:rPr>
      </w:pPr>
      <w:r>
        <w:rPr>
          <w:rFonts w:hint="eastAsia" w:hAnsi="宋体" w:eastAsia="宋体" w:cs="宋体"/>
          <w:color w:val="000000"/>
          <w:sz w:val="24"/>
          <w:szCs w:val="24"/>
          <w:highlight w:val="yellow"/>
        </w:rPr>
        <w:t>—2020）</w:t>
      </w:r>
      <w:r>
        <w:rPr>
          <w:rFonts w:hint="eastAsia" w:hAnsi="宋体" w:eastAsia="宋体" w:cs="宋体"/>
          <w:color w:val="000000"/>
          <w:sz w:val="24"/>
          <w:szCs w:val="24"/>
        </w:rPr>
        <w:t>。</w:t>
      </w:r>
    </w:p>
    <w:p w14:paraId="29E8C2C6">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138996D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327D5349">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49F9E4AE">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307C3E38">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59DAD6C2">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544C0EA9">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2DA012BC">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3324660F">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1680006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3D9321D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见《投标须知前附表》第二条，逾期不受理。</w:t>
      </w:r>
    </w:p>
    <w:p w14:paraId="43B5FBF2">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2D5D56BC">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（保证金具体金额及缴纳截止时间见《投标须知前附表》4.2和4.3）。</w:t>
      </w:r>
    </w:p>
    <w:p w14:paraId="709DC50D">
      <w:pPr>
        <w:pStyle w:val="113"/>
        <w:ind w:firstLine="480"/>
        <w:rPr>
          <w:rFonts w:eastAsia="宋体" w:cs="宋体"/>
        </w:rPr>
      </w:pPr>
      <w:r>
        <w:rPr>
          <w:rFonts w:hint="eastAsia" w:eastAsia="宋体" w:cs="宋体"/>
        </w:rPr>
        <w:t>4.2招标人银行账户信息如下：见《投标须知前附表》4.2。</w:t>
      </w:r>
    </w:p>
    <w:p w14:paraId="7F5B1E3E">
      <w:pPr>
        <w:pStyle w:val="113"/>
        <w:ind w:firstLine="480"/>
        <w:rPr>
          <w:rFonts w:eastAsia="宋体" w:cs="宋体"/>
        </w:rPr>
      </w:pPr>
      <w:r>
        <w:rPr>
          <w:rFonts w:hint="eastAsia" w:eastAsia="宋体" w:cs="宋体"/>
        </w:rPr>
        <w:t>转账附言：公司名称+项目名称+投标保证金；</w:t>
      </w:r>
    </w:p>
    <w:p w14:paraId="412F5774">
      <w:pPr>
        <w:pStyle w:val="113"/>
        <w:ind w:firstLine="480"/>
        <w:rPr>
          <w:rFonts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14:paraId="725A02BB">
      <w:pPr>
        <w:pStyle w:val="113"/>
        <w:ind w:firstLine="480"/>
        <w:rPr>
          <w:rFonts w:eastAsia="宋体" w:cs="宋体"/>
        </w:rPr>
      </w:pPr>
      <w:r>
        <w:rPr>
          <w:rFonts w:hint="eastAsia" w:eastAsia="宋体" w:cs="宋体"/>
        </w:rPr>
        <w:t>4.3说明</w:t>
      </w:r>
    </w:p>
    <w:p w14:paraId="0FEF981A">
      <w:pPr>
        <w:pStyle w:val="113"/>
        <w:ind w:firstLine="480"/>
        <w:rPr>
          <w:rFonts w:eastAsia="宋体" w:cs="宋体"/>
        </w:rPr>
      </w:pPr>
      <w:r>
        <w:rPr>
          <w:rFonts w:hint="eastAsia" w:eastAsia="宋体" w:cs="宋体"/>
        </w:rPr>
        <w:t>4.3.1 投标人在向招标人出示《投标保证金缴纳凭证》后方可进行投标；</w:t>
      </w:r>
    </w:p>
    <w:p w14:paraId="62BE0FF5">
      <w:pPr>
        <w:pStyle w:val="113"/>
        <w:ind w:firstLine="480"/>
        <w:rPr>
          <w:rFonts w:eastAsia="宋体" w:cs="宋体"/>
        </w:rPr>
      </w:pPr>
      <w:r>
        <w:rPr>
          <w:rFonts w:hint="eastAsia" w:eastAsia="宋体" w:cs="宋体"/>
        </w:rPr>
        <w:t>4.3.2 发生以下情况时，招标人有权没收保证金：</w:t>
      </w:r>
    </w:p>
    <w:p w14:paraId="577C77C8">
      <w:pPr>
        <w:pStyle w:val="113"/>
        <w:ind w:firstLine="480"/>
        <w:rPr>
          <w:rFonts w:eastAsia="宋体" w:cs="宋体"/>
        </w:rPr>
      </w:pPr>
      <w:r>
        <w:rPr>
          <w:rFonts w:hint="eastAsia" w:eastAsia="宋体" w:cs="宋体"/>
        </w:rPr>
        <w:t>4.3.2.1 截至开标前3天，投标人无正当理由且未以书面形式递交说明而在投标截止日不来投标的；</w:t>
      </w:r>
    </w:p>
    <w:p w14:paraId="457D3BEA">
      <w:pPr>
        <w:pStyle w:val="113"/>
        <w:ind w:firstLine="480"/>
        <w:rPr>
          <w:rFonts w:eastAsia="宋体" w:cs="宋体"/>
        </w:rPr>
      </w:pPr>
      <w:r>
        <w:rPr>
          <w:rFonts w:hint="eastAsia" w:eastAsia="宋体" w:cs="宋体"/>
        </w:rPr>
        <w:t>4.3.2.2 投标人递送投标文件后，无正当理由放弃投标的；</w:t>
      </w:r>
    </w:p>
    <w:p w14:paraId="393B29FA">
      <w:pPr>
        <w:pStyle w:val="113"/>
        <w:ind w:firstLine="480"/>
        <w:rPr>
          <w:rFonts w:eastAsia="宋体" w:cs="宋体"/>
        </w:rPr>
      </w:pPr>
      <w:r>
        <w:rPr>
          <w:rFonts w:hint="eastAsia" w:eastAsia="宋体" w:cs="宋体"/>
        </w:rPr>
        <w:t>4.3.2.3若为视频开标，招标过程中澄清函等资料原件未按要求提交的；</w:t>
      </w:r>
    </w:p>
    <w:p w14:paraId="559C824A">
      <w:pPr>
        <w:pStyle w:val="113"/>
        <w:ind w:firstLine="480"/>
        <w:rPr>
          <w:rFonts w:eastAsia="宋体" w:cs="宋体"/>
        </w:rPr>
      </w:pPr>
      <w:r>
        <w:rPr>
          <w:rFonts w:hint="eastAsia" w:eastAsia="宋体" w:cs="宋体"/>
        </w:rPr>
        <w:t>4.3.2.4自中标通知书发出之日起30日内，中标人无正当理由不签订合同的；</w:t>
      </w:r>
    </w:p>
    <w:p w14:paraId="25AB90E6">
      <w:pPr>
        <w:pStyle w:val="113"/>
        <w:ind w:firstLine="480"/>
        <w:rPr>
          <w:rFonts w:eastAsia="宋体" w:cs="宋体"/>
        </w:rPr>
      </w:pPr>
      <w:r>
        <w:rPr>
          <w:rFonts w:hint="eastAsia" w:eastAsia="宋体" w:cs="宋体"/>
        </w:rPr>
        <w:t>4.3.2.5投标人在投标过程中被查实有串标、围标、陪标等违规违纪行为的；</w:t>
      </w:r>
    </w:p>
    <w:p w14:paraId="18CE990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73ACE22B">
      <w:pPr>
        <w:pStyle w:val="113"/>
        <w:ind w:firstLine="480"/>
        <w:rPr>
          <w:rFonts w:eastAsia="宋体" w:cs="宋体"/>
        </w:rPr>
      </w:pPr>
      <w:r>
        <w:rPr>
          <w:rFonts w:hint="eastAsia" w:eastAsia="宋体" w:cs="宋体"/>
        </w:rPr>
        <w:t>4.4投标报名截止时间</w:t>
      </w:r>
    </w:p>
    <w:p w14:paraId="5A97F804">
      <w:pPr>
        <w:pStyle w:val="113"/>
        <w:ind w:firstLine="480"/>
        <w:rPr>
          <w:rFonts w:eastAsia="宋体" w:cs="宋体"/>
        </w:rPr>
      </w:pPr>
      <w:r>
        <w:rPr>
          <w:rFonts w:hint="eastAsia" w:eastAsia="宋体" w:cs="宋体"/>
        </w:rPr>
        <w:t>报名方式：</w:t>
      </w:r>
      <w:r>
        <w:rPr>
          <w:rFonts w:hint="eastAsia" w:eastAsia="宋体" w:cs="宋体"/>
          <w:highlight w:val="yellow"/>
        </w:rPr>
        <w:t>见《投标须知前附表》2.3。</w:t>
      </w:r>
    </w:p>
    <w:p w14:paraId="59A251BD">
      <w:pPr>
        <w:pStyle w:val="113"/>
        <w:ind w:firstLine="480"/>
        <w:rPr>
          <w:rFonts w:eastAsia="宋体" w:cs="宋体"/>
        </w:rPr>
      </w:pPr>
      <w:r>
        <w:rPr>
          <w:rFonts w:hint="eastAsia" w:eastAsia="宋体" w:cs="宋体"/>
        </w:rPr>
        <w:t>报名提交资料：均为盖章电子扫描版，用“公司名称+文件名称”命名。</w:t>
      </w:r>
    </w:p>
    <w:p w14:paraId="2A64D7F3">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59D71B4B">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0402E920">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762A275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3335807A">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见《投标须知前附表》5.1，若有变动另行通知。</w:t>
      </w:r>
    </w:p>
    <w:p w14:paraId="7022E9F6">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652402C1">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p>
    <w:p w14:paraId="044AB2C8">
      <w:pPr>
        <w:spacing w:line="360" w:lineRule="auto"/>
        <w:jc w:val="left"/>
        <w:outlineLvl w:val="1"/>
        <w:rPr>
          <w:rFonts w:ascii="宋体" w:hAnsi="宋体" w:eastAsia="宋体" w:cs="宋体"/>
          <w:b/>
          <w:sz w:val="24"/>
          <w:szCs w:val="24"/>
        </w:rPr>
      </w:pPr>
      <w:bookmarkStart w:id="6" w:name="_Toc33285487"/>
      <w:bookmarkStart w:id="7" w:name="_Toc33266914"/>
      <w:bookmarkStart w:id="8" w:name="_Toc33267001"/>
      <w:bookmarkStart w:id="9" w:name="_Toc33266950"/>
      <w:bookmarkStart w:id="10" w:name="_Toc33265653"/>
      <w:bookmarkStart w:id="11" w:name="_Toc33265752"/>
      <w:bookmarkStart w:id="12" w:name="_Toc33266627"/>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0E8EFC28">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6EB92BE0">
      <w:pPr>
        <w:adjustRightInd w:val="0"/>
        <w:snapToGrid w:val="0"/>
        <w:spacing w:line="360" w:lineRule="auto"/>
        <w:ind w:firstLine="480" w:firstLineChars="200"/>
        <w:rPr>
          <w:rFonts w:ascii="宋体" w:hAnsi="宋体" w:eastAsia="宋体" w:cs="宋体"/>
          <w:b/>
          <w:color w:val="000000"/>
          <w:sz w:val="24"/>
          <w:szCs w:val="24"/>
          <w:highlight w:val="magenta"/>
        </w:rPr>
      </w:pPr>
      <w:bookmarkStart w:id="14" w:name="_Toc33266628"/>
      <w:bookmarkStart w:id="15" w:name="_Toc33265753"/>
      <w:bookmarkStart w:id="16" w:name="_Toc33267002"/>
      <w:bookmarkStart w:id="17" w:name="_Toc33285489"/>
      <w:bookmarkStart w:id="18" w:name="_Toc33266915"/>
      <w:bookmarkStart w:id="19" w:name="_Toc33265654"/>
      <w:bookmarkStart w:id="20" w:name="_Toc33266951"/>
      <w:bookmarkStart w:id="21" w:name="_Toc395116634"/>
      <w:r>
        <w:rPr>
          <w:rFonts w:hint="eastAsia" w:ascii="宋体" w:hAnsi="宋体" w:eastAsia="宋体" w:cs="宋体"/>
          <w:sz w:val="24"/>
          <w:szCs w:val="24"/>
          <w:highlight w:val="magenta"/>
        </w:rPr>
        <w:t>本次招标采用</w:t>
      </w:r>
      <w:r>
        <w:rPr>
          <w:rFonts w:hint="eastAsia" w:ascii="宋体" w:hAnsi="宋体" w:eastAsia="宋体" w:cs="宋体"/>
          <w:b/>
          <w:bCs/>
          <w:sz w:val="24"/>
          <w:szCs w:val="24"/>
          <w:highlight w:val="magenta"/>
        </w:rPr>
        <w:t>技术标入围后，原则上合理最低价中标</w:t>
      </w:r>
      <w:r>
        <w:rPr>
          <w:rFonts w:hint="eastAsia" w:ascii="宋体" w:hAnsi="宋体" w:eastAsia="宋体" w:cs="宋体"/>
          <w:sz w:val="24"/>
          <w:szCs w:val="24"/>
          <w:highlight w:val="magenta"/>
        </w:rPr>
        <w:t>。本着公平、公正、公开的原则，在通过技术标综合评审后入围的前提下，选择合理最低价确定中标人，</w:t>
      </w:r>
      <w:r>
        <w:rPr>
          <w:rFonts w:hint="eastAsia" w:ascii="宋体" w:hAnsi="宋体" w:eastAsia="宋体" w:cs="宋体"/>
          <w:b/>
          <w:bCs/>
          <w:sz w:val="24"/>
          <w:szCs w:val="24"/>
          <w:highlight w:val="magenta"/>
        </w:rPr>
        <w:t>对未中标单位不做任何解释。</w:t>
      </w:r>
    </w:p>
    <w:bookmarkEnd w:id="14"/>
    <w:bookmarkEnd w:id="15"/>
    <w:bookmarkEnd w:id="16"/>
    <w:bookmarkEnd w:id="17"/>
    <w:bookmarkEnd w:id="18"/>
    <w:bookmarkEnd w:id="19"/>
    <w:bookmarkEnd w:id="20"/>
    <w:bookmarkEnd w:id="21"/>
    <w:p w14:paraId="591A07EE">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15AAE616">
      <w:pPr>
        <w:pStyle w:val="16"/>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2F7453FC">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按照第三部分第三条投标文件组成资格证明文件中的1.1-1.12准备资料，上传完毕后，等待审核</w:t>
      </w:r>
      <w:r>
        <w:rPr>
          <w:rFonts w:hint="eastAsia" w:ascii="宋体" w:hAnsi="宋体" w:eastAsia="宋体" w:cs="宋体"/>
          <w:b/>
          <w:color w:val="000000"/>
          <w:sz w:val="24"/>
          <w:szCs w:val="24"/>
        </w:rPr>
        <w:t>；</w:t>
      </w:r>
    </w:p>
    <w:p w14:paraId="58ED0669">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5F690736">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1D01737A">
      <w:pPr>
        <w:numPr>
          <w:ilvl w:val="0"/>
          <w:numId w:val="7"/>
        </w:numPr>
        <w:spacing w:line="360" w:lineRule="auto"/>
        <w:rPr>
          <w:rFonts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14:paraId="4FDD8C75">
      <w:pPr>
        <w:numPr>
          <w:ilvl w:val="0"/>
          <w:numId w:val="7"/>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技术标评分标准见附件14；</w:t>
      </w:r>
    </w:p>
    <w:p w14:paraId="61A3D829">
      <w:pPr>
        <w:numPr>
          <w:ilvl w:val="0"/>
          <w:numId w:val="8"/>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54E318DE">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3F99CA6F">
      <w:pPr>
        <w:numPr>
          <w:ilvl w:val="0"/>
          <w:numId w:val="9"/>
        </w:numPr>
        <w:spacing w:line="360" w:lineRule="auto"/>
        <w:rPr>
          <w:rFonts w:ascii="宋体" w:hAnsi="宋体" w:eastAsia="宋体" w:cs="宋体"/>
          <w:b/>
          <w:sz w:val="24"/>
          <w:szCs w:val="24"/>
          <w:highlight w:val="magenta"/>
        </w:rPr>
      </w:pPr>
      <w:r>
        <w:rPr>
          <w:rFonts w:hint="eastAsia" w:ascii="宋体" w:hAnsi="宋体" w:eastAsia="宋体" w:cs="宋体"/>
          <w:b/>
          <w:sz w:val="24"/>
          <w:szCs w:val="24"/>
          <w:highlight w:val="magenta"/>
        </w:rPr>
        <w:t>中标人确定：技术标入围后，原则上合理最低价中标。</w:t>
      </w:r>
    </w:p>
    <w:p w14:paraId="7C7DD96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53E2EEA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11F4026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63EE119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687F736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30DDAE20">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4A722296">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31D0509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242F048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4ED18A9">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5F45A39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744FFBA">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6EFB62C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2539859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11A3C651">
      <w:pPr>
        <w:pStyle w:val="16"/>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7722331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6A5E1B5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19A10CD1">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1F03CEA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393EAD4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2D26A5C8">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14:paraId="4198138B">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14:paraId="18FB0DD0">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（14）投标人报价均超过投标限价的；</w:t>
      </w:r>
    </w:p>
    <w:p w14:paraId="6111A8E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5</w:t>
      </w:r>
      <w:r>
        <w:rPr>
          <w:rFonts w:hint="eastAsia" w:ascii="宋体" w:hAnsi="宋体" w:eastAsia="宋体" w:cs="宋体"/>
          <w:color w:val="000000"/>
          <w:sz w:val="24"/>
          <w:szCs w:val="24"/>
        </w:rPr>
        <w:t>）法律、法规规定的其他情况。</w:t>
      </w:r>
    </w:p>
    <w:p w14:paraId="0D9B5D11">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23BCC2FD">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639B47D1">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5CC4FEFB">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783C27CF">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8"/>
      <w:bookmarkStart w:id="23" w:name="OLE_LINK27"/>
      <w:bookmarkStart w:id="24" w:name="OLE_LINK25"/>
      <w:bookmarkStart w:id="25" w:name="OLE_LINK26"/>
      <w:bookmarkStart w:id="26" w:name="OLE_LINK29"/>
      <w:r>
        <w:rPr>
          <w:rFonts w:hint="eastAsia" w:ascii="宋体" w:hAnsi="宋体" w:eastAsia="宋体" w:cs="宋体"/>
          <w:bCs/>
          <w:sz w:val="24"/>
          <w:szCs w:val="24"/>
        </w:rPr>
        <w:t>；</w:t>
      </w:r>
      <w:bookmarkEnd w:id="22"/>
      <w:bookmarkEnd w:id="23"/>
      <w:bookmarkEnd w:id="24"/>
      <w:bookmarkEnd w:id="25"/>
      <w:bookmarkEnd w:id="26"/>
    </w:p>
    <w:p w14:paraId="7D8AC106">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66A7751F">
      <w:pPr>
        <w:pStyle w:val="16"/>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1AA4510D">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D3AA051">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归重汽（济南）车桥有限公司。</w:t>
      </w:r>
    </w:p>
    <w:p w14:paraId="20843114">
      <w:pPr>
        <w:pStyle w:val="16"/>
        <w:spacing w:line="360" w:lineRule="auto"/>
        <w:jc w:val="center"/>
        <w:rPr>
          <w:rFonts w:hAnsi="宋体" w:eastAsia="宋体" w:cs="宋体"/>
          <w:b/>
          <w:bCs/>
          <w:kern w:val="44"/>
          <w:sz w:val="24"/>
          <w:szCs w:val="24"/>
        </w:rPr>
        <w:sectPr>
          <w:footerReference r:id="rId11"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14:paraId="5838DB2B">
      <w:pPr>
        <w:pStyle w:val="16"/>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292E280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0130745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259C6C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6EC91EA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243ADDF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7EB9730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76A54EB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5AA1373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0847AD4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2DCD560F">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06E76BE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1F532800">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3730805C">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7E3490F9">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B57453F">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0F2E228A">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30A7AA39">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254AF52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054542E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6B24982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rPr>
        <w:t>；</w:t>
      </w:r>
    </w:p>
    <w:p w14:paraId="216A7BDB">
      <w:pPr>
        <w:spacing w:line="360" w:lineRule="auto"/>
        <w:ind w:firstLine="480" w:firstLineChars="200"/>
        <w:rPr>
          <w:rFonts w:ascii="宋体" w:hAnsi="宋体" w:eastAsia="宋体" w:cs="宋体"/>
          <w:b/>
          <w:color w:val="000000"/>
          <w:sz w:val="24"/>
          <w:szCs w:val="24"/>
          <w:highlight w:val="yellow"/>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14:paraId="0825D69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5CE863A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rPr>
        <w:t>（附投标当日系统内相关截图）</w:t>
      </w:r>
    </w:p>
    <w:p w14:paraId="3F00095E">
      <w:pPr>
        <w:spacing w:line="360" w:lineRule="auto"/>
        <w:ind w:firstLine="480" w:firstLineChars="200"/>
      </w:pPr>
      <w:r>
        <w:rPr>
          <w:rFonts w:hint="eastAsia" w:ascii="宋体" w:hAnsi="宋体" w:eastAsia="宋体" w:cs="宋体"/>
          <w:color w:val="000000"/>
          <w:sz w:val="24"/>
          <w:szCs w:val="24"/>
        </w:rPr>
        <w:t>1.7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53C6EFD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w:t>
      </w:r>
      <w:r>
        <w:rPr>
          <w:rFonts w:hint="eastAsia" w:ascii="宋体" w:hAnsi="宋体" w:eastAsia="宋体" w:cs="宋体"/>
          <w:color w:val="000000"/>
          <w:sz w:val="24"/>
          <w:szCs w:val="24"/>
          <w:highlight w:val="yellow"/>
        </w:rPr>
        <w:t>（征信中心出具的信用报告）</w:t>
      </w:r>
      <w:r>
        <w:rPr>
          <w:rFonts w:hint="eastAsia" w:ascii="宋体" w:hAnsi="宋体" w:eastAsia="宋体" w:cs="宋体"/>
          <w:color w:val="000000"/>
          <w:sz w:val="24"/>
          <w:szCs w:val="24"/>
        </w:rPr>
        <w:t>；</w:t>
      </w:r>
    </w:p>
    <w:p w14:paraId="256192D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1.9代理商投标要携带生产商的授权书、原厂售后服务承诺书，根据实际情况提供即可，无格式限制</w:t>
      </w:r>
      <w:r>
        <w:rPr>
          <w:rFonts w:hint="eastAsia" w:hAnsi="宋体" w:eastAsia="宋体" w:cs="宋体"/>
          <w:color w:val="000000"/>
          <w:sz w:val="24"/>
          <w:szCs w:val="24"/>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rPr>
        <w:t>）</w:t>
      </w:r>
      <w:r>
        <w:rPr>
          <w:rFonts w:hint="eastAsia" w:ascii="宋体" w:hAnsi="宋体" w:eastAsia="宋体" w:cs="宋体"/>
          <w:color w:val="000000"/>
          <w:sz w:val="24"/>
          <w:szCs w:val="24"/>
        </w:rPr>
        <w:t>；</w:t>
      </w:r>
    </w:p>
    <w:p w14:paraId="2671F14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69BA7C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38F0AE1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1.12 2021年1月1日至今，企业近三年同类项目业绩证明，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39B6B22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1.13投标保证金缴纳凭证，同时</w:t>
      </w:r>
      <w:r>
        <w:rPr>
          <w:rFonts w:hint="eastAsia" w:ascii="宋体" w:hAnsi="宋体" w:eastAsia="宋体" w:cs="宋体"/>
          <w:color w:val="000000"/>
          <w:sz w:val="24"/>
          <w:szCs w:val="24"/>
          <w:highlight w:val="yellow"/>
        </w:rPr>
        <w:t>正文描述付款账号、户名、开户行名称、开户行行号、保证金金额</w:t>
      </w:r>
      <w:r>
        <w:rPr>
          <w:rFonts w:hint="eastAsia" w:ascii="宋体" w:hAnsi="宋体" w:eastAsia="宋体" w:cs="宋体"/>
          <w:color w:val="000000"/>
          <w:sz w:val="24"/>
          <w:szCs w:val="24"/>
        </w:rPr>
        <w:t>。</w:t>
      </w:r>
    </w:p>
    <w:p w14:paraId="625D7FC3">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0488B546">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14:paraId="38B56190">
      <w:pPr>
        <w:spacing w:line="360" w:lineRule="auto"/>
        <w:ind w:firstLine="480" w:firstLineChars="200"/>
        <w:rPr>
          <w:rFonts w:hAnsi="宋体" w:eastAsia="宋体" w:cs="宋体"/>
          <w:b/>
          <w:color w:val="000000"/>
          <w:sz w:val="24"/>
          <w:szCs w:val="24"/>
          <w:highlight w:val="yellow"/>
        </w:rPr>
      </w:pPr>
      <w:r>
        <w:rPr>
          <w:rFonts w:hint="eastAsia" w:ascii="宋体" w:hAnsi="宋体" w:eastAsia="宋体" w:cs="宋体"/>
          <w:bCs/>
          <w:color w:val="000000"/>
          <w:sz w:val="24"/>
          <w:szCs w:val="24"/>
        </w:rPr>
        <w:t>2.2</w:t>
      </w:r>
      <w:r>
        <w:rPr>
          <w:rFonts w:hint="eastAsia" w:hAnsi="宋体" w:eastAsia="宋体" w:cs="宋体"/>
          <w:color w:val="000000"/>
          <w:sz w:val="24"/>
          <w:szCs w:val="24"/>
          <w:highlight w:val="yellow"/>
        </w:rPr>
        <w:t>设备分项配置表（附件5-2），列明项目设备分项配置规格型号、品牌等信息（要求分项明细与附表9-1完全对应），但</w:t>
      </w:r>
      <w:r>
        <w:rPr>
          <w:rFonts w:hint="eastAsia" w:ascii="宋体" w:hAnsi="宋体" w:eastAsia="宋体" w:cs="宋体"/>
          <w:b/>
          <w:color w:val="000000"/>
          <w:sz w:val="24"/>
          <w:szCs w:val="24"/>
          <w:highlight w:val="yellow"/>
        </w:rPr>
        <w:t>注意：</w:t>
      </w:r>
      <w:r>
        <w:rPr>
          <w:rFonts w:hint="eastAsia" w:hAnsi="宋体" w:eastAsia="宋体" w:cs="宋体"/>
          <w:b/>
          <w:color w:val="000000"/>
          <w:sz w:val="24"/>
          <w:szCs w:val="24"/>
          <w:highlight w:val="yellow"/>
        </w:rPr>
        <w:t>此表在技术标书中，禁止出现任何分项价格及项目总价；</w:t>
      </w:r>
    </w:p>
    <w:p w14:paraId="59CE1DD0">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2.3提供2021年1月1日以来同类产品的制造销售业绩（用户名单、联系方式），并附合同复印件。该同类项目业绩一览表必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CF53F2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2.4供货期及保证措施；</w:t>
      </w:r>
    </w:p>
    <w:p w14:paraId="23BB020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14:paraId="03FD617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2.6交货进度及计划；</w:t>
      </w:r>
    </w:p>
    <w:p w14:paraId="6FA5BDCD">
      <w:pPr>
        <w:spacing w:line="360" w:lineRule="auto"/>
        <w:ind w:firstLine="480" w:firstLineChars="200"/>
        <w:rPr>
          <w:rFonts w:ascii="宋体" w:hAnsi="宋体" w:eastAsia="宋体" w:cs="宋体"/>
          <w:color w:val="000000"/>
          <w:sz w:val="24"/>
          <w:szCs w:val="24"/>
        </w:rPr>
      </w:pPr>
      <w:bookmarkStart w:id="29" w:name="_Toc536542319"/>
      <w:r>
        <w:rPr>
          <w:rFonts w:hint="eastAsia" w:ascii="宋体" w:hAnsi="宋体" w:eastAsia="宋体" w:cs="宋体"/>
          <w:color w:val="000000"/>
          <w:sz w:val="24"/>
          <w:szCs w:val="24"/>
        </w:rPr>
        <w:t>2.7投标产品技术支持材料</w:t>
      </w:r>
      <w:bookmarkEnd w:id="29"/>
      <w:r>
        <w:rPr>
          <w:rFonts w:hint="eastAsia" w:ascii="宋体" w:hAnsi="宋体" w:eastAsia="宋体" w:cs="宋体"/>
          <w:color w:val="000000"/>
          <w:sz w:val="24"/>
          <w:szCs w:val="24"/>
        </w:rPr>
        <w:t>；</w:t>
      </w:r>
    </w:p>
    <w:p w14:paraId="4BB637A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2.8设备质量承诺函（附件7）；</w:t>
      </w:r>
    </w:p>
    <w:p w14:paraId="5F11DBF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14:paraId="418730A4">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379251F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457C6F3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1F14AA3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14666E6D">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72EC35D8">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1B35BD7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0FEEF82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6F107D5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1B782620">
      <w:pPr>
        <w:pStyle w:val="16"/>
        <w:jc w:val="center"/>
        <w:rPr>
          <w:rFonts w:ascii="Calibri" w:hAnsi="Calibri" w:eastAsia="宋体" w:cs="Times New Roman"/>
          <w:b/>
          <w:bCs/>
          <w:kern w:val="44"/>
          <w:sz w:val="36"/>
          <w:szCs w:val="44"/>
        </w:rPr>
        <w:sectPr>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bookmarkEnd w:id="0"/>
    <w:bookmarkEnd w:id="1"/>
    <w:p w14:paraId="7ABB5338">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08BDE3A6">
      <w:pPr>
        <w:pStyle w:val="16"/>
      </w:pPr>
    </w:p>
    <w:p w14:paraId="0F48C6E6">
      <w:pPr>
        <w:keepNext/>
        <w:keepLines/>
        <w:jc w:val="center"/>
        <w:rPr>
          <w:rFonts w:ascii="Calibri" w:hAnsi="宋体" w:eastAsia="宋体" w:cs="Times New Roman"/>
          <w:b/>
          <w:bCs/>
          <w:color w:val="FF0000"/>
          <w:spacing w:val="-8"/>
          <w:sz w:val="48"/>
          <w:szCs w:val="44"/>
        </w:rPr>
      </w:pPr>
      <w:r>
        <w:rPr>
          <w:rFonts w:hint="eastAsia" w:ascii="Calibri" w:hAnsi="宋体" w:eastAsia="宋体" w:cs="Times New Roman"/>
          <w:b/>
          <w:bCs/>
          <w:color w:val="000000"/>
          <w:spacing w:val="-8"/>
          <w:sz w:val="48"/>
          <w:szCs w:val="44"/>
        </w:rPr>
        <w:t>重汽（济南）车桥有限公司</w:t>
      </w:r>
    </w:p>
    <w:p w14:paraId="45751AE3">
      <w:pPr>
        <w:spacing w:line="276" w:lineRule="auto"/>
        <w:jc w:val="center"/>
        <w:rPr>
          <w:rFonts w:hint="eastAsia" w:ascii="Calibri" w:hAnsi="Calibri"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lang w:eastAsia="zh-CN"/>
        </w:rPr>
        <w:t>主减装配 DE线产品兼容性改造技改项目</w:t>
      </w:r>
    </w:p>
    <w:p w14:paraId="6EEDA08A">
      <w:pPr>
        <w:jc w:val="right"/>
        <w:rPr>
          <w:rFonts w:ascii="Calibri" w:hAnsi="Calibri" w:eastAsia="宋体" w:cs="Times New Roman"/>
          <w:color w:val="000000"/>
          <w:sz w:val="28"/>
          <w:szCs w:val="28"/>
        </w:rPr>
      </w:pPr>
    </w:p>
    <w:p w14:paraId="0CC3C5DE">
      <w:pPr>
        <w:pStyle w:val="16"/>
      </w:pPr>
    </w:p>
    <w:p w14:paraId="2974267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7CBF020E">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63C9F2C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3A3E08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0C1B2F64">
      <w:pPr>
        <w:pStyle w:val="16"/>
      </w:pPr>
    </w:p>
    <w:p w14:paraId="77AC5CDC">
      <w:pPr>
        <w:pStyle w:val="16"/>
        <w:rPr>
          <w:rFonts w:ascii="黑体" w:hAnsi="宋体" w:eastAsia="黑体" w:cs="Times New Roman"/>
          <w:color w:val="000000"/>
          <w:sz w:val="72"/>
          <w:szCs w:val="72"/>
        </w:rPr>
      </w:pPr>
    </w:p>
    <w:p w14:paraId="7AE32281">
      <w:pPr>
        <w:pStyle w:val="16"/>
        <w:rPr>
          <w:rFonts w:ascii="黑体" w:hAnsi="宋体" w:eastAsia="黑体" w:cs="Times New Roman"/>
          <w:color w:val="000000"/>
          <w:sz w:val="72"/>
          <w:szCs w:val="72"/>
        </w:rPr>
      </w:pPr>
    </w:p>
    <w:p w14:paraId="1573D2FF">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96B14E7">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2E6EA872">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368BC09D">
      <w:pPr>
        <w:pStyle w:val="16"/>
        <w:rPr>
          <w:b/>
          <w:bCs/>
        </w:rPr>
      </w:pPr>
    </w:p>
    <w:p w14:paraId="307FBE0E">
      <w:pPr>
        <w:jc w:val="center"/>
        <w:rPr>
          <w:rFonts w:ascii="宋体" w:hAnsi="宋体" w:eastAsia="宋体" w:cs="Times New Roman"/>
          <w:color w:val="FF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sz w:val="28"/>
          <w:szCs w:val="28"/>
        </w:rPr>
        <w:t>重汽（济南）车桥有限公司</w:t>
      </w:r>
    </w:p>
    <w:p w14:paraId="706BD732">
      <w:pPr>
        <w:pStyle w:val="2"/>
      </w:pPr>
    </w:p>
    <w:p w14:paraId="29A2660F">
      <w:pPr>
        <w:jc w:val="center"/>
        <w:rPr>
          <w:rFonts w:hint="eastAsia" w:ascii="Calibri" w:hAnsi="Calibri" w:eastAsia="宋体" w:cs="Times New Roman"/>
          <w:b/>
          <w:bCs/>
          <w:kern w:val="44"/>
          <w:sz w:val="36"/>
          <w:szCs w:val="44"/>
          <w:lang w:eastAsia="zh-CN"/>
        </w:rPr>
      </w:pPr>
      <w:r>
        <w:rPr>
          <w:rFonts w:hint="eastAsia" w:ascii="Calibri" w:hAnsi="Calibri" w:eastAsia="宋体" w:cs="Times New Roman"/>
          <w:color w:val="000000"/>
          <w:sz w:val="28"/>
          <w:szCs w:val="28"/>
          <w:lang w:eastAsia="zh-CN"/>
        </w:rPr>
        <w:t>2025年3月</w:t>
      </w:r>
    </w:p>
    <w:p w14:paraId="0ADD7E0F">
      <w:pPr>
        <w:spacing w:line="360" w:lineRule="auto"/>
        <w:rPr>
          <w:rFonts w:ascii="宋体" w:hAnsi="宋体" w:eastAsia="宋体" w:cs="Times New Roman"/>
          <w:b/>
          <w:sz w:val="36"/>
          <w:szCs w:val="36"/>
        </w:rPr>
      </w:pPr>
    </w:p>
    <w:p w14:paraId="3BCDF3C7">
      <w:pPr>
        <w:pStyle w:val="2"/>
        <w:sectPr>
          <w:headerReference r:id="rId12" w:type="default"/>
          <w:footerReference r:id="rId13" w:type="default"/>
          <w:pgSz w:w="11907" w:h="16840"/>
          <w:pgMar w:top="1304" w:right="1418" w:bottom="1304" w:left="1418" w:header="724" w:footer="851" w:gutter="0"/>
          <w:pgBorders>
            <w:top w:val="none" w:sz="0" w:space="0"/>
            <w:left w:val="none" w:sz="0" w:space="0"/>
            <w:bottom w:val="none" w:sz="0" w:space="0"/>
            <w:right w:val="none" w:sz="0" w:space="0"/>
          </w:pgBorders>
          <w:pgNumType w:start="1"/>
          <w:cols w:space="720" w:num="1"/>
          <w:docGrid w:linePitch="290" w:charSpace="-3931"/>
        </w:sectPr>
      </w:pPr>
    </w:p>
    <w:p w14:paraId="66A85884">
      <w:pPr>
        <w:adjustRightInd w:val="0"/>
        <w:snapToGrid w:val="0"/>
        <w:spacing w:before="163" w:beforeLines="50" w:after="163" w:afterLines="50" w:line="360" w:lineRule="auto"/>
        <w:jc w:val="center"/>
        <w:outlineLvl w:val="0"/>
        <w:rPr>
          <w:rFonts w:ascii="仿宋" w:hAnsi="仿宋" w:eastAsia="仿宋" w:cs="仿宋"/>
          <w:b/>
          <w:bCs/>
        </w:rPr>
      </w:pPr>
      <w:bookmarkStart w:id="32" w:name="_Toc2174"/>
      <w:bookmarkStart w:id="33" w:name="_Toc19716"/>
      <w:bookmarkStart w:id="34" w:name="_Toc7975"/>
      <w:bookmarkStart w:id="35" w:name="_Toc19570"/>
      <w:bookmarkStart w:id="36" w:name="_Toc2042"/>
      <w:bookmarkStart w:id="37" w:name="_Toc73112396"/>
      <w:r>
        <w:rPr>
          <w:rFonts w:hint="eastAsia" w:ascii="仿宋" w:hAnsi="仿宋" w:eastAsia="仿宋" w:cs="仿宋"/>
          <w:b/>
          <w:bCs/>
        </w:rPr>
        <w:t>第一章采购货物概况</w:t>
      </w:r>
      <w:bookmarkEnd w:id="32"/>
      <w:bookmarkEnd w:id="33"/>
      <w:bookmarkEnd w:id="34"/>
      <w:bookmarkEnd w:id="35"/>
      <w:bookmarkEnd w:id="36"/>
      <w:bookmarkEnd w:id="37"/>
      <w:bookmarkStart w:id="38" w:name="_Toc133783967"/>
    </w:p>
    <w:p w14:paraId="79BA6DB1">
      <w:pPr>
        <w:adjustRightInd w:val="0"/>
        <w:snapToGrid w:val="0"/>
        <w:spacing w:line="360" w:lineRule="auto"/>
        <w:jc w:val="center"/>
        <w:outlineLvl w:val="1"/>
        <w:rPr>
          <w:rFonts w:ascii="仿宋" w:hAnsi="仿宋" w:eastAsia="仿宋" w:cs="仿宋"/>
          <w:b/>
          <w:bCs/>
        </w:rPr>
      </w:pPr>
      <w:bookmarkStart w:id="39" w:name="_Toc30246"/>
      <w:bookmarkStart w:id="40" w:name="_Toc29605"/>
      <w:bookmarkStart w:id="41" w:name="_Toc31000"/>
      <w:bookmarkStart w:id="42" w:name="_Toc21756"/>
      <w:bookmarkStart w:id="43" w:name="_Toc30808"/>
      <w:bookmarkStart w:id="44" w:name="_Toc864"/>
      <w:bookmarkStart w:id="45" w:name="_Toc29157"/>
      <w:bookmarkStart w:id="46" w:name="_Toc27214"/>
      <w:bookmarkStart w:id="47" w:name="_Toc8362"/>
      <w:bookmarkStart w:id="48" w:name="_Toc10612"/>
      <w:bookmarkStart w:id="49" w:name="_Toc6436"/>
      <w:bookmarkStart w:id="50" w:name="_Toc5609"/>
      <w:bookmarkStart w:id="51" w:name="_Toc9983"/>
      <w:bookmarkStart w:id="52" w:name="_Toc892"/>
      <w:bookmarkStart w:id="53" w:name="_Toc4004"/>
      <w:bookmarkStart w:id="54" w:name="_Toc5826"/>
      <w:bookmarkStart w:id="55" w:name="_Toc2996"/>
      <w:bookmarkStart w:id="56" w:name="_Toc5983"/>
      <w:bookmarkStart w:id="57" w:name="_Toc11763"/>
      <w:bookmarkStart w:id="58" w:name="_Toc7515"/>
      <w:bookmarkStart w:id="59" w:name="_Toc19070"/>
      <w:bookmarkStart w:id="60" w:name="_Toc5420"/>
      <w:bookmarkStart w:id="61" w:name="_Toc11411"/>
      <w:bookmarkStart w:id="62" w:name="_Toc7159"/>
      <w:bookmarkStart w:id="63" w:name="_Toc6498"/>
      <w:bookmarkStart w:id="64" w:name="_Toc6606"/>
      <w:bookmarkStart w:id="65" w:name="_Toc5172"/>
      <w:bookmarkStart w:id="66" w:name="_Toc22424"/>
      <w:bookmarkStart w:id="67" w:name="_Toc5400"/>
      <w:bookmarkStart w:id="68" w:name="_Toc24689"/>
      <w:bookmarkStart w:id="69" w:name="_Toc29927"/>
      <w:bookmarkStart w:id="70" w:name="_Toc17474"/>
      <w:bookmarkStart w:id="71" w:name="_Toc21892"/>
      <w:bookmarkStart w:id="72" w:name="_Toc7333"/>
      <w:bookmarkStart w:id="73" w:name="_Toc22942"/>
      <w:bookmarkStart w:id="74" w:name="_Toc28361"/>
      <w:bookmarkStart w:id="75" w:name="_Toc2152"/>
      <w:bookmarkStart w:id="76" w:name="_Toc2940"/>
      <w:bookmarkStart w:id="77" w:name="_Toc25011"/>
      <w:bookmarkStart w:id="78" w:name="_Toc30245"/>
      <w:bookmarkStart w:id="79" w:name="_Toc16714"/>
      <w:bookmarkStart w:id="80" w:name="_Toc73112397"/>
      <w:r>
        <w:rPr>
          <w:rFonts w:hint="eastAsia" w:ascii="仿宋" w:hAnsi="仿宋" w:eastAsia="仿宋" w:cs="仿宋"/>
          <w:b/>
          <w:bCs/>
        </w:rPr>
        <w:t>第一节使用环境</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3C633C61">
      <w:pPr>
        <w:pStyle w:val="19"/>
        <w:tabs>
          <w:tab w:val="left" w:pos="0"/>
        </w:tabs>
        <w:snapToGrid w:val="0"/>
        <w:spacing w:line="360" w:lineRule="auto"/>
        <w:ind w:firstLine="420" w:firstLineChars="200"/>
        <w:rPr>
          <w:rFonts w:ascii="仿宋" w:hAnsi="仿宋" w:eastAsia="仿宋" w:cs="仿宋"/>
        </w:rPr>
      </w:pPr>
      <w:r>
        <w:rPr>
          <w:rFonts w:hint="eastAsia" w:ascii="仿宋" w:hAnsi="仿宋" w:eastAsia="仿宋" w:cs="仿宋"/>
        </w:rPr>
        <w:t>1项目名称：</w:t>
      </w:r>
      <w:r>
        <w:rPr>
          <w:rFonts w:hint="eastAsia" w:ascii="仿宋" w:hAnsi="仿宋" w:eastAsia="仿宋" w:cs="仿宋"/>
          <w:shd w:val="pct10" w:color="auto" w:fill="FFFFFF"/>
        </w:rPr>
        <w:t>主减装配DE线产品兼容性改造项目</w:t>
      </w:r>
    </w:p>
    <w:p w14:paraId="6607B6AC">
      <w:pPr>
        <w:pStyle w:val="19"/>
        <w:snapToGrid w:val="0"/>
        <w:spacing w:line="360" w:lineRule="auto"/>
        <w:ind w:firstLine="420" w:firstLineChars="200"/>
        <w:rPr>
          <w:rFonts w:ascii="仿宋" w:hAnsi="仿宋" w:eastAsia="仿宋" w:cs="仿宋"/>
          <w:shd w:val="pct10" w:color="auto" w:fill="FFFFFF"/>
        </w:rPr>
      </w:pPr>
      <w:r>
        <w:rPr>
          <w:rFonts w:hint="eastAsia" w:ascii="仿宋" w:hAnsi="仿宋" w:eastAsia="仿宋" w:cs="仿宋"/>
        </w:rPr>
        <w:t>2建设地点：</w:t>
      </w:r>
      <w:r>
        <w:rPr>
          <w:rFonts w:hint="eastAsia" w:ascii="仿宋" w:hAnsi="仿宋" w:eastAsia="仿宋" w:cs="仿宋"/>
          <w:shd w:val="pct10" w:color="auto" w:fill="FFFFFF"/>
        </w:rPr>
        <w:t>重汽(济南)车桥有限公司</w:t>
      </w:r>
      <w:r>
        <w:rPr>
          <w:rFonts w:hint="eastAsia" w:ascii="仿宋" w:hAnsi="仿宋" w:eastAsia="仿宋" w:cs="仿宋"/>
        </w:rPr>
        <w:t>（工地）</w:t>
      </w:r>
    </w:p>
    <w:p w14:paraId="5A0CB253">
      <w:pPr>
        <w:pStyle w:val="19"/>
        <w:snapToGrid w:val="0"/>
        <w:spacing w:line="360" w:lineRule="auto"/>
        <w:ind w:firstLine="420" w:firstLineChars="200"/>
        <w:rPr>
          <w:rFonts w:ascii="仿宋" w:hAnsi="仿宋" w:eastAsia="仿宋" w:cs="仿宋"/>
          <w:shd w:val="pct10" w:color="auto" w:fill="FFFFFF"/>
        </w:rPr>
      </w:pPr>
      <w:r>
        <w:rPr>
          <w:rFonts w:hint="eastAsia" w:ascii="仿宋" w:hAnsi="仿宋" w:eastAsia="仿宋" w:cs="仿宋"/>
        </w:rPr>
        <w:t>3使用地点：</w:t>
      </w:r>
      <w:r>
        <w:rPr>
          <w:rFonts w:hint="eastAsia" w:ascii="仿宋" w:hAnsi="仿宋" w:eastAsia="仿宋" w:cs="仿宋"/>
          <w:shd w:val="pct10" w:color="auto" w:fill="FFFFFF"/>
        </w:rPr>
        <w:t>车桥公司</w:t>
      </w:r>
      <w:r>
        <w:rPr>
          <w:rFonts w:hint="eastAsia" w:ascii="仿宋" w:hAnsi="仿宋" w:eastAsia="仿宋" w:cs="仿宋"/>
          <w:shd w:val="pct10" w:color="auto" w:fill="FFFFFF"/>
          <w:lang w:val="en-US" w:eastAsia="zh-CN"/>
        </w:rPr>
        <w:t>主减速器线主减装配分部</w:t>
      </w:r>
      <w:r>
        <w:rPr>
          <w:rFonts w:hint="eastAsia" w:ascii="仿宋" w:hAnsi="仿宋" w:eastAsia="仿宋" w:cs="仿宋"/>
        </w:rPr>
        <w:t>（室内）</w:t>
      </w:r>
    </w:p>
    <w:p w14:paraId="34F24B08">
      <w:pPr>
        <w:pStyle w:val="19"/>
        <w:snapToGrid w:val="0"/>
        <w:spacing w:line="360" w:lineRule="auto"/>
        <w:ind w:firstLine="420" w:firstLineChars="200"/>
        <w:rPr>
          <w:rFonts w:ascii="仿宋" w:hAnsi="仿宋" w:eastAsia="仿宋" w:cs="仿宋"/>
        </w:rPr>
      </w:pPr>
      <w:r>
        <w:rPr>
          <w:rFonts w:hint="eastAsia" w:ascii="仿宋" w:hAnsi="仿宋" w:eastAsia="仿宋" w:cs="仿宋"/>
        </w:rPr>
        <w:t>4工作制度：全年工作</w:t>
      </w:r>
      <w:r>
        <w:rPr>
          <w:rFonts w:hint="eastAsia" w:ascii="仿宋" w:hAnsi="仿宋" w:eastAsia="仿宋" w:cs="仿宋"/>
          <w:shd w:val="pct10" w:color="auto" w:fill="FFFFFF"/>
        </w:rPr>
        <w:t>300</w:t>
      </w:r>
      <w:r>
        <w:rPr>
          <w:rFonts w:hint="eastAsia" w:ascii="仿宋" w:hAnsi="仿宋" w:eastAsia="仿宋" w:cs="仿宋"/>
        </w:rPr>
        <w:t>天、</w:t>
      </w:r>
      <w:r>
        <w:rPr>
          <w:rFonts w:hint="eastAsia" w:ascii="仿宋" w:hAnsi="仿宋" w:eastAsia="仿宋" w:cs="仿宋"/>
          <w:lang w:val="en-US" w:eastAsia="zh-CN"/>
        </w:rPr>
        <w:t>2</w:t>
      </w:r>
      <w:r>
        <w:rPr>
          <w:rFonts w:hint="eastAsia" w:ascii="仿宋" w:hAnsi="仿宋" w:eastAsia="仿宋" w:cs="仿宋"/>
        </w:rPr>
        <w:t xml:space="preserve">班制、设备年时基数 </w:t>
      </w:r>
      <w:r>
        <w:rPr>
          <w:rFonts w:hint="eastAsia" w:ascii="仿宋" w:hAnsi="仿宋" w:eastAsia="仿宋" w:cs="仿宋"/>
          <w:shd w:val="pct10" w:color="auto" w:fill="FFFFFF"/>
        </w:rPr>
        <w:t>7200</w:t>
      </w:r>
      <w:r>
        <w:rPr>
          <w:rFonts w:hint="eastAsia" w:ascii="仿宋" w:hAnsi="仿宋" w:eastAsia="仿宋" w:cs="仿宋"/>
        </w:rPr>
        <w:t xml:space="preserve"> 小时</w:t>
      </w:r>
    </w:p>
    <w:p w14:paraId="3A305716">
      <w:pPr>
        <w:pStyle w:val="19"/>
        <w:snapToGrid w:val="0"/>
        <w:spacing w:line="360" w:lineRule="auto"/>
        <w:ind w:firstLine="420" w:firstLineChars="200"/>
        <w:rPr>
          <w:rFonts w:ascii="仿宋" w:hAnsi="仿宋" w:eastAsia="仿宋" w:cs="仿宋"/>
        </w:rPr>
      </w:pPr>
      <w:r>
        <w:rPr>
          <w:rFonts w:hint="eastAsia" w:ascii="仿宋" w:hAnsi="仿宋" w:eastAsia="仿宋" w:cs="仿宋"/>
        </w:rPr>
        <w:t>5使用地点区域自然环境：</w:t>
      </w:r>
    </w:p>
    <w:p w14:paraId="101F6BD0">
      <w:pPr>
        <w:pStyle w:val="19"/>
        <w:snapToGrid w:val="0"/>
        <w:spacing w:line="360" w:lineRule="auto"/>
        <w:ind w:firstLine="420" w:firstLineChars="200"/>
        <w:rPr>
          <w:rFonts w:ascii="仿宋" w:hAnsi="仿宋" w:eastAsia="仿宋" w:cs="仿宋"/>
        </w:rPr>
      </w:pPr>
      <w:r>
        <w:rPr>
          <w:rFonts w:hint="eastAsia" w:ascii="仿宋" w:hAnsi="仿宋" w:eastAsia="仿宋" w:cs="仿宋"/>
        </w:rPr>
        <w:t>5.1海拨高度：1000m以下。</w:t>
      </w:r>
    </w:p>
    <w:p w14:paraId="753A3ADD">
      <w:pPr>
        <w:pStyle w:val="19"/>
        <w:snapToGrid w:val="0"/>
        <w:spacing w:line="360" w:lineRule="auto"/>
        <w:ind w:firstLine="420" w:firstLineChars="200"/>
        <w:rPr>
          <w:rFonts w:ascii="仿宋" w:hAnsi="仿宋" w:eastAsia="仿宋" w:cs="仿宋"/>
        </w:rPr>
      </w:pPr>
      <w:r>
        <w:rPr>
          <w:rFonts w:hint="eastAsia" w:ascii="仿宋" w:hAnsi="仿宋" w:eastAsia="仿宋" w:cs="仿宋"/>
        </w:rPr>
        <w:t>5.2环境温度：室外极端最低温度-19.7℃、极端最高温度42℃，昼夜最大温差25℃；室内温度5～40℃。</w:t>
      </w:r>
    </w:p>
    <w:p w14:paraId="32C990AD">
      <w:pPr>
        <w:pStyle w:val="19"/>
        <w:snapToGrid w:val="0"/>
        <w:spacing w:line="360" w:lineRule="auto"/>
        <w:ind w:firstLine="420" w:firstLineChars="200"/>
        <w:rPr>
          <w:rFonts w:ascii="仿宋" w:hAnsi="仿宋" w:eastAsia="仿宋" w:cs="仿宋"/>
        </w:rPr>
      </w:pPr>
      <w:r>
        <w:rPr>
          <w:rFonts w:hint="eastAsia" w:ascii="仿宋" w:hAnsi="仿宋" w:eastAsia="仿宋" w:cs="仿宋"/>
        </w:rPr>
        <w:t>5.3相对湿度：年平均59%，最大95%、最小15%。</w:t>
      </w:r>
    </w:p>
    <w:p w14:paraId="29E6C65F">
      <w:pPr>
        <w:pStyle w:val="19"/>
        <w:snapToGrid w:val="0"/>
        <w:spacing w:line="360" w:lineRule="auto"/>
        <w:ind w:firstLine="420" w:firstLineChars="200"/>
        <w:rPr>
          <w:rFonts w:ascii="仿宋" w:hAnsi="仿宋" w:eastAsia="仿宋" w:cs="仿宋"/>
        </w:rPr>
      </w:pPr>
      <w:r>
        <w:rPr>
          <w:rFonts w:hint="eastAsia" w:ascii="仿宋" w:hAnsi="仿宋" w:eastAsia="仿宋" w:cs="仿宋"/>
        </w:rPr>
        <w:t>5.4 地震裂度：七度。</w:t>
      </w:r>
    </w:p>
    <w:p w14:paraId="49BC3CBF">
      <w:pPr>
        <w:pStyle w:val="19"/>
        <w:snapToGrid w:val="0"/>
        <w:spacing w:line="360" w:lineRule="auto"/>
        <w:ind w:firstLine="420" w:firstLineChars="200"/>
        <w:rPr>
          <w:rFonts w:ascii="仿宋" w:hAnsi="仿宋" w:eastAsia="仿宋" w:cs="仿宋"/>
        </w:rPr>
      </w:pPr>
      <w:r>
        <w:rPr>
          <w:rFonts w:hint="eastAsia" w:ascii="仿宋" w:hAnsi="仿宋" w:eastAsia="仿宋" w:cs="仿宋"/>
        </w:rPr>
        <w:t>6能源环境：</w:t>
      </w:r>
    </w:p>
    <w:p w14:paraId="415A0D9B">
      <w:pPr>
        <w:pStyle w:val="19"/>
        <w:snapToGrid w:val="0"/>
        <w:spacing w:line="360" w:lineRule="auto"/>
        <w:ind w:firstLine="420" w:firstLineChars="200"/>
        <w:rPr>
          <w:rFonts w:ascii="仿宋" w:hAnsi="仿宋" w:eastAsia="仿宋" w:cs="仿宋"/>
        </w:rPr>
      </w:pPr>
      <w:r>
        <w:rPr>
          <w:rFonts w:hint="eastAsia" w:ascii="仿宋" w:hAnsi="仿宋" w:eastAsia="仿宋" w:cs="仿宋"/>
        </w:rPr>
        <w:t>6.1电力：中国制式，供电电压</w:t>
      </w:r>
      <w:r>
        <w:rPr>
          <w:rFonts w:hint="eastAsia" w:ascii="仿宋" w:hAnsi="仿宋" w:eastAsia="仿宋" w:cs="仿宋"/>
          <w:u w:val="single"/>
          <w:shd w:val="pct10" w:color="auto" w:fill="FFFFFF"/>
        </w:rPr>
        <w:t>380V±15%/220V±15%</w:t>
      </w:r>
      <w:r>
        <w:rPr>
          <w:rFonts w:hint="eastAsia" w:ascii="仿宋" w:hAnsi="仿宋" w:eastAsia="仿宋" w:cs="仿宋"/>
        </w:rPr>
        <w:t>，供电频率50Hz±2%。</w:t>
      </w:r>
    </w:p>
    <w:p w14:paraId="73F87832">
      <w:pPr>
        <w:snapToGrid w:val="0"/>
        <w:spacing w:line="360" w:lineRule="auto"/>
        <w:ind w:firstLine="420" w:firstLineChars="200"/>
        <w:rPr>
          <w:rFonts w:ascii="仿宋" w:hAnsi="仿宋" w:eastAsia="仿宋" w:cs="仿宋"/>
        </w:rPr>
      </w:pPr>
      <w:r>
        <w:rPr>
          <w:rFonts w:hint="eastAsia" w:ascii="仿宋" w:hAnsi="仿宋" w:eastAsia="仿宋" w:cs="仿宋"/>
        </w:rPr>
        <w:t xml:space="preserve">6.2 </w:t>
      </w:r>
      <w:r>
        <w:rPr>
          <w:rFonts w:hint="eastAsia" w:ascii="仿宋" w:hAnsi="仿宋" w:eastAsia="仿宋" w:cs="仿宋"/>
          <w:kern w:val="0"/>
        </w:rPr>
        <w:t>给水：市政自来水</w:t>
      </w:r>
    </w:p>
    <w:p w14:paraId="2FE6F439">
      <w:pPr>
        <w:pStyle w:val="19"/>
        <w:snapToGrid w:val="0"/>
        <w:spacing w:line="360" w:lineRule="auto"/>
        <w:ind w:firstLine="420" w:firstLineChars="200"/>
        <w:rPr>
          <w:rFonts w:ascii="仿宋" w:hAnsi="仿宋" w:eastAsia="仿宋" w:cs="仿宋"/>
        </w:rPr>
      </w:pPr>
      <w:r>
        <w:rPr>
          <w:rFonts w:hint="eastAsia" w:ascii="仿宋" w:hAnsi="仿宋" w:eastAsia="仿宋" w:cs="仿宋"/>
        </w:rPr>
        <w:t>6.3压缩空气：自备空压机自产压缩空气，压力范围</w:t>
      </w:r>
      <w:r>
        <w:rPr>
          <w:rFonts w:hint="eastAsia" w:ascii="仿宋" w:hAnsi="仿宋" w:eastAsia="仿宋" w:cs="仿宋"/>
          <w:u w:val="single"/>
          <w:shd w:val="pct10" w:color="auto" w:fill="FFFFFF"/>
        </w:rPr>
        <w:t>0.5±0.1MPa</w:t>
      </w:r>
      <w:r>
        <w:rPr>
          <w:rFonts w:hint="eastAsia" w:ascii="仿宋" w:hAnsi="仿宋" w:eastAsia="仿宋" w:cs="仿宋"/>
        </w:rPr>
        <w:t>。</w:t>
      </w:r>
      <w:bookmarkStart w:id="81" w:name="_Toc22983"/>
      <w:bookmarkStart w:id="82" w:name="_Toc9671"/>
      <w:bookmarkStart w:id="83" w:name="_Toc29333"/>
      <w:bookmarkStart w:id="84" w:name="_Toc11744"/>
      <w:bookmarkStart w:id="85" w:name="_Toc9143"/>
      <w:bookmarkStart w:id="86" w:name="_Toc9561"/>
      <w:bookmarkStart w:id="87" w:name="_Toc29019"/>
      <w:bookmarkStart w:id="88" w:name="_Toc21616"/>
      <w:bookmarkStart w:id="89" w:name="_Toc17682"/>
      <w:bookmarkStart w:id="90" w:name="_Toc17605"/>
      <w:bookmarkStart w:id="91" w:name="_Toc24481"/>
      <w:bookmarkStart w:id="92" w:name="_Toc17543"/>
      <w:bookmarkStart w:id="93" w:name="_Toc5421"/>
      <w:bookmarkStart w:id="94" w:name="_Toc27857"/>
      <w:bookmarkStart w:id="95" w:name="_Toc31241"/>
      <w:bookmarkStart w:id="96" w:name="_Toc9784"/>
      <w:bookmarkStart w:id="97" w:name="_Toc429"/>
      <w:bookmarkStart w:id="98" w:name="_Toc8728"/>
      <w:bookmarkStart w:id="99" w:name="_Toc30431"/>
      <w:bookmarkStart w:id="100" w:name="_Toc6636"/>
      <w:bookmarkStart w:id="101" w:name="_Toc13324"/>
      <w:bookmarkStart w:id="102" w:name="_Toc15369"/>
      <w:bookmarkStart w:id="103" w:name="_Toc24563"/>
      <w:bookmarkStart w:id="104" w:name="_Toc18569"/>
      <w:bookmarkStart w:id="105" w:name="_Toc27449"/>
      <w:bookmarkStart w:id="106" w:name="_Toc6433"/>
      <w:bookmarkStart w:id="107" w:name="_Toc133783968"/>
      <w:bookmarkStart w:id="108" w:name="_Toc4175"/>
      <w:bookmarkStart w:id="109" w:name="_Toc8740"/>
      <w:bookmarkStart w:id="110" w:name="_Toc5282"/>
      <w:bookmarkStart w:id="111" w:name="_Toc5374"/>
      <w:bookmarkStart w:id="112" w:name="_Toc12401"/>
      <w:bookmarkStart w:id="113" w:name="_Toc23473"/>
    </w:p>
    <w:p w14:paraId="4CCDB103">
      <w:pPr>
        <w:adjustRightInd w:val="0"/>
        <w:snapToGrid w:val="0"/>
        <w:spacing w:line="360" w:lineRule="auto"/>
        <w:jc w:val="center"/>
        <w:outlineLvl w:val="1"/>
        <w:rPr>
          <w:rFonts w:ascii="仿宋" w:hAnsi="仿宋" w:eastAsia="仿宋" w:cs="仿宋"/>
        </w:rPr>
      </w:pPr>
      <w:bookmarkStart w:id="114" w:name="_Toc73112398"/>
      <w:bookmarkStart w:id="115" w:name="_Toc10013"/>
      <w:bookmarkStart w:id="116" w:name="_Toc18778"/>
      <w:bookmarkStart w:id="117" w:name="_Toc1424"/>
      <w:bookmarkStart w:id="118" w:name="_Toc24559"/>
      <w:bookmarkStart w:id="119" w:name="_Toc13544"/>
      <w:bookmarkStart w:id="120" w:name="_Toc18032"/>
      <w:bookmarkStart w:id="121" w:name="_Toc21957"/>
      <w:bookmarkStart w:id="122" w:name="_Toc8560"/>
      <w:bookmarkStart w:id="123" w:name="_Toc1523"/>
      <w:bookmarkStart w:id="124" w:name="_Toc29190"/>
      <w:bookmarkStart w:id="125" w:name="_Toc17750"/>
      <w:bookmarkStart w:id="126" w:name="_Toc32599"/>
      <w:bookmarkStart w:id="127" w:name="_Toc21302"/>
      <w:r>
        <w:rPr>
          <w:rFonts w:hint="eastAsia" w:ascii="仿宋" w:hAnsi="仿宋" w:eastAsia="仿宋" w:cs="仿宋"/>
          <w:b/>
          <w:bCs/>
        </w:rPr>
        <w:t>第二节采购货物概况</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6A4C3BE0">
      <w:pPr>
        <w:pStyle w:val="19"/>
        <w:snapToGrid w:val="0"/>
        <w:spacing w:line="360" w:lineRule="auto"/>
        <w:ind w:firstLine="420" w:firstLineChars="200"/>
        <w:rPr>
          <w:rFonts w:ascii="仿宋" w:hAnsi="仿宋" w:eastAsia="仿宋" w:cs="仿宋"/>
        </w:rPr>
      </w:pPr>
      <w:r>
        <w:rPr>
          <w:rFonts w:hint="eastAsia" w:ascii="仿宋" w:hAnsi="仿宋" w:eastAsia="仿宋" w:cs="仿宋"/>
        </w:rPr>
        <w:t>1货物（或生产线）：</w:t>
      </w:r>
      <w:r>
        <w:rPr>
          <w:rFonts w:hint="eastAsia" w:ascii="仿宋" w:hAnsi="仿宋" w:eastAsia="仿宋" w:cs="仿宋"/>
          <w:u w:val="single"/>
          <w:shd w:val="pct10" w:color="auto" w:fill="FFFFFF"/>
          <w:lang w:val="en-US" w:eastAsia="zh-CN"/>
        </w:rPr>
        <w:t>主减装配DE线改造设备线体</w:t>
      </w:r>
      <w:r>
        <w:rPr>
          <w:rFonts w:hint="eastAsia" w:ascii="仿宋" w:hAnsi="仿宋" w:eastAsia="仿宋" w:cs="仿宋"/>
        </w:rPr>
        <w:t xml:space="preserve"> （详见下表）</w:t>
      </w:r>
    </w:p>
    <w:p w14:paraId="743D3EE5">
      <w:pPr>
        <w:pStyle w:val="19"/>
        <w:snapToGrid w:val="0"/>
        <w:spacing w:line="360" w:lineRule="auto"/>
        <w:ind w:firstLine="420" w:firstLineChars="200"/>
        <w:rPr>
          <w:rFonts w:ascii="仿宋" w:hAnsi="仿宋" w:eastAsia="仿宋" w:cs="仿宋"/>
        </w:rPr>
      </w:pPr>
      <w:r>
        <w:rPr>
          <w:rFonts w:hint="eastAsia" w:ascii="仿宋" w:hAnsi="仿宋" w:eastAsia="仿宋" w:cs="仿宋"/>
        </w:rPr>
        <w:t>2货物（或生产线）数量：</w:t>
      </w:r>
      <w:r>
        <w:rPr>
          <w:rFonts w:hint="eastAsia" w:ascii="仿宋" w:hAnsi="仿宋" w:eastAsia="仿宋" w:cs="仿宋"/>
          <w:u w:val="single"/>
          <w:shd w:val="pct10" w:color="auto" w:fill="FFFFFF"/>
          <w:lang w:val="en-US" w:eastAsia="zh-CN"/>
        </w:rPr>
        <w:t>1</w:t>
      </w:r>
      <w:r>
        <w:rPr>
          <w:rFonts w:hint="eastAsia" w:ascii="仿宋" w:hAnsi="仿宋" w:eastAsia="仿宋" w:cs="仿宋"/>
          <w:u w:val="single"/>
          <w:shd w:val="pct10" w:color="auto" w:fill="FFFFFF"/>
        </w:rPr>
        <w:t>套</w:t>
      </w:r>
      <w:r>
        <w:rPr>
          <w:rFonts w:hint="eastAsia" w:ascii="仿宋" w:hAnsi="仿宋" w:eastAsia="仿宋" w:cs="仿宋"/>
        </w:rPr>
        <w:t>（详见下表）</w:t>
      </w:r>
    </w:p>
    <w:p w14:paraId="4B80B152">
      <w:pPr>
        <w:pStyle w:val="19"/>
        <w:snapToGrid w:val="0"/>
        <w:spacing w:line="360" w:lineRule="auto"/>
        <w:ind w:firstLine="420" w:firstLineChars="200"/>
        <w:rPr>
          <w:rFonts w:ascii="仿宋" w:hAnsi="仿宋" w:eastAsia="仿宋" w:cs="仿宋"/>
        </w:rPr>
      </w:pPr>
      <w:r>
        <w:rPr>
          <w:rFonts w:hint="eastAsia" w:ascii="仿宋" w:hAnsi="仿宋" w:eastAsia="仿宋" w:cs="仿宋"/>
        </w:rPr>
        <w:t>采购货物（或生产线）主要构成一览表</w:t>
      </w:r>
    </w:p>
    <w:tbl>
      <w:tblPr>
        <w:tblStyle w:val="36"/>
        <w:tblW w:w="78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100"/>
        <w:gridCol w:w="2299"/>
        <w:gridCol w:w="720"/>
        <w:gridCol w:w="787"/>
        <w:gridCol w:w="1439"/>
        <w:gridCol w:w="798"/>
      </w:tblGrid>
      <w:tr w14:paraId="3C55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shd w:val="clear" w:color="auto" w:fill="auto"/>
            <w:vAlign w:val="center"/>
          </w:tcPr>
          <w:p w14:paraId="4F6AB333">
            <w:pPr>
              <w:pStyle w:val="19"/>
              <w:snapToGrid w:val="0"/>
              <w:spacing w:line="240" w:lineRule="auto"/>
              <w:ind w:firstLine="0" w:firstLineChars="0"/>
              <w:jc w:val="center"/>
              <w:rPr>
                <w:rFonts w:ascii="仿宋" w:hAnsi="仿宋" w:eastAsia="仿宋" w:cs="仿宋"/>
                <w:sz w:val="21"/>
                <w:szCs w:val="21"/>
                <w:highlight w:val="none"/>
              </w:rPr>
            </w:pPr>
            <w:r>
              <w:rPr>
                <w:rFonts w:hint="eastAsia" w:ascii="仿宋" w:hAnsi="仿宋" w:eastAsia="仿宋" w:cs="仿宋"/>
                <w:kern w:val="2"/>
                <w:sz w:val="21"/>
                <w:szCs w:val="21"/>
                <w:highlight w:val="none"/>
              </w:rPr>
              <w:t>序号</w:t>
            </w:r>
          </w:p>
        </w:tc>
        <w:tc>
          <w:tcPr>
            <w:tcW w:w="1100" w:type="dxa"/>
            <w:shd w:val="clear" w:color="auto" w:fill="auto"/>
            <w:vAlign w:val="center"/>
          </w:tcPr>
          <w:p w14:paraId="4AC19905">
            <w:pPr>
              <w:pStyle w:val="19"/>
              <w:snapToGrid w:val="0"/>
              <w:spacing w:line="240" w:lineRule="auto"/>
              <w:ind w:firstLine="0" w:firstLineChars="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货物名称</w:t>
            </w:r>
          </w:p>
        </w:tc>
        <w:tc>
          <w:tcPr>
            <w:tcW w:w="2299" w:type="dxa"/>
            <w:shd w:val="clear" w:color="auto" w:fill="auto"/>
            <w:vAlign w:val="center"/>
          </w:tcPr>
          <w:p w14:paraId="398B15DD">
            <w:pPr>
              <w:pStyle w:val="19"/>
              <w:snapToGrid w:val="0"/>
              <w:spacing w:line="240" w:lineRule="auto"/>
              <w:ind w:firstLine="0" w:firstLineChars="0"/>
              <w:jc w:val="center"/>
              <w:rPr>
                <w:rFonts w:hint="default"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主要功能</w:t>
            </w:r>
          </w:p>
        </w:tc>
        <w:tc>
          <w:tcPr>
            <w:tcW w:w="720" w:type="dxa"/>
            <w:shd w:val="clear" w:color="auto" w:fill="auto"/>
            <w:vAlign w:val="center"/>
          </w:tcPr>
          <w:p w14:paraId="7BCDE24B">
            <w:pPr>
              <w:pStyle w:val="19"/>
              <w:snapToGrid w:val="0"/>
              <w:spacing w:line="240" w:lineRule="auto"/>
              <w:ind w:firstLine="0" w:firstLineChars="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单位</w:t>
            </w:r>
          </w:p>
        </w:tc>
        <w:tc>
          <w:tcPr>
            <w:tcW w:w="787" w:type="dxa"/>
            <w:shd w:val="clear" w:color="auto" w:fill="auto"/>
            <w:vAlign w:val="center"/>
          </w:tcPr>
          <w:p w14:paraId="04E95015">
            <w:pPr>
              <w:pStyle w:val="19"/>
              <w:snapToGrid w:val="0"/>
              <w:spacing w:line="240" w:lineRule="auto"/>
              <w:ind w:firstLine="0" w:firstLineChars="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数量</w:t>
            </w:r>
          </w:p>
        </w:tc>
        <w:tc>
          <w:tcPr>
            <w:tcW w:w="1439" w:type="dxa"/>
            <w:shd w:val="clear" w:color="auto" w:fill="auto"/>
            <w:vAlign w:val="center"/>
          </w:tcPr>
          <w:p w14:paraId="67BF8693">
            <w:pPr>
              <w:pStyle w:val="19"/>
              <w:snapToGrid w:val="0"/>
              <w:spacing w:line="240" w:lineRule="auto"/>
              <w:ind w:firstLine="0" w:firstLineChars="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安装地点/ 服务对象</w:t>
            </w:r>
          </w:p>
        </w:tc>
        <w:tc>
          <w:tcPr>
            <w:tcW w:w="798" w:type="dxa"/>
            <w:shd w:val="clear" w:color="auto" w:fill="auto"/>
            <w:vAlign w:val="center"/>
          </w:tcPr>
          <w:p w14:paraId="253688D7">
            <w:pPr>
              <w:pStyle w:val="19"/>
              <w:snapToGrid w:val="0"/>
              <w:spacing w:line="240" w:lineRule="auto"/>
              <w:ind w:firstLine="0" w:firstLineChars="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供货方式</w:t>
            </w:r>
          </w:p>
        </w:tc>
      </w:tr>
      <w:tr w14:paraId="13ED4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6" w:type="dxa"/>
            <w:shd w:val="clear" w:color="auto" w:fill="auto"/>
            <w:vAlign w:val="center"/>
          </w:tcPr>
          <w:p w14:paraId="5597862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sz w:val="21"/>
                <w:szCs w:val="21"/>
                <w:highlight w:val="none"/>
                <w:lang w:val="en-US" w:eastAsia="zh-CN" w:bidi="ar"/>
              </w:rPr>
            </w:pPr>
            <w:r>
              <w:rPr>
                <w:rFonts w:hint="eastAsia" w:ascii="仿宋" w:hAnsi="仿宋" w:eastAsia="仿宋" w:cs="仿宋"/>
                <w:color w:val="000000"/>
                <w:sz w:val="21"/>
                <w:szCs w:val="21"/>
                <w:highlight w:val="none"/>
                <w:lang w:val="en-US" w:eastAsia="zh-CN" w:bidi="ar"/>
              </w:rPr>
              <w:t>1</w:t>
            </w:r>
          </w:p>
        </w:tc>
        <w:tc>
          <w:tcPr>
            <w:tcW w:w="1100" w:type="dxa"/>
            <w:shd w:val="clear" w:color="auto" w:fill="auto"/>
            <w:vAlign w:val="center"/>
          </w:tcPr>
          <w:p w14:paraId="2EE6E9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主减装配D线线体</w:t>
            </w:r>
          </w:p>
        </w:tc>
        <w:tc>
          <w:tcPr>
            <w:tcW w:w="2299" w:type="dxa"/>
            <w:shd w:val="clear" w:color="auto" w:fill="auto"/>
            <w:vAlign w:val="center"/>
          </w:tcPr>
          <w:p w14:paraId="7C5AD949">
            <w:pPr>
              <w:pStyle w:val="19"/>
              <w:snapToGrid w:val="0"/>
              <w:spacing w:line="36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MCY11/MCY12</w:t>
            </w:r>
          </w:p>
          <w:p w14:paraId="2C51CA3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仿宋" w:hAnsi="仿宋" w:eastAsia="仿宋" w:cs="仿宋"/>
                <w:color w:val="000000"/>
                <w:sz w:val="21"/>
                <w:szCs w:val="21"/>
                <w:highlight w:val="none"/>
                <w:lang w:val="en-US" w:eastAsia="zh-CN" w:bidi="ar"/>
              </w:rPr>
            </w:pPr>
            <w:r>
              <w:rPr>
                <w:rFonts w:hint="eastAsia" w:ascii="仿宋" w:hAnsi="仿宋" w:eastAsia="仿宋" w:cs="仿宋"/>
                <w:kern w:val="2"/>
                <w:sz w:val="21"/>
                <w:szCs w:val="21"/>
                <w:highlight w:val="none"/>
                <w:lang w:val="en-US" w:eastAsia="zh-CN" w:bidi="ar-SA"/>
              </w:rPr>
              <w:t>/MCY13/MCY12BGH中、后主减装配。</w:t>
            </w:r>
          </w:p>
        </w:tc>
        <w:tc>
          <w:tcPr>
            <w:tcW w:w="720" w:type="dxa"/>
            <w:shd w:val="clear" w:color="auto" w:fill="auto"/>
            <w:vAlign w:val="center"/>
          </w:tcPr>
          <w:p w14:paraId="44E484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仿宋" w:hAnsi="仿宋" w:eastAsia="仿宋" w:cs="仿宋"/>
                <w:color w:val="000000"/>
                <w:sz w:val="21"/>
                <w:szCs w:val="21"/>
                <w:highlight w:val="none"/>
                <w:lang w:val="en-US" w:eastAsia="zh-CN" w:bidi="ar"/>
              </w:rPr>
            </w:pPr>
            <w:r>
              <w:rPr>
                <w:rFonts w:hint="eastAsia" w:ascii="仿宋" w:hAnsi="仿宋" w:eastAsia="仿宋" w:cs="仿宋"/>
                <w:color w:val="000000"/>
                <w:sz w:val="21"/>
                <w:szCs w:val="21"/>
                <w:highlight w:val="none"/>
                <w:lang w:val="en-US" w:eastAsia="zh-CN" w:bidi="ar"/>
              </w:rPr>
              <w:t>套</w:t>
            </w:r>
          </w:p>
        </w:tc>
        <w:tc>
          <w:tcPr>
            <w:tcW w:w="787" w:type="dxa"/>
            <w:shd w:val="clear" w:color="auto" w:fill="auto"/>
            <w:vAlign w:val="center"/>
          </w:tcPr>
          <w:p w14:paraId="4E3EEF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sz w:val="21"/>
                <w:szCs w:val="21"/>
                <w:highlight w:val="none"/>
                <w:lang w:val="en-US" w:eastAsia="zh-CN" w:bidi="ar"/>
              </w:rPr>
            </w:pPr>
            <w:r>
              <w:rPr>
                <w:rFonts w:hint="eastAsia" w:ascii="仿宋" w:hAnsi="仿宋" w:eastAsia="仿宋" w:cs="仿宋"/>
                <w:color w:val="000000"/>
                <w:sz w:val="21"/>
                <w:szCs w:val="21"/>
                <w:highlight w:val="none"/>
                <w:lang w:val="en-US" w:eastAsia="zh-CN" w:bidi="ar"/>
              </w:rPr>
              <w:t>1</w:t>
            </w:r>
          </w:p>
        </w:tc>
        <w:tc>
          <w:tcPr>
            <w:tcW w:w="1439" w:type="dxa"/>
            <w:vMerge w:val="restart"/>
            <w:shd w:val="clear" w:color="auto" w:fill="auto"/>
            <w:vAlign w:val="center"/>
          </w:tcPr>
          <w:p w14:paraId="74F4AEC9">
            <w:pPr>
              <w:pStyle w:val="19"/>
              <w:snapToGrid w:val="0"/>
              <w:spacing w:line="240" w:lineRule="auto"/>
              <w:ind w:firstLine="0" w:firstLineChars="0"/>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rPr>
              <w:t>车桥公司</w:t>
            </w:r>
            <w:r>
              <w:rPr>
                <w:rFonts w:hint="eastAsia" w:ascii="仿宋" w:hAnsi="仿宋" w:eastAsia="仿宋" w:cs="仿宋"/>
                <w:kern w:val="2"/>
                <w:sz w:val="21"/>
                <w:szCs w:val="21"/>
                <w:highlight w:val="none"/>
                <w:lang w:val="en-US" w:eastAsia="zh-CN"/>
              </w:rPr>
              <w:t>主减速器线主减装配分部</w:t>
            </w:r>
          </w:p>
        </w:tc>
        <w:tc>
          <w:tcPr>
            <w:tcW w:w="798" w:type="dxa"/>
            <w:vMerge w:val="restart"/>
            <w:shd w:val="clear" w:color="auto" w:fill="auto"/>
            <w:vAlign w:val="center"/>
          </w:tcPr>
          <w:p w14:paraId="2F39E048">
            <w:pPr>
              <w:pStyle w:val="19"/>
              <w:snapToGrid w:val="0"/>
              <w:spacing w:line="240" w:lineRule="auto"/>
              <w:ind w:firstLine="0" w:firstLineChars="0"/>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rPr>
              <w:t>交钥匙</w:t>
            </w:r>
          </w:p>
        </w:tc>
      </w:tr>
      <w:tr w14:paraId="5C632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706" w:type="dxa"/>
            <w:shd w:val="clear" w:color="auto" w:fill="auto"/>
            <w:vAlign w:val="center"/>
          </w:tcPr>
          <w:p w14:paraId="2A5CA8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sz w:val="21"/>
                <w:szCs w:val="21"/>
                <w:highlight w:val="none"/>
                <w:lang w:val="en-US" w:eastAsia="zh-CN" w:bidi="ar"/>
              </w:rPr>
            </w:pPr>
            <w:r>
              <w:rPr>
                <w:rFonts w:hint="eastAsia" w:ascii="仿宋" w:hAnsi="仿宋" w:eastAsia="仿宋" w:cs="仿宋"/>
                <w:color w:val="000000"/>
                <w:sz w:val="21"/>
                <w:szCs w:val="21"/>
                <w:highlight w:val="none"/>
                <w:lang w:val="en-US" w:eastAsia="zh-CN" w:bidi="ar"/>
              </w:rPr>
              <w:t>2</w:t>
            </w:r>
          </w:p>
        </w:tc>
        <w:tc>
          <w:tcPr>
            <w:tcW w:w="1100" w:type="dxa"/>
            <w:shd w:val="clear" w:color="auto" w:fill="auto"/>
            <w:vAlign w:val="center"/>
          </w:tcPr>
          <w:p w14:paraId="77148E8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主减装配E线线体</w:t>
            </w:r>
          </w:p>
        </w:tc>
        <w:tc>
          <w:tcPr>
            <w:tcW w:w="2299" w:type="dxa"/>
            <w:shd w:val="clear" w:color="auto" w:fill="auto"/>
            <w:vAlign w:val="center"/>
          </w:tcPr>
          <w:p w14:paraId="0585357D">
            <w:pPr>
              <w:pStyle w:val="19"/>
              <w:snapToGrid w:val="0"/>
              <w:spacing w:line="36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MCY11/MCY12</w:t>
            </w:r>
          </w:p>
          <w:p w14:paraId="18CBA80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sz w:val="21"/>
                <w:szCs w:val="21"/>
                <w:highlight w:val="none"/>
                <w:lang w:val="en-US" w:eastAsia="zh-CN" w:bidi="ar"/>
              </w:rPr>
            </w:pPr>
            <w:r>
              <w:rPr>
                <w:rFonts w:hint="eastAsia" w:ascii="仿宋" w:hAnsi="仿宋" w:eastAsia="仿宋" w:cs="仿宋"/>
                <w:kern w:val="2"/>
                <w:sz w:val="21"/>
                <w:szCs w:val="21"/>
                <w:highlight w:val="none"/>
                <w:lang w:val="en-US" w:eastAsia="zh-CN" w:bidi="ar-SA"/>
              </w:rPr>
              <w:t>/MCY13/MCY12BGH/</w:t>
            </w:r>
            <w:r>
              <w:rPr>
                <w:rFonts w:hint="eastAsia" w:ascii="仿宋" w:hAnsi="仿宋" w:eastAsia="仿宋" w:cs="仿宋"/>
                <w:sz w:val="21"/>
                <w:szCs w:val="21"/>
                <w:highlight w:val="none"/>
                <w:lang w:val="en-US" w:eastAsia="zh-CN"/>
              </w:rPr>
              <w:t>AC26/MCK</w:t>
            </w:r>
            <w:r>
              <w:rPr>
                <w:rFonts w:hint="eastAsia" w:ascii="仿宋" w:hAnsi="仿宋" w:eastAsia="仿宋" w:cs="仿宋"/>
                <w:kern w:val="2"/>
                <w:sz w:val="21"/>
                <w:szCs w:val="21"/>
                <w:highlight w:val="none"/>
                <w:lang w:val="en-US" w:eastAsia="zh-CN" w:bidi="ar-SA"/>
              </w:rPr>
              <w:t>后主减装配。</w:t>
            </w:r>
          </w:p>
        </w:tc>
        <w:tc>
          <w:tcPr>
            <w:tcW w:w="720" w:type="dxa"/>
            <w:shd w:val="clear" w:color="auto" w:fill="auto"/>
            <w:vAlign w:val="center"/>
          </w:tcPr>
          <w:p w14:paraId="48AD46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仿宋" w:hAnsi="仿宋" w:eastAsia="仿宋" w:cs="仿宋"/>
                <w:color w:val="000000"/>
                <w:sz w:val="21"/>
                <w:szCs w:val="21"/>
                <w:highlight w:val="none"/>
                <w:lang w:val="en-US" w:eastAsia="zh-CN" w:bidi="ar"/>
              </w:rPr>
            </w:pPr>
            <w:r>
              <w:rPr>
                <w:rFonts w:hint="eastAsia" w:ascii="仿宋" w:hAnsi="仿宋" w:eastAsia="仿宋" w:cs="仿宋"/>
                <w:color w:val="000000"/>
                <w:sz w:val="21"/>
                <w:szCs w:val="21"/>
                <w:highlight w:val="none"/>
                <w:lang w:val="en-US" w:eastAsia="zh-CN" w:bidi="ar"/>
              </w:rPr>
              <w:t>套</w:t>
            </w:r>
          </w:p>
        </w:tc>
        <w:tc>
          <w:tcPr>
            <w:tcW w:w="787" w:type="dxa"/>
            <w:shd w:val="clear" w:color="auto" w:fill="auto"/>
            <w:vAlign w:val="center"/>
          </w:tcPr>
          <w:p w14:paraId="049B4D8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sz w:val="21"/>
                <w:szCs w:val="21"/>
                <w:highlight w:val="none"/>
                <w:lang w:val="en-US" w:eastAsia="zh-CN" w:bidi="ar"/>
              </w:rPr>
            </w:pPr>
            <w:r>
              <w:rPr>
                <w:rFonts w:hint="eastAsia" w:ascii="仿宋" w:hAnsi="仿宋" w:eastAsia="仿宋" w:cs="仿宋"/>
                <w:color w:val="000000"/>
                <w:sz w:val="21"/>
                <w:szCs w:val="21"/>
                <w:highlight w:val="none"/>
                <w:lang w:val="en-US" w:eastAsia="zh-CN" w:bidi="ar"/>
              </w:rPr>
              <w:t>1</w:t>
            </w:r>
          </w:p>
        </w:tc>
        <w:tc>
          <w:tcPr>
            <w:tcW w:w="1439" w:type="dxa"/>
            <w:vMerge w:val="continue"/>
            <w:shd w:val="clear" w:color="auto" w:fill="auto"/>
            <w:vAlign w:val="center"/>
          </w:tcPr>
          <w:p w14:paraId="0D529506">
            <w:pPr>
              <w:pStyle w:val="19"/>
              <w:snapToGrid w:val="0"/>
              <w:spacing w:line="240" w:lineRule="auto"/>
              <w:ind w:firstLine="0" w:firstLineChars="0"/>
              <w:jc w:val="center"/>
              <w:rPr>
                <w:rFonts w:hint="eastAsia" w:ascii="仿宋" w:hAnsi="仿宋" w:eastAsia="仿宋" w:cs="仿宋"/>
                <w:kern w:val="2"/>
                <w:sz w:val="21"/>
                <w:szCs w:val="21"/>
                <w:highlight w:val="yellow"/>
              </w:rPr>
            </w:pPr>
          </w:p>
        </w:tc>
        <w:tc>
          <w:tcPr>
            <w:tcW w:w="798" w:type="dxa"/>
            <w:vMerge w:val="continue"/>
            <w:shd w:val="clear" w:color="auto" w:fill="auto"/>
            <w:vAlign w:val="center"/>
          </w:tcPr>
          <w:p w14:paraId="48FA424B">
            <w:pPr>
              <w:pStyle w:val="19"/>
              <w:snapToGrid w:val="0"/>
              <w:spacing w:line="240" w:lineRule="auto"/>
              <w:ind w:firstLine="0" w:firstLineChars="0"/>
              <w:jc w:val="center"/>
              <w:rPr>
                <w:rFonts w:hint="eastAsia" w:ascii="仿宋" w:hAnsi="仿宋" w:eastAsia="仿宋" w:cs="仿宋"/>
                <w:kern w:val="2"/>
                <w:sz w:val="21"/>
                <w:szCs w:val="21"/>
                <w:highlight w:val="yellow"/>
                <w:lang w:val="en-US" w:eastAsia="zh-CN"/>
              </w:rPr>
            </w:pPr>
          </w:p>
        </w:tc>
      </w:tr>
    </w:tbl>
    <w:p w14:paraId="7003F7E7">
      <w:pPr>
        <w:pStyle w:val="19"/>
        <w:snapToGrid w:val="0"/>
        <w:spacing w:line="360" w:lineRule="auto"/>
        <w:ind w:firstLine="420" w:firstLineChars="200"/>
        <w:rPr>
          <w:rFonts w:ascii="仿宋" w:hAnsi="仿宋" w:eastAsia="仿宋" w:cs="仿宋"/>
        </w:rPr>
      </w:pPr>
      <w:r>
        <w:rPr>
          <w:rFonts w:hint="eastAsia" w:ascii="仿宋" w:hAnsi="仿宋" w:eastAsia="仿宋" w:cs="仿宋"/>
        </w:rPr>
        <w:t>备注：</w:t>
      </w:r>
    </w:p>
    <w:p w14:paraId="409CB4B8">
      <w:pPr>
        <w:pStyle w:val="19"/>
        <w:snapToGrid w:val="0"/>
        <w:spacing w:line="360" w:lineRule="auto"/>
        <w:ind w:firstLine="420" w:firstLineChars="200"/>
        <w:rPr>
          <w:rFonts w:ascii="仿宋" w:hAnsi="仿宋" w:eastAsia="仿宋" w:cs="仿宋"/>
        </w:rPr>
      </w:pPr>
      <w:r>
        <w:rPr>
          <w:rFonts w:hint="eastAsia" w:ascii="仿宋" w:hAnsi="仿宋" w:eastAsia="仿宋" w:cs="仿宋"/>
        </w:rPr>
        <w:t>①本表所列采购货物仅为货物（或生产线）的主要构成部分，应配套供货以及招标方所列其它货物（或设备）和服务，请投标方认真阅读“供货范围”。若有异议，不管是多么微小，都应在投标文件“商务偏离”章节中予以详细说明。</w:t>
      </w:r>
    </w:p>
    <w:p w14:paraId="6782A0A5">
      <w:pPr>
        <w:pStyle w:val="19"/>
        <w:snapToGrid w:val="0"/>
        <w:spacing w:line="360" w:lineRule="auto"/>
        <w:ind w:firstLine="420" w:firstLineChars="200"/>
        <w:rPr>
          <w:rFonts w:ascii="仿宋" w:hAnsi="仿宋" w:eastAsia="仿宋" w:cs="仿宋"/>
        </w:rPr>
      </w:pPr>
      <w:r>
        <w:rPr>
          <w:rFonts w:hint="eastAsia" w:ascii="仿宋" w:hAnsi="仿宋" w:eastAsia="仿宋" w:cs="仿宋"/>
        </w:rPr>
        <w:t>②本表“供货方式”指：交钥匙方式——包括制造、运输、定点卸货、安装、调试和验收以及培训等。</w:t>
      </w:r>
    </w:p>
    <w:p w14:paraId="44695DD8">
      <w:pPr>
        <w:jc w:val="center"/>
        <w:outlineLvl w:val="0"/>
        <w:rPr>
          <w:rFonts w:ascii="仿宋" w:hAnsi="仿宋" w:eastAsia="仿宋" w:cs="仿宋"/>
          <w:b/>
          <w:bCs/>
        </w:rPr>
      </w:pPr>
      <w:bookmarkStart w:id="128" w:name="_Toc6687"/>
      <w:bookmarkStart w:id="129" w:name="_Toc1621"/>
      <w:bookmarkStart w:id="130" w:name="_Toc7739"/>
      <w:bookmarkStart w:id="131" w:name="_Toc27638"/>
      <w:bookmarkStart w:id="132" w:name="_Toc4743"/>
      <w:bookmarkStart w:id="133" w:name="_Toc24992"/>
      <w:bookmarkStart w:id="134" w:name="_Toc18120"/>
      <w:bookmarkStart w:id="135" w:name="_Toc13878"/>
      <w:bookmarkStart w:id="136" w:name="_Toc12377"/>
      <w:bookmarkStart w:id="137" w:name="_Toc23603"/>
      <w:bookmarkStart w:id="138" w:name="_Toc20034"/>
      <w:bookmarkStart w:id="139" w:name="_Toc761"/>
      <w:bookmarkStart w:id="140" w:name="_Toc7338"/>
      <w:bookmarkStart w:id="141" w:name="_Toc10441"/>
      <w:bookmarkStart w:id="142" w:name="_Toc73112399"/>
      <w:bookmarkStart w:id="143" w:name="_Toc10580"/>
      <w:bookmarkStart w:id="144" w:name="_Toc11605"/>
      <w:bookmarkStart w:id="145" w:name="_Toc15180"/>
      <w:bookmarkStart w:id="146" w:name="_Toc30429"/>
      <w:bookmarkStart w:id="147" w:name="_Toc26149"/>
      <w:bookmarkStart w:id="148" w:name="_Toc7813"/>
      <w:bookmarkStart w:id="149" w:name="_Toc22689"/>
      <w:bookmarkStart w:id="150" w:name="_Toc2018"/>
      <w:bookmarkStart w:id="151" w:name="_Toc31734"/>
      <w:bookmarkStart w:id="152" w:name="_Toc32616"/>
      <w:bookmarkStart w:id="153" w:name="_Toc17465"/>
      <w:bookmarkStart w:id="154" w:name="_Toc498"/>
      <w:bookmarkStart w:id="155" w:name="_Toc26470"/>
      <w:bookmarkStart w:id="156" w:name="_Toc4488"/>
      <w:bookmarkStart w:id="157" w:name="_Toc24597"/>
      <w:bookmarkStart w:id="158" w:name="_Toc19793"/>
      <w:bookmarkStart w:id="159" w:name="_Toc19015"/>
      <w:bookmarkStart w:id="160" w:name="_Toc29174"/>
      <w:bookmarkStart w:id="161" w:name="_Toc22658"/>
      <w:bookmarkStart w:id="162" w:name="_Toc2875"/>
      <w:bookmarkStart w:id="163" w:name="_Toc32524"/>
      <w:bookmarkStart w:id="164" w:name="_Toc4881"/>
      <w:bookmarkStart w:id="165" w:name="_Toc8780"/>
      <w:bookmarkStart w:id="166" w:name="_Toc16387"/>
      <w:bookmarkStart w:id="167" w:name="_Toc28168"/>
      <w:bookmarkStart w:id="168" w:name="_Toc30487"/>
      <w:bookmarkStart w:id="169" w:name="_Toc8565"/>
      <w:bookmarkStart w:id="170" w:name="_Toc133783969"/>
      <w:r>
        <w:rPr>
          <w:rFonts w:hint="eastAsia" w:ascii="仿宋" w:hAnsi="仿宋" w:eastAsia="仿宋" w:cs="仿宋"/>
          <w:b/>
          <w:bCs/>
        </w:rPr>
        <w:t>第二章技术要求</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7C467CD4">
      <w:pPr>
        <w:snapToGrid w:val="0"/>
        <w:spacing w:line="360" w:lineRule="auto"/>
        <w:ind w:firstLine="422" w:firstLineChars="200"/>
        <w:outlineLvl w:val="1"/>
        <w:rPr>
          <w:rFonts w:ascii="仿宋" w:hAnsi="仿宋" w:eastAsia="仿宋" w:cs="仿宋"/>
          <w:b/>
          <w:bCs/>
        </w:rPr>
      </w:pPr>
      <w:bookmarkStart w:id="171" w:name="_Toc28751"/>
      <w:bookmarkStart w:id="172" w:name="_Toc1968"/>
      <w:bookmarkStart w:id="173" w:name="_Toc477"/>
      <w:bookmarkStart w:id="174" w:name="_Toc18792"/>
      <w:bookmarkStart w:id="175" w:name="_Toc23050"/>
      <w:bookmarkStart w:id="176" w:name="_Toc11621"/>
      <w:bookmarkStart w:id="177" w:name="_Toc27930"/>
      <w:bookmarkStart w:id="178" w:name="_Toc6003"/>
      <w:bookmarkStart w:id="179" w:name="_Toc31246"/>
      <w:bookmarkStart w:id="180" w:name="_Toc20402"/>
      <w:bookmarkStart w:id="181" w:name="_Toc9894"/>
      <w:bookmarkStart w:id="182" w:name="_Toc9134"/>
      <w:bookmarkStart w:id="183" w:name="_Toc26827"/>
      <w:bookmarkStart w:id="184" w:name="_Toc39"/>
      <w:bookmarkStart w:id="185" w:name="_Toc11056"/>
      <w:bookmarkStart w:id="186" w:name="_Toc16063"/>
      <w:bookmarkStart w:id="187" w:name="_Toc25950"/>
      <w:bookmarkStart w:id="188" w:name="_Toc15744"/>
      <w:bookmarkStart w:id="189" w:name="_Toc20792"/>
      <w:bookmarkStart w:id="190" w:name="_Toc22422"/>
      <w:bookmarkStart w:id="191" w:name="_Toc4126"/>
      <w:bookmarkStart w:id="192" w:name="_Toc31434"/>
      <w:bookmarkStart w:id="193" w:name="_Toc29354"/>
      <w:bookmarkStart w:id="194" w:name="_Toc73112400"/>
      <w:bookmarkStart w:id="195" w:name="_Toc5110"/>
      <w:bookmarkStart w:id="196" w:name="_Toc2473"/>
      <w:bookmarkStart w:id="197" w:name="_Toc23337"/>
      <w:bookmarkStart w:id="198" w:name="_Toc1111"/>
      <w:bookmarkStart w:id="199" w:name="_Toc29489"/>
      <w:bookmarkStart w:id="200" w:name="_Toc380"/>
      <w:bookmarkStart w:id="201" w:name="_Toc15995"/>
      <w:bookmarkStart w:id="202" w:name="_Toc5876"/>
      <w:bookmarkStart w:id="203" w:name="_Toc5804"/>
      <w:bookmarkStart w:id="204" w:name="_Toc7141"/>
      <w:bookmarkStart w:id="205" w:name="_Toc16822"/>
      <w:bookmarkStart w:id="206" w:name="_Toc21559"/>
      <w:bookmarkStart w:id="207" w:name="_Toc5450"/>
      <w:bookmarkStart w:id="208" w:name="_Toc15747"/>
      <w:bookmarkStart w:id="209" w:name="_Toc5714"/>
      <w:bookmarkStart w:id="210" w:name="_Toc13195"/>
      <w:bookmarkStart w:id="211" w:name="_Toc27282"/>
      <w:r>
        <w:rPr>
          <w:rFonts w:hint="eastAsia" w:ascii="仿宋" w:hAnsi="仿宋" w:eastAsia="仿宋" w:cs="仿宋"/>
          <w:b/>
          <w:bCs/>
        </w:rPr>
        <w:t>1基本要求</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6021FAB1">
      <w:pPr>
        <w:pStyle w:val="19"/>
        <w:snapToGrid w:val="0"/>
        <w:spacing w:line="360" w:lineRule="auto"/>
        <w:ind w:firstLine="420" w:firstLineChars="200"/>
        <w:rPr>
          <w:rFonts w:ascii="仿宋" w:hAnsi="仿宋" w:eastAsia="仿宋" w:cs="仿宋"/>
        </w:rPr>
      </w:pPr>
      <w:r>
        <w:rPr>
          <w:rFonts w:hint="eastAsia" w:ascii="仿宋" w:hAnsi="仿宋" w:eastAsia="仿宋" w:cs="仿宋"/>
        </w:rPr>
        <w:t>1.1 投标方所供的货物（或生产线），必须符合中国最新版的法律、法规和相关标准、规范的要求，符合项目所在地政府有关特殊要求。</w:t>
      </w:r>
    </w:p>
    <w:p w14:paraId="4F8C5866">
      <w:pPr>
        <w:pStyle w:val="19"/>
        <w:snapToGrid w:val="0"/>
        <w:spacing w:line="360" w:lineRule="auto"/>
        <w:ind w:firstLine="420" w:firstLineChars="200"/>
        <w:rPr>
          <w:rFonts w:ascii="仿宋" w:hAnsi="仿宋" w:eastAsia="仿宋" w:cs="仿宋"/>
        </w:rPr>
      </w:pPr>
      <w:r>
        <w:rPr>
          <w:rFonts w:hint="eastAsia" w:ascii="仿宋" w:hAnsi="仿宋" w:eastAsia="仿宋" w:cs="仿宋"/>
        </w:rPr>
        <w:t>1.2 投标方所供货物（或生产线）涉及的、招标方有权使用的专利权技术以及知识产权保护的其它技术等，应保证招标方不因此受到任何侵权指控以及实际损失。</w:t>
      </w:r>
    </w:p>
    <w:p w14:paraId="061203D5">
      <w:pPr>
        <w:pStyle w:val="19"/>
        <w:snapToGrid w:val="0"/>
        <w:spacing w:line="360" w:lineRule="auto"/>
        <w:ind w:firstLine="420" w:firstLineChars="200"/>
        <w:rPr>
          <w:rFonts w:ascii="仿宋" w:hAnsi="仿宋" w:eastAsia="仿宋" w:cs="仿宋"/>
        </w:rPr>
      </w:pPr>
      <w:r>
        <w:rPr>
          <w:rFonts w:hint="eastAsia" w:ascii="仿宋" w:hAnsi="仿宋" w:eastAsia="仿宋" w:cs="仿宋"/>
        </w:rPr>
        <w:t>1.3 投标方应保证所供货物（或生产线）的先进性、可靠性、经济性和实用性，并为全新货物（或设备）,并具有该货物(或设备)所有功能的永久使用权。</w:t>
      </w:r>
    </w:p>
    <w:p w14:paraId="11EB864B">
      <w:pPr>
        <w:pStyle w:val="19"/>
        <w:snapToGrid w:val="0"/>
        <w:spacing w:line="360" w:lineRule="auto"/>
        <w:ind w:firstLine="420" w:firstLineChars="200"/>
        <w:rPr>
          <w:rFonts w:ascii="仿宋" w:hAnsi="仿宋" w:eastAsia="仿宋" w:cs="仿宋"/>
        </w:rPr>
      </w:pPr>
      <w:r>
        <w:rPr>
          <w:rFonts w:hint="eastAsia" w:ascii="仿宋" w:hAnsi="仿宋" w:eastAsia="仿宋" w:cs="仿宋"/>
        </w:rPr>
        <w:t>1.4 投标方应满足招标方提出的各项技术要求，必要时应当免费提供技术承诺或担保。</w:t>
      </w:r>
    </w:p>
    <w:p w14:paraId="2A8A30FA">
      <w:pPr>
        <w:pStyle w:val="19"/>
        <w:snapToGrid w:val="0"/>
        <w:spacing w:line="360" w:lineRule="auto"/>
        <w:ind w:firstLine="420" w:firstLineChars="200"/>
        <w:rPr>
          <w:rFonts w:ascii="仿宋" w:hAnsi="仿宋" w:eastAsia="仿宋" w:cs="仿宋"/>
        </w:rPr>
      </w:pPr>
      <w:r>
        <w:rPr>
          <w:rFonts w:hint="eastAsia" w:ascii="仿宋" w:hAnsi="仿宋" w:eastAsia="仿宋" w:cs="仿宋"/>
        </w:rPr>
        <w:t>★1.5 投标方应保证所供货物（或设备）必须符合当前国家或地方最新安全、环保、职业健康最新法律、法规及《机械制造企业安全生产标准化》各项要求 。确保货物在使用管理过程中满足《职业健康安全管理体系》、《环境管理体系》等方面的国家标准、规范及地方规章要求；必须提供所供设备相应的安全操作规程，危险化学品“一书一签”；负责对招标方相关人员开展“四新”安全培训。</w:t>
      </w:r>
    </w:p>
    <w:p w14:paraId="42598462">
      <w:pPr>
        <w:pStyle w:val="19"/>
        <w:snapToGrid w:val="0"/>
        <w:spacing w:line="360" w:lineRule="auto"/>
        <w:ind w:firstLine="420" w:firstLineChars="200"/>
        <w:rPr>
          <w:rFonts w:ascii="仿宋" w:hAnsi="仿宋" w:eastAsia="仿宋" w:cs="仿宋"/>
        </w:rPr>
      </w:pPr>
      <w:r>
        <w:rPr>
          <w:rFonts w:hint="eastAsia" w:ascii="仿宋" w:hAnsi="仿宋" w:eastAsia="仿宋" w:cs="仿宋"/>
        </w:rPr>
        <w:t>★1.6 投标方应保证所供货物（或设备）为中国公布的非淘汰货物（或设备），并为中国指定或规定的主管部门认可的环保型和节能型货物（或设备）。招标的中标货物不接受试验品（提供证据），还应是原产地的货物。</w:t>
      </w:r>
    </w:p>
    <w:p w14:paraId="36AB156B">
      <w:pPr>
        <w:pStyle w:val="19"/>
        <w:snapToGrid w:val="0"/>
        <w:spacing w:line="360" w:lineRule="auto"/>
        <w:ind w:firstLine="420" w:firstLineChars="200"/>
        <w:rPr>
          <w:rFonts w:ascii="仿宋" w:hAnsi="仿宋" w:eastAsia="仿宋" w:cs="仿宋"/>
        </w:rPr>
      </w:pPr>
      <w:r>
        <w:rPr>
          <w:rFonts w:hint="eastAsia" w:ascii="仿宋" w:hAnsi="仿宋" w:eastAsia="仿宋" w:cs="仿宋"/>
        </w:rPr>
        <w:t>1.7 设备用能设计基本要求</w:t>
      </w:r>
    </w:p>
    <w:p w14:paraId="600E4196">
      <w:pPr>
        <w:pStyle w:val="19"/>
        <w:snapToGrid w:val="0"/>
        <w:spacing w:line="360" w:lineRule="auto"/>
        <w:ind w:firstLine="420" w:firstLineChars="200"/>
        <w:rPr>
          <w:rFonts w:ascii="仿宋" w:hAnsi="仿宋" w:eastAsia="仿宋" w:cs="仿宋"/>
        </w:rPr>
      </w:pPr>
      <w:r>
        <w:rPr>
          <w:rFonts w:hint="eastAsia" w:ascii="仿宋" w:hAnsi="仿宋" w:eastAsia="仿宋" w:cs="仿宋"/>
        </w:rPr>
        <w:t>1.7.1 任何用能设备均应遵循《能源管理体系要求》（ISO 50001:2018）、《能源管理体系 机械制造企业认证要求》（RB/T 119-2015）的相关规定，并在《能源管理体系要求》下开展设备的采购、维护、保养、淘汰更换等工作。</w:t>
      </w:r>
    </w:p>
    <w:p w14:paraId="5442198D">
      <w:pPr>
        <w:pStyle w:val="19"/>
        <w:snapToGrid w:val="0"/>
        <w:spacing w:line="360" w:lineRule="auto"/>
        <w:ind w:firstLine="420" w:firstLineChars="200"/>
        <w:rPr>
          <w:rFonts w:ascii="仿宋" w:hAnsi="仿宋" w:eastAsia="仿宋" w:cs="仿宋"/>
        </w:rPr>
      </w:pPr>
      <w:r>
        <w:rPr>
          <w:rFonts w:hint="eastAsia" w:ascii="仿宋" w:hAnsi="仿宋" w:eastAsia="仿宋" w:cs="仿宋"/>
        </w:rPr>
        <w:t>1.7.2 为方便用能设备的计量统计，新增采购设备应在《用能单位能源计量器具配备和管理通则》（GB17167-2006）指导下配备符合相应要求的能源计量器具。</w:t>
      </w:r>
    </w:p>
    <w:p w14:paraId="181DFCF9">
      <w:pPr>
        <w:pStyle w:val="19"/>
        <w:snapToGrid w:val="0"/>
        <w:spacing w:line="360" w:lineRule="auto"/>
        <w:ind w:firstLine="420" w:firstLineChars="200"/>
        <w:rPr>
          <w:rFonts w:ascii="仿宋" w:hAnsi="仿宋" w:eastAsia="仿宋" w:cs="仿宋"/>
        </w:rPr>
      </w:pPr>
      <w:r>
        <w:rPr>
          <w:rFonts w:hint="eastAsia" w:ascii="仿宋" w:hAnsi="仿宋" w:eastAsia="仿宋" w:cs="仿宋"/>
        </w:rPr>
        <w:t>1.7.3 供方应确保各类机电设备（产品）无《高耗能机电设备（产品）淘汰目录（第一批）》、《高耗能机电设备（产品）淘汰目录（第二批）》、《高耗能机电设备（产品）淘汰目录（第三批）》、《高耗能机电设备（产品）淘汰目录（第四批）》所罗列的各类淘汰机电设备（产品）。</w:t>
      </w:r>
    </w:p>
    <w:p w14:paraId="45D78A35">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1.7.4 在各类机电设备（产品）的采购过程中应优先选用符合《节能机电设备（产品）推荐目录（第七批）》的机电设备（产品）。原则上，电机功率≥7.5kW，必须选用一级能效。电机功率&lt;7.5kw，优先选用一级能效;其中对于能源供应类设备及年运行时间≥2000h 工艺设备的电机必须选用一级能效。杜绝选用三级及以下能效。对于特殊场景、特殊用途其他设备结合性价比综合考虑、充分论证。</w:t>
      </w:r>
    </w:p>
    <w:p w14:paraId="7D557E28">
      <w:pPr>
        <w:pStyle w:val="19"/>
        <w:snapToGrid w:val="0"/>
        <w:spacing w:line="360" w:lineRule="auto"/>
        <w:ind w:firstLine="420" w:firstLineChars="200"/>
        <w:rPr>
          <w:rFonts w:ascii="仿宋" w:hAnsi="仿宋" w:eastAsia="仿宋" w:cs="仿宋"/>
        </w:rPr>
      </w:pPr>
      <w:r>
        <w:rPr>
          <w:rFonts w:hint="eastAsia" w:ascii="仿宋" w:hAnsi="仿宋" w:eastAsia="仿宋" w:cs="仿宋"/>
        </w:rPr>
        <w:t>1.7.5 供方应确保设备的附属各类机电设备、设施（如：电机、风机、电器控制系统、润滑、保温隔热、照明等等）符合国家现行的相关专项标准要求。</w:t>
      </w:r>
    </w:p>
    <w:p w14:paraId="073F0FF4">
      <w:pPr>
        <w:pStyle w:val="19"/>
        <w:snapToGrid w:val="0"/>
        <w:spacing w:line="360" w:lineRule="auto"/>
        <w:ind w:firstLine="420" w:firstLineChars="200"/>
        <w:rPr>
          <w:rFonts w:ascii="仿宋" w:hAnsi="仿宋" w:eastAsia="仿宋" w:cs="仿宋"/>
        </w:rPr>
      </w:pPr>
      <w:r>
        <w:rPr>
          <w:rFonts w:hint="eastAsia" w:ascii="仿宋" w:hAnsi="仿宋" w:eastAsia="仿宋" w:cs="仿宋"/>
        </w:rPr>
        <w:t>1.8 投标方应保证所供货物（或生产线）的完整性和成套性，能保证货物（或生产线）的正常运行、使用。</w:t>
      </w:r>
    </w:p>
    <w:p w14:paraId="35670C52">
      <w:pPr>
        <w:pStyle w:val="19"/>
        <w:snapToGrid w:val="0"/>
        <w:spacing w:line="360" w:lineRule="auto"/>
        <w:ind w:firstLine="420" w:firstLineChars="200"/>
        <w:rPr>
          <w:rFonts w:ascii="仿宋" w:hAnsi="仿宋" w:eastAsia="仿宋" w:cs="仿宋"/>
        </w:rPr>
      </w:pPr>
      <w:r>
        <w:rPr>
          <w:rFonts w:hint="eastAsia" w:ascii="仿宋" w:hAnsi="仿宋" w:eastAsia="仿宋" w:cs="仿宋"/>
        </w:rPr>
        <w:t>1.9 投标方应对招标方采购的货物（或生产线）所涉及的技术、产能等信息负有保密义务，特殊项目应当无条件签署保密协议。</w:t>
      </w:r>
    </w:p>
    <w:p w14:paraId="7D170850">
      <w:pPr>
        <w:pStyle w:val="19"/>
        <w:snapToGrid w:val="0"/>
        <w:spacing w:line="360" w:lineRule="auto"/>
        <w:ind w:firstLine="420" w:firstLineChars="200"/>
        <w:rPr>
          <w:rFonts w:ascii="仿宋" w:hAnsi="仿宋" w:eastAsia="仿宋" w:cs="仿宋"/>
        </w:rPr>
      </w:pPr>
      <w:r>
        <w:rPr>
          <w:rFonts w:hint="eastAsia" w:ascii="仿宋" w:hAnsi="仿宋" w:eastAsia="仿宋" w:cs="仿宋"/>
        </w:rPr>
        <w:t>★1.10 设备使用仪表和自控设备要求：</w:t>
      </w:r>
    </w:p>
    <w:p w14:paraId="4C37FDA1">
      <w:pPr>
        <w:pStyle w:val="19"/>
        <w:snapToGrid w:val="0"/>
        <w:spacing w:line="360" w:lineRule="auto"/>
        <w:ind w:firstLine="420" w:firstLineChars="200"/>
        <w:rPr>
          <w:rFonts w:ascii="仿宋" w:hAnsi="仿宋" w:eastAsia="仿宋" w:cs="仿宋"/>
        </w:rPr>
      </w:pPr>
      <w:bookmarkStart w:id="212" w:name="_Toc5010"/>
      <w:bookmarkStart w:id="213" w:name="_Toc7044"/>
      <w:bookmarkStart w:id="214" w:name="_Toc31111"/>
      <w:bookmarkStart w:id="215" w:name="_Toc30944"/>
      <w:bookmarkStart w:id="216" w:name="_Toc5025"/>
      <w:bookmarkStart w:id="217" w:name="_Toc2908"/>
      <w:r>
        <w:rPr>
          <w:rFonts w:hint="eastAsia" w:ascii="仿宋" w:hAnsi="仿宋" w:eastAsia="仿宋" w:cs="仿宋"/>
        </w:rPr>
        <w:t>1.10.1 设备使用仪表通用技术要求:</w:t>
      </w:r>
      <w:bookmarkEnd w:id="212"/>
      <w:bookmarkEnd w:id="213"/>
      <w:bookmarkEnd w:id="214"/>
      <w:bookmarkEnd w:id="215"/>
      <w:bookmarkEnd w:id="216"/>
      <w:bookmarkEnd w:id="217"/>
    </w:p>
    <w:p w14:paraId="46885691">
      <w:pPr>
        <w:pStyle w:val="19"/>
        <w:snapToGrid w:val="0"/>
        <w:spacing w:line="360" w:lineRule="auto"/>
        <w:ind w:firstLine="420" w:firstLineChars="200"/>
        <w:rPr>
          <w:rFonts w:ascii="仿宋" w:hAnsi="仿宋" w:eastAsia="仿宋" w:cs="仿宋"/>
        </w:rPr>
      </w:pPr>
      <w:r>
        <w:rPr>
          <w:rFonts w:hint="eastAsia" w:ascii="仿宋" w:hAnsi="仿宋" w:eastAsia="仿宋" w:cs="仿宋"/>
        </w:rPr>
        <w:t>1.10.1.1 投标人及供货商应保证所提供的仪表和自控设备，完全符合或高于本文通用技术要求及相应产品技术规范的要求，并应保证其供应产品在本工程指明的环境条件下能够长期安全、正常地运行。 </w:t>
      </w:r>
    </w:p>
    <w:p w14:paraId="3B641AB3">
      <w:pPr>
        <w:pStyle w:val="19"/>
        <w:snapToGrid w:val="0"/>
        <w:spacing w:line="360" w:lineRule="auto"/>
        <w:ind w:firstLine="420" w:firstLineChars="200"/>
        <w:rPr>
          <w:rFonts w:ascii="仿宋" w:hAnsi="仿宋" w:eastAsia="仿宋" w:cs="仿宋"/>
        </w:rPr>
      </w:pPr>
      <w:r>
        <w:rPr>
          <w:rFonts w:hint="eastAsia" w:ascii="仿宋" w:hAnsi="仿宋" w:eastAsia="仿宋" w:cs="仿宋"/>
        </w:rPr>
        <w:t>1.10.1.2 投标人及供货商所提供的产品，应符合中华人民共和国国家质量监督检验检疫总局发布的《强制性产品认证管理规定》(AQSIQ)的要求，请投标人及供货商确认其投标产品是否包括在《中华人民共和国实施强制性产品认证的产品目录》内，包括在目录中的产品应取得被授权的认证机构颁发的“中国国家强制性产品认证证书”(CCC)。无论任何原因造成的不良后果均由投标人及供货商负责。 </w:t>
      </w:r>
    </w:p>
    <w:p w14:paraId="3D5B8555">
      <w:pPr>
        <w:pStyle w:val="19"/>
        <w:snapToGrid w:val="0"/>
        <w:spacing w:line="360" w:lineRule="auto"/>
        <w:ind w:firstLine="420" w:firstLineChars="200"/>
        <w:rPr>
          <w:rFonts w:ascii="仿宋" w:hAnsi="仿宋" w:eastAsia="仿宋" w:cs="仿宋"/>
        </w:rPr>
      </w:pPr>
      <w:r>
        <w:rPr>
          <w:rFonts w:hint="eastAsia" w:ascii="仿宋" w:hAnsi="仿宋" w:eastAsia="仿宋" w:cs="仿宋"/>
        </w:rPr>
        <w:t>1.10.1.3 仪表、自控设备以及其附件所需电源，应符合产品技术规范提出的配电要求。在运输和储存期间，仪表和自控设备外壳上，凡用于连接的所有接口及孔、洞、附件应用堵头进行保护，并应清楚地标明其用途, 并注明“能源、计量”使用状态。 国家规定属于强制检定的仪表、自控设备应符合铅封等强制要求标准。</w:t>
      </w:r>
    </w:p>
    <w:p w14:paraId="664FD3D1">
      <w:pPr>
        <w:pStyle w:val="19"/>
        <w:snapToGrid w:val="0"/>
        <w:spacing w:line="360" w:lineRule="auto"/>
        <w:ind w:firstLine="420" w:firstLineChars="200"/>
        <w:rPr>
          <w:rFonts w:ascii="仿宋" w:hAnsi="仿宋" w:eastAsia="仿宋" w:cs="仿宋"/>
        </w:rPr>
      </w:pPr>
      <w:bookmarkStart w:id="218" w:name="_Toc9364"/>
      <w:bookmarkStart w:id="219" w:name="_Toc581"/>
      <w:bookmarkStart w:id="220" w:name="_Toc32105"/>
      <w:bookmarkStart w:id="221" w:name="_Toc5075"/>
      <w:bookmarkStart w:id="222" w:name="_Toc26032"/>
      <w:bookmarkStart w:id="223" w:name="_Toc16669"/>
      <w:r>
        <w:rPr>
          <w:rFonts w:hint="eastAsia" w:ascii="仿宋" w:hAnsi="仿宋" w:eastAsia="仿宋" w:cs="仿宋"/>
        </w:rPr>
        <w:t>1.10.2 准确度要求: </w:t>
      </w:r>
      <w:bookmarkEnd w:id="218"/>
      <w:bookmarkEnd w:id="219"/>
      <w:bookmarkEnd w:id="220"/>
      <w:bookmarkEnd w:id="221"/>
      <w:bookmarkEnd w:id="222"/>
      <w:bookmarkEnd w:id="223"/>
    </w:p>
    <w:p w14:paraId="7328018E">
      <w:pPr>
        <w:pStyle w:val="19"/>
        <w:snapToGrid w:val="0"/>
        <w:spacing w:line="360" w:lineRule="auto"/>
        <w:ind w:firstLine="420" w:firstLineChars="200"/>
        <w:rPr>
          <w:rFonts w:ascii="仿宋" w:hAnsi="仿宋" w:eastAsia="仿宋" w:cs="仿宋"/>
        </w:rPr>
      </w:pPr>
      <w:r>
        <w:rPr>
          <w:rFonts w:hint="eastAsia" w:ascii="仿宋" w:hAnsi="仿宋" w:eastAsia="仿宋" w:cs="仿宋"/>
        </w:rPr>
        <w:t>1.10.2.1 投标人及供货商所提供的仪表和自控设备应在测量原理上符合相应产品的专用技术规格书中的要求，应保证出厂产品的实际准确度等于或优于提供的技术资料中的标称准确度。货物所使用计量用仪器、仪表和自控设备，该产品应附有具备CNAS、CAL、CMA（国际或国家）计量认证资质的市级以上国家法定计量检定机构出具的校准证书、检定证书。</w:t>
      </w:r>
    </w:p>
    <w:p w14:paraId="79B5613D">
      <w:pPr>
        <w:pStyle w:val="19"/>
        <w:snapToGrid w:val="0"/>
        <w:spacing w:line="360" w:lineRule="auto"/>
        <w:ind w:firstLine="420" w:firstLineChars="200"/>
        <w:rPr>
          <w:rFonts w:ascii="仿宋" w:hAnsi="仿宋" w:eastAsia="仿宋" w:cs="仿宋"/>
        </w:rPr>
      </w:pPr>
      <w:r>
        <w:rPr>
          <w:rFonts w:hint="eastAsia" w:ascii="仿宋" w:hAnsi="仿宋" w:eastAsia="仿宋" w:cs="仿宋"/>
        </w:rPr>
        <w:t>1.10.2.2 仪表和自控设备的准确度应不受周围环境和安装位置的影响，任何生产过程中存在的正常振动，不应造成测量准确度的变化。仪表和自控设备的零点和重复性应非常稳定，并符合各专用技术规格书中的有关技术要求。</w:t>
      </w:r>
    </w:p>
    <w:p w14:paraId="47840544">
      <w:pPr>
        <w:pStyle w:val="19"/>
        <w:snapToGrid w:val="0"/>
        <w:spacing w:line="360" w:lineRule="auto"/>
        <w:ind w:firstLine="420" w:firstLineChars="200"/>
        <w:rPr>
          <w:rFonts w:ascii="仿宋" w:hAnsi="仿宋" w:eastAsia="仿宋" w:cs="仿宋"/>
        </w:rPr>
      </w:pPr>
      <w:r>
        <w:rPr>
          <w:rFonts w:hint="eastAsia" w:ascii="仿宋" w:hAnsi="仿宋" w:eastAsia="仿宋" w:cs="仿宋"/>
        </w:rPr>
        <w:t>1.10.2.3 项目验收时，投标方提供测量功能设备及计量器具资质合格证书，招标方根据实际情况进行相关复检，复检合格视为合格。</w:t>
      </w:r>
    </w:p>
    <w:p w14:paraId="08AF4D3F">
      <w:pPr>
        <w:pStyle w:val="19"/>
        <w:snapToGrid w:val="0"/>
        <w:spacing w:line="360" w:lineRule="auto"/>
        <w:ind w:firstLine="420" w:firstLineChars="200"/>
        <w:rPr>
          <w:rFonts w:ascii="仿宋" w:hAnsi="仿宋" w:eastAsia="仿宋" w:cs="仿宋"/>
        </w:rPr>
      </w:pPr>
      <w:bookmarkStart w:id="224" w:name="_Toc8799"/>
      <w:bookmarkStart w:id="225" w:name="_Toc28774"/>
      <w:bookmarkStart w:id="226" w:name="_Toc1291"/>
      <w:bookmarkStart w:id="227" w:name="_Toc25422"/>
      <w:bookmarkStart w:id="228" w:name="_Toc31048"/>
      <w:bookmarkStart w:id="229" w:name="_Toc5510"/>
      <w:r>
        <w:rPr>
          <w:rFonts w:hint="eastAsia" w:ascii="仿宋" w:hAnsi="仿宋" w:eastAsia="仿宋" w:cs="仿宋"/>
        </w:rPr>
        <w:t>1.10.3 材质要求: </w:t>
      </w:r>
      <w:bookmarkEnd w:id="224"/>
      <w:bookmarkEnd w:id="225"/>
      <w:bookmarkEnd w:id="226"/>
      <w:bookmarkEnd w:id="227"/>
      <w:bookmarkEnd w:id="228"/>
      <w:bookmarkEnd w:id="229"/>
    </w:p>
    <w:p w14:paraId="73AB740A">
      <w:pPr>
        <w:pStyle w:val="19"/>
        <w:snapToGrid w:val="0"/>
        <w:spacing w:line="360" w:lineRule="auto"/>
        <w:ind w:firstLine="420" w:firstLineChars="200"/>
        <w:rPr>
          <w:rFonts w:ascii="仿宋" w:hAnsi="仿宋" w:eastAsia="仿宋" w:cs="仿宋"/>
        </w:rPr>
      </w:pPr>
      <w:r>
        <w:rPr>
          <w:rFonts w:hint="eastAsia" w:ascii="仿宋" w:hAnsi="仿宋" w:eastAsia="仿宋" w:cs="仿宋"/>
        </w:rPr>
        <w:t>投标人及供货商应保证所提供的仪表和自控设备在材料的使用方无任何设计问题，能够满足或高于实际操作和使用过程中的要求，如压力、温度、粘度、组份等的要求。应保证所有零部件的材质必须符合环境条件如湿度、温度以及防爆、防碰、防磁的要求。</w:t>
      </w:r>
    </w:p>
    <w:p w14:paraId="296F2EE5">
      <w:pPr>
        <w:pStyle w:val="19"/>
        <w:snapToGrid w:val="0"/>
        <w:spacing w:line="360" w:lineRule="auto"/>
        <w:ind w:firstLine="420" w:firstLineChars="200"/>
        <w:rPr>
          <w:rFonts w:hint="eastAsia" w:ascii="仿宋" w:hAnsi="仿宋" w:eastAsia="仿宋" w:cs="仿宋"/>
          <w:highlight w:val="none"/>
          <w:lang w:val="en-US" w:eastAsia="zh-CN"/>
        </w:rPr>
      </w:pPr>
      <w:bookmarkStart w:id="230" w:name="_Hlk69924518"/>
      <w:r>
        <w:rPr>
          <w:rFonts w:hint="eastAsia" w:ascii="仿宋" w:hAnsi="仿宋" w:eastAsia="仿宋" w:cs="仿宋"/>
          <w:highlight w:val="none"/>
          <w:lang w:val="en-US" w:eastAsia="zh-CN"/>
        </w:rPr>
        <w:t>1.11程序图纸要求</w:t>
      </w:r>
    </w:p>
    <w:p w14:paraId="2FC31699">
      <w:pPr>
        <w:pStyle w:val="19"/>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1.11.1 供方必须提供所有设备程序的源代码，包括但不限于 PLC程序、HMI 程序、机器人程序、视觉程序、伺服等。</w:t>
      </w:r>
    </w:p>
    <w:p w14:paraId="28EC094C">
      <w:pPr>
        <w:pStyle w:val="19"/>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1.11.2 供方所提供的程序不得设置任何密码、保护等限制手段，PLC 不得设置修改下载权限，功能块不得设置密码保护。</w:t>
      </w:r>
    </w:p>
    <w:p w14:paraId="481BD6AC">
      <w:pPr>
        <w:pStyle w:val="19"/>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1.11.3 HMI 界面等需要密码保护的程序，供方必须提供所有级别的用户名、密码。</w:t>
      </w:r>
    </w:p>
    <w:p w14:paraId="6B9C084E">
      <w:pPr>
        <w:pStyle w:val="19"/>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1.11.4 供方需在设备入场前提供设备程序源码，HMI 界面各级用户名和密码，并保证与现场程序一致。</w:t>
      </w:r>
    </w:p>
    <w:p w14:paraId="5672B641">
      <w:pPr>
        <w:pStyle w:val="19"/>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1.11.5 供方需在终验收前提供最新的设备程序源码和电气图纸，图纸要求为可编辑原格式（EPLAN、CAD 格式）且与实际接线一致。</w:t>
      </w:r>
    </w:p>
    <w:p w14:paraId="6628819F">
      <w:pPr>
        <w:pStyle w:val="19"/>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1.12接口协议要求</w:t>
      </w:r>
    </w:p>
    <w:p w14:paraId="1B6C1B37">
      <w:pPr>
        <w:pStyle w:val="19"/>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1.12.1 供方免费开放所有通讯接口，包括但不限于以太网、</w:t>
      </w:r>
    </w:p>
    <w:p w14:paraId="16B04F81">
      <w:pPr>
        <w:pStyle w:val="19"/>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RS232、RS485、PROFIBUS、PROFINET、MODBUS 等常见接口，以及设备特有的专用接口。</w:t>
      </w:r>
    </w:p>
    <w:p w14:paraId="63989417">
      <w:pPr>
        <w:pStyle w:val="19"/>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1.12.2 供方免费提供数据交互功能，交互数据包括但不限于实时数据、历史数据、报警信息等。</w:t>
      </w:r>
    </w:p>
    <w:p w14:paraId="4E5B651F">
      <w:pPr>
        <w:pStyle w:val="19"/>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1.12.3 供方在设备入场前提供接口的技术文档和参数说明，包括但不限于接口协议、通讯速率、数据格式等。</w:t>
      </w:r>
    </w:p>
    <w:p w14:paraId="6DC0FD9D">
      <w:pPr>
        <w:pStyle w:val="19"/>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1.12.4 设备使用周期内，供方免费派遣技术人员与甲方调试团队共同进行设备通讯接口的调试工作。</w:t>
      </w:r>
    </w:p>
    <w:p w14:paraId="053387D3">
      <w:pPr>
        <w:pStyle w:val="19"/>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1.13数采要求：</w:t>
      </w:r>
    </w:p>
    <w:p w14:paraId="367B7E8F">
      <w:pPr>
        <w:pStyle w:val="19"/>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1.13.1供方免费提供应用层面系统接口，包括但不限于WebAPI、MQTT、NCLink、OPCUA、OPCDA、OpenProtocol、Socket等，以及第三方接口开发包。</w:t>
      </w:r>
    </w:p>
    <w:p w14:paraId="7AF92985">
      <w:pPr>
        <w:pStyle w:val="19"/>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1.13.2设备预留专用的数据采集模块，包括但不限于TCP/IP网络模块、RS232、RS484等串口模块等。</w:t>
      </w:r>
    </w:p>
    <w:p w14:paraId="01030DDA">
      <w:pPr>
        <w:pStyle w:val="19"/>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1.13.3设备及上位控制系统（工控机）应接入工厂网络，用于数据采集。</w:t>
      </w:r>
    </w:p>
    <w:p w14:paraId="0C47FAF9">
      <w:pPr>
        <w:pStyle w:val="19"/>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1.13.4设备商提供设备源程序，并根据甲方需求，免费提供相对应的参数点址。</w:t>
      </w:r>
    </w:p>
    <w:p w14:paraId="0DD12E12">
      <w:pPr>
        <w:pStyle w:val="19"/>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1.13.5设备商提供数采专用的数据库账号、密码，以及数据存储的表、字段等信息，并提供数据逻辑。</w:t>
      </w:r>
    </w:p>
    <w:p w14:paraId="1421AB61">
      <w:pPr>
        <w:pStyle w:val="19"/>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1.13.6设备数据采集不受设备运行/待机等状态影响。</w:t>
      </w:r>
    </w:p>
    <w:p w14:paraId="6BBD713B">
      <w:pPr>
        <w:pStyle w:val="19"/>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1.13.7设备应输出结构化数据、或者结构化文件（常用文件格式，不应使用专用工具/软件打开文件）；输出的数据及文件不得加密。</w:t>
      </w:r>
    </w:p>
    <w:p w14:paraId="6733B794">
      <w:pPr>
        <w:snapToGrid w:val="0"/>
        <w:spacing w:line="360" w:lineRule="auto"/>
        <w:ind w:firstLine="420" w:firstLineChars="200"/>
        <w:outlineLvl w:val="1"/>
        <w:rPr>
          <w:rFonts w:hint="eastAsia" w:ascii="仿宋" w:hAnsi="仿宋" w:eastAsia="仿宋" w:cs="仿宋"/>
          <w:highlight w:val="none"/>
        </w:rPr>
      </w:pPr>
      <w:r>
        <w:rPr>
          <w:rFonts w:hint="eastAsia" w:ascii="仿宋" w:hAnsi="仿宋" w:eastAsia="仿宋" w:cs="仿宋"/>
          <w:highlight w:val="none"/>
        </w:rPr>
        <w:t>★1.1</w:t>
      </w:r>
      <w:r>
        <w:rPr>
          <w:rFonts w:hint="eastAsia" w:ascii="仿宋" w:hAnsi="仿宋" w:eastAsia="仿宋" w:cs="仿宋"/>
          <w:highlight w:val="none"/>
          <w:lang w:val="en-US" w:eastAsia="zh-CN"/>
        </w:rPr>
        <w:t>4</w:t>
      </w:r>
      <w:r>
        <w:rPr>
          <w:rFonts w:hint="eastAsia" w:ascii="仿宋" w:hAnsi="仿宋" w:eastAsia="仿宋" w:cs="仿宋"/>
          <w:highlight w:val="none"/>
        </w:rPr>
        <w:t>投标方所供设备应按“交钥匙工程”要求。</w:t>
      </w:r>
    </w:p>
    <w:p w14:paraId="0653D097">
      <w:pPr>
        <w:snapToGrid w:val="0"/>
        <w:spacing w:line="360" w:lineRule="auto"/>
        <w:ind w:firstLine="422" w:firstLineChars="200"/>
        <w:outlineLvl w:val="1"/>
        <w:rPr>
          <w:rFonts w:ascii="仿宋" w:hAnsi="仿宋" w:eastAsia="仿宋" w:cs="仿宋"/>
        </w:rPr>
      </w:pPr>
      <w:r>
        <w:rPr>
          <w:rFonts w:hint="eastAsia" w:ascii="仿宋" w:hAnsi="仿宋" w:eastAsia="仿宋" w:cs="仿宋"/>
          <w:b/>
          <w:bCs/>
        </w:rPr>
        <w:t xml:space="preserve">2 </w:t>
      </w:r>
      <w:r>
        <w:rPr>
          <w:rFonts w:hint="eastAsia" w:ascii="仿宋" w:hAnsi="仿宋" w:eastAsia="仿宋" w:cs="仿宋"/>
          <w:lang w:bidi="ar"/>
        </w:rPr>
        <w:t>执行标准</w:t>
      </w:r>
    </w:p>
    <w:bookmarkEnd w:id="230"/>
    <w:p w14:paraId="287025D2">
      <w:pPr>
        <w:spacing w:line="480" w:lineRule="exact"/>
        <w:ind w:firstLine="420" w:firstLineChars="200"/>
        <w:rPr>
          <w:rFonts w:ascii="仿宋" w:hAnsi="仿宋" w:eastAsia="仿宋" w:cs="仿宋"/>
        </w:rPr>
      </w:pPr>
      <w:r>
        <w:rPr>
          <w:rFonts w:hint="eastAsia" w:ascii="仿宋" w:hAnsi="仿宋" w:eastAsia="仿宋" w:cs="仿宋"/>
          <w:lang w:bidi="ar"/>
        </w:rPr>
        <w:t>2.1  招标方此处所列标准仅为涉及的主要标准，而且不保证其为最新版执行标准；投标方应当在投标文件中予以补充和完善。</w:t>
      </w:r>
    </w:p>
    <w:p w14:paraId="307A6EE3">
      <w:pPr>
        <w:spacing w:line="480" w:lineRule="exact"/>
        <w:ind w:firstLine="420" w:firstLineChars="200"/>
        <w:rPr>
          <w:rFonts w:ascii="仿宋" w:hAnsi="仿宋" w:eastAsia="仿宋" w:cs="仿宋"/>
        </w:rPr>
      </w:pPr>
      <w:r>
        <w:rPr>
          <w:rFonts w:hint="eastAsia" w:ascii="仿宋" w:hAnsi="仿宋" w:eastAsia="仿宋" w:cs="仿宋"/>
          <w:lang w:bidi="ar"/>
        </w:rPr>
        <w:t>2.2  投标方需要执行的标准，应当以所供设备通过招标方将来组织的最终验收之日后需要执行的标准。</w:t>
      </w:r>
    </w:p>
    <w:p w14:paraId="407D6DE4">
      <w:pPr>
        <w:spacing w:line="480" w:lineRule="exact"/>
        <w:ind w:firstLine="420" w:firstLineChars="200"/>
        <w:rPr>
          <w:rFonts w:ascii="仿宋" w:hAnsi="仿宋" w:eastAsia="仿宋" w:cs="仿宋"/>
        </w:rPr>
      </w:pPr>
      <w:r>
        <w:rPr>
          <w:rFonts w:hint="eastAsia" w:ascii="仿宋" w:hAnsi="仿宋" w:eastAsia="仿宋" w:cs="仿宋"/>
          <w:lang w:bidi="ar"/>
        </w:rPr>
        <w:t>2.3  涉及的主要标准表（包含但不限于）</w:t>
      </w:r>
    </w:p>
    <w:tbl>
      <w:tblPr>
        <w:tblStyle w:val="36"/>
        <w:tblW w:w="8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348"/>
        <w:gridCol w:w="2081"/>
        <w:gridCol w:w="660"/>
      </w:tblGrid>
      <w:tr w14:paraId="3944B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tcPr>
          <w:p w14:paraId="4F7365CD">
            <w:pPr>
              <w:spacing w:line="360" w:lineRule="exact"/>
              <w:jc w:val="center"/>
              <w:rPr>
                <w:rFonts w:ascii="仿宋" w:hAnsi="仿宋" w:eastAsia="仿宋" w:cs="仿宋"/>
                <w:sz w:val="21"/>
              </w:rPr>
            </w:pPr>
            <w:r>
              <w:rPr>
                <w:rFonts w:hint="eastAsia" w:ascii="仿宋" w:hAnsi="仿宋" w:eastAsia="仿宋" w:cs="仿宋"/>
                <w:sz w:val="21"/>
                <w:lang w:bidi="ar"/>
              </w:rPr>
              <w:t>序号</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2B7F5063">
            <w:pPr>
              <w:spacing w:line="360" w:lineRule="exact"/>
              <w:jc w:val="center"/>
              <w:rPr>
                <w:rFonts w:ascii="仿宋" w:hAnsi="仿宋" w:eastAsia="仿宋" w:cs="仿宋"/>
                <w:sz w:val="21"/>
              </w:rPr>
            </w:pPr>
            <w:r>
              <w:rPr>
                <w:rFonts w:hint="eastAsia" w:ascii="仿宋" w:hAnsi="仿宋" w:eastAsia="仿宋" w:cs="仿宋"/>
                <w:sz w:val="21"/>
                <w:lang w:bidi="ar"/>
              </w:rPr>
              <w:t>标准名称</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696A1DBD">
            <w:pPr>
              <w:spacing w:line="360" w:lineRule="exact"/>
              <w:jc w:val="center"/>
              <w:rPr>
                <w:rFonts w:ascii="仿宋" w:hAnsi="仿宋" w:eastAsia="仿宋" w:cs="仿宋"/>
                <w:sz w:val="21"/>
              </w:rPr>
            </w:pPr>
            <w:r>
              <w:rPr>
                <w:rFonts w:hint="eastAsia" w:ascii="仿宋" w:hAnsi="仿宋" w:eastAsia="仿宋" w:cs="仿宋"/>
                <w:sz w:val="21"/>
                <w:lang w:bidi="ar"/>
              </w:rPr>
              <w:t>标准编号</w:t>
            </w:r>
          </w:p>
        </w:tc>
        <w:tc>
          <w:tcPr>
            <w:tcW w:w="660" w:type="dxa"/>
            <w:tcBorders>
              <w:top w:val="single" w:color="auto" w:sz="4" w:space="0"/>
              <w:left w:val="single" w:color="auto" w:sz="4" w:space="0"/>
              <w:bottom w:val="single" w:color="auto" w:sz="4" w:space="0"/>
              <w:right w:val="single" w:color="auto" w:sz="4" w:space="0"/>
            </w:tcBorders>
            <w:shd w:val="clear" w:color="auto" w:fill="auto"/>
          </w:tcPr>
          <w:p w14:paraId="50EBE9A2">
            <w:pPr>
              <w:spacing w:line="360" w:lineRule="exact"/>
              <w:jc w:val="center"/>
              <w:rPr>
                <w:rFonts w:ascii="仿宋" w:hAnsi="仿宋" w:eastAsia="仿宋" w:cs="仿宋"/>
                <w:sz w:val="21"/>
              </w:rPr>
            </w:pPr>
            <w:r>
              <w:rPr>
                <w:rFonts w:hint="eastAsia" w:ascii="仿宋" w:hAnsi="仿宋" w:eastAsia="仿宋" w:cs="仿宋"/>
                <w:sz w:val="21"/>
                <w:lang w:bidi="ar"/>
              </w:rPr>
              <w:t>备注</w:t>
            </w:r>
          </w:p>
        </w:tc>
      </w:tr>
      <w:tr w14:paraId="6EA2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177BA92">
            <w:pPr>
              <w:spacing w:line="360" w:lineRule="exact"/>
              <w:jc w:val="center"/>
              <w:rPr>
                <w:rFonts w:ascii="仿宋" w:hAnsi="仿宋" w:eastAsia="仿宋" w:cs="仿宋"/>
                <w:sz w:val="21"/>
                <w:szCs w:val="21"/>
              </w:rPr>
            </w:pPr>
            <w:r>
              <w:rPr>
                <w:rFonts w:hint="eastAsia" w:ascii="仿宋" w:hAnsi="仿宋" w:eastAsia="仿宋" w:cs="仿宋"/>
                <w:sz w:val="21"/>
                <w:szCs w:val="21"/>
                <w:lang w:bidi="ar"/>
              </w:rPr>
              <w:t>1</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562923CF">
            <w:pPr>
              <w:spacing w:line="360" w:lineRule="exact"/>
              <w:rPr>
                <w:rFonts w:ascii="仿宋" w:hAnsi="仿宋" w:eastAsia="仿宋" w:cs="仿宋"/>
                <w:sz w:val="21"/>
                <w:szCs w:val="21"/>
              </w:rPr>
            </w:pPr>
            <w:r>
              <w:rPr>
                <w:rFonts w:hint="eastAsia" w:ascii="仿宋" w:hAnsi="仿宋" w:eastAsia="仿宋" w:cs="仿宋"/>
                <w:sz w:val="21"/>
                <w:szCs w:val="21"/>
                <w:lang w:bidi="ar"/>
              </w:rPr>
              <w:t>电工成套装置中的导线颜色</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16D75F8F">
            <w:pPr>
              <w:spacing w:line="360" w:lineRule="exact"/>
              <w:rPr>
                <w:rFonts w:ascii="仿宋" w:hAnsi="仿宋" w:eastAsia="仿宋" w:cs="仿宋"/>
                <w:sz w:val="21"/>
                <w:szCs w:val="21"/>
              </w:rPr>
            </w:pPr>
            <w:r>
              <w:rPr>
                <w:rFonts w:hint="eastAsia" w:ascii="仿宋" w:hAnsi="仿宋" w:eastAsia="仿宋" w:cs="仿宋"/>
                <w:sz w:val="21"/>
                <w:szCs w:val="21"/>
                <w:lang w:bidi="ar"/>
              </w:rPr>
              <w:t>GB/T2681-81</w:t>
            </w:r>
          </w:p>
        </w:tc>
        <w:tc>
          <w:tcPr>
            <w:tcW w:w="660" w:type="dxa"/>
            <w:vMerge w:val="restart"/>
            <w:tcBorders>
              <w:top w:val="single" w:color="auto" w:sz="4" w:space="0"/>
              <w:left w:val="single" w:color="auto" w:sz="4" w:space="0"/>
              <w:bottom w:val="single" w:color="auto" w:sz="4" w:space="0"/>
              <w:right w:val="single" w:color="auto" w:sz="4" w:space="0"/>
            </w:tcBorders>
            <w:shd w:val="clear" w:color="auto" w:fill="auto"/>
          </w:tcPr>
          <w:p w14:paraId="5A25B214">
            <w:pPr>
              <w:spacing w:line="360" w:lineRule="exact"/>
              <w:rPr>
                <w:rFonts w:ascii="仿宋" w:hAnsi="仿宋" w:eastAsia="仿宋" w:cs="仿宋"/>
                <w:color w:val="FF0000"/>
                <w:sz w:val="21"/>
                <w:szCs w:val="21"/>
              </w:rPr>
            </w:pPr>
          </w:p>
        </w:tc>
      </w:tr>
      <w:tr w14:paraId="07662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02679BB">
            <w:pPr>
              <w:spacing w:line="360" w:lineRule="exact"/>
              <w:jc w:val="center"/>
              <w:rPr>
                <w:rFonts w:hint="eastAsia" w:ascii="仿宋" w:hAnsi="仿宋" w:eastAsia="仿宋" w:cs="仿宋"/>
                <w:sz w:val="21"/>
                <w:szCs w:val="21"/>
                <w:lang w:bidi="ar"/>
              </w:rPr>
            </w:pPr>
            <w:r>
              <w:rPr>
                <w:rFonts w:hint="eastAsia" w:ascii="仿宋" w:hAnsi="仿宋" w:eastAsia="仿宋" w:cs="仿宋"/>
                <w:sz w:val="21"/>
                <w:szCs w:val="21"/>
                <w:lang w:bidi="ar"/>
              </w:rPr>
              <w:t>2</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56F2CF83">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电工成套装置中的指示灯和按钮的颜色</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2A28391E">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GB/T2682-81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19B9486A">
            <w:pPr>
              <w:rPr>
                <w:rFonts w:ascii="仿宋" w:hAnsi="仿宋" w:eastAsia="仿宋" w:cs="仿宋"/>
                <w:sz w:val="20"/>
                <w:szCs w:val="20"/>
              </w:rPr>
            </w:pPr>
          </w:p>
        </w:tc>
      </w:tr>
      <w:tr w14:paraId="2DC50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EA9A37B">
            <w:pPr>
              <w:spacing w:line="360" w:lineRule="exact"/>
              <w:jc w:val="center"/>
              <w:rPr>
                <w:rFonts w:hint="eastAsia" w:ascii="仿宋" w:hAnsi="仿宋" w:eastAsia="仿宋" w:cs="仿宋"/>
                <w:sz w:val="21"/>
                <w:szCs w:val="21"/>
                <w:lang w:bidi="ar"/>
              </w:rPr>
            </w:pPr>
            <w:r>
              <w:rPr>
                <w:rFonts w:hint="eastAsia" w:ascii="仿宋" w:hAnsi="仿宋" w:eastAsia="仿宋" w:cs="仿宋"/>
                <w:sz w:val="21"/>
                <w:szCs w:val="21"/>
                <w:lang w:bidi="ar"/>
              </w:rPr>
              <w:t>3</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43FF14A9">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电能质量公用电网谐波</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51317715">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GB/T14549-93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0836C38B">
            <w:pPr>
              <w:rPr>
                <w:rFonts w:ascii="仿宋" w:hAnsi="仿宋" w:eastAsia="仿宋" w:cs="仿宋"/>
                <w:sz w:val="20"/>
                <w:szCs w:val="20"/>
              </w:rPr>
            </w:pPr>
          </w:p>
        </w:tc>
      </w:tr>
      <w:tr w14:paraId="74A7D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9B16E58">
            <w:pPr>
              <w:spacing w:line="360" w:lineRule="exact"/>
              <w:jc w:val="center"/>
              <w:rPr>
                <w:rFonts w:hint="eastAsia" w:ascii="仿宋" w:hAnsi="仿宋" w:eastAsia="仿宋" w:cs="仿宋"/>
                <w:sz w:val="21"/>
                <w:szCs w:val="21"/>
                <w:lang w:bidi="ar"/>
              </w:rPr>
            </w:pPr>
            <w:r>
              <w:rPr>
                <w:rFonts w:hint="eastAsia" w:ascii="仿宋" w:hAnsi="仿宋" w:eastAsia="仿宋" w:cs="仿宋"/>
                <w:sz w:val="21"/>
                <w:szCs w:val="21"/>
                <w:lang w:bidi="ar"/>
              </w:rPr>
              <w:t>4</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4E7258C5">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金属切削机床安全防护通用技术条件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1B6D2A0A">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GB15760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119D822A">
            <w:pPr>
              <w:rPr>
                <w:rFonts w:ascii="仿宋" w:hAnsi="仿宋" w:eastAsia="仿宋" w:cs="仿宋"/>
                <w:sz w:val="20"/>
                <w:szCs w:val="20"/>
              </w:rPr>
            </w:pPr>
          </w:p>
        </w:tc>
      </w:tr>
      <w:tr w14:paraId="5F7F8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408737E">
            <w:pPr>
              <w:spacing w:line="360" w:lineRule="exact"/>
              <w:jc w:val="center"/>
              <w:rPr>
                <w:rFonts w:hint="eastAsia" w:ascii="仿宋" w:hAnsi="仿宋" w:eastAsia="仿宋" w:cs="仿宋"/>
                <w:sz w:val="21"/>
                <w:szCs w:val="21"/>
                <w:lang w:bidi="ar"/>
              </w:rPr>
            </w:pPr>
            <w:r>
              <w:rPr>
                <w:rFonts w:hint="eastAsia" w:ascii="仿宋" w:hAnsi="仿宋" w:eastAsia="仿宋" w:cs="仿宋"/>
                <w:sz w:val="21"/>
                <w:szCs w:val="21"/>
                <w:lang w:bidi="ar"/>
              </w:rPr>
              <w:t>5</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2439BF24">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金属切削机床通用技术条件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4C135878">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GB/T9061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174B847B">
            <w:pPr>
              <w:rPr>
                <w:rFonts w:ascii="仿宋" w:hAnsi="仿宋" w:eastAsia="仿宋" w:cs="仿宋"/>
                <w:sz w:val="20"/>
                <w:szCs w:val="20"/>
              </w:rPr>
            </w:pPr>
          </w:p>
        </w:tc>
      </w:tr>
      <w:tr w14:paraId="685B2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5146FD3">
            <w:pPr>
              <w:spacing w:line="360" w:lineRule="exact"/>
              <w:jc w:val="center"/>
              <w:rPr>
                <w:rFonts w:hint="eastAsia" w:ascii="仿宋" w:hAnsi="仿宋" w:eastAsia="仿宋" w:cs="仿宋"/>
                <w:sz w:val="21"/>
                <w:szCs w:val="21"/>
                <w:lang w:bidi="ar"/>
              </w:rPr>
            </w:pPr>
            <w:r>
              <w:rPr>
                <w:rFonts w:hint="eastAsia" w:ascii="仿宋" w:hAnsi="仿宋" w:eastAsia="仿宋" w:cs="仿宋"/>
                <w:sz w:val="21"/>
                <w:szCs w:val="21"/>
                <w:lang w:bidi="ar"/>
              </w:rPr>
              <w:t>6</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199E02F6">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机床电气通用技术条件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778BDBF1">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GB5226</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53085E72">
            <w:pPr>
              <w:rPr>
                <w:rFonts w:ascii="仿宋" w:hAnsi="仿宋" w:eastAsia="仿宋" w:cs="仿宋"/>
                <w:sz w:val="20"/>
                <w:szCs w:val="20"/>
              </w:rPr>
            </w:pPr>
          </w:p>
        </w:tc>
      </w:tr>
      <w:tr w14:paraId="299DF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6CA1138">
            <w:pPr>
              <w:spacing w:line="360" w:lineRule="exac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7</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2F9ED080">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fldChar w:fldCharType="begin"/>
            </w:r>
            <w:r>
              <w:rPr>
                <w:rFonts w:hint="eastAsia" w:ascii="仿宋" w:hAnsi="仿宋" w:eastAsia="仿宋" w:cs="仿宋"/>
                <w:sz w:val="21"/>
                <w:szCs w:val="21"/>
                <w:highlight w:val="none"/>
                <w:lang w:bidi="ar"/>
              </w:rPr>
              <w:instrText xml:space="preserve"> HYPERLINK "http://wenku.baidu.com/view/db95ac1014791711cc791788.html" \t "F:/工艺工程部/项目/2021年固定资产投资/工艺院批复项目/标书/_blank" </w:instrText>
            </w:r>
            <w:r>
              <w:rPr>
                <w:rFonts w:hint="eastAsia" w:ascii="仿宋" w:hAnsi="仿宋" w:eastAsia="仿宋" w:cs="仿宋"/>
                <w:sz w:val="21"/>
                <w:szCs w:val="21"/>
                <w:highlight w:val="none"/>
                <w:lang w:bidi="ar"/>
              </w:rPr>
              <w:fldChar w:fldCharType="separate"/>
            </w:r>
            <w:r>
              <w:rPr>
                <w:rFonts w:hint="eastAsia" w:ascii="仿宋" w:hAnsi="仿宋" w:eastAsia="仿宋" w:cs="仿宋"/>
                <w:sz w:val="21"/>
                <w:szCs w:val="21"/>
                <w:highlight w:val="none"/>
                <w:lang w:bidi="ar"/>
              </w:rPr>
              <w:t>机械设备防护罩安全标准</w:t>
            </w:r>
            <w:r>
              <w:rPr>
                <w:rFonts w:hint="eastAsia" w:ascii="仿宋" w:hAnsi="仿宋" w:eastAsia="仿宋" w:cs="仿宋"/>
                <w:sz w:val="21"/>
                <w:szCs w:val="21"/>
                <w:highlight w:val="none"/>
                <w:lang w:bidi="ar"/>
              </w:rPr>
              <w:fldChar w:fldCharType="end"/>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1A309809">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GB8196-2003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4A29EB1">
            <w:pPr>
              <w:rPr>
                <w:rFonts w:ascii="仿宋" w:hAnsi="仿宋" w:eastAsia="仿宋" w:cs="仿宋"/>
                <w:sz w:val="20"/>
                <w:szCs w:val="20"/>
                <w:highlight w:val="none"/>
              </w:rPr>
            </w:pPr>
          </w:p>
        </w:tc>
      </w:tr>
      <w:tr w14:paraId="26F7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FD4C4D4">
            <w:pPr>
              <w:spacing w:line="360" w:lineRule="exac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8</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2A788C48">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防止上下肢触及危险区的安全距离</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4463DD2C">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w:t>
            </w:r>
            <w:r>
              <w:rPr>
                <w:rFonts w:hint="eastAsia" w:ascii="仿宋" w:hAnsi="仿宋" w:eastAsia="仿宋" w:cs="仿宋"/>
                <w:sz w:val="21"/>
                <w:szCs w:val="21"/>
                <w:highlight w:val="none"/>
                <w:lang w:val="en-US" w:eastAsia="zh-CN" w:bidi="ar"/>
              </w:rPr>
              <w:t>/T</w:t>
            </w:r>
            <w:r>
              <w:rPr>
                <w:rFonts w:hint="eastAsia" w:ascii="仿宋" w:hAnsi="仿宋" w:eastAsia="仿宋" w:cs="仿宋"/>
                <w:sz w:val="21"/>
                <w:szCs w:val="21"/>
                <w:highlight w:val="none"/>
                <w:lang w:bidi="ar"/>
              </w:rPr>
              <w:t>23821-20</w:t>
            </w:r>
            <w:r>
              <w:rPr>
                <w:rFonts w:hint="eastAsia" w:ascii="仿宋" w:hAnsi="仿宋" w:eastAsia="仿宋" w:cs="仿宋"/>
                <w:sz w:val="21"/>
                <w:szCs w:val="21"/>
                <w:highlight w:val="none"/>
                <w:lang w:val="en-US" w:eastAsia="zh-CN" w:bidi="ar"/>
              </w:rPr>
              <w:t>22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48DAFBE0">
            <w:pPr>
              <w:rPr>
                <w:rFonts w:ascii="仿宋" w:hAnsi="仿宋" w:eastAsia="仿宋" w:cs="仿宋"/>
                <w:sz w:val="20"/>
                <w:szCs w:val="20"/>
                <w:highlight w:val="none"/>
              </w:rPr>
            </w:pPr>
          </w:p>
        </w:tc>
      </w:tr>
      <w:tr w14:paraId="11CB2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3C6DD56">
            <w:pPr>
              <w:spacing w:line="360" w:lineRule="exact"/>
              <w:jc w:val="center"/>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9</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5257935E">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机械安全 双手操纵装置 设计和选择原则</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105E023A">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GB</w:t>
            </w:r>
            <w:r>
              <w:rPr>
                <w:rFonts w:hint="eastAsia" w:ascii="仿宋" w:hAnsi="仿宋" w:eastAsia="仿宋" w:cs="仿宋"/>
                <w:sz w:val="21"/>
                <w:szCs w:val="21"/>
                <w:highlight w:val="none"/>
                <w:lang w:val="en-US" w:eastAsia="zh-CN" w:bidi="ar"/>
              </w:rPr>
              <w:t>/T19671</w:t>
            </w:r>
            <w:r>
              <w:rPr>
                <w:rFonts w:hint="eastAsia" w:ascii="仿宋" w:hAnsi="仿宋" w:eastAsia="仿宋" w:cs="仿宋"/>
                <w:sz w:val="21"/>
                <w:szCs w:val="21"/>
                <w:highlight w:val="none"/>
                <w:lang w:bidi="ar"/>
              </w:rPr>
              <w:t>-20</w:t>
            </w:r>
            <w:r>
              <w:rPr>
                <w:rFonts w:hint="eastAsia" w:ascii="仿宋" w:hAnsi="仿宋" w:eastAsia="仿宋" w:cs="仿宋"/>
                <w:sz w:val="21"/>
                <w:szCs w:val="21"/>
                <w:highlight w:val="none"/>
                <w:lang w:val="en-US" w:eastAsia="zh-CN" w:bidi="ar"/>
              </w:rPr>
              <w:t>22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5989D670">
            <w:pPr>
              <w:rPr>
                <w:rFonts w:ascii="仿宋" w:hAnsi="仿宋" w:eastAsia="仿宋" w:cs="仿宋"/>
                <w:sz w:val="20"/>
                <w:szCs w:val="20"/>
                <w:highlight w:val="none"/>
              </w:rPr>
            </w:pPr>
          </w:p>
        </w:tc>
      </w:tr>
      <w:tr w14:paraId="22ED4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16491BC">
            <w:pPr>
              <w:spacing w:line="360" w:lineRule="exact"/>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10</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28C782EB">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机械安全 安全防护的实施准则</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18B84DA8">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GB</w:t>
            </w:r>
            <w:r>
              <w:rPr>
                <w:rFonts w:hint="eastAsia" w:ascii="仿宋" w:hAnsi="仿宋" w:eastAsia="仿宋" w:cs="仿宋"/>
                <w:sz w:val="21"/>
                <w:szCs w:val="21"/>
                <w:highlight w:val="none"/>
                <w:lang w:val="en-US" w:eastAsia="zh-CN" w:bidi="ar"/>
              </w:rPr>
              <w:t>/T30574</w:t>
            </w:r>
            <w:r>
              <w:rPr>
                <w:rFonts w:hint="eastAsia" w:ascii="仿宋" w:hAnsi="仿宋" w:eastAsia="仿宋" w:cs="仿宋"/>
                <w:sz w:val="21"/>
                <w:szCs w:val="21"/>
                <w:highlight w:val="none"/>
                <w:lang w:bidi="ar"/>
              </w:rPr>
              <w:t>-20</w:t>
            </w:r>
            <w:r>
              <w:rPr>
                <w:rFonts w:hint="eastAsia" w:ascii="仿宋" w:hAnsi="仿宋" w:eastAsia="仿宋" w:cs="仿宋"/>
                <w:sz w:val="21"/>
                <w:szCs w:val="21"/>
                <w:highlight w:val="none"/>
                <w:lang w:val="en-US" w:eastAsia="zh-CN" w:bidi="ar"/>
              </w:rPr>
              <w:t>21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4B7A2484">
            <w:pPr>
              <w:rPr>
                <w:rFonts w:ascii="仿宋" w:hAnsi="仿宋" w:eastAsia="仿宋" w:cs="仿宋"/>
                <w:sz w:val="20"/>
                <w:szCs w:val="20"/>
                <w:highlight w:val="none"/>
              </w:rPr>
            </w:pPr>
          </w:p>
        </w:tc>
      </w:tr>
      <w:tr w14:paraId="3077C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18942A8">
            <w:pPr>
              <w:spacing w:line="360" w:lineRule="exact"/>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11</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47A2AE0E">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机械安全 接近机械的固定设施 </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7CAD7654">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GB/T 17888-2020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645CE40">
            <w:pPr>
              <w:rPr>
                <w:rFonts w:ascii="仿宋" w:hAnsi="仿宋" w:eastAsia="仿宋" w:cs="仿宋"/>
                <w:sz w:val="20"/>
                <w:szCs w:val="20"/>
                <w:highlight w:val="none"/>
              </w:rPr>
            </w:pPr>
          </w:p>
        </w:tc>
      </w:tr>
      <w:tr w14:paraId="75A78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F81D1E5">
            <w:pPr>
              <w:spacing w:line="360" w:lineRule="exact"/>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12</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00F76DA1">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《工业企业设计</w:t>
            </w:r>
            <w:r>
              <w:rPr>
                <w:rFonts w:hint="eastAsia" w:ascii="仿宋" w:hAnsi="仿宋" w:eastAsia="仿宋" w:cs="仿宋"/>
                <w:sz w:val="21"/>
                <w:szCs w:val="21"/>
                <w:highlight w:val="none"/>
                <w:lang w:eastAsia="zh-CN" w:bidi="ar"/>
              </w:rPr>
              <w:t>卫生标准</w:t>
            </w:r>
            <w:r>
              <w:rPr>
                <w:rFonts w:hint="eastAsia" w:ascii="仿宋" w:hAnsi="仿宋" w:eastAsia="仿宋" w:cs="仿宋"/>
                <w:sz w:val="21"/>
                <w:szCs w:val="21"/>
                <w:highlight w:val="none"/>
                <w:lang w:bidi="ar"/>
              </w:rPr>
              <w:t>》</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13088C23">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GB</w:t>
            </w:r>
            <w:r>
              <w:rPr>
                <w:rFonts w:hint="eastAsia" w:ascii="仿宋" w:hAnsi="仿宋" w:eastAsia="仿宋" w:cs="仿宋"/>
                <w:sz w:val="21"/>
                <w:szCs w:val="21"/>
                <w:highlight w:val="none"/>
                <w:lang w:val="en-US" w:eastAsia="zh-CN" w:bidi="ar"/>
              </w:rPr>
              <w:t>Z 1</w:t>
            </w:r>
            <w:r>
              <w:rPr>
                <w:rFonts w:hint="eastAsia" w:ascii="仿宋" w:hAnsi="仿宋" w:eastAsia="仿宋" w:cs="仿宋"/>
                <w:sz w:val="21"/>
                <w:szCs w:val="21"/>
                <w:highlight w:val="none"/>
                <w:lang w:bidi="ar"/>
              </w:rPr>
              <w:t>-</w:t>
            </w:r>
            <w:r>
              <w:rPr>
                <w:rFonts w:hint="eastAsia" w:ascii="仿宋" w:hAnsi="仿宋" w:eastAsia="仿宋" w:cs="仿宋"/>
                <w:sz w:val="21"/>
                <w:szCs w:val="21"/>
                <w:highlight w:val="none"/>
                <w:lang w:val="en-US" w:eastAsia="zh-CN" w:bidi="ar"/>
              </w:rPr>
              <w:t>2002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78EDE864">
            <w:pPr>
              <w:rPr>
                <w:rFonts w:ascii="仿宋" w:hAnsi="仿宋" w:eastAsia="仿宋" w:cs="仿宋"/>
                <w:sz w:val="20"/>
                <w:szCs w:val="20"/>
                <w:highlight w:val="none"/>
              </w:rPr>
            </w:pPr>
          </w:p>
        </w:tc>
      </w:tr>
      <w:tr w14:paraId="5F008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F5F9360">
            <w:pPr>
              <w:spacing w:line="360" w:lineRule="exact"/>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13</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5FFE02E8">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《工业企业噪声控制设计规范》</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0CF14647">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GB</w:t>
            </w:r>
            <w:r>
              <w:rPr>
                <w:rFonts w:hint="eastAsia" w:ascii="仿宋" w:hAnsi="仿宋" w:eastAsia="仿宋" w:cs="仿宋"/>
                <w:sz w:val="21"/>
                <w:szCs w:val="21"/>
                <w:highlight w:val="none"/>
                <w:lang w:val="en-US" w:eastAsia="zh-CN" w:bidi="ar"/>
              </w:rPr>
              <w:t>/T500</w:t>
            </w:r>
            <w:r>
              <w:rPr>
                <w:rFonts w:hint="eastAsia" w:ascii="仿宋" w:hAnsi="仿宋" w:eastAsia="仿宋" w:cs="仿宋"/>
                <w:sz w:val="21"/>
                <w:szCs w:val="21"/>
                <w:highlight w:val="none"/>
                <w:lang w:bidi="ar"/>
              </w:rPr>
              <w:t>87-</w:t>
            </w:r>
            <w:r>
              <w:rPr>
                <w:rFonts w:hint="eastAsia" w:ascii="仿宋" w:hAnsi="仿宋" w:eastAsia="仿宋" w:cs="仿宋"/>
                <w:sz w:val="21"/>
                <w:szCs w:val="21"/>
                <w:highlight w:val="none"/>
                <w:lang w:val="en-US" w:eastAsia="zh-CN" w:bidi="ar"/>
              </w:rPr>
              <w:t>2013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2FF71412">
            <w:pPr>
              <w:rPr>
                <w:rFonts w:ascii="仿宋" w:hAnsi="仿宋" w:eastAsia="仿宋" w:cs="仿宋"/>
                <w:sz w:val="20"/>
                <w:szCs w:val="20"/>
                <w:highlight w:val="none"/>
              </w:rPr>
            </w:pPr>
          </w:p>
        </w:tc>
      </w:tr>
      <w:tr w14:paraId="273C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F416023">
            <w:pPr>
              <w:spacing w:line="360" w:lineRule="exact"/>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14</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5E62059D">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《工业企业噪声测量规范》</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376677B7">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GBJ122-88</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D0E495F">
            <w:pPr>
              <w:rPr>
                <w:rFonts w:ascii="仿宋" w:hAnsi="仿宋" w:eastAsia="仿宋" w:cs="仿宋"/>
                <w:sz w:val="20"/>
                <w:szCs w:val="20"/>
                <w:highlight w:val="none"/>
              </w:rPr>
            </w:pPr>
          </w:p>
        </w:tc>
      </w:tr>
      <w:tr w14:paraId="7D38F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33BC7E4">
            <w:pPr>
              <w:spacing w:line="360" w:lineRule="exact"/>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15</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45D1CD5D">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工作场所物理因素测量</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04639926">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GBZ/T189.1-2007</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3A72B8C7">
            <w:pPr>
              <w:rPr>
                <w:rFonts w:ascii="仿宋" w:hAnsi="仿宋" w:eastAsia="仿宋" w:cs="仿宋"/>
                <w:sz w:val="20"/>
                <w:szCs w:val="20"/>
                <w:highlight w:val="none"/>
              </w:rPr>
            </w:pPr>
          </w:p>
        </w:tc>
      </w:tr>
      <w:tr w14:paraId="3D071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CAF9ADC">
            <w:pPr>
              <w:spacing w:line="360" w:lineRule="exact"/>
              <w:jc w:val="center"/>
              <w:rPr>
                <w:rFonts w:hint="eastAsia" w:ascii="仿宋" w:hAnsi="仿宋" w:eastAsia="仿宋" w:cs="仿宋"/>
                <w:sz w:val="21"/>
                <w:szCs w:val="21"/>
                <w:lang w:eastAsia="zh-CN" w:bidi="ar"/>
              </w:rPr>
            </w:pPr>
            <w:r>
              <w:rPr>
                <w:rFonts w:hint="eastAsia" w:ascii="仿宋" w:hAnsi="仿宋" w:eastAsia="仿宋" w:cs="仿宋"/>
                <w:sz w:val="21"/>
                <w:szCs w:val="21"/>
                <w:lang w:bidi="ar"/>
              </w:rPr>
              <w:t>1</w:t>
            </w:r>
            <w:r>
              <w:rPr>
                <w:rFonts w:hint="eastAsia" w:ascii="仿宋" w:hAnsi="仿宋" w:eastAsia="仿宋" w:cs="仿宋"/>
                <w:sz w:val="21"/>
                <w:szCs w:val="21"/>
                <w:lang w:val="en-US" w:eastAsia="zh-CN" w:bidi="ar"/>
              </w:rPr>
              <w:t>6</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4A19A56D">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高耗能落后机电设备（产品）淘汰目录（第二批）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0FDE1BD1">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9C7D013">
            <w:pPr>
              <w:rPr>
                <w:rFonts w:ascii="仿宋" w:hAnsi="仿宋" w:eastAsia="仿宋" w:cs="仿宋"/>
                <w:sz w:val="20"/>
                <w:szCs w:val="20"/>
              </w:rPr>
            </w:pPr>
          </w:p>
        </w:tc>
      </w:tr>
      <w:tr w14:paraId="0C0E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6DB4CA3">
            <w:pPr>
              <w:spacing w:line="360" w:lineRule="exact"/>
              <w:jc w:val="center"/>
              <w:rPr>
                <w:rFonts w:hint="default" w:ascii="仿宋" w:hAnsi="仿宋" w:eastAsia="仿宋" w:cs="仿宋"/>
                <w:sz w:val="21"/>
                <w:szCs w:val="21"/>
                <w:lang w:val="en-US" w:eastAsia="zh-CN" w:bidi="ar"/>
              </w:rPr>
            </w:pPr>
            <w:r>
              <w:rPr>
                <w:rFonts w:hint="eastAsia" w:ascii="仿宋" w:hAnsi="仿宋" w:eastAsia="仿宋" w:cs="仿宋"/>
                <w:sz w:val="21"/>
                <w:szCs w:val="21"/>
                <w:lang w:val="en-US" w:eastAsia="zh-CN" w:bidi="ar"/>
              </w:rPr>
              <w:t>17</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6C27D29A">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高耗能落后机电设备（产品）淘汰目录（第三批）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191EB8BF">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78BA5879">
            <w:pPr>
              <w:rPr>
                <w:rFonts w:ascii="仿宋" w:hAnsi="仿宋" w:eastAsia="仿宋" w:cs="仿宋"/>
                <w:sz w:val="20"/>
                <w:szCs w:val="20"/>
              </w:rPr>
            </w:pPr>
          </w:p>
        </w:tc>
      </w:tr>
      <w:tr w14:paraId="623DE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E86BBD4">
            <w:pPr>
              <w:spacing w:line="360" w:lineRule="exact"/>
              <w:jc w:val="center"/>
              <w:rPr>
                <w:rFonts w:hint="eastAsia" w:ascii="仿宋" w:hAnsi="仿宋" w:eastAsia="仿宋" w:cs="仿宋"/>
                <w:sz w:val="21"/>
                <w:szCs w:val="21"/>
                <w:lang w:eastAsia="zh-CN" w:bidi="ar"/>
              </w:rPr>
            </w:pPr>
            <w:r>
              <w:rPr>
                <w:rFonts w:hint="eastAsia" w:ascii="仿宋" w:hAnsi="仿宋" w:eastAsia="仿宋" w:cs="仿宋"/>
                <w:sz w:val="21"/>
                <w:szCs w:val="21"/>
                <w:lang w:bidi="ar"/>
              </w:rPr>
              <w:t>1</w:t>
            </w:r>
            <w:r>
              <w:rPr>
                <w:rFonts w:hint="eastAsia" w:ascii="仿宋" w:hAnsi="仿宋" w:eastAsia="仿宋" w:cs="仿宋"/>
                <w:sz w:val="21"/>
                <w:szCs w:val="21"/>
                <w:lang w:val="en-US" w:eastAsia="zh-CN" w:bidi="ar"/>
              </w:rPr>
              <w:t>8</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217FC45F">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高耗能落后机电设备（产品）淘汰目录（第一批）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33EF7317">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139C0E68">
            <w:pPr>
              <w:rPr>
                <w:rFonts w:ascii="仿宋" w:hAnsi="仿宋" w:eastAsia="仿宋" w:cs="仿宋"/>
                <w:sz w:val="20"/>
                <w:szCs w:val="20"/>
              </w:rPr>
            </w:pPr>
          </w:p>
        </w:tc>
      </w:tr>
      <w:tr w14:paraId="0C8A0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678886E">
            <w:pPr>
              <w:spacing w:line="360" w:lineRule="exact"/>
              <w:jc w:val="center"/>
              <w:rPr>
                <w:rFonts w:hint="eastAsia" w:ascii="仿宋" w:hAnsi="仿宋" w:eastAsia="仿宋" w:cs="仿宋"/>
                <w:kern w:val="2"/>
                <w:sz w:val="21"/>
                <w:szCs w:val="21"/>
                <w:lang w:val="en-US" w:eastAsia="zh-CN" w:bidi="ar"/>
              </w:rPr>
            </w:pPr>
            <w:r>
              <w:rPr>
                <w:rFonts w:hint="eastAsia" w:ascii="仿宋" w:hAnsi="仿宋" w:eastAsia="仿宋" w:cs="仿宋"/>
                <w:sz w:val="21"/>
                <w:szCs w:val="21"/>
                <w:lang w:bidi="ar"/>
              </w:rPr>
              <w:t>1</w:t>
            </w:r>
            <w:r>
              <w:rPr>
                <w:rFonts w:hint="eastAsia" w:ascii="仿宋" w:hAnsi="仿宋" w:eastAsia="仿宋" w:cs="仿宋"/>
                <w:sz w:val="21"/>
                <w:szCs w:val="21"/>
                <w:lang w:val="en-US" w:eastAsia="zh-CN" w:bidi="ar"/>
              </w:rPr>
              <w:t>9</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50858F9E">
            <w:pPr>
              <w:spacing w:line="360" w:lineRule="exact"/>
              <w:rPr>
                <w:rFonts w:hint="eastAsia" w:ascii="仿宋" w:hAnsi="仿宋" w:eastAsia="仿宋" w:cs="仿宋"/>
                <w:sz w:val="21"/>
                <w:szCs w:val="21"/>
                <w:lang w:val="en-US" w:eastAsia="zh-CN" w:bidi="ar"/>
              </w:rPr>
            </w:pPr>
            <w:r>
              <w:rPr>
                <w:rFonts w:hint="eastAsia" w:ascii="仿宋" w:hAnsi="仿宋" w:eastAsia="仿宋" w:cs="仿宋"/>
                <w:sz w:val="21"/>
                <w:szCs w:val="21"/>
                <w:lang w:bidi="ar"/>
              </w:rPr>
              <w:t>高耗能落后机电设备（产品）淘汰目录（第</w:t>
            </w:r>
            <w:r>
              <w:rPr>
                <w:rFonts w:hint="eastAsia" w:ascii="仿宋" w:hAnsi="仿宋" w:eastAsia="仿宋" w:cs="仿宋"/>
                <w:sz w:val="21"/>
                <w:szCs w:val="21"/>
                <w:lang w:val="en-US" w:eastAsia="zh-CN" w:bidi="ar"/>
              </w:rPr>
              <w:t>四</w:t>
            </w:r>
            <w:r>
              <w:rPr>
                <w:rFonts w:hint="eastAsia" w:ascii="仿宋" w:hAnsi="仿宋" w:eastAsia="仿宋" w:cs="仿宋"/>
                <w:sz w:val="21"/>
                <w:szCs w:val="21"/>
                <w:lang w:bidi="ar"/>
              </w:rPr>
              <w:t>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1ECB68F2">
            <w:pPr>
              <w:spacing w:line="360" w:lineRule="exact"/>
              <w:rPr>
                <w:rFonts w:hint="eastAsia" w:ascii="仿宋" w:hAnsi="仿宋" w:eastAsia="仿宋" w:cs="仿宋"/>
                <w:sz w:val="21"/>
                <w:szCs w:val="21"/>
                <w:lang w:val="en-US" w:eastAsia="zh-CN" w:bidi="ar"/>
              </w:rPr>
            </w:pPr>
            <w:r>
              <w:rPr>
                <w:rFonts w:hint="eastAsia" w:ascii="仿宋" w:hAnsi="仿宋" w:eastAsia="仿宋" w:cs="仿宋"/>
                <w:sz w:val="21"/>
                <w:szCs w:val="21"/>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6BD4366">
            <w:pPr>
              <w:rPr>
                <w:rFonts w:ascii="仿宋" w:hAnsi="仿宋" w:eastAsia="仿宋" w:cs="仿宋"/>
                <w:sz w:val="20"/>
                <w:szCs w:val="20"/>
              </w:rPr>
            </w:pPr>
          </w:p>
        </w:tc>
      </w:tr>
      <w:tr w14:paraId="5E99C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5A081E1">
            <w:pPr>
              <w:spacing w:line="360" w:lineRule="exact"/>
              <w:jc w:val="center"/>
              <w:rPr>
                <w:rFonts w:hint="eastAsia" w:ascii="仿宋" w:hAnsi="仿宋" w:eastAsia="仿宋" w:cs="仿宋"/>
                <w:kern w:val="2"/>
                <w:sz w:val="21"/>
                <w:szCs w:val="21"/>
                <w:lang w:val="en-US" w:eastAsia="zh-CN" w:bidi="ar"/>
              </w:rPr>
            </w:pPr>
            <w:r>
              <w:rPr>
                <w:rFonts w:hint="eastAsia" w:ascii="仿宋" w:hAnsi="仿宋" w:eastAsia="仿宋" w:cs="仿宋"/>
                <w:sz w:val="21"/>
                <w:szCs w:val="21"/>
                <w:lang w:val="en-US" w:eastAsia="zh-CN" w:bidi="ar"/>
              </w:rPr>
              <w:t>20</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3536371F">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节能机电设备（产品）推荐目录</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08C6A6B2">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424B8495">
            <w:pPr>
              <w:rPr>
                <w:rFonts w:ascii="仿宋" w:hAnsi="仿宋" w:eastAsia="仿宋" w:cs="仿宋"/>
                <w:sz w:val="20"/>
                <w:szCs w:val="20"/>
              </w:rPr>
            </w:pPr>
          </w:p>
        </w:tc>
      </w:tr>
      <w:tr w14:paraId="6B2E4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86C979E">
            <w:pPr>
              <w:spacing w:line="360" w:lineRule="exact"/>
              <w:jc w:val="center"/>
              <w:rPr>
                <w:rFonts w:hint="default" w:ascii="仿宋" w:hAnsi="仿宋" w:eastAsia="仿宋" w:cs="仿宋"/>
                <w:kern w:val="2"/>
                <w:sz w:val="21"/>
                <w:szCs w:val="21"/>
                <w:lang w:val="en-US" w:eastAsia="zh-CN" w:bidi="ar"/>
              </w:rPr>
            </w:pPr>
            <w:r>
              <w:rPr>
                <w:rFonts w:hint="eastAsia" w:ascii="仿宋" w:hAnsi="仿宋" w:eastAsia="仿宋" w:cs="仿宋"/>
                <w:sz w:val="21"/>
                <w:szCs w:val="21"/>
                <w:lang w:val="en-US" w:eastAsia="zh-CN" w:bidi="ar"/>
              </w:rPr>
              <w:t>21</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1A17E791">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用能单位能源计量器具配备和管理</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65E65898">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GB17167-2006</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73460A45">
            <w:pPr>
              <w:rPr>
                <w:rFonts w:ascii="仿宋" w:hAnsi="仿宋" w:eastAsia="仿宋" w:cs="仿宋"/>
                <w:sz w:val="20"/>
                <w:szCs w:val="20"/>
              </w:rPr>
            </w:pPr>
          </w:p>
        </w:tc>
      </w:tr>
      <w:tr w14:paraId="47099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4E3BAE5">
            <w:pPr>
              <w:spacing w:line="360" w:lineRule="exact"/>
              <w:jc w:val="center"/>
              <w:rPr>
                <w:rFonts w:hint="default" w:ascii="仿宋" w:hAnsi="仿宋" w:eastAsia="仿宋" w:cs="仿宋"/>
                <w:kern w:val="2"/>
                <w:sz w:val="21"/>
                <w:szCs w:val="21"/>
                <w:lang w:val="en-US" w:eastAsia="zh-CN" w:bidi="ar"/>
              </w:rPr>
            </w:pPr>
            <w:r>
              <w:rPr>
                <w:rFonts w:hint="eastAsia" w:ascii="仿宋" w:hAnsi="仿宋" w:eastAsia="仿宋" w:cs="仿宋"/>
                <w:sz w:val="21"/>
                <w:szCs w:val="21"/>
                <w:lang w:val="en-US" w:eastAsia="zh-CN" w:bidi="ar"/>
              </w:rPr>
              <w:t>22</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6FFB1453">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w:t>
            </w:r>
            <w:r>
              <w:rPr>
                <w:rFonts w:hint="eastAsia" w:ascii="仿宋" w:hAnsi="仿宋" w:eastAsia="仿宋" w:cs="仿宋"/>
                <w:sz w:val="21"/>
                <w:szCs w:val="21"/>
                <w:highlight w:val="none"/>
                <w:lang w:val="en-US" w:eastAsia="zh-CN" w:bidi="ar"/>
              </w:rPr>
              <w:t>工作场所物理因素测量》第8部分噪声</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64BF042E">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GB</w:t>
            </w:r>
            <w:r>
              <w:rPr>
                <w:rFonts w:hint="eastAsia" w:ascii="仿宋" w:hAnsi="仿宋" w:eastAsia="仿宋" w:cs="仿宋"/>
                <w:sz w:val="21"/>
                <w:szCs w:val="21"/>
                <w:highlight w:val="none"/>
                <w:lang w:val="en-US" w:eastAsia="zh-CN" w:bidi="ar"/>
              </w:rPr>
              <w:t>Z/T189.8-2007</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338A5AAA">
            <w:pPr>
              <w:rPr>
                <w:rFonts w:ascii="仿宋" w:hAnsi="仿宋" w:eastAsia="仿宋" w:cs="仿宋"/>
                <w:sz w:val="20"/>
                <w:szCs w:val="20"/>
              </w:rPr>
            </w:pPr>
          </w:p>
        </w:tc>
      </w:tr>
      <w:tr w14:paraId="46557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96E3408">
            <w:pPr>
              <w:spacing w:line="360" w:lineRule="exact"/>
              <w:jc w:val="center"/>
              <w:rPr>
                <w:rFonts w:hint="default" w:ascii="仿宋" w:hAnsi="仿宋" w:eastAsia="仿宋" w:cs="仿宋"/>
                <w:sz w:val="21"/>
                <w:szCs w:val="21"/>
                <w:lang w:val="en-US" w:eastAsia="zh-CN" w:bidi="ar"/>
              </w:rPr>
            </w:pPr>
            <w:r>
              <w:rPr>
                <w:rFonts w:hint="eastAsia" w:ascii="仿宋" w:hAnsi="仿宋" w:eastAsia="仿宋" w:cs="仿宋"/>
                <w:sz w:val="21"/>
                <w:szCs w:val="21"/>
                <w:lang w:val="en-US" w:eastAsia="zh-CN" w:bidi="ar"/>
              </w:rPr>
              <w:t>23</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671D4821">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机械安全 接近机械的固定设施 </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66D1A591">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GB/T 17888-2020</w:t>
            </w:r>
          </w:p>
        </w:tc>
        <w:tc>
          <w:tcPr>
            <w:tcW w:w="660" w:type="dxa"/>
            <w:tcBorders>
              <w:top w:val="single" w:color="auto" w:sz="4" w:space="0"/>
              <w:left w:val="single" w:color="auto" w:sz="4" w:space="0"/>
              <w:bottom w:val="single" w:color="auto" w:sz="4" w:space="0"/>
              <w:right w:val="single" w:color="auto" w:sz="4" w:space="0"/>
            </w:tcBorders>
            <w:shd w:val="clear" w:color="auto" w:fill="auto"/>
          </w:tcPr>
          <w:p w14:paraId="543DA867">
            <w:pPr>
              <w:rPr>
                <w:rFonts w:ascii="仿宋" w:hAnsi="仿宋" w:eastAsia="仿宋" w:cs="仿宋"/>
                <w:sz w:val="20"/>
                <w:szCs w:val="20"/>
              </w:rPr>
            </w:pPr>
          </w:p>
        </w:tc>
      </w:tr>
    </w:tbl>
    <w:p w14:paraId="3A715E83">
      <w:pPr>
        <w:spacing w:line="360" w:lineRule="exact"/>
        <w:rPr>
          <w:rFonts w:ascii="仿宋" w:hAnsi="仿宋" w:eastAsia="仿宋" w:cs="仿宋"/>
          <w:sz w:val="21"/>
        </w:rPr>
      </w:pPr>
      <w:r>
        <w:rPr>
          <w:rFonts w:hint="eastAsia" w:ascii="仿宋" w:hAnsi="仿宋" w:eastAsia="仿宋" w:cs="仿宋"/>
          <w:sz w:val="21"/>
          <w:lang w:bidi="ar"/>
        </w:rPr>
        <w:t>备注：1、如果有采用国际标准的货物，其执行标准由投标方提供、招标方确认。</w:t>
      </w:r>
    </w:p>
    <w:p w14:paraId="6160D3C4">
      <w:pPr>
        <w:snapToGrid w:val="0"/>
        <w:spacing w:line="360" w:lineRule="auto"/>
        <w:outlineLvl w:val="1"/>
        <w:rPr>
          <w:rFonts w:ascii="仿宋" w:hAnsi="仿宋" w:eastAsia="仿宋" w:cs="仿宋"/>
          <w:b/>
          <w:bCs/>
        </w:rPr>
      </w:pPr>
    </w:p>
    <w:p w14:paraId="4D7565B5">
      <w:pPr>
        <w:snapToGrid w:val="0"/>
        <w:spacing w:line="360" w:lineRule="auto"/>
        <w:ind w:firstLine="422" w:firstLineChars="200"/>
        <w:outlineLvl w:val="1"/>
        <w:rPr>
          <w:rFonts w:ascii="仿宋" w:hAnsi="仿宋" w:eastAsia="仿宋" w:cs="仿宋"/>
          <w:b/>
          <w:bCs/>
        </w:rPr>
      </w:pPr>
      <w:bookmarkStart w:id="231" w:name="_Toc11090"/>
      <w:bookmarkStart w:id="232" w:name="_Toc22251"/>
      <w:bookmarkStart w:id="233" w:name="_Toc16054"/>
      <w:bookmarkStart w:id="234" w:name="_Toc15804"/>
      <w:bookmarkStart w:id="235" w:name="_Toc21816"/>
      <w:bookmarkStart w:id="236" w:name="_Toc16236"/>
      <w:bookmarkStart w:id="237" w:name="_Toc31161"/>
      <w:bookmarkStart w:id="238" w:name="_Toc31203"/>
      <w:bookmarkStart w:id="239" w:name="_Toc31070"/>
      <w:bookmarkStart w:id="240" w:name="_Toc16004"/>
      <w:bookmarkStart w:id="241" w:name="_Toc21455"/>
      <w:bookmarkStart w:id="242" w:name="_Toc5217"/>
      <w:bookmarkStart w:id="243" w:name="_Toc3790"/>
      <w:bookmarkStart w:id="244" w:name="_Toc20175"/>
      <w:bookmarkStart w:id="245" w:name="_Toc19257"/>
      <w:bookmarkStart w:id="246" w:name="_Toc12134"/>
      <w:bookmarkStart w:id="247" w:name="_Toc22966"/>
      <w:bookmarkStart w:id="248" w:name="_Toc31998"/>
      <w:bookmarkStart w:id="249" w:name="_Toc7237"/>
      <w:r>
        <w:rPr>
          <w:rFonts w:hint="eastAsia" w:ascii="仿宋" w:hAnsi="仿宋" w:eastAsia="仿宋" w:cs="仿宋"/>
          <w:b/>
          <w:bCs/>
        </w:rPr>
        <w:t>3技术规范</w:t>
      </w:r>
    </w:p>
    <w:p w14:paraId="3F8041CF">
      <w:pPr>
        <w:pStyle w:val="19"/>
        <w:snapToGrid w:val="0"/>
        <w:spacing w:line="360" w:lineRule="auto"/>
        <w:ind w:firstLine="420" w:firstLineChars="200"/>
        <w:rPr>
          <w:rFonts w:ascii="仿宋" w:hAnsi="仿宋" w:eastAsia="仿宋" w:cs="仿宋"/>
        </w:rPr>
      </w:pPr>
      <w:bookmarkStart w:id="250" w:name="_Toc10677"/>
      <w:bookmarkStart w:id="251" w:name="_Toc26033"/>
      <w:bookmarkStart w:id="252" w:name="_Toc20150"/>
      <w:bookmarkStart w:id="253" w:name="_Toc26873"/>
      <w:bookmarkStart w:id="254" w:name="_Toc17783"/>
      <w:bookmarkStart w:id="255" w:name="_Toc26258"/>
      <w:bookmarkStart w:id="256" w:name="_Toc25588"/>
      <w:bookmarkStart w:id="257" w:name="_Toc16518"/>
      <w:bookmarkStart w:id="258" w:name="_Toc26683"/>
      <w:bookmarkStart w:id="259" w:name="_Toc27515"/>
      <w:bookmarkStart w:id="260" w:name="_Toc15548"/>
      <w:bookmarkStart w:id="261" w:name="_Toc43"/>
      <w:bookmarkStart w:id="262" w:name="_Toc30668"/>
      <w:bookmarkStart w:id="263" w:name="_Toc22042"/>
      <w:bookmarkStart w:id="264" w:name="_Toc14166"/>
      <w:bookmarkStart w:id="265" w:name="_Toc3050"/>
      <w:bookmarkStart w:id="266" w:name="_Toc12757"/>
      <w:bookmarkStart w:id="267" w:name="_Toc21407"/>
      <w:bookmarkStart w:id="268" w:name="_Toc19055"/>
      <w:r>
        <w:rPr>
          <w:rFonts w:hint="eastAsia" w:ascii="仿宋" w:hAnsi="仿宋" w:eastAsia="仿宋" w:cs="仿宋"/>
        </w:rPr>
        <w:t>3.1生产线能力及产品说明</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597C210C">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3.1.1生产能力及节拍。</w:t>
      </w:r>
    </w:p>
    <w:p w14:paraId="48430C22">
      <w:pPr>
        <w:pStyle w:val="19"/>
        <w:snapToGrid w:val="0"/>
        <w:spacing w:line="360" w:lineRule="auto"/>
        <w:ind w:firstLine="420" w:firstLineChars="200"/>
        <w:rPr>
          <w:rFonts w:hint="eastAsia" w:ascii="仿宋" w:hAnsi="仿宋" w:eastAsia="仿宋" w:cs="仿宋"/>
          <w:lang w:val="en-US" w:eastAsia="zh-CN"/>
        </w:rPr>
      </w:pPr>
      <w:r>
        <w:rPr>
          <w:rFonts w:hint="eastAsia" w:ascii="仿宋" w:hAnsi="仿宋" w:eastAsia="仿宋" w:cs="仿宋"/>
          <w:lang w:val="en-US" w:eastAsia="zh-CN"/>
        </w:rPr>
        <w:t>3.1.1.1 MCY12BGH系列主减节拍≤792s，单线单班产能50件总成。</w:t>
      </w:r>
    </w:p>
    <w:p w14:paraId="4A23A946">
      <w:pPr>
        <w:pStyle w:val="19"/>
        <w:snapToGrid w:val="0"/>
        <w:spacing w:line="360" w:lineRule="auto"/>
        <w:ind w:firstLine="420" w:firstLineChars="200"/>
        <w:rPr>
          <w:rFonts w:hint="eastAsia" w:ascii="仿宋" w:hAnsi="仿宋" w:eastAsia="仿宋" w:cs="仿宋"/>
          <w:lang w:val="en-US" w:eastAsia="zh-CN"/>
        </w:rPr>
      </w:pPr>
      <w:r>
        <w:rPr>
          <w:rFonts w:hint="eastAsia" w:ascii="仿宋" w:hAnsi="仿宋" w:eastAsia="仿宋" w:cs="仿宋"/>
          <w:lang w:val="en-US" w:eastAsia="zh-CN"/>
        </w:rPr>
        <w:t>3.1.1.2 MCY11/12/13系列中主减节拍≤226s，单线单班产能175件总成。</w:t>
      </w:r>
    </w:p>
    <w:p w14:paraId="3316AE22">
      <w:pPr>
        <w:pStyle w:val="19"/>
        <w:snapToGrid w:val="0"/>
        <w:spacing w:line="360" w:lineRule="auto"/>
        <w:ind w:firstLine="420" w:firstLineChars="200"/>
        <w:rPr>
          <w:rFonts w:hint="default" w:ascii="仿宋" w:hAnsi="仿宋" w:eastAsia="仿宋" w:cs="仿宋"/>
          <w:lang w:val="en-US" w:eastAsia="zh-CN"/>
        </w:rPr>
      </w:pPr>
      <w:r>
        <w:rPr>
          <w:rFonts w:hint="eastAsia" w:ascii="仿宋" w:hAnsi="仿宋" w:eastAsia="仿宋" w:cs="仿宋"/>
          <w:lang w:val="en-US" w:eastAsia="zh-CN"/>
        </w:rPr>
        <w:t>3.1.1.3 MCY11/12/13系列后主减节拍≤220s，单线单班产能180件总成。</w:t>
      </w:r>
    </w:p>
    <w:p w14:paraId="0C150104">
      <w:pPr>
        <w:pStyle w:val="19"/>
        <w:snapToGrid w:val="0"/>
        <w:spacing w:line="360" w:lineRule="auto"/>
        <w:ind w:firstLine="420" w:firstLineChars="200"/>
        <w:rPr>
          <w:rFonts w:hint="eastAsia" w:ascii="仿宋" w:hAnsi="仿宋" w:eastAsia="仿宋" w:cs="仿宋"/>
          <w:lang w:val="en-US" w:eastAsia="zh-CN"/>
        </w:rPr>
      </w:pPr>
      <w:r>
        <w:rPr>
          <w:rFonts w:hint="eastAsia" w:ascii="仿宋" w:hAnsi="仿宋" w:eastAsia="仿宋" w:cs="仿宋"/>
          <w:lang w:val="en-US" w:eastAsia="zh-CN"/>
        </w:rPr>
        <w:t>3.1.1.3 MCK/AC26中后主减总成主环线/差环线生产节拍≤220s，单线单班产能180件总成。</w:t>
      </w:r>
    </w:p>
    <w:p w14:paraId="0EC21C7C">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3.1.2产品状态：</w:t>
      </w:r>
    </w:p>
    <w:p w14:paraId="19D42CF7">
      <w:pPr>
        <w:pStyle w:val="19"/>
        <w:snapToGrid w:val="0"/>
        <w:spacing w:line="360" w:lineRule="auto"/>
        <w:ind w:firstLine="420" w:firstLineChars="200"/>
        <w:rPr>
          <w:rFonts w:hint="eastAsia" w:ascii="仿宋" w:hAnsi="仿宋" w:eastAsia="仿宋" w:cs="仿宋"/>
          <w:lang w:val="en-US" w:eastAsia="zh-CN"/>
        </w:rPr>
      </w:pPr>
      <w:r>
        <w:rPr>
          <w:rFonts w:hint="eastAsia" w:ascii="仿宋" w:hAnsi="仿宋" w:eastAsia="仿宋" w:cs="仿宋"/>
          <w:lang w:val="en-US" w:eastAsia="zh-CN"/>
        </w:rPr>
        <w:t>主减装配D线生产产品系列：MCY11中主减/MCY11后主减，MCY12中主减/MCY12后主减，MCY13中主减/MCY13后主减，MCY12BGH中主减/MCY12BGH后主减。</w:t>
      </w:r>
    </w:p>
    <w:p w14:paraId="01B9E56D">
      <w:pPr>
        <w:pStyle w:val="19"/>
        <w:snapToGrid w:val="0"/>
        <w:spacing w:line="360" w:lineRule="auto"/>
        <w:ind w:firstLine="420" w:firstLineChars="200"/>
        <w:rPr>
          <w:rFonts w:hint="default" w:ascii="仿宋" w:hAnsi="仿宋" w:eastAsia="仿宋" w:cs="仿宋"/>
          <w:lang w:val="en-US" w:eastAsia="zh-CN"/>
        </w:rPr>
      </w:pPr>
      <w:r>
        <w:rPr>
          <w:rFonts w:hint="eastAsia" w:ascii="仿宋" w:hAnsi="仿宋" w:eastAsia="仿宋" w:cs="仿宋"/>
          <w:lang w:val="en-US" w:eastAsia="zh-CN"/>
        </w:rPr>
        <w:t>主减装配E线生产产品系列：MCY11后主减、MCY12后主减、MCY13后主减、MCY12BGH后主减；AC26中后主减及MCK中后主减（不含合环线工序）。</w:t>
      </w:r>
    </w:p>
    <w:p w14:paraId="0A5B6BE6">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3.1.3产品简图:</w:t>
      </w:r>
    </w:p>
    <w:p w14:paraId="2031B603">
      <w:pPr>
        <w:pStyle w:val="19"/>
        <w:snapToGrid w:val="0"/>
        <w:spacing w:line="360" w:lineRule="auto"/>
        <w:ind w:firstLine="560" w:firstLineChars="200"/>
        <w:jc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drawing>
          <wp:inline distT="0" distB="0" distL="114300" distR="114300">
            <wp:extent cx="3569335" cy="1677035"/>
            <wp:effectExtent l="0" t="0" r="12065" b="12065"/>
            <wp:docPr id="1" name="图片 1" descr="ae3c5e5af4207fe2147820f761f78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e3c5e5af4207fe2147820f761f78fa"/>
                    <pic:cNvPicPr>
                      <a:picLocks noChangeAspect="1"/>
                    </pic:cNvPicPr>
                  </pic:nvPicPr>
                  <pic:blipFill>
                    <a:blip r:embed="rId43"/>
                    <a:srcRect t="7534" b="8864"/>
                    <a:stretch>
                      <a:fillRect/>
                    </a:stretch>
                  </pic:blipFill>
                  <pic:spPr>
                    <a:xfrm>
                      <a:off x="0" y="0"/>
                      <a:ext cx="3569335" cy="1677035"/>
                    </a:xfrm>
                    <a:prstGeom prst="rect">
                      <a:avLst/>
                    </a:prstGeom>
                  </pic:spPr>
                </pic:pic>
              </a:graphicData>
            </a:graphic>
          </wp:inline>
        </w:drawing>
      </w:r>
    </w:p>
    <w:p w14:paraId="404B0D1F">
      <w:pPr>
        <w:pStyle w:val="19"/>
        <w:snapToGrid w:val="0"/>
        <w:spacing w:line="360" w:lineRule="auto"/>
        <w:ind w:firstLine="440" w:firstLineChars="200"/>
        <w:jc w:val="center"/>
        <w:rPr>
          <w:rFonts w:hint="default" w:ascii="仿宋" w:hAnsi="仿宋" w:eastAsia="仿宋" w:cs="仿宋"/>
          <w:kern w:val="2"/>
          <w:sz w:val="22"/>
          <w:szCs w:val="22"/>
          <w:lang w:val="en-US" w:eastAsia="zh-CN" w:bidi="ar-SA"/>
        </w:rPr>
      </w:pPr>
      <w:r>
        <w:rPr>
          <w:rFonts w:hint="eastAsia" w:ascii="仿宋" w:hAnsi="仿宋" w:eastAsia="仿宋" w:cs="仿宋"/>
          <w:kern w:val="2"/>
          <w:sz w:val="22"/>
          <w:szCs w:val="22"/>
          <w:lang w:val="en-US" w:eastAsia="zh-CN" w:bidi="ar-SA"/>
        </w:rPr>
        <w:t>MCY12BGH中主减减壳</w:t>
      </w:r>
    </w:p>
    <w:p w14:paraId="7AD998C8">
      <w:pPr>
        <w:pStyle w:val="19"/>
        <w:snapToGrid w:val="0"/>
        <w:spacing w:line="360" w:lineRule="auto"/>
        <w:ind w:firstLine="560" w:firstLineChars="200"/>
        <w:jc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drawing>
          <wp:inline distT="0" distB="0" distL="114300" distR="114300">
            <wp:extent cx="3235960" cy="1179195"/>
            <wp:effectExtent l="0" t="0" r="2540" b="1905"/>
            <wp:docPr id="14" name="图片 14" descr="b1feecaa6097f335ed0cc8316f119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1feecaa6097f335ed0cc8316f119dc"/>
                    <pic:cNvPicPr>
                      <a:picLocks noChangeAspect="1"/>
                    </pic:cNvPicPr>
                  </pic:nvPicPr>
                  <pic:blipFill>
                    <a:blip r:embed="rId44"/>
                    <a:srcRect t="6210" b="15336"/>
                    <a:stretch>
                      <a:fillRect/>
                    </a:stretch>
                  </pic:blipFill>
                  <pic:spPr>
                    <a:xfrm>
                      <a:off x="0" y="0"/>
                      <a:ext cx="3235960" cy="1179195"/>
                    </a:xfrm>
                    <a:prstGeom prst="rect">
                      <a:avLst/>
                    </a:prstGeom>
                  </pic:spPr>
                </pic:pic>
              </a:graphicData>
            </a:graphic>
          </wp:inline>
        </w:drawing>
      </w:r>
    </w:p>
    <w:p w14:paraId="2EB968D9">
      <w:pPr>
        <w:pStyle w:val="19"/>
        <w:snapToGrid w:val="0"/>
        <w:spacing w:line="360" w:lineRule="auto"/>
        <w:ind w:firstLine="440" w:firstLineChars="200"/>
        <w:jc w:val="center"/>
        <w:rPr>
          <w:rFonts w:hint="default" w:ascii="仿宋" w:hAnsi="仿宋" w:eastAsia="仿宋" w:cs="仿宋"/>
          <w:kern w:val="2"/>
          <w:sz w:val="22"/>
          <w:szCs w:val="22"/>
          <w:lang w:val="en-US" w:eastAsia="zh-CN" w:bidi="ar-SA"/>
        </w:rPr>
      </w:pPr>
      <w:r>
        <w:rPr>
          <w:rFonts w:hint="eastAsia" w:ascii="仿宋" w:hAnsi="仿宋" w:eastAsia="仿宋" w:cs="仿宋"/>
          <w:kern w:val="2"/>
          <w:sz w:val="22"/>
          <w:szCs w:val="22"/>
          <w:lang w:val="en-US" w:eastAsia="zh-CN" w:bidi="ar-SA"/>
        </w:rPr>
        <w:t>MCY12BGH后主减减壳</w:t>
      </w:r>
    </w:p>
    <w:p w14:paraId="6EE5EFE4">
      <w:pPr>
        <w:pStyle w:val="19"/>
        <w:snapToGrid w:val="0"/>
        <w:spacing w:line="360" w:lineRule="auto"/>
        <w:ind w:firstLine="420" w:firstLineChars="200"/>
        <w:rPr>
          <w:rFonts w:hint="default" w:ascii="仿宋" w:hAnsi="仿宋" w:eastAsia="仿宋" w:cs="仿宋"/>
          <w:lang w:val="en-US" w:eastAsia="zh-CN"/>
        </w:rPr>
      </w:pPr>
      <w:r>
        <w:rPr>
          <w:rFonts w:hint="eastAsia" w:ascii="仿宋" w:hAnsi="仿宋" w:eastAsia="仿宋" w:cs="仿宋"/>
        </w:rPr>
        <w:t>3.1.4产品重量：</w:t>
      </w:r>
      <w:r>
        <w:rPr>
          <w:rFonts w:hint="eastAsia" w:ascii="仿宋" w:hAnsi="仿宋" w:eastAsia="仿宋" w:cs="仿宋"/>
          <w:lang w:val="en-US" w:eastAsia="zh-CN"/>
        </w:rPr>
        <w:t>后主减</w:t>
      </w:r>
      <w:r>
        <w:rPr>
          <w:rFonts w:hint="eastAsia" w:ascii="仿宋" w:hAnsi="仿宋" w:eastAsia="仿宋" w:cs="仿宋"/>
        </w:rPr>
        <w:t>≤</w:t>
      </w:r>
      <w:r>
        <w:rPr>
          <w:rFonts w:hint="eastAsia" w:ascii="仿宋" w:hAnsi="仿宋" w:eastAsia="仿宋" w:cs="仿宋"/>
          <w:lang w:val="en-US" w:eastAsia="zh-CN"/>
        </w:rPr>
        <w:t>300</w:t>
      </w:r>
      <w:r>
        <w:rPr>
          <w:rFonts w:hint="eastAsia" w:ascii="仿宋" w:hAnsi="仿宋" w:eastAsia="仿宋" w:cs="仿宋"/>
        </w:rPr>
        <w:t>kg</w:t>
      </w:r>
      <w:r>
        <w:rPr>
          <w:rFonts w:hint="eastAsia" w:ascii="仿宋" w:hAnsi="仿宋" w:eastAsia="仿宋" w:cs="仿宋"/>
          <w:lang w:eastAsia="zh-CN"/>
        </w:rPr>
        <w:t>，</w:t>
      </w:r>
      <w:r>
        <w:rPr>
          <w:rFonts w:hint="eastAsia" w:ascii="仿宋" w:hAnsi="仿宋" w:eastAsia="仿宋" w:cs="仿宋"/>
          <w:lang w:val="en-US" w:eastAsia="zh-CN"/>
        </w:rPr>
        <w:t>中主减</w:t>
      </w:r>
      <w:r>
        <w:rPr>
          <w:rFonts w:hint="eastAsia" w:ascii="仿宋" w:hAnsi="仿宋" w:eastAsia="仿宋" w:cs="仿宋"/>
        </w:rPr>
        <w:t>≤</w:t>
      </w:r>
      <w:r>
        <w:rPr>
          <w:rFonts w:hint="eastAsia" w:ascii="仿宋" w:hAnsi="仿宋" w:eastAsia="仿宋" w:cs="仿宋"/>
          <w:lang w:val="en-US" w:eastAsia="zh-CN"/>
        </w:rPr>
        <w:t>650kg</w:t>
      </w:r>
    </w:p>
    <w:p w14:paraId="746C1775">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3.1.5布置布局：</w:t>
      </w:r>
    </w:p>
    <w:p w14:paraId="2BDB1174">
      <w:pPr>
        <w:pStyle w:val="19"/>
        <w:snapToGrid w:val="0"/>
        <w:spacing w:line="360" w:lineRule="auto"/>
        <w:ind w:firstLine="420" w:firstLineChars="200"/>
        <w:rPr>
          <w:rFonts w:hint="eastAsia" w:ascii="仿宋" w:hAnsi="仿宋" w:eastAsia="仿宋" w:cs="仿宋"/>
          <w:lang w:val="en-US" w:eastAsia="zh-CN"/>
        </w:rPr>
      </w:pPr>
      <w:r>
        <w:rPr>
          <w:rFonts w:hint="eastAsia" w:ascii="仿宋" w:hAnsi="仿宋" w:eastAsia="仿宋" w:cs="仿宋"/>
          <w:lang w:val="en-US" w:eastAsia="zh-CN"/>
        </w:rPr>
        <w:t>安装于主减速器线装配D线主环，以及装配E线差环主环，原有设备线体下线。</w:t>
      </w:r>
    </w:p>
    <w:p w14:paraId="543C589D">
      <w:pPr>
        <w:pStyle w:val="19"/>
        <w:snapToGrid w:val="0"/>
        <w:spacing w:line="360" w:lineRule="auto"/>
        <w:ind w:left="0" w:leftChars="0" w:firstLine="0" w:firstLineChars="0"/>
        <w:jc w:val="center"/>
        <w:rPr>
          <w:rFonts w:hint="eastAsia" w:eastAsia="仿宋_GB2312"/>
          <w:highlight w:val="none"/>
          <w:lang w:eastAsia="zh-CN"/>
        </w:rPr>
      </w:pPr>
      <w:r>
        <w:rPr>
          <w:rFonts w:hint="eastAsia" w:ascii="仿宋" w:hAnsi="仿宋" w:eastAsia="仿宋" w:cs="仿宋"/>
          <w:kern w:val="2"/>
          <w:sz w:val="24"/>
          <w:szCs w:val="24"/>
          <w:highlight w:val="none"/>
          <w:lang w:val="en-US" w:eastAsia="zh-CN" w:bidi="ar-SA"/>
        </w:rPr>
        <w:drawing>
          <wp:inline distT="0" distB="0" distL="114300" distR="114300">
            <wp:extent cx="2136140" cy="2633980"/>
            <wp:effectExtent l="0" t="0" r="10160" b="7620"/>
            <wp:docPr id="17" name="图片 9" descr="d21bf94fbd29a6b582da073b7a1a5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d21bf94fbd29a6b582da073b7a1a5c9"/>
                    <pic:cNvPicPr>
                      <a:picLocks noChangeAspect="1"/>
                    </pic:cNvPicPr>
                  </pic:nvPicPr>
                  <pic:blipFill>
                    <a:blip r:embed="rId45"/>
                    <a:stretch>
                      <a:fillRect/>
                    </a:stretch>
                  </pic:blipFill>
                  <pic:spPr>
                    <a:xfrm>
                      <a:off x="0" y="0"/>
                      <a:ext cx="2136140" cy="2633980"/>
                    </a:xfrm>
                    <a:prstGeom prst="rect">
                      <a:avLst/>
                    </a:prstGeom>
                    <a:noFill/>
                    <a:ln>
                      <a:noFill/>
                    </a:ln>
                  </pic:spPr>
                </pic:pic>
              </a:graphicData>
            </a:graphic>
          </wp:inline>
        </w:drawing>
      </w:r>
      <w:r>
        <w:rPr>
          <w:rFonts w:hint="eastAsia" w:eastAsia="仿宋_GB2312"/>
          <w:highlight w:val="none"/>
          <w:lang w:eastAsia="zh-CN"/>
        </w:rPr>
        <w:drawing>
          <wp:inline distT="0" distB="0" distL="114300" distR="114300">
            <wp:extent cx="2132965" cy="2628900"/>
            <wp:effectExtent l="9525" t="9525" r="16510" b="15875"/>
            <wp:docPr id="31" name="图片 31" descr="53ef50de82dfc3f2338de5e794d7c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53ef50de82dfc3f2338de5e794d7c8e"/>
                    <pic:cNvPicPr>
                      <a:picLocks noChangeAspect="1"/>
                    </pic:cNvPicPr>
                  </pic:nvPicPr>
                  <pic:blipFill>
                    <a:blip r:embed="rId46"/>
                    <a:stretch>
                      <a:fillRect/>
                    </a:stretch>
                  </pic:blipFill>
                  <pic:spPr>
                    <a:xfrm>
                      <a:off x="0" y="0"/>
                      <a:ext cx="2132965" cy="2628900"/>
                    </a:xfrm>
                    <a:prstGeom prst="rect">
                      <a:avLst/>
                    </a:prstGeom>
                    <a:ln>
                      <a:solidFill>
                        <a:schemeClr val="tx1"/>
                      </a:solidFill>
                    </a:ln>
                  </pic:spPr>
                </pic:pic>
              </a:graphicData>
            </a:graphic>
          </wp:inline>
        </w:drawing>
      </w:r>
    </w:p>
    <w:p w14:paraId="06F6E078">
      <w:pPr>
        <w:pStyle w:val="19"/>
        <w:snapToGrid w:val="0"/>
        <w:spacing w:line="360" w:lineRule="auto"/>
        <w:ind w:left="0" w:leftChars="0" w:firstLine="0" w:firstLineChars="0"/>
        <w:jc w:val="both"/>
        <w:rPr>
          <w:rFonts w:hint="default" w:eastAsia="仿宋_GB2312"/>
          <w:sz w:val="18"/>
          <w:szCs w:val="18"/>
          <w:highlight w:val="none"/>
          <w:lang w:val="en-US" w:eastAsia="zh-CN"/>
        </w:rPr>
      </w:pPr>
      <w:r>
        <w:rPr>
          <w:rFonts w:hint="eastAsia" w:eastAsia="仿宋_GB2312"/>
          <w:highlight w:val="none"/>
          <w:lang w:val="en-US" w:eastAsia="zh-CN"/>
        </w:rPr>
        <w:t xml:space="preserve">             </w:t>
      </w:r>
      <w:r>
        <w:rPr>
          <w:rFonts w:hint="eastAsia" w:ascii="宋体" w:hAnsi="宋体" w:eastAsia="宋体" w:cs="宋体"/>
          <w:sz w:val="20"/>
          <w:szCs w:val="20"/>
          <w:highlight w:val="none"/>
          <w:lang w:val="en-US" w:eastAsia="zh-CN"/>
        </w:rPr>
        <w:t>主减装配D线布局                   主减装配E线布局</w:t>
      </w:r>
    </w:p>
    <w:p w14:paraId="4F95385C">
      <w:pPr>
        <w:spacing w:line="360" w:lineRule="auto"/>
        <w:ind w:left="0" w:leftChars="0" w:firstLine="420" w:firstLineChars="200"/>
        <w:rPr>
          <w:rFonts w:hint="eastAsia" w:ascii="仿宋" w:hAnsi="仿宋" w:eastAsia="仿宋" w:cs="仿宋"/>
          <w:sz w:val="24"/>
          <w:szCs w:val="24"/>
          <w:lang w:val="en-US" w:eastAsia="zh-CN"/>
        </w:rPr>
      </w:pPr>
      <w:r>
        <w:rPr>
          <w:rFonts w:hint="eastAsia" w:ascii="仿宋" w:hAnsi="仿宋" w:eastAsia="仿宋" w:cs="仿宋"/>
        </w:rPr>
        <w:t>3.1.6工</w:t>
      </w:r>
      <w:r>
        <w:rPr>
          <w:rFonts w:hint="eastAsia" w:ascii="仿宋" w:hAnsi="仿宋" w:eastAsia="仿宋" w:cs="仿宋"/>
          <w:sz w:val="24"/>
          <w:szCs w:val="24"/>
          <w:lang w:val="en-US" w:eastAsia="zh-CN"/>
        </w:rPr>
        <w:t xml:space="preserve">艺流程（参考）： </w:t>
      </w:r>
    </w:p>
    <w:p w14:paraId="6AD42678">
      <w:pPr>
        <w:spacing w:line="360" w:lineRule="auto"/>
        <w:ind w:left="0" w:leftChars="0"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3.1.6.1 差环线：被动锥齿轮上线加热→差速器与被动锥齿轮合装→连接螺栓拧紧→差速器模拟半轴检测→压装差速器两侧轴承。</w:t>
      </w:r>
    </w:p>
    <w:p w14:paraId="11C946C8">
      <w:pPr>
        <w:spacing w:line="360" w:lineRule="auto"/>
        <w:ind w:left="0" w:leftChars="0"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3.1.6.2 主环线：减壳瓦盖及轴承座拆卸上线</w:t>
      </w:r>
      <w:r>
        <w:rPr>
          <w:rFonts w:hint="eastAsia" w:ascii="仿宋" w:hAnsi="仿宋" w:eastAsia="仿宋" w:cs="仿宋"/>
          <w:color w:val="000000"/>
          <w:spacing w:val="5"/>
          <w:kern w:val="0"/>
          <w:szCs w:val="28"/>
          <w:lang w:bidi="ar"/>
        </w:rPr>
        <w:t>→</w:t>
      </w:r>
      <w:r>
        <w:rPr>
          <w:rFonts w:hint="eastAsia" w:ascii="仿宋" w:hAnsi="仿宋" w:eastAsia="仿宋" w:cs="仿宋"/>
          <w:sz w:val="24"/>
          <w:szCs w:val="24"/>
          <w:lang w:val="en-US" w:eastAsia="zh-CN"/>
        </w:rPr>
        <w:t>压装轴承外环</w:t>
      </w:r>
      <w:r>
        <w:rPr>
          <w:rFonts w:hint="eastAsia" w:ascii="仿宋" w:hAnsi="仿宋" w:eastAsia="仿宋" w:cs="仿宋"/>
          <w:color w:val="000000"/>
          <w:spacing w:val="5"/>
          <w:kern w:val="0"/>
          <w:szCs w:val="28"/>
          <w:lang w:bidi="ar"/>
        </w:rPr>
        <w:t>→</w:t>
      </w:r>
      <w:r>
        <w:rPr>
          <w:rFonts w:hint="eastAsia" w:ascii="仿宋" w:hAnsi="仿宋" w:eastAsia="仿宋" w:cs="仿宋"/>
          <w:sz w:val="24"/>
          <w:szCs w:val="24"/>
          <w:lang w:val="en-US" w:eastAsia="zh-CN"/>
        </w:rPr>
        <w:t>检测安装距并显示所需垫片厚度推荐值</w:t>
      </w:r>
      <w:r>
        <w:rPr>
          <w:rFonts w:hint="eastAsia" w:ascii="仿宋" w:hAnsi="仿宋" w:eastAsia="仿宋" w:cs="仿宋"/>
          <w:color w:val="000000"/>
          <w:spacing w:val="5"/>
          <w:kern w:val="0"/>
          <w:szCs w:val="28"/>
          <w:lang w:bidi="ar"/>
        </w:rPr>
        <w:t>→</w:t>
      </w:r>
      <w:r>
        <w:rPr>
          <w:rFonts w:hint="eastAsia" w:ascii="仿宋" w:hAnsi="仿宋" w:eastAsia="仿宋" w:cs="仿宋"/>
          <w:sz w:val="24"/>
          <w:szCs w:val="24"/>
          <w:lang w:val="en-US" w:eastAsia="zh-CN"/>
        </w:rPr>
        <w:t>主锥上线</w:t>
      </w:r>
      <w:r>
        <w:rPr>
          <w:rFonts w:hint="eastAsia" w:ascii="仿宋" w:hAnsi="仿宋" w:eastAsia="仿宋" w:cs="仿宋"/>
          <w:color w:val="000000"/>
          <w:spacing w:val="5"/>
          <w:kern w:val="0"/>
          <w:szCs w:val="28"/>
          <w:lang w:bidi="ar"/>
        </w:rPr>
        <w:t>→</w:t>
      </w:r>
      <w:r>
        <w:rPr>
          <w:rFonts w:hint="eastAsia" w:ascii="仿宋" w:hAnsi="仿宋" w:eastAsia="仿宋" w:cs="仿宋"/>
          <w:sz w:val="24"/>
          <w:szCs w:val="24"/>
          <w:lang w:val="en-US" w:eastAsia="zh-CN"/>
        </w:rPr>
        <w:t>压装轴承内环</w:t>
      </w:r>
      <w:r>
        <w:rPr>
          <w:rFonts w:hint="eastAsia" w:ascii="仿宋" w:hAnsi="仿宋" w:eastAsia="仿宋" w:cs="仿宋"/>
          <w:color w:val="000000"/>
          <w:spacing w:val="5"/>
          <w:kern w:val="0"/>
          <w:szCs w:val="28"/>
          <w:lang w:bidi="ar"/>
        </w:rPr>
        <w:t>→</w:t>
      </w:r>
      <w:r>
        <w:rPr>
          <w:rFonts w:hint="eastAsia" w:ascii="仿宋" w:hAnsi="仿宋" w:eastAsia="仿宋" w:cs="仿宋"/>
          <w:sz w:val="24"/>
          <w:szCs w:val="24"/>
          <w:lang w:val="en-US" w:eastAsia="zh-CN"/>
        </w:rPr>
        <w:t>主锥及减壳合装</w:t>
      </w:r>
      <w:r>
        <w:rPr>
          <w:rFonts w:hint="eastAsia" w:ascii="仿宋" w:hAnsi="仿宋" w:eastAsia="仿宋" w:cs="仿宋"/>
          <w:color w:val="000000"/>
          <w:spacing w:val="5"/>
          <w:kern w:val="0"/>
          <w:szCs w:val="28"/>
          <w:lang w:bidi="ar"/>
        </w:rPr>
        <w:t>→</w:t>
      </w:r>
      <w:r>
        <w:rPr>
          <w:rFonts w:hint="eastAsia" w:ascii="仿宋" w:hAnsi="仿宋" w:eastAsia="仿宋" w:cs="仿宋"/>
          <w:sz w:val="24"/>
          <w:szCs w:val="24"/>
          <w:lang w:val="en-US" w:eastAsia="zh-CN"/>
        </w:rPr>
        <w:t>自动调整测量保压状态下的转动力矩</w:t>
      </w:r>
      <w:r>
        <w:rPr>
          <w:rFonts w:hint="eastAsia" w:ascii="仿宋" w:hAnsi="仿宋" w:eastAsia="仿宋" w:cs="仿宋"/>
          <w:color w:val="000000"/>
          <w:spacing w:val="5"/>
          <w:kern w:val="0"/>
          <w:szCs w:val="28"/>
          <w:lang w:bidi="ar"/>
        </w:rPr>
        <w:t>→</w:t>
      </w:r>
      <w:r>
        <w:rPr>
          <w:rFonts w:hint="eastAsia" w:ascii="仿宋" w:hAnsi="仿宋" w:eastAsia="仿宋" w:cs="仿宋"/>
          <w:sz w:val="24"/>
          <w:szCs w:val="24"/>
          <w:lang w:val="en-US" w:eastAsia="zh-CN"/>
        </w:rPr>
        <w:t>安装工艺法兰并拧紧锁紧螺母。</w:t>
      </w:r>
    </w:p>
    <w:p w14:paraId="1AB1598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3.1.6.3 合环线：减壳带主锥上线</w:t>
      </w:r>
      <w:r>
        <w:rPr>
          <w:rFonts w:hint="eastAsia" w:ascii="仿宋" w:hAnsi="仿宋" w:eastAsia="仿宋" w:cs="仿宋"/>
          <w:color w:val="000000"/>
          <w:spacing w:val="5"/>
          <w:kern w:val="0"/>
          <w:szCs w:val="28"/>
          <w:lang w:bidi="ar"/>
        </w:rPr>
        <w:t>→</w:t>
      </w:r>
      <w:r>
        <w:rPr>
          <w:rFonts w:hint="eastAsia" w:ascii="仿宋" w:hAnsi="仿宋" w:eastAsia="仿宋" w:cs="仿宋"/>
          <w:sz w:val="24"/>
          <w:szCs w:val="24"/>
          <w:lang w:val="en-US" w:eastAsia="zh-CN"/>
        </w:rPr>
        <w:t>轴承座带导向轴承外环安装并预紧螺栓</w:t>
      </w:r>
      <w:r>
        <w:rPr>
          <w:rFonts w:hint="eastAsia" w:ascii="仿宋" w:hAnsi="仿宋" w:eastAsia="仿宋" w:cs="仿宋"/>
          <w:color w:val="000000"/>
          <w:spacing w:val="5"/>
          <w:kern w:val="0"/>
          <w:szCs w:val="28"/>
          <w:lang w:bidi="ar"/>
        </w:rPr>
        <w:t>→</w:t>
      </w:r>
      <w:r>
        <w:rPr>
          <w:rFonts w:hint="eastAsia" w:ascii="仿宋" w:hAnsi="仿宋" w:eastAsia="仿宋" w:cs="仿宋"/>
          <w:sz w:val="24"/>
          <w:szCs w:val="24"/>
          <w:lang w:val="en-US" w:eastAsia="zh-CN"/>
        </w:rPr>
        <w:t>吊装差速器总成并安装瓦盖调整螺母</w:t>
      </w:r>
      <w:r>
        <w:rPr>
          <w:rFonts w:hint="eastAsia" w:ascii="仿宋" w:hAnsi="仿宋" w:eastAsia="仿宋" w:cs="仿宋"/>
          <w:color w:val="000000"/>
          <w:spacing w:val="5"/>
          <w:kern w:val="0"/>
          <w:szCs w:val="28"/>
          <w:lang w:bidi="ar"/>
        </w:rPr>
        <w:t>→</w:t>
      </w:r>
      <w:r>
        <w:rPr>
          <w:rFonts w:hint="eastAsia" w:ascii="仿宋" w:hAnsi="仿宋" w:eastAsia="仿宋" w:cs="仿宋"/>
          <w:sz w:val="24"/>
          <w:szCs w:val="24"/>
          <w:lang w:val="en-US" w:eastAsia="zh-CN"/>
        </w:rPr>
        <w:t>调整啮合区及齿侧隙拧紧瓦盖螺栓</w:t>
      </w:r>
      <w:r>
        <w:rPr>
          <w:rFonts w:hint="eastAsia" w:ascii="仿宋" w:hAnsi="仿宋" w:eastAsia="仿宋" w:cs="仿宋"/>
          <w:color w:val="000000"/>
          <w:spacing w:val="5"/>
          <w:kern w:val="0"/>
          <w:szCs w:val="28"/>
          <w:lang w:bidi="ar"/>
        </w:rPr>
        <w:t>→</w:t>
      </w:r>
      <w:r>
        <w:rPr>
          <w:rFonts w:hint="eastAsia" w:ascii="仿宋" w:hAnsi="仿宋" w:eastAsia="仿宋" w:cs="仿宋"/>
          <w:sz w:val="24"/>
          <w:szCs w:val="24"/>
          <w:lang w:val="en-US" w:eastAsia="zh-CN"/>
        </w:rPr>
        <w:t>；安装轮间差速锁</w:t>
      </w:r>
      <w:r>
        <w:rPr>
          <w:rFonts w:hint="eastAsia" w:ascii="仿宋" w:hAnsi="仿宋" w:eastAsia="仿宋" w:cs="仿宋"/>
          <w:color w:val="000000"/>
          <w:spacing w:val="5"/>
          <w:kern w:val="0"/>
          <w:szCs w:val="28"/>
          <w:lang w:bidi="ar"/>
        </w:rPr>
        <w:t>→</w:t>
      </w:r>
      <w:r>
        <w:rPr>
          <w:rFonts w:hint="eastAsia" w:ascii="仿宋" w:hAnsi="仿宋" w:eastAsia="仿宋" w:cs="仿宋"/>
          <w:sz w:val="24"/>
          <w:szCs w:val="24"/>
          <w:lang w:val="en-US" w:eastAsia="zh-CN"/>
        </w:rPr>
        <w:t>拆卸工艺法兰盘并压装轴密封圈</w:t>
      </w:r>
      <w:r>
        <w:rPr>
          <w:rFonts w:hint="eastAsia" w:ascii="仿宋" w:hAnsi="仿宋" w:eastAsia="仿宋" w:cs="仿宋"/>
          <w:color w:val="000000"/>
          <w:spacing w:val="5"/>
          <w:kern w:val="0"/>
          <w:szCs w:val="28"/>
          <w:lang w:bidi="ar"/>
        </w:rPr>
        <w:t>→</w:t>
      </w:r>
      <w:r>
        <w:rPr>
          <w:rFonts w:hint="eastAsia" w:ascii="仿宋" w:hAnsi="仿宋" w:eastAsia="仿宋" w:cs="仿宋"/>
          <w:sz w:val="24"/>
          <w:szCs w:val="24"/>
          <w:lang w:val="en-US" w:eastAsia="zh-CN"/>
        </w:rPr>
        <w:t>压装法兰盘并拧紧锁紧螺母</w:t>
      </w:r>
      <w:r>
        <w:rPr>
          <w:rFonts w:hint="eastAsia" w:ascii="仿宋" w:hAnsi="仿宋" w:eastAsia="仿宋" w:cs="仿宋"/>
          <w:color w:val="000000"/>
          <w:spacing w:val="5"/>
          <w:kern w:val="0"/>
          <w:szCs w:val="28"/>
          <w:lang w:bidi="ar"/>
        </w:rPr>
        <w:t>→</w:t>
      </w:r>
      <w:r>
        <w:rPr>
          <w:rFonts w:hint="eastAsia" w:ascii="仿宋" w:hAnsi="仿宋" w:eastAsia="仿宋" w:cs="仿宋"/>
          <w:sz w:val="24"/>
          <w:szCs w:val="24"/>
          <w:lang w:val="en-US" w:eastAsia="zh-CN"/>
        </w:rPr>
        <w:t>铆接铭牌及总成检测→总成下线。</w:t>
      </w:r>
    </w:p>
    <w:p w14:paraId="08152C5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3.1.6.4 MCY12BGH系列产品专项工艺流程（与原产品对比差异工序）：</w:t>
      </w:r>
    </w:p>
    <w:p w14:paraId="46FC272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工位6：中后主减减壳拆卸轴承座轴承盖并上线；将减壳吊装至翻转定置架上，翻转使减壳大盘面朝上，使用手持电动拧紧工具将减壳上的6枚螺栓拆卸并取下轴承盖和独立轴承座，并将挡油罩敲击安装到位，再次翻转180°使大盘面朝下，吊装主减减壳上线，平稳放置在主环线体托盘上定位。</w:t>
      </w:r>
    </w:p>
    <w:p w14:paraId="5BEAEF6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1390015" cy="1636395"/>
            <wp:effectExtent l="9525" t="9525" r="10160" b="17780"/>
            <wp:docPr id="32" name="图片 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02"/>
                    <pic:cNvPicPr>
                      <a:picLocks noChangeAspect="1"/>
                    </pic:cNvPicPr>
                  </pic:nvPicPr>
                  <pic:blipFill>
                    <a:blip r:embed="rId47"/>
                    <a:stretch>
                      <a:fillRect/>
                    </a:stretch>
                  </pic:blipFill>
                  <pic:spPr>
                    <a:xfrm>
                      <a:off x="0" y="0"/>
                      <a:ext cx="1390015" cy="1636395"/>
                    </a:xfrm>
                    <a:prstGeom prst="rect">
                      <a:avLst/>
                    </a:prstGeom>
                    <a:noFill/>
                    <a:ln>
                      <a:solidFill>
                        <a:schemeClr val="tx1"/>
                      </a:solidFill>
                    </a:ln>
                  </pic:spPr>
                </pic:pic>
              </a:graphicData>
            </a:graphic>
          </wp:inline>
        </w:drawing>
      </w:r>
    </w:p>
    <w:p w14:paraId="3BF6440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工位7：压装轴承外环；将主锥下轴承外环以及预选调整垫片放置在下压头上，减壳带小车托盘放行至压力机下，放上主锥上轴承外环，启动压力机压装到底。</w:t>
      </w:r>
    </w:p>
    <w:p w14:paraId="3A1F0D8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该设备同步具备安装距检测功能，附带位移检测设备测量减壳两盘轴承外环安装位置距离，通过计算输出对标准尺寸的差值，辅助操作员工选择安装距垫片厚度。</w:t>
      </w:r>
    </w:p>
    <w:p w14:paraId="04148886">
      <w:pPr>
        <w:pStyle w:val="3"/>
        <w:ind w:left="0" w:leftChars="0" w:firstLine="0" w:firstLineChars="0"/>
        <w:jc w:val="center"/>
        <w:rPr>
          <w:rFonts w:hint="eastAsia" w:ascii="仿宋" w:hAnsi="仿宋" w:eastAsia="仿宋" w:cs="仿宋"/>
          <w:i w:val="0"/>
          <w:iCs w:val="0"/>
          <w:color w:val="000000"/>
          <w:sz w:val="24"/>
          <w:szCs w:val="24"/>
          <w:u w:val="none"/>
          <w:lang w:eastAsia="zh-CN"/>
        </w:rPr>
      </w:pPr>
      <w:r>
        <w:rPr>
          <w:rFonts w:hint="eastAsia" w:ascii="仿宋" w:hAnsi="仿宋" w:eastAsia="仿宋" w:cs="仿宋"/>
          <w:i w:val="0"/>
          <w:iCs w:val="0"/>
          <w:color w:val="000000"/>
          <w:sz w:val="24"/>
          <w:szCs w:val="24"/>
          <w:u w:val="none"/>
          <w:lang w:eastAsia="zh-CN"/>
        </w:rPr>
        <w:drawing>
          <wp:inline distT="0" distB="0" distL="114300" distR="114300">
            <wp:extent cx="1387475" cy="1543685"/>
            <wp:effectExtent l="9525" t="9525" r="21590" b="12700"/>
            <wp:docPr id="33" name="图片 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03"/>
                    <pic:cNvPicPr>
                      <a:picLocks noChangeAspect="1"/>
                    </pic:cNvPicPr>
                  </pic:nvPicPr>
                  <pic:blipFill>
                    <a:blip r:embed="rId48"/>
                    <a:stretch>
                      <a:fillRect/>
                    </a:stretch>
                  </pic:blipFill>
                  <pic:spPr>
                    <a:xfrm rot="16200000">
                      <a:off x="0" y="0"/>
                      <a:ext cx="1387475" cy="1543685"/>
                    </a:xfrm>
                    <a:prstGeom prst="rect">
                      <a:avLst/>
                    </a:prstGeom>
                    <a:noFill/>
                    <a:ln>
                      <a:solidFill>
                        <a:schemeClr val="tx1"/>
                      </a:solidFill>
                    </a:ln>
                  </pic:spPr>
                </pic:pic>
              </a:graphicData>
            </a:graphic>
          </wp:inline>
        </w:drawing>
      </w:r>
    </w:p>
    <w:p w14:paraId="2FFE3BA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工位8：压装导向轴承及主锥下轴承；主动锥齿轮上线放行至压装工位，压机压力5-8吨，分别压装导向轴承内环及主锥下轴承内环到同步配对的主动锥齿轮上，压装到位无间隙。</w:t>
      </w:r>
    </w:p>
    <w:p w14:paraId="77C3699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压装内环完成后，将带轴承的主动锥齿轮转移至气动升降托盘中，主动锥齿轮下降，减壳随线体托盘移动至主动锥齿轮上方停止，启动气动升降托盘使主动锥齿轮自下而上穿过减壳轴承孔，人工固定后升降托盘回位，减壳托盘继续通行至下工位。</w:t>
      </w:r>
    </w:p>
    <w:p w14:paraId="2FF02F58">
      <w:pPr>
        <w:pStyle w:val="2"/>
        <w:jc w:val="center"/>
        <w:rPr>
          <w:rFonts w:hint="eastAsia" w:ascii="仿宋" w:hAnsi="仿宋" w:eastAsia="仿宋" w:cs="仿宋"/>
          <w:sz w:val="24"/>
          <w:szCs w:val="24"/>
          <w:lang w:val="en-US" w:eastAsia="zh-CN"/>
        </w:rPr>
      </w:pPr>
      <w:r>
        <w:rPr>
          <w:rFonts w:hint="eastAsia" w:ascii="仿宋" w:hAnsi="仿宋" w:eastAsia="仿宋" w:cs="仿宋"/>
          <w:i w:val="0"/>
          <w:iCs w:val="0"/>
          <w:color w:val="000000"/>
          <w:sz w:val="24"/>
          <w:szCs w:val="24"/>
          <w:u w:val="none"/>
          <w:lang w:eastAsia="zh-CN"/>
        </w:rPr>
        <w:drawing>
          <wp:inline distT="0" distB="0" distL="114300" distR="114300">
            <wp:extent cx="1377950" cy="1835785"/>
            <wp:effectExtent l="9525" t="9525" r="9525" b="21590"/>
            <wp:docPr id="34" name="图片 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04"/>
                    <pic:cNvPicPr>
                      <a:picLocks noChangeAspect="1"/>
                    </pic:cNvPicPr>
                  </pic:nvPicPr>
                  <pic:blipFill>
                    <a:blip r:embed="rId49"/>
                    <a:stretch>
                      <a:fillRect/>
                    </a:stretch>
                  </pic:blipFill>
                  <pic:spPr>
                    <a:xfrm>
                      <a:off x="0" y="0"/>
                      <a:ext cx="1377950" cy="1835785"/>
                    </a:xfrm>
                    <a:prstGeom prst="rect">
                      <a:avLst/>
                    </a:prstGeom>
                    <a:noFill/>
                    <a:ln>
                      <a:solidFill>
                        <a:schemeClr val="tx1"/>
                      </a:solidFill>
                    </a:ln>
                  </pic:spPr>
                </pic:pic>
              </a:graphicData>
            </a:graphic>
          </wp:inline>
        </w:drawing>
      </w:r>
    </w:p>
    <w:p w14:paraId="7ADFA93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工位9：合装减壳与主动锥齿轮；主动锥齿轮带内环放上隔圈及预选调整垫片，主动锥齿轮带内环自下而上穿过减壳并放上主锥上轴承内环，压装到位，顶起总成保压状态下（保压压力9MPa左右）测量减壳转动力矩为1-1.5N.m如超差拆卸更换调整垫片至转动力矩符合工艺要求。</w:t>
      </w:r>
    </w:p>
    <w:p w14:paraId="1C0307D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该设备同步具备转动力矩自动检测功能，附带减壳转动驱动装置及转动力矩实时检测显示功能，检测精度满足0.1N.m，驱动速度不低于12r/min。</w:t>
      </w:r>
    </w:p>
    <w:p w14:paraId="613AB6C7">
      <w:pPr>
        <w:pStyle w:val="2"/>
        <w:jc w:val="center"/>
        <w:rPr>
          <w:rFonts w:hint="eastAsia" w:ascii="仿宋" w:hAnsi="仿宋" w:eastAsia="仿宋" w:cs="仿宋"/>
          <w:sz w:val="24"/>
          <w:szCs w:val="24"/>
          <w:lang w:val="en-US" w:eastAsia="zh-CN"/>
        </w:rPr>
      </w:pPr>
      <w:r>
        <w:rPr>
          <w:rFonts w:hint="eastAsia" w:ascii="仿宋" w:hAnsi="仿宋" w:eastAsia="仿宋" w:cs="仿宋"/>
          <w:i w:val="0"/>
          <w:iCs w:val="0"/>
          <w:color w:val="000000"/>
          <w:sz w:val="24"/>
          <w:szCs w:val="24"/>
          <w:u w:val="none"/>
          <w:lang w:eastAsia="zh-CN"/>
        </w:rPr>
        <w:drawing>
          <wp:inline distT="0" distB="0" distL="114300" distR="114300">
            <wp:extent cx="1388745" cy="1898650"/>
            <wp:effectExtent l="9525" t="9525" r="9525" b="11430"/>
            <wp:docPr id="35" name="图片 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descr="05"/>
                    <pic:cNvPicPr>
                      <a:picLocks noChangeAspect="1"/>
                    </pic:cNvPicPr>
                  </pic:nvPicPr>
                  <pic:blipFill>
                    <a:blip r:embed="rId50"/>
                    <a:stretch>
                      <a:fillRect/>
                    </a:stretch>
                  </pic:blipFill>
                  <pic:spPr>
                    <a:xfrm rot="5400000">
                      <a:off x="0" y="0"/>
                      <a:ext cx="1388745" cy="1898650"/>
                    </a:xfrm>
                    <a:prstGeom prst="rect">
                      <a:avLst/>
                    </a:prstGeom>
                    <a:noFill/>
                    <a:ln>
                      <a:solidFill>
                        <a:schemeClr val="tx1"/>
                      </a:solidFill>
                    </a:ln>
                  </pic:spPr>
                </pic:pic>
              </a:graphicData>
            </a:graphic>
          </wp:inline>
        </w:drawing>
      </w:r>
    </w:p>
    <w:p w14:paraId="187D208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工位10：拧紧锁紧螺母；中主减安装被动圆柱齿轮，锁紧螺母涂抹螺纹锁固胶，并拧紧锁紧螺母，拧紧力矩900±100N.m。</w:t>
      </w:r>
    </w:p>
    <w:p w14:paraId="4D0D47D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后主减安装法兰模拟工装，拧紧锁紧螺母，拧紧力矩900±100N.m。</w:t>
      </w:r>
    </w:p>
    <w:p w14:paraId="6AF851A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1388745" cy="2136775"/>
            <wp:effectExtent l="9525" t="9525" r="12700" b="11430"/>
            <wp:docPr id="36" name="图片 5"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descr="06"/>
                    <pic:cNvPicPr>
                      <a:picLocks noChangeAspect="1"/>
                    </pic:cNvPicPr>
                  </pic:nvPicPr>
                  <pic:blipFill>
                    <a:blip r:embed="rId51"/>
                    <a:stretch>
                      <a:fillRect/>
                    </a:stretch>
                  </pic:blipFill>
                  <pic:spPr>
                    <a:xfrm rot="5400000">
                      <a:off x="0" y="0"/>
                      <a:ext cx="1388745" cy="2136775"/>
                    </a:xfrm>
                    <a:prstGeom prst="rect">
                      <a:avLst/>
                    </a:prstGeom>
                    <a:noFill/>
                    <a:ln>
                      <a:solidFill>
                        <a:schemeClr val="tx1"/>
                      </a:solidFill>
                    </a:ln>
                  </pic:spPr>
                </pic:pic>
              </a:graphicData>
            </a:graphic>
          </wp:inline>
        </w:drawing>
      </w:r>
    </w:p>
    <w:p w14:paraId="715C5A2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工位21：后主减总成压装油封及法兰，拧紧锁紧螺母；吊装后主减总成定置在线尾辊道链托盘上，托升锁止导向定位，放置油封总成后通过压力机压装到位，然后放置法兰总成对齐花键入口，通过压力机压装到位，压力要求3-8MPa范围，下一工位完成锁紧螺母拧紧。</w:t>
      </w:r>
    </w:p>
    <w:p w14:paraId="5C50A540">
      <w:pPr>
        <w:pStyle w:val="2"/>
        <w:jc w:val="center"/>
        <w:rPr>
          <w:rFonts w:hint="eastAsia"/>
          <w:lang w:val="en-US" w:eastAsia="zh-CN"/>
        </w:rPr>
      </w:pPr>
      <w:r>
        <w:drawing>
          <wp:inline distT="0" distB="0" distL="114300" distR="114300">
            <wp:extent cx="1541780" cy="1795780"/>
            <wp:effectExtent l="9525" t="9525" r="10795" b="1079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52"/>
                    <a:srcRect l="12803" r="11127"/>
                    <a:stretch>
                      <a:fillRect/>
                    </a:stretch>
                  </pic:blipFill>
                  <pic:spPr>
                    <a:xfrm>
                      <a:off x="0" y="0"/>
                      <a:ext cx="1541780" cy="1795780"/>
                    </a:xfrm>
                    <a:prstGeom prst="rect">
                      <a:avLst/>
                    </a:prstGeom>
                    <a:noFill/>
                    <a:ln>
                      <a:solidFill>
                        <a:schemeClr val="tx1"/>
                      </a:solidFill>
                    </a:ln>
                  </pic:spPr>
                </pic:pic>
              </a:graphicData>
            </a:graphic>
          </wp:inline>
        </w:drawing>
      </w:r>
    </w:p>
    <w:p w14:paraId="26BEEF7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工位23：中主减装调整螺母油封，拧紧到位并回退；调整螺母外螺纹上均匀涂抹螺纹密封胶，调整螺母油封总成旋入主减壳盖螺纹孔中，设备启动拧紧，执行拧紧力矩250N.m,拧紧后转动输入轴十圈，复紧后回退40-50°（生产线原产品参数均为拧紧力矩400N.m，拧紧后转动输入轴十圈，复紧调整螺母后回退35°）</w:t>
      </w:r>
    </w:p>
    <w:p w14:paraId="19F1349B">
      <w:pPr>
        <w:pStyle w:val="2"/>
        <w:jc w:val="center"/>
        <w:rPr>
          <w:rFonts w:hint="eastAsia" w:ascii="仿宋" w:hAnsi="仿宋" w:eastAsia="仿宋" w:cs="仿宋"/>
          <w:sz w:val="24"/>
          <w:szCs w:val="24"/>
          <w:lang w:val="en-US" w:eastAsia="zh-CN"/>
        </w:rPr>
      </w:pPr>
      <w:r>
        <w:rPr>
          <w:rFonts w:hint="eastAsia" w:ascii="仿宋" w:hAnsi="仿宋" w:eastAsia="仿宋" w:cs="仿宋"/>
          <w:sz w:val="24"/>
          <w:szCs w:val="24"/>
          <w:lang w:eastAsia="zh-CN"/>
        </w:rPr>
        <w:drawing>
          <wp:inline distT="0" distB="0" distL="114300" distR="114300">
            <wp:extent cx="1738630" cy="1892935"/>
            <wp:effectExtent l="9525" t="9525" r="17145" b="15240"/>
            <wp:docPr id="39" name="图片 6" descr="微信图片_2024050410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descr="微信图片_20240504102340"/>
                    <pic:cNvPicPr>
                      <a:picLocks noChangeAspect="1"/>
                    </pic:cNvPicPr>
                  </pic:nvPicPr>
                  <pic:blipFill>
                    <a:blip r:embed="rId53"/>
                    <a:stretch>
                      <a:fillRect/>
                    </a:stretch>
                  </pic:blipFill>
                  <pic:spPr>
                    <a:xfrm>
                      <a:off x="0" y="0"/>
                      <a:ext cx="1738630" cy="1892935"/>
                    </a:xfrm>
                    <a:prstGeom prst="rect">
                      <a:avLst/>
                    </a:prstGeom>
                    <a:noFill/>
                    <a:ln>
                      <a:solidFill>
                        <a:schemeClr val="tx1"/>
                      </a:solidFill>
                    </a:ln>
                  </pic:spPr>
                </pic:pic>
              </a:graphicData>
            </a:graphic>
          </wp:inline>
        </w:drawing>
      </w:r>
    </w:p>
    <w:p w14:paraId="77CC1274">
      <w:pPr>
        <w:pStyle w:val="1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rPr>
      </w:pPr>
      <w:r>
        <w:rPr>
          <w:rFonts w:hint="eastAsia" w:ascii="仿宋" w:hAnsi="仿宋" w:eastAsia="仿宋"/>
        </w:rPr>
        <w:t>3.</w:t>
      </w:r>
      <w:r>
        <w:rPr>
          <w:rFonts w:hint="eastAsia" w:ascii="仿宋" w:hAnsi="仿宋" w:eastAsia="仿宋"/>
          <w:lang w:val="en-US" w:eastAsia="zh-CN"/>
        </w:rPr>
        <w:t xml:space="preserve">2 </w:t>
      </w:r>
      <w:r>
        <w:rPr>
          <w:rFonts w:hint="eastAsia" w:ascii="仿宋" w:hAnsi="仿宋" w:eastAsia="仿宋"/>
        </w:rPr>
        <w:t>设计要求</w:t>
      </w:r>
    </w:p>
    <w:p w14:paraId="04EA853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bookmarkStart w:id="269" w:name="_Toc6956"/>
      <w:bookmarkStart w:id="270" w:name="_Toc12930"/>
      <w:bookmarkStart w:id="271" w:name="_Toc4440"/>
      <w:bookmarkStart w:id="272" w:name="_Toc19625"/>
      <w:bookmarkStart w:id="273" w:name="_Toc15114"/>
      <w:bookmarkStart w:id="274" w:name="_Toc6592"/>
      <w:bookmarkStart w:id="275" w:name="_Toc21042"/>
      <w:bookmarkStart w:id="276" w:name="_Toc21034"/>
      <w:bookmarkStart w:id="277" w:name="_Toc30232"/>
      <w:bookmarkStart w:id="278" w:name="_Toc9455"/>
      <w:bookmarkStart w:id="279" w:name="_Toc20138"/>
      <w:bookmarkStart w:id="280" w:name="_Toc6887"/>
      <w:bookmarkStart w:id="281" w:name="_Toc30729"/>
      <w:bookmarkStart w:id="282" w:name="_Toc14275"/>
      <w:bookmarkStart w:id="283" w:name="_Toc32014"/>
      <w:bookmarkStart w:id="284" w:name="_Toc2103"/>
      <w:bookmarkStart w:id="285" w:name="_Toc30017"/>
      <w:bookmarkStart w:id="286" w:name="_Toc2740"/>
      <w:bookmarkStart w:id="287" w:name="_Toc29045"/>
      <w:r>
        <w:rPr>
          <w:rFonts w:hint="eastAsia" w:ascii="仿宋" w:hAnsi="仿宋" w:eastAsia="仿宋" w:cs="仿宋"/>
          <w:sz w:val="24"/>
          <w:szCs w:val="24"/>
          <w:lang w:val="en-US" w:eastAsia="zh-CN"/>
        </w:rPr>
        <w:t>3.2.1 主</w:t>
      </w:r>
      <w:r>
        <w:rPr>
          <w:rFonts w:hint="eastAsia" w:ascii="仿宋" w:hAnsi="仿宋" w:eastAsia="仿宋" w:cs="仿宋"/>
          <w:color w:val="000000" w:themeColor="text1"/>
          <w:sz w:val="24"/>
          <w:szCs w:val="24"/>
          <w:highlight w:val="none"/>
          <w:lang w:val="en-US" w:eastAsia="zh-CN"/>
          <w14:textFill>
            <w14:solidFill>
              <w14:schemeClr w14:val="tx1"/>
            </w14:solidFill>
          </w14:textFill>
        </w:rPr>
        <w:t>减装配D线改造设计要求：</w:t>
      </w:r>
    </w:p>
    <w:p w14:paraId="7AB68D4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3.2.1.1 拆除现有主环线线体，新建主环线辊道线体一组26m；辊道线体为铝型材框架、载荷能力满足1.5T/㎡以上，动力阻尼轮</w:t>
      </w:r>
      <w:r>
        <w:rPr>
          <w:rFonts w:hint="eastAsia" w:ascii="仿宋" w:hAnsi="仿宋" w:eastAsia="仿宋" w:cs="仿宋"/>
          <w:sz w:val="24"/>
          <w:szCs w:val="24"/>
          <w:lang w:val="en-US" w:eastAsia="zh-CN"/>
        </w:rPr>
        <w:t>驱动托盘及工件移动，主环线分布瓦盖拆卸、吊装上线、轴承外环压装及检测安装距、轴承内环压装、锥齿轮合装、保压检测转动力矩并拆卸更换垫片、圆柱齿轮安装及锁紧螺母拧紧，吊装下线8个工位。每工位视工艺需求设置前阻挡器、缓存阻挡器、转向阻挡器。辊道线体四角设置托盘升降转向装置，设置传感器监控具备自动放行、手动放行功能。线体下方至地面固定2mm厚度铁皮围挡并便于拆卸安装，围挡上预留线体维修、工装存放双开门，各工位前铺设连续脚踏板。</w:t>
      </w:r>
    </w:p>
    <w:p w14:paraId="3841C37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3.2.1.2 新增一台16T级液压压力机用于轴承外环压装，附</w:t>
      </w:r>
      <w:r>
        <w:rPr>
          <w:rFonts w:hint="eastAsia" w:ascii="仿宋" w:hAnsi="仿宋" w:eastAsia="仿宋" w:cs="仿宋"/>
          <w:sz w:val="24"/>
          <w:szCs w:val="24"/>
          <w:highlight w:val="none"/>
          <w:lang w:val="en-US" w:eastAsia="zh-CN"/>
        </w:rPr>
        <w:t>载</w:t>
      </w:r>
      <w:r>
        <w:rPr>
          <w:rFonts w:hint="eastAsia" w:ascii="仿宋" w:hAnsi="仿宋" w:eastAsia="仿宋" w:cs="仿宋"/>
          <w:strike w:val="0"/>
          <w:dstrike w:val="0"/>
          <w:sz w:val="24"/>
          <w:szCs w:val="24"/>
          <w:highlight w:val="none"/>
          <w:lang w:val="en-US" w:eastAsia="zh-CN"/>
        </w:rPr>
        <w:t>MCY12BGH</w:t>
      </w:r>
      <w:r>
        <w:rPr>
          <w:rFonts w:hint="eastAsia" w:ascii="仿宋" w:hAnsi="仿宋" w:eastAsia="仿宋" w:cs="仿宋"/>
          <w:sz w:val="24"/>
          <w:szCs w:val="24"/>
          <w:lang w:val="en-US" w:eastAsia="zh-CN"/>
        </w:rPr>
        <w:t>安装距测量装置。要求该工位托盘停止后导向定位，具备托升锁止功能，通过上下压缸检测主减速器壳安装轴承外环的端面安装距，并在压力机显示屏中输出检测值与计算推荐选择垫片厚度值。压力要求3-8MPa，上下压缸均可手动控制启动，具备双手压装功能、具有安全光栅防护，且满足压紧后保压能力，同时满足</w:t>
      </w:r>
      <w:r>
        <w:rPr>
          <w:rFonts w:hint="eastAsia" w:ascii="仿宋" w:hAnsi="仿宋" w:eastAsia="仿宋" w:cs="仿宋"/>
          <w:strike w:val="0"/>
          <w:dstrike w:val="0"/>
          <w:sz w:val="24"/>
          <w:szCs w:val="24"/>
          <w:lang w:val="en-US" w:eastAsia="zh-CN"/>
        </w:rPr>
        <w:t>原产线</w:t>
      </w:r>
      <w:r>
        <w:rPr>
          <w:rFonts w:hint="eastAsia" w:ascii="仿宋" w:hAnsi="仿宋" w:eastAsia="仿宋" w:cs="仿宋"/>
          <w:sz w:val="24"/>
          <w:szCs w:val="24"/>
          <w:lang w:val="en-US" w:eastAsia="zh-CN"/>
        </w:rPr>
        <w:t>产品MCY11/MCY12/MCY13中后主减系列的全型号兼容。</w:t>
      </w:r>
    </w:p>
    <w:p w14:paraId="44E018E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3.2.1.3 新增一台16T级液压压力机用于轴承内环压装。要求该工位托盘停止后导向定位，具备托升锁止功能，上下压缸分别完成导向轴承内环和主锥轴承内环的压装到底。压力要求7-10MPa，上下压缸均可手动控制启动，具备双手压装功能、具有安全光栅防护，且满足压紧后保压能力，同时满足原线体产品MCY11/MCY12/MCY13中后主减系列的全型号兼容。</w:t>
      </w:r>
    </w:p>
    <w:p w14:paraId="66D942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lang w:val="en-US" w:eastAsia="zh-CN"/>
        </w:rPr>
        <w:t>3.2.1.4 新增一台16T级液压压力机用于轴承保压状态自动测量转动力矩，附载自动转动测量力矩装置。要求该工位托盘停止后导向定位，具备托升锁止功能，压装主锥上轴承内环到底，上下压缸压紧使主减速器壳或轴承座升起脱离定位，检测机构驱动主减速器壳圆周旋转并检测实时显示匀速转动过程中的转矩。同时具备拆卸主动锥齿轮功能，当转动力矩检测不符合工艺要求范围时拆卸主动锥齿轮使其上轴承内环脱离，重新选择更换预紧力垫片后重复压紧检测直至转矩检测合格。压力要求8-12MPa，上下压缸均可手动控制启动，具备双手压装功能、具有安全光栅防护，且满足压紧后保压能力，安全光栅触发后仅限制压缸动作锁止</w:t>
      </w:r>
      <w:r>
        <w:rPr>
          <w:rFonts w:hint="eastAsia" w:ascii="仿宋" w:hAnsi="仿宋" w:eastAsia="仿宋" w:cs="仿宋"/>
          <w:sz w:val="24"/>
          <w:szCs w:val="24"/>
          <w:highlight w:val="none"/>
          <w:lang w:val="en-US" w:eastAsia="zh-CN"/>
        </w:rPr>
        <w:t>，不影响持续保压，同时满足MCY11/MCY12/MCY13中后主减系列的全型号兼容。</w:t>
      </w:r>
    </w:p>
    <w:p w14:paraId="3587D92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highlight w:val="none"/>
          <w:lang w:val="en-US" w:eastAsia="zh-CN"/>
        </w:rPr>
      </w:pPr>
      <w:r>
        <w:rPr>
          <w:rFonts w:hint="eastAsia" w:ascii="仿宋" w:hAnsi="仿宋" w:eastAsia="仿宋" w:cs="仿宋"/>
          <w:sz w:val="24"/>
          <w:szCs w:val="24"/>
          <w:highlight w:val="none"/>
          <w:lang w:val="en-US" w:eastAsia="zh-CN"/>
        </w:rPr>
        <w:t>3.2.1.5 线体中增加1套气动升降机构及起吊主锥</w:t>
      </w:r>
      <w:r>
        <w:rPr>
          <w:rFonts w:hint="eastAsia"/>
          <w:lang w:val="en-US" w:eastAsia="zh-CN"/>
        </w:rPr>
        <w:t>装置</w:t>
      </w:r>
      <w:r>
        <w:rPr>
          <w:rFonts w:hint="eastAsia" w:ascii="仿宋" w:hAnsi="仿宋" w:eastAsia="仿宋" w:cs="仿宋"/>
          <w:sz w:val="24"/>
          <w:szCs w:val="24"/>
          <w:highlight w:val="none"/>
          <w:lang w:val="en-US" w:eastAsia="zh-CN"/>
        </w:rPr>
        <w:t>，满足主动锥齿轮完成轴承压装后通过气动升降托盘实现主动锥齿轮下降避让线体托盘，待托盘带主减速器壳工件通过至主动锥齿轮正上方是阻挡停止，启动气动升降机构使主动锥齿轮自下而上穿过壳体，手动安装隔套固定后，气动升降机构下降回位，线体托盘继续放行至下工位。</w:t>
      </w:r>
    </w:p>
    <w:p w14:paraId="340EF49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3.2.1.6 主环线新增一台2000N.m的单轴拧紧机对主动锥齿轮锁紧螺母进行定值拧紧，配置相应的反力工装，拧紧机具备扭矩监控、显示、数据存储功能，参数设置不低于10组档位；拧</w:t>
      </w:r>
      <w:r>
        <w:rPr>
          <w:rFonts w:hint="eastAsia" w:ascii="仿宋" w:hAnsi="仿宋" w:eastAsia="仿宋" w:cs="仿宋"/>
          <w:color w:val="0000FF"/>
          <w:sz w:val="24"/>
          <w:szCs w:val="24"/>
          <w:highlight w:val="none"/>
          <w:lang w:val="en-US" w:eastAsia="zh-CN"/>
        </w:rPr>
        <w:t>紧机拧紧数据。</w:t>
      </w:r>
    </w:p>
    <w:p w14:paraId="119B851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3.2.1.7 增加主锥电动运转小车1台，实现主动锥齿轮安全稳定运输。</w:t>
      </w:r>
    </w:p>
    <w:p w14:paraId="2FD58C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3.2.1.8 设计制作主环线体随行托盘10件，托盘材料选用45钢（厚度30mm，硬度要求25-38HRC，表面镀镍），定位治具支架选用刚性强的金属材料，接触零部件防磕碰的定位块选用耐高温耐磨尼龙材料。兼容原有MCY11/MCY12/MCY13中后主减产品，满足新产品MCY12BGH中后主减壳、主动锥齿轮有效定位导向，保证MCY12BGH系列减壳拆卸轴承盖后放置平稳，运输稳定，运载过程中大盘面朝下且轴承盖位置不与线体及挡停机构干涉。</w:t>
      </w:r>
    </w:p>
    <w:p w14:paraId="31496C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3.2.1.9 设计制作差环线体随行托盘10件，托盘材料选用45钢（厚度30mm，硬度要求25-38HRC，表面镀镍），定位治具支架选用刚性强的金属材料，接触零部件防磕碰的定位块选用耐高温耐磨尼龙材料。兼容原有MCY11/MCY12/MCY13中后主减产品，满足新产品MCY12BGH产品差速器总成与被动锥齿轮有效定位导向，运载过程中差速器总成及轴承不与线体及挡停机构干涉。</w:t>
      </w:r>
    </w:p>
    <w:p w14:paraId="506D07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3.2.1.10 主减装配D线合环新增一台800N.m级单轴拧紧机，拧紧机要求拧紧工装适用于MCY11/MCY12/MCY13/MCY12BGH等四个系列的产品拧紧，工装可快速切换或调整适应产品换型，拧紧工装为双环拧紧，外圈花螺母套头实现中主减调整螺母油封环拧紧、内圈花键套头满足调整螺母拧紧后单独转动输入轴花键、然后执行调整螺母复紧、调整螺母回退等四个步骤的连续程序运行，具备参数记录存储、实时显示、参数设置不低于10组档位。</w:t>
      </w:r>
    </w:p>
    <w:p w14:paraId="716FF8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3.2.1.11 主环上料处增加一台翻转定置架，用于壳体从工位器具吊装至翻转定置架上进行瓦盖拆卸、接油板安装操作，然后进行自动翻转以减壳大盘面朝下的姿态吊装至主环线体托盘上定位放置。</w:t>
      </w:r>
    </w:p>
    <w:p w14:paraId="2C4AB2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3.2.1.12 相关风水电气，地基改造，柔性吊及滑轨的调整改造，设备搬迁移动下线，原线体照明灯及小风扇的重新布局安装。</w:t>
      </w:r>
    </w:p>
    <w:p w14:paraId="49ADE0C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3.2.2 主减装配E线改造设计要求：</w:t>
      </w:r>
    </w:p>
    <w:p w14:paraId="3250B9F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3.2.2.1</w:t>
      </w:r>
      <w:r>
        <w:rPr>
          <w:rFonts w:hint="eastAsia" w:ascii="仿宋" w:hAnsi="仿宋" w:eastAsia="仿宋" w:cs="仿宋"/>
          <w:sz w:val="24"/>
          <w:szCs w:val="24"/>
          <w:highlight w:val="none"/>
          <w:lang w:val="en-US" w:eastAsia="zh-CN"/>
        </w:rPr>
        <w:t xml:space="preserve"> 拆除现有差环线线体，新建差环线辊道线体一组26m，与现有拧紧机、压力机、加热机等设备匹配连接设计，满足生产功能和效率不低于改造前；辊道线体为铝型材框架、动力阻尼轮驱动托盘及工件移动，差环线分布锥齿轮上线、加热锥齿轮、差速器总成上线合装、预紧螺栓、拧紧螺栓、压装差速器轴承、吊装下线7个工位。每工位视工艺需求设置前阻挡器、缓存阻挡器、转向阻挡器。辊道线体四角设置托盘升降转向装置，设置传感器监控具备自动放行、手动放行功能。线体下方至地面固定2mm厚度铁皮围挡并便于拆卸安装，围挡上预留线体维修、工装存放双开门，各工位前铺设连续脚踏板。</w:t>
      </w:r>
    </w:p>
    <w:p w14:paraId="4FF5D9F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highlight w:val="none"/>
          <w:lang w:val="en-US" w:eastAsia="zh-CN"/>
        </w:rPr>
        <w:t>3.2.2.2 拆除现有主环线线体，</w:t>
      </w:r>
      <w:r>
        <w:rPr>
          <w:rFonts w:hint="eastAsia" w:ascii="仿宋" w:hAnsi="仿宋" w:eastAsia="仿宋" w:cs="仿宋"/>
          <w:color w:val="000000" w:themeColor="text1"/>
          <w:sz w:val="24"/>
          <w:szCs w:val="24"/>
          <w:highlight w:val="none"/>
          <w:lang w:val="en-US" w:eastAsia="zh-CN"/>
          <w14:textFill>
            <w14:solidFill>
              <w14:schemeClr w14:val="tx1"/>
            </w14:solidFill>
          </w14:textFill>
        </w:rPr>
        <w:t>新建主环线辊道线体一组26m；辊道线体为铝型材框架、载荷能力满足1.5T/㎡以上，动力阻尼轮驱动托盘及工件移动，主环线分布瓦盖拆卸、吊装上线、轴承外环压装及检测</w:t>
      </w:r>
      <w:r>
        <w:rPr>
          <w:rFonts w:hint="eastAsia" w:ascii="仿宋" w:hAnsi="仿宋" w:eastAsia="仿宋" w:cs="仿宋"/>
          <w:sz w:val="24"/>
          <w:szCs w:val="24"/>
          <w:highlight w:val="none"/>
          <w:lang w:val="en-US" w:eastAsia="zh-CN"/>
        </w:rPr>
        <w:t>安装距、轴承内环压装、锥齿轮合装、保压检测转动力矩并拆卸更换垫片、安</w:t>
      </w:r>
      <w:r>
        <w:rPr>
          <w:rFonts w:hint="eastAsia" w:ascii="仿宋" w:hAnsi="仿宋" w:eastAsia="仿宋" w:cs="仿宋"/>
          <w:sz w:val="24"/>
          <w:szCs w:val="24"/>
          <w:lang w:val="en-US" w:eastAsia="zh-CN"/>
        </w:rPr>
        <w:t>装法兰模拟工装及锁紧螺母拧紧，吊装下线8个工位。每工位视工艺需求设置前阻挡器、缓存阻挡器、转向阻挡器。辊道线体四角设置托盘升降转向装置，设置传感器监控具备自动放行、手动放行功能。线体下方至地面固定2mm厚度铁皮围挡并便于拆卸安装，围挡上预留线体维修、工装存放双开门，各工位前铺设连续脚踏板。</w:t>
      </w:r>
    </w:p>
    <w:p w14:paraId="0B1DC3C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3.2.2.3 新增一台16T级液压压力机用于轴承外环压装，附载安装距测量装置。要求该工位托盘停止后导向定位，具备托升锁止功能，通过上下压缸检测主减速器壳安装轴承外环的端面安装距，并在压力机显示屏中输出检测值与计算推荐选择垫片厚度值。压力要求3-8MPa，上下压缸均可手动控制启动，具备双手压装功能、具有安全光栅防护，且满足压紧后保压能力，同时满足原线体产品MCY11/MCY12/MCY13后主减和MCK50/MCK60/AC26中后主减系列的全型号兼容。</w:t>
      </w:r>
    </w:p>
    <w:p w14:paraId="2CF3F14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3.2.2.4 新增一台16T级液压压力机用于轴承内环压装。要求该工位托盘停止后导向定位，具备托升锁止功能，上下压缸分别完成导向轴承内环和主锥轴承内环的压装到底。压力要求7-10MPa，上下压缸均可手动控制启动，具备双手压装功能、具有安全光栅防护，且满足压紧后保压能力，同时满足原线体产品MCY11/MCY12/MCY13后主减和MCK50/MCK60/AC26中后主减系列的全型号兼容。</w:t>
      </w:r>
    </w:p>
    <w:p w14:paraId="4BC446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3.2.2.5 新增一台16T级液压压力机用于轴承保压状态自动测量转动力矩，附载自动转动测量力矩装置。要求该工位托盘停止后导向定位，具备托升锁止功能，压装主锥上轴承内环到底，上下压缸压紧使主减速器壳升起脱离定位，检测机构驱动主减速器壳圆周旋转并检测实时显示匀速转动过程中的转矩。同时具备拆卸主动锥齿轮功能，当转动力矩检测不符合工艺要求范围时拆卸主动锥齿轮使其上轴承内环脱离，重新选择更换预紧力垫片后重复压紧检测直至转矩检测合格。压力要求8-12MPa，上下压缸均可手动控制启动，具备双手压装功能、具有安全光栅防护，且满足压紧后保压能力，安全光栅触发后仅限制压缸动作锁止，不影响持续保压，同时满足原线体产品MCY11/MCY12/MCY13后主减和MCK50/MCK60/</w:t>
      </w:r>
    </w:p>
    <w:p w14:paraId="5A7A36A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AC26中后主减系列的全型号兼容。</w:t>
      </w:r>
    </w:p>
    <w:p w14:paraId="558131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3.2.2.6 增加一台气动升降机构，满足主动锥齿轮完成轴承压装后通过气动升降托盘实现主动锥齿轮下降避让线体托盘，待托盘带主减速器壳工件通过至主动锥齿轮正上方是阻挡停止，启动气动升降机构使主动锥齿轮自下而上穿过壳体，手动安装隔套固定后，气动升降机构下降回位，线体托盘继续放行至下工位。</w:t>
      </w:r>
    </w:p>
    <w:p w14:paraId="65129E0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3.2.2.7 </w:t>
      </w:r>
      <w:r>
        <w:rPr>
          <w:rFonts w:hint="eastAsia" w:ascii="仿宋" w:hAnsi="仿宋" w:eastAsia="仿宋" w:cs="仿宋"/>
          <w:sz w:val="24"/>
          <w:szCs w:val="24"/>
          <w:highlight w:val="none"/>
          <w:lang w:val="en-US" w:eastAsia="zh-CN"/>
        </w:rPr>
        <w:t>主环线新增一台2000N.m的单轴拧紧机对主动锥齿轮锁紧螺母进行定值拧紧，配置相应的反力工装，拧紧机具备扭矩监控显示存储功能，参数设置不低于10组档位。</w:t>
      </w:r>
    </w:p>
    <w:p w14:paraId="2313F822">
      <w:pPr>
        <w:pStyle w:val="2"/>
        <w:rPr>
          <w:rFonts w:hint="default"/>
          <w:lang w:val="en-US" w:eastAsia="zh-CN"/>
        </w:rPr>
      </w:pPr>
      <w:r>
        <w:rPr>
          <w:rFonts w:hint="eastAsia" w:ascii="仿宋" w:hAnsi="仿宋" w:eastAsia="仿宋" w:cs="仿宋"/>
          <w:sz w:val="24"/>
          <w:szCs w:val="24"/>
          <w:lang w:val="en-US" w:eastAsia="zh-CN"/>
        </w:rPr>
        <w:t xml:space="preserve">    3.2.2.8 新增主锥电动运转小车1台，实现主动锥齿轮安全稳定运输。</w:t>
      </w:r>
    </w:p>
    <w:p w14:paraId="00B2CC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3.2.2.9 设计制作主环线体随行托盘10件，托盘材料选用45钢（厚度30mm，硬度要求25-38HRC，表面镀镍），定位治具支架选用刚性强的金属材料，接触零部件防磕碰的定位块选用耐高温耐磨尼龙材料。兼容原有MCY11/MCY12/MCY13后主减和MCK50/MCK60/AC26中后主减系列产品，满足新产品MCY12BGH后主减壳、主动锥齿轮有效定位导向，保证MCY12BGH系列减壳拆卸轴承盖后放置平稳，运输稳定，运载过程中大盘面朝下且轴承盖位置不与线体及挡停机构干涉。</w:t>
      </w:r>
    </w:p>
    <w:p w14:paraId="7945F56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3.2.2.10 设计制作差环线体随行托盘10件，托盘材料选用45钢（厚度30mm，硬度要求25-38HRC，表面镀镍），定位治具支架选用刚性强的金属材料，接触零部件防磕碰的定位块选用耐高温耐磨尼龙材料。兼容原有MCY11/MCY12/MCY13后主减和MCK50/MCK60/AC26中后主减系列产品，满足新产品MCY12BGH产品差速器总成与被动锥齿轮有效定位导向，运载过程中差速器总成及轴承不与线体及挡停机构干涉。</w:t>
      </w:r>
    </w:p>
    <w:p w14:paraId="7B6BC43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3.2.2.11 设计法兰盘替代工装20套，顶替法兰盘进行支承以及锁紧螺母拧紧，便于拆卸复装。</w:t>
      </w:r>
    </w:p>
    <w:p w14:paraId="7AF1C5A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3.2.2.12 主减装配E线合环线处新增一台16T液压压力机，保证产品啮合区及齿侧隙调整完成后实现对后主减油封的平稳压装，法兰花键压装，具备压力实时监控，具备压装时导向垂直性。</w:t>
      </w:r>
    </w:p>
    <w:p w14:paraId="2900CAA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3.2.2.13 主减装配E线合环线处改造一台原有的2000N.m单轴拧紧机，在液压压力机之后工位处增加悬挂装置，改造通电，新增2m辊道链线体及配套随行托盘3件，分别完成MCY12BGH后主减产品的油封压装、法兰压装、锁紧螺母拧紧锁止、铭牌铆接、总成转动力矩检测、放油螺塞拧紧等6个工步。</w:t>
      </w:r>
    </w:p>
    <w:p w14:paraId="5418CE1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3.2.2.14 主减装配E线合环线体按照全部兼容产品结构制作6套AGV专用固定工装板，适配MCY11/MCY12/MCY13后主减和AC26中后主减以及MCY12BGH后主减等系列产品的全型号壳体上线固定夹紧。</w:t>
      </w:r>
    </w:p>
    <w:p w14:paraId="2D5FC3A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3.2.2.15 主环上料处增加一台翻转定置架，用于壳体从工位器具吊装至翻转定置架上进行瓦盖拆卸、接油板安装操作，然后进行机械翻转后以减壳大盘面朝下的姿态吊装至主环线体托盘上定位放置。</w:t>
      </w:r>
    </w:p>
    <w:p w14:paraId="7CCD2B0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3.2.2.16 相关风水电气、地面填坑平整，地基改造，钢结构柔性吊及滑轨的调整改造，设备搬迁移动下线调整（现有液压机6台、拧紧机2台、压测机2台、气动压床1台），原线体照明灯及小风扇的重新布局安装。</w:t>
      </w:r>
    </w:p>
    <w:p w14:paraId="0BBDA023">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ascii="仿宋" w:hAnsi="仿宋" w:eastAsia="仿宋"/>
        </w:rPr>
      </w:pPr>
      <w:r>
        <w:rPr>
          <w:rFonts w:hint="eastAsia" w:ascii="仿宋" w:hAnsi="仿宋" w:eastAsia="仿宋" w:cs="仿宋"/>
        </w:rPr>
        <w:t>3.</w:t>
      </w:r>
      <w:r>
        <w:rPr>
          <w:rFonts w:hint="eastAsia" w:ascii="仿宋" w:hAnsi="仿宋" w:eastAsia="仿宋" w:cs="仿宋"/>
          <w:lang w:val="en-US" w:eastAsia="zh-CN"/>
        </w:rPr>
        <w:t>3</w:t>
      </w:r>
      <w:r>
        <w:rPr>
          <w:rFonts w:hint="eastAsia" w:ascii="仿宋" w:hAnsi="仿宋" w:eastAsia="仿宋" w:cs="仿宋"/>
        </w:rPr>
        <w:t>技术要求及参数</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67AD872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3.3.1 主要参数及精度配置</w:t>
      </w:r>
    </w:p>
    <w:p w14:paraId="32AF58D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3.3.1.1 压力机设可控压力：3000-16000KG；设备行程≥600mm；压装行程可调；压装机构为一体式C型结构，安装稳定可靠，双手压装，光栅保护，喉深≥350mm，压头到工作台距离≥500mm，具备保压能力。液压缸选用国内顶尖品牌。 </w:t>
      </w:r>
    </w:p>
    <w:p w14:paraId="231267B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3.3.1.2 单轴拧紧机（800N.m级）满足150-800N.m的拧紧范围，拧紧精度要求0.1N.m，精度误差不高于3%。实现拧紧、转动、复紧、回退的四步自动程序运行，实现拧紧参数、转动圈数、回退角度可实时显示，参数设档调节，数据存储传输等功能，参数设档满足10组以上，花螺母拧紧回退过程中转速要求在0.1r/s-1.0r/s内可调，花键转动转速要求在0.5r/s-2.0r/s内可调。单轴拧紧机附带各型号产品拧紧反力装置与工装，承力反力易磨损部件每种提供两套。</w:t>
      </w:r>
    </w:p>
    <w:p w14:paraId="7AC0B33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3.3.1.3 单轴拧紧机（2000N.m级）满足200-2000N.m的拧紧范围，拧紧精度要求0.1N.m，精度误差不高于3%。实现定值拧紧、正反转、角度记录、异常报警等功能，参数设档满足10组以上。拧紧机附带各型号产品拧紧反力装置与工装，承力反力易磨损部件每种提供两套。</w:t>
      </w:r>
    </w:p>
    <w:p w14:paraId="2581887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3.3.1.4每台拧紧工具配有控制器，具备人性化的操作界面；控制器有独立的运行软件系统；具有参数的选择功能；控制器应具有存储能力，可以对拧紧过程中所有的参数进行存储，参数包括但不限于以下内容：日期、时间、扭矩、拧紧角度、是否合格（OK/NOK），控制器本身可存储不小于5000组拧紧数据；控制器应具备网络连接功能，开通网络接口和相关协议；拧紧结果可通过多种形式导出，包括但不限于EXCEL表格形式导。</w:t>
      </w:r>
    </w:p>
    <w:p w14:paraId="5B0F777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3.3.2 主要配置及要求  </w:t>
      </w:r>
    </w:p>
    <w:p w14:paraId="1EECDC6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3.3.2.1 主减装配D线原装配线主环线线体替换为自动传输链线体，E线原装配线主环线与差环线线体替换为自动传输链线体，共计三组环线，每组线体尺寸为一套10m*3m的矩形环线。另增加E线合环处2m辊道链线体的独立传输线。主差环线各配备20套定位托盘及随行治具，以及E线合环支线配备3套定位托盘及随行治具，共计43套。原有线体产品需在传输链线体改造及设备更新改造完成后，满足原有主差环全部工序的装配要求。包括其关联线体传输时的定位、挡停，托盘存放兼容。</w:t>
      </w:r>
    </w:p>
    <w:p w14:paraId="29311A4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3.3.2.2 在主环部分需满足产品在托盘上的定位、挡停位置与压力机的相关定位、拧紧机相关定位、工装及定位元件的兼容性及可快速切换性。可参考现有线体的定位工装进行组合设计。</w:t>
      </w:r>
    </w:p>
    <w:p w14:paraId="1625108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3.3.2.3 定位托盘制作要求：简单易拆卸，方便更换；兼容性强，多种产品采用台阶式兼容，具备强互换性（最多制作两种换型，每种兼容多类型产品）；定位可靠稳定，工件不能随托盘挡停而移动，托盘上的定位件具有减重孔、观察孔，可见压装位置。</w:t>
      </w:r>
    </w:p>
    <w:p w14:paraId="1641C17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3.3.2.4 传输链线体高度（地面至随行托盘上表面）建议核定为750mm，配合线体内压力机高度进行设计制作。</w:t>
      </w:r>
    </w:p>
    <w:p w14:paraId="67ABE47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3.3.2.5 实现产品换型功能，保证在一个生产节拍内完成快速转换工装及定位夹具。</w:t>
      </w:r>
    </w:p>
    <w:p w14:paraId="32025EA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3.3.2.6 强化安全防护设计，实现安全防护，符合国家安全生产法等相关规定标准。</w:t>
      </w:r>
    </w:p>
    <w:p w14:paraId="2042049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3.3.2.7 相关的设计应符合安全、环保、消防、能源、设备技术及劳动法等相关的国家最新标准要求。</w:t>
      </w:r>
    </w:p>
    <w:p w14:paraId="6633149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3.3.2.8 线体配套实现全部涉及产品装配所需的工具、工装、定位元件等由厂家提供且必须提供两套。</w:t>
      </w:r>
    </w:p>
    <w:p w14:paraId="37EADEF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3.3.2.9 主要气动元件采用欧姆龙或同等级别国际知名品牌，光电开关、行程开关等电子元件均采用西门子或同等级别国际知名品牌。</w:t>
      </w:r>
    </w:p>
    <w:p w14:paraId="5417B1B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3.3.2.10 设备电源前端加有漏电保护和报警功能使系统的安全运行得以保证。</w:t>
      </w:r>
    </w:p>
    <w:p w14:paraId="2C02751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 xml:space="preserve">3.3.2.11 所有设备均配备安全防护系统，必须保证人工操作的安全。 </w:t>
      </w:r>
    </w:p>
    <w:p w14:paraId="58B5E89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3.3.2.12 所有电气安装和施工均应符合我国现行行业标准（规范）。</w:t>
      </w:r>
    </w:p>
    <w:p w14:paraId="39644F8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3.3.2.13 主减装配D线传输链线体定位托盘分别匹配新建辊道线体各制作10件，要求设计兼顾满足MCY11中后主减、MCY12中后主减、MCY13中后主减、MCY12BGH中后主减四个系列的产品零部件定置。定位托盘及随行工装满足上述系列产品的定位压装检测，同时具备托升锁止、定位校正、导向支撑、具备产品可拆卸返工能力。</w:t>
      </w:r>
    </w:p>
    <w:p w14:paraId="71F2495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3.3.2.14 主减装配E线传输链线体定位托盘分别匹配新建辊道线体各制作10件，要求设计兼顾满足MCY11后主减、MCY12后主减、MCY13后主减、MCY12BGH后主减以及AC26/MCK50/MCK60中后主减共七个系列的产品零部件定置。定位托盘及随行工装满足上述系列产品的定位压装检测，同时具备托升锁止、定位校正、导向支撑、具备产品可拆卸返工能力。</w:t>
      </w:r>
    </w:p>
    <w:p w14:paraId="44FFEFE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3.3.2.15 上述原有线体产品需在传输链线体改造及设备更新改造过程中，满足原有主差环全部工序的装配要求。包括其关联线体传输时的定位、挡停，托盘存放兼容、压力机压装定位、工装及定位元件兼容及切换，安全防护光幕、压力监控、压力保压等功能。</w:t>
      </w:r>
    </w:p>
    <w:p w14:paraId="2397AD3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3.3.2.16 配备10台三层工具小车满足在线测量所需的工装检具等装置定置存放。</w:t>
      </w:r>
    </w:p>
    <w:p w14:paraId="1D738D6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 投标货物设备要求</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7D4ED2C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3.4.1 设备规范</w:t>
      </w:r>
    </w:p>
    <w:p w14:paraId="2E79B573">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.4.1.1</w:t>
      </w:r>
      <w:r>
        <w:rPr>
          <w:rFonts w:hint="eastAsia" w:ascii="仿宋" w:hAnsi="仿宋" w:eastAsia="仿宋" w:cs="仿宋"/>
          <w:lang w:val="en-US" w:eastAsia="zh-CN"/>
        </w:rPr>
        <w:t xml:space="preserve"> </w:t>
      </w:r>
      <w:r>
        <w:rPr>
          <w:rFonts w:hint="eastAsia" w:ascii="仿宋" w:hAnsi="仿宋" w:eastAsia="仿宋" w:cs="仿宋"/>
        </w:rPr>
        <w:t>设备设计合理，制造精良，性能稳定可靠，且使用维修方便，造型美观，设备的结构应保证有足够的静态、动态、热稳态刚度。</w:t>
      </w:r>
    </w:p>
    <w:p w14:paraId="594880F9">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.4.1.2</w:t>
      </w:r>
      <w:r>
        <w:rPr>
          <w:rFonts w:hint="eastAsia" w:ascii="仿宋" w:hAnsi="仿宋" w:eastAsia="仿宋" w:cs="仿宋"/>
          <w:lang w:val="en-US" w:eastAsia="zh-CN"/>
        </w:rPr>
        <w:t xml:space="preserve"> </w:t>
      </w:r>
      <w:r>
        <w:rPr>
          <w:rFonts w:hint="eastAsia" w:ascii="仿宋" w:hAnsi="仿宋" w:eastAsia="仿宋" w:cs="仿宋"/>
        </w:rPr>
        <w:t>设备防护门安全性好，方便操作维修，并配置门联锁，门联锁与PLC数据程序有互锁要求，在安全门未关闭时，设备无法运行。</w:t>
      </w:r>
    </w:p>
    <w:p w14:paraId="555A2D50">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.4.1.3</w:t>
      </w:r>
      <w:r>
        <w:rPr>
          <w:rFonts w:hint="eastAsia" w:ascii="仿宋" w:hAnsi="仿宋" w:eastAsia="仿宋" w:cs="仿宋"/>
          <w:lang w:val="en-US" w:eastAsia="zh-CN"/>
        </w:rPr>
        <w:t xml:space="preserve"> </w:t>
      </w:r>
      <w:r>
        <w:rPr>
          <w:rFonts w:hint="eastAsia" w:ascii="仿宋" w:hAnsi="仿宋" w:eastAsia="仿宋" w:cs="仿宋"/>
        </w:rPr>
        <w:t>设备所用全部轴承、丝杠、导轨选用NSK\SKF\THK及招标方认可的同等级品牌国际名牌产品。</w:t>
      </w:r>
    </w:p>
    <w:p w14:paraId="14B2660B">
      <w:pPr>
        <w:pStyle w:val="19"/>
        <w:snapToGrid w:val="0"/>
        <w:spacing w:line="360" w:lineRule="auto"/>
        <w:ind w:firstLine="420" w:firstLineChars="200"/>
        <w:rPr>
          <w:rFonts w:hint="eastAsia" w:ascii="仿宋" w:hAnsi="仿宋" w:eastAsia="仿宋" w:cs="仿宋"/>
          <w:lang w:eastAsia="zh-CN"/>
        </w:rPr>
      </w:pPr>
      <w:r>
        <w:rPr>
          <w:rFonts w:hint="eastAsia" w:ascii="仿宋" w:hAnsi="仿宋" w:eastAsia="仿宋" w:cs="仿宋"/>
        </w:rPr>
        <w:t>3</w:t>
      </w:r>
      <w:r>
        <w:rPr>
          <w:rFonts w:ascii="仿宋" w:hAnsi="仿宋" w:eastAsia="仿宋" w:cs="仿宋"/>
        </w:rPr>
        <w:t>.4.2</w:t>
      </w:r>
      <w:r>
        <w:rPr>
          <w:rFonts w:hint="eastAsia" w:ascii="仿宋" w:hAnsi="仿宋" w:eastAsia="仿宋" w:cs="仿宋"/>
          <w:lang w:val="en-US" w:eastAsia="zh-CN"/>
        </w:rPr>
        <w:t xml:space="preserve"> </w:t>
      </w:r>
      <w:r>
        <w:rPr>
          <w:rFonts w:hint="eastAsia" w:ascii="仿宋" w:hAnsi="仿宋" w:eastAsia="仿宋" w:cs="仿宋"/>
        </w:rPr>
        <w:t>电气规范</w:t>
      </w:r>
      <w:r>
        <w:rPr>
          <w:rFonts w:hint="eastAsia" w:ascii="仿宋" w:hAnsi="仿宋" w:eastAsia="仿宋" w:cs="仿宋"/>
          <w:lang w:eastAsia="zh-CN"/>
        </w:rPr>
        <w:t>（</w:t>
      </w:r>
      <w:r>
        <w:rPr>
          <w:rFonts w:hint="eastAsia" w:ascii="仿宋" w:hAnsi="仿宋" w:eastAsia="仿宋" w:cs="仿宋"/>
          <w:lang w:val="en-US" w:eastAsia="zh-CN"/>
        </w:rPr>
        <w:t>如有</w:t>
      </w:r>
      <w:r>
        <w:rPr>
          <w:rFonts w:hint="eastAsia" w:ascii="仿宋" w:hAnsi="仿宋" w:eastAsia="仿宋" w:cs="仿宋"/>
          <w:lang w:eastAsia="zh-CN"/>
        </w:rPr>
        <w:t>）</w:t>
      </w:r>
    </w:p>
    <w:p w14:paraId="4BF0ADB0">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.4.2</w:t>
      </w:r>
      <w:r>
        <w:rPr>
          <w:rFonts w:hint="eastAsia" w:ascii="仿宋" w:hAnsi="仿宋" w:eastAsia="仿宋" w:cs="仿宋"/>
        </w:rPr>
        <w:t>.</w:t>
      </w:r>
      <w:r>
        <w:rPr>
          <w:rFonts w:ascii="仿宋" w:hAnsi="仿宋" w:eastAsia="仿宋" w:cs="仿宋"/>
        </w:rPr>
        <w:t>1</w:t>
      </w:r>
      <w:r>
        <w:rPr>
          <w:rFonts w:hint="eastAsia" w:ascii="仿宋" w:hAnsi="仿宋" w:eastAsia="仿宋" w:cs="仿宋"/>
          <w:lang w:val="en-US" w:eastAsia="zh-CN"/>
        </w:rPr>
        <w:t xml:space="preserve"> </w:t>
      </w:r>
      <w:r>
        <w:rPr>
          <w:rFonts w:hint="eastAsia" w:ascii="仿宋" w:hAnsi="仿宋" w:eastAsia="仿宋" w:cs="仿宋"/>
        </w:rPr>
        <w:t>电器柜标准配置采用全封闭式，电器柜加装工业空调，门框加装密封条，保证密封防尘，外形光洁美观；电器柜内的元件须布局合理，元件之间应保证有足够的空间以便于维修，装有维修用电源插座，元件的安装应整齐规范，号码清晰、耐油、不易脱落，电缆线在电气柜内应长短合适、布局美观；</w:t>
      </w:r>
    </w:p>
    <w:p w14:paraId="7A964D82">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.4.2</w:t>
      </w:r>
      <w:r>
        <w:rPr>
          <w:rFonts w:hint="eastAsia" w:ascii="仿宋" w:hAnsi="仿宋" w:eastAsia="仿宋" w:cs="仿宋"/>
        </w:rPr>
        <w:t>.</w:t>
      </w:r>
      <w:r>
        <w:rPr>
          <w:rFonts w:ascii="仿宋" w:hAnsi="仿宋" w:eastAsia="仿宋" w:cs="仿宋"/>
        </w:rPr>
        <w:t>2</w:t>
      </w:r>
      <w:r>
        <w:rPr>
          <w:rFonts w:hint="eastAsia" w:ascii="仿宋" w:hAnsi="仿宋" w:eastAsia="仿宋" w:cs="仿宋"/>
          <w:lang w:val="en-US" w:eastAsia="zh-CN"/>
        </w:rPr>
        <w:t xml:space="preserve"> </w:t>
      </w:r>
      <w:r>
        <w:rPr>
          <w:rFonts w:hint="eastAsia" w:ascii="仿宋" w:hAnsi="仿宋" w:eastAsia="仿宋" w:cs="仿宋"/>
        </w:rPr>
        <w:t>设备及电气系统必须要做好屏蔽和良好接地；符合相关安全规定、操控部分使用安全电压。</w:t>
      </w:r>
    </w:p>
    <w:p w14:paraId="399E457A">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3</w:t>
      </w:r>
      <w:r>
        <w:rPr>
          <w:rFonts w:ascii="仿宋" w:hAnsi="仿宋" w:eastAsia="仿宋" w:cs="仿宋"/>
        </w:rPr>
        <w:t>.4.2</w:t>
      </w:r>
      <w:r>
        <w:rPr>
          <w:rFonts w:hint="eastAsia" w:ascii="仿宋" w:hAnsi="仿宋" w:eastAsia="仿宋" w:cs="仿宋"/>
        </w:rPr>
        <w:t>.</w:t>
      </w:r>
      <w:r>
        <w:rPr>
          <w:rFonts w:ascii="仿宋" w:hAnsi="仿宋" w:eastAsia="仿宋" w:cs="仿宋"/>
        </w:rPr>
        <w:t>3</w:t>
      </w:r>
      <w:r>
        <w:rPr>
          <w:rFonts w:hint="eastAsia" w:ascii="仿宋" w:hAnsi="仿宋" w:eastAsia="仿宋" w:cs="仿宋"/>
          <w:lang w:val="en-US" w:eastAsia="zh-CN"/>
        </w:rPr>
        <w:t xml:space="preserve"> </w:t>
      </w:r>
      <w:r>
        <w:rPr>
          <w:rFonts w:hint="eastAsia" w:ascii="仿宋" w:hAnsi="仿宋" w:eastAsia="仿宋" w:cs="仿宋"/>
        </w:rPr>
        <w:t>电器元件全部采用取得国际电工认证标准的正规厂商产品，主要电器元件采用施耐德、西门子、巴鲁夫、TRUCK、IFM等世界著名品牌；</w:t>
      </w:r>
    </w:p>
    <w:p w14:paraId="10D3EDC7">
      <w:pPr>
        <w:pStyle w:val="19"/>
        <w:snapToGrid w:val="0"/>
        <w:spacing w:line="360" w:lineRule="auto"/>
        <w:ind w:firstLine="420" w:firstLineChars="200"/>
        <w:rPr>
          <w:rFonts w:ascii="仿宋" w:hAnsi="仿宋" w:eastAsia="仿宋" w:cs="仿宋"/>
        </w:rPr>
      </w:pPr>
      <w:r>
        <w:rPr>
          <w:rFonts w:hint="eastAsia" w:ascii="仿宋" w:hAnsi="仿宋" w:eastAsia="仿宋" w:cs="仿宋"/>
        </w:rPr>
        <w:t>3.4.2.4</w:t>
      </w:r>
      <w:r>
        <w:rPr>
          <w:rFonts w:hint="eastAsia" w:ascii="仿宋" w:hAnsi="仿宋" w:eastAsia="仿宋" w:cs="仿宋"/>
          <w:lang w:val="en-US" w:eastAsia="zh-CN"/>
        </w:rPr>
        <w:t xml:space="preserve"> </w:t>
      </w:r>
      <w:r>
        <w:rPr>
          <w:rFonts w:hint="eastAsia" w:ascii="仿宋" w:hAnsi="仿宋" w:eastAsia="仿宋" w:cs="仿宋"/>
        </w:rPr>
        <w:t>设备和PLC控制系统采用西门子samrt系列、S1200系列、S1500系列、三菱等世界著名品牌，输入输出点各留20%备用点；主要低压元件采用著名公司产品；气动元件、光电开关、行程开关等均采用国内外知名产品；伺服电机、变频器选用西门子等世界著名品牌。</w:t>
      </w:r>
    </w:p>
    <w:p w14:paraId="4A4289C5">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.4.2</w:t>
      </w:r>
      <w:r>
        <w:rPr>
          <w:rFonts w:hint="eastAsia" w:ascii="仿宋" w:hAnsi="仿宋" w:eastAsia="仿宋" w:cs="仿宋"/>
        </w:rPr>
        <w:t>.</w:t>
      </w:r>
      <w:r>
        <w:rPr>
          <w:rFonts w:ascii="仿宋" w:hAnsi="仿宋" w:eastAsia="仿宋" w:cs="仿宋"/>
        </w:rPr>
        <w:t>5</w:t>
      </w:r>
      <w:r>
        <w:rPr>
          <w:rFonts w:hint="eastAsia" w:ascii="仿宋" w:hAnsi="仿宋" w:eastAsia="仿宋" w:cs="仿宋"/>
          <w:lang w:val="en-US" w:eastAsia="zh-CN"/>
        </w:rPr>
        <w:t xml:space="preserve"> </w:t>
      </w:r>
      <w:r>
        <w:rPr>
          <w:rFonts w:hint="eastAsia" w:ascii="仿宋" w:hAnsi="仿宋" w:eastAsia="仿宋" w:cs="仿宋"/>
        </w:rPr>
        <w:t>电气PLC控制器的电源前端加有隔离变压器和滤波器，防止电网的波动和噪声污染使PLC发生故障。同时通过程序实现完善的互锁保护和报警功能使系统的安全运行得以保证。</w:t>
      </w:r>
    </w:p>
    <w:p w14:paraId="105BF0E5">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.4.2</w:t>
      </w:r>
      <w:r>
        <w:rPr>
          <w:rFonts w:hint="eastAsia" w:ascii="仿宋" w:hAnsi="仿宋" w:eastAsia="仿宋" w:cs="仿宋"/>
        </w:rPr>
        <w:t>.</w:t>
      </w:r>
      <w:r>
        <w:rPr>
          <w:rFonts w:ascii="仿宋" w:hAnsi="仿宋" w:eastAsia="仿宋" w:cs="仿宋"/>
        </w:rPr>
        <w:t>6</w:t>
      </w:r>
      <w:r>
        <w:rPr>
          <w:rFonts w:hint="eastAsia" w:ascii="仿宋" w:hAnsi="仿宋" w:eastAsia="仿宋" w:cs="仿宋"/>
          <w:lang w:val="en-US" w:eastAsia="zh-CN"/>
        </w:rPr>
        <w:t xml:space="preserve"> </w:t>
      </w:r>
      <w:r>
        <w:rPr>
          <w:rFonts w:hint="eastAsia" w:ascii="仿宋" w:hAnsi="仿宋" w:eastAsia="仿宋" w:cs="仿宋"/>
        </w:rPr>
        <w:t>整套设备配备电力计量装置。</w:t>
      </w:r>
    </w:p>
    <w:p w14:paraId="06230F87">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.4.2</w:t>
      </w:r>
      <w:r>
        <w:rPr>
          <w:rFonts w:hint="eastAsia" w:ascii="仿宋" w:hAnsi="仿宋" w:eastAsia="仿宋" w:cs="仿宋"/>
        </w:rPr>
        <w:t>.</w:t>
      </w:r>
      <w:r>
        <w:rPr>
          <w:rFonts w:ascii="仿宋" w:hAnsi="仿宋" w:eastAsia="仿宋" w:cs="仿宋"/>
        </w:rPr>
        <w:t xml:space="preserve">7 </w:t>
      </w:r>
      <w:r>
        <w:rPr>
          <w:rFonts w:hint="eastAsia" w:ascii="仿宋" w:hAnsi="仿宋" w:eastAsia="仿宋" w:cs="仿宋"/>
        </w:rPr>
        <w:t>采用LED亮度高、不眩目的照明设施。</w:t>
      </w:r>
    </w:p>
    <w:p w14:paraId="64D328F0">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.4.2</w:t>
      </w:r>
      <w:r>
        <w:rPr>
          <w:rFonts w:hint="eastAsia" w:ascii="仿宋" w:hAnsi="仿宋" w:eastAsia="仿宋" w:cs="仿宋"/>
        </w:rPr>
        <w:t>.</w:t>
      </w:r>
      <w:r>
        <w:rPr>
          <w:rFonts w:ascii="仿宋" w:hAnsi="仿宋" w:eastAsia="仿宋" w:cs="仿宋"/>
        </w:rPr>
        <w:t xml:space="preserve">8 </w:t>
      </w:r>
      <w:r>
        <w:rPr>
          <w:rFonts w:hint="eastAsia" w:ascii="仿宋" w:hAnsi="仿宋" w:eastAsia="仿宋" w:cs="仿宋"/>
        </w:rPr>
        <w:t>对有电子记忆功能的设备推荐合适的电池或不间断电源设备，以使电子记忆在无电情况下不被消除。</w:t>
      </w:r>
    </w:p>
    <w:p w14:paraId="3C625227">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.4.3</w:t>
      </w:r>
      <w:r>
        <w:rPr>
          <w:rFonts w:hint="eastAsia" w:ascii="仿宋" w:hAnsi="仿宋" w:eastAsia="仿宋" w:cs="仿宋"/>
          <w:lang w:val="en-US" w:eastAsia="zh-CN"/>
        </w:rPr>
        <w:t xml:space="preserve"> </w:t>
      </w:r>
      <w:r>
        <w:rPr>
          <w:rFonts w:hint="eastAsia" w:ascii="仿宋" w:hAnsi="仿宋" w:eastAsia="仿宋" w:cs="仿宋"/>
        </w:rPr>
        <w:t>设备液压系统主要配置</w:t>
      </w:r>
      <w:r>
        <w:rPr>
          <w:rFonts w:hint="eastAsia" w:ascii="仿宋" w:hAnsi="仿宋" w:eastAsia="仿宋" w:cs="仿宋"/>
          <w:lang w:eastAsia="zh-CN"/>
        </w:rPr>
        <w:t>（</w:t>
      </w:r>
      <w:r>
        <w:rPr>
          <w:rFonts w:hint="eastAsia" w:ascii="仿宋" w:hAnsi="仿宋" w:eastAsia="仿宋" w:cs="仿宋"/>
          <w:lang w:val="en-US" w:eastAsia="zh-CN"/>
        </w:rPr>
        <w:t>如有</w:t>
      </w:r>
      <w:r>
        <w:rPr>
          <w:rFonts w:hint="eastAsia" w:ascii="仿宋" w:hAnsi="仿宋" w:eastAsia="仿宋" w:cs="仿宋"/>
          <w:lang w:eastAsia="zh-CN"/>
        </w:rPr>
        <w:t>）</w:t>
      </w:r>
      <w:r>
        <w:rPr>
          <w:rFonts w:hint="eastAsia" w:ascii="仿宋" w:hAnsi="仿宋" w:eastAsia="仿宋" w:cs="仿宋"/>
        </w:rPr>
        <w:t>：</w:t>
      </w:r>
    </w:p>
    <w:p w14:paraId="4500B9CE">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.4.3</w:t>
      </w:r>
      <w:r>
        <w:rPr>
          <w:rFonts w:hint="eastAsia" w:ascii="仿宋" w:hAnsi="仿宋" w:eastAsia="仿宋" w:cs="仿宋"/>
        </w:rPr>
        <w:t>.1</w:t>
      </w:r>
      <w:r>
        <w:rPr>
          <w:rFonts w:hint="eastAsia" w:ascii="仿宋" w:hAnsi="仿宋" w:eastAsia="仿宋" w:cs="仿宋"/>
          <w:lang w:val="en-US" w:eastAsia="zh-CN"/>
        </w:rPr>
        <w:t xml:space="preserve"> </w:t>
      </w:r>
      <w:r>
        <w:rPr>
          <w:rFonts w:hint="eastAsia" w:ascii="仿宋" w:hAnsi="仿宋" w:eastAsia="仿宋" w:cs="仿宋"/>
        </w:rPr>
        <w:t>液压系统加装功率足够的加热装置及强制制冷油冷机，油温控制在25-40℃，具备油位、油温显示；油冷却机的吸油口应加装过滤器，过滤器的滤芯应便于清洗和更换；油冷机采用国际知名品牌；</w:t>
      </w:r>
    </w:p>
    <w:p w14:paraId="1442A5F4">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.4.3</w:t>
      </w:r>
      <w:r>
        <w:rPr>
          <w:rFonts w:hint="eastAsia" w:ascii="仿宋" w:hAnsi="仿宋" w:eastAsia="仿宋" w:cs="仿宋"/>
        </w:rPr>
        <w:t>.</w:t>
      </w:r>
      <w:r>
        <w:rPr>
          <w:rFonts w:ascii="仿宋" w:hAnsi="仿宋" w:eastAsia="仿宋" w:cs="仿宋"/>
        </w:rPr>
        <w:t>2</w:t>
      </w:r>
      <w:r>
        <w:rPr>
          <w:rFonts w:hint="eastAsia" w:ascii="仿宋" w:hAnsi="仿宋" w:eastAsia="仿宋" w:cs="仿宋"/>
          <w:lang w:val="en-US" w:eastAsia="zh-CN"/>
        </w:rPr>
        <w:t xml:space="preserve"> </w:t>
      </w:r>
      <w:r>
        <w:rPr>
          <w:rFonts w:hint="eastAsia" w:ascii="仿宋" w:hAnsi="仿宋" w:eastAsia="仿宋" w:cs="仿宋"/>
        </w:rPr>
        <w:t>液压阀采用叠加式，采用国际知名品牌；</w:t>
      </w:r>
    </w:p>
    <w:p w14:paraId="20D3B277">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.4.3</w:t>
      </w:r>
      <w:r>
        <w:rPr>
          <w:rFonts w:hint="eastAsia" w:ascii="仿宋" w:hAnsi="仿宋" w:eastAsia="仿宋" w:cs="仿宋"/>
        </w:rPr>
        <w:t>.</w:t>
      </w:r>
      <w:r>
        <w:rPr>
          <w:rFonts w:ascii="仿宋" w:hAnsi="仿宋" w:eastAsia="仿宋" w:cs="仿宋"/>
        </w:rPr>
        <w:t>3</w:t>
      </w:r>
      <w:r>
        <w:rPr>
          <w:rFonts w:hint="eastAsia" w:ascii="仿宋" w:hAnsi="仿宋" w:eastAsia="仿宋" w:cs="仿宋"/>
          <w:lang w:val="en-US" w:eastAsia="zh-CN"/>
        </w:rPr>
        <w:t xml:space="preserve"> </w:t>
      </w:r>
      <w:r>
        <w:rPr>
          <w:rFonts w:hint="eastAsia" w:ascii="仿宋" w:hAnsi="仿宋" w:eastAsia="仿宋" w:cs="仿宋"/>
        </w:rPr>
        <w:t>液压系统全部采用选用知名产密封件；</w:t>
      </w:r>
    </w:p>
    <w:p w14:paraId="2407665F">
      <w:pPr>
        <w:pStyle w:val="19"/>
        <w:snapToGrid w:val="0"/>
        <w:spacing w:line="360" w:lineRule="auto"/>
        <w:ind w:firstLine="420" w:firstLineChars="200"/>
        <w:rPr>
          <w:rFonts w:ascii="仿宋" w:hAnsi="仿宋" w:eastAsia="仿宋" w:cs="仿宋"/>
        </w:rPr>
      </w:pPr>
      <w:r>
        <w:rPr>
          <w:rFonts w:hint="eastAsia" w:ascii="仿宋" w:hAnsi="仿宋" w:eastAsia="仿宋" w:cs="仿宋"/>
        </w:rPr>
        <w:t>3.4.</w:t>
      </w:r>
      <w:r>
        <w:rPr>
          <w:rFonts w:ascii="仿宋" w:hAnsi="仿宋" w:eastAsia="仿宋" w:cs="仿宋"/>
        </w:rPr>
        <w:t>3</w:t>
      </w:r>
      <w:r>
        <w:rPr>
          <w:rFonts w:hint="eastAsia" w:ascii="仿宋" w:hAnsi="仿宋" w:eastAsia="仿宋" w:cs="仿宋"/>
        </w:rPr>
        <w:t>.</w:t>
      </w:r>
      <w:r>
        <w:rPr>
          <w:rFonts w:ascii="仿宋" w:hAnsi="仿宋" w:eastAsia="仿宋" w:cs="仿宋"/>
        </w:rPr>
        <w:t>4</w:t>
      </w:r>
      <w:r>
        <w:rPr>
          <w:rFonts w:hint="eastAsia" w:ascii="仿宋" w:hAnsi="仿宋" w:eastAsia="仿宋" w:cs="仿宋"/>
          <w:lang w:val="en-US" w:eastAsia="zh-CN"/>
        </w:rPr>
        <w:t xml:space="preserve"> </w:t>
      </w:r>
      <w:r>
        <w:rPr>
          <w:rFonts w:hint="eastAsia" w:ascii="仿宋" w:hAnsi="仿宋" w:eastAsia="仿宋" w:cs="仿宋"/>
        </w:rPr>
        <w:t>具备液压失压保护、报警装置；</w:t>
      </w:r>
    </w:p>
    <w:p w14:paraId="0B1C3E04">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.4.4</w:t>
      </w:r>
      <w:r>
        <w:rPr>
          <w:rFonts w:hint="eastAsia" w:ascii="仿宋" w:hAnsi="仿宋" w:eastAsia="仿宋" w:cs="仿宋"/>
          <w:highlight w:val="none"/>
          <w:lang w:val="en-US" w:eastAsia="zh-CN"/>
        </w:rPr>
        <w:t xml:space="preserve"> </w:t>
      </w:r>
      <w:r>
        <w:rPr>
          <w:rFonts w:hint="eastAsia" w:ascii="仿宋" w:hAnsi="仿宋" w:eastAsia="仿宋" w:cs="仿宋"/>
          <w:highlight w:val="none"/>
        </w:rPr>
        <w:t>控制系统</w:t>
      </w:r>
    </w:p>
    <w:p w14:paraId="6F6F6D43">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rPr>
        <w:t>3</w:t>
      </w:r>
      <w:r>
        <w:rPr>
          <w:rFonts w:ascii="仿宋" w:hAnsi="仿宋" w:eastAsia="仿宋" w:cs="仿宋"/>
        </w:rPr>
        <w:t>.4.4.1</w:t>
      </w:r>
      <w:r>
        <w:rPr>
          <w:rFonts w:hint="eastAsia" w:ascii="仿宋" w:hAnsi="仿宋" w:eastAsia="仿宋" w:cs="仿宋"/>
          <w:lang w:val="en-US" w:eastAsia="zh-CN"/>
        </w:rPr>
        <w:t xml:space="preserve"> </w:t>
      </w:r>
      <w:r>
        <w:rPr>
          <w:rFonts w:hint="eastAsia" w:ascii="仿宋" w:hAnsi="仿宋" w:eastAsia="仿宋" w:cs="仿宋"/>
        </w:rPr>
        <w:t>控制系统具备简体中文显示的人机交互界面，应具备</w:t>
      </w:r>
      <w:r>
        <w:rPr>
          <w:rFonts w:hint="eastAsia" w:ascii="仿宋" w:hAnsi="仿宋" w:eastAsia="仿宋" w:cs="仿宋"/>
          <w:lang w:val="en-US" w:eastAsia="zh-CN"/>
        </w:rPr>
        <w:t>数据</w:t>
      </w:r>
      <w:r>
        <w:rPr>
          <w:rFonts w:hint="eastAsia" w:ascii="仿宋" w:hAnsi="仿宋" w:eastAsia="仿宋" w:cs="仿宋"/>
        </w:rPr>
        <w:t>自动采集、监控并显示、数据存储、</w:t>
      </w:r>
      <w:r>
        <w:rPr>
          <w:rFonts w:hint="eastAsia" w:ascii="仿宋" w:hAnsi="仿宋" w:eastAsia="仿宋" w:cs="仿宋"/>
          <w:lang w:val="en-US" w:eastAsia="zh-CN"/>
        </w:rPr>
        <w:t>历史</w:t>
      </w:r>
      <w:r>
        <w:rPr>
          <w:rFonts w:hint="eastAsia" w:ascii="仿宋" w:hAnsi="仿宋" w:eastAsia="仿宋" w:cs="仿宋"/>
        </w:rPr>
        <w:t>数据查询</w:t>
      </w:r>
      <w:r>
        <w:rPr>
          <w:rFonts w:hint="eastAsia" w:ascii="仿宋" w:hAnsi="仿宋" w:eastAsia="仿宋" w:cs="仿宋"/>
          <w:lang w:eastAsia="zh-CN"/>
        </w:rPr>
        <w:t>、</w:t>
      </w:r>
      <w:r>
        <w:rPr>
          <w:rFonts w:hint="eastAsia" w:ascii="仿宋" w:hAnsi="仿宋" w:eastAsia="仿宋" w:cs="仿宋"/>
        </w:rPr>
        <w:t>生产线（设备）运行状况及生产活动信息数据等</w:t>
      </w:r>
      <w:r>
        <w:rPr>
          <w:rFonts w:hint="eastAsia" w:ascii="仿宋" w:hAnsi="仿宋" w:eastAsia="仿宋" w:cs="仿宋"/>
          <w:highlight w:val="none"/>
        </w:rPr>
        <w:t>功能。生产线（设备）运行状况及生产活动信息数据不限于以下信息：生产状态统计、产品质量监控与统计、设备运行管控、程序管理等。</w:t>
      </w:r>
    </w:p>
    <w:p w14:paraId="7065181E">
      <w:pPr>
        <w:pStyle w:val="19"/>
        <w:snapToGrid w:val="0"/>
        <w:spacing w:line="360" w:lineRule="auto"/>
        <w:ind w:firstLine="480" w:firstLineChars="200"/>
        <w:rPr>
          <w:rFonts w:hint="eastAsia" w:ascii="仿宋" w:hAnsi="仿宋" w:eastAsia="仿宋" w:cs="仿宋"/>
          <w:highlight w:val="none"/>
        </w:rPr>
      </w:pPr>
      <w:r>
        <w:rPr>
          <w:rFonts w:hint="eastAsia" w:ascii="仿宋" w:hAnsi="仿宋" w:eastAsia="仿宋" w:cs="仿宋"/>
          <w:kern w:val="0"/>
          <w:sz w:val="24"/>
          <w:szCs w:val="24"/>
          <w:highlight w:val="none"/>
          <w:lang w:val="en-US" w:eastAsia="zh-CN" w:bidi="ar-SA"/>
        </w:rPr>
        <w:t>3.4.4.2</w:t>
      </w:r>
      <w:r>
        <w:rPr>
          <w:rFonts w:hint="eastAsia" w:ascii="仿宋" w:hAnsi="仿宋" w:eastAsia="仿宋" w:cs="仿宋"/>
          <w:highlight w:val="none"/>
          <w:lang w:val="en-US" w:eastAsia="zh-CN"/>
        </w:rPr>
        <w:t>投标方免费提供数据交互功能，交互数据包括但不限于实时数据、历史数据、报警信息等。</w:t>
      </w:r>
    </w:p>
    <w:p w14:paraId="6E50E376">
      <w:pPr>
        <w:pStyle w:val="19"/>
        <w:snapToGrid w:val="0"/>
        <w:spacing w:line="360" w:lineRule="auto"/>
        <w:ind w:firstLine="480" w:firstLineChars="200"/>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3.4.4.3 控制系统须具有相应的以太网、总线等通讯接口，且免费开放所有通讯接口，</w:t>
      </w:r>
      <w:r>
        <w:rPr>
          <w:rFonts w:hint="eastAsia" w:ascii="仿宋" w:hAnsi="仿宋" w:eastAsia="仿宋" w:cs="仿宋"/>
          <w:highlight w:val="none"/>
        </w:rPr>
        <w:t>提供系统涉及所有通信协议</w:t>
      </w:r>
      <w:r>
        <w:rPr>
          <w:rFonts w:hint="eastAsia" w:ascii="仿宋" w:hAnsi="仿宋" w:eastAsia="仿宋" w:cs="仿宋"/>
          <w:highlight w:val="none"/>
          <w:lang w:eastAsia="zh-CN"/>
        </w:rPr>
        <w:t>，</w:t>
      </w:r>
      <w:r>
        <w:rPr>
          <w:rFonts w:hint="eastAsia" w:ascii="仿宋" w:hAnsi="仿宋" w:eastAsia="仿宋" w:cs="仿宋"/>
          <w:kern w:val="0"/>
          <w:sz w:val="24"/>
          <w:szCs w:val="24"/>
          <w:highlight w:val="none"/>
          <w:lang w:val="en-US" w:eastAsia="zh-CN" w:bidi="ar-SA"/>
        </w:rPr>
        <w:t>包括但不限于以太网、RS232、RS485、PROFIBUS、PROFINET、MODBUS 等常见接口，以及设备特有的专用接口</w:t>
      </w:r>
      <w:r>
        <w:rPr>
          <w:rFonts w:hint="eastAsia" w:ascii="仿宋" w:hAnsi="仿宋" w:eastAsia="仿宋" w:cs="仿宋"/>
          <w:highlight w:val="none"/>
          <w:lang w:eastAsia="zh-CN"/>
        </w:rPr>
        <w:t>。</w:t>
      </w:r>
    </w:p>
    <w:p w14:paraId="3A660792">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.4.4.</w:t>
      </w:r>
      <w:r>
        <w:rPr>
          <w:rFonts w:hint="eastAsia" w:ascii="仿宋" w:hAnsi="仿宋" w:eastAsia="仿宋" w:cs="仿宋"/>
          <w:highlight w:val="none"/>
          <w:lang w:val="en-US" w:eastAsia="zh-CN"/>
        </w:rPr>
        <w:t xml:space="preserve">4 </w:t>
      </w:r>
      <w:r>
        <w:rPr>
          <w:rFonts w:hint="eastAsia" w:ascii="仿宋" w:hAnsi="仿宋" w:eastAsia="仿宋" w:cs="仿宋"/>
          <w:highlight w:val="none"/>
        </w:rPr>
        <w:t>控制系统具备自动、调试、手动功能模式。</w:t>
      </w:r>
    </w:p>
    <w:p w14:paraId="63F237F4">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.4.4.</w:t>
      </w:r>
      <w:r>
        <w:rPr>
          <w:rFonts w:hint="eastAsia" w:ascii="仿宋" w:hAnsi="仿宋" w:eastAsia="仿宋" w:cs="仿宋"/>
          <w:highlight w:val="none"/>
          <w:lang w:val="en-US" w:eastAsia="zh-CN"/>
        </w:rPr>
        <w:t>5 投标方</w:t>
      </w:r>
      <w:r>
        <w:rPr>
          <w:rFonts w:ascii="仿宋" w:hAnsi="仿宋" w:eastAsia="仿宋" w:cs="仿宋"/>
          <w:highlight w:val="none"/>
          <w:lang w:val="en-US" w:eastAsia="zh-CN"/>
        </w:rPr>
        <w:t>必须提供所有设备程序的源代码，包括但不限于 PLC</w:t>
      </w:r>
      <w:r>
        <w:rPr>
          <w:rFonts w:hint="eastAsia" w:ascii="仿宋" w:hAnsi="仿宋" w:eastAsia="仿宋" w:cs="仿宋"/>
          <w:highlight w:val="none"/>
          <w:lang w:val="en-US" w:eastAsia="zh-CN"/>
        </w:rPr>
        <w:t>程序、HMI 程序、机器人程序、视觉程序、伺服等。</w:t>
      </w:r>
    </w:p>
    <w:p w14:paraId="2D0AC0DB">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.4.4.</w:t>
      </w:r>
      <w:r>
        <w:rPr>
          <w:rFonts w:hint="eastAsia" w:ascii="仿宋" w:hAnsi="仿宋" w:eastAsia="仿宋" w:cs="仿宋"/>
          <w:highlight w:val="none"/>
          <w:lang w:val="en-US" w:eastAsia="zh-CN"/>
        </w:rPr>
        <w:t>6</w:t>
      </w:r>
      <w:r>
        <w:rPr>
          <w:rFonts w:ascii="仿宋" w:hAnsi="仿宋" w:eastAsia="仿宋" w:cs="仿宋"/>
          <w:highlight w:val="none"/>
          <w:lang w:val="en-US" w:eastAsia="zh-CN"/>
        </w:rPr>
        <w:t xml:space="preserve"> </w:t>
      </w:r>
      <w:r>
        <w:rPr>
          <w:rFonts w:hint="eastAsia" w:ascii="仿宋" w:hAnsi="仿宋" w:eastAsia="仿宋" w:cs="仿宋"/>
          <w:highlight w:val="none"/>
          <w:lang w:val="en-US" w:eastAsia="zh-CN"/>
        </w:rPr>
        <w:t>投标方</w:t>
      </w:r>
      <w:r>
        <w:rPr>
          <w:rFonts w:ascii="仿宋" w:hAnsi="仿宋" w:eastAsia="仿宋" w:cs="仿宋"/>
          <w:highlight w:val="none"/>
          <w:lang w:val="en-US" w:eastAsia="zh-CN"/>
        </w:rPr>
        <w:t>所提供的程序不得设置任何密码、保护等限制手段，</w:t>
      </w:r>
      <w:r>
        <w:rPr>
          <w:rFonts w:hint="eastAsia" w:ascii="仿宋" w:hAnsi="仿宋" w:eastAsia="仿宋" w:cs="仿宋"/>
          <w:highlight w:val="none"/>
          <w:lang w:val="en-US" w:eastAsia="zh-CN"/>
        </w:rPr>
        <w:t>PLC 不得设置修改下载权限，功能块不得设置密码保护。HMI界面等需要密码保护的程序，投标方必须提供所有级别的用户名、密码。</w:t>
      </w:r>
    </w:p>
    <w:p w14:paraId="7CAE1791">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.4.4.</w:t>
      </w:r>
      <w:r>
        <w:rPr>
          <w:rFonts w:hint="eastAsia" w:ascii="仿宋" w:hAnsi="仿宋" w:eastAsia="仿宋" w:cs="仿宋"/>
          <w:highlight w:val="none"/>
          <w:lang w:val="en-US" w:eastAsia="zh-CN"/>
        </w:rPr>
        <w:t>7 投标方需在设备入场前提供设备程序源码，HMI 界面各级用户名和密码，并保证与现场程序一致。</w:t>
      </w:r>
    </w:p>
    <w:p w14:paraId="6AFE7D6F">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.4.4.</w:t>
      </w:r>
      <w:r>
        <w:rPr>
          <w:rFonts w:hint="eastAsia" w:ascii="仿宋" w:hAnsi="仿宋" w:eastAsia="仿宋" w:cs="仿宋"/>
          <w:highlight w:val="none"/>
          <w:lang w:val="en-US" w:eastAsia="zh-CN"/>
        </w:rPr>
        <w:t>8 投标方需在终验收前提供最新的设备程序源码和电气图纸，图纸要求为可编辑原格式（EPLAN、CAD 格式）且与实际接线一致。</w:t>
      </w:r>
    </w:p>
    <w:p w14:paraId="51CDD01D">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.4.4.</w:t>
      </w:r>
      <w:r>
        <w:rPr>
          <w:rFonts w:hint="eastAsia" w:ascii="仿宋" w:hAnsi="仿宋" w:eastAsia="仿宋" w:cs="仿宋"/>
          <w:highlight w:val="none"/>
          <w:lang w:val="en-US" w:eastAsia="zh-CN"/>
        </w:rPr>
        <w:t xml:space="preserve">9 </w:t>
      </w:r>
      <w:r>
        <w:rPr>
          <w:rFonts w:hint="eastAsia" w:ascii="仿宋" w:hAnsi="仿宋" w:eastAsia="仿宋" w:cs="仿宋"/>
          <w:highlight w:val="none"/>
        </w:rPr>
        <w:t>投标方提供系统恢复盘（备份），在系统出现故障需要重装系统时，保证招标方自主重装系统后，控制系统能后恢复到投标方调试完成最终交付时的状态。</w:t>
      </w:r>
    </w:p>
    <w:p w14:paraId="04B25151">
      <w:pPr>
        <w:pStyle w:val="19"/>
        <w:snapToGrid w:val="0"/>
        <w:spacing w:line="360" w:lineRule="auto"/>
        <w:ind w:firstLine="420" w:firstLineChars="200"/>
        <w:rPr>
          <w:rFonts w:hint="default" w:ascii="仿宋" w:hAnsi="仿宋" w:eastAsia="仿宋" w:cs="仿宋"/>
          <w:highlight w:val="none"/>
          <w:lang w:val="en-US"/>
        </w:rPr>
      </w:pPr>
      <w:r>
        <w:rPr>
          <w:rFonts w:hint="eastAsia" w:ascii="仿宋" w:hAnsi="仿宋" w:eastAsia="仿宋" w:cs="仿宋"/>
          <w:highlight w:val="none"/>
        </w:rPr>
        <w:t>3.4.4.</w:t>
      </w:r>
      <w:r>
        <w:rPr>
          <w:rFonts w:hint="eastAsia" w:ascii="仿宋" w:hAnsi="仿宋" w:eastAsia="仿宋" w:cs="仿宋"/>
          <w:highlight w:val="none"/>
          <w:lang w:val="en-US" w:eastAsia="zh-CN"/>
        </w:rPr>
        <w:t>10 项目若包含在线监控或 MES 系统，所属 MES 系统均应将所提取数据传输至重汽 IOT 平台,并由I0T 平台再传输至厂家 MES系统内。</w:t>
      </w:r>
    </w:p>
    <w:p w14:paraId="04FC040E">
      <w:pPr>
        <w:pStyle w:val="19"/>
        <w:snapToGrid w:val="0"/>
        <w:spacing w:line="360" w:lineRule="auto"/>
        <w:ind w:firstLine="420" w:firstLineChars="200"/>
        <w:rPr>
          <w:rFonts w:hint="eastAsia" w:ascii="仿宋" w:hAnsi="仿宋" w:eastAsia="仿宋" w:cs="仿宋"/>
          <w:highlight w:val="none"/>
          <w:lang w:val="en-US" w:eastAsia="zh-CN"/>
        </w:rPr>
      </w:pPr>
      <w:bookmarkStart w:id="288" w:name="_Toc25559"/>
      <w:bookmarkStart w:id="289" w:name="_Toc1066"/>
      <w:bookmarkStart w:id="290" w:name="_Toc9566"/>
      <w:bookmarkStart w:id="291" w:name="_Toc21361"/>
      <w:bookmarkStart w:id="292" w:name="_Toc8241"/>
      <w:bookmarkStart w:id="293" w:name="_Toc22074"/>
      <w:bookmarkStart w:id="294" w:name="_Toc2308"/>
      <w:bookmarkStart w:id="295" w:name="_Toc18771"/>
      <w:bookmarkStart w:id="296" w:name="_Toc28939"/>
      <w:bookmarkStart w:id="297" w:name="_Toc32414"/>
      <w:bookmarkStart w:id="298" w:name="_Toc16640"/>
      <w:r>
        <w:rPr>
          <w:rFonts w:hint="eastAsia" w:ascii="仿宋" w:hAnsi="仿宋" w:eastAsia="仿宋" w:cs="仿宋"/>
          <w:highlight w:val="none"/>
        </w:rPr>
        <w:t>3.5</w:t>
      </w:r>
      <w:r>
        <w:rPr>
          <w:rFonts w:hint="eastAsia" w:ascii="仿宋" w:hAnsi="仿宋" w:eastAsia="仿宋" w:cs="仿宋"/>
          <w:highlight w:val="none"/>
          <w:lang w:val="en-US" w:eastAsia="zh-CN"/>
        </w:rPr>
        <w:t>工器具</w:t>
      </w:r>
      <w:r>
        <w:rPr>
          <w:rFonts w:hint="eastAsia" w:ascii="仿宋" w:hAnsi="仿宋" w:eastAsia="仿宋" w:cs="仿宋"/>
          <w:highlight w:val="none"/>
        </w:rPr>
        <w:t>要求</w:t>
      </w:r>
      <w:bookmarkEnd w:id="288"/>
      <w:bookmarkEnd w:id="289"/>
      <w:bookmarkEnd w:id="290"/>
      <w:bookmarkEnd w:id="291"/>
      <w:bookmarkEnd w:id="292"/>
      <w:bookmarkEnd w:id="293"/>
      <w:bookmarkEnd w:id="294"/>
      <w:bookmarkEnd w:id="295"/>
      <w:bookmarkEnd w:id="296"/>
      <w:bookmarkEnd w:id="297"/>
      <w:bookmarkEnd w:id="298"/>
    </w:p>
    <w:p w14:paraId="460F66D9">
      <w:pPr>
        <w:pStyle w:val="19"/>
        <w:snapToGrid w:val="0"/>
        <w:spacing w:line="360" w:lineRule="auto"/>
        <w:ind w:firstLine="420" w:firstLineChars="200"/>
        <w:rPr>
          <w:rFonts w:hint="default" w:ascii="仿宋" w:hAnsi="仿宋" w:eastAsia="仿宋" w:cs="仿宋"/>
          <w:highlight w:val="none"/>
          <w:lang w:val="en-US" w:eastAsia="zh-CN"/>
        </w:rPr>
      </w:pPr>
      <w:bookmarkStart w:id="299" w:name="_Toc15181"/>
      <w:bookmarkStart w:id="300" w:name="_Toc16996"/>
      <w:bookmarkStart w:id="301" w:name="_Toc32598"/>
      <w:bookmarkStart w:id="302" w:name="_Toc13942"/>
      <w:bookmarkStart w:id="303" w:name="_Toc11183"/>
      <w:bookmarkStart w:id="304" w:name="_Toc20368"/>
      <w:bookmarkStart w:id="305" w:name="_Toc24889"/>
      <w:bookmarkStart w:id="306" w:name="_Toc2985"/>
      <w:bookmarkStart w:id="307" w:name="_Toc6345"/>
      <w:bookmarkStart w:id="308" w:name="_Toc20611"/>
      <w:bookmarkStart w:id="309" w:name="_Toc6136"/>
      <w:r>
        <w:rPr>
          <w:rFonts w:hint="eastAsia" w:ascii="仿宋" w:hAnsi="仿宋" w:eastAsia="仿宋" w:cs="仿宋"/>
          <w:highlight w:val="none"/>
          <w:lang w:val="en-US" w:eastAsia="zh-CN"/>
        </w:rPr>
        <w:t xml:space="preserve">设备附带各系列产品换型工装，压装机构设计制作设备压头及连接工装。工装要求定位精准，硬度达标。工装、夹具、工具由厂家提供且必须提供两套。提供各设备易损备件清单（包含规格型号）及非标易损件件图纸。 </w:t>
      </w:r>
    </w:p>
    <w:p w14:paraId="342E5C33">
      <w:pPr>
        <w:pStyle w:val="19"/>
        <w:snapToGrid w:val="0"/>
        <w:spacing w:line="360" w:lineRule="auto"/>
        <w:ind w:firstLine="420" w:firstLineChars="200"/>
        <w:rPr>
          <w:rFonts w:hint="eastAsia" w:ascii="仿宋" w:hAnsi="仿宋" w:eastAsia="仿宋" w:cs="仿宋"/>
          <w:lang w:eastAsia="zh-CN"/>
        </w:rPr>
      </w:pPr>
      <w:r>
        <w:rPr>
          <w:rFonts w:hint="eastAsia" w:ascii="仿宋" w:hAnsi="仿宋" w:eastAsia="仿宋" w:cs="仿宋"/>
          <w:highlight w:val="none"/>
        </w:rPr>
        <w:t>3.6</w:t>
      </w:r>
      <w:bookmarkEnd w:id="299"/>
      <w:bookmarkEnd w:id="300"/>
      <w:bookmarkEnd w:id="301"/>
      <w:bookmarkEnd w:id="302"/>
      <w:bookmarkEnd w:id="303"/>
      <w:bookmarkEnd w:id="304"/>
      <w:bookmarkEnd w:id="305"/>
      <w:bookmarkEnd w:id="306"/>
      <w:bookmarkEnd w:id="307"/>
      <w:bookmarkEnd w:id="308"/>
      <w:bookmarkEnd w:id="309"/>
      <w:r>
        <w:rPr>
          <w:rFonts w:hint="eastAsia" w:ascii="仿宋" w:hAnsi="仿宋" w:eastAsia="仿宋" w:cs="仿宋"/>
          <w:highlight w:val="none"/>
        </w:rPr>
        <w:t>本项目</w:t>
      </w:r>
      <w:r>
        <w:rPr>
          <w:rFonts w:hint="eastAsia" w:ascii="仿宋" w:hAnsi="仿宋" w:eastAsia="仿宋" w:cs="仿宋"/>
          <w:highlight w:val="none"/>
          <w:lang w:val="en-US" w:eastAsia="zh-CN"/>
        </w:rPr>
        <w:t>供货及</w:t>
      </w:r>
      <w:r>
        <w:rPr>
          <w:rFonts w:hint="eastAsia" w:ascii="仿宋" w:hAnsi="仿宋" w:eastAsia="仿宋" w:cs="仿宋"/>
          <w:highlight w:val="none"/>
        </w:rPr>
        <w:t>品牌</w:t>
      </w:r>
      <w:r>
        <w:rPr>
          <w:rFonts w:hint="eastAsia" w:ascii="仿宋" w:hAnsi="仿宋" w:eastAsia="仿宋" w:cs="仿宋"/>
          <w:highlight w:val="none"/>
          <w:lang w:val="en-US" w:eastAsia="zh-CN"/>
        </w:rPr>
        <w:t>要求</w:t>
      </w:r>
    </w:p>
    <w:p w14:paraId="7617810A">
      <w:pPr>
        <w:pStyle w:val="19"/>
        <w:numPr>
          <w:ilvl w:val="0"/>
          <w:numId w:val="0"/>
        </w:numPr>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3.6.1 未注明国产或进口的元件均按进口元件选定；</w:t>
      </w:r>
    </w:p>
    <w:p w14:paraId="48457F15">
      <w:pPr>
        <w:pStyle w:val="19"/>
        <w:numPr>
          <w:ilvl w:val="0"/>
          <w:numId w:val="0"/>
        </w:numPr>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3.6.2 出现不能满足附表选型时，应与招标方进行协商，必须取得招标方的批准；</w:t>
      </w:r>
    </w:p>
    <w:p w14:paraId="146AB5FA">
      <w:pPr>
        <w:pStyle w:val="19"/>
        <w:numPr>
          <w:ilvl w:val="0"/>
          <w:numId w:val="0"/>
        </w:numPr>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3.6.3 所有电气零部件保护等级须符合IEC：IP-54以上，如工艺要求更高的防护以实际工艺要求为准。</w:t>
      </w:r>
    </w:p>
    <w:p w14:paraId="17181EFE">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3.7其它主要要求</w:t>
      </w:r>
    </w:p>
    <w:p w14:paraId="2975D1F8">
      <w:pPr>
        <w:pStyle w:val="19"/>
        <w:snapToGrid w:val="0"/>
        <w:spacing w:line="360" w:lineRule="auto"/>
        <w:ind w:firstLine="420" w:firstLineChars="200"/>
        <w:rPr>
          <w:rFonts w:ascii="仿宋" w:hAnsi="仿宋" w:eastAsia="仿宋" w:cs="仿宋"/>
        </w:rPr>
      </w:pPr>
      <w:r>
        <w:rPr>
          <w:rFonts w:hint="eastAsia" w:ascii="仿宋" w:hAnsi="仿宋" w:eastAsia="仿宋" w:cs="仿宋"/>
        </w:rPr>
        <w:t>3.7.</w:t>
      </w:r>
      <w:r>
        <w:rPr>
          <w:rFonts w:hint="eastAsia" w:ascii="仿宋" w:hAnsi="仿宋" w:eastAsia="仿宋" w:cs="仿宋"/>
          <w:lang w:val="en-US" w:eastAsia="zh-CN"/>
        </w:rPr>
        <w:t>1</w:t>
      </w:r>
      <w:r>
        <w:rPr>
          <w:rFonts w:hint="eastAsia" w:ascii="仿宋" w:hAnsi="仿宋" w:eastAsia="仿宋" w:cs="仿宋"/>
        </w:rPr>
        <w:t>项目用能统计</w:t>
      </w:r>
    </w:p>
    <w:tbl>
      <w:tblPr>
        <w:tblStyle w:val="36"/>
        <w:tblW w:w="4997" w:type="pct"/>
        <w:jc w:val="center"/>
        <w:tblLayout w:type="autofit"/>
        <w:tblCellMar>
          <w:top w:w="0" w:type="dxa"/>
          <w:left w:w="0" w:type="dxa"/>
          <w:bottom w:w="0" w:type="dxa"/>
          <w:right w:w="0" w:type="dxa"/>
        </w:tblCellMar>
      </w:tblPr>
      <w:tblGrid>
        <w:gridCol w:w="490"/>
        <w:gridCol w:w="1362"/>
        <w:gridCol w:w="1480"/>
        <w:gridCol w:w="1158"/>
        <w:gridCol w:w="1340"/>
        <w:gridCol w:w="1293"/>
        <w:gridCol w:w="1134"/>
        <w:gridCol w:w="839"/>
      </w:tblGrid>
      <w:tr w14:paraId="0182F2B0">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1C6E6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序号</w:t>
            </w: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36338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项目（设备）名称</w:t>
            </w: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53FA3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项目装机容量（KW）</w:t>
            </w: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F6B35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项目压缩空气用量（m³/h）</w:t>
            </w: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5CEEB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项目用水量（t/h）</w:t>
            </w: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1D949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项目蒸汽用量（t/h）</w:t>
            </w: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644EA3">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天然气用量（m³/h）</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413506">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备注</w:t>
            </w:r>
          </w:p>
        </w:tc>
      </w:tr>
      <w:tr w14:paraId="36044622">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69EE85">
            <w:pPr>
              <w:widowControl/>
              <w:jc w:val="center"/>
              <w:textAlignment w:val="center"/>
              <w:rPr>
                <w:rFonts w:hint="default"/>
                <w:lang w:val="en-US" w:eastAsia="zh-CN"/>
              </w:rPr>
            </w:pPr>
            <w:r>
              <w:rPr>
                <w:rFonts w:hint="eastAsia"/>
                <w:lang w:val="en-US" w:eastAsia="zh-CN"/>
              </w:rPr>
              <w:t>1</w:t>
            </w: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38F18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color w:val="000000"/>
                <w:kern w:val="0"/>
                <w:sz w:val="22"/>
                <w:szCs w:val="22"/>
                <w:u w:val="none"/>
                <w:lang w:val="en-US" w:eastAsia="zh-CN" w:bidi="ar"/>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9E71F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color w:val="000000"/>
                <w:kern w:val="0"/>
                <w:sz w:val="22"/>
                <w:szCs w:val="22"/>
                <w:highlight w:val="none"/>
                <w:u w:val="none"/>
                <w:lang w:val="en-US" w:eastAsia="zh-CN" w:bidi="ar"/>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12A432">
            <w:pPr>
              <w:widowControl/>
              <w:jc w:val="center"/>
              <w:textAlignment w:val="center"/>
              <w:rPr>
                <w:rFonts w:ascii="宋体" w:hAnsi="宋体" w:cs="宋体"/>
                <w:color w:val="000000"/>
                <w:kern w:val="0"/>
                <w:sz w:val="22"/>
                <w:szCs w:val="22"/>
                <w:lang w:bidi="ar"/>
              </w:rPr>
            </w:pP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DBD9E0">
            <w:pPr>
              <w:widowControl/>
              <w:jc w:val="center"/>
              <w:textAlignment w:val="center"/>
              <w:rPr>
                <w:rFonts w:ascii="宋体" w:hAnsi="宋体" w:cs="宋体"/>
                <w:color w:val="000000"/>
                <w:kern w:val="0"/>
                <w:sz w:val="22"/>
                <w:szCs w:val="22"/>
                <w:lang w:bidi="ar"/>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0C255C">
            <w:pPr>
              <w:widowControl/>
              <w:jc w:val="center"/>
              <w:textAlignment w:val="center"/>
              <w:rPr>
                <w:rFonts w:ascii="宋体" w:hAnsi="宋体" w:cs="宋体"/>
                <w:color w:val="000000"/>
                <w:kern w:val="0"/>
                <w:sz w:val="22"/>
                <w:szCs w:val="22"/>
                <w:lang w:bidi="ar"/>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8AB802">
            <w:pPr>
              <w:widowControl/>
              <w:jc w:val="center"/>
              <w:textAlignment w:val="center"/>
              <w:rPr>
                <w:rFonts w:ascii="宋体" w:hAnsi="宋体" w:cs="宋体"/>
                <w:color w:val="000000"/>
                <w:kern w:val="0"/>
                <w:sz w:val="22"/>
                <w:szCs w:val="22"/>
                <w:lang w:bidi="ar"/>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4F0FA0">
            <w:pPr>
              <w:widowControl/>
              <w:jc w:val="center"/>
              <w:textAlignment w:val="center"/>
              <w:rPr>
                <w:rFonts w:ascii="宋体" w:hAnsi="宋体" w:cs="宋体"/>
                <w:color w:val="000000"/>
                <w:kern w:val="0"/>
                <w:sz w:val="22"/>
                <w:szCs w:val="22"/>
                <w:lang w:bidi="ar"/>
              </w:rPr>
            </w:pPr>
          </w:p>
        </w:tc>
      </w:tr>
      <w:tr w14:paraId="114BA481">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2601C0">
            <w:pPr>
              <w:widowControl/>
              <w:jc w:val="center"/>
              <w:textAlignment w:val="center"/>
              <w:rPr>
                <w:rFonts w:hint="eastAsia" w:ascii="宋体" w:hAnsi="宋体" w:eastAsia="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2</w:t>
            </w: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F3F09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color w:val="000000"/>
                <w:kern w:val="0"/>
                <w:sz w:val="22"/>
                <w:szCs w:val="22"/>
                <w:u w:val="none"/>
                <w:lang w:val="en-US" w:eastAsia="zh-CN" w:bidi="ar"/>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5136F2">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color w:val="000000"/>
                <w:kern w:val="0"/>
                <w:sz w:val="22"/>
                <w:szCs w:val="22"/>
                <w:highlight w:val="none"/>
                <w:u w:val="none"/>
                <w:lang w:val="en-US" w:eastAsia="zh-CN" w:bidi="ar"/>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3CE912">
            <w:pPr>
              <w:widowControl/>
              <w:jc w:val="center"/>
              <w:textAlignment w:val="center"/>
              <w:rPr>
                <w:rFonts w:ascii="宋体" w:hAnsi="宋体" w:cs="宋体"/>
                <w:color w:val="000000"/>
                <w:kern w:val="0"/>
                <w:sz w:val="22"/>
                <w:szCs w:val="22"/>
                <w:lang w:bidi="ar"/>
              </w:rPr>
            </w:pP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9CE836">
            <w:pPr>
              <w:widowControl/>
              <w:jc w:val="center"/>
              <w:textAlignment w:val="center"/>
              <w:rPr>
                <w:rFonts w:ascii="宋体" w:hAnsi="宋体" w:cs="宋体"/>
                <w:color w:val="000000"/>
                <w:kern w:val="0"/>
                <w:sz w:val="22"/>
                <w:szCs w:val="22"/>
                <w:lang w:bidi="ar"/>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A9EEDA">
            <w:pPr>
              <w:widowControl/>
              <w:jc w:val="center"/>
              <w:textAlignment w:val="center"/>
              <w:rPr>
                <w:rFonts w:ascii="宋体" w:hAnsi="宋体" w:cs="宋体"/>
                <w:color w:val="000000"/>
                <w:kern w:val="0"/>
                <w:sz w:val="22"/>
                <w:szCs w:val="22"/>
                <w:lang w:bidi="ar"/>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3A8860">
            <w:pPr>
              <w:widowControl/>
              <w:jc w:val="center"/>
              <w:textAlignment w:val="center"/>
              <w:rPr>
                <w:rFonts w:ascii="宋体" w:hAnsi="宋体" w:cs="宋体"/>
                <w:color w:val="000000"/>
                <w:kern w:val="0"/>
                <w:sz w:val="22"/>
                <w:szCs w:val="22"/>
                <w:lang w:bidi="ar"/>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8E8FBC">
            <w:pPr>
              <w:widowControl/>
              <w:jc w:val="center"/>
              <w:textAlignment w:val="center"/>
              <w:rPr>
                <w:rFonts w:ascii="宋体" w:hAnsi="宋体" w:cs="宋体"/>
                <w:color w:val="000000"/>
                <w:kern w:val="0"/>
                <w:sz w:val="22"/>
                <w:szCs w:val="22"/>
                <w:lang w:bidi="ar"/>
              </w:rPr>
            </w:pPr>
          </w:p>
        </w:tc>
      </w:tr>
    </w:tbl>
    <w:p w14:paraId="4723DE66">
      <w:pPr>
        <w:rPr>
          <w:highlight w:val="none"/>
        </w:rPr>
      </w:pPr>
      <w:r>
        <w:rPr>
          <w:rFonts w:hint="eastAsia" w:ascii="仿宋" w:hAnsi="仿宋" w:eastAsia="仿宋"/>
          <w:highlight w:val="none"/>
        </w:rPr>
        <w:t>备注：本表作为投标方编制投标技术文件的一般格式。表中应当尽可能准确并列全。</w:t>
      </w:r>
    </w:p>
    <w:p w14:paraId="2973C46E">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3.7.</w:t>
      </w:r>
      <w:r>
        <w:rPr>
          <w:rFonts w:hint="eastAsia" w:ascii="仿宋" w:hAnsi="仿宋" w:eastAsia="仿宋" w:cs="仿宋"/>
          <w:highlight w:val="none"/>
          <w:lang w:val="en-US" w:eastAsia="zh-CN"/>
        </w:rPr>
        <w:t>2</w:t>
      </w:r>
      <w:r>
        <w:rPr>
          <w:rFonts w:hint="eastAsia" w:ascii="仿宋" w:hAnsi="仿宋" w:eastAsia="仿宋" w:cs="仿宋"/>
          <w:highlight w:val="none"/>
        </w:rPr>
        <w:t>安全及环保要求</w:t>
      </w:r>
    </w:p>
    <w:p w14:paraId="2C01F97F">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3.7.</w:t>
      </w:r>
      <w:r>
        <w:rPr>
          <w:rFonts w:hint="eastAsia" w:ascii="仿宋" w:hAnsi="仿宋" w:eastAsia="仿宋" w:cs="仿宋"/>
          <w:highlight w:val="none"/>
          <w:lang w:val="en-US" w:eastAsia="zh-CN"/>
        </w:rPr>
        <w:t>2</w:t>
      </w:r>
      <w:r>
        <w:rPr>
          <w:rFonts w:hint="eastAsia" w:ascii="仿宋" w:hAnsi="仿宋" w:eastAsia="仿宋" w:cs="仿宋"/>
          <w:highlight w:val="none"/>
        </w:rPr>
        <w:t>.1投标方所供的货物（或生产线），必须符合中国最新版的安全</w:t>
      </w:r>
      <w:r>
        <w:rPr>
          <w:rFonts w:hint="eastAsia" w:ascii="仿宋" w:hAnsi="仿宋" w:eastAsia="仿宋" w:cs="仿宋"/>
          <w:highlight w:val="none"/>
          <w:lang w:eastAsia="zh-CN"/>
        </w:rPr>
        <w:t>、环保、消防及职业健康的</w:t>
      </w:r>
      <w:r>
        <w:rPr>
          <w:rFonts w:hint="eastAsia" w:ascii="仿宋" w:hAnsi="仿宋" w:eastAsia="仿宋" w:cs="仿宋"/>
          <w:highlight w:val="none"/>
        </w:rPr>
        <w:t>法律、法规要求，符合行业安全标准及项目所在地政府有关特殊要求。</w:t>
      </w:r>
    </w:p>
    <w:p w14:paraId="39DCE67C">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3.7.</w:t>
      </w:r>
      <w:r>
        <w:rPr>
          <w:rFonts w:hint="eastAsia" w:ascii="仿宋" w:hAnsi="仿宋" w:eastAsia="仿宋" w:cs="仿宋"/>
          <w:highlight w:val="none"/>
          <w:lang w:val="en-US" w:eastAsia="zh-CN"/>
        </w:rPr>
        <w:t>2</w:t>
      </w:r>
      <w:r>
        <w:rPr>
          <w:rFonts w:hint="eastAsia" w:ascii="仿宋" w:hAnsi="仿宋" w:eastAsia="仿宋" w:cs="仿宋"/>
          <w:highlight w:val="none"/>
        </w:rPr>
        <w:t>.2 货物（或生产线）应完整且所有的零部件应该安装安全、牢固，外观无损伤，所有的焊缝饱满、无残渣等缺陷且符合国家及行业相关标准。</w:t>
      </w:r>
    </w:p>
    <w:p w14:paraId="557F4E56">
      <w:pPr>
        <w:snapToGrid w:val="0"/>
        <w:spacing w:line="360" w:lineRule="auto"/>
        <w:ind w:firstLine="420" w:firstLineChars="200"/>
        <w:jc w:val="left"/>
        <w:rPr>
          <w:rFonts w:ascii="仿宋" w:hAnsi="仿宋" w:eastAsia="仿宋" w:cs="仿宋"/>
        </w:rPr>
      </w:pPr>
      <w:r>
        <w:rPr>
          <w:rFonts w:hint="eastAsia" w:ascii="仿宋" w:hAnsi="仿宋" w:eastAsia="仿宋" w:cs="仿宋"/>
          <w:highlight w:val="none"/>
        </w:rPr>
        <w:t>3.7.</w:t>
      </w:r>
      <w:r>
        <w:rPr>
          <w:rFonts w:hint="eastAsia" w:ascii="仿宋" w:hAnsi="仿宋" w:eastAsia="仿宋" w:cs="仿宋"/>
          <w:highlight w:val="none"/>
          <w:lang w:val="en-US" w:eastAsia="zh-CN"/>
        </w:rPr>
        <w:t>2</w:t>
      </w:r>
      <w:r>
        <w:rPr>
          <w:rFonts w:hint="eastAsia" w:ascii="仿宋" w:hAnsi="仿宋" w:eastAsia="仿宋" w:cs="仿宋"/>
          <w:highlight w:val="none"/>
        </w:rPr>
        <w:t>.3 对生产线存在安全</w:t>
      </w:r>
      <w:r>
        <w:rPr>
          <w:rFonts w:hint="eastAsia" w:ascii="仿宋" w:hAnsi="仿宋" w:eastAsia="仿宋" w:cs="仿宋"/>
          <w:highlight w:val="none"/>
          <w:lang w:val="en-US" w:eastAsia="zh-CN"/>
        </w:rPr>
        <w:t>风险</w:t>
      </w:r>
      <w:r>
        <w:rPr>
          <w:rFonts w:hint="eastAsia" w:ascii="仿宋" w:hAnsi="仿宋" w:eastAsia="仿宋" w:cs="仿宋"/>
          <w:highlight w:val="none"/>
        </w:rPr>
        <w:t>的工位</w:t>
      </w:r>
      <w:r>
        <w:rPr>
          <w:rFonts w:hint="eastAsia" w:ascii="仿宋" w:hAnsi="仿宋" w:eastAsia="仿宋" w:cs="仿宋"/>
        </w:rPr>
        <w:t>必须采取安全措施，如：线体防护板、高温防护、光栅等。</w:t>
      </w:r>
    </w:p>
    <w:p w14:paraId="266175E6">
      <w:pPr>
        <w:snapToGrid w:val="0"/>
        <w:spacing w:line="360" w:lineRule="auto"/>
        <w:ind w:firstLine="420" w:firstLineChars="200"/>
        <w:rPr>
          <w:rFonts w:hint="default" w:ascii="仿宋" w:hAnsi="仿宋" w:eastAsia="仿宋" w:cs="仿宋"/>
          <w:lang w:val="en-US" w:eastAsia="zh-CN"/>
        </w:rPr>
      </w:pPr>
      <w:r>
        <w:rPr>
          <w:rFonts w:hint="eastAsia" w:ascii="仿宋" w:hAnsi="仿宋" w:eastAsia="仿宋" w:cs="仿宋"/>
        </w:rPr>
        <w:t>3.7.</w:t>
      </w:r>
      <w:r>
        <w:rPr>
          <w:rFonts w:hint="eastAsia" w:ascii="仿宋" w:hAnsi="仿宋" w:eastAsia="仿宋" w:cs="仿宋"/>
          <w:lang w:val="en-US" w:eastAsia="zh-CN"/>
        </w:rPr>
        <w:t>2</w:t>
      </w:r>
      <w:r>
        <w:rPr>
          <w:rFonts w:hint="eastAsia" w:ascii="仿宋" w:hAnsi="仿宋" w:eastAsia="仿宋" w:cs="仿宋"/>
        </w:rPr>
        <w:t>.4 从安全生产的角度考虑各单元及工位应设有急停按钮，并有明显标识。</w:t>
      </w:r>
      <w:r>
        <w:rPr>
          <w:rFonts w:hint="eastAsia" w:ascii="仿宋" w:hAnsi="仿宋" w:eastAsia="仿宋" w:cs="仿宋"/>
          <w:lang w:val="en-US" w:eastAsia="zh-CN"/>
        </w:rPr>
        <w:t>压力设备应设有双手压装功能、安全光栅防护，并具备安全光栅触发下的保压能力。</w:t>
      </w:r>
    </w:p>
    <w:p w14:paraId="6DF570E1">
      <w:pPr>
        <w:snapToGrid w:val="0"/>
        <w:spacing w:line="360" w:lineRule="auto"/>
        <w:ind w:firstLine="420" w:firstLineChars="200"/>
        <w:rPr>
          <w:rFonts w:ascii="仿宋" w:hAnsi="仿宋" w:eastAsia="仿宋" w:cs="仿宋"/>
          <w:highlight w:val="none"/>
        </w:rPr>
      </w:pPr>
      <w:r>
        <w:rPr>
          <w:rFonts w:hint="eastAsia" w:ascii="仿宋" w:hAnsi="仿宋" w:eastAsia="仿宋" w:cs="仿宋"/>
        </w:rPr>
        <w:t>3.7.</w:t>
      </w:r>
      <w:r>
        <w:rPr>
          <w:rFonts w:hint="eastAsia" w:ascii="仿宋" w:hAnsi="仿宋" w:eastAsia="仿宋" w:cs="仿宋"/>
          <w:lang w:val="en-US" w:eastAsia="zh-CN"/>
        </w:rPr>
        <w:t>2</w:t>
      </w:r>
      <w:r>
        <w:rPr>
          <w:rFonts w:hint="eastAsia" w:ascii="仿宋" w:hAnsi="仿宋" w:eastAsia="仿宋" w:cs="仿宋"/>
        </w:rPr>
        <w:t>.</w:t>
      </w:r>
      <w:r>
        <w:rPr>
          <w:rFonts w:ascii="仿宋" w:hAnsi="仿宋" w:eastAsia="仿宋" w:cs="仿宋"/>
        </w:rPr>
        <w:t>5</w:t>
      </w:r>
      <w:r>
        <w:rPr>
          <w:rFonts w:hint="eastAsia" w:ascii="仿宋" w:hAnsi="仿宋" w:eastAsia="仿宋" w:cs="仿宋"/>
        </w:rPr>
        <w:t xml:space="preserve"> 单元操作面板上有上电按钮和急停按钮，上</w:t>
      </w:r>
      <w:r>
        <w:rPr>
          <w:rFonts w:hint="eastAsia" w:ascii="仿宋" w:hAnsi="仿宋" w:eastAsia="仿宋" w:cs="仿宋"/>
          <w:highlight w:val="none"/>
        </w:rPr>
        <w:t>电后可对系统进行操作。</w:t>
      </w:r>
    </w:p>
    <w:p w14:paraId="25EB16B3">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3.7.</w:t>
      </w:r>
      <w:r>
        <w:rPr>
          <w:rFonts w:hint="eastAsia" w:ascii="仿宋" w:hAnsi="仿宋" w:eastAsia="仿宋" w:cs="仿宋"/>
          <w:highlight w:val="none"/>
          <w:lang w:val="en-US" w:eastAsia="zh-CN"/>
        </w:rPr>
        <w:t>2</w:t>
      </w:r>
      <w:r>
        <w:rPr>
          <w:rFonts w:hint="eastAsia" w:ascii="仿宋" w:hAnsi="仿宋" w:eastAsia="仿宋" w:cs="仿宋"/>
          <w:highlight w:val="none"/>
        </w:rPr>
        <w:t>.</w:t>
      </w:r>
      <w:r>
        <w:rPr>
          <w:rFonts w:ascii="仿宋" w:hAnsi="仿宋" w:eastAsia="仿宋" w:cs="仿宋"/>
          <w:highlight w:val="none"/>
        </w:rPr>
        <w:t>6</w:t>
      </w:r>
      <w:r>
        <w:rPr>
          <w:rFonts w:hint="eastAsia" w:ascii="仿宋" w:hAnsi="仿宋" w:eastAsia="仿宋" w:cs="仿宋"/>
          <w:highlight w:val="none"/>
        </w:rPr>
        <w:t xml:space="preserve"> 所有电气安装和施工均应符合我国现行行业标准（规范）</w:t>
      </w:r>
      <w:r>
        <w:rPr>
          <w:rFonts w:hint="eastAsia" w:ascii="仿宋" w:hAnsi="仿宋" w:eastAsia="仿宋" w:cs="仿宋"/>
          <w:highlight w:val="none"/>
          <w:lang w:eastAsia="zh-CN"/>
        </w:rPr>
        <w:t>，电器柜需张贴当心触电警示标识</w:t>
      </w:r>
      <w:r>
        <w:rPr>
          <w:rFonts w:hint="eastAsia" w:ascii="仿宋" w:hAnsi="仿宋" w:eastAsia="仿宋" w:cs="仿宋"/>
          <w:highlight w:val="none"/>
        </w:rPr>
        <w:t>。</w:t>
      </w:r>
    </w:p>
    <w:p w14:paraId="4468E3DD">
      <w:pPr>
        <w:snapToGrid w:val="0"/>
        <w:spacing w:line="360" w:lineRule="auto"/>
        <w:ind w:firstLine="420" w:firstLineChars="200"/>
        <w:rPr>
          <w:rFonts w:ascii="仿宋" w:hAnsi="仿宋" w:eastAsia="仿宋" w:cs="仿宋"/>
        </w:rPr>
      </w:pPr>
      <w:r>
        <w:rPr>
          <w:rFonts w:hint="eastAsia" w:ascii="仿宋" w:hAnsi="仿宋" w:eastAsia="仿宋" w:cs="仿宋"/>
        </w:rPr>
        <w:t>3.7.</w:t>
      </w:r>
      <w:r>
        <w:rPr>
          <w:rFonts w:hint="eastAsia" w:ascii="仿宋" w:hAnsi="仿宋" w:eastAsia="仿宋" w:cs="仿宋"/>
          <w:lang w:val="en-US" w:eastAsia="zh-CN"/>
        </w:rPr>
        <w:t>2</w:t>
      </w:r>
      <w:r>
        <w:rPr>
          <w:rFonts w:hint="eastAsia" w:ascii="仿宋" w:hAnsi="仿宋" w:eastAsia="仿宋" w:cs="仿宋"/>
        </w:rPr>
        <w:t>.</w:t>
      </w:r>
      <w:r>
        <w:rPr>
          <w:rFonts w:ascii="仿宋" w:hAnsi="仿宋" w:eastAsia="仿宋" w:cs="仿宋"/>
        </w:rPr>
        <w:t>7</w:t>
      </w:r>
      <w:r>
        <w:rPr>
          <w:rFonts w:hint="eastAsia" w:ascii="仿宋" w:hAnsi="仿宋" w:eastAsia="仿宋" w:cs="仿宋"/>
        </w:rPr>
        <w:t xml:space="preserve"> 投标方必须提供所供设备相应的安全操作规程和安全事项的说明书，危险化学品“一书一签”；负责对招标方相关人员开展“四新”安全培训。</w:t>
      </w:r>
    </w:p>
    <w:p w14:paraId="22AD6A0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3.7.</w:t>
      </w:r>
      <w:r>
        <w:rPr>
          <w:rFonts w:hint="eastAsia" w:ascii="仿宋" w:hAnsi="仿宋" w:eastAsia="仿宋" w:cs="仿宋"/>
          <w:lang w:val="en-US" w:eastAsia="zh-CN"/>
        </w:rPr>
        <w:t>2</w:t>
      </w:r>
      <w:r>
        <w:rPr>
          <w:rFonts w:hint="eastAsia" w:ascii="仿宋" w:hAnsi="仿宋" w:eastAsia="仿宋" w:cs="仿宋"/>
        </w:rPr>
        <w:t>.</w:t>
      </w:r>
      <w:r>
        <w:rPr>
          <w:rFonts w:ascii="仿宋" w:hAnsi="仿宋" w:eastAsia="仿宋" w:cs="仿宋"/>
        </w:rPr>
        <w:t>8</w:t>
      </w:r>
      <w:r>
        <w:rPr>
          <w:rFonts w:hint="eastAsia" w:ascii="仿宋" w:hAnsi="仿宋" w:eastAsia="仿宋" w:cs="仿宋"/>
        </w:rPr>
        <w:t>货物（或生产线）应运行稳定、可靠、安全，无非正常变形，非正常振动，无异常声音；无漏水、漏液、漏气（汽）、漏电等现象。</w:t>
      </w:r>
    </w:p>
    <w:p w14:paraId="4B33A664">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rPr>
        <w:t>3.7.</w:t>
      </w:r>
      <w:r>
        <w:rPr>
          <w:rFonts w:hint="eastAsia" w:ascii="仿宋" w:hAnsi="仿宋" w:eastAsia="仿宋" w:cs="仿宋"/>
          <w:lang w:val="en-US" w:eastAsia="zh-CN"/>
        </w:rPr>
        <w:t>2</w:t>
      </w:r>
      <w:r>
        <w:rPr>
          <w:rFonts w:hint="eastAsia" w:ascii="仿宋" w:hAnsi="仿宋" w:eastAsia="仿宋" w:cs="仿宋"/>
        </w:rPr>
        <w:t>.</w:t>
      </w:r>
      <w:r>
        <w:rPr>
          <w:rFonts w:ascii="仿宋" w:hAnsi="仿宋" w:eastAsia="仿宋" w:cs="仿宋"/>
        </w:rPr>
        <w:t>9</w:t>
      </w:r>
      <w:r>
        <w:rPr>
          <w:rFonts w:hint="eastAsia" w:ascii="仿宋" w:hAnsi="仿宋" w:eastAsia="仿宋" w:cs="仿宋"/>
        </w:rPr>
        <w:t xml:space="preserve"> 所有的管路和线缆等，接头应完全正确、可靠地联接；应排列有序（正确、牢固、整齐），有必要的防护，无皱褶、收缩</w:t>
      </w:r>
      <w:r>
        <w:rPr>
          <w:rFonts w:hint="eastAsia" w:ascii="仿宋" w:hAnsi="仿宋" w:eastAsia="仿宋" w:cs="仿宋"/>
          <w:highlight w:val="none"/>
        </w:rPr>
        <w:t>和裂缝等不良现象。</w:t>
      </w:r>
    </w:p>
    <w:p w14:paraId="3C3A6593">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3.7.</w:t>
      </w:r>
      <w:r>
        <w:rPr>
          <w:rFonts w:hint="eastAsia" w:ascii="仿宋" w:hAnsi="仿宋" w:eastAsia="仿宋" w:cs="仿宋"/>
          <w:highlight w:val="none"/>
          <w:lang w:val="en-US" w:eastAsia="zh-CN"/>
        </w:rPr>
        <w:t>2</w:t>
      </w:r>
      <w:r>
        <w:rPr>
          <w:rFonts w:hint="eastAsia" w:ascii="仿宋" w:hAnsi="仿宋" w:eastAsia="仿宋" w:cs="仿宋"/>
          <w:highlight w:val="none"/>
        </w:rPr>
        <w:t>.1</w:t>
      </w:r>
      <w:r>
        <w:rPr>
          <w:rFonts w:ascii="仿宋" w:hAnsi="仿宋" w:eastAsia="仿宋" w:cs="仿宋"/>
          <w:highlight w:val="none"/>
        </w:rPr>
        <w:t>0</w:t>
      </w:r>
      <w:r>
        <w:rPr>
          <w:rFonts w:hint="eastAsia" w:ascii="仿宋" w:hAnsi="仿宋" w:eastAsia="仿宋" w:cs="仿宋"/>
          <w:highlight w:val="none"/>
        </w:rPr>
        <w:t>地线联接和地极符合国际（ISO/IEC）标准规范</w:t>
      </w:r>
      <w:r>
        <w:rPr>
          <w:rFonts w:hint="eastAsia" w:ascii="仿宋" w:hAnsi="仿宋" w:eastAsia="仿宋" w:cs="仿宋"/>
          <w:highlight w:val="none"/>
          <w:lang w:eastAsia="zh-CN"/>
        </w:rPr>
        <w:t>，电器柜需张贴当心触电警示标识</w:t>
      </w:r>
      <w:r>
        <w:rPr>
          <w:rFonts w:hint="eastAsia" w:ascii="仿宋" w:hAnsi="仿宋" w:eastAsia="仿宋" w:cs="仿宋"/>
          <w:highlight w:val="none"/>
        </w:rPr>
        <w:t>。</w:t>
      </w:r>
    </w:p>
    <w:p w14:paraId="44BE5133">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3.7.</w:t>
      </w:r>
      <w:r>
        <w:rPr>
          <w:rFonts w:hint="eastAsia" w:ascii="仿宋" w:hAnsi="仿宋" w:eastAsia="仿宋" w:cs="仿宋"/>
          <w:lang w:val="en-US" w:eastAsia="zh-CN"/>
        </w:rPr>
        <w:t>2</w:t>
      </w:r>
      <w:r>
        <w:rPr>
          <w:rFonts w:hint="eastAsia" w:ascii="仿宋" w:hAnsi="仿宋" w:eastAsia="仿宋" w:cs="仿宋"/>
        </w:rPr>
        <w:t>.11货物（或生产线）正常运行时，噪声等环境影响因素满足国家（《工作场所物理因素测量 噪声》GBZ/T 189.8-2007. 噪音≤80dB(A)（距设备一米处测量））和当地环保主管部门规定。项目验收时，投标方须提供由第三方监测机构出具的噪音合格监测报告。</w:t>
      </w:r>
    </w:p>
    <w:p w14:paraId="44B253D7">
      <w:pPr>
        <w:snapToGrid w:val="0"/>
        <w:spacing w:line="360" w:lineRule="auto"/>
        <w:ind w:firstLine="420" w:firstLineChars="200"/>
        <w:rPr>
          <w:rFonts w:ascii="仿宋" w:hAnsi="仿宋" w:eastAsia="仿宋" w:cs="仿宋"/>
        </w:rPr>
      </w:pPr>
      <w:r>
        <w:rPr>
          <w:rFonts w:hint="eastAsia" w:ascii="仿宋" w:hAnsi="仿宋" w:eastAsia="仿宋" w:cs="仿宋"/>
        </w:rPr>
        <w:t>3.7.</w:t>
      </w:r>
      <w:r>
        <w:rPr>
          <w:rFonts w:hint="eastAsia" w:ascii="仿宋" w:hAnsi="仿宋" w:eastAsia="仿宋" w:cs="仿宋"/>
          <w:lang w:val="en-US" w:eastAsia="zh-CN"/>
        </w:rPr>
        <w:t>2</w:t>
      </w:r>
      <w:r>
        <w:rPr>
          <w:rFonts w:hint="eastAsia" w:ascii="仿宋" w:hAnsi="仿宋" w:eastAsia="仿宋" w:cs="仿宋"/>
        </w:rPr>
        <w:t>.1</w:t>
      </w:r>
      <w:r>
        <w:rPr>
          <w:rFonts w:ascii="仿宋" w:hAnsi="仿宋" w:eastAsia="仿宋" w:cs="仿宋"/>
        </w:rPr>
        <w:t>2</w:t>
      </w:r>
      <w:r>
        <w:rPr>
          <w:rFonts w:hint="eastAsia" w:ascii="仿宋" w:hAnsi="仿宋" w:eastAsia="仿宋" w:cs="仿宋"/>
        </w:rPr>
        <w:t xml:space="preserve"> 可附有投标方认为能够证明其所供货物（或生产线）安全性水平、节能性水平、环保性水平等相关的其它证明文件或资料、报告等，如电气开关柜等电气设备的内部故障电弧效应试验报告、噪声较大设备的噪声检验报告等。</w:t>
      </w:r>
    </w:p>
    <w:p w14:paraId="4CC98FB3">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rPr>
        <w:t>3.7.</w:t>
      </w:r>
      <w:r>
        <w:rPr>
          <w:rFonts w:hint="eastAsia" w:ascii="仿宋" w:hAnsi="仿宋" w:eastAsia="仿宋" w:cs="仿宋"/>
          <w:lang w:val="en-US" w:eastAsia="zh-CN"/>
        </w:rPr>
        <w:t>2</w:t>
      </w:r>
      <w:r>
        <w:rPr>
          <w:rFonts w:hint="eastAsia" w:ascii="仿宋" w:hAnsi="仿宋" w:eastAsia="仿宋" w:cs="仿宋"/>
        </w:rPr>
        <w:t>.1</w:t>
      </w:r>
      <w:r>
        <w:rPr>
          <w:rFonts w:ascii="仿宋" w:hAnsi="仿宋" w:eastAsia="仿宋" w:cs="仿宋"/>
        </w:rPr>
        <w:t>3</w:t>
      </w:r>
      <w:r>
        <w:rPr>
          <w:rFonts w:hint="eastAsia" w:ascii="仿宋" w:hAnsi="仿宋" w:eastAsia="仿宋" w:cs="仿宋"/>
        </w:rPr>
        <w:t xml:space="preserve"> 涉及需要进行环保、职业卫生强制检测的项目（设备、设施），应由</w:t>
      </w:r>
      <w:r>
        <w:rPr>
          <w:rFonts w:hint="eastAsia" w:ascii="仿宋" w:hAnsi="仿宋" w:eastAsia="仿宋" w:cs="仿宋"/>
          <w:highlight w:val="none"/>
        </w:rPr>
        <w:t>中标方提供权威第三方检测机构出具的完工检测报告。</w:t>
      </w:r>
    </w:p>
    <w:p w14:paraId="6B64ACE0">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3.7.</w:t>
      </w:r>
      <w:r>
        <w:rPr>
          <w:rFonts w:hint="eastAsia" w:ascii="仿宋" w:hAnsi="仿宋" w:eastAsia="仿宋" w:cs="仿宋"/>
          <w:lang w:val="en-US" w:eastAsia="zh-CN"/>
        </w:rPr>
        <w:t xml:space="preserve">3 </w:t>
      </w:r>
      <w:r>
        <w:rPr>
          <w:rFonts w:hint="eastAsia" w:ascii="仿宋" w:hAnsi="仿宋" w:eastAsia="仿宋" w:cs="仿宋"/>
        </w:rPr>
        <w:t>投标方所投货物外观颜色标准按招标方提供的标准《Q/ZZ 30070—2020》或双方书面约定的标准执行。</w:t>
      </w:r>
    </w:p>
    <w:p w14:paraId="4069F35C">
      <w:pPr>
        <w:pStyle w:val="19"/>
        <w:snapToGrid w:val="0"/>
        <w:spacing w:line="360" w:lineRule="auto"/>
        <w:ind w:firstLine="420" w:firstLineChars="200"/>
        <w:jc w:val="center"/>
        <w:rPr>
          <w:rFonts w:hint="eastAsia" w:ascii="仿宋" w:hAnsi="仿宋" w:eastAsia="仿宋" w:cs="仿宋"/>
        </w:rPr>
      </w:pPr>
      <w:r>
        <w:rPr>
          <w:rFonts w:hint="eastAsia" w:ascii="仿宋" w:hAnsi="仿宋" w:eastAsia="仿宋" w:cs="仿宋"/>
          <w:lang w:eastAsia="zh-CN"/>
        </w:rPr>
        <w:drawing>
          <wp:inline distT="0" distB="0" distL="114300" distR="114300">
            <wp:extent cx="3181985" cy="3162300"/>
            <wp:effectExtent l="0" t="0" r="5715" b="0"/>
            <wp:docPr id="40" name="图片 40" descr="172083819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720838193733"/>
                    <pic:cNvPicPr>
                      <a:picLocks noChangeAspect="1"/>
                    </pic:cNvPicPr>
                  </pic:nvPicPr>
                  <pic:blipFill>
                    <a:blip r:embed="rId54"/>
                    <a:stretch>
                      <a:fillRect/>
                    </a:stretch>
                  </pic:blipFill>
                  <pic:spPr>
                    <a:xfrm>
                      <a:off x="0" y="0"/>
                      <a:ext cx="3181985" cy="3162300"/>
                    </a:xfrm>
                    <a:prstGeom prst="rect">
                      <a:avLst/>
                    </a:prstGeom>
                  </pic:spPr>
                </pic:pic>
              </a:graphicData>
            </a:graphic>
          </wp:inline>
        </w:drawing>
      </w:r>
    </w:p>
    <w:p w14:paraId="68BAADAB">
      <w:pPr>
        <w:pStyle w:val="19"/>
        <w:snapToGrid w:val="0"/>
        <w:spacing w:line="360" w:lineRule="auto"/>
        <w:ind w:firstLine="420" w:firstLineChars="200"/>
        <w:jc w:val="center"/>
        <w:rPr>
          <w:rFonts w:hint="eastAsia" w:ascii="仿宋" w:hAnsi="仿宋" w:eastAsia="仿宋" w:cs="仿宋"/>
        </w:rPr>
      </w:pPr>
      <w:r>
        <w:rPr>
          <w:rFonts w:hint="eastAsia" w:ascii="仿宋" w:hAnsi="仿宋" w:eastAsia="仿宋" w:cs="仿宋"/>
          <w:lang w:eastAsia="zh-CN"/>
        </w:rPr>
        <w:drawing>
          <wp:inline distT="0" distB="0" distL="114300" distR="114300">
            <wp:extent cx="3239770" cy="1148715"/>
            <wp:effectExtent l="0" t="0" r="11430" b="6985"/>
            <wp:docPr id="41" name="图片 41" descr="172083826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720838269968"/>
                    <pic:cNvPicPr>
                      <a:picLocks noChangeAspect="1"/>
                    </pic:cNvPicPr>
                  </pic:nvPicPr>
                  <pic:blipFill>
                    <a:blip r:embed="rId55"/>
                    <a:stretch>
                      <a:fillRect/>
                    </a:stretch>
                  </pic:blipFill>
                  <pic:spPr>
                    <a:xfrm>
                      <a:off x="0" y="0"/>
                      <a:ext cx="3239770" cy="1148715"/>
                    </a:xfrm>
                    <a:prstGeom prst="rect">
                      <a:avLst/>
                    </a:prstGeom>
                  </pic:spPr>
                </pic:pic>
              </a:graphicData>
            </a:graphic>
          </wp:inline>
        </w:drawing>
      </w:r>
    </w:p>
    <w:p w14:paraId="15C38FCE">
      <w:pPr>
        <w:snapToGrid w:val="0"/>
        <w:spacing w:line="360" w:lineRule="auto"/>
        <w:ind w:firstLine="422" w:firstLineChars="200"/>
        <w:outlineLvl w:val="1"/>
        <w:rPr>
          <w:rFonts w:ascii="仿宋" w:hAnsi="仿宋" w:eastAsia="仿宋" w:cs="仿宋"/>
          <w:b/>
          <w:bCs/>
        </w:rPr>
      </w:pPr>
      <w:bookmarkStart w:id="310" w:name="_Toc16595"/>
      <w:bookmarkStart w:id="311" w:name="_Toc1717"/>
      <w:bookmarkStart w:id="312" w:name="_Toc28134"/>
      <w:bookmarkStart w:id="313" w:name="_Toc31832"/>
      <w:bookmarkStart w:id="314" w:name="_Toc8256"/>
      <w:bookmarkStart w:id="315" w:name="_Toc31509"/>
      <w:bookmarkStart w:id="316" w:name="_Toc31046"/>
      <w:bookmarkStart w:id="317" w:name="_Toc16458"/>
      <w:bookmarkStart w:id="318" w:name="_Toc11448"/>
      <w:bookmarkStart w:id="319" w:name="_Toc12383"/>
      <w:bookmarkStart w:id="320" w:name="_Toc13730"/>
      <w:bookmarkStart w:id="321" w:name="_Toc4932"/>
      <w:bookmarkStart w:id="322" w:name="_Toc2761"/>
      <w:bookmarkStart w:id="323" w:name="_Toc73"/>
      <w:bookmarkStart w:id="324" w:name="_Toc2382"/>
      <w:bookmarkStart w:id="325" w:name="_Toc3721"/>
      <w:bookmarkStart w:id="326" w:name="_Toc11655"/>
      <w:bookmarkStart w:id="327" w:name="_Toc963"/>
      <w:bookmarkStart w:id="328" w:name="_Toc14086"/>
      <w:bookmarkStart w:id="329" w:name="_Toc14715"/>
      <w:bookmarkStart w:id="330" w:name="_Toc14191"/>
      <w:bookmarkStart w:id="331" w:name="_Toc10838"/>
      <w:bookmarkStart w:id="332" w:name="_Toc30526"/>
      <w:bookmarkStart w:id="333" w:name="_Toc15063"/>
      <w:bookmarkStart w:id="334" w:name="_Toc24311"/>
      <w:bookmarkStart w:id="335" w:name="_Toc11582"/>
      <w:bookmarkStart w:id="336" w:name="_Toc24970"/>
      <w:bookmarkStart w:id="337" w:name="_Toc466"/>
      <w:bookmarkStart w:id="338" w:name="_Toc3096"/>
      <w:bookmarkStart w:id="339" w:name="_Toc11237"/>
      <w:bookmarkStart w:id="340" w:name="_Toc25096"/>
      <w:bookmarkStart w:id="341" w:name="_Toc12980"/>
      <w:bookmarkStart w:id="342" w:name="_Toc73112402"/>
      <w:bookmarkStart w:id="343" w:name="_Toc28302"/>
      <w:bookmarkStart w:id="344" w:name="_Toc17206"/>
      <w:bookmarkStart w:id="345" w:name="_Toc16723"/>
      <w:bookmarkStart w:id="346" w:name="_Toc10224"/>
      <w:bookmarkStart w:id="347" w:name="_Toc900"/>
      <w:bookmarkStart w:id="348" w:name="_Toc28651"/>
      <w:bookmarkStart w:id="349" w:name="_Toc24239"/>
      <w:bookmarkStart w:id="350" w:name="_Toc8333"/>
      <w:bookmarkStart w:id="351" w:name="_Toc14754"/>
      <w:r>
        <w:rPr>
          <w:rFonts w:hint="eastAsia" w:ascii="仿宋" w:hAnsi="仿宋" w:eastAsia="仿宋" w:cs="仿宋"/>
          <w:b/>
          <w:bCs/>
        </w:rPr>
        <w:t>4</w:t>
      </w:r>
      <w:r>
        <w:rPr>
          <w:rFonts w:hint="eastAsia" w:ascii="仿宋" w:hAnsi="仿宋" w:eastAsia="仿宋" w:cs="仿宋"/>
          <w:b/>
          <w:bCs/>
          <w:lang w:val="en-US" w:eastAsia="zh-CN"/>
        </w:rPr>
        <w:t xml:space="preserve"> </w:t>
      </w:r>
      <w:r>
        <w:rPr>
          <w:rFonts w:hint="eastAsia" w:ascii="仿宋" w:hAnsi="仿宋" w:eastAsia="仿宋" w:cs="仿宋"/>
          <w:b/>
          <w:bCs/>
        </w:rPr>
        <w:t>特别提示</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1F69D571">
      <w:pPr>
        <w:pStyle w:val="19"/>
        <w:snapToGrid w:val="0"/>
        <w:spacing w:line="360" w:lineRule="auto"/>
        <w:ind w:firstLine="420" w:firstLineChars="200"/>
        <w:rPr>
          <w:rFonts w:ascii="仿宋" w:hAnsi="仿宋" w:eastAsia="仿宋" w:cs="仿宋"/>
        </w:rPr>
      </w:pPr>
      <w:r>
        <w:rPr>
          <w:rFonts w:hint="eastAsia" w:ascii="仿宋" w:hAnsi="仿宋" w:eastAsia="仿宋" w:cs="仿宋"/>
        </w:rPr>
        <w:t>4.1</w:t>
      </w:r>
      <w:r>
        <w:rPr>
          <w:rFonts w:hint="eastAsia" w:ascii="仿宋" w:hAnsi="仿宋" w:eastAsia="仿宋" w:cs="仿宋"/>
          <w:lang w:val="en-US" w:eastAsia="zh-CN"/>
        </w:rPr>
        <w:t xml:space="preserve"> </w:t>
      </w:r>
      <w:r>
        <w:rPr>
          <w:rFonts w:hint="eastAsia" w:ascii="仿宋" w:hAnsi="仿宋" w:eastAsia="仿宋" w:cs="仿宋"/>
        </w:rPr>
        <w:t>本技术要求，仅对功能、设计、结构、性能、安装和试验等方面，提出了最低和一般性的技术要求；并未对一切技术细节作出规定，未充分引述有关标准和规范的条文。投标方应保证提供的货物（或生产线）是符合本技术标书和国家最新的有关标准、规范的优质产品。若有异议，不管是多么微小，都应在投标文件“技术偏离”中予以详细说明。</w:t>
      </w:r>
    </w:p>
    <w:p w14:paraId="71C6DBEA">
      <w:pPr>
        <w:pStyle w:val="19"/>
        <w:snapToGrid w:val="0"/>
        <w:spacing w:line="360" w:lineRule="auto"/>
        <w:ind w:firstLine="420" w:firstLineChars="200"/>
        <w:rPr>
          <w:rFonts w:ascii="仿宋" w:hAnsi="仿宋" w:eastAsia="仿宋" w:cs="仿宋"/>
        </w:rPr>
      </w:pPr>
      <w:r>
        <w:rPr>
          <w:rFonts w:hint="eastAsia" w:ascii="仿宋" w:hAnsi="仿宋" w:eastAsia="仿宋" w:cs="仿宋"/>
        </w:rPr>
        <w:t>4.2</w:t>
      </w:r>
      <w:r>
        <w:rPr>
          <w:rFonts w:hint="eastAsia" w:ascii="仿宋" w:hAnsi="仿宋" w:eastAsia="仿宋" w:cs="仿宋"/>
          <w:lang w:val="en-US" w:eastAsia="zh-CN"/>
        </w:rPr>
        <w:t xml:space="preserve"> </w:t>
      </w:r>
      <w:r>
        <w:rPr>
          <w:rFonts w:hint="eastAsia" w:ascii="仿宋" w:hAnsi="仿宋" w:eastAsia="仿宋" w:cs="仿宋"/>
        </w:rPr>
        <w:t>本技术要求所使用的标准、规范等，如与投标方所执行的标准、规范不一致时，应按高于本技术要求所列的标准、规范执行，并在投标文件“技术偏离”中予以说明。</w:t>
      </w:r>
    </w:p>
    <w:p w14:paraId="54DB0C07">
      <w:pPr>
        <w:pStyle w:val="19"/>
        <w:snapToGrid w:val="0"/>
        <w:spacing w:line="360" w:lineRule="auto"/>
        <w:ind w:firstLine="420" w:firstLineChars="200"/>
        <w:rPr>
          <w:rFonts w:ascii="仿宋" w:hAnsi="仿宋" w:eastAsia="仿宋" w:cs="仿宋"/>
        </w:rPr>
      </w:pPr>
      <w:r>
        <w:rPr>
          <w:rFonts w:hint="eastAsia" w:ascii="仿宋" w:hAnsi="仿宋" w:eastAsia="仿宋" w:cs="仿宋"/>
        </w:rPr>
        <w:t>4.3</w:t>
      </w:r>
      <w:r>
        <w:rPr>
          <w:rFonts w:hint="eastAsia" w:ascii="仿宋" w:hAnsi="仿宋" w:eastAsia="仿宋" w:cs="仿宋"/>
          <w:lang w:val="en-US" w:eastAsia="zh-CN"/>
        </w:rPr>
        <w:t xml:space="preserve"> </w:t>
      </w:r>
      <w:r>
        <w:rPr>
          <w:rFonts w:hint="eastAsia" w:ascii="仿宋" w:hAnsi="仿宋" w:eastAsia="仿宋" w:cs="仿宋"/>
        </w:rPr>
        <w:t>投标方认为所供货物（或生产线）必需由招标方配备、解决或提供的其它要求，如设备基础隔振和减振设施、软化水、洁净气源等，均应在投标文件“技术偏离”中予以充分说明。</w:t>
      </w:r>
    </w:p>
    <w:p w14:paraId="0D6A17A7">
      <w:pPr>
        <w:pStyle w:val="19"/>
        <w:snapToGrid w:val="0"/>
        <w:spacing w:line="360" w:lineRule="auto"/>
        <w:ind w:firstLine="420" w:firstLineChars="200"/>
        <w:rPr>
          <w:rFonts w:ascii="仿宋" w:hAnsi="仿宋" w:eastAsia="仿宋" w:cs="仿宋"/>
        </w:rPr>
      </w:pPr>
      <w:r>
        <w:rPr>
          <w:rFonts w:hint="eastAsia" w:ascii="仿宋" w:hAnsi="仿宋" w:eastAsia="仿宋" w:cs="仿宋"/>
        </w:rPr>
        <w:t>4.4</w:t>
      </w:r>
      <w:r>
        <w:rPr>
          <w:rFonts w:hint="eastAsia" w:ascii="仿宋" w:hAnsi="仿宋" w:eastAsia="仿宋" w:cs="仿宋"/>
          <w:lang w:val="en-US" w:eastAsia="zh-CN"/>
        </w:rPr>
        <w:t xml:space="preserve"> </w:t>
      </w:r>
      <w:r>
        <w:rPr>
          <w:rFonts w:hint="eastAsia" w:ascii="仿宋" w:hAnsi="仿宋" w:eastAsia="仿宋" w:cs="仿宋"/>
        </w:rPr>
        <w:t>投标方须负责在终验收前，在招标方设备现场对投标设备实施电能质量和公用电网谐波检测并出具检测报告。检测工作由投标方负责安排第三方实施（第三方的资质须由招标方认可）。</w:t>
      </w:r>
    </w:p>
    <w:p w14:paraId="3E103449">
      <w:pPr>
        <w:pStyle w:val="19"/>
        <w:snapToGrid w:val="0"/>
        <w:spacing w:line="360" w:lineRule="auto"/>
        <w:ind w:firstLine="420" w:firstLineChars="200"/>
        <w:rPr>
          <w:rFonts w:ascii="仿宋" w:hAnsi="仿宋" w:eastAsia="仿宋" w:cs="仿宋"/>
        </w:rPr>
      </w:pPr>
      <w:r>
        <w:rPr>
          <w:rFonts w:hint="eastAsia" w:ascii="仿宋" w:hAnsi="仿宋" w:eastAsia="仿宋" w:cs="仿宋"/>
        </w:rPr>
        <w:t>4.5</w:t>
      </w:r>
      <w:r>
        <w:rPr>
          <w:rFonts w:hint="eastAsia" w:ascii="仿宋" w:hAnsi="仿宋" w:eastAsia="仿宋" w:cs="仿宋"/>
          <w:lang w:val="en-US" w:eastAsia="zh-CN"/>
        </w:rPr>
        <w:t xml:space="preserve"> </w:t>
      </w:r>
      <w:r>
        <w:rPr>
          <w:rFonts w:hint="eastAsia" w:ascii="仿宋" w:hAnsi="仿宋" w:eastAsia="仿宋" w:cs="仿宋"/>
        </w:rPr>
        <w:t>投标文件中，针对“特别提示”条款所做的回应，将作为投标方能否中标的重要依据之一。</w:t>
      </w:r>
      <w:bookmarkStart w:id="352" w:name="_Toc133783970"/>
    </w:p>
    <w:p w14:paraId="744804A9">
      <w:pPr>
        <w:pStyle w:val="19"/>
        <w:snapToGrid w:val="0"/>
        <w:spacing w:line="360" w:lineRule="auto"/>
        <w:ind w:firstLine="420" w:firstLineChars="200"/>
        <w:rPr>
          <w:rFonts w:ascii="仿宋" w:hAnsi="仿宋" w:eastAsia="仿宋" w:cs="仿宋"/>
        </w:rPr>
      </w:pPr>
      <w:r>
        <w:rPr>
          <w:rFonts w:hint="eastAsia" w:ascii="仿宋" w:hAnsi="仿宋" w:eastAsia="仿宋" w:cs="仿宋"/>
        </w:rPr>
        <w:t>4.</w:t>
      </w:r>
      <w:r>
        <w:rPr>
          <w:rFonts w:hint="eastAsia" w:ascii="仿宋" w:hAnsi="仿宋" w:eastAsia="仿宋" w:cs="仿宋"/>
          <w:lang w:val="en-US" w:eastAsia="zh-CN"/>
        </w:rPr>
        <w:t xml:space="preserve">6 </w:t>
      </w:r>
      <w:r>
        <w:rPr>
          <w:rFonts w:hint="eastAsia" w:ascii="仿宋" w:hAnsi="仿宋" w:eastAsia="仿宋" w:cs="仿宋"/>
        </w:rPr>
        <w:t>投标方所投货物外观颜色标准按招标方提供的标准或双方书面约定的标准执行。</w:t>
      </w:r>
    </w:p>
    <w:p w14:paraId="6492B59A">
      <w:pPr>
        <w:adjustRightInd w:val="0"/>
        <w:snapToGrid w:val="0"/>
        <w:spacing w:before="163" w:beforeLines="50" w:after="163" w:afterLines="50" w:line="360" w:lineRule="auto"/>
        <w:jc w:val="center"/>
        <w:outlineLvl w:val="0"/>
        <w:rPr>
          <w:rFonts w:ascii="仿宋" w:hAnsi="仿宋" w:eastAsia="仿宋" w:cs="仿宋"/>
          <w:b/>
          <w:bCs/>
        </w:rPr>
      </w:pPr>
      <w:bookmarkStart w:id="353" w:name="_Toc16317"/>
      <w:bookmarkStart w:id="354" w:name="_Toc1962"/>
      <w:bookmarkStart w:id="355" w:name="_Toc20260"/>
      <w:bookmarkStart w:id="356" w:name="_Toc20329"/>
      <w:bookmarkStart w:id="357" w:name="_Toc29006"/>
      <w:bookmarkStart w:id="358" w:name="_Toc28745"/>
      <w:bookmarkStart w:id="359" w:name="_Toc73112403"/>
      <w:bookmarkStart w:id="360" w:name="_Toc28398"/>
      <w:bookmarkStart w:id="361" w:name="_Toc27327"/>
      <w:bookmarkStart w:id="362" w:name="_Toc11390"/>
      <w:bookmarkStart w:id="363" w:name="_Toc13526"/>
      <w:bookmarkStart w:id="364" w:name="_Toc1909"/>
      <w:bookmarkStart w:id="365" w:name="_Toc24173"/>
      <w:bookmarkStart w:id="366" w:name="_Toc30892"/>
      <w:bookmarkStart w:id="367" w:name="_Toc8892"/>
      <w:bookmarkStart w:id="368" w:name="_Toc7258"/>
      <w:bookmarkStart w:id="369" w:name="_Toc22347"/>
      <w:bookmarkStart w:id="370" w:name="_Toc16352"/>
      <w:bookmarkStart w:id="371" w:name="_Toc6352"/>
      <w:bookmarkStart w:id="372" w:name="_Toc19812"/>
      <w:bookmarkStart w:id="373" w:name="_Toc20841"/>
      <w:bookmarkStart w:id="374" w:name="_Toc26551"/>
      <w:bookmarkStart w:id="375" w:name="_Toc10828"/>
      <w:bookmarkStart w:id="376" w:name="_Toc31816"/>
      <w:bookmarkStart w:id="377" w:name="_Toc19081"/>
      <w:bookmarkStart w:id="378" w:name="_Toc22710"/>
      <w:bookmarkStart w:id="379" w:name="_Toc22516"/>
      <w:bookmarkStart w:id="380" w:name="_Toc19022"/>
      <w:bookmarkStart w:id="381" w:name="_Toc11725"/>
      <w:bookmarkStart w:id="382" w:name="_Toc1171"/>
      <w:bookmarkStart w:id="383" w:name="_Toc3808"/>
      <w:bookmarkStart w:id="384" w:name="_Toc4641"/>
      <w:bookmarkStart w:id="385" w:name="_Toc16316"/>
      <w:bookmarkStart w:id="386" w:name="_Toc22156"/>
      <w:bookmarkStart w:id="387" w:name="_Toc21086"/>
      <w:bookmarkStart w:id="388" w:name="_Toc19805"/>
      <w:bookmarkStart w:id="389" w:name="_Toc17909"/>
      <w:bookmarkStart w:id="390" w:name="_Toc14583"/>
      <w:bookmarkStart w:id="391" w:name="_Toc26601"/>
      <w:bookmarkStart w:id="392" w:name="_Toc32382"/>
      <w:bookmarkStart w:id="393" w:name="_Toc22662"/>
      <w:bookmarkStart w:id="394" w:name="_Toc20994"/>
      <w:r>
        <w:rPr>
          <w:rFonts w:hint="eastAsia" w:ascii="仿宋" w:hAnsi="仿宋" w:eastAsia="仿宋" w:cs="仿宋"/>
          <w:b/>
          <w:bCs/>
        </w:rPr>
        <w:t>第三章</w:t>
      </w:r>
      <w:r>
        <w:rPr>
          <w:rFonts w:hint="eastAsia" w:ascii="仿宋" w:hAnsi="仿宋" w:eastAsia="仿宋" w:cs="仿宋"/>
          <w:b/>
          <w:bCs/>
          <w:lang w:val="en-US" w:eastAsia="zh-CN"/>
        </w:rPr>
        <w:t xml:space="preserve"> </w:t>
      </w:r>
      <w:r>
        <w:rPr>
          <w:rFonts w:hint="eastAsia" w:ascii="仿宋" w:hAnsi="仿宋" w:eastAsia="仿宋" w:cs="仿宋"/>
          <w:b/>
          <w:bCs/>
        </w:rPr>
        <w:t>供货范围及供货方式</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14:paraId="540C3112">
      <w:pPr>
        <w:pStyle w:val="5"/>
        <w:snapToGrid w:val="0"/>
        <w:spacing w:before="0" w:after="0" w:line="360" w:lineRule="auto"/>
        <w:ind w:left="6" w:firstLine="474"/>
        <w:jc w:val="center"/>
        <w:rPr>
          <w:rFonts w:ascii="仿宋" w:hAnsi="仿宋" w:eastAsia="仿宋" w:cs="仿宋"/>
          <w:b w:val="0"/>
          <w:bCs w:val="0"/>
          <w:sz w:val="24"/>
          <w:szCs w:val="24"/>
        </w:rPr>
      </w:pPr>
      <w:bookmarkStart w:id="395" w:name="_Toc20721"/>
      <w:bookmarkStart w:id="396" w:name="_Toc19155"/>
      <w:bookmarkStart w:id="397" w:name="_Toc3639"/>
      <w:bookmarkStart w:id="398" w:name="_Toc4896"/>
      <w:bookmarkStart w:id="399" w:name="_Toc20301"/>
      <w:bookmarkStart w:id="400" w:name="_Toc27567"/>
      <w:bookmarkStart w:id="401" w:name="_Toc2288"/>
      <w:bookmarkStart w:id="402" w:name="_Toc32750"/>
      <w:bookmarkStart w:id="403" w:name="_Toc5131"/>
      <w:bookmarkStart w:id="404" w:name="_Toc969"/>
      <w:bookmarkStart w:id="405" w:name="_Toc6219"/>
      <w:bookmarkStart w:id="406" w:name="_Toc10323"/>
      <w:bookmarkStart w:id="407" w:name="_Toc133783971"/>
      <w:bookmarkStart w:id="408" w:name="_Toc6864"/>
      <w:bookmarkStart w:id="409" w:name="_Toc20066"/>
      <w:bookmarkStart w:id="410" w:name="_Toc9580"/>
      <w:bookmarkStart w:id="411" w:name="_Toc32542"/>
      <w:bookmarkStart w:id="412" w:name="_Toc25354"/>
      <w:bookmarkStart w:id="413" w:name="_Toc14383"/>
      <w:bookmarkStart w:id="414" w:name="_Toc2127"/>
      <w:bookmarkStart w:id="415" w:name="_Toc8238"/>
      <w:bookmarkStart w:id="416" w:name="_Toc3358"/>
      <w:bookmarkStart w:id="417" w:name="_Toc8963"/>
      <w:bookmarkStart w:id="418" w:name="_Toc27831"/>
      <w:bookmarkStart w:id="419" w:name="_Toc12581"/>
      <w:bookmarkStart w:id="420" w:name="_Toc19908"/>
      <w:bookmarkStart w:id="421" w:name="_Toc18238"/>
      <w:bookmarkStart w:id="422" w:name="_Toc16027"/>
      <w:bookmarkStart w:id="423" w:name="_Toc32716"/>
      <w:bookmarkStart w:id="424" w:name="_Toc32286"/>
      <w:bookmarkStart w:id="425" w:name="_Toc31722"/>
      <w:bookmarkStart w:id="426" w:name="_Toc73112404"/>
      <w:bookmarkStart w:id="427" w:name="_Toc19860"/>
      <w:bookmarkStart w:id="428" w:name="_Toc28344"/>
      <w:bookmarkStart w:id="429" w:name="_Toc19111"/>
      <w:bookmarkStart w:id="430" w:name="_Toc5032"/>
      <w:bookmarkStart w:id="431" w:name="_Toc17404"/>
      <w:bookmarkStart w:id="432" w:name="_Toc680"/>
      <w:bookmarkStart w:id="433" w:name="_Toc11227"/>
      <w:bookmarkStart w:id="434" w:name="_Toc9571"/>
      <w:bookmarkStart w:id="435" w:name="_Toc4032"/>
      <w:bookmarkStart w:id="436" w:name="_Toc32741"/>
      <w:bookmarkStart w:id="437" w:name="_Toc11979"/>
      <w:bookmarkStart w:id="438" w:name="_Toc29751"/>
      <w:bookmarkStart w:id="439" w:name="_Toc9994"/>
      <w:bookmarkStart w:id="440" w:name="_Toc13578"/>
      <w:bookmarkStart w:id="441" w:name="_Toc5052"/>
      <w:r>
        <w:rPr>
          <w:rFonts w:hint="eastAsia" w:ascii="仿宋" w:hAnsi="仿宋" w:eastAsia="仿宋" w:cs="仿宋"/>
          <w:b w:val="0"/>
          <w:bCs w:val="0"/>
          <w:sz w:val="24"/>
          <w:szCs w:val="24"/>
        </w:rPr>
        <w:t>第一节</w:t>
      </w:r>
      <w:r>
        <w:rPr>
          <w:rFonts w:hint="eastAsia" w:ascii="仿宋" w:hAnsi="仿宋" w:eastAsia="仿宋" w:cs="仿宋"/>
          <w:b w:val="0"/>
          <w:bCs w:val="0"/>
          <w:sz w:val="24"/>
          <w:szCs w:val="24"/>
          <w:lang w:val="en-US" w:eastAsia="zh-CN"/>
        </w:rPr>
        <w:t xml:space="preserve"> </w:t>
      </w:r>
      <w:r>
        <w:rPr>
          <w:rFonts w:hint="eastAsia" w:ascii="仿宋" w:hAnsi="仿宋" w:eastAsia="仿宋" w:cs="仿宋"/>
          <w:b w:val="0"/>
          <w:bCs w:val="0"/>
          <w:sz w:val="24"/>
          <w:szCs w:val="24"/>
        </w:rPr>
        <w:t>供货范围</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47D8D8AD">
      <w:pPr>
        <w:snapToGrid w:val="0"/>
        <w:spacing w:line="360" w:lineRule="auto"/>
        <w:ind w:left="480"/>
        <w:outlineLvl w:val="2"/>
        <w:rPr>
          <w:rFonts w:ascii="仿宋" w:hAnsi="仿宋" w:eastAsia="仿宋" w:cs="仿宋"/>
          <w:b/>
          <w:bCs/>
        </w:rPr>
      </w:pPr>
      <w:bookmarkStart w:id="442" w:name="_Toc18228"/>
      <w:bookmarkStart w:id="443" w:name="_Toc17029"/>
      <w:bookmarkStart w:id="444" w:name="_Toc9769"/>
      <w:bookmarkStart w:id="445" w:name="_Toc28468"/>
      <w:bookmarkStart w:id="446" w:name="_Toc13760"/>
      <w:bookmarkStart w:id="447" w:name="_Toc17678"/>
      <w:bookmarkStart w:id="448" w:name="_Toc73112405"/>
      <w:bookmarkStart w:id="449" w:name="_Toc4815"/>
      <w:bookmarkStart w:id="450" w:name="_Toc25761"/>
      <w:bookmarkStart w:id="451" w:name="_Toc272"/>
      <w:bookmarkStart w:id="452" w:name="_Toc17608"/>
      <w:bookmarkStart w:id="453" w:name="_Toc5149"/>
      <w:bookmarkStart w:id="454" w:name="_Toc29417"/>
      <w:bookmarkStart w:id="455" w:name="_Toc21071"/>
      <w:bookmarkStart w:id="456" w:name="_Toc6385"/>
      <w:bookmarkStart w:id="457" w:name="_Toc14280"/>
      <w:bookmarkStart w:id="458" w:name="_Toc18305"/>
      <w:bookmarkStart w:id="459" w:name="_Toc4850"/>
      <w:bookmarkStart w:id="460" w:name="_Toc15878"/>
      <w:bookmarkStart w:id="461" w:name="_Toc14137"/>
      <w:r>
        <w:rPr>
          <w:rFonts w:hint="eastAsia" w:ascii="仿宋" w:hAnsi="仿宋" w:eastAsia="仿宋" w:cs="仿宋"/>
          <w:b/>
          <w:bCs/>
        </w:rPr>
        <w:t>1主要供货范围</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65EF542A">
      <w:pPr>
        <w:pStyle w:val="19"/>
        <w:snapToGrid w:val="0"/>
        <w:spacing w:line="360" w:lineRule="auto"/>
        <w:ind w:left="6" w:firstLine="474" w:firstLineChars="0"/>
        <w:rPr>
          <w:rFonts w:ascii="仿宋" w:hAnsi="仿宋" w:eastAsia="仿宋" w:cs="仿宋"/>
        </w:rPr>
      </w:pPr>
      <w:r>
        <w:rPr>
          <w:rFonts w:hint="eastAsia" w:ascii="仿宋" w:hAnsi="仿宋" w:eastAsia="仿宋" w:cs="仿宋"/>
        </w:rPr>
        <w:t>1.1</w:t>
      </w:r>
      <w:r>
        <w:rPr>
          <w:rFonts w:hint="eastAsia" w:ascii="仿宋" w:hAnsi="仿宋" w:eastAsia="仿宋" w:cs="仿宋"/>
          <w:lang w:val="en-US" w:eastAsia="zh-CN"/>
        </w:rPr>
        <w:t xml:space="preserve"> </w:t>
      </w:r>
      <w:r>
        <w:rPr>
          <w:rFonts w:hint="eastAsia" w:ascii="仿宋" w:hAnsi="仿宋" w:eastAsia="仿宋" w:cs="仿宋"/>
        </w:rPr>
        <w:t>招标方只提供所需厂房、货物（或生产线）的基本砼基础，如不满足项目需求，由投标方负责进行建设。</w:t>
      </w:r>
    </w:p>
    <w:p w14:paraId="0DBED352">
      <w:pPr>
        <w:pStyle w:val="19"/>
        <w:snapToGrid w:val="0"/>
        <w:spacing w:line="360" w:lineRule="auto"/>
        <w:ind w:left="6" w:firstLine="474" w:firstLineChars="0"/>
        <w:rPr>
          <w:rFonts w:ascii="仿宋" w:hAnsi="仿宋" w:eastAsia="仿宋" w:cs="仿宋"/>
        </w:rPr>
      </w:pPr>
      <w:r>
        <w:rPr>
          <w:rFonts w:hint="eastAsia" w:ascii="仿宋" w:hAnsi="仿宋" w:eastAsia="仿宋" w:cs="仿宋"/>
        </w:rPr>
        <w:t>1.2</w:t>
      </w:r>
      <w:r>
        <w:rPr>
          <w:rFonts w:hint="eastAsia" w:ascii="仿宋" w:hAnsi="仿宋" w:eastAsia="仿宋" w:cs="仿宋"/>
          <w:lang w:val="en-US" w:eastAsia="zh-CN"/>
        </w:rPr>
        <w:t xml:space="preserve"> </w:t>
      </w:r>
      <w:r>
        <w:rPr>
          <w:rFonts w:hint="eastAsia" w:ascii="仿宋" w:hAnsi="仿宋" w:eastAsia="仿宋" w:cs="仿宋"/>
        </w:rPr>
        <w:t>招标方只负责提供符合本技术标书中“采购货物概况”和“使用环境”章节所列明品质的电力、自来水、压缩空气、蒸汽、天然气（或煤气）管线至车间接口,投标方负责从车间接口到项目系统的对接。</w:t>
      </w:r>
    </w:p>
    <w:p w14:paraId="40F28D1F">
      <w:pPr>
        <w:pStyle w:val="19"/>
        <w:snapToGrid w:val="0"/>
        <w:spacing w:line="360" w:lineRule="auto"/>
        <w:ind w:left="6" w:firstLine="474" w:firstLineChars="0"/>
        <w:rPr>
          <w:rFonts w:ascii="仿宋" w:hAnsi="仿宋" w:eastAsia="仿宋" w:cs="仿宋"/>
        </w:rPr>
      </w:pPr>
      <w:r>
        <w:rPr>
          <w:rFonts w:hint="eastAsia" w:ascii="仿宋" w:hAnsi="仿宋" w:eastAsia="仿宋" w:cs="仿宋"/>
        </w:rPr>
        <w:t>1.3</w:t>
      </w:r>
      <w:r>
        <w:rPr>
          <w:rFonts w:hint="eastAsia" w:ascii="仿宋" w:hAnsi="仿宋" w:eastAsia="仿宋" w:cs="仿宋"/>
          <w:lang w:val="en-US" w:eastAsia="zh-CN"/>
        </w:rPr>
        <w:t xml:space="preserve"> </w:t>
      </w:r>
      <w:r>
        <w:rPr>
          <w:rFonts w:hint="eastAsia" w:ascii="仿宋" w:hAnsi="仿宋" w:eastAsia="仿宋" w:cs="仿宋"/>
        </w:rPr>
        <w:t>投标方应提供包括货物（或生产线）正常运行所必需的全套连线设备、材料等；如：联接法兰外端面（含联接螺栓）之内的、电气系统接口压线板（插座等）之内的设备、材料等；</w:t>
      </w:r>
    </w:p>
    <w:p w14:paraId="43CCB0A1">
      <w:pPr>
        <w:pStyle w:val="19"/>
        <w:snapToGrid w:val="0"/>
        <w:spacing w:line="360" w:lineRule="auto"/>
        <w:ind w:left="6" w:firstLine="474" w:firstLineChars="0"/>
        <w:rPr>
          <w:rFonts w:ascii="仿宋" w:hAnsi="仿宋" w:eastAsia="仿宋" w:cs="仿宋"/>
          <w:color w:val="auto"/>
          <w:highlight w:val="none"/>
        </w:rPr>
      </w:pPr>
      <w:r>
        <w:rPr>
          <w:rFonts w:hint="eastAsia" w:ascii="仿宋" w:hAnsi="仿宋" w:eastAsia="仿宋" w:cs="仿宋"/>
        </w:rPr>
        <w:t>1.4</w:t>
      </w:r>
      <w:r>
        <w:rPr>
          <w:rFonts w:hint="eastAsia" w:ascii="仿宋" w:hAnsi="仿宋" w:eastAsia="仿宋" w:cs="仿宋"/>
          <w:lang w:val="en-US" w:eastAsia="zh-CN"/>
        </w:rPr>
        <w:t xml:space="preserve"> </w:t>
      </w:r>
      <w:r>
        <w:rPr>
          <w:rFonts w:hint="eastAsia" w:ascii="仿宋" w:hAnsi="仿宋" w:eastAsia="仿宋" w:cs="仿宋"/>
        </w:rPr>
        <w:t>投标方应提供包括货物（或生产线）正常运行、使用所必需的过桥、护栏、防护网、盖板等辅助设施。标书中有要求的，按标书要求提供；标书中无具体要求而投标方认为必须具备的，在投标文件报价明细中，单独报价（但不计入税费等其它费用的计算基数）。</w:t>
      </w:r>
    </w:p>
    <w:p w14:paraId="508C7EE3">
      <w:pPr>
        <w:pStyle w:val="19"/>
        <w:snapToGrid w:val="0"/>
        <w:spacing w:line="360" w:lineRule="auto"/>
        <w:ind w:left="6" w:firstLine="474" w:firstLineChars="0"/>
        <w:rPr>
          <w:rFonts w:ascii="仿宋" w:hAnsi="仿宋" w:eastAsia="仿宋" w:cs="仿宋"/>
        </w:rPr>
      </w:pPr>
      <w:r>
        <w:rPr>
          <w:rFonts w:hint="eastAsia" w:ascii="仿宋" w:hAnsi="仿宋" w:eastAsia="仿宋" w:cs="仿宋"/>
          <w:color w:val="auto"/>
          <w:highlight w:val="none"/>
        </w:rPr>
        <w:t>1.5</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投标方应提供包括为达到环保、消防和</w:t>
      </w:r>
      <w:r>
        <w:rPr>
          <w:rFonts w:hint="eastAsia" w:ascii="仿宋" w:hAnsi="仿宋" w:eastAsia="仿宋" w:cs="仿宋"/>
          <w:color w:val="auto"/>
          <w:highlight w:val="none"/>
          <w:lang w:eastAsia="zh-CN"/>
        </w:rPr>
        <w:t>职业健康</w:t>
      </w:r>
      <w:r>
        <w:rPr>
          <w:rFonts w:hint="eastAsia" w:ascii="仿宋" w:hAnsi="仿宋" w:eastAsia="仿宋" w:cs="仿宋"/>
          <w:color w:val="auto"/>
          <w:highlight w:val="none"/>
        </w:rPr>
        <w:t>等国家法律、法规和标准、规范要求的除尘系统、通风系统以及近距离照明系统等配</w:t>
      </w:r>
      <w:r>
        <w:rPr>
          <w:rFonts w:hint="eastAsia" w:ascii="仿宋" w:hAnsi="仿宋" w:eastAsia="仿宋" w:cs="仿宋"/>
        </w:rPr>
        <w:t>套的设备、材料等。如投标方难以提供或无优势提供，则应当在投标文件的技术偏离条款中，予以详细说明并注明投标报价未包含该部分的货值。</w:t>
      </w:r>
    </w:p>
    <w:p w14:paraId="4CAB4C56">
      <w:pPr>
        <w:pStyle w:val="19"/>
        <w:snapToGrid w:val="0"/>
        <w:spacing w:line="360" w:lineRule="auto"/>
        <w:ind w:left="6" w:firstLine="474" w:firstLineChars="0"/>
        <w:rPr>
          <w:rFonts w:ascii="仿宋" w:hAnsi="仿宋" w:eastAsia="仿宋" w:cs="仿宋"/>
        </w:rPr>
      </w:pPr>
      <w:r>
        <w:rPr>
          <w:rFonts w:hint="eastAsia" w:ascii="仿宋" w:hAnsi="仿宋" w:eastAsia="仿宋" w:cs="仿宋"/>
        </w:rPr>
        <w:t>1.6</w:t>
      </w:r>
      <w:r>
        <w:rPr>
          <w:rFonts w:hint="eastAsia" w:ascii="仿宋" w:hAnsi="仿宋" w:eastAsia="仿宋" w:cs="仿宋"/>
          <w:lang w:val="en-US" w:eastAsia="zh-CN"/>
        </w:rPr>
        <w:t xml:space="preserve"> </w:t>
      </w:r>
      <w:r>
        <w:rPr>
          <w:rFonts w:hint="eastAsia" w:ascii="仿宋" w:hAnsi="仿宋" w:eastAsia="仿宋" w:cs="仿宋"/>
        </w:rPr>
        <w:t>投标方应提供包括为保证货物（或生产线）自身正常运行所必需的、适应使用地点条件的通风、冷却、降温系统等。</w:t>
      </w:r>
    </w:p>
    <w:p w14:paraId="1E397E35">
      <w:pPr>
        <w:pStyle w:val="19"/>
        <w:snapToGrid w:val="0"/>
        <w:spacing w:line="360" w:lineRule="auto"/>
        <w:ind w:left="6" w:firstLine="474" w:firstLineChars="0"/>
        <w:rPr>
          <w:rFonts w:ascii="仿宋" w:hAnsi="仿宋" w:eastAsia="仿宋" w:cs="仿宋"/>
        </w:rPr>
      </w:pPr>
      <w:r>
        <w:rPr>
          <w:rFonts w:hint="eastAsia" w:ascii="仿宋" w:hAnsi="仿宋" w:eastAsia="仿宋" w:cs="仿宋"/>
        </w:rPr>
        <w:t>1.7</w:t>
      </w:r>
      <w:r>
        <w:rPr>
          <w:rFonts w:hint="eastAsia" w:ascii="仿宋" w:hAnsi="仿宋" w:eastAsia="仿宋" w:cs="仿宋"/>
          <w:lang w:val="en-US" w:eastAsia="zh-CN"/>
        </w:rPr>
        <w:t xml:space="preserve"> </w:t>
      </w:r>
      <w:r>
        <w:rPr>
          <w:rFonts w:hint="eastAsia" w:ascii="仿宋" w:hAnsi="仿宋" w:eastAsia="仿宋" w:cs="仿宋"/>
        </w:rPr>
        <w:t>投标方应提供包括为保证货物（或生产线）正常安装、调试和验收完成及以前所必需的整套配件、附件及材料、油料等。如果终验收完成后，投标方有需要收回的配件、附件、材料、油料等，应当在投标文件的技术偏离条款中，予以详细说明；否则视同包括在供货范围之内。</w:t>
      </w:r>
    </w:p>
    <w:p w14:paraId="71D47DAB">
      <w:pPr>
        <w:pStyle w:val="19"/>
        <w:snapToGrid w:val="0"/>
        <w:spacing w:line="360" w:lineRule="auto"/>
        <w:ind w:left="6" w:firstLine="474" w:firstLineChars="0"/>
        <w:rPr>
          <w:rFonts w:ascii="仿宋" w:hAnsi="仿宋" w:eastAsia="仿宋" w:cs="仿宋"/>
        </w:rPr>
      </w:pPr>
      <w:r>
        <w:rPr>
          <w:rFonts w:hint="eastAsia" w:ascii="仿宋" w:hAnsi="仿宋" w:eastAsia="仿宋" w:cs="仿宋"/>
        </w:rPr>
        <w:t>1.8</w:t>
      </w:r>
      <w:r>
        <w:rPr>
          <w:rFonts w:hint="eastAsia" w:ascii="仿宋" w:hAnsi="仿宋" w:eastAsia="仿宋" w:cs="仿宋"/>
          <w:lang w:val="en-US" w:eastAsia="zh-CN"/>
        </w:rPr>
        <w:t xml:space="preserve"> </w:t>
      </w:r>
      <w:r>
        <w:rPr>
          <w:rFonts w:hint="eastAsia" w:ascii="仿宋" w:hAnsi="仿宋" w:eastAsia="仿宋" w:cs="仿宋"/>
        </w:rPr>
        <w:t>投标方应提供货物（或生产线）维修所必需的专用工具，并在投标报价部分说明数量。</w:t>
      </w:r>
    </w:p>
    <w:p w14:paraId="5BBA73D7">
      <w:pPr>
        <w:snapToGrid w:val="0"/>
        <w:spacing w:line="360" w:lineRule="auto"/>
        <w:ind w:left="480"/>
        <w:outlineLvl w:val="2"/>
        <w:rPr>
          <w:rFonts w:ascii="仿宋" w:hAnsi="仿宋" w:eastAsia="仿宋" w:cs="仿宋"/>
          <w:b/>
          <w:bCs/>
        </w:rPr>
      </w:pPr>
      <w:bookmarkStart w:id="462" w:name="_Toc434"/>
      <w:bookmarkStart w:id="463" w:name="_Toc19187"/>
      <w:bookmarkStart w:id="464" w:name="_Toc5521"/>
      <w:bookmarkStart w:id="465" w:name="_Toc20059"/>
      <w:bookmarkStart w:id="466" w:name="_Toc31685"/>
      <w:bookmarkStart w:id="467" w:name="_Toc18018"/>
      <w:bookmarkStart w:id="468" w:name="_Toc3726"/>
      <w:bookmarkStart w:id="469" w:name="_Toc30087"/>
      <w:bookmarkStart w:id="470" w:name="_Toc10027"/>
      <w:bookmarkStart w:id="471" w:name="_Toc30004"/>
      <w:bookmarkStart w:id="472" w:name="_Toc11531"/>
      <w:bookmarkStart w:id="473" w:name="_Toc8330"/>
      <w:bookmarkStart w:id="474" w:name="_Toc31074"/>
      <w:bookmarkStart w:id="475" w:name="_Toc10211"/>
      <w:bookmarkStart w:id="476" w:name="_Toc73112406"/>
      <w:bookmarkStart w:id="477" w:name="_Toc31723"/>
      <w:bookmarkStart w:id="478" w:name="_Toc25570"/>
      <w:bookmarkStart w:id="479" w:name="_Toc2744"/>
      <w:bookmarkStart w:id="480" w:name="_Toc29389"/>
      <w:bookmarkStart w:id="481" w:name="_Toc6916"/>
      <w:r>
        <w:rPr>
          <w:rFonts w:hint="eastAsia" w:ascii="仿宋" w:hAnsi="仿宋" w:eastAsia="仿宋" w:cs="仿宋"/>
          <w:b/>
          <w:bCs/>
        </w:rPr>
        <w:t>2备品备件、易损件和专用耗材供货范围</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14:paraId="46DC141F">
      <w:pPr>
        <w:pStyle w:val="19"/>
        <w:snapToGrid w:val="0"/>
        <w:spacing w:line="360" w:lineRule="auto"/>
        <w:ind w:left="6" w:firstLine="474" w:firstLineChars="0"/>
        <w:rPr>
          <w:rFonts w:hint="eastAsia" w:ascii="仿宋" w:hAnsi="仿宋" w:eastAsia="仿宋" w:cs="仿宋"/>
          <w:lang w:val="en-US" w:eastAsia="zh-CN"/>
        </w:rPr>
      </w:pPr>
      <w:r>
        <w:rPr>
          <w:rFonts w:hint="eastAsia" w:ascii="仿宋" w:hAnsi="仿宋" w:eastAsia="仿宋" w:cs="仿宋"/>
        </w:rPr>
        <w:t>2.1</w:t>
      </w:r>
      <w:r>
        <w:rPr>
          <w:rFonts w:hint="eastAsia" w:ascii="仿宋" w:hAnsi="仿宋" w:eastAsia="仿宋" w:cs="仿宋"/>
          <w:lang w:val="en-US" w:eastAsia="zh-CN"/>
        </w:rPr>
        <w:t xml:space="preserve"> </w:t>
      </w:r>
      <w:r>
        <w:rPr>
          <w:rFonts w:hint="eastAsia" w:ascii="仿宋" w:hAnsi="仿宋" w:eastAsia="仿宋" w:cs="仿宋"/>
        </w:rPr>
        <w:t>招标方招标文件所指备品备件、易损件和专用耗材，是招标方为保证货物（或生产线）质保期之后正常运行一年所自备自用的备品备件、易损件和专用耗材。</w:t>
      </w:r>
    </w:p>
    <w:p w14:paraId="44580D89">
      <w:pPr>
        <w:pStyle w:val="19"/>
        <w:snapToGrid w:val="0"/>
        <w:spacing w:line="360" w:lineRule="auto"/>
        <w:ind w:left="6" w:firstLine="474" w:firstLineChars="0"/>
        <w:rPr>
          <w:rFonts w:ascii="仿宋" w:hAnsi="仿宋" w:eastAsia="仿宋" w:cs="仿宋"/>
        </w:rPr>
      </w:pPr>
      <w:r>
        <w:rPr>
          <w:rFonts w:hint="eastAsia" w:ascii="仿宋" w:hAnsi="仿宋" w:eastAsia="仿宋" w:cs="仿宋"/>
        </w:rPr>
        <w:t>2.2</w:t>
      </w:r>
      <w:r>
        <w:rPr>
          <w:rFonts w:hint="eastAsia" w:ascii="仿宋" w:hAnsi="仿宋" w:eastAsia="仿宋" w:cs="仿宋"/>
          <w:lang w:val="en-US" w:eastAsia="zh-CN"/>
        </w:rPr>
        <w:t xml:space="preserve"> </w:t>
      </w:r>
      <w:r>
        <w:rPr>
          <w:rFonts w:hint="eastAsia" w:ascii="仿宋" w:hAnsi="仿宋" w:eastAsia="仿宋" w:cs="仿宋"/>
        </w:rPr>
        <w:t>投标方按照招标文件要求提供、或投标方认为招标方应当储备的备品备件、易损件和专用耗材，投标方应当在投标报价部分分别说明所列备品备件、易损件和专用耗材的使用时间。</w:t>
      </w:r>
    </w:p>
    <w:p w14:paraId="324679BA">
      <w:pPr>
        <w:pStyle w:val="19"/>
        <w:snapToGrid w:val="0"/>
        <w:spacing w:line="360" w:lineRule="auto"/>
        <w:ind w:left="6" w:firstLine="474" w:firstLineChars="0"/>
        <w:rPr>
          <w:rFonts w:ascii="仿宋" w:hAnsi="仿宋" w:eastAsia="仿宋" w:cs="仿宋"/>
        </w:rPr>
      </w:pPr>
      <w:r>
        <w:rPr>
          <w:rFonts w:hint="eastAsia" w:ascii="仿宋" w:hAnsi="仿宋" w:eastAsia="仿宋" w:cs="仿宋"/>
        </w:rPr>
        <w:t>2.3</w:t>
      </w:r>
      <w:r>
        <w:rPr>
          <w:rFonts w:hint="eastAsia" w:ascii="仿宋" w:hAnsi="仿宋" w:eastAsia="仿宋" w:cs="仿宋"/>
          <w:lang w:val="en-US" w:eastAsia="zh-CN"/>
        </w:rPr>
        <w:t xml:space="preserve"> </w:t>
      </w:r>
      <w:r>
        <w:rPr>
          <w:rFonts w:hint="eastAsia" w:ascii="仿宋" w:hAnsi="仿宋" w:eastAsia="仿宋" w:cs="仿宋"/>
        </w:rPr>
        <w:t>投标方应提供易损件和专用耗材的制造图纸及其技术要求等资料。</w:t>
      </w:r>
    </w:p>
    <w:p w14:paraId="4C50D4F1">
      <w:pPr>
        <w:pStyle w:val="19"/>
        <w:snapToGrid w:val="0"/>
        <w:spacing w:line="360" w:lineRule="auto"/>
        <w:ind w:left="6" w:firstLine="474" w:firstLineChars="0"/>
        <w:rPr>
          <w:rFonts w:ascii="仿宋" w:hAnsi="仿宋" w:eastAsia="仿宋" w:cs="仿宋"/>
        </w:rPr>
      </w:pPr>
      <w:r>
        <w:rPr>
          <w:rFonts w:hint="eastAsia" w:ascii="仿宋" w:hAnsi="仿宋" w:eastAsia="仿宋" w:cs="仿宋"/>
        </w:rPr>
        <w:t>2.4</w:t>
      </w:r>
      <w:r>
        <w:rPr>
          <w:rFonts w:hint="eastAsia" w:ascii="仿宋" w:hAnsi="仿宋" w:eastAsia="仿宋" w:cs="仿宋"/>
          <w:lang w:val="en-US" w:eastAsia="zh-CN"/>
        </w:rPr>
        <w:t xml:space="preserve"> </w:t>
      </w:r>
      <w:r>
        <w:rPr>
          <w:rFonts w:hint="eastAsia" w:ascii="仿宋" w:hAnsi="仿宋" w:eastAsia="仿宋" w:cs="仿宋"/>
        </w:rPr>
        <w:t>投标文件中，应当有备品备件、易损件和专</w:t>
      </w:r>
      <w:r>
        <w:rPr>
          <w:rFonts w:hint="eastAsia" w:ascii="仿宋" w:hAnsi="仿宋" w:eastAsia="仿宋" w:cs="仿宋"/>
          <w:highlight w:val="none"/>
        </w:rPr>
        <w:t>用耗材的详细清单（内容包括名称、型号、规格、单位、数量、</w:t>
      </w:r>
      <w:r>
        <w:rPr>
          <w:rFonts w:hint="eastAsia" w:ascii="仿宋" w:hAnsi="仿宋" w:eastAsia="仿宋" w:cs="仿宋"/>
          <w:highlight w:val="none"/>
          <w:lang w:val="en-US" w:eastAsia="zh-CN"/>
        </w:rPr>
        <w:t>品牌、</w:t>
      </w:r>
      <w:r>
        <w:rPr>
          <w:rFonts w:hint="eastAsia" w:ascii="仿宋" w:hAnsi="仿宋" w:eastAsia="仿宋" w:cs="仿宋"/>
          <w:highlight w:val="none"/>
        </w:rPr>
        <w:t>生产厂家、单价、总价</w:t>
      </w:r>
      <w:r>
        <w:rPr>
          <w:rFonts w:hint="eastAsia" w:ascii="仿宋" w:hAnsi="仿宋" w:eastAsia="仿宋" w:cs="仿宋"/>
          <w:highlight w:val="none"/>
          <w:lang w:eastAsia="zh-CN"/>
        </w:rPr>
        <w:t>、</w:t>
      </w:r>
      <w:r>
        <w:rPr>
          <w:rFonts w:hint="eastAsia" w:ascii="仿宋" w:hAnsi="仿宋" w:eastAsia="仿宋" w:cs="仿宋"/>
          <w:highlight w:val="none"/>
          <w:lang w:val="en-US" w:eastAsia="zh-CN"/>
        </w:rPr>
        <w:t>重汽折扣价</w:t>
      </w:r>
      <w:r>
        <w:rPr>
          <w:rFonts w:hint="eastAsia" w:ascii="仿宋" w:hAnsi="仿宋" w:eastAsia="仿宋" w:cs="仿宋"/>
          <w:highlight w:val="none"/>
        </w:rPr>
        <w:t>等）。机床和机器人的主要参数、配置表、关键件和进口外购明</w:t>
      </w:r>
      <w:r>
        <w:rPr>
          <w:rFonts w:hint="eastAsia" w:ascii="仿宋" w:hAnsi="仿宋" w:eastAsia="仿宋" w:cs="仿宋"/>
        </w:rPr>
        <w:t>细表、随机附明细表、技术文件明细表等。</w:t>
      </w:r>
    </w:p>
    <w:p w14:paraId="1FD302E3">
      <w:pPr>
        <w:pStyle w:val="19"/>
        <w:snapToGrid w:val="0"/>
        <w:spacing w:line="360" w:lineRule="auto"/>
        <w:ind w:left="6" w:firstLine="474" w:firstLineChars="0"/>
        <w:rPr>
          <w:rFonts w:ascii="仿宋" w:hAnsi="仿宋" w:eastAsia="仿宋" w:cs="仿宋"/>
          <w:highlight w:val="none"/>
        </w:rPr>
      </w:pPr>
      <w:r>
        <w:rPr>
          <w:rFonts w:hint="eastAsia" w:ascii="仿宋" w:hAnsi="仿宋" w:eastAsia="仿宋" w:cs="仿宋"/>
        </w:rPr>
        <w:t>2.5</w:t>
      </w:r>
      <w:r>
        <w:rPr>
          <w:rFonts w:hint="eastAsia" w:ascii="仿宋" w:hAnsi="仿宋" w:eastAsia="仿宋" w:cs="仿宋"/>
          <w:lang w:val="en-US" w:eastAsia="zh-CN"/>
        </w:rPr>
        <w:t xml:space="preserve"> </w:t>
      </w:r>
      <w:r>
        <w:rPr>
          <w:rFonts w:hint="eastAsia" w:ascii="仿宋" w:hAnsi="仿宋" w:eastAsia="仿宋" w:cs="仿宋"/>
        </w:rPr>
        <w:t>备品备件、易损件和专用耗材的费用应分类单列，并计入投标总报价之内。</w:t>
      </w:r>
    </w:p>
    <w:p w14:paraId="696898F0">
      <w:pPr>
        <w:snapToGrid w:val="0"/>
        <w:spacing w:line="360" w:lineRule="auto"/>
        <w:ind w:left="480"/>
        <w:outlineLvl w:val="2"/>
        <w:rPr>
          <w:rFonts w:ascii="仿宋" w:hAnsi="仿宋" w:eastAsia="仿宋" w:cs="仿宋"/>
          <w:b/>
          <w:bCs/>
          <w:highlight w:val="none"/>
        </w:rPr>
      </w:pPr>
      <w:bookmarkStart w:id="482" w:name="_Toc8769"/>
      <w:bookmarkStart w:id="483" w:name="_Toc30333"/>
      <w:bookmarkStart w:id="484" w:name="_Toc29028"/>
      <w:bookmarkStart w:id="485" w:name="_Toc26974"/>
      <w:bookmarkStart w:id="486" w:name="_Toc27176"/>
      <w:bookmarkStart w:id="487" w:name="_Toc13573"/>
      <w:bookmarkStart w:id="488" w:name="_Toc23668"/>
      <w:bookmarkStart w:id="489" w:name="_Toc30185"/>
      <w:bookmarkStart w:id="490" w:name="_Toc20956"/>
      <w:bookmarkStart w:id="491" w:name="_Toc30460"/>
      <w:bookmarkStart w:id="492" w:name="_Toc21438"/>
      <w:bookmarkStart w:id="493" w:name="_Toc29526"/>
      <w:bookmarkStart w:id="494" w:name="_Toc73112407"/>
      <w:bookmarkStart w:id="495" w:name="_Toc14387"/>
      <w:bookmarkStart w:id="496" w:name="_Toc11396"/>
      <w:bookmarkStart w:id="497" w:name="_Toc19082"/>
      <w:bookmarkStart w:id="498" w:name="_Toc253"/>
      <w:bookmarkStart w:id="499" w:name="_Toc29622"/>
      <w:bookmarkStart w:id="500" w:name="_Toc8994"/>
      <w:bookmarkStart w:id="501" w:name="_Toc6474"/>
      <w:r>
        <w:rPr>
          <w:rFonts w:hint="eastAsia" w:ascii="仿宋" w:hAnsi="仿宋" w:eastAsia="仿宋" w:cs="仿宋"/>
          <w:b/>
          <w:bCs/>
          <w:highlight w:val="none"/>
        </w:rPr>
        <w:t>3技术资料供货范围</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14:paraId="6C375B85">
      <w:pPr>
        <w:pStyle w:val="19"/>
        <w:snapToGrid w:val="0"/>
        <w:spacing w:line="360" w:lineRule="auto"/>
        <w:ind w:left="6" w:firstLine="474" w:firstLineChars="0"/>
        <w:rPr>
          <w:rFonts w:ascii="仿宋" w:hAnsi="仿宋" w:eastAsia="仿宋" w:cs="仿宋"/>
        </w:rPr>
      </w:pPr>
      <w:bookmarkStart w:id="502" w:name="_Toc133783972"/>
      <w:r>
        <w:rPr>
          <w:rFonts w:hint="eastAsia" w:ascii="仿宋" w:hAnsi="仿宋" w:eastAsia="仿宋" w:cs="仿宋"/>
          <w:highlight w:val="none"/>
        </w:rPr>
        <w:t>技术资料（进口设备</w:t>
      </w:r>
      <w:r>
        <w:rPr>
          <w:rFonts w:hint="eastAsia" w:ascii="仿宋" w:hAnsi="仿宋" w:eastAsia="仿宋" w:cs="仿宋"/>
        </w:rPr>
        <w:t>要求中英文对照）包括：</w:t>
      </w:r>
    </w:p>
    <w:p w14:paraId="76928E4A">
      <w:pPr>
        <w:pStyle w:val="19"/>
        <w:snapToGrid w:val="0"/>
        <w:spacing w:line="360" w:lineRule="auto"/>
        <w:ind w:left="6" w:firstLine="474" w:firstLineChars="0"/>
        <w:rPr>
          <w:rFonts w:ascii="仿宋" w:hAnsi="仿宋" w:eastAsia="仿宋" w:cs="仿宋"/>
        </w:rPr>
      </w:pPr>
      <w:r>
        <w:rPr>
          <w:rFonts w:hint="eastAsia" w:ascii="仿宋" w:hAnsi="仿宋" w:eastAsia="仿宋" w:cs="仿宋"/>
        </w:rPr>
        <w:t>3.1</w:t>
      </w:r>
      <w:r>
        <w:rPr>
          <w:rFonts w:hint="eastAsia" w:ascii="仿宋" w:hAnsi="仿宋" w:eastAsia="仿宋" w:cs="仿宋"/>
          <w:lang w:val="en-US" w:eastAsia="zh-CN"/>
        </w:rPr>
        <w:t xml:space="preserve"> </w:t>
      </w:r>
      <w:r>
        <w:rPr>
          <w:rFonts w:hint="eastAsia" w:ascii="仿宋" w:hAnsi="仿宋" w:eastAsia="仿宋" w:cs="仿宋"/>
        </w:rPr>
        <w:t>设备安全操作规程和使用手册；</w:t>
      </w:r>
    </w:p>
    <w:p w14:paraId="757F4907">
      <w:pPr>
        <w:pStyle w:val="19"/>
        <w:snapToGrid w:val="0"/>
        <w:spacing w:line="360" w:lineRule="auto"/>
        <w:ind w:left="6" w:firstLine="474" w:firstLineChars="0"/>
        <w:rPr>
          <w:rFonts w:ascii="仿宋" w:hAnsi="仿宋" w:eastAsia="仿宋" w:cs="仿宋"/>
        </w:rPr>
      </w:pPr>
      <w:r>
        <w:rPr>
          <w:rFonts w:hint="eastAsia" w:ascii="仿宋" w:hAnsi="仿宋" w:eastAsia="仿宋" w:cs="仿宋"/>
        </w:rPr>
        <w:t>3.2</w:t>
      </w:r>
      <w:r>
        <w:rPr>
          <w:rFonts w:hint="eastAsia" w:ascii="仿宋" w:hAnsi="仿宋" w:eastAsia="仿宋" w:cs="仿宋"/>
          <w:lang w:val="en-US" w:eastAsia="zh-CN"/>
        </w:rPr>
        <w:t xml:space="preserve"> </w:t>
      </w:r>
      <w:r>
        <w:rPr>
          <w:rFonts w:hint="eastAsia" w:ascii="仿宋" w:hAnsi="仿宋" w:eastAsia="仿宋" w:cs="仿宋"/>
        </w:rPr>
        <w:t>PLC编程手册和使用手册；</w:t>
      </w:r>
    </w:p>
    <w:p w14:paraId="0B47EEDD">
      <w:pPr>
        <w:pStyle w:val="19"/>
        <w:snapToGrid w:val="0"/>
        <w:spacing w:line="360" w:lineRule="auto"/>
        <w:ind w:left="6" w:firstLine="474" w:firstLineChars="0"/>
        <w:rPr>
          <w:rFonts w:ascii="仿宋" w:hAnsi="仿宋" w:eastAsia="仿宋" w:cs="仿宋"/>
        </w:rPr>
      </w:pPr>
      <w:r>
        <w:rPr>
          <w:rFonts w:hint="eastAsia" w:ascii="仿宋" w:hAnsi="仿宋" w:eastAsia="仿宋" w:cs="仿宋"/>
        </w:rPr>
        <w:t>3.3</w:t>
      </w:r>
      <w:r>
        <w:rPr>
          <w:rFonts w:hint="eastAsia" w:ascii="仿宋" w:hAnsi="仿宋" w:eastAsia="仿宋" w:cs="仿宋"/>
          <w:lang w:val="en-US" w:eastAsia="zh-CN"/>
        </w:rPr>
        <w:t xml:space="preserve"> </w:t>
      </w:r>
      <w:r>
        <w:rPr>
          <w:rFonts w:hint="eastAsia" w:ascii="仿宋" w:hAnsi="仿宋" w:eastAsia="仿宋" w:cs="仿宋"/>
        </w:rPr>
        <w:t>维修手册及保养手册；</w:t>
      </w:r>
    </w:p>
    <w:p w14:paraId="3F5914ED">
      <w:pPr>
        <w:pStyle w:val="19"/>
        <w:snapToGrid w:val="0"/>
        <w:spacing w:line="360" w:lineRule="auto"/>
        <w:ind w:left="6" w:firstLine="474" w:firstLineChars="0"/>
        <w:rPr>
          <w:rFonts w:ascii="仿宋" w:hAnsi="仿宋" w:eastAsia="仿宋" w:cs="仿宋"/>
        </w:rPr>
      </w:pPr>
      <w:r>
        <w:rPr>
          <w:rFonts w:hint="eastAsia" w:ascii="仿宋" w:hAnsi="仿宋" w:eastAsia="仿宋" w:cs="仿宋"/>
        </w:rPr>
        <w:t>3.4</w:t>
      </w:r>
      <w:r>
        <w:rPr>
          <w:rFonts w:hint="eastAsia" w:ascii="仿宋" w:hAnsi="仿宋" w:eastAsia="仿宋" w:cs="仿宋"/>
          <w:lang w:val="en-US" w:eastAsia="zh-CN"/>
        </w:rPr>
        <w:t xml:space="preserve"> </w:t>
      </w:r>
      <w:r>
        <w:rPr>
          <w:rFonts w:hint="eastAsia" w:ascii="仿宋" w:hAnsi="仿宋" w:eastAsia="仿宋" w:cs="仿宋"/>
        </w:rPr>
        <w:t>液压原理图（含动作顺序表）、气动原理图（含动作顺序表）、润滑原理图、电气原理图、电器接线图、电气元件分布图、梯形图（带中文注释）；</w:t>
      </w:r>
    </w:p>
    <w:p w14:paraId="5698B33D">
      <w:pPr>
        <w:pStyle w:val="19"/>
        <w:snapToGrid w:val="0"/>
        <w:spacing w:line="360" w:lineRule="auto"/>
        <w:ind w:left="6" w:firstLine="474" w:firstLineChars="0"/>
        <w:rPr>
          <w:rFonts w:ascii="仿宋" w:hAnsi="仿宋" w:eastAsia="仿宋" w:cs="仿宋"/>
        </w:rPr>
      </w:pPr>
      <w:r>
        <w:rPr>
          <w:rFonts w:hint="eastAsia" w:ascii="仿宋" w:hAnsi="仿宋" w:eastAsia="仿宋" w:cs="仿宋"/>
        </w:rPr>
        <w:t>3.5</w:t>
      </w:r>
      <w:r>
        <w:rPr>
          <w:rFonts w:hint="eastAsia" w:ascii="仿宋" w:hAnsi="仿宋" w:eastAsia="仿宋" w:cs="仿宋"/>
          <w:lang w:val="en-US" w:eastAsia="zh-CN"/>
        </w:rPr>
        <w:t xml:space="preserve"> </w:t>
      </w:r>
      <w:r>
        <w:rPr>
          <w:rFonts w:hint="eastAsia" w:ascii="仿宋" w:hAnsi="仿宋" w:eastAsia="仿宋" w:cs="仿宋"/>
        </w:rPr>
        <w:t>总装配图和主要部件的装配图，全部自制零件正规图纸，提供机床所有零件的明细表，零件号与装配图应一一对应，且能方便地查找零件在装配图上的位置。提供关键件、易损件零件图。</w:t>
      </w:r>
    </w:p>
    <w:p w14:paraId="753EA4CD">
      <w:pPr>
        <w:pStyle w:val="19"/>
        <w:snapToGrid w:val="0"/>
        <w:spacing w:line="360" w:lineRule="auto"/>
        <w:ind w:left="6" w:firstLine="474" w:firstLineChars="0"/>
        <w:rPr>
          <w:rFonts w:ascii="仿宋" w:hAnsi="仿宋" w:eastAsia="仿宋" w:cs="仿宋"/>
        </w:rPr>
      </w:pPr>
      <w:r>
        <w:rPr>
          <w:rFonts w:hint="eastAsia" w:ascii="仿宋" w:hAnsi="仿宋" w:eastAsia="仿宋" w:cs="仿宋"/>
        </w:rPr>
        <w:t>3.6</w:t>
      </w:r>
      <w:r>
        <w:rPr>
          <w:rFonts w:hint="eastAsia" w:ascii="仿宋" w:hAnsi="仿宋" w:eastAsia="仿宋" w:cs="仿宋"/>
          <w:lang w:val="en-US" w:eastAsia="zh-CN"/>
        </w:rPr>
        <w:t xml:space="preserve"> </w:t>
      </w:r>
      <w:r>
        <w:rPr>
          <w:rFonts w:hint="eastAsia" w:ascii="仿宋" w:hAnsi="仿宋" w:eastAsia="仿宋" w:cs="仿宋"/>
        </w:rPr>
        <w:t>采购部件提供正规装配图及零件明细;标准件提供明细（包括型号、规格、部位、数量、制造厂家）并与装配图一一对应；提供关键件，易损件明细。</w:t>
      </w:r>
    </w:p>
    <w:p w14:paraId="1B32722C">
      <w:pPr>
        <w:pStyle w:val="19"/>
        <w:snapToGrid w:val="0"/>
        <w:spacing w:line="360" w:lineRule="auto"/>
        <w:ind w:left="6" w:firstLine="474" w:firstLineChars="0"/>
        <w:rPr>
          <w:rFonts w:ascii="仿宋" w:hAnsi="仿宋" w:eastAsia="仿宋" w:cs="仿宋"/>
        </w:rPr>
      </w:pPr>
      <w:r>
        <w:rPr>
          <w:rFonts w:hint="eastAsia" w:ascii="仿宋" w:hAnsi="仿宋" w:eastAsia="仿宋" w:cs="仿宋"/>
        </w:rPr>
        <w:t>3.7</w:t>
      </w:r>
      <w:r>
        <w:rPr>
          <w:rFonts w:hint="eastAsia" w:ascii="仿宋" w:hAnsi="仿宋" w:eastAsia="仿宋" w:cs="仿宋"/>
          <w:lang w:val="en-US" w:eastAsia="zh-CN"/>
        </w:rPr>
        <w:t xml:space="preserve"> </w:t>
      </w:r>
      <w:r>
        <w:rPr>
          <w:rFonts w:hint="eastAsia" w:ascii="仿宋" w:hAnsi="仿宋" w:eastAsia="仿宋" w:cs="仿宋"/>
        </w:rPr>
        <w:t>提供所有电气元件，液压元件，气动元件，润滑元件明细表（包括型号、规格、部位、数量、制造厂家）。</w:t>
      </w:r>
    </w:p>
    <w:p w14:paraId="33817718">
      <w:pPr>
        <w:pStyle w:val="19"/>
        <w:snapToGrid w:val="0"/>
        <w:spacing w:line="360" w:lineRule="auto"/>
        <w:ind w:left="6" w:firstLine="474" w:firstLineChars="0"/>
        <w:rPr>
          <w:rFonts w:ascii="仿宋" w:hAnsi="仿宋" w:eastAsia="仿宋" w:cs="仿宋"/>
        </w:rPr>
      </w:pPr>
      <w:r>
        <w:rPr>
          <w:rFonts w:hint="eastAsia" w:ascii="仿宋" w:hAnsi="仿宋" w:eastAsia="仿宋" w:cs="仿宋"/>
        </w:rPr>
        <w:t>3.8 主要外购装置、外购件的使用指导说明书。</w:t>
      </w:r>
    </w:p>
    <w:p w14:paraId="77DD93A4">
      <w:pPr>
        <w:pStyle w:val="19"/>
        <w:snapToGrid w:val="0"/>
        <w:spacing w:line="360" w:lineRule="auto"/>
        <w:ind w:left="6" w:firstLine="474" w:firstLineChars="0"/>
        <w:rPr>
          <w:rFonts w:ascii="仿宋" w:hAnsi="仿宋" w:eastAsia="仿宋" w:cs="仿宋"/>
        </w:rPr>
      </w:pPr>
      <w:r>
        <w:rPr>
          <w:rFonts w:hint="eastAsia" w:ascii="仿宋" w:hAnsi="仿宋" w:eastAsia="仿宋" w:cs="仿宋"/>
        </w:rPr>
        <w:t>3.9</w:t>
      </w:r>
      <w:r>
        <w:rPr>
          <w:rFonts w:hint="eastAsia" w:ascii="仿宋" w:hAnsi="仿宋" w:eastAsia="仿宋" w:cs="仿宋"/>
          <w:lang w:val="en-US" w:eastAsia="zh-CN"/>
        </w:rPr>
        <w:t xml:space="preserve"> </w:t>
      </w:r>
      <w:r>
        <w:rPr>
          <w:rFonts w:hint="eastAsia" w:ascii="仿宋" w:hAnsi="仿宋" w:eastAsia="仿宋" w:cs="仿宋"/>
        </w:rPr>
        <w:t>主要零部件、元器件，由投标方负责检验，并提供检验报告。</w:t>
      </w:r>
    </w:p>
    <w:p w14:paraId="66D6C5C1">
      <w:pPr>
        <w:snapToGrid w:val="0"/>
        <w:spacing w:line="360" w:lineRule="auto"/>
        <w:ind w:left="6" w:firstLine="474"/>
        <w:rPr>
          <w:rFonts w:ascii="仿宋" w:hAnsi="仿宋" w:eastAsia="仿宋" w:cs="仿宋"/>
        </w:rPr>
      </w:pPr>
      <w:r>
        <w:rPr>
          <w:rFonts w:hint="eastAsia" w:ascii="仿宋" w:hAnsi="仿宋" w:eastAsia="仿宋" w:cs="仿宋"/>
        </w:rPr>
        <w:t>3.10 应提供设备出厂所必须的具备国际标准或国内标准规定的具备相关计量检定资质单位精度检验证书、性能测试记录和报告。校准（标定）作业指导书</w:t>
      </w:r>
      <w:r>
        <w:rPr>
          <w:rFonts w:hint="eastAsia" w:ascii="仿宋" w:hAnsi="仿宋" w:eastAsia="仿宋" w:cs="仿宋"/>
          <w:lang w:eastAsia="zh-CN"/>
        </w:rPr>
        <w:t>。</w:t>
      </w:r>
      <w:r>
        <w:rPr>
          <w:rFonts w:hint="eastAsia" w:ascii="仿宋" w:hAnsi="仿宋" w:eastAsia="仿宋" w:cs="仿宋"/>
        </w:rPr>
        <w:t>应提供具有测量、检定、校准等功能设备及具备有压力、温度、流量、位移等计量监控要求的计量器具进行检定/校准/标定所用受控标准器具及作业指导书、检定机构名单。</w:t>
      </w:r>
    </w:p>
    <w:p w14:paraId="25B997FC">
      <w:pPr>
        <w:pStyle w:val="19"/>
        <w:snapToGrid w:val="0"/>
        <w:spacing w:line="360" w:lineRule="auto"/>
        <w:ind w:left="6" w:firstLine="474" w:firstLineChars="0"/>
        <w:rPr>
          <w:rFonts w:ascii="仿宋" w:hAnsi="仿宋" w:eastAsia="仿宋" w:cs="仿宋"/>
        </w:rPr>
      </w:pPr>
      <w:r>
        <w:rPr>
          <w:rFonts w:hint="eastAsia" w:ascii="仿宋" w:hAnsi="仿宋" w:eastAsia="仿宋" w:cs="仿宋"/>
        </w:rPr>
        <w:t>3.11 提供设备消耗水、电、气的详细资料。</w:t>
      </w:r>
    </w:p>
    <w:p w14:paraId="7EFEA380">
      <w:pPr>
        <w:pStyle w:val="19"/>
        <w:snapToGrid w:val="0"/>
        <w:spacing w:line="360" w:lineRule="auto"/>
        <w:ind w:left="6" w:firstLine="474" w:firstLineChars="0"/>
        <w:rPr>
          <w:rFonts w:ascii="仿宋" w:hAnsi="仿宋" w:eastAsia="仿宋" w:cs="仿宋"/>
        </w:rPr>
      </w:pPr>
      <w:r>
        <w:rPr>
          <w:rFonts w:hint="eastAsia" w:ascii="仿宋" w:hAnsi="仿宋" w:eastAsia="仿宋" w:cs="仿宋"/>
        </w:rPr>
        <w:t>3.12 保证设备正常运行、维护和保养必需的其他参数和资料。</w:t>
      </w:r>
    </w:p>
    <w:p w14:paraId="0B2BA81F">
      <w:pPr>
        <w:pStyle w:val="19"/>
        <w:snapToGrid w:val="0"/>
        <w:spacing w:line="360" w:lineRule="auto"/>
        <w:ind w:left="6" w:firstLine="474" w:firstLineChars="0"/>
        <w:rPr>
          <w:rFonts w:ascii="仿宋" w:hAnsi="仿宋" w:eastAsia="仿宋" w:cs="仿宋"/>
        </w:rPr>
      </w:pPr>
      <w:r>
        <w:rPr>
          <w:rFonts w:hint="eastAsia" w:ascii="仿宋" w:hAnsi="仿宋" w:eastAsia="仿宋" w:cs="仿宋"/>
        </w:rPr>
        <w:t>3.13</w:t>
      </w:r>
      <w:r>
        <w:rPr>
          <w:rFonts w:hint="eastAsia" w:ascii="仿宋" w:hAnsi="仿宋" w:eastAsia="仿宋" w:cs="仿宋"/>
          <w:lang w:val="en-US" w:eastAsia="zh-CN"/>
        </w:rPr>
        <w:t xml:space="preserve"> </w:t>
      </w:r>
      <w:r>
        <w:rPr>
          <w:rFonts w:hint="eastAsia" w:ascii="仿宋" w:hAnsi="仿宋" w:eastAsia="仿宋" w:cs="仿宋"/>
        </w:rPr>
        <w:t>投标方须负责在合同签订后</w:t>
      </w:r>
      <w:r>
        <w:rPr>
          <w:rFonts w:hint="eastAsia" w:ascii="仿宋" w:hAnsi="仿宋" w:eastAsia="仿宋" w:cs="仿宋"/>
          <w:u w:val="single"/>
          <w:shd w:val="pct10" w:color="auto" w:fill="FFFFFF"/>
        </w:rPr>
        <w:t>30</w:t>
      </w:r>
      <w:r>
        <w:rPr>
          <w:rFonts w:hint="eastAsia" w:ascii="仿宋" w:hAnsi="仿宋" w:eastAsia="仿宋" w:cs="仿宋"/>
        </w:rPr>
        <w:t>日内，提供设备基础及相关的安装、设计资料，并提供电子版资料文件，文件格式为：.doc,.dwg或.dxf；（进口货物、设备应有中外文对照）；并同时提出对厂房、基础、公用设施、消防、环保等不超出招标文件、投标文件、答疑文件、技术交流文件、技术协议书和合同等规定的、有特殊要求的解释、说明和要求；</w:t>
      </w:r>
    </w:p>
    <w:p w14:paraId="276BAD9F">
      <w:pPr>
        <w:pStyle w:val="19"/>
        <w:snapToGrid w:val="0"/>
        <w:spacing w:line="360" w:lineRule="auto"/>
        <w:ind w:left="6" w:firstLine="474" w:firstLineChars="0"/>
        <w:rPr>
          <w:rFonts w:ascii="仿宋" w:hAnsi="仿宋" w:eastAsia="仿宋" w:cs="仿宋"/>
        </w:rPr>
      </w:pPr>
      <w:r>
        <w:rPr>
          <w:rFonts w:hint="eastAsia" w:ascii="仿宋" w:hAnsi="仿宋" w:eastAsia="仿宋" w:cs="仿宋"/>
        </w:rPr>
        <w:t>3.14</w:t>
      </w:r>
      <w:r>
        <w:rPr>
          <w:rFonts w:hint="eastAsia" w:ascii="仿宋" w:hAnsi="仿宋" w:eastAsia="仿宋" w:cs="仿宋"/>
          <w:lang w:val="en-US" w:eastAsia="zh-CN"/>
        </w:rPr>
        <w:t xml:space="preserve"> </w:t>
      </w:r>
      <w:r>
        <w:rPr>
          <w:rFonts w:hint="eastAsia" w:ascii="仿宋" w:hAnsi="仿宋" w:eastAsia="仿宋" w:cs="仿宋"/>
        </w:rPr>
        <w:t>投标方须负责在预验收前，提供设备各部分的功能描述文件、图片、影像等资料（进口、设备应有中外文对照）；</w:t>
      </w:r>
    </w:p>
    <w:p w14:paraId="3AD48235">
      <w:pPr>
        <w:pStyle w:val="19"/>
        <w:snapToGrid w:val="0"/>
        <w:spacing w:line="360" w:lineRule="auto"/>
        <w:ind w:left="6" w:firstLine="474" w:firstLineChars="0"/>
        <w:rPr>
          <w:rFonts w:ascii="仿宋" w:hAnsi="仿宋" w:eastAsia="仿宋" w:cs="仿宋"/>
        </w:rPr>
      </w:pPr>
      <w:r>
        <w:rPr>
          <w:rFonts w:hint="eastAsia" w:ascii="仿宋" w:hAnsi="仿宋" w:eastAsia="仿宋" w:cs="仿宋"/>
        </w:rPr>
        <w:t>3.15</w:t>
      </w:r>
      <w:r>
        <w:rPr>
          <w:rFonts w:hint="eastAsia" w:ascii="仿宋" w:hAnsi="仿宋" w:eastAsia="仿宋" w:cs="仿宋"/>
          <w:lang w:val="en-US" w:eastAsia="zh-CN"/>
        </w:rPr>
        <w:t xml:space="preserve"> </w:t>
      </w:r>
      <w:r>
        <w:rPr>
          <w:rFonts w:hint="eastAsia" w:ascii="仿宋" w:hAnsi="仿宋" w:eastAsia="仿宋" w:cs="仿宋"/>
        </w:rPr>
        <w:t>投标方须负责在终验收前，提供招标方所需全套的工装、模具、吊（挂）具明细及其图纸、具体技术要求等资料；</w:t>
      </w:r>
    </w:p>
    <w:p w14:paraId="00503986">
      <w:pPr>
        <w:pStyle w:val="19"/>
        <w:snapToGrid w:val="0"/>
        <w:spacing w:line="360" w:lineRule="auto"/>
        <w:ind w:left="6" w:firstLine="474" w:firstLineChars="0"/>
        <w:rPr>
          <w:rFonts w:ascii="仿宋" w:hAnsi="仿宋" w:eastAsia="仿宋" w:cs="仿宋"/>
        </w:rPr>
      </w:pPr>
      <w:r>
        <w:rPr>
          <w:rFonts w:hint="eastAsia" w:ascii="仿宋" w:hAnsi="仿宋" w:eastAsia="仿宋" w:cs="仿宋"/>
        </w:rPr>
        <w:t>3.16</w:t>
      </w:r>
      <w:r>
        <w:rPr>
          <w:rFonts w:hint="eastAsia" w:ascii="仿宋" w:hAnsi="仿宋" w:eastAsia="仿宋" w:cs="仿宋"/>
          <w:lang w:val="en-US" w:eastAsia="zh-CN"/>
        </w:rPr>
        <w:t xml:space="preserve"> </w:t>
      </w:r>
      <w:r>
        <w:rPr>
          <w:rFonts w:hint="eastAsia" w:ascii="仿宋" w:hAnsi="仿宋" w:eastAsia="仿宋" w:cs="仿宋"/>
        </w:rPr>
        <w:t>投标方须负责在终验收前，提供确定的设备的外购件、外协件、电气元件及主要原材料的供货厂家明细表；</w:t>
      </w:r>
    </w:p>
    <w:p w14:paraId="7BE82569">
      <w:pPr>
        <w:pStyle w:val="19"/>
        <w:snapToGrid w:val="0"/>
        <w:spacing w:line="360" w:lineRule="auto"/>
        <w:ind w:left="6" w:firstLine="474" w:firstLineChars="0"/>
        <w:rPr>
          <w:rFonts w:ascii="仿宋" w:hAnsi="仿宋" w:eastAsia="仿宋" w:cs="仿宋"/>
        </w:rPr>
      </w:pPr>
      <w:r>
        <w:rPr>
          <w:rFonts w:hint="eastAsia" w:ascii="仿宋" w:hAnsi="仿宋" w:eastAsia="仿宋" w:cs="仿宋"/>
        </w:rPr>
        <w:t>3.17</w:t>
      </w:r>
      <w:r>
        <w:rPr>
          <w:rFonts w:hint="eastAsia" w:ascii="仿宋" w:hAnsi="仿宋" w:eastAsia="仿宋" w:cs="仿宋"/>
          <w:lang w:val="en-US" w:eastAsia="zh-CN"/>
        </w:rPr>
        <w:t xml:space="preserve"> </w:t>
      </w:r>
      <w:r>
        <w:rPr>
          <w:rFonts w:hint="eastAsia" w:ascii="仿宋" w:hAnsi="仿宋" w:eastAsia="仿宋" w:cs="仿宋"/>
        </w:rPr>
        <w:t>投标方须负责在设备到达招标方工厂时，与设备一并提供包括设备的备品备件、易损件和专用耗材规定的图纸及技术参数、技术要求等资料；</w:t>
      </w:r>
    </w:p>
    <w:p w14:paraId="38CA68E2">
      <w:pPr>
        <w:pStyle w:val="19"/>
        <w:snapToGrid w:val="0"/>
        <w:spacing w:line="360" w:lineRule="auto"/>
        <w:ind w:left="6" w:firstLine="474" w:firstLineChars="0"/>
        <w:rPr>
          <w:rFonts w:ascii="仿宋" w:hAnsi="仿宋" w:eastAsia="仿宋" w:cs="仿宋"/>
        </w:rPr>
      </w:pPr>
      <w:r>
        <w:rPr>
          <w:rFonts w:hint="eastAsia" w:ascii="仿宋" w:hAnsi="仿宋" w:eastAsia="仿宋" w:cs="仿宋"/>
        </w:rPr>
        <w:t>3.18</w:t>
      </w:r>
      <w:r>
        <w:rPr>
          <w:rFonts w:hint="eastAsia" w:ascii="仿宋" w:hAnsi="仿宋" w:eastAsia="仿宋" w:cs="仿宋"/>
          <w:lang w:val="en-US" w:eastAsia="zh-CN"/>
        </w:rPr>
        <w:t xml:space="preserve"> </w:t>
      </w:r>
      <w:r>
        <w:rPr>
          <w:rFonts w:hint="eastAsia" w:ascii="仿宋" w:hAnsi="仿宋" w:eastAsia="仿宋" w:cs="仿宋"/>
        </w:rPr>
        <w:t>投标方须负责在设备到达招标方工厂时，与设备一并提供包括设备的操作维护手册，保养维修手册、安全操作规程和安全事项的说明书、仪器仪表检定和使用维修说明书、产品样本等技术资料、图片、影像等资料(对于进口设备，应有中外文资料说明)；</w:t>
      </w:r>
    </w:p>
    <w:p w14:paraId="2D03E598">
      <w:pPr>
        <w:pStyle w:val="19"/>
        <w:snapToGrid w:val="0"/>
        <w:spacing w:line="360" w:lineRule="auto"/>
        <w:ind w:left="6" w:firstLine="474" w:firstLineChars="0"/>
        <w:rPr>
          <w:rFonts w:hint="eastAsia" w:ascii="仿宋" w:hAnsi="仿宋" w:eastAsia="仿宋" w:cs="仿宋"/>
        </w:rPr>
      </w:pPr>
      <w:r>
        <w:rPr>
          <w:rFonts w:hint="eastAsia" w:ascii="仿宋" w:hAnsi="仿宋" w:eastAsia="仿宋" w:cs="仿宋"/>
        </w:rPr>
        <w:t>3.19</w:t>
      </w:r>
      <w:r>
        <w:rPr>
          <w:rFonts w:hint="eastAsia" w:ascii="仿宋" w:hAnsi="仿宋" w:eastAsia="仿宋" w:cs="仿宋"/>
          <w:lang w:val="en-US" w:eastAsia="zh-CN"/>
        </w:rPr>
        <w:t xml:space="preserve"> </w:t>
      </w:r>
      <w:r>
        <w:rPr>
          <w:rFonts w:hint="eastAsia" w:ascii="仿宋" w:hAnsi="仿宋" w:eastAsia="仿宋" w:cs="仿宋"/>
        </w:rPr>
        <w:t>投标方须负责在设备到达招标方工厂时，与设备一并提供包括设备的设计总图、设备全线布置图、电气资料（包括接线图、原理图、布线图、梯形图等）、液压（气动）原理图和系统图、安装基础图、维修图等有关的资料、图片、影像等资料(对于进口设备，应有中外文资料说明)；</w:t>
      </w:r>
    </w:p>
    <w:p w14:paraId="0D51F2EA">
      <w:pPr>
        <w:pStyle w:val="19"/>
        <w:snapToGrid w:val="0"/>
        <w:spacing w:line="360" w:lineRule="auto"/>
        <w:ind w:left="6" w:firstLine="474" w:firstLineChars="0"/>
        <w:rPr>
          <w:rFonts w:hint="default" w:ascii="仿宋" w:hAnsi="仿宋" w:eastAsia="仿宋" w:cs="仿宋"/>
          <w:lang w:val="en-US" w:eastAsia="zh-CN"/>
        </w:rPr>
      </w:pPr>
      <w:r>
        <w:rPr>
          <w:rFonts w:hint="eastAsia" w:ascii="仿宋" w:hAnsi="仿宋" w:eastAsia="仿宋" w:cs="仿宋"/>
          <w:lang w:val="en-US" w:eastAsia="zh-CN"/>
        </w:rPr>
        <w:t xml:space="preserve">3.20 投标方在设备入场前提供接口的技术文档和参数说明，包括但不限于接口协议、通讯速率、数据格式等。 </w:t>
      </w:r>
    </w:p>
    <w:p w14:paraId="73AF0C3B">
      <w:pPr>
        <w:pStyle w:val="19"/>
        <w:snapToGrid w:val="0"/>
        <w:spacing w:line="360" w:lineRule="auto"/>
        <w:ind w:left="6" w:firstLine="474" w:firstLineChars="0"/>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 xml:space="preserve">21 </w:t>
      </w:r>
      <w:r>
        <w:rPr>
          <w:rFonts w:hint="eastAsia" w:ascii="仿宋" w:hAnsi="仿宋" w:eastAsia="仿宋" w:cs="仿宋"/>
        </w:rPr>
        <w:t>本“技术资料范围”所列的技术资料、图片、影像等，投标方应各提供</w:t>
      </w:r>
      <w:r>
        <w:rPr>
          <w:rFonts w:hint="eastAsia" w:ascii="仿宋" w:hAnsi="仿宋" w:eastAsia="仿宋" w:cs="仿宋"/>
          <w:shd w:val="pct10" w:color="auto" w:fill="FFFFFF"/>
          <w:lang w:val="en-US" w:eastAsia="zh-CN"/>
        </w:rPr>
        <w:t>5</w:t>
      </w:r>
      <w:r>
        <w:rPr>
          <w:rFonts w:hint="eastAsia" w:ascii="仿宋" w:hAnsi="仿宋" w:eastAsia="仿宋" w:cs="仿宋"/>
        </w:rPr>
        <w:t>套，其中</w:t>
      </w:r>
      <w:r>
        <w:rPr>
          <w:rFonts w:hint="eastAsia" w:ascii="仿宋" w:hAnsi="仿宋" w:eastAsia="仿宋" w:cs="仿宋"/>
          <w:shd w:val="pct10" w:color="auto" w:fill="FFFFFF"/>
          <w:lang w:val="en-US" w:eastAsia="zh-CN"/>
        </w:rPr>
        <w:t>3</w:t>
      </w:r>
      <w:r>
        <w:rPr>
          <w:rFonts w:hint="eastAsia" w:ascii="仿宋" w:hAnsi="仿宋" w:eastAsia="仿宋" w:cs="仿宋"/>
        </w:rPr>
        <w:t>套为电子版</w:t>
      </w:r>
      <w:r>
        <w:rPr>
          <w:rFonts w:hint="eastAsia" w:ascii="仿宋" w:hAnsi="仿宋" w:eastAsia="仿宋" w:cs="仿宋"/>
          <w:lang w:val="en-US" w:eastAsia="zh-CN"/>
        </w:rPr>
        <w:t>U</w:t>
      </w:r>
      <w:r>
        <w:rPr>
          <w:rFonts w:hint="eastAsia" w:ascii="仿宋" w:hAnsi="仿宋" w:eastAsia="仿宋" w:cs="仿宋"/>
        </w:rPr>
        <w:t>盘</w:t>
      </w:r>
      <w:r>
        <w:rPr>
          <w:rFonts w:hint="eastAsia" w:ascii="仿宋" w:hAnsi="仿宋" w:eastAsia="仿宋" w:cs="仿宋"/>
          <w:lang w:eastAsia="zh-CN"/>
        </w:rPr>
        <w:t>，</w:t>
      </w:r>
      <w:r>
        <w:rPr>
          <w:rFonts w:hint="eastAsia" w:ascii="仿宋" w:hAnsi="仿宋" w:eastAsia="仿宋" w:cs="仿宋"/>
          <w:lang w:val="en-US" w:eastAsia="zh-CN"/>
        </w:rPr>
        <w:t>2套为装订成册的纸质版</w:t>
      </w:r>
      <w:r>
        <w:rPr>
          <w:rFonts w:hint="eastAsia" w:ascii="仿宋" w:hAnsi="仿宋" w:eastAsia="仿宋" w:cs="仿宋"/>
        </w:rPr>
        <w:t>；每份技术文件应装有目录清单；</w:t>
      </w:r>
    </w:p>
    <w:p w14:paraId="716FA1EC">
      <w:pPr>
        <w:pStyle w:val="19"/>
        <w:snapToGrid w:val="0"/>
        <w:spacing w:line="360" w:lineRule="auto"/>
        <w:ind w:left="6" w:firstLine="474" w:firstLineChars="0"/>
        <w:rPr>
          <w:rFonts w:ascii="仿宋" w:hAnsi="仿宋" w:eastAsia="仿宋" w:cs="仿宋"/>
        </w:rPr>
      </w:pPr>
      <w:r>
        <w:rPr>
          <w:rFonts w:hint="eastAsia" w:ascii="仿宋" w:hAnsi="仿宋" w:eastAsia="仿宋" w:cs="仿宋"/>
        </w:rPr>
        <w:t>3.2</w:t>
      </w:r>
      <w:r>
        <w:rPr>
          <w:rFonts w:hint="eastAsia" w:ascii="仿宋" w:hAnsi="仿宋" w:eastAsia="仿宋" w:cs="仿宋"/>
          <w:lang w:val="en-US" w:eastAsia="zh-CN"/>
        </w:rPr>
        <w:t xml:space="preserve">2 </w:t>
      </w:r>
      <w:r>
        <w:rPr>
          <w:rFonts w:hint="eastAsia" w:ascii="仿宋" w:hAnsi="仿宋" w:eastAsia="仿宋" w:cs="仿宋"/>
        </w:rPr>
        <w:t>本“技术资料范围”所列要求，如招标方认为投标方提供的资料不能满足要求时，有权要求投标方补充或增加。</w:t>
      </w:r>
    </w:p>
    <w:p w14:paraId="5F042DB0">
      <w:pPr>
        <w:adjustRightInd w:val="0"/>
        <w:snapToGrid w:val="0"/>
        <w:spacing w:before="163" w:beforeLines="50" w:after="163" w:afterLines="50" w:line="360" w:lineRule="auto"/>
        <w:jc w:val="center"/>
        <w:outlineLvl w:val="1"/>
        <w:rPr>
          <w:rFonts w:ascii="仿宋" w:hAnsi="仿宋" w:eastAsia="仿宋" w:cs="仿宋"/>
          <w:b w:val="0"/>
          <w:bCs w:val="0"/>
        </w:rPr>
      </w:pPr>
      <w:bookmarkStart w:id="503" w:name="_Toc4183"/>
      <w:bookmarkStart w:id="504" w:name="_Toc16163"/>
      <w:bookmarkStart w:id="505" w:name="_Toc29107"/>
      <w:bookmarkStart w:id="506" w:name="_Toc18492"/>
      <w:bookmarkStart w:id="507" w:name="_Toc30635"/>
      <w:bookmarkStart w:id="508" w:name="_Toc10692"/>
      <w:bookmarkStart w:id="509" w:name="_Toc17572"/>
      <w:bookmarkStart w:id="510" w:name="_Toc603"/>
      <w:bookmarkStart w:id="511" w:name="_Toc15620"/>
      <w:bookmarkStart w:id="512" w:name="_Toc4601"/>
      <w:bookmarkStart w:id="513" w:name="_Toc1897"/>
      <w:bookmarkStart w:id="514" w:name="_Toc5634"/>
      <w:bookmarkStart w:id="515" w:name="_Toc1998"/>
      <w:bookmarkStart w:id="516" w:name="_Toc19194"/>
      <w:bookmarkStart w:id="517" w:name="_Toc23856"/>
      <w:bookmarkStart w:id="518" w:name="_Toc23025"/>
      <w:bookmarkStart w:id="519" w:name="_Toc8309"/>
      <w:bookmarkStart w:id="520" w:name="_Toc25983"/>
      <w:bookmarkStart w:id="521" w:name="_Toc27960"/>
      <w:bookmarkStart w:id="522" w:name="_Toc6313"/>
      <w:bookmarkStart w:id="523" w:name="_Toc18118"/>
      <w:bookmarkStart w:id="524" w:name="_Toc17613"/>
      <w:bookmarkStart w:id="525" w:name="_Toc11851"/>
      <w:bookmarkStart w:id="526" w:name="_Toc12288"/>
      <w:bookmarkStart w:id="527" w:name="_Toc3548"/>
      <w:bookmarkStart w:id="528" w:name="_Toc4676"/>
      <w:bookmarkStart w:id="529" w:name="_Toc20754"/>
      <w:bookmarkStart w:id="530" w:name="_Toc24898"/>
      <w:bookmarkStart w:id="531" w:name="_Toc22358"/>
      <w:bookmarkStart w:id="532" w:name="_Toc17660"/>
      <w:bookmarkStart w:id="533" w:name="_Toc13201"/>
      <w:bookmarkStart w:id="534" w:name="_Toc73112408"/>
      <w:bookmarkStart w:id="535" w:name="_Toc16689"/>
      <w:bookmarkStart w:id="536" w:name="_Toc15671"/>
      <w:bookmarkStart w:id="537" w:name="_Toc29792"/>
      <w:bookmarkStart w:id="538" w:name="_Toc18839"/>
      <w:bookmarkStart w:id="539" w:name="_Toc21360"/>
      <w:bookmarkStart w:id="540" w:name="_Toc3580"/>
      <w:bookmarkStart w:id="541" w:name="_Toc81"/>
      <w:bookmarkStart w:id="542" w:name="_Toc11837"/>
      <w:bookmarkStart w:id="543" w:name="_Toc4381"/>
      <w:bookmarkStart w:id="544" w:name="_Toc27636"/>
      <w:r>
        <w:rPr>
          <w:rFonts w:hint="eastAsia" w:ascii="仿宋" w:hAnsi="仿宋" w:eastAsia="仿宋" w:cs="仿宋"/>
          <w:b w:val="0"/>
          <w:bCs w:val="0"/>
        </w:rPr>
        <w:t>第二节</w:t>
      </w:r>
      <w:r>
        <w:rPr>
          <w:rFonts w:hint="eastAsia" w:ascii="仿宋" w:hAnsi="仿宋" w:eastAsia="仿宋" w:cs="仿宋"/>
          <w:b w:val="0"/>
          <w:bCs w:val="0"/>
          <w:lang w:val="en-US" w:eastAsia="zh-CN"/>
        </w:rPr>
        <w:t xml:space="preserve"> </w:t>
      </w:r>
      <w:r>
        <w:rPr>
          <w:rFonts w:hint="eastAsia" w:ascii="仿宋" w:hAnsi="仿宋" w:eastAsia="仿宋" w:cs="仿宋"/>
          <w:b w:val="0"/>
          <w:bCs w:val="0"/>
        </w:rPr>
        <w:t>供货方式</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15B61AC0">
      <w:pPr>
        <w:snapToGrid w:val="0"/>
        <w:spacing w:line="360" w:lineRule="auto"/>
        <w:ind w:left="480"/>
        <w:outlineLvl w:val="2"/>
        <w:rPr>
          <w:rFonts w:ascii="仿宋" w:hAnsi="仿宋" w:eastAsia="仿宋" w:cs="仿宋"/>
          <w:b/>
          <w:bCs/>
        </w:rPr>
      </w:pPr>
      <w:bookmarkStart w:id="545" w:name="_Toc27005"/>
      <w:bookmarkStart w:id="546" w:name="_Toc1474"/>
      <w:bookmarkStart w:id="547" w:name="_Toc28534"/>
      <w:bookmarkStart w:id="548" w:name="_Toc10286"/>
      <w:bookmarkStart w:id="549" w:name="_Toc32491"/>
      <w:bookmarkStart w:id="550" w:name="_Toc73112409"/>
      <w:bookmarkStart w:id="551" w:name="_Toc20263"/>
      <w:bookmarkStart w:id="552" w:name="_Toc4344"/>
      <w:bookmarkStart w:id="553" w:name="_Toc14135"/>
      <w:bookmarkStart w:id="554" w:name="_Toc19237"/>
      <w:bookmarkStart w:id="555" w:name="_Toc3032"/>
      <w:bookmarkStart w:id="556" w:name="_Toc22679"/>
      <w:bookmarkStart w:id="557" w:name="_Toc28222"/>
      <w:bookmarkStart w:id="558" w:name="_Toc11533"/>
      <w:bookmarkStart w:id="559" w:name="_Toc18282"/>
      <w:bookmarkStart w:id="560" w:name="_Toc28360"/>
      <w:bookmarkStart w:id="561" w:name="_Toc28759"/>
      <w:bookmarkStart w:id="562" w:name="_Toc28962"/>
      <w:bookmarkStart w:id="563" w:name="_Toc24179"/>
      <w:bookmarkStart w:id="564" w:name="_Toc1116"/>
      <w:r>
        <w:rPr>
          <w:rFonts w:hint="eastAsia" w:ascii="仿宋" w:hAnsi="仿宋" w:eastAsia="仿宋" w:cs="仿宋"/>
          <w:b/>
          <w:bCs/>
        </w:rPr>
        <w:t>1供货地点</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5926F7E7">
      <w:pPr>
        <w:pStyle w:val="19"/>
        <w:snapToGrid w:val="0"/>
        <w:spacing w:line="360" w:lineRule="auto"/>
        <w:ind w:firstLine="420" w:firstLineChars="200"/>
        <w:rPr>
          <w:rFonts w:ascii="仿宋" w:hAnsi="仿宋" w:eastAsia="仿宋" w:cs="仿宋"/>
        </w:rPr>
      </w:pPr>
      <w:r>
        <w:rPr>
          <w:rFonts w:hint="eastAsia" w:ascii="仿宋" w:hAnsi="仿宋" w:eastAsia="仿宋" w:cs="仿宋"/>
        </w:rPr>
        <w:t>本项目建设工地。</w:t>
      </w:r>
    </w:p>
    <w:p w14:paraId="66C7B27F">
      <w:pPr>
        <w:snapToGrid w:val="0"/>
        <w:spacing w:line="360" w:lineRule="auto"/>
        <w:ind w:left="480"/>
        <w:outlineLvl w:val="2"/>
        <w:rPr>
          <w:rFonts w:ascii="仿宋" w:hAnsi="仿宋" w:eastAsia="仿宋" w:cs="仿宋"/>
          <w:b/>
          <w:bCs/>
        </w:rPr>
      </w:pPr>
      <w:bookmarkStart w:id="565" w:name="_Toc11086"/>
      <w:bookmarkStart w:id="566" w:name="_Toc21521"/>
      <w:bookmarkStart w:id="567" w:name="_Toc27724"/>
      <w:bookmarkStart w:id="568" w:name="_Toc26178"/>
      <w:bookmarkStart w:id="569" w:name="_Toc20257"/>
      <w:bookmarkStart w:id="570" w:name="_Toc22044"/>
      <w:bookmarkStart w:id="571" w:name="_Toc2280"/>
      <w:bookmarkStart w:id="572" w:name="_Toc11152"/>
      <w:bookmarkStart w:id="573" w:name="_Toc6963"/>
      <w:bookmarkStart w:id="574" w:name="_Toc30858"/>
      <w:bookmarkStart w:id="575" w:name="_Toc26611"/>
      <w:bookmarkStart w:id="576" w:name="_Toc6707"/>
      <w:bookmarkStart w:id="577" w:name="_Toc4215"/>
      <w:bookmarkStart w:id="578" w:name="_Toc5862"/>
      <w:bookmarkStart w:id="579" w:name="_Toc9856"/>
      <w:bookmarkStart w:id="580" w:name="_Toc31657"/>
      <w:bookmarkStart w:id="581" w:name="_Toc531"/>
      <w:bookmarkStart w:id="582" w:name="_Toc27558"/>
      <w:bookmarkStart w:id="583" w:name="_Toc73112410"/>
      <w:bookmarkStart w:id="584" w:name="_Toc8043"/>
      <w:r>
        <w:rPr>
          <w:rFonts w:hint="eastAsia" w:ascii="仿宋" w:hAnsi="仿宋" w:eastAsia="仿宋" w:cs="仿宋"/>
          <w:b/>
          <w:bCs/>
        </w:rPr>
        <w:t>2供货时间</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56038C07">
      <w:pPr>
        <w:snapToGrid w:val="0"/>
        <w:spacing w:line="360" w:lineRule="auto"/>
        <w:ind w:firstLine="420" w:firstLineChars="200"/>
        <w:jc w:val="left"/>
        <w:rPr>
          <w:rFonts w:ascii="仿宋" w:hAnsi="仿宋" w:eastAsia="仿宋" w:cs="仿宋"/>
          <w:strike/>
          <w:highlight w:val="none"/>
        </w:rPr>
      </w:pPr>
      <w:r>
        <w:rPr>
          <w:rFonts w:hint="eastAsia" w:ascii="仿宋" w:hAnsi="仿宋" w:eastAsia="仿宋" w:cs="仿宋"/>
        </w:rPr>
        <w:t>2.1投标方应自</w:t>
      </w:r>
      <w:r>
        <w:rPr>
          <w:rFonts w:hint="eastAsia" w:ascii="仿宋" w:hAnsi="仿宋" w:eastAsia="仿宋" w:cs="仿宋"/>
          <w:highlight w:val="none"/>
        </w:rPr>
        <w:t>接到中标通知后，</w:t>
      </w:r>
      <w:r>
        <w:rPr>
          <w:rFonts w:hint="eastAsia" w:ascii="仿宋" w:hAnsi="仿宋" w:eastAsia="仿宋" w:cs="仿宋"/>
          <w:highlight w:val="none"/>
          <w:u w:val="single"/>
          <w:shd w:val="pct10" w:color="auto" w:fill="FFFFFF"/>
          <w:lang w:val="en-US" w:eastAsia="zh-CN"/>
        </w:rPr>
        <w:t>210</w:t>
      </w:r>
      <w:r>
        <w:rPr>
          <w:rFonts w:hint="eastAsia" w:ascii="仿宋" w:hAnsi="仿宋" w:eastAsia="仿宋" w:cs="仿宋"/>
          <w:highlight w:val="none"/>
        </w:rPr>
        <w:t>日历日之内交货至供货地点。</w:t>
      </w:r>
    </w:p>
    <w:p w14:paraId="33DC3D25">
      <w:pPr>
        <w:snapToGri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2.2连续</w:t>
      </w:r>
      <w:r>
        <w:rPr>
          <w:rFonts w:hint="eastAsia" w:ascii="仿宋" w:hAnsi="仿宋" w:eastAsia="仿宋" w:cs="仿宋"/>
          <w:highlight w:val="none"/>
          <w:u w:val="single"/>
        </w:rPr>
        <w:t xml:space="preserve"> </w:t>
      </w:r>
      <w:r>
        <w:rPr>
          <w:rFonts w:hint="eastAsia" w:ascii="仿宋" w:hAnsi="仿宋" w:eastAsia="仿宋" w:cs="仿宋"/>
          <w:highlight w:val="none"/>
          <w:u w:val="single"/>
          <w:shd w:val="pct10" w:color="auto" w:fill="FFFFFF"/>
          <w:lang w:val="en-US" w:eastAsia="zh-CN"/>
        </w:rPr>
        <w:t>90</w:t>
      </w:r>
      <w:r>
        <w:rPr>
          <w:rFonts w:hint="eastAsia" w:ascii="仿宋" w:hAnsi="仿宋" w:eastAsia="仿宋" w:cs="仿宋"/>
          <w:highlight w:val="none"/>
        </w:rPr>
        <w:t>个日历日之内安装调试完毕；</w:t>
      </w:r>
    </w:p>
    <w:p w14:paraId="50CC82E1">
      <w:pPr>
        <w:snapToGrid w:val="0"/>
        <w:spacing w:line="360" w:lineRule="auto"/>
        <w:ind w:firstLine="420" w:firstLineChars="200"/>
        <w:jc w:val="left"/>
        <w:rPr>
          <w:rFonts w:ascii="仿宋" w:hAnsi="仿宋" w:eastAsia="仿宋" w:cs="仿宋"/>
        </w:rPr>
      </w:pPr>
      <w:r>
        <w:rPr>
          <w:rFonts w:hint="eastAsia" w:ascii="仿宋" w:hAnsi="仿宋" w:eastAsia="仿宋" w:cs="仿宋"/>
          <w:highlight w:val="none"/>
        </w:rPr>
        <w:t>2.3连续</w:t>
      </w:r>
      <w:r>
        <w:rPr>
          <w:rFonts w:hint="eastAsia" w:ascii="仿宋" w:hAnsi="仿宋" w:eastAsia="仿宋" w:cs="仿宋"/>
          <w:highlight w:val="none"/>
          <w:u w:val="single"/>
          <w:shd w:val="pct10" w:color="auto" w:fill="FFFFFF"/>
        </w:rPr>
        <w:t xml:space="preserve"> 30</w:t>
      </w:r>
      <w:r>
        <w:rPr>
          <w:rFonts w:hint="eastAsia" w:ascii="仿宋" w:hAnsi="仿宋" w:eastAsia="仿宋" w:cs="仿宋"/>
          <w:highlight w:val="none"/>
          <w:u w:val="single"/>
        </w:rPr>
        <w:t xml:space="preserve"> </w:t>
      </w:r>
      <w:r>
        <w:rPr>
          <w:rFonts w:hint="eastAsia" w:ascii="仿宋" w:hAnsi="仿宋" w:eastAsia="仿宋" w:cs="仿宋"/>
          <w:highlight w:val="none"/>
        </w:rPr>
        <w:t>个日历日之内完成终验收</w:t>
      </w:r>
      <w:r>
        <w:rPr>
          <w:rFonts w:hint="eastAsia" w:ascii="仿宋" w:hAnsi="仿宋" w:eastAsia="仿宋" w:cs="仿宋"/>
        </w:rPr>
        <w:t>。</w:t>
      </w:r>
    </w:p>
    <w:p w14:paraId="543F29C2">
      <w:pPr>
        <w:snapToGrid w:val="0"/>
        <w:spacing w:line="360" w:lineRule="auto"/>
        <w:ind w:firstLine="420" w:firstLineChars="200"/>
        <w:jc w:val="left"/>
        <w:rPr>
          <w:rFonts w:ascii="仿宋" w:hAnsi="仿宋" w:eastAsia="仿宋" w:cs="仿宋"/>
        </w:rPr>
      </w:pPr>
      <w:r>
        <w:rPr>
          <w:rFonts w:hint="eastAsia" w:ascii="仿宋" w:hAnsi="仿宋" w:eastAsia="仿宋" w:cs="仿宋"/>
        </w:rPr>
        <w:t>2.4必要时，投标方应当提供详细的工期计划。</w:t>
      </w:r>
    </w:p>
    <w:p w14:paraId="4068A8C7">
      <w:pPr>
        <w:snapToGrid w:val="0"/>
        <w:spacing w:line="360" w:lineRule="auto"/>
        <w:ind w:left="480"/>
        <w:outlineLvl w:val="2"/>
        <w:rPr>
          <w:rFonts w:ascii="仿宋" w:hAnsi="仿宋" w:eastAsia="仿宋" w:cs="仿宋"/>
          <w:b/>
          <w:bCs/>
        </w:rPr>
      </w:pPr>
      <w:bookmarkStart w:id="585" w:name="_Toc22617"/>
      <w:bookmarkStart w:id="586" w:name="_Toc24587"/>
      <w:bookmarkStart w:id="587" w:name="_Toc8419"/>
      <w:bookmarkStart w:id="588" w:name="_Toc11749"/>
      <w:bookmarkStart w:id="589" w:name="_Toc16960"/>
      <w:bookmarkStart w:id="590" w:name="_Toc22968"/>
      <w:bookmarkStart w:id="591" w:name="_Toc18153"/>
      <w:bookmarkStart w:id="592" w:name="_Toc9507"/>
      <w:bookmarkStart w:id="593" w:name="_Toc4431"/>
      <w:bookmarkStart w:id="594" w:name="_Toc5288"/>
      <w:bookmarkStart w:id="595" w:name="_Toc18845"/>
      <w:bookmarkStart w:id="596" w:name="_Toc30983"/>
      <w:bookmarkStart w:id="597" w:name="_Toc23122"/>
      <w:bookmarkStart w:id="598" w:name="_Toc17351"/>
      <w:bookmarkStart w:id="599" w:name="_Toc31485"/>
      <w:bookmarkStart w:id="600" w:name="_Toc17489"/>
      <w:bookmarkStart w:id="601" w:name="_Toc73112411"/>
      <w:bookmarkStart w:id="602" w:name="_Toc22394"/>
      <w:bookmarkStart w:id="603" w:name="_Toc29786"/>
      <w:bookmarkStart w:id="604" w:name="_Toc8193"/>
      <w:r>
        <w:rPr>
          <w:rFonts w:hint="eastAsia" w:ascii="仿宋" w:hAnsi="仿宋" w:eastAsia="仿宋" w:cs="仿宋"/>
          <w:b/>
          <w:bCs/>
        </w:rPr>
        <w:t>3质保期</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159E5F6C">
      <w:pPr>
        <w:snapToGrid w:val="0"/>
        <w:spacing w:line="360" w:lineRule="auto"/>
        <w:ind w:firstLine="420" w:firstLineChars="200"/>
        <w:rPr>
          <w:rFonts w:ascii="仿宋" w:hAnsi="仿宋" w:eastAsia="仿宋" w:cs="仿宋"/>
        </w:rPr>
      </w:pPr>
      <w:r>
        <w:rPr>
          <w:rFonts w:hint="eastAsia" w:ascii="仿宋" w:hAnsi="仿宋" w:eastAsia="仿宋" w:cs="仿宋"/>
        </w:rPr>
        <w:t>3.1投标方所提供货物（或生产线）涉及的全部供货范围内的设备、材料、零配件和工器具等，除合同特别约定外，其质保期均自终验收签字生效之日起</w:t>
      </w:r>
      <w:r>
        <w:rPr>
          <w:rFonts w:hint="eastAsia" w:ascii="仿宋" w:hAnsi="仿宋" w:eastAsia="仿宋" w:cs="仿宋"/>
          <w:u w:val="single"/>
          <w:shd w:val="pct10" w:color="auto" w:fill="FFFFFF"/>
        </w:rPr>
        <w:t>12</w:t>
      </w:r>
      <w:r>
        <w:rPr>
          <w:rFonts w:hint="eastAsia" w:ascii="仿宋" w:hAnsi="仿宋" w:eastAsia="仿宋" w:cs="仿宋"/>
        </w:rPr>
        <w:t>个月。数控系统、伺服单元、电源模块、各轴电机及显示器等</w:t>
      </w:r>
      <w:r>
        <w:rPr>
          <w:rFonts w:hint="eastAsia" w:ascii="仿宋" w:hAnsi="仿宋" w:eastAsia="仿宋" w:cs="仿宋"/>
          <w:lang w:val="en-US" w:eastAsia="zh-CN"/>
        </w:rPr>
        <w:t>电子</w:t>
      </w:r>
      <w:r>
        <w:rPr>
          <w:rFonts w:hint="eastAsia" w:ascii="仿宋" w:hAnsi="仿宋" w:eastAsia="仿宋" w:cs="仿宋"/>
        </w:rPr>
        <w:t>部分</w:t>
      </w:r>
      <w:r>
        <w:rPr>
          <w:rFonts w:hint="eastAsia" w:ascii="仿宋" w:hAnsi="仿宋" w:eastAsia="仿宋" w:cs="仿宋"/>
          <w:u w:val="single"/>
          <w:shd w:val="pct10" w:color="auto" w:fill="FFFFFF"/>
        </w:rPr>
        <w:t>36</w:t>
      </w:r>
      <w:r>
        <w:rPr>
          <w:rFonts w:hint="eastAsia" w:ascii="仿宋" w:hAnsi="仿宋" w:eastAsia="仿宋" w:cs="仿宋"/>
        </w:rPr>
        <w:t>月以内。</w:t>
      </w:r>
    </w:p>
    <w:p w14:paraId="6E2CABCF">
      <w:pPr>
        <w:snapToGrid w:val="0"/>
        <w:spacing w:line="360" w:lineRule="auto"/>
        <w:ind w:firstLine="420" w:firstLineChars="200"/>
        <w:jc w:val="left"/>
        <w:rPr>
          <w:rFonts w:ascii="仿宋" w:hAnsi="仿宋" w:eastAsia="仿宋" w:cs="仿宋"/>
        </w:rPr>
      </w:pPr>
      <w:r>
        <w:rPr>
          <w:rFonts w:hint="eastAsia" w:ascii="仿宋" w:hAnsi="仿宋" w:eastAsia="仿宋" w:cs="仿宋"/>
        </w:rPr>
        <w:t>3.2质保期之内，如果货物（或生产线）出现关键设备、总成、零部件或者多处一般设备、总成、零部件的更换或维修行为，则质保期自更换或维修行为结束、货物（或生产线）能够正常运行使用之日起重新计算。</w:t>
      </w:r>
    </w:p>
    <w:p w14:paraId="54752FBF">
      <w:pPr>
        <w:snapToGrid w:val="0"/>
        <w:spacing w:line="360" w:lineRule="auto"/>
        <w:ind w:left="480"/>
        <w:outlineLvl w:val="2"/>
        <w:rPr>
          <w:rFonts w:ascii="仿宋" w:hAnsi="仿宋" w:eastAsia="仿宋" w:cs="仿宋"/>
          <w:b/>
          <w:bCs/>
        </w:rPr>
      </w:pPr>
      <w:bookmarkStart w:id="605" w:name="_Toc28907"/>
      <w:bookmarkStart w:id="606" w:name="_Toc20400"/>
      <w:bookmarkStart w:id="607" w:name="_Toc10272"/>
      <w:bookmarkStart w:id="608" w:name="_Toc27729"/>
      <w:bookmarkStart w:id="609" w:name="_Toc19011"/>
      <w:bookmarkStart w:id="610" w:name="_Toc27080"/>
      <w:bookmarkStart w:id="611" w:name="_Toc426"/>
      <w:bookmarkStart w:id="612" w:name="_Toc16664"/>
      <w:bookmarkStart w:id="613" w:name="_Toc21924"/>
      <w:bookmarkStart w:id="614" w:name="_Toc14622"/>
      <w:bookmarkStart w:id="615" w:name="_Toc17320"/>
      <w:bookmarkStart w:id="616" w:name="_Toc27377"/>
      <w:bookmarkStart w:id="617" w:name="_Toc20248"/>
      <w:bookmarkStart w:id="618" w:name="_Toc16381"/>
      <w:bookmarkStart w:id="619" w:name="_Toc12791"/>
      <w:bookmarkStart w:id="620" w:name="_Toc29090"/>
      <w:bookmarkStart w:id="621" w:name="_Toc21555"/>
      <w:bookmarkStart w:id="622" w:name="_Toc73112412"/>
      <w:bookmarkStart w:id="623" w:name="_Toc26040"/>
      <w:bookmarkStart w:id="624" w:name="_Toc5126"/>
      <w:r>
        <w:rPr>
          <w:rFonts w:hint="eastAsia" w:ascii="仿宋" w:hAnsi="仿宋" w:eastAsia="仿宋" w:cs="仿宋"/>
          <w:b/>
          <w:bCs/>
        </w:rPr>
        <w:t>4包装</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4209A36F">
      <w:pPr>
        <w:pStyle w:val="19"/>
        <w:snapToGrid w:val="0"/>
        <w:spacing w:line="360" w:lineRule="auto"/>
        <w:ind w:firstLine="420" w:firstLineChars="200"/>
        <w:rPr>
          <w:rFonts w:ascii="仿宋" w:hAnsi="仿宋" w:eastAsia="仿宋" w:cs="仿宋"/>
        </w:rPr>
      </w:pPr>
      <w:r>
        <w:rPr>
          <w:rFonts w:hint="eastAsia" w:ascii="仿宋" w:hAnsi="仿宋" w:eastAsia="仿宋" w:cs="仿宋"/>
        </w:rPr>
        <w:t>4.1投标方所提供货物（或设备）的包装，应遵照国家标准和有关包装、包皮的技术条件，或按照最好的商业惯例进行包装。</w:t>
      </w:r>
    </w:p>
    <w:p w14:paraId="55EE8F0E">
      <w:pPr>
        <w:pStyle w:val="19"/>
        <w:snapToGrid w:val="0"/>
        <w:spacing w:line="360" w:lineRule="auto"/>
        <w:ind w:firstLine="420" w:firstLineChars="200"/>
        <w:rPr>
          <w:rFonts w:ascii="仿宋" w:hAnsi="仿宋" w:eastAsia="仿宋" w:cs="仿宋"/>
        </w:rPr>
      </w:pPr>
      <w:r>
        <w:rPr>
          <w:rFonts w:hint="eastAsia" w:ascii="仿宋" w:hAnsi="仿宋" w:eastAsia="仿宋" w:cs="仿宋"/>
        </w:rPr>
        <w:t>4.2包装应能满足所需要采取的运输方式（船运、汽运或铁路运输）、多次吊装卸装、卸货以及长期露天堆放要求，应能防止雨淋、受潮、生锈、腐蚀、受振、受磁以及机械和化学因素等引起的损坏。</w:t>
      </w:r>
    </w:p>
    <w:p w14:paraId="36F58017">
      <w:pPr>
        <w:pStyle w:val="19"/>
        <w:snapToGrid w:val="0"/>
        <w:spacing w:line="360" w:lineRule="auto"/>
        <w:ind w:firstLine="420" w:firstLineChars="200"/>
        <w:rPr>
          <w:rFonts w:ascii="仿宋" w:hAnsi="仿宋" w:eastAsia="仿宋" w:cs="仿宋"/>
        </w:rPr>
      </w:pPr>
      <w:r>
        <w:rPr>
          <w:rFonts w:hint="eastAsia" w:ascii="仿宋" w:hAnsi="仿宋" w:eastAsia="仿宋" w:cs="仿宋"/>
        </w:rPr>
        <w:t>4.3投标方所提供货物（或设备）的包装，应能防止其一般性被窃或受外力破坏；一般不得采用有大缝隙的板条包装。</w:t>
      </w:r>
    </w:p>
    <w:p w14:paraId="543AFE37">
      <w:pPr>
        <w:pStyle w:val="19"/>
        <w:snapToGrid w:val="0"/>
        <w:spacing w:line="360" w:lineRule="auto"/>
        <w:ind w:firstLine="420" w:firstLineChars="200"/>
        <w:rPr>
          <w:rFonts w:ascii="仿宋" w:hAnsi="仿宋" w:eastAsia="仿宋" w:cs="仿宋"/>
        </w:rPr>
      </w:pPr>
      <w:r>
        <w:rPr>
          <w:rFonts w:hint="eastAsia" w:ascii="仿宋" w:hAnsi="仿宋" w:eastAsia="仿宋" w:cs="仿宋"/>
        </w:rPr>
        <w:t>4.4投标方应对包装件做必要的加固和固定等防护措施，以防止运输可能造成的损坏。</w:t>
      </w:r>
    </w:p>
    <w:p w14:paraId="61CE889C">
      <w:pPr>
        <w:pStyle w:val="19"/>
        <w:snapToGrid w:val="0"/>
        <w:spacing w:line="360" w:lineRule="auto"/>
        <w:ind w:firstLine="420" w:firstLineChars="200"/>
        <w:rPr>
          <w:rFonts w:ascii="仿宋" w:hAnsi="仿宋" w:eastAsia="仿宋" w:cs="仿宋"/>
        </w:rPr>
      </w:pPr>
      <w:r>
        <w:rPr>
          <w:rFonts w:hint="eastAsia" w:ascii="仿宋" w:hAnsi="仿宋" w:eastAsia="仿宋" w:cs="仿宋"/>
        </w:rPr>
        <w:t>4.5每个包装件应有装箱单，并至少标明名称、型号规格、数量、净重和毛重、投标方（或供货商）名称和制造日期等相关内容。</w:t>
      </w:r>
    </w:p>
    <w:p w14:paraId="04B68AFF">
      <w:pPr>
        <w:pStyle w:val="19"/>
        <w:snapToGrid w:val="0"/>
        <w:spacing w:line="360" w:lineRule="auto"/>
        <w:ind w:firstLine="420" w:firstLineChars="200"/>
        <w:rPr>
          <w:rFonts w:ascii="仿宋" w:hAnsi="仿宋" w:eastAsia="仿宋" w:cs="仿宋"/>
        </w:rPr>
      </w:pPr>
      <w:r>
        <w:rPr>
          <w:rFonts w:hint="eastAsia" w:ascii="仿宋" w:hAnsi="仿宋" w:eastAsia="仿宋" w:cs="仿宋"/>
        </w:rPr>
        <w:t>4.6每个包装箱应有明显标志，并具有中文书写的合同号、装运标志、发货和到货地点名称、发货人和收货人名称、货物（或生产线）名称和项目号、箱号和外型尺寸等内容。</w:t>
      </w:r>
    </w:p>
    <w:p w14:paraId="395D1E4B">
      <w:pPr>
        <w:pStyle w:val="19"/>
        <w:snapToGrid w:val="0"/>
        <w:spacing w:line="360" w:lineRule="auto"/>
        <w:ind w:firstLine="420" w:firstLineChars="200"/>
        <w:rPr>
          <w:rFonts w:ascii="仿宋" w:hAnsi="仿宋" w:eastAsia="仿宋" w:cs="仿宋"/>
        </w:rPr>
      </w:pPr>
      <w:r>
        <w:rPr>
          <w:rFonts w:hint="eastAsia" w:ascii="仿宋" w:hAnsi="仿宋" w:eastAsia="仿宋" w:cs="仿宋"/>
        </w:rPr>
        <w:t>4.7投标方还应按照不同的装运要求在包装箱上标明“小心轻放”、“箭头向上”、“防潮”、“防磁”、“不准平放”等标志，以及其它适用的国标通用标志。</w:t>
      </w:r>
    </w:p>
    <w:p w14:paraId="03166B23">
      <w:pPr>
        <w:pStyle w:val="19"/>
        <w:snapToGrid w:val="0"/>
        <w:spacing w:line="360" w:lineRule="auto"/>
        <w:ind w:firstLine="420" w:firstLineChars="200"/>
        <w:rPr>
          <w:rFonts w:ascii="仿宋" w:hAnsi="仿宋" w:eastAsia="仿宋" w:cs="仿宋"/>
        </w:rPr>
      </w:pPr>
      <w:r>
        <w:rPr>
          <w:rFonts w:hint="eastAsia" w:ascii="仿宋" w:hAnsi="仿宋" w:eastAsia="仿宋" w:cs="仿宋"/>
        </w:rPr>
        <w:t>4.8包装箱应连续编号，不应出现重复编号。</w:t>
      </w:r>
    </w:p>
    <w:p w14:paraId="5777B6AE">
      <w:pPr>
        <w:pStyle w:val="19"/>
        <w:snapToGrid w:val="0"/>
        <w:spacing w:line="360" w:lineRule="auto"/>
        <w:ind w:firstLine="420" w:firstLineChars="200"/>
        <w:rPr>
          <w:rFonts w:ascii="仿宋" w:hAnsi="仿宋" w:eastAsia="仿宋" w:cs="仿宋"/>
        </w:rPr>
      </w:pPr>
      <w:r>
        <w:rPr>
          <w:rFonts w:hint="eastAsia" w:ascii="仿宋" w:hAnsi="仿宋" w:eastAsia="仿宋" w:cs="仿宋"/>
        </w:rPr>
        <w:t>4.9在不受到外界破坏情况下，包装应保证自交货日起一年内货物（或设备）完好无损。</w:t>
      </w:r>
    </w:p>
    <w:p w14:paraId="7014D0F8">
      <w:pPr>
        <w:snapToGrid w:val="0"/>
        <w:spacing w:line="360" w:lineRule="auto"/>
        <w:ind w:left="480"/>
        <w:outlineLvl w:val="2"/>
        <w:rPr>
          <w:rFonts w:ascii="仿宋" w:hAnsi="仿宋" w:eastAsia="仿宋" w:cs="仿宋"/>
          <w:b/>
          <w:bCs/>
        </w:rPr>
      </w:pPr>
      <w:bookmarkStart w:id="625" w:name="_Toc17881"/>
      <w:bookmarkStart w:id="626" w:name="_Toc4346"/>
      <w:bookmarkStart w:id="627" w:name="_Toc22792"/>
      <w:bookmarkStart w:id="628" w:name="_Toc21886"/>
      <w:bookmarkStart w:id="629" w:name="_Toc21308"/>
      <w:bookmarkStart w:id="630" w:name="_Toc17990"/>
      <w:bookmarkStart w:id="631" w:name="_Toc23221"/>
      <w:bookmarkStart w:id="632" w:name="_Toc22992"/>
      <w:bookmarkStart w:id="633" w:name="_Toc1857"/>
      <w:bookmarkStart w:id="634" w:name="_Toc7889"/>
      <w:bookmarkStart w:id="635" w:name="_Toc5373"/>
      <w:bookmarkStart w:id="636" w:name="_Toc73112413"/>
      <w:bookmarkStart w:id="637" w:name="_Toc20536"/>
      <w:bookmarkStart w:id="638" w:name="_Toc7046"/>
      <w:bookmarkStart w:id="639" w:name="_Toc26302"/>
      <w:bookmarkStart w:id="640" w:name="_Toc32266"/>
      <w:bookmarkStart w:id="641" w:name="_Toc25305"/>
      <w:bookmarkStart w:id="642" w:name="_Toc22949"/>
      <w:bookmarkStart w:id="643" w:name="_Toc31538"/>
      <w:bookmarkStart w:id="644" w:name="_Toc8"/>
      <w:r>
        <w:rPr>
          <w:rFonts w:hint="eastAsia" w:ascii="仿宋" w:hAnsi="仿宋" w:eastAsia="仿宋" w:cs="仿宋"/>
          <w:b/>
          <w:bCs/>
        </w:rPr>
        <w:t>5运输</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27F2524F">
      <w:pPr>
        <w:pStyle w:val="19"/>
        <w:snapToGrid w:val="0"/>
        <w:spacing w:line="360" w:lineRule="auto"/>
        <w:ind w:firstLine="420" w:firstLineChars="200"/>
        <w:rPr>
          <w:rFonts w:ascii="仿宋" w:hAnsi="仿宋" w:eastAsia="仿宋" w:cs="仿宋"/>
        </w:rPr>
      </w:pPr>
      <w:r>
        <w:rPr>
          <w:rFonts w:hint="eastAsia" w:ascii="仿宋" w:hAnsi="仿宋" w:eastAsia="仿宋" w:cs="仿宋"/>
        </w:rPr>
        <w:t>5.1投标方应负责将货物（或设备）运到目的地，并必须做到货物（或设备）在任何运输过程中不受损坏和遗失</w:t>
      </w:r>
    </w:p>
    <w:p w14:paraId="20E6DA4D">
      <w:pPr>
        <w:pStyle w:val="19"/>
        <w:snapToGrid w:val="0"/>
        <w:spacing w:line="360" w:lineRule="auto"/>
        <w:ind w:firstLine="420" w:firstLineChars="200"/>
        <w:rPr>
          <w:rFonts w:ascii="仿宋" w:hAnsi="仿宋" w:eastAsia="仿宋" w:cs="仿宋"/>
        </w:rPr>
      </w:pPr>
      <w:r>
        <w:rPr>
          <w:rFonts w:hint="eastAsia" w:ascii="仿宋" w:hAnsi="仿宋" w:eastAsia="仿宋" w:cs="仿宋"/>
        </w:rPr>
        <w:t>5.2同批货物（或设备）应统一包装、编号运输。</w:t>
      </w:r>
    </w:p>
    <w:p w14:paraId="4A0FDAD3">
      <w:pPr>
        <w:pStyle w:val="19"/>
        <w:snapToGrid w:val="0"/>
        <w:spacing w:line="360" w:lineRule="auto"/>
        <w:ind w:firstLine="420" w:firstLineChars="200"/>
        <w:rPr>
          <w:rFonts w:ascii="仿宋" w:hAnsi="仿宋" w:eastAsia="仿宋" w:cs="仿宋"/>
        </w:rPr>
      </w:pPr>
      <w:r>
        <w:rPr>
          <w:rFonts w:hint="eastAsia" w:ascii="仿宋" w:hAnsi="仿宋" w:eastAsia="仿宋" w:cs="仿宋"/>
        </w:rPr>
        <w:t>5.3一般情况下，经由铁路、公路运输的包装件尺寸和重量不应超过国家所规定的尺寸限制。特殊情况应予以说明。</w:t>
      </w:r>
    </w:p>
    <w:p w14:paraId="0F235133">
      <w:pPr>
        <w:pStyle w:val="19"/>
        <w:snapToGrid w:val="0"/>
        <w:spacing w:line="360" w:lineRule="auto"/>
        <w:ind w:firstLine="420" w:firstLineChars="200"/>
        <w:rPr>
          <w:rFonts w:ascii="仿宋" w:hAnsi="仿宋" w:eastAsia="仿宋" w:cs="仿宋"/>
        </w:rPr>
      </w:pPr>
      <w:r>
        <w:rPr>
          <w:rFonts w:hint="eastAsia" w:ascii="仿宋" w:hAnsi="仿宋" w:eastAsia="仿宋" w:cs="仿宋"/>
        </w:rPr>
        <w:t>5.4在每批货物（或设备）发出后，投标方应立即通知招标方；通知中应指明：合同号、货运单号、件数、重量和货物（或设备）发出日期等相关内容。</w:t>
      </w:r>
    </w:p>
    <w:p w14:paraId="597E8306">
      <w:pPr>
        <w:pStyle w:val="19"/>
        <w:snapToGrid w:val="0"/>
        <w:spacing w:line="360" w:lineRule="auto"/>
        <w:ind w:firstLine="420" w:firstLineChars="200"/>
        <w:rPr>
          <w:rFonts w:ascii="仿宋" w:hAnsi="仿宋" w:eastAsia="仿宋" w:cs="仿宋"/>
        </w:rPr>
      </w:pPr>
      <w:r>
        <w:rPr>
          <w:rFonts w:hint="eastAsia" w:ascii="仿宋" w:hAnsi="仿宋" w:eastAsia="仿宋" w:cs="仿宋"/>
        </w:rPr>
        <w:t>5.5货物（或设备）运抵招标方现场后，投标方应负责货物（或设备）的卸货、搬运、保管等事宜；或按照合同约定。</w:t>
      </w:r>
      <w:bookmarkStart w:id="645" w:name="_Toc133783973"/>
    </w:p>
    <w:p w14:paraId="50EC1582">
      <w:pPr>
        <w:adjustRightInd w:val="0"/>
        <w:snapToGrid w:val="0"/>
        <w:spacing w:before="163" w:beforeLines="50" w:after="163" w:afterLines="50" w:line="360" w:lineRule="auto"/>
        <w:jc w:val="center"/>
        <w:outlineLvl w:val="0"/>
        <w:rPr>
          <w:rFonts w:ascii="仿宋" w:hAnsi="仿宋" w:eastAsia="仿宋" w:cs="仿宋"/>
          <w:b/>
          <w:bCs/>
        </w:rPr>
      </w:pPr>
      <w:bookmarkStart w:id="646" w:name="_Toc22680"/>
      <w:bookmarkStart w:id="647" w:name="_Toc18423"/>
      <w:bookmarkStart w:id="648" w:name="_Toc24978"/>
      <w:bookmarkStart w:id="649" w:name="_Toc28164"/>
      <w:bookmarkStart w:id="650" w:name="_Toc14229"/>
      <w:bookmarkStart w:id="651" w:name="_Toc29063"/>
      <w:bookmarkStart w:id="652" w:name="_Toc10275"/>
      <w:bookmarkStart w:id="653" w:name="_Toc24415"/>
      <w:bookmarkStart w:id="654" w:name="_Toc28211"/>
      <w:bookmarkStart w:id="655" w:name="_Toc15153"/>
      <w:bookmarkStart w:id="656" w:name="_Toc13927"/>
      <w:bookmarkStart w:id="657" w:name="_Toc27169"/>
      <w:bookmarkStart w:id="658" w:name="_Toc26671"/>
      <w:bookmarkStart w:id="659" w:name="_Toc7672"/>
      <w:bookmarkStart w:id="660" w:name="_Toc27085"/>
      <w:bookmarkStart w:id="661" w:name="_Toc9059"/>
      <w:bookmarkStart w:id="662" w:name="_Toc25780"/>
      <w:bookmarkStart w:id="663" w:name="_Toc19133"/>
      <w:bookmarkStart w:id="664" w:name="_Toc14862"/>
      <w:bookmarkStart w:id="665" w:name="_Toc73112414"/>
      <w:bookmarkStart w:id="666" w:name="_Toc7501"/>
      <w:bookmarkStart w:id="667" w:name="_Toc14414"/>
      <w:bookmarkStart w:id="668" w:name="_Toc31301"/>
      <w:bookmarkStart w:id="669" w:name="_Toc14171"/>
      <w:bookmarkStart w:id="670" w:name="_Toc3739"/>
      <w:bookmarkStart w:id="671" w:name="_Toc1740"/>
      <w:bookmarkStart w:id="672" w:name="_Toc16036"/>
      <w:bookmarkStart w:id="673" w:name="_Toc11027"/>
      <w:bookmarkStart w:id="674" w:name="_Toc23255"/>
      <w:bookmarkStart w:id="675" w:name="_Toc12478"/>
      <w:bookmarkStart w:id="676" w:name="_Toc14023"/>
      <w:bookmarkStart w:id="677" w:name="_Toc14916"/>
      <w:bookmarkStart w:id="678" w:name="_Toc25044"/>
      <w:bookmarkStart w:id="679" w:name="_Toc19986"/>
      <w:bookmarkStart w:id="680" w:name="_Toc32280"/>
      <w:bookmarkStart w:id="681" w:name="_Toc2668"/>
      <w:bookmarkStart w:id="682" w:name="_Toc10676"/>
      <w:bookmarkStart w:id="683" w:name="_Toc26651"/>
      <w:bookmarkStart w:id="684" w:name="_Toc8515"/>
      <w:bookmarkStart w:id="685" w:name="_Toc25292"/>
      <w:bookmarkStart w:id="686" w:name="_Toc24397"/>
      <w:bookmarkStart w:id="687" w:name="_Toc12021"/>
      <w:bookmarkStart w:id="688" w:name="_Toc10894"/>
      <w:r>
        <w:rPr>
          <w:rFonts w:hint="eastAsia" w:ascii="仿宋" w:hAnsi="仿宋" w:eastAsia="仿宋" w:cs="仿宋"/>
          <w:b/>
          <w:bCs/>
        </w:rPr>
        <w:t>第四章售中售后服务</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14:paraId="6E460A58">
      <w:pPr>
        <w:snapToGrid w:val="0"/>
        <w:spacing w:line="360" w:lineRule="auto"/>
        <w:ind w:left="480"/>
        <w:outlineLvl w:val="1"/>
        <w:rPr>
          <w:rFonts w:ascii="仿宋" w:hAnsi="仿宋" w:eastAsia="仿宋" w:cs="仿宋"/>
          <w:b/>
          <w:bCs/>
        </w:rPr>
      </w:pPr>
      <w:bookmarkStart w:id="689" w:name="_Toc13786"/>
      <w:bookmarkStart w:id="690" w:name="_Toc24654"/>
      <w:bookmarkStart w:id="691" w:name="_Toc12793"/>
      <w:bookmarkStart w:id="692" w:name="_Toc25505"/>
      <w:bookmarkStart w:id="693" w:name="_Toc27811"/>
      <w:bookmarkStart w:id="694" w:name="_Toc7723"/>
      <w:bookmarkStart w:id="695" w:name="_Toc2564"/>
      <w:bookmarkStart w:id="696" w:name="_Toc4180"/>
      <w:bookmarkStart w:id="697" w:name="_Toc29262"/>
      <w:bookmarkStart w:id="698" w:name="_Toc23892"/>
      <w:bookmarkStart w:id="699" w:name="_Toc23541"/>
      <w:bookmarkStart w:id="700" w:name="_Toc344"/>
      <w:bookmarkStart w:id="701" w:name="_Toc28487"/>
      <w:bookmarkStart w:id="702" w:name="_Toc24344"/>
      <w:bookmarkStart w:id="703" w:name="_Toc10787"/>
      <w:bookmarkStart w:id="704" w:name="_Toc4682"/>
      <w:bookmarkStart w:id="705" w:name="_Toc19576"/>
      <w:bookmarkStart w:id="706" w:name="_Toc10791"/>
      <w:bookmarkStart w:id="707" w:name="_Toc8910"/>
      <w:bookmarkStart w:id="708" w:name="_Toc17832"/>
      <w:bookmarkStart w:id="709" w:name="_Toc2661"/>
      <w:bookmarkStart w:id="710" w:name="_Toc19735"/>
      <w:bookmarkStart w:id="711" w:name="_Toc13551"/>
      <w:bookmarkStart w:id="712" w:name="_Toc14199"/>
      <w:bookmarkStart w:id="713" w:name="_Toc7036"/>
      <w:bookmarkStart w:id="714" w:name="_Toc20772"/>
      <w:bookmarkStart w:id="715" w:name="_Toc3697"/>
      <w:bookmarkStart w:id="716" w:name="_Toc414"/>
      <w:bookmarkStart w:id="717" w:name="_Toc17645"/>
      <w:bookmarkStart w:id="718" w:name="_Toc8465"/>
      <w:bookmarkStart w:id="719" w:name="_Toc20514"/>
      <w:bookmarkStart w:id="720" w:name="_Toc3722"/>
      <w:bookmarkStart w:id="721" w:name="_Toc217"/>
      <w:bookmarkStart w:id="722" w:name="_Toc9919"/>
      <w:bookmarkStart w:id="723" w:name="_Toc23493"/>
      <w:bookmarkStart w:id="724" w:name="_Toc4952"/>
      <w:bookmarkStart w:id="725" w:name="_Toc73112415"/>
      <w:bookmarkStart w:id="726" w:name="_Toc29321"/>
      <w:bookmarkStart w:id="727" w:name="_Toc788"/>
      <w:bookmarkStart w:id="728" w:name="_Toc16066"/>
      <w:bookmarkStart w:id="729" w:name="_Toc18522"/>
      <w:bookmarkStart w:id="730" w:name="_Toc9079"/>
      <w:r>
        <w:rPr>
          <w:rFonts w:hint="eastAsia" w:ascii="仿宋" w:hAnsi="仿宋" w:eastAsia="仿宋" w:cs="仿宋"/>
          <w:b/>
          <w:bCs/>
        </w:rPr>
        <w:t>1技术及培训服务</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14:paraId="01162B00">
      <w:pPr>
        <w:pStyle w:val="19"/>
        <w:snapToGrid w:val="0"/>
        <w:spacing w:line="360" w:lineRule="auto"/>
        <w:ind w:firstLine="420" w:firstLineChars="200"/>
        <w:rPr>
          <w:rFonts w:ascii="仿宋" w:hAnsi="仿宋" w:eastAsia="仿宋" w:cs="仿宋"/>
        </w:rPr>
      </w:pPr>
      <w:r>
        <w:rPr>
          <w:rFonts w:hint="eastAsia" w:ascii="仿宋" w:hAnsi="仿宋" w:eastAsia="仿宋" w:cs="仿宋"/>
        </w:rPr>
        <w:t>1.1投标方应负责对招标方</w:t>
      </w:r>
      <w:r>
        <w:rPr>
          <w:rFonts w:hint="eastAsia" w:ascii="仿宋" w:hAnsi="仿宋" w:eastAsia="仿宋" w:cs="仿宋"/>
          <w:lang w:val="en-US" w:eastAsia="zh-CN"/>
        </w:rPr>
        <w:t>不少于</w:t>
      </w:r>
      <w:r>
        <w:rPr>
          <w:rFonts w:hint="eastAsia" w:ascii="仿宋" w:hAnsi="仿宋" w:eastAsia="仿宋" w:cs="仿宋"/>
          <w:u w:val="single"/>
          <w:shd w:val="pct10" w:color="auto" w:fill="FFFFFF"/>
        </w:rPr>
        <w:t xml:space="preserve"> 5</w:t>
      </w:r>
      <w:r>
        <w:rPr>
          <w:rFonts w:hint="eastAsia" w:ascii="仿宋" w:hAnsi="仿宋" w:eastAsia="仿宋" w:cs="仿宋"/>
          <w:u w:val="single"/>
        </w:rPr>
        <w:t xml:space="preserve"> </w:t>
      </w:r>
      <w:r>
        <w:rPr>
          <w:rFonts w:hint="eastAsia" w:ascii="仿宋" w:hAnsi="仿宋" w:eastAsia="仿宋" w:cs="仿宋"/>
        </w:rPr>
        <w:t>名工程技术人员、维修人员和操作人员提供不少于</w:t>
      </w:r>
      <w:r>
        <w:rPr>
          <w:rFonts w:hint="eastAsia" w:ascii="仿宋" w:hAnsi="仿宋" w:eastAsia="仿宋" w:cs="仿宋"/>
          <w:u w:val="single"/>
          <w:shd w:val="pct10" w:color="auto" w:fill="FFFFFF"/>
        </w:rPr>
        <w:t xml:space="preserve"> 10</w:t>
      </w:r>
      <w:r>
        <w:rPr>
          <w:rFonts w:hint="eastAsia" w:ascii="仿宋" w:hAnsi="仿宋" w:eastAsia="仿宋" w:cs="仿宋"/>
          <w:u w:val="single"/>
        </w:rPr>
        <w:t xml:space="preserve"> </w:t>
      </w:r>
      <w:r>
        <w:rPr>
          <w:rFonts w:hint="eastAsia" w:ascii="仿宋" w:hAnsi="仿宋" w:eastAsia="仿宋" w:cs="仿宋"/>
        </w:rPr>
        <w:t>个日历日的免费的、生产制造现场的理论、技术和操作、维修、安全等方面的指导和培训，并为招标方受培训人员提供免费的培训地交通、食宿条件。</w:t>
      </w:r>
    </w:p>
    <w:p w14:paraId="0557210D">
      <w:pPr>
        <w:pStyle w:val="19"/>
        <w:snapToGrid w:val="0"/>
        <w:spacing w:line="360" w:lineRule="auto"/>
        <w:ind w:firstLine="420" w:firstLineChars="200"/>
        <w:rPr>
          <w:rFonts w:ascii="仿宋" w:hAnsi="仿宋" w:eastAsia="仿宋" w:cs="仿宋"/>
        </w:rPr>
      </w:pPr>
      <w:r>
        <w:rPr>
          <w:rFonts w:hint="eastAsia" w:ascii="仿宋" w:hAnsi="仿宋" w:eastAsia="仿宋" w:cs="仿宋"/>
        </w:rPr>
        <w:t>1.2投标方应负责在招标方货物（或生产线）使用现场，进行</w:t>
      </w:r>
      <w:r>
        <w:rPr>
          <w:rFonts w:hint="eastAsia" w:ascii="仿宋" w:hAnsi="仿宋" w:eastAsia="仿宋" w:cs="仿宋"/>
          <w:shd w:val="pct10" w:color="auto" w:fill="FFFFFF"/>
        </w:rPr>
        <w:t>2～3</w:t>
      </w:r>
      <w:r>
        <w:rPr>
          <w:rFonts w:hint="eastAsia" w:ascii="仿宋" w:hAnsi="仿宋" w:eastAsia="仿宋" w:cs="仿宋"/>
        </w:rPr>
        <w:t>次免费的技术指导和培训，并接受招标方有关人员的技术咨询。</w:t>
      </w:r>
    </w:p>
    <w:p w14:paraId="0436F0F5">
      <w:pPr>
        <w:pStyle w:val="19"/>
        <w:snapToGrid w:val="0"/>
        <w:spacing w:line="360" w:lineRule="auto"/>
        <w:ind w:firstLine="420" w:firstLineChars="200"/>
        <w:rPr>
          <w:rFonts w:ascii="仿宋" w:hAnsi="仿宋" w:eastAsia="仿宋" w:cs="仿宋"/>
        </w:rPr>
      </w:pPr>
      <w:r>
        <w:rPr>
          <w:rFonts w:hint="eastAsia" w:ascii="仿宋" w:hAnsi="仿宋" w:eastAsia="仿宋" w:cs="仿宋"/>
        </w:rPr>
        <w:t>1.3投标方应免费提供全套培训资料。所有设备均需要配备产品说明书，包括设备的内部结构、组成及保养、维护、调试等相关内容，便于生产人员及维修人员查阅。</w:t>
      </w:r>
    </w:p>
    <w:p w14:paraId="3B52DA28">
      <w:pPr>
        <w:pStyle w:val="19"/>
        <w:snapToGrid w:val="0"/>
        <w:spacing w:line="360" w:lineRule="auto"/>
        <w:ind w:firstLine="420" w:firstLineChars="200"/>
        <w:rPr>
          <w:rFonts w:ascii="仿宋" w:hAnsi="仿宋" w:eastAsia="仿宋" w:cs="仿宋"/>
        </w:rPr>
      </w:pPr>
      <w:r>
        <w:rPr>
          <w:rFonts w:hint="eastAsia" w:ascii="仿宋" w:hAnsi="仿宋" w:eastAsia="仿宋" w:cs="仿宋"/>
        </w:rPr>
        <w:t>1.4投标方应按要求，免费积极协助和提供招标方以及招标方所委托的工程设计单位有关人员所需要的、与货物（或生产线）有关的工程设计资料、技术咨询等。</w:t>
      </w:r>
    </w:p>
    <w:p w14:paraId="1397D683">
      <w:pPr>
        <w:pStyle w:val="19"/>
        <w:snapToGrid w:val="0"/>
        <w:spacing w:line="360" w:lineRule="auto"/>
        <w:ind w:firstLine="420" w:firstLineChars="200"/>
        <w:rPr>
          <w:rFonts w:ascii="仿宋" w:hAnsi="仿宋" w:eastAsia="仿宋" w:cs="仿宋"/>
        </w:rPr>
      </w:pPr>
      <w:r>
        <w:rPr>
          <w:rFonts w:hint="eastAsia" w:ascii="仿宋" w:hAnsi="仿宋" w:eastAsia="仿宋" w:cs="仿宋"/>
        </w:rPr>
        <w:t>1.5若投标方提供的货物（或生产线）涉及到外购外协货物、而且该货物的技术质量等较为关键、功能实现或操作较为困难，凡招标方提出需求的，投标方应能得到配套厂家的技术支持，并免费为招标方提供技术服务及培训。</w:t>
      </w:r>
    </w:p>
    <w:p w14:paraId="73A8282C">
      <w:pPr>
        <w:pStyle w:val="19"/>
        <w:snapToGrid w:val="0"/>
        <w:spacing w:line="360" w:lineRule="auto"/>
        <w:ind w:firstLine="420" w:firstLineChars="200"/>
        <w:rPr>
          <w:rFonts w:ascii="仿宋" w:hAnsi="仿宋" w:eastAsia="仿宋" w:cs="仿宋"/>
        </w:rPr>
      </w:pPr>
      <w:r>
        <w:rPr>
          <w:rFonts w:hint="eastAsia" w:ascii="仿宋" w:hAnsi="仿宋" w:eastAsia="仿宋" w:cs="仿宋"/>
        </w:rPr>
        <w:t>1.6投标方负责制定对招标方人员在设备安全、操作运行、职业防护、诊断维修、使用保养和试验等方面的培训计划，并有专人负责实施培训计划，负责指导招标方受培训人员正确理解设计和制造意图，认识设备的特点和特性，掌握在运行、维修和使用管理中应遵守的规则等方面的综合知识。</w:t>
      </w:r>
    </w:p>
    <w:p w14:paraId="27FDD3EA">
      <w:pPr>
        <w:snapToGrid w:val="0"/>
        <w:spacing w:line="360" w:lineRule="auto"/>
        <w:ind w:left="480"/>
        <w:outlineLvl w:val="1"/>
        <w:rPr>
          <w:rFonts w:ascii="仿宋" w:hAnsi="仿宋" w:eastAsia="仿宋" w:cs="仿宋"/>
          <w:b/>
          <w:bCs/>
        </w:rPr>
      </w:pPr>
      <w:bookmarkStart w:id="731" w:name="_Toc25347"/>
      <w:bookmarkStart w:id="732" w:name="_Toc73112416"/>
      <w:bookmarkStart w:id="733" w:name="_Toc29413"/>
      <w:bookmarkStart w:id="734" w:name="_Toc3907"/>
      <w:bookmarkStart w:id="735" w:name="_Toc22880"/>
      <w:bookmarkStart w:id="736" w:name="_Toc13970"/>
      <w:bookmarkStart w:id="737" w:name="_Toc10782"/>
      <w:bookmarkStart w:id="738" w:name="_Toc5703"/>
      <w:bookmarkStart w:id="739" w:name="_Toc19800"/>
      <w:bookmarkStart w:id="740" w:name="_Toc6394"/>
      <w:bookmarkStart w:id="741" w:name="_Toc25721"/>
      <w:bookmarkStart w:id="742" w:name="_Toc11060"/>
      <w:bookmarkStart w:id="743" w:name="_Toc21693"/>
      <w:bookmarkStart w:id="744" w:name="_Toc17865"/>
      <w:bookmarkStart w:id="745" w:name="_Toc17516"/>
      <w:bookmarkStart w:id="746" w:name="_Toc3976"/>
      <w:bookmarkStart w:id="747" w:name="_Toc15460"/>
      <w:bookmarkStart w:id="748" w:name="_Toc11516"/>
      <w:bookmarkStart w:id="749" w:name="_Toc14504"/>
      <w:bookmarkStart w:id="750" w:name="_Toc15028"/>
      <w:bookmarkStart w:id="751" w:name="_Toc19866"/>
      <w:bookmarkStart w:id="752" w:name="_Toc16493"/>
      <w:bookmarkStart w:id="753" w:name="_Toc1176"/>
      <w:bookmarkStart w:id="754" w:name="_Toc22693"/>
      <w:bookmarkStart w:id="755" w:name="_Toc16259"/>
      <w:bookmarkStart w:id="756" w:name="_Toc13864"/>
      <w:bookmarkStart w:id="757" w:name="_Toc3042"/>
      <w:bookmarkStart w:id="758" w:name="_Toc30271"/>
      <w:bookmarkStart w:id="759" w:name="_Toc29981"/>
      <w:bookmarkStart w:id="760" w:name="_Toc17849"/>
      <w:bookmarkStart w:id="761" w:name="_Toc22719"/>
      <w:bookmarkStart w:id="762" w:name="_Toc16207"/>
      <w:bookmarkStart w:id="763" w:name="_Toc26430"/>
      <w:bookmarkStart w:id="764" w:name="_Toc32690"/>
      <w:bookmarkStart w:id="765" w:name="_Toc13235"/>
      <w:bookmarkStart w:id="766" w:name="_Toc1420"/>
      <w:bookmarkStart w:id="767" w:name="_Toc31039"/>
      <w:bookmarkStart w:id="768" w:name="_Toc3892"/>
      <w:bookmarkStart w:id="769" w:name="_Toc16867"/>
      <w:bookmarkStart w:id="770" w:name="_Toc26880"/>
      <w:bookmarkStart w:id="771" w:name="_Toc9824"/>
      <w:r>
        <w:rPr>
          <w:rFonts w:hint="eastAsia" w:ascii="仿宋" w:hAnsi="仿宋" w:eastAsia="仿宋" w:cs="仿宋"/>
          <w:b/>
          <w:bCs/>
        </w:rPr>
        <w:t>2安装调试服务</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14:paraId="3460F9E0">
      <w:pPr>
        <w:pStyle w:val="19"/>
        <w:snapToGrid w:val="0"/>
        <w:spacing w:line="360" w:lineRule="auto"/>
        <w:ind w:firstLine="420" w:firstLineChars="200"/>
        <w:rPr>
          <w:rFonts w:ascii="仿宋" w:hAnsi="仿宋" w:eastAsia="仿宋" w:cs="仿宋"/>
        </w:rPr>
      </w:pPr>
      <w:r>
        <w:rPr>
          <w:rFonts w:hint="eastAsia" w:ascii="仿宋" w:hAnsi="仿宋" w:eastAsia="仿宋" w:cs="仿宋"/>
        </w:rPr>
        <w:t>2.1根据货物（或生产线）的要求，调试可分空载和负载两个阶段进行；招标方将予以积极配合，协助投标方达到货物（或生产线）的各项技术指标和性能要求。</w:t>
      </w:r>
    </w:p>
    <w:p w14:paraId="680A61F9">
      <w:pPr>
        <w:pStyle w:val="19"/>
        <w:snapToGrid w:val="0"/>
        <w:spacing w:line="360" w:lineRule="auto"/>
        <w:ind w:firstLine="420" w:firstLineChars="200"/>
        <w:rPr>
          <w:rFonts w:ascii="仿宋" w:hAnsi="仿宋" w:eastAsia="仿宋" w:cs="仿宋"/>
        </w:rPr>
      </w:pPr>
      <w:r>
        <w:rPr>
          <w:rFonts w:hint="eastAsia" w:ascii="仿宋" w:hAnsi="仿宋" w:eastAsia="仿宋" w:cs="仿宋"/>
        </w:rPr>
        <w:t>2.2安装调试与验收期间，若投标方提供的货物（或生产线）涉及到外购外协货物、而且该货物的技术质量等较为关键、功能实现或操作较为困难时，凡招标方提出需求的，投标方应能得到配套厂家的技术支持，并免费为招标方提供安装使用现场的指导与协调。</w:t>
      </w:r>
    </w:p>
    <w:p w14:paraId="2E2E5E01">
      <w:pPr>
        <w:pStyle w:val="19"/>
        <w:snapToGrid w:val="0"/>
        <w:spacing w:line="360" w:lineRule="auto"/>
        <w:ind w:firstLine="420" w:firstLineChars="200"/>
        <w:rPr>
          <w:rFonts w:ascii="仿宋" w:hAnsi="仿宋" w:eastAsia="仿宋" w:cs="仿宋"/>
        </w:rPr>
      </w:pPr>
      <w:r>
        <w:rPr>
          <w:rFonts w:hint="eastAsia" w:ascii="仿宋" w:hAnsi="仿宋" w:eastAsia="仿宋" w:cs="仿宋"/>
        </w:rPr>
        <w:t>2.3投标方提供收费的或免费的、指导安装调试或负责安装调试，至少应在投标文件的报价章节中，予以明确说明。</w:t>
      </w:r>
    </w:p>
    <w:p w14:paraId="634FFE0C">
      <w:pPr>
        <w:snapToGrid w:val="0"/>
        <w:spacing w:line="360" w:lineRule="auto"/>
        <w:ind w:left="480"/>
        <w:outlineLvl w:val="1"/>
        <w:rPr>
          <w:rFonts w:ascii="仿宋" w:hAnsi="仿宋" w:eastAsia="仿宋" w:cs="仿宋"/>
          <w:b/>
          <w:bCs/>
        </w:rPr>
      </w:pPr>
      <w:bookmarkStart w:id="772" w:name="_Toc8975"/>
      <w:bookmarkStart w:id="773" w:name="_Toc2510"/>
      <w:bookmarkStart w:id="774" w:name="_Toc25079"/>
      <w:bookmarkStart w:id="775" w:name="_Toc24615"/>
      <w:bookmarkStart w:id="776" w:name="_Toc9269"/>
      <w:bookmarkStart w:id="777" w:name="_Toc16435"/>
      <w:bookmarkStart w:id="778" w:name="_Toc7956"/>
      <w:bookmarkStart w:id="779" w:name="_Toc628"/>
      <w:bookmarkStart w:id="780" w:name="_Toc2657"/>
      <w:bookmarkStart w:id="781" w:name="_Toc7783"/>
      <w:bookmarkStart w:id="782" w:name="_Toc1585"/>
      <w:bookmarkStart w:id="783" w:name="_Toc218"/>
      <w:bookmarkStart w:id="784" w:name="_Toc12739"/>
      <w:bookmarkStart w:id="785" w:name="_Toc17284"/>
      <w:bookmarkStart w:id="786" w:name="_Toc11229"/>
      <w:bookmarkStart w:id="787" w:name="_Toc10635"/>
      <w:bookmarkStart w:id="788" w:name="_Toc29245"/>
      <w:bookmarkStart w:id="789" w:name="_Toc16916"/>
      <w:bookmarkStart w:id="790" w:name="_Toc9878"/>
      <w:bookmarkStart w:id="791" w:name="_Toc73112417"/>
      <w:bookmarkStart w:id="792" w:name="_Toc3170"/>
      <w:bookmarkStart w:id="793" w:name="_Toc32442"/>
      <w:bookmarkStart w:id="794" w:name="_Toc16373"/>
      <w:bookmarkStart w:id="795" w:name="_Toc22871"/>
      <w:bookmarkStart w:id="796" w:name="_Toc18269"/>
      <w:bookmarkStart w:id="797" w:name="_Toc1565"/>
      <w:bookmarkStart w:id="798" w:name="_Toc4076"/>
      <w:bookmarkStart w:id="799" w:name="_Toc9329"/>
      <w:bookmarkStart w:id="800" w:name="_Toc4751"/>
      <w:bookmarkStart w:id="801" w:name="_Toc29126"/>
      <w:bookmarkStart w:id="802" w:name="_Toc17427"/>
      <w:bookmarkStart w:id="803" w:name="_Toc30398"/>
      <w:bookmarkStart w:id="804" w:name="_Toc19674"/>
      <w:bookmarkStart w:id="805" w:name="_Toc16706"/>
      <w:bookmarkStart w:id="806" w:name="_Toc32488"/>
      <w:bookmarkStart w:id="807" w:name="_Toc19810"/>
      <w:bookmarkStart w:id="808" w:name="_Toc16337"/>
      <w:bookmarkStart w:id="809" w:name="_Toc30193"/>
      <w:bookmarkStart w:id="810" w:name="_Toc13921"/>
      <w:bookmarkStart w:id="811" w:name="_Toc13443"/>
      <w:bookmarkStart w:id="812" w:name="_Toc2097"/>
      <w:bookmarkStart w:id="813" w:name="_Toc29125"/>
      <w:r>
        <w:rPr>
          <w:rFonts w:hint="eastAsia" w:ascii="仿宋" w:hAnsi="仿宋" w:eastAsia="仿宋" w:cs="仿宋"/>
          <w:b/>
          <w:bCs/>
        </w:rPr>
        <w:t>3验收服务</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14:paraId="539325D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3.1投标方在招标方现场进行的货物（或生产线）的预验收和终验收配合或指导，应当是免费的。</w:t>
      </w:r>
    </w:p>
    <w:p w14:paraId="78D365F7">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货物（或生产线）验收时，若投标方提供的货物（或生产线）涉及到外购外协货物、而且该货物的技术质量等较为关键、功能实现或操作较为困难时，凡招标方提出需求的，投标方应能得到配套厂家的技术支持，并免费为招标方提供使用现场验收的配合或指导。</w:t>
      </w:r>
    </w:p>
    <w:p w14:paraId="5B02481D">
      <w:pPr>
        <w:tabs>
          <w:tab w:val="left" w:pos="-1800"/>
          <w:tab w:val="left" w:pos="720"/>
        </w:tabs>
        <w:snapToGrid w:val="0"/>
        <w:spacing w:line="360" w:lineRule="auto"/>
        <w:ind w:firstLine="420" w:firstLineChars="200"/>
        <w:rPr>
          <w:rFonts w:ascii="仿宋" w:hAnsi="仿宋" w:eastAsia="仿宋" w:cs="仿宋"/>
        </w:rPr>
      </w:pPr>
      <w:r>
        <w:rPr>
          <w:rFonts w:hint="eastAsia" w:ascii="仿宋" w:hAnsi="仿宋" w:eastAsia="仿宋" w:cs="仿宋"/>
        </w:rPr>
        <w:t>3.3在投标方所提供货物（或生产线）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49581BFE">
      <w:pPr>
        <w:snapToGrid w:val="0"/>
        <w:spacing w:line="360" w:lineRule="auto"/>
        <w:ind w:firstLine="420" w:firstLineChars="200"/>
        <w:rPr>
          <w:rFonts w:ascii="仿宋" w:hAnsi="仿宋" w:eastAsia="仿宋" w:cs="仿宋"/>
        </w:rPr>
      </w:pPr>
      <w:r>
        <w:rPr>
          <w:rFonts w:hint="eastAsia" w:ascii="仿宋" w:hAnsi="仿宋" w:eastAsia="仿宋" w:cs="仿宋"/>
        </w:rPr>
        <w:t>3.4合格验收时，投标方提供测量功能设备及计量器具资质合格证书，招标方根据实际情况进行相关复检，复检合格视为合格。</w:t>
      </w:r>
    </w:p>
    <w:p w14:paraId="59616EFE">
      <w:pPr>
        <w:snapToGrid w:val="0"/>
        <w:spacing w:line="360" w:lineRule="auto"/>
        <w:ind w:left="480"/>
        <w:outlineLvl w:val="1"/>
        <w:rPr>
          <w:rFonts w:ascii="仿宋" w:hAnsi="仿宋" w:eastAsia="仿宋" w:cs="仿宋"/>
          <w:b/>
          <w:bCs/>
        </w:rPr>
      </w:pPr>
      <w:bookmarkStart w:id="814" w:name="_Toc20081"/>
      <w:bookmarkStart w:id="815" w:name="_Toc32079"/>
      <w:bookmarkStart w:id="816" w:name="_Toc20426"/>
      <w:bookmarkStart w:id="817" w:name="_Toc29633"/>
      <w:bookmarkStart w:id="818" w:name="_Toc1454"/>
      <w:bookmarkStart w:id="819" w:name="_Toc22392"/>
      <w:bookmarkStart w:id="820" w:name="_Toc2093"/>
      <w:bookmarkStart w:id="821" w:name="_Toc29300"/>
      <w:bookmarkStart w:id="822" w:name="_Toc29778"/>
      <w:bookmarkStart w:id="823" w:name="_Toc14739"/>
      <w:bookmarkStart w:id="824" w:name="_Toc3798"/>
      <w:bookmarkStart w:id="825" w:name="_Toc6099"/>
      <w:bookmarkStart w:id="826" w:name="_Toc22965"/>
      <w:bookmarkStart w:id="827" w:name="_Toc1311"/>
      <w:bookmarkStart w:id="828" w:name="_Toc11699"/>
      <w:bookmarkStart w:id="829" w:name="_Toc6232"/>
      <w:bookmarkStart w:id="830" w:name="_Toc20916"/>
      <w:bookmarkStart w:id="831" w:name="_Toc8078"/>
      <w:bookmarkStart w:id="832" w:name="_Toc26554"/>
      <w:bookmarkStart w:id="833" w:name="_Toc26773"/>
      <w:bookmarkStart w:id="834" w:name="_Toc19441"/>
      <w:bookmarkStart w:id="835" w:name="_Toc18968"/>
      <w:bookmarkStart w:id="836" w:name="_Toc1199"/>
      <w:bookmarkStart w:id="837" w:name="_Toc73112418"/>
      <w:bookmarkStart w:id="838" w:name="_Toc10808"/>
      <w:bookmarkStart w:id="839" w:name="_Toc11213"/>
      <w:bookmarkStart w:id="840" w:name="_Toc4417"/>
      <w:bookmarkStart w:id="841" w:name="_Toc19397"/>
      <w:bookmarkStart w:id="842" w:name="_Toc27224"/>
      <w:bookmarkStart w:id="843" w:name="_Toc17056"/>
      <w:bookmarkStart w:id="844" w:name="_Toc9592"/>
      <w:bookmarkStart w:id="845" w:name="_Toc21987"/>
      <w:bookmarkStart w:id="846" w:name="_Toc18836"/>
      <w:bookmarkStart w:id="847" w:name="_Toc17895"/>
      <w:bookmarkStart w:id="848" w:name="_Toc28635"/>
      <w:bookmarkStart w:id="849" w:name="_Toc7782"/>
      <w:bookmarkStart w:id="850" w:name="_Toc32682"/>
      <w:bookmarkStart w:id="851" w:name="_Toc30412"/>
      <w:bookmarkStart w:id="852" w:name="_Toc7478"/>
      <w:bookmarkStart w:id="853" w:name="_Toc542"/>
      <w:bookmarkStart w:id="854" w:name="_Toc20717"/>
      <w:bookmarkStart w:id="855" w:name="_Toc10014"/>
      <w:r>
        <w:rPr>
          <w:rFonts w:hint="eastAsia" w:ascii="仿宋" w:hAnsi="仿宋" w:eastAsia="仿宋" w:cs="仿宋"/>
          <w:b/>
          <w:bCs/>
        </w:rPr>
        <w:t>4售后服务</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14:paraId="5B33CE6B">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4.1所有的售后服务均由投标方受理。如果发生问题并且收到报告，投标方应当在2小时内予以答复。</w:t>
      </w:r>
    </w:p>
    <w:p w14:paraId="1389DA1E">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rPr>
        <w:t>4.2如发现所提供的货物（或生产线）存在问题，需要投标方解决或配合解决时：在质保期</w:t>
      </w:r>
      <w:r>
        <w:rPr>
          <w:rFonts w:hint="eastAsia" w:ascii="仿宋" w:hAnsi="仿宋" w:eastAsia="仿宋" w:cs="仿宋"/>
          <w:highlight w:val="none"/>
        </w:rPr>
        <w:t>之内，应在接到通知后</w:t>
      </w:r>
      <w:r>
        <w:rPr>
          <w:rFonts w:hint="eastAsia" w:ascii="仿宋" w:hAnsi="仿宋" w:eastAsia="仿宋" w:cs="仿宋"/>
          <w:highlight w:val="none"/>
          <w:u w:val="single"/>
          <w:shd w:val="pct10" w:color="auto" w:fill="FFFFFF"/>
        </w:rPr>
        <w:t>24</w:t>
      </w:r>
      <w:r>
        <w:rPr>
          <w:rFonts w:hint="eastAsia" w:ascii="仿宋" w:hAnsi="仿宋" w:eastAsia="仿宋" w:cs="仿宋"/>
          <w:highlight w:val="none"/>
          <w:u w:val="single"/>
        </w:rPr>
        <w:t xml:space="preserve"> </w:t>
      </w:r>
      <w:r>
        <w:rPr>
          <w:rFonts w:hint="eastAsia" w:ascii="仿宋" w:hAnsi="仿宋" w:eastAsia="仿宋" w:cs="仿宋"/>
          <w:highlight w:val="none"/>
        </w:rPr>
        <w:t>小时内派有关人员到达现场；在质保期之外，应在接到通知后</w:t>
      </w:r>
      <w:r>
        <w:rPr>
          <w:rFonts w:hint="eastAsia" w:ascii="仿宋" w:hAnsi="仿宋" w:eastAsia="仿宋" w:cs="仿宋"/>
          <w:highlight w:val="none"/>
          <w:u w:val="single"/>
          <w:shd w:val="pct10" w:color="auto" w:fill="FFFFFF"/>
        </w:rPr>
        <w:t>48</w:t>
      </w:r>
      <w:r>
        <w:rPr>
          <w:rFonts w:hint="eastAsia" w:ascii="仿宋" w:hAnsi="仿宋" w:eastAsia="仿宋" w:cs="仿宋"/>
          <w:highlight w:val="none"/>
          <w:u w:val="single"/>
        </w:rPr>
        <w:t xml:space="preserve"> </w:t>
      </w:r>
      <w:r>
        <w:rPr>
          <w:rFonts w:hint="eastAsia" w:ascii="仿宋" w:hAnsi="仿宋" w:eastAsia="仿宋" w:cs="仿宋"/>
          <w:highlight w:val="none"/>
        </w:rPr>
        <w:t>小时内派有关人员到达现场。</w:t>
      </w:r>
    </w:p>
    <w:p w14:paraId="0E7BCB86">
      <w:pPr>
        <w:adjustRightInd w:val="0"/>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4.3投标方派往招标方使用现场的人员，应具有较高的业务素质；现场解决问题时，不得无故拖延或推迟，应为招标方提供最佳的服务。</w:t>
      </w:r>
    </w:p>
    <w:p w14:paraId="7BFE6CDE">
      <w:pPr>
        <w:adjustRightInd w:val="0"/>
        <w:snapToGrid w:val="0"/>
        <w:spacing w:line="360" w:lineRule="auto"/>
        <w:ind w:firstLine="420" w:firstLineChars="200"/>
        <w:rPr>
          <w:rFonts w:hint="eastAsia" w:eastAsia="仿宋"/>
          <w:highlight w:val="none"/>
          <w:lang w:eastAsia="zh-CN"/>
        </w:rPr>
      </w:pPr>
      <w:r>
        <w:rPr>
          <w:rFonts w:hint="eastAsia" w:ascii="仿宋" w:hAnsi="仿宋" w:eastAsia="仿宋" w:cs="仿宋"/>
          <w:highlight w:val="none"/>
        </w:rPr>
        <w:t>4.</w:t>
      </w:r>
      <w:r>
        <w:rPr>
          <w:rFonts w:hint="eastAsia" w:ascii="仿宋" w:hAnsi="仿宋" w:eastAsia="仿宋" w:cs="仿宋"/>
          <w:highlight w:val="none"/>
          <w:lang w:val="en-US" w:eastAsia="zh-CN"/>
        </w:rPr>
        <w:t>4设备（或生产线）在使用周期内，投标方免费派遣技术人员与甲方调试团队共同进行设备通讯接口的调试工作。</w:t>
      </w:r>
    </w:p>
    <w:p w14:paraId="54803BA8">
      <w:pPr>
        <w:snapToGrid w:val="0"/>
        <w:spacing w:line="360" w:lineRule="auto"/>
        <w:ind w:left="480"/>
        <w:outlineLvl w:val="1"/>
        <w:rPr>
          <w:rFonts w:ascii="仿宋" w:hAnsi="仿宋" w:eastAsia="仿宋" w:cs="仿宋"/>
          <w:b/>
          <w:bCs/>
          <w:highlight w:val="none"/>
        </w:rPr>
      </w:pPr>
      <w:bookmarkStart w:id="856" w:name="_Toc31498"/>
      <w:bookmarkStart w:id="857" w:name="_Toc26976"/>
      <w:bookmarkStart w:id="858" w:name="_Toc4793"/>
      <w:bookmarkStart w:id="859" w:name="_Toc21895"/>
      <w:bookmarkStart w:id="860" w:name="_Toc9688"/>
      <w:bookmarkStart w:id="861" w:name="_Toc1118"/>
      <w:bookmarkStart w:id="862" w:name="_Toc32502"/>
      <w:bookmarkStart w:id="863" w:name="_Toc26287"/>
      <w:bookmarkStart w:id="864" w:name="_Toc19301"/>
      <w:bookmarkStart w:id="865" w:name="_Toc32366"/>
      <w:bookmarkStart w:id="866" w:name="_Toc30999"/>
      <w:bookmarkStart w:id="867" w:name="_Toc27285"/>
      <w:bookmarkStart w:id="868" w:name="_Toc20936"/>
      <w:bookmarkStart w:id="869" w:name="_Toc6984"/>
      <w:bookmarkStart w:id="870" w:name="_Toc17891"/>
      <w:bookmarkStart w:id="871" w:name="_Toc10752"/>
      <w:bookmarkStart w:id="872" w:name="_Toc6354"/>
      <w:bookmarkStart w:id="873" w:name="_Toc22732"/>
      <w:bookmarkStart w:id="874" w:name="_Toc14349"/>
      <w:bookmarkStart w:id="875" w:name="_Toc7130"/>
      <w:bookmarkStart w:id="876" w:name="_Toc20327"/>
      <w:bookmarkStart w:id="877" w:name="_Toc25242"/>
      <w:bookmarkStart w:id="878" w:name="_Toc73112419"/>
      <w:bookmarkStart w:id="879" w:name="_Toc22593"/>
      <w:bookmarkStart w:id="880" w:name="_Toc9982"/>
      <w:bookmarkStart w:id="881" w:name="_Toc30887"/>
      <w:bookmarkStart w:id="882" w:name="_Toc27733"/>
      <w:bookmarkStart w:id="883" w:name="_Toc25693"/>
      <w:bookmarkStart w:id="884" w:name="_Toc25994"/>
      <w:bookmarkStart w:id="885" w:name="_Toc115"/>
      <w:bookmarkStart w:id="886" w:name="_Toc6730"/>
      <w:bookmarkStart w:id="887" w:name="_Toc13974"/>
      <w:bookmarkStart w:id="888" w:name="_Toc1573"/>
      <w:bookmarkStart w:id="889" w:name="_Toc18148"/>
      <w:bookmarkStart w:id="890" w:name="_Toc26623"/>
      <w:bookmarkStart w:id="891" w:name="_Toc3819"/>
      <w:bookmarkStart w:id="892" w:name="_Toc6107"/>
      <w:bookmarkStart w:id="893" w:name="_Toc913"/>
      <w:bookmarkStart w:id="894" w:name="_Toc28927"/>
      <w:bookmarkStart w:id="895" w:name="_Toc27505"/>
      <w:bookmarkStart w:id="896" w:name="_Toc16849"/>
      <w:bookmarkStart w:id="897" w:name="_Toc12294"/>
      <w:r>
        <w:rPr>
          <w:rFonts w:hint="eastAsia" w:ascii="仿宋" w:hAnsi="仿宋" w:eastAsia="仿宋" w:cs="仿宋"/>
          <w:b/>
          <w:bCs/>
          <w:highlight w:val="none"/>
        </w:rPr>
        <w:t>5其它服务</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p w14:paraId="30117BE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5.1若投标方所提供货物（或生产线）有需要进口的，投标方一般应自行、自费办理；必要时，招标方和投标方共同办理。</w:t>
      </w:r>
    </w:p>
    <w:p w14:paraId="255B8690">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5.2除招标文件、投标文件、答疑文件、技术协议、合同等约定之外，投标方应免费负责必要的或强制性的货物（或生产线）的检验、试验、化验等直接费用。</w:t>
      </w:r>
      <w:bookmarkStart w:id="898" w:name="_Toc133783974"/>
    </w:p>
    <w:p w14:paraId="32AC7547">
      <w:pPr>
        <w:adjustRightInd w:val="0"/>
        <w:snapToGrid w:val="0"/>
        <w:spacing w:before="163" w:beforeLines="50" w:after="163" w:afterLines="50" w:line="360" w:lineRule="auto"/>
        <w:jc w:val="center"/>
        <w:outlineLvl w:val="0"/>
        <w:rPr>
          <w:rFonts w:ascii="仿宋" w:hAnsi="仿宋" w:eastAsia="仿宋" w:cs="仿宋"/>
          <w:b/>
          <w:bCs/>
        </w:rPr>
      </w:pPr>
      <w:bookmarkStart w:id="899" w:name="_Toc11150"/>
      <w:bookmarkStart w:id="900" w:name="_Toc13895"/>
      <w:bookmarkStart w:id="901" w:name="_Toc4011"/>
      <w:bookmarkStart w:id="902" w:name="_Toc5013"/>
      <w:bookmarkStart w:id="903" w:name="_Toc18030"/>
      <w:bookmarkStart w:id="904" w:name="_Toc26489"/>
      <w:bookmarkStart w:id="905" w:name="_Toc15356"/>
      <w:bookmarkStart w:id="906" w:name="_Toc8547"/>
      <w:bookmarkStart w:id="907" w:name="_Toc6228"/>
      <w:bookmarkStart w:id="908" w:name="_Toc10873"/>
      <w:bookmarkStart w:id="909" w:name="_Toc32409"/>
      <w:bookmarkStart w:id="910" w:name="_Toc12013"/>
      <w:bookmarkStart w:id="911" w:name="_Toc9498"/>
      <w:bookmarkStart w:id="912" w:name="_Toc73112420"/>
      <w:bookmarkStart w:id="913" w:name="_Toc19208"/>
      <w:bookmarkStart w:id="914" w:name="_Toc5996"/>
      <w:bookmarkStart w:id="915" w:name="_Toc7461"/>
      <w:bookmarkStart w:id="916" w:name="_Toc25825"/>
      <w:bookmarkStart w:id="917" w:name="_Toc9482"/>
      <w:bookmarkStart w:id="918" w:name="_Toc19017"/>
      <w:bookmarkStart w:id="919" w:name="_Toc16355"/>
      <w:bookmarkStart w:id="920" w:name="_Toc19942"/>
      <w:bookmarkStart w:id="921" w:name="_Toc24752"/>
      <w:bookmarkStart w:id="922" w:name="_Toc14411"/>
      <w:bookmarkStart w:id="923" w:name="_Toc27484"/>
      <w:bookmarkStart w:id="924" w:name="_Toc10492"/>
      <w:bookmarkStart w:id="925" w:name="_Toc29777"/>
      <w:bookmarkStart w:id="926" w:name="_Toc13250"/>
      <w:bookmarkStart w:id="927" w:name="_Toc18621"/>
      <w:bookmarkStart w:id="928" w:name="_Toc32483"/>
      <w:bookmarkStart w:id="929" w:name="_Toc9121"/>
      <w:bookmarkStart w:id="930" w:name="_Toc23730"/>
      <w:bookmarkStart w:id="931" w:name="_Toc25057"/>
      <w:bookmarkStart w:id="932" w:name="_Toc21122"/>
      <w:bookmarkStart w:id="933" w:name="_Toc22725"/>
      <w:bookmarkStart w:id="934" w:name="_Toc29269"/>
      <w:bookmarkStart w:id="935" w:name="_Toc16312"/>
      <w:bookmarkStart w:id="936" w:name="_Toc30293"/>
      <w:bookmarkStart w:id="937" w:name="_Toc12454"/>
      <w:bookmarkStart w:id="938" w:name="_Toc2140"/>
      <w:bookmarkStart w:id="939" w:name="_Toc8076"/>
      <w:bookmarkStart w:id="940" w:name="_Toc10438"/>
      <w:bookmarkStart w:id="941" w:name="_Toc2800"/>
      <w:r>
        <w:rPr>
          <w:rFonts w:hint="eastAsia" w:ascii="仿宋" w:hAnsi="仿宋" w:eastAsia="仿宋" w:cs="仿宋"/>
          <w:b/>
          <w:bCs/>
        </w:rPr>
        <w:t>第五章</w:t>
      </w:r>
      <w:r>
        <w:rPr>
          <w:rFonts w:hint="eastAsia" w:ascii="仿宋" w:hAnsi="仿宋" w:eastAsia="仿宋" w:cs="仿宋"/>
          <w:b/>
          <w:bCs/>
          <w:lang w:val="en-US" w:eastAsia="zh-CN"/>
        </w:rPr>
        <w:t xml:space="preserve"> </w:t>
      </w:r>
      <w:r>
        <w:rPr>
          <w:rFonts w:hint="eastAsia" w:ascii="仿宋" w:hAnsi="仿宋" w:eastAsia="仿宋" w:cs="仿宋"/>
          <w:b/>
          <w:bCs/>
        </w:rPr>
        <w:t>预验收和终验收</w: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14:paraId="12048CAF">
      <w:pPr>
        <w:snapToGrid w:val="0"/>
        <w:spacing w:line="360" w:lineRule="auto"/>
        <w:ind w:left="482"/>
        <w:outlineLvl w:val="1"/>
        <w:rPr>
          <w:rFonts w:ascii="仿宋" w:hAnsi="仿宋" w:eastAsia="仿宋" w:cs="仿宋"/>
          <w:b/>
          <w:bCs/>
        </w:rPr>
      </w:pPr>
      <w:bookmarkStart w:id="942" w:name="_Toc2326"/>
      <w:bookmarkStart w:id="943" w:name="_Toc29964"/>
      <w:bookmarkStart w:id="944" w:name="_Toc27225"/>
      <w:bookmarkStart w:id="945" w:name="_Toc17620"/>
      <w:bookmarkStart w:id="946" w:name="_Toc6378"/>
      <w:bookmarkStart w:id="947" w:name="_Toc24809"/>
      <w:bookmarkStart w:id="948" w:name="_Toc5401"/>
      <w:bookmarkStart w:id="949" w:name="_Toc29608"/>
      <w:bookmarkStart w:id="950" w:name="_Toc27951"/>
      <w:bookmarkStart w:id="951" w:name="_Toc13718"/>
      <w:bookmarkStart w:id="952" w:name="_Toc21206"/>
      <w:bookmarkStart w:id="953" w:name="_Toc28506"/>
      <w:bookmarkStart w:id="954" w:name="_Toc242"/>
      <w:bookmarkStart w:id="955" w:name="_Toc9902"/>
      <w:bookmarkStart w:id="956" w:name="_Toc28073"/>
      <w:bookmarkStart w:id="957" w:name="_Toc14541"/>
      <w:bookmarkStart w:id="958" w:name="_Toc22140"/>
      <w:bookmarkStart w:id="959" w:name="_Toc7463"/>
      <w:bookmarkStart w:id="960" w:name="_Toc12676"/>
      <w:bookmarkStart w:id="961" w:name="_Toc3676"/>
      <w:bookmarkStart w:id="962" w:name="_Toc1286"/>
      <w:bookmarkStart w:id="963" w:name="_Toc31478"/>
      <w:bookmarkStart w:id="964" w:name="_Toc23191"/>
      <w:bookmarkStart w:id="965" w:name="_Toc29611"/>
      <w:bookmarkStart w:id="966" w:name="_Toc29287"/>
      <w:bookmarkStart w:id="967" w:name="_Toc73112421"/>
      <w:bookmarkStart w:id="968" w:name="_Toc22981"/>
      <w:bookmarkStart w:id="969" w:name="_Toc14965"/>
      <w:bookmarkStart w:id="970" w:name="_Toc22207"/>
      <w:bookmarkStart w:id="971" w:name="_Toc12239"/>
      <w:bookmarkStart w:id="972" w:name="_Toc7184"/>
      <w:bookmarkStart w:id="973" w:name="_Toc27448"/>
      <w:bookmarkStart w:id="974" w:name="_Toc15025"/>
      <w:bookmarkStart w:id="975" w:name="_Toc23231"/>
      <w:bookmarkStart w:id="976" w:name="_Toc7191"/>
      <w:bookmarkStart w:id="977" w:name="_Toc25574"/>
      <w:bookmarkStart w:id="978" w:name="_Toc6924"/>
      <w:bookmarkStart w:id="979" w:name="_Toc21557"/>
      <w:bookmarkStart w:id="980" w:name="_Toc10033"/>
      <w:bookmarkStart w:id="981" w:name="_Toc11331"/>
      <w:bookmarkStart w:id="982" w:name="_Toc24517"/>
      <w:bookmarkStart w:id="983" w:name="_Toc4070"/>
      <w:r>
        <w:rPr>
          <w:rFonts w:hint="eastAsia" w:ascii="仿宋" w:hAnsi="仿宋" w:eastAsia="仿宋" w:cs="仿宋"/>
          <w:b/>
          <w:bCs/>
        </w:rPr>
        <w:t>1验收的一般约定</w:t>
      </w:r>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14:paraId="13215340">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rPr>
        <w:t>1.</w:t>
      </w:r>
      <w:r>
        <w:rPr>
          <w:rFonts w:hint="eastAsia" w:ascii="仿宋" w:hAnsi="仿宋" w:eastAsia="仿宋" w:cs="仿宋"/>
          <w:highlight w:val="none"/>
        </w:rPr>
        <w:t>1验收标准一般以技术协议书和合同规定验收。</w:t>
      </w:r>
    </w:p>
    <w:p w14:paraId="2661D84C">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1.2如果验收过程中，发现招标文件、投标文件、答疑文件、技术交流文件等与技术协议书、合同存在差异，原则上以涉及条款中对买方最有利条款为验收依据。</w:t>
      </w:r>
    </w:p>
    <w:p w14:paraId="4F85F9FF">
      <w:pPr>
        <w:snapToGrid w:val="0"/>
        <w:spacing w:line="360" w:lineRule="auto"/>
        <w:ind w:left="482"/>
        <w:outlineLvl w:val="1"/>
        <w:rPr>
          <w:rFonts w:ascii="仿宋" w:hAnsi="仿宋" w:eastAsia="仿宋" w:cs="仿宋"/>
          <w:b/>
          <w:bCs/>
          <w:highlight w:val="none"/>
        </w:rPr>
      </w:pPr>
      <w:bookmarkStart w:id="984" w:name="_Toc23133"/>
      <w:bookmarkStart w:id="985" w:name="_Toc20876"/>
      <w:bookmarkStart w:id="986" w:name="_Toc21414"/>
      <w:bookmarkStart w:id="987" w:name="_Toc10568"/>
      <w:bookmarkStart w:id="988" w:name="_Toc22158"/>
      <w:bookmarkStart w:id="989" w:name="_Toc27120"/>
      <w:bookmarkStart w:id="990" w:name="_Toc31116"/>
      <w:bookmarkStart w:id="991" w:name="_Toc1155"/>
      <w:bookmarkStart w:id="992" w:name="_Toc6471"/>
      <w:bookmarkStart w:id="993" w:name="_Toc6206"/>
      <w:bookmarkStart w:id="994" w:name="_Toc15379"/>
      <w:bookmarkStart w:id="995" w:name="_Toc8742"/>
      <w:bookmarkStart w:id="996" w:name="_Toc513"/>
      <w:bookmarkStart w:id="997" w:name="_Toc2310"/>
      <w:bookmarkStart w:id="998" w:name="_Toc28873"/>
      <w:bookmarkStart w:id="999" w:name="_Toc28925"/>
      <w:bookmarkStart w:id="1000" w:name="_Toc13736"/>
      <w:bookmarkStart w:id="1001" w:name="_Toc25951"/>
      <w:bookmarkStart w:id="1002" w:name="_Toc8916"/>
      <w:bookmarkStart w:id="1003" w:name="_Toc11248"/>
      <w:bookmarkStart w:id="1004" w:name="_Toc7863"/>
      <w:bookmarkStart w:id="1005" w:name="_Toc30274"/>
      <w:bookmarkStart w:id="1006" w:name="_Toc7457"/>
      <w:bookmarkStart w:id="1007" w:name="_Toc8338"/>
      <w:bookmarkStart w:id="1008" w:name="_Toc18517"/>
      <w:bookmarkStart w:id="1009" w:name="_Toc10200"/>
      <w:bookmarkStart w:id="1010" w:name="_Toc27467"/>
      <w:bookmarkStart w:id="1011" w:name="_Toc22558"/>
      <w:bookmarkStart w:id="1012" w:name="_Toc21722"/>
      <w:bookmarkStart w:id="1013" w:name="_Toc23919"/>
      <w:bookmarkStart w:id="1014" w:name="_Toc13173"/>
      <w:bookmarkStart w:id="1015" w:name="_Toc29669"/>
      <w:bookmarkStart w:id="1016" w:name="_Toc19505"/>
      <w:bookmarkStart w:id="1017" w:name="_Toc11335"/>
      <w:bookmarkStart w:id="1018" w:name="_Toc17720"/>
      <w:bookmarkStart w:id="1019" w:name="_Toc17335"/>
      <w:bookmarkStart w:id="1020" w:name="_Toc32581"/>
      <w:bookmarkStart w:id="1021" w:name="_Toc16943"/>
      <w:bookmarkStart w:id="1022" w:name="_Toc9729"/>
      <w:bookmarkStart w:id="1023" w:name="_Toc8093"/>
      <w:bookmarkStart w:id="1024" w:name="_Toc21568"/>
      <w:bookmarkStart w:id="1025" w:name="_Toc73112422"/>
      <w:r>
        <w:rPr>
          <w:rFonts w:hint="eastAsia" w:ascii="仿宋" w:hAnsi="仿宋" w:eastAsia="仿宋" w:cs="仿宋"/>
          <w:b/>
          <w:bCs/>
          <w:highlight w:val="none"/>
        </w:rPr>
        <w:t>2检验</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p>
    <w:p w14:paraId="6D2FA6B6">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2.1国产货物（或生产线）的检验由卖买双方按照合同要求或在制造现场进行。</w:t>
      </w:r>
    </w:p>
    <w:p w14:paraId="7E3BAA9D">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2.2进口货物（或生产线）的检验按照下述要求进行：</w:t>
      </w:r>
    </w:p>
    <w:p w14:paraId="797ABFA9">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2.1.1进口货物（或生产线）发货前，卖方应对货物（或生产线）的质量、型号、规格、性能和数量/重量作精密、全面的检验，并出具证明书，证明所供货物（或生产线）符合合同规定。</w:t>
      </w:r>
    </w:p>
    <w:p w14:paraId="2E2EAC80">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2.1.2卖方应依据合同规定的要求，提供买卖双方达成一致的货物（或生产线）的验收标准和装箱单，作为买方检验的依据。</w:t>
      </w:r>
    </w:p>
    <w:p w14:paraId="08F73E55">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2.1.3进口货物（或生产线）到达目的地后，买方有权申请中国商品检验检疫局进行检验，如发现货物（或生产线）的品质及规格与合同或发票不符，除买方的责任外，买方有权在货物（或生产线）到达卸货目的地后</w:t>
      </w:r>
      <w:r>
        <w:rPr>
          <w:rFonts w:hint="eastAsia" w:ascii="仿宋" w:hAnsi="仿宋" w:eastAsia="仿宋" w:cs="仿宋"/>
          <w:shd w:val="pct10" w:color="auto" w:fill="FFFFFF"/>
        </w:rPr>
        <w:t>180</w:t>
      </w:r>
      <w:r>
        <w:rPr>
          <w:rFonts w:hint="eastAsia" w:ascii="仿宋" w:hAnsi="仿宋" w:eastAsia="仿宋" w:cs="仿宋"/>
        </w:rPr>
        <w:t>个日历日内，根据中国商品检验检疫局出具的证明书向卖方提出索赔，因索赔所发生的一切费用(包括检验检疫费等)均由卖方承担。</w:t>
      </w:r>
    </w:p>
    <w:p w14:paraId="4108F1E6">
      <w:pPr>
        <w:snapToGrid w:val="0"/>
        <w:spacing w:line="360" w:lineRule="auto"/>
        <w:ind w:left="482"/>
        <w:outlineLvl w:val="1"/>
        <w:rPr>
          <w:rFonts w:ascii="仿宋" w:hAnsi="仿宋" w:eastAsia="仿宋" w:cs="仿宋"/>
          <w:b/>
          <w:bCs/>
        </w:rPr>
      </w:pPr>
      <w:bookmarkStart w:id="1026" w:name="_Toc11846"/>
      <w:bookmarkStart w:id="1027" w:name="_Toc228"/>
      <w:bookmarkStart w:id="1028" w:name="_Toc22379"/>
      <w:bookmarkStart w:id="1029" w:name="_Toc17499"/>
      <w:bookmarkStart w:id="1030" w:name="_Toc27629"/>
      <w:bookmarkStart w:id="1031" w:name="_Toc5604"/>
      <w:bookmarkStart w:id="1032" w:name="_Toc5653"/>
      <w:bookmarkStart w:id="1033" w:name="_Toc21757"/>
      <w:bookmarkStart w:id="1034" w:name="_Toc23250"/>
      <w:bookmarkStart w:id="1035" w:name="_Toc1969"/>
      <w:bookmarkStart w:id="1036" w:name="_Toc16665"/>
      <w:bookmarkStart w:id="1037" w:name="_Toc27145"/>
      <w:bookmarkStart w:id="1038" w:name="_Toc10879"/>
      <w:bookmarkStart w:id="1039" w:name="_Toc1041"/>
      <w:bookmarkStart w:id="1040" w:name="_Toc16878"/>
      <w:bookmarkStart w:id="1041" w:name="_Toc1461"/>
      <w:bookmarkStart w:id="1042" w:name="_Toc14587"/>
      <w:bookmarkStart w:id="1043" w:name="_Toc15488"/>
      <w:bookmarkStart w:id="1044" w:name="_Toc14904"/>
      <w:bookmarkStart w:id="1045" w:name="_Toc14844"/>
      <w:bookmarkStart w:id="1046" w:name="_Toc21487"/>
      <w:bookmarkStart w:id="1047" w:name="_Toc31780"/>
      <w:bookmarkStart w:id="1048" w:name="_Toc23252"/>
      <w:bookmarkStart w:id="1049" w:name="_Toc8128"/>
      <w:bookmarkStart w:id="1050" w:name="_Toc28225"/>
      <w:bookmarkStart w:id="1051" w:name="_Toc14993"/>
      <w:bookmarkStart w:id="1052" w:name="_Toc19311"/>
      <w:bookmarkStart w:id="1053" w:name="_Toc27538"/>
      <w:bookmarkStart w:id="1054" w:name="_Toc30797"/>
      <w:bookmarkStart w:id="1055" w:name="_Toc8214"/>
      <w:bookmarkStart w:id="1056" w:name="_Toc32111"/>
      <w:bookmarkStart w:id="1057" w:name="_Toc27310"/>
      <w:bookmarkStart w:id="1058" w:name="_Toc25654"/>
      <w:bookmarkStart w:id="1059" w:name="_Toc6506"/>
      <w:bookmarkStart w:id="1060" w:name="_Toc29497"/>
      <w:bookmarkStart w:id="1061" w:name="_Toc27594"/>
      <w:bookmarkStart w:id="1062" w:name="_Toc8477"/>
      <w:bookmarkStart w:id="1063" w:name="_Toc18036"/>
      <w:bookmarkStart w:id="1064" w:name="_Toc18595"/>
      <w:bookmarkStart w:id="1065" w:name="_Toc11780"/>
      <w:bookmarkStart w:id="1066" w:name="_Toc73112423"/>
      <w:bookmarkStart w:id="1067" w:name="_Toc8664"/>
      <w:r>
        <w:rPr>
          <w:rFonts w:hint="eastAsia" w:ascii="仿宋" w:hAnsi="仿宋" w:eastAsia="仿宋" w:cs="仿宋"/>
          <w:b/>
          <w:bCs/>
        </w:rPr>
        <w:t>3验收条件</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14:paraId="34003A81">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4B7FB10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买卖双方按照合同约定执行了合同，同时货物（或生产线）完成了试运行并经检验合格，则具备验收条件。</w:t>
      </w:r>
    </w:p>
    <w:p w14:paraId="3C796095">
      <w:pPr>
        <w:adjustRightInd w:val="0"/>
        <w:snapToGrid w:val="0"/>
        <w:spacing w:line="360" w:lineRule="auto"/>
        <w:ind w:firstLine="420" w:firstLineChars="200"/>
        <w:rPr>
          <w:rFonts w:ascii="仿宋" w:hAnsi="仿宋" w:eastAsia="仿宋" w:cs="仿宋"/>
        </w:rPr>
      </w:pPr>
      <w:bookmarkStart w:id="1068" w:name="_Toc19344"/>
      <w:bookmarkStart w:id="1069" w:name="_Toc22247"/>
      <w:bookmarkStart w:id="1070" w:name="_Toc30563"/>
      <w:bookmarkStart w:id="1071" w:name="_Toc10389"/>
      <w:bookmarkStart w:id="1072" w:name="_Toc16974"/>
      <w:bookmarkStart w:id="1073" w:name="_Toc4157"/>
      <w:bookmarkStart w:id="1074" w:name="_Toc10586"/>
      <w:bookmarkStart w:id="1075" w:name="_Toc6977"/>
      <w:bookmarkStart w:id="1076" w:name="_Toc17709"/>
      <w:bookmarkStart w:id="1077" w:name="_Toc5473"/>
      <w:bookmarkStart w:id="1078" w:name="_Toc21811"/>
      <w:bookmarkStart w:id="1079" w:name="_Toc31328"/>
      <w:bookmarkStart w:id="1080" w:name="_Toc9015"/>
      <w:bookmarkStart w:id="1081" w:name="_Toc20087"/>
      <w:bookmarkStart w:id="1082" w:name="_Toc27848"/>
      <w:bookmarkStart w:id="1083" w:name="_Toc24377"/>
      <w:bookmarkStart w:id="1084" w:name="_Toc25547"/>
      <w:bookmarkStart w:id="1085" w:name="_Toc6731"/>
      <w:bookmarkStart w:id="1086" w:name="_Toc23548"/>
      <w:bookmarkStart w:id="1087" w:name="_Toc18903"/>
      <w:bookmarkStart w:id="1088" w:name="_Toc24921"/>
      <w:bookmarkStart w:id="1089" w:name="_Toc31639"/>
      <w:bookmarkStart w:id="1090" w:name="_Toc27856"/>
      <w:bookmarkStart w:id="1091" w:name="_Toc362"/>
      <w:bookmarkStart w:id="1092" w:name="_Toc5952"/>
      <w:bookmarkStart w:id="1093" w:name="_Toc18487"/>
      <w:bookmarkStart w:id="1094" w:name="_Toc20504"/>
      <w:bookmarkStart w:id="1095" w:name="_Toc10052"/>
      <w:bookmarkStart w:id="1096" w:name="_Toc1849"/>
      <w:bookmarkStart w:id="1097" w:name="_Toc23170"/>
      <w:bookmarkStart w:id="1098" w:name="_Toc32498"/>
      <w:bookmarkStart w:id="1099" w:name="_Toc11902"/>
      <w:bookmarkStart w:id="1100" w:name="_Toc24814"/>
      <w:bookmarkStart w:id="1101" w:name="_Toc3034"/>
      <w:bookmarkStart w:id="1102" w:name="_Toc7303"/>
      <w:bookmarkStart w:id="1103" w:name="_Toc11234"/>
      <w:bookmarkStart w:id="1104" w:name="_Toc4741"/>
      <w:bookmarkStart w:id="1105" w:name="_Toc18963"/>
      <w:bookmarkStart w:id="1106" w:name="_Toc11412"/>
      <w:bookmarkStart w:id="1107" w:name="_Toc771"/>
      <w:bookmarkStart w:id="1108" w:name="_Toc16622"/>
      <w:r>
        <w:rPr>
          <w:rFonts w:hint="eastAsia" w:ascii="仿宋" w:hAnsi="仿宋" w:eastAsia="仿宋" w:cs="仿宋"/>
        </w:rPr>
        <w:t>3.1预验收一般条件</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14:paraId="7AA68DD8">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3.1.1卖方已经按照“供货范围”要求提供了预验收资料，并且资料齐全、完整和有效。</w:t>
      </w:r>
    </w:p>
    <w:p w14:paraId="6F65F33A">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3.1.2货物（或生产线）应运行稳定、可靠、安全，无非正常变形，非正常振动，无异常声音；无漏水、漏液、漏气（汽）、漏电等现象。运动的零部件（如链条、联轴器、离合器、主轴、工作台等）动作平稳、灵活运动准确。</w:t>
      </w:r>
    </w:p>
    <w:p w14:paraId="7D26EC4C">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3.1.3货物（或生产线）应完整且所有的零部件应该安装安全、牢固，外观无损伤，所有的焊缝饱满、无残渣等缺陷。</w:t>
      </w:r>
    </w:p>
    <w:p w14:paraId="3A70BA4B">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3.1.4一般情况下，所有的管路和线缆等，接头应完全正确、可靠地联接；应排列有序（正确、牢固、整齐），有必要的防护，无皱褶、收缩和裂缝等不良现象。</w:t>
      </w:r>
    </w:p>
    <w:p w14:paraId="37BEE8E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3.1.5货物（或生产线）的润滑系统工作正常、可靠，润滑点易于到达。</w:t>
      </w:r>
    </w:p>
    <w:p w14:paraId="0E7CC6DA">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3.1.6使用的压力容器、电气等应具备合格证（如果有压力容器），</w:t>
      </w:r>
    </w:p>
    <w:p w14:paraId="353C58C6">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3.1.7货物（或生产线）的油漆质量应饱满、有光泽，无掉漆、无色差、无“桔皮”等不良现象（特殊标志除外）。</w:t>
      </w:r>
    </w:p>
    <w:p w14:paraId="4AC52EBA">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3.1.8货物（或生产线）标牌完整、清晰、明确。</w:t>
      </w:r>
    </w:p>
    <w:p w14:paraId="053FC7A8">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3.1.9地线联接和地极符合国际（ISO/IEC）标准规范。</w:t>
      </w:r>
    </w:p>
    <w:p w14:paraId="10D26D55">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3.1.10货物（或生产线）的安全要求符合中国最新的相关法律、法规、标准和规范以及合同要求。</w:t>
      </w:r>
    </w:p>
    <w:p w14:paraId="0F46E680">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3.1.11预验收试件的发放：试件品种及数量由技术协议约定，试件由招标方发到中标方所产生的一切费用（或损失）由中标方承担。</w:t>
      </w:r>
    </w:p>
    <w:p w14:paraId="3279271B">
      <w:pPr>
        <w:adjustRightInd w:val="0"/>
        <w:snapToGrid w:val="0"/>
        <w:spacing w:line="360" w:lineRule="auto"/>
        <w:ind w:firstLine="420" w:firstLineChars="200"/>
        <w:rPr>
          <w:rFonts w:ascii="仿宋" w:hAnsi="仿宋" w:eastAsia="仿宋" w:cs="仿宋"/>
        </w:rPr>
      </w:pPr>
      <w:bookmarkStart w:id="1109" w:name="_Toc21953"/>
      <w:bookmarkStart w:id="1110" w:name="_Toc12439"/>
      <w:bookmarkStart w:id="1111" w:name="_Toc18823"/>
      <w:bookmarkStart w:id="1112" w:name="_Toc19887"/>
      <w:bookmarkStart w:id="1113" w:name="_Toc23596"/>
      <w:bookmarkStart w:id="1114" w:name="_Toc11537"/>
      <w:bookmarkStart w:id="1115" w:name="_Toc5422"/>
      <w:bookmarkStart w:id="1116" w:name="_Toc26496"/>
      <w:bookmarkStart w:id="1117" w:name="_Toc6062"/>
      <w:bookmarkStart w:id="1118" w:name="_Toc8938"/>
      <w:bookmarkStart w:id="1119" w:name="_Toc8879"/>
      <w:bookmarkStart w:id="1120" w:name="_Toc4066"/>
      <w:bookmarkStart w:id="1121" w:name="_Toc24950"/>
      <w:bookmarkStart w:id="1122" w:name="_Toc28390"/>
      <w:bookmarkStart w:id="1123" w:name="_Toc29327"/>
      <w:bookmarkStart w:id="1124" w:name="_Toc24874"/>
      <w:bookmarkStart w:id="1125" w:name="_Toc21671"/>
      <w:bookmarkStart w:id="1126" w:name="_Toc14552"/>
      <w:bookmarkStart w:id="1127" w:name="_Toc30498"/>
      <w:bookmarkStart w:id="1128" w:name="_Toc27491"/>
      <w:bookmarkStart w:id="1129" w:name="_Toc21629"/>
      <w:bookmarkStart w:id="1130" w:name="_Toc22891"/>
      <w:bookmarkStart w:id="1131" w:name="_Toc931"/>
      <w:bookmarkStart w:id="1132" w:name="_Toc20374"/>
      <w:bookmarkStart w:id="1133" w:name="_Toc4108"/>
      <w:bookmarkStart w:id="1134" w:name="_Toc1293"/>
      <w:bookmarkStart w:id="1135" w:name="_Toc19728"/>
      <w:bookmarkStart w:id="1136" w:name="_Toc17523"/>
      <w:bookmarkStart w:id="1137" w:name="_Toc12987"/>
      <w:bookmarkStart w:id="1138" w:name="_Toc7060"/>
      <w:bookmarkStart w:id="1139" w:name="_Toc15751"/>
      <w:bookmarkStart w:id="1140" w:name="_Toc8320"/>
      <w:bookmarkStart w:id="1141" w:name="_Toc3329"/>
      <w:bookmarkStart w:id="1142" w:name="_Toc9105"/>
      <w:bookmarkStart w:id="1143" w:name="_Toc4643"/>
      <w:bookmarkStart w:id="1144" w:name="_Toc16821"/>
      <w:bookmarkStart w:id="1145" w:name="_Toc17491"/>
      <w:bookmarkStart w:id="1146" w:name="_Toc17924"/>
      <w:bookmarkStart w:id="1147" w:name="_Toc29661"/>
      <w:bookmarkStart w:id="1148" w:name="_Toc2134"/>
      <w:bookmarkStart w:id="1149" w:name="_Toc2362"/>
      <w:r>
        <w:rPr>
          <w:rFonts w:hint="eastAsia" w:ascii="仿宋" w:hAnsi="仿宋" w:eastAsia="仿宋" w:cs="仿宋"/>
        </w:rPr>
        <w:t>3.2终验收一般条件</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p>
    <w:p w14:paraId="0ED3F540">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3.2.1经过预验收而且没有出现新的质量问题，或者满足预验收条款。</w:t>
      </w:r>
    </w:p>
    <w:p w14:paraId="0B74E211">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3.2.2货物（或生产线）安装调试完毕，并至少经过了验收要求的负荷试运行。</w:t>
      </w:r>
    </w:p>
    <w:p w14:paraId="05CB6885">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3.2.3货物（或生产线）正常运行时，噪声等环境影响因素满足国家（《工作场所物理因素测量 噪声》GBZ/T 189.8-2007. 噪音≤80dB(A)）和当地环保主管部门规定。投标方需提供由第三方检测机构出具的检测报告 ，检测事宜及费用由投标方负责，招标方负责相关配合协调工作。</w:t>
      </w:r>
    </w:p>
    <w:p w14:paraId="4E0E6C1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3.2.4计量仪器、仪表配套合理，采用中国的法定计量单位，计量准确、灵敏可靠。保证设计指标和仪器说明书的参数的实现。</w:t>
      </w:r>
    </w:p>
    <w:p w14:paraId="27AA7036">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rPr>
        <w:t>3.2.5</w:t>
      </w:r>
      <w:r>
        <w:rPr>
          <w:rFonts w:hint="eastAsia" w:ascii="仿宋" w:hAnsi="仿宋" w:eastAsia="仿宋" w:cs="仿宋"/>
          <w:highlight w:val="none"/>
        </w:rPr>
        <w:t>试运行期间或之后无维修、调整等行为（特殊情况除外）。</w:t>
      </w:r>
    </w:p>
    <w:p w14:paraId="1F213FA4">
      <w:pPr>
        <w:adjustRightInd w:val="0"/>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3.2.6货物（或生产线）质量、技术性能等，达到签定的技术协议书和合同规定的终验收标准。</w:t>
      </w:r>
    </w:p>
    <w:p w14:paraId="34FF7171">
      <w:pPr>
        <w:adjustRightInd w:val="0"/>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lang w:val="en-US" w:eastAsia="zh-CN"/>
        </w:rPr>
        <w:t xml:space="preserve">3.2.7 </w:t>
      </w:r>
      <w:r>
        <w:rPr>
          <w:rFonts w:hint="eastAsia" w:ascii="仿宋" w:hAnsi="仿宋" w:eastAsia="仿宋" w:cs="仿宋"/>
          <w:highlight w:val="none"/>
        </w:rPr>
        <w:t>试件:终验收完成前的所有试件</w:t>
      </w:r>
      <w:r>
        <w:rPr>
          <w:rFonts w:hint="eastAsia" w:ascii="仿宋" w:hAnsi="仿宋" w:eastAsia="仿宋" w:cs="仿宋"/>
          <w:highlight w:val="none"/>
          <w:lang w:eastAsia="zh-CN"/>
        </w:rPr>
        <w:t>，</w:t>
      </w:r>
      <w:r>
        <w:rPr>
          <w:rFonts w:hint="eastAsia" w:ascii="仿宋" w:hAnsi="仿宋" w:eastAsia="仿宋" w:cs="仿宋"/>
          <w:highlight w:val="none"/>
          <w:lang w:val="en-US" w:eastAsia="zh-CN"/>
        </w:rPr>
        <w:t>主减速器壳、主被动锥齿轮等</w:t>
      </w:r>
      <w:r>
        <w:rPr>
          <w:rFonts w:hint="eastAsia" w:ascii="仿宋" w:hAnsi="仿宋" w:eastAsia="仿宋" w:cs="仿宋"/>
          <w:highlight w:val="none"/>
        </w:rPr>
        <w:t>大件可允许报废5件，</w:t>
      </w:r>
      <w:r>
        <w:rPr>
          <w:rFonts w:hint="eastAsia" w:ascii="仿宋" w:hAnsi="仿宋" w:eastAsia="仿宋" w:cs="仿宋"/>
          <w:highlight w:val="none"/>
          <w:lang w:val="en-US" w:eastAsia="zh-CN"/>
        </w:rPr>
        <w:t>法兰或同等体积之下的</w:t>
      </w:r>
      <w:r>
        <w:rPr>
          <w:rFonts w:hint="eastAsia" w:ascii="仿宋" w:hAnsi="仿宋" w:eastAsia="仿宋" w:cs="仿宋"/>
          <w:highlight w:val="none"/>
        </w:rPr>
        <w:t>中小件可允许报废 10 件，超过此数量的产品损失费用由中标方承担。</w:t>
      </w:r>
    </w:p>
    <w:p w14:paraId="58E92C2C">
      <w:pPr>
        <w:adjustRightInd w:val="0"/>
        <w:snapToGrid w:val="0"/>
        <w:spacing w:line="360" w:lineRule="auto"/>
        <w:ind w:firstLine="420" w:firstLineChars="200"/>
        <w:rPr>
          <w:rFonts w:hint="eastAsia" w:ascii="仿宋" w:hAnsi="仿宋" w:eastAsia="仿宋" w:cs="仿宋"/>
          <w:highlight w:val="none"/>
          <w:lang w:val="en-US" w:eastAsia="zh-CN"/>
        </w:rPr>
      </w:pPr>
      <w:bookmarkStart w:id="1150" w:name="_Toc25411"/>
      <w:bookmarkStart w:id="1151" w:name="_Toc1804"/>
      <w:bookmarkStart w:id="1152" w:name="_Toc193"/>
      <w:r>
        <w:rPr>
          <w:rFonts w:hint="eastAsia" w:ascii="仿宋" w:hAnsi="仿宋" w:eastAsia="仿宋" w:cs="仿宋"/>
          <w:highlight w:val="none"/>
        </w:rPr>
        <w:t>3.2.</w:t>
      </w:r>
      <w:r>
        <w:rPr>
          <w:rFonts w:hint="eastAsia" w:ascii="仿宋" w:hAnsi="仿宋" w:eastAsia="仿宋" w:cs="仿宋"/>
          <w:highlight w:val="none"/>
          <w:lang w:val="en-US" w:eastAsia="zh-CN"/>
        </w:rPr>
        <w:t>8 在终验收之前:提供平面布置图、设备安装基础图、设备总装配图、零部件总成装配图、电气等控制原理图、零部件图纸以上图纸要求尺寸、精度、公差及图纸编号等信息齐全并全部移交完成。(所有提供的图纸均应同步提供电子版)</w:t>
      </w:r>
    </w:p>
    <w:p w14:paraId="63004E91">
      <w:pPr>
        <w:adjustRightInd w:val="0"/>
        <w:snapToGrid w:val="0"/>
        <w:spacing w:line="360" w:lineRule="auto"/>
        <w:ind w:firstLine="420" w:firstLineChars="200"/>
        <w:rPr>
          <w:rFonts w:hint="eastAsia"/>
          <w:highlight w:val="none"/>
          <w:lang w:val="en-US" w:eastAsia="zh-CN"/>
        </w:rPr>
      </w:pPr>
      <w:r>
        <w:rPr>
          <w:rFonts w:hint="eastAsia" w:ascii="仿宋" w:hAnsi="仿宋" w:eastAsia="仿宋" w:cs="仿宋"/>
          <w:highlight w:val="none"/>
        </w:rPr>
        <w:t>3.2.</w:t>
      </w:r>
      <w:r>
        <w:rPr>
          <w:rFonts w:hint="eastAsia" w:ascii="仿宋" w:hAnsi="仿宋" w:eastAsia="仿宋" w:cs="仿宋"/>
          <w:highlight w:val="none"/>
          <w:lang w:val="en-US" w:eastAsia="zh-CN"/>
        </w:rPr>
        <w:t>9 在终验收之前:提供设备全生命周期内的备品备件、易损件和专用耗材的明细清单并全部移交完成。</w:t>
      </w:r>
    </w:p>
    <w:p w14:paraId="48948478">
      <w:pPr>
        <w:snapToGrid w:val="0"/>
        <w:spacing w:line="360" w:lineRule="auto"/>
        <w:ind w:left="482"/>
        <w:outlineLvl w:val="1"/>
        <w:rPr>
          <w:rFonts w:ascii="仿宋" w:hAnsi="仿宋" w:eastAsia="仿宋" w:cs="仿宋"/>
          <w:b/>
          <w:bCs/>
          <w:highlight w:val="none"/>
        </w:rPr>
      </w:pPr>
      <w:bookmarkStart w:id="1153" w:name="_Toc1761"/>
      <w:bookmarkStart w:id="1154" w:name="_Toc11114"/>
      <w:bookmarkStart w:id="1155" w:name="_Toc21504"/>
      <w:bookmarkStart w:id="1156" w:name="_Toc26083"/>
      <w:bookmarkStart w:id="1157" w:name="_Toc20983"/>
      <w:bookmarkStart w:id="1158" w:name="_Toc1885"/>
      <w:bookmarkStart w:id="1159" w:name="_Toc21291"/>
      <w:bookmarkStart w:id="1160" w:name="_Toc1961"/>
      <w:bookmarkStart w:id="1161" w:name="_Toc22500"/>
      <w:bookmarkStart w:id="1162" w:name="_Toc9027"/>
      <w:bookmarkStart w:id="1163" w:name="_Toc1469"/>
      <w:bookmarkStart w:id="1164" w:name="_Toc73112424"/>
      <w:bookmarkStart w:id="1165" w:name="_Toc17223"/>
      <w:bookmarkStart w:id="1166" w:name="_Toc7243"/>
      <w:bookmarkStart w:id="1167" w:name="_Toc6573"/>
      <w:bookmarkStart w:id="1168" w:name="_Toc17549"/>
      <w:bookmarkStart w:id="1169" w:name="_Toc10673"/>
      <w:bookmarkStart w:id="1170" w:name="_Toc32661"/>
      <w:r>
        <w:rPr>
          <w:rFonts w:hint="eastAsia" w:ascii="仿宋" w:hAnsi="仿宋" w:eastAsia="仿宋" w:cs="仿宋"/>
          <w:b/>
          <w:bCs/>
          <w:highlight w:val="none"/>
        </w:rPr>
        <w:t>4终验收基本要求</w:t>
      </w:r>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p>
    <w:p w14:paraId="4ACD7B6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4.1货物（或生产线）允许情况下，一般先连续空运转</w:t>
      </w:r>
      <w:r>
        <w:rPr>
          <w:rFonts w:hint="eastAsia" w:ascii="仿宋" w:hAnsi="仿宋" w:eastAsia="仿宋" w:cs="仿宋"/>
          <w:u w:val="single"/>
          <w:shd w:val="pct10" w:color="auto" w:fill="FFFFFF"/>
        </w:rPr>
        <w:t>8</w:t>
      </w:r>
      <w:r>
        <w:rPr>
          <w:rFonts w:hint="eastAsia" w:ascii="仿宋" w:hAnsi="仿宋" w:eastAsia="仿宋" w:cs="仿宋"/>
        </w:rPr>
        <w:t>小时，然后再进行负荷运行。</w:t>
      </w:r>
    </w:p>
    <w:p w14:paraId="09FC2499">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4.2负荷运行时，货物（或生产线）应连续运行</w:t>
      </w:r>
      <w:r>
        <w:rPr>
          <w:rFonts w:hint="eastAsia" w:ascii="仿宋" w:hAnsi="仿宋" w:eastAsia="仿宋" w:cs="仿宋"/>
          <w:u w:val="single"/>
        </w:rPr>
        <w:t xml:space="preserve"> </w:t>
      </w:r>
      <w:r>
        <w:rPr>
          <w:rFonts w:hint="eastAsia" w:ascii="仿宋" w:hAnsi="仿宋" w:eastAsia="仿宋" w:cs="仿宋"/>
          <w:u w:val="single"/>
          <w:shd w:val="pct10" w:color="auto" w:fill="FFFFFF"/>
        </w:rPr>
        <w:t xml:space="preserve">5 </w:t>
      </w:r>
      <w:r>
        <w:rPr>
          <w:rFonts w:hint="eastAsia" w:ascii="仿宋" w:hAnsi="仿宋" w:eastAsia="仿宋" w:cs="仿宋"/>
        </w:rPr>
        <w:t>天，每天连续</w:t>
      </w:r>
      <w:r>
        <w:rPr>
          <w:rFonts w:hint="eastAsia" w:ascii="仿宋" w:hAnsi="仿宋" w:eastAsia="仿宋" w:cs="仿宋"/>
          <w:u w:val="single"/>
        </w:rPr>
        <w:t xml:space="preserve"> </w:t>
      </w:r>
      <w:r>
        <w:rPr>
          <w:rFonts w:hint="eastAsia" w:ascii="仿宋" w:hAnsi="仿宋" w:eastAsia="仿宋" w:cs="仿宋"/>
          <w:u w:val="single"/>
          <w:shd w:val="pct10" w:color="auto" w:fill="FFFFFF"/>
        </w:rPr>
        <w:t xml:space="preserve">8 </w:t>
      </w:r>
      <w:r>
        <w:rPr>
          <w:rFonts w:hint="eastAsia" w:ascii="仿宋" w:hAnsi="仿宋" w:eastAsia="仿宋" w:cs="仿宋"/>
        </w:rPr>
        <w:t>小时，除用户方面因素外，必须达到以下要求：</w:t>
      </w:r>
    </w:p>
    <w:p w14:paraId="13108F22">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4.2.1在整个验收过程中没有维修、更换零部件或元件行为；</w:t>
      </w:r>
    </w:p>
    <w:p w14:paraId="11215C78">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4.2.2所有出现的调整，每次调整时间均不超过</w:t>
      </w:r>
      <w:r>
        <w:rPr>
          <w:rFonts w:hint="eastAsia" w:ascii="仿宋" w:hAnsi="仿宋" w:eastAsia="仿宋" w:cs="仿宋"/>
          <w:u w:val="single"/>
          <w:shd w:val="pct10" w:color="auto" w:fill="FFFFFF"/>
        </w:rPr>
        <w:t>120</w:t>
      </w:r>
      <w:r>
        <w:rPr>
          <w:rFonts w:hint="eastAsia" w:ascii="仿宋" w:hAnsi="仿宋" w:eastAsia="仿宋" w:cs="仿宋"/>
        </w:rPr>
        <w:t>分钟；</w:t>
      </w:r>
    </w:p>
    <w:p w14:paraId="47B1D6B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4.2.3所有调整时间的总和不超过总运行时间的</w:t>
      </w:r>
      <w:r>
        <w:rPr>
          <w:rFonts w:hint="eastAsia" w:ascii="仿宋" w:hAnsi="仿宋" w:eastAsia="仿宋" w:cs="仿宋"/>
          <w:u w:val="single"/>
          <w:shd w:val="pct10" w:color="auto" w:fill="FFFFFF"/>
        </w:rPr>
        <w:t>10</w:t>
      </w:r>
      <w:r>
        <w:rPr>
          <w:rFonts w:hint="eastAsia" w:ascii="仿宋" w:hAnsi="仿宋" w:eastAsia="仿宋" w:cs="仿宋"/>
        </w:rPr>
        <w:t>%；</w:t>
      </w:r>
    </w:p>
    <w:p w14:paraId="1DC2224C">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4.2.4累计负载运行实际性能（或生产率）达到合同规定；</w:t>
      </w:r>
    </w:p>
    <w:p w14:paraId="40176F1A">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4.2.5终验收原则上要求一次完成。若一次验收不成功，最多允许两次；</w:t>
      </w:r>
    </w:p>
    <w:p w14:paraId="35F31C9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4.2.6终验收通过后签署终验收报告（终验收报告以买方提供的签署完毕并盖章的《新增设备安装竣工验收转资单》为准），并移交、核对全部供货范围内物品。</w:t>
      </w:r>
      <w:bookmarkStart w:id="1171" w:name="_Toc133783975"/>
    </w:p>
    <w:p w14:paraId="45258C1C">
      <w:pPr>
        <w:adjustRightInd w:val="0"/>
        <w:snapToGrid w:val="0"/>
        <w:spacing w:before="163" w:beforeLines="50" w:after="163" w:afterLines="50" w:line="360" w:lineRule="auto"/>
        <w:jc w:val="center"/>
        <w:outlineLvl w:val="0"/>
        <w:rPr>
          <w:rFonts w:ascii="仿宋" w:hAnsi="仿宋" w:eastAsia="仿宋" w:cs="仿宋"/>
          <w:b/>
          <w:bCs/>
        </w:rPr>
      </w:pPr>
      <w:bookmarkStart w:id="1172" w:name="_Toc15914"/>
      <w:bookmarkStart w:id="1173" w:name="_Toc28136"/>
      <w:bookmarkStart w:id="1174" w:name="_Toc22488"/>
      <w:bookmarkStart w:id="1175" w:name="_Toc30125"/>
      <w:bookmarkStart w:id="1176" w:name="_Toc24925"/>
      <w:bookmarkStart w:id="1177" w:name="_Toc27346"/>
      <w:bookmarkStart w:id="1178" w:name="_Toc663"/>
      <w:bookmarkStart w:id="1179" w:name="_Toc29322"/>
      <w:bookmarkStart w:id="1180" w:name="_Toc12636"/>
      <w:bookmarkStart w:id="1181" w:name="_Toc1228"/>
      <w:bookmarkStart w:id="1182" w:name="_Toc2249"/>
      <w:bookmarkStart w:id="1183" w:name="_Toc2957"/>
      <w:bookmarkStart w:id="1184" w:name="_Toc27525"/>
      <w:bookmarkStart w:id="1185" w:name="_Toc25401"/>
      <w:bookmarkStart w:id="1186" w:name="_Toc30219"/>
      <w:bookmarkStart w:id="1187" w:name="_Toc1195"/>
      <w:bookmarkStart w:id="1188" w:name="_Toc15351"/>
      <w:bookmarkStart w:id="1189" w:name="_Toc20836"/>
      <w:bookmarkStart w:id="1190" w:name="_Toc14133"/>
      <w:bookmarkStart w:id="1191" w:name="_Toc32074"/>
      <w:bookmarkStart w:id="1192" w:name="_Toc17110"/>
      <w:bookmarkStart w:id="1193" w:name="_Toc14217"/>
      <w:bookmarkStart w:id="1194" w:name="_Toc1705"/>
      <w:bookmarkStart w:id="1195" w:name="_Toc23268"/>
      <w:bookmarkStart w:id="1196" w:name="_Toc10830"/>
      <w:bookmarkStart w:id="1197" w:name="_Toc23397"/>
      <w:bookmarkStart w:id="1198" w:name="_Toc2612"/>
      <w:bookmarkStart w:id="1199" w:name="_Toc7458"/>
      <w:bookmarkStart w:id="1200" w:name="_Toc18146"/>
      <w:bookmarkStart w:id="1201" w:name="_Toc28594"/>
      <w:bookmarkStart w:id="1202" w:name="_Toc18510"/>
      <w:bookmarkStart w:id="1203" w:name="_Toc73112425"/>
      <w:bookmarkStart w:id="1204" w:name="_Toc25348"/>
      <w:bookmarkStart w:id="1205" w:name="_Toc4953"/>
      <w:bookmarkStart w:id="1206" w:name="_Toc1673"/>
      <w:bookmarkStart w:id="1207" w:name="_Toc8015"/>
      <w:bookmarkStart w:id="1208" w:name="_Toc30187"/>
      <w:bookmarkStart w:id="1209" w:name="_Toc22179"/>
      <w:bookmarkStart w:id="1210" w:name="_Toc23616"/>
      <w:bookmarkStart w:id="1211" w:name="_Toc26248"/>
      <w:bookmarkStart w:id="1212" w:name="_Toc1683"/>
      <w:bookmarkStart w:id="1213" w:name="_Toc19911"/>
      <w:bookmarkStart w:id="1214" w:name="_Toc8435"/>
      <w:r>
        <w:rPr>
          <w:rFonts w:hint="eastAsia" w:ascii="仿宋" w:hAnsi="仿宋" w:eastAsia="仿宋" w:cs="仿宋"/>
          <w:b/>
          <w:bCs/>
        </w:rPr>
        <w:t>第六章投标技术文件一般要求</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14:paraId="58EC2E2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1投标方应认真阅读招标文件和本技术标书，并按要求编写投标技术文件。</w:t>
      </w:r>
    </w:p>
    <w:p w14:paraId="1B9D28E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2投标技术文件至少应对投标货物（或生产线）的“技术偏离”、“商务偏离”作出有无说明；若有，应予以详细填写和说明。</w:t>
      </w:r>
    </w:p>
    <w:p w14:paraId="316F82B7">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3投标技术文件至少应对投标货物（或生产线）的功能用途、技术性能、质量标准、技术参数等作出详细说明。</w:t>
      </w:r>
    </w:p>
    <w:p w14:paraId="1B284F89">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4投标技术文件至少应根据投标货物（或生产线）的关键设备、总成、零部件或系统作出优越性说明。</w:t>
      </w:r>
    </w:p>
    <w:p w14:paraId="34F02665">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5投标技术文件至少应根据投标货物（或生产线）的配置，按照备品备件、易损件和专用耗材明细表要求以及投标货物（或生产线）主要配置一览表要求（见下表），认真全面填写。</w:t>
      </w:r>
    </w:p>
    <w:p w14:paraId="634AAE60">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投标货物（或生产线）主要配置一览表单位：元</w:t>
      </w:r>
    </w:p>
    <w:tbl>
      <w:tblPr>
        <w:tblStyle w:val="36"/>
        <w:tblpPr w:leftFromText="180" w:rightFromText="180" w:vertAnchor="text" w:tblpXSpec="center" w:tblpY="1"/>
        <w:tblOverlap w:val="never"/>
        <w:tblW w:w="8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940"/>
        <w:gridCol w:w="697"/>
        <w:gridCol w:w="697"/>
        <w:gridCol w:w="697"/>
        <w:gridCol w:w="697"/>
        <w:gridCol w:w="1665"/>
      </w:tblGrid>
      <w:tr w14:paraId="0D392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03FE007F">
            <w:pPr>
              <w:adjustRightInd w:val="0"/>
              <w:snapToGrid w:val="0"/>
              <w:spacing w:line="360" w:lineRule="auto"/>
              <w:jc w:val="center"/>
              <w:rPr>
                <w:rFonts w:ascii="仿宋" w:hAnsi="仿宋" w:eastAsia="仿宋" w:cs="仿宋"/>
              </w:rPr>
            </w:pPr>
            <w:r>
              <w:rPr>
                <w:rFonts w:hint="eastAsia" w:ascii="仿宋" w:hAnsi="仿宋" w:eastAsia="仿宋" w:cs="仿宋"/>
              </w:rPr>
              <w:t>名称</w:t>
            </w:r>
          </w:p>
        </w:tc>
        <w:tc>
          <w:tcPr>
            <w:tcW w:w="1940" w:type="dxa"/>
          </w:tcPr>
          <w:p w14:paraId="04DEBC99">
            <w:pPr>
              <w:adjustRightInd w:val="0"/>
              <w:snapToGrid w:val="0"/>
              <w:spacing w:line="360" w:lineRule="auto"/>
              <w:jc w:val="center"/>
              <w:rPr>
                <w:rFonts w:ascii="仿宋" w:hAnsi="仿宋" w:eastAsia="仿宋" w:cs="仿宋"/>
              </w:rPr>
            </w:pPr>
            <w:r>
              <w:rPr>
                <w:rFonts w:hint="eastAsia" w:ascii="仿宋" w:hAnsi="仿宋" w:eastAsia="仿宋" w:cs="仿宋"/>
              </w:rPr>
              <w:t>型号规格</w:t>
            </w:r>
          </w:p>
        </w:tc>
        <w:tc>
          <w:tcPr>
            <w:tcW w:w="697" w:type="dxa"/>
          </w:tcPr>
          <w:p w14:paraId="7F464707">
            <w:pPr>
              <w:adjustRightInd w:val="0"/>
              <w:snapToGrid w:val="0"/>
              <w:spacing w:line="360" w:lineRule="auto"/>
              <w:jc w:val="center"/>
              <w:rPr>
                <w:rFonts w:ascii="仿宋" w:hAnsi="仿宋" w:eastAsia="仿宋" w:cs="仿宋"/>
              </w:rPr>
            </w:pPr>
            <w:r>
              <w:rPr>
                <w:rFonts w:hint="eastAsia" w:ascii="仿宋" w:hAnsi="仿宋" w:eastAsia="仿宋" w:cs="仿宋"/>
              </w:rPr>
              <w:t>单位</w:t>
            </w:r>
          </w:p>
        </w:tc>
        <w:tc>
          <w:tcPr>
            <w:tcW w:w="697" w:type="dxa"/>
          </w:tcPr>
          <w:p w14:paraId="36CB4E50">
            <w:pPr>
              <w:adjustRightInd w:val="0"/>
              <w:snapToGrid w:val="0"/>
              <w:spacing w:line="360" w:lineRule="auto"/>
              <w:jc w:val="center"/>
              <w:rPr>
                <w:rFonts w:ascii="仿宋" w:hAnsi="仿宋" w:eastAsia="仿宋" w:cs="仿宋"/>
              </w:rPr>
            </w:pPr>
            <w:r>
              <w:rPr>
                <w:rFonts w:hint="eastAsia" w:ascii="仿宋" w:hAnsi="仿宋" w:eastAsia="仿宋" w:cs="仿宋"/>
              </w:rPr>
              <w:t>数量</w:t>
            </w:r>
          </w:p>
        </w:tc>
        <w:tc>
          <w:tcPr>
            <w:tcW w:w="697" w:type="dxa"/>
          </w:tcPr>
          <w:p w14:paraId="40761BAB">
            <w:pPr>
              <w:adjustRightInd w:val="0"/>
              <w:snapToGrid w:val="0"/>
              <w:spacing w:line="360" w:lineRule="auto"/>
              <w:jc w:val="center"/>
              <w:rPr>
                <w:rFonts w:ascii="仿宋" w:hAnsi="仿宋" w:eastAsia="仿宋" w:cs="仿宋"/>
              </w:rPr>
            </w:pPr>
            <w:r>
              <w:rPr>
                <w:rFonts w:hint="eastAsia" w:ascii="仿宋" w:hAnsi="仿宋" w:eastAsia="仿宋" w:cs="仿宋"/>
              </w:rPr>
              <w:t>单价</w:t>
            </w:r>
          </w:p>
        </w:tc>
        <w:tc>
          <w:tcPr>
            <w:tcW w:w="697" w:type="dxa"/>
          </w:tcPr>
          <w:p w14:paraId="2B03D1BE">
            <w:pPr>
              <w:adjustRightInd w:val="0"/>
              <w:snapToGrid w:val="0"/>
              <w:spacing w:line="360" w:lineRule="auto"/>
              <w:jc w:val="center"/>
              <w:rPr>
                <w:rFonts w:ascii="仿宋" w:hAnsi="仿宋" w:eastAsia="仿宋" w:cs="仿宋"/>
              </w:rPr>
            </w:pPr>
            <w:r>
              <w:rPr>
                <w:rFonts w:hint="eastAsia" w:ascii="仿宋" w:hAnsi="仿宋" w:eastAsia="仿宋" w:cs="仿宋"/>
              </w:rPr>
              <w:t>总价</w:t>
            </w:r>
          </w:p>
        </w:tc>
        <w:tc>
          <w:tcPr>
            <w:tcW w:w="1665" w:type="dxa"/>
          </w:tcPr>
          <w:p w14:paraId="593C6504">
            <w:pPr>
              <w:adjustRightInd w:val="0"/>
              <w:snapToGrid w:val="0"/>
              <w:spacing w:line="360" w:lineRule="auto"/>
              <w:jc w:val="center"/>
              <w:rPr>
                <w:rFonts w:ascii="仿宋" w:hAnsi="仿宋" w:eastAsia="仿宋" w:cs="仿宋"/>
              </w:rPr>
            </w:pPr>
            <w:r>
              <w:rPr>
                <w:rFonts w:hint="eastAsia" w:ascii="仿宋" w:hAnsi="仿宋" w:eastAsia="仿宋" w:cs="仿宋"/>
              </w:rPr>
              <w:t>制造商</w:t>
            </w:r>
          </w:p>
        </w:tc>
      </w:tr>
      <w:tr w14:paraId="10456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5A1A3C7D">
            <w:pPr>
              <w:adjustRightInd w:val="0"/>
              <w:snapToGrid w:val="0"/>
              <w:spacing w:line="360" w:lineRule="auto"/>
              <w:rPr>
                <w:rFonts w:ascii="仿宋" w:hAnsi="仿宋" w:eastAsia="仿宋" w:cs="仿宋"/>
              </w:rPr>
            </w:pPr>
          </w:p>
        </w:tc>
        <w:tc>
          <w:tcPr>
            <w:tcW w:w="1940" w:type="dxa"/>
          </w:tcPr>
          <w:p w14:paraId="45004BDE">
            <w:pPr>
              <w:adjustRightInd w:val="0"/>
              <w:snapToGrid w:val="0"/>
              <w:spacing w:line="360" w:lineRule="auto"/>
              <w:rPr>
                <w:rFonts w:ascii="仿宋" w:hAnsi="仿宋" w:eastAsia="仿宋" w:cs="仿宋"/>
              </w:rPr>
            </w:pPr>
          </w:p>
        </w:tc>
        <w:tc>
          <w:tcPr>
            <w:tcW w:w="697" w:type="dxa"/>
          </w:tcPr>
          <w:p w14:paraId="2B79D826">
            <w:pPr>
              <w:adjustRightInd w:val="0"/>
              <w:snapToGrid w:val="0"/>
              <w:spacing w:line="360" w:lineRule="auto"/>
              <w:rPr>
                <w:rFonts w:ascii="仿宋" w:hAnsi="仿宋" w:eastAsia="仿宋" w:cs="仿宋"/>
              </w:rPr>
            </w:pPr>
          </w:p>
        </w:tc>
        <w:tc>
          <w:tcPr>
            <w:tcW w:w="697" w:type="dxa"/>
          </w:tcPr>
          <w:p w14:paraId="23C42FBF">
            <w:pPr>
              <w:adjustRightInd w:val="0"/>
              <w:snapToGrid w:val="0"/>
              <w:spacing w:line="360" w:lineRule="auto"/>
              <w:rPr>
                <w:rFonts w:ascii="仿宋" w:hAnsi="仿宋" w:eastAsia="仿宋" w:cs="仿宋"/>
              </w:rPr>
            </w:pPr>
          </w:p>
        </w:tc>
        <w:tc>
          <w:tcPr>
            <w:tcW w:w="697" w:type="dxa"/>
          </w:tcPr>
          <w:p w14:paraId="2B02E698">
            <w:pPr>
              <w:adjustRightInd w:val="0"/>
              <w:snapToGrid w:val="0"/>
              <w:spacing w:line="360" w:lineRule="auto"/>
              <w:rPr>
                <w:rFonts w:ascii="仿宋" w:hAnsi="仿宋" w:eastAsia="仿宋" w:cs="仿宋"/>
              </w:rPr>
            </w:pPr>
          </w:p>
        </w:tc>
        <w:tc>
          <w:tcPr>
            <w:tcW w:w="697" w:type="dxa"/>
          </w:tcPr>
          <w:p w14:paraId="2C8BBF1B">
            <w:pPr>
              <w:adjustRightInd w:val="0"/>
              <w:snapToGrid w:val="0"/>
              <w:spacing w:line="360" w:lineRule="auto"/>
              <w:rPr>
                <w:rFonts w:ascii="仿宋" w:hAnsi="仿宋" w:eastAsia="仿宋" w:cs="仿宋"/>
              </w:rPr>
            </w:pPr>
          </w:p>
        </w:tc>
        <w:tc>
          <w:tcPr>
            <w:tcW w:w="1665" w:type="dxa"/>
          </w:tcPr>
          <w:p w14:paraId="0CF29973">
            <w:pPr>
              <w:adjustRightInd w:val="0"/>
              <w:snapToGrid w:val="0"/>
              <w:spacing w:line="360" w:lineRule="auto"/>
              <w:rPr>
                <w:rFonts w:ascii="仿宋" w:hAnsi="仿宋" w:eastAsia="仿宋" w:cs="仿宋"/>
              </w:rPr>
            </w:pPr>
          </w:p>
        </w:tc>
      </w:tr>
      <w:tr w14:paraId="6F80E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19D9C418">
            <w:pPr>
              <w:adjustRightInd w:val="0"/>
              <w:snapToGrid w:val="0"/>
              <w:spacing w:line="360" w:lineRule="auto"/>
              <w:rPr>
                <w:rFonts w:ascii="仿宋" w:hAnsi="仿宋" w:eastAsia="仿宋" w:cs="仿宋"/>
              </w:rPr>
            </w:pPr>
          </w:p>
        </w:tc>
        <w:tc>
          <w:tcPr>
            <w:tcW w:w="1940" w:type="dxa"/>
          </w:tcPr>
          <w:p w14:paraId="0A4F319D">
            <w:pPr>
              <w:adjustRightInd w:val="0"/>
              <w:snapToGrid w:val="0"/>
              <w:spacing w:line="360" w:lineRule="auto"/>
              <w:rPr>
                <w:rFonts w:ascii="仿宋" w:hAnsi="仿宋" w:eastAsia="仿宋" w:cs="仿宋"/>
              </w:rPr>
            </w:pPr>
          </w:p>
        </w:tc>
        <w:tc>
          <w:tcPr>
            <w:tcW w:w="697" w:type="dxa"/>
          </w:tcPr>
          <w:p w14:paraId="4CE5F0EA">
            <w:pPr>
              <w:adjustRightInd w:val="0"/>
              <w:snapToGrid w:val="0"/>
              <w:spacing w:line="360" w:lineRule="auto"/>
              <w:rPr>
                <w:rFonts w:ascii="仿宋" w:hAnsi="仿宋" w:eastAsia="仿宋" w:cs="仿宋"/>
              </w:rPr>
            </w:pPr>
          </w:p>
        </w:tc>
        <w:tc>
          <w:tcPr>
            <w:tcW w:w="697" w:type="dxa"/>
          </w:tcPr>
          <w:p w14:paraId="5184E899">
            <w:pPr>
              <w:adjustRightInd w:val="0"/>
              <w:snapToGrid w:val="0"/>
              <w:spacing w:line="360" w:lineRule="auto"/>
              <w:rPr>
                <w:rFonts w:ascii="仿宋" w:hAnsi="仿宋" w:eastAsia="仿宋" w:cs="仿宋"/>
              </w:rPr>
            </w:pPr>
          </w:p>
        </w:tc>
        <w:tc>
          <w:tcPr>
            <w:tcW w:w="697" w:type="dxa"/>
          </w:tcPr>
          <w:p w14:paraId="5EF853C3">
            <w:pPr>
              <w:adjustRightInd w:val="0"/>
              <w:snapToGrid w:val="0"/>
              <w:spacing w:line="360" w:lineRule="auto"/>
              <w:rPr>
                <w:rFonts w:ascii="仿宋" w:hAnsi="仿宋" w:eastAsia="仿宋" w:cs="仿宋"/>
              </w:rPr>
            </w:pPr>
          </w:p>
        </w:tc>
        <w:tc>
          <w:tcPr>
            <w:tcW w:w="697" w:type="dxa"/>
          </w:tcPr>
          <w:p w14:paraId="1AB459F9">
            <w:pPr>
              <w:adjustRightInd w:val="0"/>
              <w:snapToGrid w:val="0"/>
              <w:spacing w:line="360" w:lineRule="auto"/>
              <w:rPr>
                <w:rFonts w:ascii="仿宋" w:hAnsi="仿宋" w:eastAsia="仿宋" w:cs="仿宋"/>
              </w:rPr>
            </w:pPr>
          </w:p>
        </w:tc>
        <w:tc>
          <w:tcPr>
            <w:tcW w:w="1665" w:type="dxa"/>
          </w:tcPr>
          <w:p w14:paraId="1EBE998F">
            <w:pPr>
              <w:adjustRightInd w:val="0"/>
              <w:snapToGrid w:val="0"/>
              <w:spacing w:line="360" w:lineRule="auto"/>
              <w:rPr>
                <w:rFonts w:ascii="仿宋" w:hAnsi="仿宋" w:eastAsia="仿宋" w:cs="仿宋"/>
              </w:rPr>
            </w:pPr>
          </w:p>
        </w:tc>
      </w:tr>
      <w:tr w14:paraId="2B2BB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0B8B0440">
            <w:pPr>
              <w:adjustRightInd w:val="0"/>
              <w:snapToGrid w:val="0"/>
              <w:spacing w:line="360" w:lineRule="auto"/>
              <w:rPr>
                <w:rFonts w:ascii="仿宋" w:hAnsi="仿宋" w:eastAsia="仿宋" w:cs="仿宋"/>
              </w:rPr>
            </w:pPr>
          </w:p>
        </w:tc>
        <w:tc>
          <w:tcPr>
            <w:tcW w:w="1940" w:type="dxa"/>
          </w:tcPr>
          <w:p w14:paraId="71840D23">
            <w:pPr>
              <w:adjustRightInd w:val="0"/>
              <w:snapToGrid w:val="0"/>
              <w:spacing w:line="360" w:lineRule="auto"/>
              <w:rPr>
                <w:rFonts w:ascii="仿宋" w:hAnsi="仿宋" w:eastAsia="仿宋" w:cs="仿宋"/>
              </w:rPr>
            </w:pPr>
          </w:p>
        </w:tc>
        <w:tc>
          <w:tcPr>
            <w:tcW w:w="697" w:type="dxa"/>
          </w:tcPr>
          <w:p w14:paraId="54A4CFAC">
            <w:pPr>
              <w:adjustRightInd w:val="0"/>
              <w:snapToGrid w:val="0"/>
              <w:spacing w:line="360" w:lineRule="auto"/>
              <w:rPr>
                <w:rFonts w:ascii="仿宋" w:hAnsi="仿宋" w:eastAsia="仿宋" w:cs="仿宋"/>
              </w:rPr>
            </w:pPr>
          </w:p>
        </w:tc>
        <w:tc>
          <w:tcPr>
            <w:tcW w:w="697" w:type="dxa"/>
          </w:tcPr>
          <w:p w14:paraId="04205EBD">
            <w:pPr>
              <w:adjustRightInd w:val="0"/>
              <w:snapToGrid w:val="0"/>
              <w:spacing w:line="360" w:lineRule="auto"/>
              <w:rPr>
                <w:rFonts w:ascii="仿宋" w:hAnsi="仿宋" w:eastAsia="仿宋" w:cs="仿宋"/>
              </w:rPr>
            </w:pPr>
          </w:p>
        </w:tc>
        <w:tc>
          <w:tcPr>
            <w:tcW w:w="697" w:type="dxa"/>
          </w:tcPr>
          <w:p w14:paraId="5768654F">
            <w:pPr>
              <w:adjustRightInd w:val="0"/>
              <w:snapToGrid w:val="0"/>
              <w:spacing w:line="360" w:lineRule="auto"/>
              <w:rPr>
                <w:rFonts w:ascii="仿宋" w:hAnsi="仿宋" w:eastAsia="仿宋" w:cs="仿宋"/>
              </w:rPr>
            </w:pPr>
          </w:p>
        </w:tc>
        <w:tc>
          <w:tcPr>
            <w:tcW w:w="697" w:type="dxa"/>
          </w:tcPr>
          <w:p w14:paraId="7D6963ED">
            <w:pPr>
              <w:adjustRightInd w:val="0"/>
              <w:snapToGrid w:val="0"/>
              <w:spacing w:line="360" w:lineRule="auto"/>
              <w:rPr>
                <w:rFonts w:ascii="仿宋" w:hAnsi="仿宋" w:eastAsia="仿宋" w:cs="仿宋"/>
              </w:rPr>
            </w:pPr>
          </w:p>
        </w:tc>
        <w:tc>
          <w:tcPr>
            <w:tcW w:w="1665" w:type="dxa"/>
          </w:tcPr>
          <w:p w14:paraId="6434F2CA">
            <w:pPr>
              <w:adjustRightInd w:val="0"/>
              <w:snapToGrid w:val="0"/>
              <w:spacing w:line="360" w:lineRule="auto"/>
              <w:rPr>
                <w:rFonts w:ascii="仿宋" w:hAnsi="仿宋" w:eastAsia="仿宋" w:cs="仿宋"/>
              </w:rPr>
            </w:pPr>
          </w:p>
        </w:tc>
      </w:tr>
      <w:tr w14:paraId="40A45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3793D51E">
            <w:pPr>
              <w:adjustRightInd w:val="0"/>
              <w:snapToGrid w:val="0"/>
              <w:spacing w:line="360" w:lineRule="auto"/>
              <w:rPr>
                <w:rFonts w:ascii="仿宋" w:hAnsi="仿宋" w:eastAsia="仿宋" w:cs="仿宋"/>
              </w:rPr>
            </w:pPr>
          </w:p>
        </w:tc>
        <w:tc>
          <w:tcPr>
            <w:tcW w:w="1940" w:type="dxa"/>
          </w:tcPr>
          <w:p w14:paraId="42BEA0ED">
            <w:pPr>
              <w:adjustRightInd w:val="0"/>
              <w:snapToGrid w:val="0"/>
              <w:spacing w:line="360" w:lineRule="auto"/>
              <w:rPr>
                <w:rFonts w:ascii="仿宋" w:hAnsi="仿宋" w:eastAsia="仿宋" w:cs="仿宋"/>
              </w:rPr>
            </w:pPr>
          </w:p>
        </w:tc>
        <w:tc>
          <w:tcPr>
            <w:tcW w:w="697" w:type="dxa"/>
          </w:tcPr>
          <w:p w14:paraId="077DE77D">
            <w:pPr>
              <w:adjustRightInd w:val="0"/>
              <w:snapToGrid w:val="0"/>
              <w:spacing w:line="360" w:lineRule="auto"/>
              <w:rPr>
                <w:rFonts w:ascii="仿宋" w:hAnsi="仿宋" w:eastAsia="仿宋" w:cs="仿宋"/>
              </w:rPr>
            </w:pPr>
          </w:p>
        </w:tc>
        <w:tc>
          <w:tcPr>
            <w:tcW w:w="697" w:type="dxa"/>
          </w:tcPr>
          <w:p w14:paraId="32F37DFF">
            <w:pPr>
              <w:adjustRightInd w:val="0"/>
              <w:snapToGrid w:val="0"/>
              <w:spacing w:line="360" w:lineRule="auto"/>
              <w:rPr>
                <w:rFonts w:ascii="仿宋" w:hAnsi="仿宋" w:eastAsia="仿宋" w:cs="仿宋"/>
              </w:rPr>
            </w:pPr>
          </w:p>
        </w:tc>
        <w:tc>
          <w:tcPr>
            <w:tcW w:w="697" w:type="dxa"/>
          </w:tcPr>
          <w:p w14:paraId="0EC8F84C">
            <w:pPr>
              <w:adjustRightInd w:val="0"/>
              <w:snapToGrid w:val="0"/>
              <w:spacing w:line="360" w:lineRule="auto"/>
              <w:rPr>
                <w:rFonts w:ascii="仿宋" w:hAnsi="仿宋" w:eastAsia="仿宋" w:cs="仿宋"/>
              </w:rPr>
            </w:pPr>
          </w:p>
        </w:tc>
        <w:tc>
          <w:tcPr>
            <w:tcW w:w="697" w:type="dxa"/>
          </w:tcPr>
          <w:p w14:paraId="2A140591">
            <w:pPr>
              <w:adjustRightInd w:val="0"/>
              <w:snapToGrid w:val="0"/>
              <w:spacing w:line="360" w:lineRule="auto"/>
              <w:rPr>
                <w:rFonts w:ascii="仿宋" w:hAnsi="仿宋" w:eastAsia="仿宋" w:cs="仿宋"/>
              </w:rPr>
            </w:pPr>
          </w:p>
        </w:tc>
        <w:tc>
          <w:tcPr>
            <w:tcW w:w="1665" w:type="dxa"/>
          </w:tcPr>
          <w:p w14:paraId="57ABB73E">
            <w:pPr>
              <w:adjustRightInd w:val="0"/>
              <w:snapToGrid w:val="0"/>
              <w:spacing w:line="360" w:lineRule="auto"/>
              <w:rPr>
                <w:rFonts w:ascii="仿宋" w:hAnsi="仿宋" w:eastAsia="仿宋" w:cs="仿宋"/>
              </w:rPr>
            </w:pPr>
          </w:p>
        </w:tc>
      </w:tr>
      <w:tr w14:paraId="7C1B9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643BB75D">
            <w:pPr>
              <w:adjustRightInd w:val="0"/>
              <w:snapToGrid w:val="0"/>
              <w:spacing w:line="360" w:lineRule="auto"/>
              <w:rPr>
                <w:rFonts w:ascii="仿宋" w:hAnsi="仿宋" w:eastAsia="仿宋" w:cs="仿宋"/>
              </w:rPr>
            </w:pPr>
          </w:p>
        </w:tc>
        <w:tc>
          <w:tcPr>
            <w:tcW w:w="1940" w:type="dxa"/>
          </w:tcPr>
          <w:p w14:paraId="1311B0E5">
            <w:pPr>
              <w:adjustRightInd w:val="0"/>
              <w:snapToGrid w:val="0"/>
              <w:spacing w:line="360" w:lineRule="auto"/>
              <w:rPr>
                <w:rFonts w:ascii="仿宋" w:hAnsi="仿宋" w:eastAsia="仿宋" w:cs="仿宋"/>
              </w:rPr>
            </w:pPr>
          </w:p>
        </w:tc>
        <w:tc>
          <w:tcPr>
            <w:tcW w:w="697" w:type="dxa"/>
          </w:tcPr>
          <w:p w14:paraId="01589412">
            <w:pPr>
              <w:adjustRightInd w:val="0"/>
              <w:snapToGrid w:val="0"/>
              <w:spacing w:line="360" w:lineRule="auto"/>
              <w:rPr>
                <w:rFonts w:ascii="仿宋" w:hAnsi="仿宋" w:eastAsia="仿宋" w:cs="仿宋"/>
              </w:rPr>
            </w:pPr>
          </w:p>
        </w:tc>
        <w:tc>
          <w:tcPr>
            <w:tcW w:w="697" w:type="dxa"/>
          </w:tcPr>
          <w:p w14:paraId="5FB56C41">
            <w:pPr>
              <w:adjustRightInd w:val="0"/>
              <w:snapToGrid w:val="0"/>
              <w:spacing w:line="360" w:lineRule="auto"/>
              <w:rPr>
                <w:rFonts w:ascii="仿宋" w:hAnsi="仿宋" w:eastAsia="仿宋" w:cs="仿宋"/>
              </w:rPr>
            </w:pPr>
          </w:p>
        </w:tc>
        <w:tc>
          <w:tcPr>
            <w:tcW w:w="697" w:type="dxa"/>
          </w:tcPr>
          <w:p w14:paraId="682DD787">
            <w:pPr>
              <w:adjustRightInd w:val="0"/>
              <w:snapToGrid w:val="0"/>
              <w:spacing w:line="360" w:lineRule="auto"/>
              <w:rPr>
                <w:rFonts w:ascii="仿宋" w:hAnsi="仿宋" w:eastAsia="仿宋" w:cs="仿宋"/>
              </w:rPr>
            </w:pPr>
          </w:p>
        </w:tc>
        <w:tc>
          <w:tcPr>
            <w:tcW w:w="697" w:type="dxa"/>
          </w:tcPr>
          <w:p w14:paraId="4FB3F269">
            <w:pPr>
              <w:adjustRightInd w:val="0"/>
              <w:snapToGrid w:val="0"/>
              <w:spacing w:line="360" w:lineRule="auto"/>
              <w:rPr>
                <w:rFonts w:ascii="仿宋" w:hAnsi="仿宋" w:eastAsia="仿宋" w:cs="仿宋"/>
              </w:rPr>
            </w:pPr>
          </w:p>
        </w:tc>
        <w:tc>
          <w:tcPr>
            <w:tcW w:w="1665" w:type="dxa"/>
          </w:tcPr>
          <w:p w14:paraId="46F49D85">
            <w:pPr>
              <w:adjustRightInd w:val="0"/>
              <w:snapToGrid w:val="0"/>
              <w:spacing w:line="360" w:lineRule="auto"/>
              <w:rPr>
                <w:rFonts w:ascii="仿宋" w:hAnsi="仿宋" w:eastAsia="仿宋" w:cs="仿宋"/>
              </w:rPr>
            </w:pPr>
          </w:p>
        </w:tc>
      </w:tr>
    </w:tbl>
    <w:p w14:paraId="12161FDA">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备注：本表作为投标方编制投标技术文件的一般格式。表中应当尽可能将配置列全、列细，这将有助于投标方胜出。</w:t>
      </w:r>
    </w:p>
    <w:p w14:paraId="2EB58AD6">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6投标技术文件至少应对招标文件和本技术标书所提出的要求，将投标方认为难以满足的条款和要求，予以明确和详细的说明或澄清。</w:t>
      </w:r>
    </w:p>
    <w:p w14:paraId="41531826">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7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14:paraId="165B45D1">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8供货范围内的物品或服务，应当尽可能详细且分类填入配置表，其费用应当计入投标总报价之内。如果出现不一致的报价，将有可能导致废标。</w:t>
      </w:r>
    </w:p>
    <w:p w14:paraId="7F0A00E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9除招标文件明确的验收标准或内容之外，投标方应当在投标文件中提供预验收（必要时）和终验收的标准以及规程，在合同签定之前，经投标方和招标方双方洽谈确认并签署，以作为验收标准执行。</w:t>
      </w:r>
    </w:p>
    <w:p w14:paraId="3BF378D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10带 ★ 号条款为否定项条款。</w:t>
      </w:r>
      <w:bookmarkStart w:id="1215" w:name="_Toc133783976"/>
    </w:p>
    <w:p w14:paraId="19E145FF">
      <w:pPr>
        <w:adjustRightInd w:val="0"/>
        <w:snapToGrid w:val="0"/>
        <w:spacing w:before="163" w:beforeLines="50" w:after="163" w:afterLines="50" w:line="360" w:lineRule="auto"/>
        <w:jc w:val="center"/>
        <w:outlineLvl w:val="0"/>
        <w:rPr>
          <w:rFonts w:ascii="仿宋" w:hAnsi="仿宋" w:eastAsia="仿宋" w:cs="仿宋"/>
          <w:b/>
          <w:bCs/>
        </w:rPr>
      </w:pPr>
      <w:bookmarkStart w:id="1216" w:name="_Toc2151"/>
      <w:bookmarkStart w:id="1217" w:name="_Toc7541"/>
      <w:bookmarkStart w:id="1218" w:name="_Toc147"/>
      <w:bookmarkStart w:id="1219" w:name="_Toc5380"/>
      <w:bookmarkStart w:id="1220" w:name="_Toc16301"/>
      <w:bookmarkStart w:id="1221" w:name="_Toc26559"/>
      <w:bookmarkStart w:id="1222" w:name="_Toc17045"/>
      <w:bookmarkStart w:id="1223" w:name="_Toc10081"/>
      <w:bookmarkStart w:id="1224" w:name="_Toc19821"/>
      <w:bookmarkStart w:id="1225" w:name="_Toc25823"/>
      <w:bookmarkStart w:id="1226" w:name="_Toc23538"/>
      <w:bookmarkStart w:id="1227" w:name="_Toc17463"/>
      <w:bookmarkStart w:id="1228" w:name="_Toc29369"/>
      <w:bookmarkStart w:id="1229" w:name="_Toc15684"/>
      <w:bookmarkStart w:id="1230" w:name="_Toc17174"/>
      <w:bookmarkStart w:id="1231" w:name="_Toc2177"/>
      <w:bookmarkStart w:id="1232" w:name="_Toc32403"/>
      <w:bookmarkStart w:id="1233" w:name="_Toc4563"/>
      <w:bookmarkStart w:id="1234" w:name="_Toc15645"/>
      <w:bookmarkStart w:id="1235" w:name="_Toc29655"/>
      <w:bookmarkStart w:id="1236" w:name="_Toc2783"/>
      <w:bookmarkStart w:id="1237" w:name="_Toc11155"/>
      <w:bookmarkStart w:id="1238" w:name="_Toc919"/>
      <w:bookmarkStart w:id="1239" w:name="_Toc3256"/>
      <w:bookmarkStart w:id="1240" w:name="_Toc3744"/>
      <w:bookmarkStart w:id="1241" w:name="_Toc13666"/>
      <w:bookmarkStart w:id="1242" w:name="_Toc1126"/>
      <w:bookmarkStart w:id="1243" w:name="_Toc10484"/>
      <w:bookmarkStart w:id="1244" w:name="_Toc5153"/>
      <w:bookmarkStart w:id="1245" w:name="_Toc2341"/>
      <w:bookmarkStart w:id="1246" w:name="_Toc19444"/>
      <w:bookmarkStart w:id="1247" w:name="_Toc11416"/>
      <w:bookmarkStart w:id="1248" w:name="_Toc7423"/>
      <w:bookmarkStart w:id="1249" w:name="_Toc13350"/>
      <w:bookmarkStart w:id="1250" w:name="_Toc22743"/>
      <w:bookmarkStart w:id="1251" w:name="_Toc19119"/>
      <w:bookmarkStart w:id="1252" w:name="_Toc31830"/>
      <w:bookmarkStart w:id="1253" w:name="_Toc26481"/>
      <w:bookmarkStart w:id="1254" w:name="_Toc24401"/>
      <w:bookmarkStart w:id="1255" w:name="_Toc73112426"/>
      <w:bookmarkStart w:id="1256" w:name="_Toc671"/>
      <w:bookmarkStart w:id="1257" w:name="_Toc9954"/>
      <w:bookmarkStart w:id="1258" w:name="_Toc623"/>
      <w:r>
        <w:rPr>
          <w:rFonts w:hint="eastAsia" w:ascii="仿宋" w:hAnsi="仿宋" w:eastAsia="仿宋" w:cs="仿宋"/>
          <w:b/>
          <w:bCs/>
        </w:rPr>
        <w:t>第七章其它要求</w:t>
      </w:r>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14:paraId="648C46BA">
      <w:pPr>
        <w:snapToGrid w:val="0"/>
        <w:spacing w:line="360" w:lineRule="auto"/>
        <w:ind w:left="480"/>
        <w:outlineLvl w:val="1"/>
        <w:rPr>
          <w:rFonts w:ascii="仿宋" w:hAnsi="仿宋" w:eastAsia="仿宋" w:cs="仿宋"/>
          <w:b/>
          <w:bCs/>
        </w:rPr>
      </w:pPr>
      <w:bookmarkStart w:id="1259" w:name="_Toc24680"/>
      <w:bookmarkStart w:id="1260" w:name="_Toc32525"/>
      <w:bookmarkStart w:id="1261" w:name="_Toc15205"/>
      <w:bookmarkStart w:id="1262" w:name="_Toc17435"/>
      <w:bookmarkStart w:id="1263" w:name="_Toc13820"/>
      <w:bookmarkStart w:id="1264" w:name="_Toc17702"/>
      <w:bookmarkStart w:id="1265" w:name="_Toc12542"/>
      <w:bookmarkStart w:id="1266" w:name="_Toc17727"/>
      <w:bookmarkStart w:id="1267" w:name="_Toc5514"/>
      <w:bookmarkStart w:id="1268" w:name="_Toc73112427"/>
      <w:bookmarkStart w:id="1269" w:name="_Toc12406"/>
      <w:bookmarkStart w:id="1270" w:name="_Toc32012"/>
      <w:bookmarkStart w:id="1271" w:name="_Toc16802"/>
      <w:bookmarkStart w:id="1272" w:name="_Toc14684"/>
      <w:bookmarkStart w:id="1273" w:name="_Toc26831"/>
      <w:bookmarkStart w:id="1274" w:name="_Toc29679"/>
      <w:bookmarkStart w:id="1275" w:name="_Toc28364"/>
      <w:bookmarkStart w:id="1276" w:name="_Toc31105"/>
      <w:bookmarkStart w:id="1277" w:name="_Toc24181"/>
      <w:bookmarkStart w:id="1278" w:name="_Toc25903"/>
      <w:bookmarkStart w:id="1279" w:name="_Toc11901"/>
      <w:bookmarkStart w:id="1280" w:name="_Toc32544"/>
      <w:bookmarkStart w:id="1281" w:name="_Toc16829"/>
      <w:bookmarkStart w:id="1282" w:name="_Toc14484"/>
      <w:bookmarkStart w:id="1283" w:name="_Toc15541"/>
      <w:bookmarkStart w:id="1284" w:name="_Toc16614"/>
      <w:bookmarkStart w:id="1285" w:name="_Toc20262"/>
      <w:bookmarkStart w:id="1286" w:name="_Toc29015"/>
      <w:bookmarkStart w:id="1287" w:name="_Toc4997"/>
      <w:bookmarkStart w:id="1288" w:name="_Toc18469"/>
      <w:bookmarkStart w:id="1289" w:name="_Toc21465"/>
      <w:bookmarkStart w:id="1290" w:name="_Toc24669"/>
      <w:bookmarkStart w:id="1291" w:name="_Toc2497"/>
      <w:bookmarkStart w:id="1292" w:name="_Toc22010"/>
      <w:bookmarkStart w:id="1293" w:name="_Toc17357"/>
      <w:bookmarkStart w:id="1294" w:name="_Toc24782"/>
      <w:bookmarkStart w:id="1295" w:name="_Toc15256"/>
      <w:bookmarkStart w:id="1296" w:name="_Toc32470"/>
      <w:bookmarkStart w:id="1297" w:name="_Toc22430"/>
      <w:bookmarkStart w:id="1298" w:name="_Toc27273"/>
      <w:bookmarkStart w:id="1299" w:name="_Toc11058"/>
      <w:bookmarkStart w:id="1300" w:name="_Toc30535"/>
      <w:r>
        <w:rPr>
          <w:rFonts w:hint="eastAsia" w:ascii="仿宋" w:hAnsi="仿宋" w:eastAsia="仿宋" w:cs="仿宋"/>
          <w:b/>
          <w:bCs/>
        </w:rPr>
        <w:t>1特殊要求</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14:paraId="52553B1C">
      <w:pPr>
        <w:pStyle w:val="19"/>
        <w:snapToGrid w:val="0"/>
        <w:spacing w:line="360" w:lineRule="auto"/>
        <w:ind w:firstLine="420" w:firstLineChars="200"/>
        <w:rPr>
          <w:rFonts w:ascii="仿宋" w:hAnsi="仿宋" w:eastAsia="仿宋" w:cs="仿宋"/>
        </w:rPr>
      </w:pPr>
      <w:r>
        <w:rPr>
          <w:rFonts w:hint="eastAsia" w:ascii="仿宋" w:hAnsi="仿宋" w:eastAsia="仿宋" w:cs="仿宋"/>
        </w:rPr>
        <w:t>为保证本技术标书所列采购货物（或生产线）的质量以及先进性、可靠性、经济性和实用性，要求投标方在投标文件中，至少应具备以下资格证明文件或资料：</w:t>
      </w:r>
    </w:p>
    <w:p w14:paraId="58FAC588">
      <w:pPr>
        <w:snapToGrid w:val="0"/>
        <w:spacing w:line="360" w:lineRule="auto"/>
        <w:ind w:firstLine="420" w:firstLineChars="200"/>
        <w:rPr>
          <w:rFonts w:ascii="仿宋" w:hAnsi="仿宋" w:eastAsia="仿宋" w:cs="仿宋"/>
        </w:rPr>
      </w:pPr>
      <w:r>
        <w:rPr>
          <w:rFonts w:hint="eastAsia" w:ascii="仿宋" w:hAnsi="仿宋" w:eastAsia="仿宋" w:cs="仿宋"/>
        </w:rPr>
        <w:t>1.1投标方应是通过有关资格认证的单位，因此应附有有效期内的资格认证证书，如：ISO9001、VDA6.1、QS9000等。</w:t>
      </w:r>
    </w:p>
    <w:p w14:paraId="13717B9B">
      <w:pPr>
        <w:snapToGrid w:val="0"/>
        <w:spacing w:line="360" w:lineRule="auto"/>
        <w:ind w:firstLine="420" w:firstLineChars="200"/>
        <w:rPr>
          <w:rFonts w:ascii="仿宋" w:hAnsi="仿宋" w:eastAsia="仿宋" w:cs="仿宋"/>
        </w:rPr>
      </w:pPr>
      <w:r>
        <w:rPr>
          <w:rFonts w:hint="eastAsia" w:ascii="仿宋" w:hAnsi="仿宋" w:eastAsia="仿宋" w:cs="仿宋"/>
        </w:rPr>
        <w:t>1.2国产设备应附有采购货物（或设备）涉及的由“中国质量认证中心”颁发的《中国国家强制性产品认证证书》（CCC证书）。</w:t>
      </w:r>
    </w:p>
    <w:p w14:paraId="1E0B6CFF">
      <w:pPr>
        <w:snapToGrid w:val="0"/>
        <w:spacing w:line="360" w:lineRule="auto"/>
        <w:ind w:firstLine="420" w:firstLineChars="200"/>
        <w:rPr>
          <w:rFonts w:ascii="仿宋" w:hAnsi="仿宋" w:eastAsia="仿宋" w:cs="仿宋"/>
        </w:rPr>
      </w:pPr>
      <w:r>
        <w:rPr>
          <w:rFonts w:hint="eastAsia" w:ascii="仿宋" w:hAnsi="仿宋" w:eastAsia="仿宋" w:cs="仿宋"/>
        </w:rPr>
        <w:t>1.3必须附有与本采购货物（或生产线）相同或相似技术规格、型号的而且已经正常使用或通过验收的近三年以上的货物（或生产线）的市场销售业绩清单，清单中应具备：买方单位名称、销售货物（或生产线）的规格型号、数量、（交货）时间、联系人和联系电话（非移动通信号码）等条目内容；投标方应当保证其业绩的真实性，否则将影响投标或中标资格。</w:t>
      </w:r>
    </w:p>
    <w:p w14:paraId="7E5DA8A7">
      <w:pPr>
        <w:snapToGrid w:val="0"/>
        <w:spacing w:line="360" w:lineRule="auto"/>
        <w:ind w:firstLine="420" w:firstLineChars="200"/>
        <w:rPr>
          <w:rFonts w:ascii="仿宋" w:hAnsi="仿宋" w:eastAsia="仿宋" w:cs="仿宋"/>
        </w:rPr>
      </w:pPr>
      <w:r>
        <w:rPr>
          <w:rFonts w:hint="eastAsia" w:ascii="仿宋" w:hAnsi="仿宋" w:eastAsia="仿宋" w:cs="仿宋"/>
        </w:rPr>
        <w:t>1.4应附有其它与投标单位、采购货物（或生产线）有关的荣誉证书或资料。</w:t>
      </w:r>
    </w:p>
    <w:p w14:paraId="73B77B5F">
      <w:pPr>
        <w:snapToGrid w:val="0"/>
        <w:spacing w:line="360" w:lineRule="auto"/>
        <w:ind w:firstLine="420" w:firstLineChars="200"/>
        <w:rPr>
          <w:rFonts w:ascii="仿宋" w:hAnsi="仿宋" w:eastAsia="仿宋" w:cs="仿宋"/>
        </w:rPr>
      </w:pPr>
      <w:r>
        <w:rPr>
          <w:rFonts w:hint="eastAsia" w:ascii="仿宋" w:hAnsi="仿宋" w:eastAsia="仿宋" w:cs="仿宋"/>
        </w:rPr>
        <w:t>1.5应附有中国相关国家部委颁发的有效期之内所必需的《生产许可证》。</w:t>
      </w:r>
    </w:p>
    <w:p w14:paraId="369CC510">
      <w:pPr>
        <w:snapToGrid w:val="0"/>
        <w:spacing w:line="360" w:lineRule="auto"/>
        <w:ind w:firstLine="420" w:firstLineChars="200"/>
        <w:rPr>
          <w:rFonts w:ascii="仿宋" w:hAnsi="仿宋" w:eastAsia="仿宋" w:cs="仿宋"/>
        </w:rPr>
      </w:pPr>
      <w:r>
        <w:rPr>
          <w:rFonts w:hint="eastAsia" w:ascii="仿宋" w:hAnsi="仿宋" w:eastAsia="仿宋" w:cs="仿宋"/>
        </w:rPr>
        <w:t>1.6应附有必要的采购货物（或设备）的相关检验、试验报告，如：《型式试验的检验报告》、《产品鉴定证书》、《新技术成果证书》等。</w:t>
      </w:r>
    </w:p>
    <w:p w14:paraId="799D01E7">
      <w:pPr>
        <w:snapToGrid w:val="0"/>
        <w:spacing w:line="360" w:lineRule="auto"/>
        <w:ind w:firstLine="420" w:firstLineChars="200"/>
        <w:rPr>
          <w:rFonts w:ascii="仿宋" w:hAnsi="仿宋" w:eastAsia="仿宋" w:cs="仿宋"/>
        </w:rPr>
      </w:pPr>
      <w:r>
        <w:rPr>
          <w:rFonts w:hint="eastAsia" w:ascii="仿宋" w:hAnsi="仿宋" w:eastAsia="仿宋" w:cs="仿宋"/>
        </w:rPr>
        <w:t>1.7投标方必须附有采购货物（或设备）涉及国家规定必须进行的检验、试验报告等。</w:t>
      </w:r>
    </w:p>
    <w:p w14:paraId="3E4165D5">
      <w:pPr>
        <w:snapToGrid w:val="0"/>
        <w:spacing w:line="360" w:lineRule="auto"/>
        <w:ind w:firstLine="420" w:firstLineChars="200"/>
        <w:rPr>
          <w:rFonts w:ascii="仿宋" w:hAnsi="仿宋" w:eastAsia="仿宋" w:cs="仿宋"/>
        </w:rPr>
      </w:pPr>
      <w:r>
        <w:rPr>
          <w:rFonts w:hint="eastAsia" w:ascii="仿宋" w:hAnsi="仿宋" w:eastAsia="仿宋" w:cs="仿宋"/>
        </w:rPr>
        <w:t>1.8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14:paraId="44804EDD">
      <w:pPr>
        <w:snapToGrid w:val="0"/>
        <w:spacing w:line="360" w:lineRule="auto"/>
        <w:ind w:left="480"/>
        <w:outlineLvl w:val="1"/>
        <w:rPr>
          <w:rFonts w:ascii="仿宋" w:hAnsi="仿宋" w:eastAsia="仿宋" w:cs="仿宋"/>
          <w:b/>
          <w:bCs/>
        </w:rPr>
      </w:pPr>
      <w:bookmarkStart w:id="1301" w:name="_Toc11255"/>
      <w:bookmarkStart w:id="1302" w:name="_Toc20370"/>
      <w:bookmarkStart w:id="1303" w:name="_Toc3821"/>
      <w:bookmarkStart w:id="1304" w:name="_Toc28380"/>
      <w:bookmarkStart w:id="1305" w:name="_Toc21942"/>
      <w:bookmarkStart w:id="1306" w:name="_Toc25028"/>
      <w:bookmarkStart w:id="1307" w:name="_Toc335"/>
      <w:bookmarkStart w:id="1308" w:name="_Toc26626"/>
      <w:bookmarkStart w:id="1309" w:name="_Toc1823"/>
      <w:bookmarkStart w:id="1310" w:name="_Toc22893"/>
      <w:bookmarkStart w:id="1311" w:name="_Toc28267"/>
      <w:bookmarkStart w:id="1312" w:name="_Toc27894"/>
      <w:bookmarkStart w:id="1313" w:name="_Toc18370"/>
      <w:bookmarkStart w:id="1314" w:name="_Toc20830"/>
      <w:bookmarkStart w:id="1315" w:name="_Toc16457"/>
      <w:bookmarkStart w:id="1316" w:name="_Toc14956"/>
      <w:bookmarkStart w:id="1317" w:name="_Toc4243"/>
      <w:bookmarkStart w:id="1318" w:name="_Toc27164"/>
      <w:bookmarkStart w:id="1319" w:name="_Toc22763"/>
      <w:bookmarkStart w:id="1320" w:name="_Toc3658"/>
      <w:bookmarkStart w:id="1321" w:name="_Toc24482"/>
      <w:bookmarkStart w:id="1322" w:name="_Toc26307"/>
      <w:bookmarkStart w:id="1323" w:name="_Toc25498"/>
      <w:bookmarkStart w:id="1324" w:name="_Toc13528"/>
      <w:bookmarkStart w:id="1325" w:name="_Toc26724"/>
      <w:bookmarkStart w:id="1326" w:name="_Toc19315"/>
      <w:bookmarkStart w:id="1327" w:name="_Toc3323"/>
      <w:bookmarkStart w:id="1328" w:name="_Toc73112429"/>
      <w:bookmarkStart w:id="1329" w:name="_Toc28718"/>
      <w:bookmarkStart w:id="1330" w:name="_Toc28700"/>
      <w:bookmarkStart w:id="1331" w:name="_Toc4278"/>
      <w:bookmarkStart w:id="1332" w:name="_Toc28559"/>
      <w:bookmarkStart w:id="1333" w:name="_Toc29233"/>
      <w:bookmarkStart w:id="1334" w:name="_Toc11707"/>
      <w:bookmarkStart w:id="1335" w:name="_Toc8864"/>
      <w:bookmarkStart w:id="1336" w:name="_Toc18745"/>
      <w:bookmarkStart w:id="1337" w:name="_Toc5504"/>
      <w:bookmarkStart w:id="1338" w:name="_Toc18674"/>
      <w:bookmarkStart w:id="1339" w:name="_Toc14052"/>
      <w:bookmarkStart w:id="1340" w:name="_Toc24176"/>
      <w:bookmarkStart w:id="1341" w:name="_Toc13497"/>
      <w:bookmarkStart w:id="1342" w:name="_Toc29954"/>
      <w:r>
        <w:rPr>
          <w:rFonts w:hint="eastAsia" w:ascii="仿宋" w:hAnsi="仿宋" w:eastAsia="仿宋" w:cs="仿宋"/>
          <w:b/>
          <w:bCs/>
        </w:rPr>
        <w:t>2说明</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p w14:paraId="11704B52">
      <w:pPr>
        <w:snapToGrid w:val="0"/>
        <w:spacing w:line="360" w:lineRule="auto"/>
        <w:ind w:firstLine="420" w:firstLineChars="200"/>
        <w:rPr>
          <w:rFonts w:ascii="仿宋" w:hAnsi="仿宋" w:eastAsia="仿宋" w:cs="仿宋"/>
        </w:rPr>
      </w:pPr>
      <w:r>
        <w:rPr>
          <w:rFonts w:hint="eastAsia" w:ascii="仿宋" w:hAnsi="仿宋" w:eastAsia="仿宋" w:cs="仿宋"/>
        </w:rPr>
        <w:t>2.1投标方可以根据自身的技术、经验等优势以及对招标文件和本技术标书的理解，写明对招标方所采购货物（或生产线）的优化方案或建议意见。投标方的这些努力，招标方表示感谢，并将有助于投标方优先胜出。</w:t>
      </w:r>
    </w:p>
    <w:p w14:paraId="4AE99565">
      <w:pPr>
        <w:snapToGrid w:val="0"/>
        <w:spacing w:line="360" w:lineRule="auto"/>
        <w:ind w:firstLine="420" w:firstLineChars="200"/>
        <w:rPr>
          <w:rFonts w:ascii="仿宋" w:hAnsi="仿宋" w:eastAsia="仿宋" w:cs="仿宋"/>
        </w:rPr>
      </w:pPr>
      <w:r>
        <w:rPr>
          <w:rFonts w:hint="eastAsia" w:ascii="仿宋" w:hAnsi="仿宋" w:eastAsia="仿宋" w:cs="仿宋"/>
        </w:rPr>
        <w:t>2.2即使有建议意见或建议方案，仍应依据招标文件和本技术标书要求，编写符合要求的投标文件。建议方案或建议意见，应以单独篇章或文件，予以说明。</w:t>
      </w:r>
    </w:p>
    <w:p w14:paraId="62806AA7">
      <w:pPr>
        <w:snapToGrid w:val="0"/>
        <w:spacing w:line="360" w:lineRule="auto"/>
        <w:ind w:firstLine="420" w:firstLineChars="200"/>
        <w:rPr>
          <w:rFonts w:ascii="仿宋" w:hAnsi="仿宋" w:eastAsia="仿宋" w:cs="仿宋"/>
        </w:rPr>
      </w:pPr>
      <w:r>
        <w:rPr>
          <w:rFonts w:hint="eastAsia" w:ascii="仿宋" w:hAnsi="仿宋" w:eastAsia="仿宋" w:cs="仿宋"/>
        </w:rPr>
        <w:t>2.3请投标方仔细阅读“采购货物概况”章节内说明，针对允许分投分中的货物（或生产线），招标方有权利选择其中优秀设备或服务，作为投标方合同供货范围中的指定选用设备或服务（替代投标方分投而未中标部分）。</w:t>
      </w:r>
    </w:p>
    <w:p w14:paraId="30B3BC2D">
      <w:pPr>
        <w:snapToGrid w:val="0"/>
        <w:spacing w:line="360" w:lineRule="auto"/>
        <w:ind w:firstLine="420" w:firstLineChars="200"/>
        <w:rPr>
          <w:rFonts w:hint="eastAsia" w:ascii="仿宋" w:hAnsi="仿宋" w:eastAsia="仿宋" w:cs="仿宋"/>
        </w:rPr>
      </w:pPr>
      <w:r>
        <w:rPr>
          <w:rFonts w:hint="eastAsia" w:ascii="仿宋" w:hAnsi="仿宋" w:eastAsia="仿宋" w:cs="仿宋"/>
        </w:rPr>
        <w:t>2.4招标文件、投标文件、答疑文件、技术交流文件、技术协议书等，在招标过程全部为有效文件，如有差异，以对招标方或买方最有利的条款为准。</w:t>
      </w:r>
    </w:p>
    <w:p w14:paraId="4E23313C">
      <w:pPr>
        <w:snapToGrid w:val="0"/>
        <w:spacing w:line="360" w:lineRule="auto"/>
        <w:ind w:firstLine="420" w:firstLineChars="200"/>
        <w:rPr>
          <w:rFonts w:hint="eastAsia" w:ascii="仿宋" w:hAnsi="仿宋" w:eastAsia="仿宋" w:cs="仿宋"/>
        </w:rPr>
      </w:pPr>
      <w:r>
        <w:rPr>
          <w:rFonts w:hint="eastAsia" w:ascii="仿宋" w:hAnsi="仿宋" w:eastAsia="仿宋" w:cs="仿宋"/>
        </w:rPr>
        <w:t>2.5本技术标书在“预验收和终验收”章节所列的招标方在合同签署后将成为买方，中标的投标方将成为卖方；为避免歧异，本技术标书在“预验收和终验收”之外的其它章节，均将潜在的卖方称为投标方、将买方称为招标方。</w:t>
      </w:r>
    </w:p>
    <w:p w14:paraId="0D5A1573">
      <w:pPr>
        <w:snapToGrid w:val="0"/>
        <w:spacing w:line="360" w:lineRule="auto"/>
        <w:ind w:firstLine="420" w:firstLineChars="200"/>
        <w:rPr>
          <w:rFonts w:hint="eastAsia" w:ascii="仿宋" w:hAnsi="仿宋" w:eastAsia="仿宋" w:cs="仿宋"/>
        </w:rPr>
      </w:pPr>
      <w:r>
        <w:rPr>
          <w:rFonts w:hint="eastAsia" w:ascii="仿宋" w:hAnsi="仿宋" w:eastAsia="仿宋" w:cs="仿宋"/>
        </w:rPr>
        <w:br w:type="page"/>
      </w:r>
    </w:p>
    <w:p w14:paraId="581D43B0">
      <w:pPr>
        <w:pStyle w:val="16"/>
        <w:rPr>
          <w:rFonts w:hint="eastAsia" w:ascii="仿宋" w:hAnsi="仿宋" w:eastAsia="仿宋" w:cs="仿宋"/>
        </w:rPr>
      </w:pPr>
    </w:p>
    <w:p w14:paraId="5421A4FF">
      <w:pPr>
        <w:spacing w:line="360" w:lineRule="auto"/>
        <w:jc w:val="center"/>
        <w:outlineLvl w:val="0"/>
        <w:rPr>
          <w:rFonts w:ascii="宋体" w:hAnsi="Calibri" w:eastAsia="宋体" w:cs="Times New Roman"/>
          <w:b/>
          <w:sz w:val="36"/>
          <w:szCs w:val="36"/>
        </w:rPr>
      </w:pPr>
      <w:bookmarkStart w:id="1343"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343"/>
    </w:p>
    <w:p w14:paraId="4181ADE7">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02AD25A5">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55306930">
      <w:pPr>
        <w:adjustRightInd w:val="0"/>
        <w:snapToGrid w:val="0"/>
        <w:spacing w:line="360" w:lineRule="auto"/>
        <w:jc w:val="left"/>
        <w:rPr>
          <w:rFonts w:ascii="宋体" w:hAnsi="宋体"/>
          <w:sz w:val="20"/>
          <w:szCs w:val="20"/>
        </w:rPr>
      </w:pPr>
    </w:p>
    <w:p w14:paraId="59632CC6">
      <w:pPr>
        <w:adjustRightInd w:val="0"/>
        <w:snapToGrid w:val="0"/>
        <w:spacing w:line="360" w:lineRule="auto"/>
        <w:jc w:val="left"/>
        <w:rPr>
          <w:rFonts w:ascii="宋体" w:hAnsi="宋体"/>
          <w:sz w:val="20"/>
          <w:szCs w:val="20"/>
        </w:rPr>
      </w:pPr>
    </w:p>
    <w:p w14:paraId="69F4EABA">
      <w:pPr>
        <w:adjustRightInd w:val="0"/>
        <w:snapToGrid w:val="0"/>
        <w:spacing w:line="360" w:lineRule="auto"/>
        <w:jc w:val="left"/>
        <w:rPr>
          <w:rFonts w:ascii="宋体" w:hAnsi="宋体"/>
          <w:sz w:val="20"/>
          <w:szCs w:val="20"/>
        </w:rPr>
      </w:pPr>
    </w:p>
    <w:p w14:paraId="66EB233D">
      <w:pPr>
        <w:adjustRightInd w:val="0"/>
        <w:snapToGrid w:val="0"/>
        <w:spacing w:line="360" w:lineRule="auto"/>
        <w:jc w:val="left"/>
        <w:rPr>
          <w:rFonts w:ascii="宋体" w:hAnsi="宋体"/>
          <w:sz w:val="20"/>
          <w:szCs w:val="20"/>
        </w:rPr>
      </w:pPr>
    </w:p>
    <w:p w14:paraId="6CE28463">
      <w:pPr>
        <w:adjustRightInd w:val="0"/>
        <w:snapToGrid w:val="0"/>
        <w:spacing w:line="360" w:lineRule="auto"/>
        <w:jc w:val="center"/>
        <w:rPr>
          <w:rFonts w:ascii="方正小标宋简体" w:hAnsi="宋体" w:eastAsia="方正小标宋简体"/>
          <w:bCs/>
          <w:sz w:val="52"/>
          <w:szCs w:val="36"/>
        </w:rPr>
      </w:pPr>
    </w:p>
    <w:p w14:paraId="0F70D3C9">
      <w:pPr>
        <w:adjustRightInd w:val="0"/>
        <w:snapToGrid w:val="0"/>
        <w:spacing w:line="360" w:lineRule="auto"/>
        <w:jc w:val="center"/>
        <w:rPr>
          <w:rFonts w:ascii="方正小标宋简体" w:hAnsi="宋体" w:eastAsia="方正小标宋简体"/>
          <w:bCs/>
          <w:sz w:val="52"/>
          <w:szCs w:val="36"/>
        </w:rPr>
      </w:pPr>
    </w:p>
    <w:p w14:paraId="76BCDA27">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1CE963D8">
      <w:pPr>
        <w:pStyle w:val="16"/>
        <w:jc w:val="center"/>
      </w:pPr>
      <w:r>
        <w:rPr>
          <w:rFonts w:hint="eastAsia" w:hAnsi="宋体" w:eastAsia="宋体" w:cs="宋体"/>
          <w:b/>
          <w:sz w:val="24"/>
          <w:szCs w:val="24"/>
        </w:rPr>
        <w:t>（合同以双方最终签署的版本为准）</w:t>
      </w:r>
    </w:p>
    <w:p w14:paraId="149806D0">
      <w:pPr>
        <w:adjustRightInd w:val="0"/>
        <w:snapToGrid w:val="0"/>
        <w:spacing w:line="360" w:lineRule="auto"/>
        <w:jc w:val="left"/>
        <w:rPr>
          <w:rFonts w:ascii="宋体" w:hAnsi="宋体"/>
          <w:b/>
          <w:sz w:val="36"/>
          <w:szCs w:val="36"/>
        </w:rPr>
      </w:pPr>
    </w:p>
    <w:p w14:paraId="7643BCCE">
      <w:pPr>
        <w:adjustRightInd w:val="0"/>
        <w:snapToGrid w:val="0"/>
        <w:spacing w:line="360" w:lineRule="auto"/>
        <w:jc w:val="left"/>
        <w:rPr>
          <w:rFonts w:ascii="宋体" w:hAnsi="宋体"/>
          <w:b/>
          <w:sz w:val="36"/>
          <w:szCs w:val="36"/>
        </w:rPr>
      </w:pPr>
    </w:p>
    <w:p w14:paraId="01D214BC">
      <w:pPr>
        <w:adjustRightInd w:val="0"/>
        <w:snapToGrid w:val="0"/>
        <w:spacing w:line="360" w:lineRule="auto"/>
        <w:jc w:val="left"/>
        <w:rPr>
          <w:rFonts w:ascii="宋体" w:hAnsi="宋体"/>
          <w:b/>
          <w:sz w:val="36"/>
          <w:szCs w:val="36"/>
        </w:rPr>
      </w:pPr>
    </w:p>
    <w:p w14:paraId="20E4D15B">
      <w:pPr>
        <w:adjustRightInd w:val="0"/>
        <w:snapToGrid w:val="0"/>
        <w:spacing w:line="360" w:lineRule="auto"/>
        <w:jc w:val="left"/>
        <w:rPr>
          <w:rFonts w:ascii="宋体" w:hAnsi="宋体"/>
          <w:b/>
          <w:sz w:val="36"/>
          <w:szCs w:val="36"/>
        </w:rPr>
      </w:pPr>
    </w:p>
    <w:p w14:paraId="2AA2B6A7">
      <w:pPr>
        <w:adjustRightInd w:val="0"/>
        <w:snapToGrid w:val="0"/>
        <w:spacing w:line="360" w:lineRule="auto"/>
        <w:jc w:val="left"/>
        <w:rPr>
          <w:rFonts w:ascii="宋体" w:hAnsi="宋体"/>
          <w:b/>
          <w:sz w:val="36"/>
          <w:szCs w:val="36"/>
        </w:rPr>
      </w:pPr>
    </w:p>
    <w:p w14:paraId="4DC7B0C2">
      <w:pPr>
        <w:adjustRightInd w:val="0"/>
        <w:snapToGrid w:val="0"/>
        <w:spacing w:line="360" w:lineRule="auto"/>
        <w:jc w:val="left"/>
        <w:rPr>
          <w:rFonts w:ascii="宋体" w:hAnsi="宋体"/>
          <w:b/>
          <w:sz w:val="36"/>
          <w:szCs w:val="36"/>
        </w:rPr>
      </w:pPr>
    </w:p>
    <w:p w14:paraId="7E15E5FB">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3C224745">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749F8449">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3F20AD45">
      <w:pPr>
        <w:spacing w:line="360" w:lineRule="auto"/>
        <w:ind w:right="480"/>
        <w:rPr>
          <w:rFonts w:ascii="宋体" w:hAnsi="宋体" w:cs="宋体"/>
          <w:bCs/>
          <w:sz w:val="24"/>
          <w:u w:val="single"/>
        </w:rPr>
      </w:pPr>
      <w:r>
        <w:rPr>
          <w:rFonts w:hint="eastAsia" w:ascii="宋体" w:hAnsi="宋体" w:cs="宋体"/>
          <w:bCs/>
          <w:sz w:val="24"/>
        </w:rPr>
        <w:t xml:space="preserve">                                       </w:t>
      </w:r>
    </w:p>
    <w:p w14:paraId="045275BB">
      <w:pPr>
        <w:spacing w:line="360" w:lineRule="auto"/>
        <w:rPr>
          <w:rFonts w:ascii="宋体" w:hAnsi="宋体" w:cs="宋体"/>
          <w:bCs/>
          <w:sz w:val="22"/>
        </w:rPr>
        <w:sectPr>
          <w:headerReference r:id="rId14" w:type="default"/>
          <w:footerReference r:id="rId15"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14:paraId="3F3A5730">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1344" w:name="_Toc29691"/>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3A5F9C50">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7F022E72">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49B2F833">
      <w:pPr>
        <w:spacing w:line="360" w:lineRule="auto"/>
        <w:ind w:right="-189" w:rightChars="-90"/>
        <w:jc w:val="left"/>
        <w:rPr>
          <w:rFonts w:ascii="仿宋_GB2312" w:hAnsi="宋体" w:eastAsia="仿宋_GB2312" w:cs="宋体"/>
          <w:b/>
          <w:bCs/>
          <w:sz w:val="24"/>
          <w:szCs w:val="24"/>
          <w:u w:val="single"/>
        </w:rPr>
      </w:pPr>
    </w:p>
    <w:p w14:paraId="2EA78728">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06AFD20C">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28BCFF4D">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45" w:name="_Toc11823"/>
      <w:bookmarkStart w:id="1346" w:name="_Toc16330018"/>
      <w:bookmarkStart w:id="1347" w:name="_Toc17619"/>
      <w:bookmarkStart w:id="1348" w:name="_Toc11930"/>
      <w:r>
        <w:rPr>
          <w:rFonts w:hint="eastAsia" w:ascii="黑体" w:hAnsi="黑体" w:eastAsia="黑体" w:cstheme="minorEastAsia"/>
          <w:b w:val="0"/>
          <w:sz w:val="28"/>
          <w:szCs w:val="28"/>
        </w:rPr>
        <w:t>1 合同设备</w:t>
      </w:r>
      <w:bookmarkEnd w:id="1345"/>
      <w:bookmarkEnd w:id="1346"/>
      <w:bookmarkEnd w:id="1347"/>
      <w:bookmarkEnd w:id="1348"/>
    </w:p>
    <w:p w14:paraId="56E250A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B863591">
      <w:pPr>
        <w:spacing w:line="360" w:lineRule="auto"/>
        <w:ind w:firstLine="453" w:firstLineChars="189"/>
        <w:rPr>
          <w:rFonts w:ascii="仿宋_GB2312" w:eastAsia="仿宋_GB2312" w:hAnsiTheme="minorEastAsia" w:cstheme="minorEastAsia"/>
          <w:sz w:val="24"/>
          <w:szCs w:val="24"/>
        </w:rPr>
      </w:pPr>
      <w:bookmarkStart w:id="1349" w:name="_Toc32510"/>
      <w:bookmarkStart w:id="1350" w:name="_Toc22800"/>
      <w:bookmarkStart w:id="1351" w:name="_Toc29026"/>
      <w:r>
        <w:rPr>
          <w:rFonts w:hint="eastAsia" w:ascii="仿宋_GB2312" w:eastAsia="仿宋_GB2312" w:hAnsiTheme="minorEastAsia" w:cstheme="minorEastAsia"/>
          <w:sz w:val="24"/>
          <w:szCs w:val="24"/>
        </w:rPr>
        <w:t>1.2技术规格和标准</w:t>
      </w:r>
    </w:p>
    <w:p w14:paraId="5D3433F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0B90B50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571C6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5B2B3E04">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52" w:name="_Toc16330019"/>
      <w:r>
        <w:rPr>
          <w:rFonts w:hint="eastAsia" w:ascii="黑体" w:hAnsi="黑体" w:eastAsia="黑体" w:cstheme="minorEastAsia"/>
          <w:b w:val="0"/>
          <w:sz w:val="28"/>
          <w:szCs w:val="28"/>
        </w:rPr>
        <w:t>2 包装</w:t>
      </w:r>
      <w:bookmarkEnd w:id="1349"/>
      <w:bookmarkEnd w:id="1350"/>
      <w:bookmarkEnd w:id="1351"/>
      <w:bookmarkEnd w:id="1352"/>
    </w:p>
    <w:p w14:paraId="30C08E0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10BD56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19FAEB35">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53" w:name="_Toc27453"/>
      <w:bookmarkStart w:id="1354" w:name="_Toc16330020"/>
      <w:bookmarkStart w:id="1355" w:name="_Toc2833"/>
      <w:bookmarkStart w:id="1356" w:name="_Toc27144"/>
      <w:r>
        <w:rPr>
          <w:rFonts w:hint="eastAsia" w:ascii="黑体" w:hAnsi="黑体" w:eastAsia="黑体" w:cstheme="minorEastAsia"/>
          <w:b w:val="0"/>
          <w:sz w:val="28"/>
          <w:szCs w:val="28"/>
        </w:rPr>
        <w:t>3 运输标记</w:t>
      </w:r>
      <w:bookmarkEnd w:id="1353"/>
      <w:bookmarkEnd w:id="1354"/>
      <w:bookmarkEnd w:id="1355"/>
      <w:bookmarkEnd w:id="1356"/>
    </w:p>
    <w:p w14:paraId="2E585F4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5C9E822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1682645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3646739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152A313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6545A05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13A32D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00A93E1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B48712B">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57" w:name="_Toc16330021"/>
      <w:bookmarkStart w:id="1358" w:name="_Toc10630"/>
      <w:bookmarkStart w:id="1359" w:name="_Toc16133"/>
      <w:bookmarkStart w:id="1360" w:name="_Toc7431"/>
      <w:r>
        <w:rPr>
          <w:rFonts w:hint="eastAsia" w:ascii="黑体" w:hAnsi="黑体" w:eastAsia="黑体" w:cstheme="minorEastAsia"/>
          <w:b w:val="0"/>
          <w:sz w:val="28"/>
          <w:szCs w:val="28"/>
        </w:rPr>
        <w:t>4 检验</w:t>
      </w:r>
      <w:bookmarkEnd w:id="1357"/>
      <w:bookmarkEnd w:id="1358"/>
      <w:bookmarkEnd w:id="1359"/>
      <w:bookmarkEnd w:id="1360"/>
    </w:p>
    <w:p w14:paraId="534DF75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0D0C340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1AE8387B">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61" w:name="_Toc16330022"/>
      <w:bookmarkStart w:id="1362" w:name="_Toc24467"/>
      <w:bookmarkStart w:id="1363" w:name="_Toc19850"/>
      <w:bookmarkStart w:id="1364" w:name="_Toc11217"/>
      <w:r>
        <w:rPr>
          <w:rFonts w:hint="eastAsia" w:ascii="黑体" w:hAnsi="黑体" w:eastAsia="黑体" w:cstheme="minorEastAsia"/>
          <w:b w:val="0"/>
          <w:sz w:val="28"/>
          <w:szCs w:val="28"/>
        </w:rPr>
        <w:t>5 权利担保</w:t>
      </w:r>
      <w:bookmarkEnd w:id="1361"/>
      <w:bookmarkEnd w:id="1362"/>
      <w:bookmarkEnd w:id="1363"/>
      <w:bookmarkEnd w:id="1364"/>
    </w:p>
    <w:p w14:paraId="25CC814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56B0CC5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6AF9DEB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17CD74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2EC52BC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DB79A57">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65" w:name="_Toc27500"/>
      <w:bookmarkStart w:id="1366" w:name="_Toc16330023"/>
      <w:bookmarkStart w:id="1367" w:name="_Toc14809"/>
      <w:bookmarkStart w:id="1368" w:name="_Toc11759"/>
      <w:r>
        <w:rPr>
          <w:rFonts w:hint="eastAsia" w:ascii="黑体" w:hAnsi="黑体" w:eastAsia="黑体" w:cstheme="minorEastAsia"/>
          <w:b w:val="0"/>
          <w:sz w:val="28"/>
          <w:szCs w:val="28"/>
        </w:rPr>
        <w:t>6 交货</w:t>
      </w:r>
      <w:bookmarkEnd w:id="1365"/>
      <w:bookmarkEnd w:id="1366"/>
      <w:bookmarkEnd w:id="1367"/>
      <w:bookmarkEnd w:id="1368"/>
    </w:p>
    <w:p w14:paraId="25BEA11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1737386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7BB8B99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3611C1A7">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707E346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75AE41B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18CDDE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43B43C9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02418CF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5E5FF50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325027A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6F4D8B1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388E0262">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E67409B">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69" w:name="_Toc16330024"/>
      <w:bookmarkStart w:id="1370" w:name="_Toc2984"/>
      <w:bookmarkStart w:id="1371" w:name="_Toc25510"/>
      <w:bookmarkStart w:id="1372" w:name="_Toc8024"/>
      <w:r>
        <w:rPr>
          <w:rFonts w:hint="eastAsia" w:ascii="黑体" w:hAnsi="黑体" w:eastAsia="黑体" w:cstheme="minorEastAsia"/>
          <w:b w:val="0"/>
          <w:sz w:val="28"/>
          <w:szCs w:val="28"/>
        </w:rPr>
        <w:t>7 安装、调试</w:t>
      </w:r>
      <w:bookmarkEnd w:id="1369"/>
      <w:bookmarkEnd w:id="1370"/>
      <w:bookmarkEnd w:id="1371"/>
      <w:bookmarkEnd w:id="1372"/>
    </w:p>
    <w:p w14:paraId="4A823320">
      <w:pPr>
        <w:pStyle w:val="12"/>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5DF2CF4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3D59288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053932C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4D33907A">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1788C261">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73" w:name="_Toc6350"/>
      <w:bookmarkStart w:id="1374" w:name="_Toc14260"/>
      <w:bookmarkStart w:id="1375" w:name="_Toc14098"/>
      <w:bookmarkStart w:id="1376" w:name="_Toc16330025"/>
      <w:r>
        <w:rPr>
          <w:rFonts w:hint="eastAsia" w:ascii="黑体" w:hAnsi="黑体" w:eastAsia="黑体" w:cstheme="minorEastAsia"/>
          <w:b w:val="0"/>
          <w:sz w:val="28"/>
          <w:szCs w:val="28"/>
        </w:rPr>
        <w:t>8 价款与支付</w:t>
      </w:r>
      <w:bookmarkEnd w:id="1373"/>
      <w:bookmarkEnd w:id="1374"/>
      <w:bookmarkEnd w:id="1375"/>
      <w:bookmarkEnd w:id="1376"/>
    </w:p>
    <w:p w14:paraId="3AB3AF9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1484F41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1B29B90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7B63424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1C231E57">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529D2BAB">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57594463">
      <w:pPr>
        <w:spacing w:line="360" w:lineRule="auto"/>
        <w:ind w:firstLine="453" w:firstLineChars="189"/>
        <w:rPr>
          <w:rFonts w:ascii="仿宋_GB2312" w:hAnsi="黑体" w:eastAsia="仿宋_GB2312" w:cstheme="minorEastAsia"/>
          <w:i/>
          <w:sz w:val="24"/>
          <w:szCs w:val="24"/>
        </w:rPr>
      </w:pPr>
      <w:bookmarkStart w:id="1377" w:name="_Toc14531628"/>
      <w:bookmarkStart w:id="1378"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1377"/>
      <w:bookmarkEnd w:id="1378"/>
    </w:p>
    <w:p w14:paraId="4EA3970D">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79" w:name="_Toc24085"/>
      <w:bookmarkStart w:id="1380" w:name="_Toc6726"/>
      <w:bookmarkStart w:id="1381" w:name="_Toc16330026"/>
      <w:bookmarkStart w:id="1382" w:name="_Toc25708"/>
      <w:r>
        <w:rPr>
          <w:rFonts w:hint="eastAsia" w:ascii="黑体" w:hAnsi="黑体" w:eastAsia="黑体" w:cstheme="minorEastAsia"/>
          <w:b w:val="0"/>
          <w:sz w:val="28"/>
          <w:szCs w:val="28"/>
        </w:rPr>
        <w:t>9 质量保证及售后服务</w:t>
      </w:r>
      <w:bookmarkEnd w:id="1379"/>
      <w:bookmarkEnd w:id="1380"/>
      <w:bookmarkEnd w:id="1381"/>
      <w:bookmarkEnd w:id="1382"/>
    </w:p>
    <w:p w14:paraId="049A55A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9F0ECA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1B01CE6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381A17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66C8D40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2F3C9AA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1498F09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49D909F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07F81DA6">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83" w:name="_Toc10359"/>
      <w:bookmarkStart w:id="1384" w:name="_Toc12927"/>
      <w:bookmarkStart w:id="1385" w:name="_Toc16330027"/>
      <w:bookmarkStart w:id="1386" w:name="_Toc15570"/>
      <w:r>
        <w:rPr>
          <w:rFonts w:hint="eastAsia" w:ascii="黑体" w:hAnsi="黑体" w:eastAsia="黑体" w:cstheme="minorEastAsia"/>
          <w:b w:val="0"/>
          <w:sz w:val="28"/>
          <w:szCs w:val="28"/>
        </w:rPr>
        <w:t>10法定责任</w:t>
      </w:r>
      <w:bookmarkEnd w:id="1383"/>
      <w:bookmarkEnd w:id="1384"/>
      <w:bookmarkEnd w:id="1385"/>
      <w:bookmarkEnd w:id="1386"/>
    </w:p>
    <w:p w14:paraId="709B7E3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4D96428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5ED8165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8A81CFF">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495F89AB">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87" w:name="_Toc16330028"/>
      <w:bookmarkStart w:id="1388" w:name="_Toc27314"/>
      <w:bookmarkStart w:id="1389" w:name="_Toc30381"/>
      <w:bookmarkStart w:id="1390" w:name="_Toc9708"/>
      <w:r>
        <w:rPr>
          <w:rFonts w:hint="eastAsia" w:ascii="黑体" w:hAnsi="黑体" w:eastAsia="黑体" w:cstheme="minorEastAsia"/>
          <w:b w:val="0"/>
          <w:sz w:val="28"/>
          <w:szCs w:val="28"/>
        </w:rPr>
        <w:t>11 违约责任</w:t>
      </w:r>
      <w:bookmarkEnd w:id="1387"/>
      <w:bookmarkEnd w:id="1388"/>
      <w:bookmarkEnd w:id="1389"/>
      <w:bookmarkEnd w:id="1390"/>
    </w:p>
    <w:p w14:paraId="6762815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11C39B9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1806938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503E71A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5E21BE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12B6127">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5EC5853E">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7BD8D1EF">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3945557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6C85F8E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179913E1">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783330DD">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91" w:name="_Toc31554"/>
      <w:bookmarkStart w:id="1392" w:name="_Toc16330029"/>
      <w:bookmarkStart w:id="1393" w:name="_Toc1827"/>
      <w:bookmarkStart w:id="1394" w:name="_Toc9172"/>
      <w:r>
        <w:rPr>
          <w:rFonts w:hint="eastAsia" w:ascii="黑体" w:hAnsi="黑体" w:eastAsia="黑体" w:cstheme="minorEastAsia"/>
          <w:b w:val="0"/>
          <w:sz w:val="28"/>
          <w:szCs w:val="28"/>
        </w:rPr>
        <w:t>12 合同的终止与解除</w:t>
      </w:r>
      <w:bookmarkEnd w:id="1391"/>
      <w:bookmarkEnd w:id="1392"/>
      <w:bookmarkEnd w:id="1393"/>
      <w:bookmarkEnd w:id="1394"/>
    </w:p>
    <w:p w14:paraId="1514757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296EFDC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1C8CD6B9">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14:paraId="5D128CA4">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14:paraId="6B994E2A">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14:paraId="0985E74D">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14:paraId="48915D68">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56B3EE9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59A8EC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4C8E933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16250ECF">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52198300">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95" w:name="_Toc13671"/>
      <w:bookmarkStart w:id="1396" w:name="_Toc31945"/>
      <w:bookmarkStart w:id="1397" w:name="_Toc16330030"/>
      <w:bookmarkStart w:id="1398" w:name="_Toc8620"/>
      <w:r>
        <w:rPr>
          <w:rFonts w:hint="eastAsia" w:ascii="黑体" w:hAnsi="黑体" w:eastAsia="黑体" w:cstheme="minorEastAsia"/>
          <w:b w:val="0"/>
          <w:sz w:val="28"/>
          <w:szCs w:val="28"/>
        </w:rPr>
        <w:t>13 不可抗力</w:t>
      </w:r>
      <w:bookmarkEnd w:id="1395"/>
      <w:bookmarkEnd w:id="1396"/>
      <w:bookmarkEnd w:id="1397"/>
      <w:bookmarkEnd w:id="1398"/>
    </w:p>
    <w:p w14:paraId="7A2FA55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6E03A3C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22D852F8">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99" w:name="_Toc637"/>
      <w:bookmarkStart w:id="1400" w:name="_Toc16330031"/>
      <w:bookmarkStart w:id="1401" w:name="_Toc30389"/>
      <w:bookmarkStart w:id="1402" w:name="_Toc31243"/>
      <w:r>
        <w:rPr>
          <w:rFonts w:hint="eastAsia" w:ascii="黑体" w:hAnsi="黑体" w:eastAsia="黑体" w:cstheme="minorEastAsia"/>
          <w:b w:val="0"/>
          <w:sz w:val="28"/>
          <w:szCs w:val="28"/>
        </w:rPr>
        <w:t>14 通讯</w:t>
      </w:r>
      <w:bookmarkEnd w:id="1399"/>
      <w:bookmarkEnd w:id="1400"/>
      <w:bookmarkEnd w:id="1401"/>
      <w:bookmarkEnd w:id="1402"/>
    </w:p>
    <w:p w14:paraId="535C30C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083A856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3913AF7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1A16255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21ED909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26AF5B4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3649404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532EBA2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5B94ED78">
      <w:pPr>
        <w:pStyle w:val="5"/>
        <w:tabs>
          <w:tab w:val="right" w:leader="dot" w:pos="9061"/>
        </w:tabs>
        <w:spacing w:before="312" w:beforeLines="100"/>
        <w:rPr>
          <w:rFonts w:ascii="黑体" w:hAnsi="黑体" w:eastAsia="黑体" w:cstheme="minorEastAsia"/>
          <w:b w:val="0"/>
          <w:sz w:val="28"/>
          <w:szCs w:val="28"/>
        </w:rPr>
      </w:pPr>
      <w:bookmarkStart w:id="1403" w:name="_Toc11290"/>
      <w:bookmarkStart w:id="1404" w:name="_Toc12984"/>
      <w:bookmarkStart w:id="1405" w:name="_Toc16330032"/>
      <w:bookmarkStart w:id="1406" w:name="_Toc9915"/>
      <w:r>
        <w:rPr>
          <w:rFonts w:hint="eastAsia" w:ascii="黑体" w:hAnsi="黑体" w:eastAsia="黑体" w:cstheme="minorEastAsia"/>
          <w:b w:val="0"/>
          <w:sz w:val="28"/>
          <w:szCs w:val="28"/>
        </w:rPr>
        <w:t>15 适用法律及争议解决</w:t>
      </w:r>
      <w:bookmarkEnd w:id="1403"/>
      <w:bookmarkEnd w:id="1404"/>
      <w:bookmarkEnd w:id="1405"/>
      <w:bookmarkEnd w:id="1406"/>
    </w:p>
    <w:p w14:paraId="3E595DA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53A9531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35ECCAA1">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407" w:name="_Toc18207"/>
      <w:bookmarkStart w:id="1408" w:name="_Toc23906"/>
      <w:bookmarkStart w:id="1409" w:name="_Toc23765"/>
      <w:bookmarkStart w:id="1410" w:name="_Toc16330033"/>
      <w:r>
        <w:rPr>
          <w:rFonts w:hint="eastAsia" w:ascii="黑体" w:hAnsi="黑体" w:eastAsia="黑体" w:cstheme="minorEastAsia"/>
          <w:b w:val="0"/>
          <w:sz w:val="28"/>
          <w:szCs w:val="28"/>
        </w:rPr>
        <w:t>16 附件</w:t>
      </w:r>
      <w:bookmarkEnd w:id="1407"/>
      <w:bookmarkEnd w:id="1408"/>
      <w:bookmarkEnd w:id="1409"/>
      <w:bookmarkEnd w:id="1410"/>
    </w:p>
    <w:p w14:paraId="44D0121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297ACC4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390902F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E93217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7E3C10B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46DFC65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30A41E9D">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411" w:name="_Toc16330034"/>
      <w:bookmarkStart w:id="1412" w:name="_Toc27202"/>
      <w:bookmarkStart w:id="1413" w:name="_Toc31331"/>
      <w:bookmarkStart w:id="1414" w:name="_Toc17656"/>
      <w:r>
        <w:rPr>
          <w:rFonts w:hint="eastAsia" w:ascii="黑体" w:hAnsi="黑体" w:eastAsia="黑体" w:cstheme="minorEastAsia"/>
          <w:b w:val="0"/>
          <w:sz w:val="28"/>
          <w:szCs w:val="28"/>
        </w:rPr>
        <w:t>17 其他规定</w:t>
      </w:r>
      <w:bookmarkEnd w:id="1411"/>
      <w:bookmarkEnd w:id="1412"/>
      <w:bookmarkEnd w:id="1413"/>
      <w:bookmarkEnd w:id="1414"/>
    </w:p>
    <w:p w14:paraId="604996A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3629045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5A8BBB8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36086CF1">
      <w:pPr>
        <w:spacing w:line="360" w:lineRule="auto"/>
        <w:ind w:firstLine="453" w:firstLineChars="189"/>
        <w:rPr>
          <w:rFonts w:ascii="仿宋_GB2312" w:eastAsia="仿宋_GB2312" w:hAnsiTheme="minorEastAsia" w:cstheme="minorEastAsia"/>
          <w:sz w:val="24"/>
          <w:szCs w:val="24"/>
        </w:rPr>
      </w:pPr>
      <w:bookmarkStart w:id="1415" w:name="_Toc19077"/>
      <w:bookmarkStart w:id="1416" w:name="_Toc16330035"/>
      <w:bookmarkStart w:id="1417" w:name="_Toc29136"/>
      <w:bookmarkStart w:id="1418" w:name="_Toc17952"/>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58EEEFA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7F3AF4CD">
      <w:pPr>
        <w:pStyle w:val="5"/>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415"/>
      <w:bookmarkEnd w:id="1416"/>
      <w:bookmarkEnd w:id="1417"/>
      <w:bookmarkEnd w:id="1418"/>
    </w:p>
    <w:p w14:paraId="682FC3E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00625562">
      <w:pPr>
        <w:spacing w:line="360" w:lineRule="auto"/>
        <w:ind w:firstLine="455" w:firstLineChars="189"/>
        <w:rPr>
          <w:rFonts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4E113588">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0CC6C0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0364E65A">
      <w:pPr>
        <w:spacing w:line="360" w:lineRule="auto"/>
        <w:ind w:firstLine="420" w:firstLineChars="200"/>
        <w:rPr>
          <w:rFonts w:asciiTheme="minorEastAsia" w:hAnsiTheme="minorEastAsia" w:cstheme="minorEastAsia"/>
          <w:sz w:val="20"/>
          <w:szCs w:val="20"/>
        </w:rPr>
      </w:pPr>
      <w:r>
        <w:rPr>
          <w:rFonts w:hint="eastAsia"/>
        </w:rPr>
        <w:t xml:space="preserve">    </w:t>
      </w:r>
    </w:p>
    <w:p w14:paraId="1F19CB3C">
      <w:pPr>
        <w:spacing w:line="360" w:lineRule="auto"/>
        <w:rPr>
          <w:rFonts w:ascii="宋体" w:hAnsi="宋体"/>
          <w:snapToGrid w:val="0"/>
          <w:kern w:val="0"/>
          <w:sz w:val="20"/>
          <w:szCs w:val="20"/>
          <w:lang w:eastAsia="zh-Hans"/>
        </w:rPr>
      </w:pPr>
    </w:p>
    <w:p w14:paraId="76494A8B">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1A265C26">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3A97B53E">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489D26F7">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1FFFD63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01C2F0D8">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17A9C52C">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2DADA563">
      <w:pPr>
        <w:spacing w:line="360" w:lineRule="auto"/>
        <w:rPr>
          <w:rFonts w:ascii="仿宋_GB2312" w:eastAsia="仿宋_GB2312"/>
          <w:sz w:val="24"/>
          <w:szCs w:val="24"/>
        </w:rPr>
      </w:pPr>
    </w:p>
    <w:p w14:paraId="051F343F">
      <w:pPr>
        <w:pStyle w:val="5"/>
        <w:tabs>
          <w:tab w:val="right" w:leader="dot" w:pos="9061"/>
        </w:tabs>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20195C72"/>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59C3A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2180E6C6">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09862469">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5114E2DE">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949C3BD">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60FC3C2C">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51C4722">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534BCB89">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6DD10C41">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0329B413">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01D17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8B51526">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1774E54A">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5699166F">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541E62F2">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356731B7">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C7B3FF1">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56E72FF">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1597605">
            <w:pPr>
              <w:pStyle w:val="25"/>
              <w:spacing w:line="360" w:lineRule="auto"/>
              <w:ind w:left="480" w:hanging="480"/>
              <w:jc w:val="center"/>
              <w:rPr>
                <w:rFonts w:ascii="仿宋_GB2312" w:eastAsia="仿宋_GB2312" w:hAnsiTheme="minorEastAsia" w:cstheme="minorEastAsia"/>
                <w:sz w:val="24"/>
                <w:szCs w:val="24"/>
              </w:rPr>
            </w:pPr>
          </w:p>
        </w:tc>
      </w:tr>
      <w:tr w14:paraId="3E790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17E7511">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7DA64E03">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1E97F247">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8BC0C78">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23F4924">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F076B6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CEAC9B6">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034E163">
            <w:pPr>
              <w:pStyle w:val="25"/>
              <w:spacing w:line="360" w:lineRule="auto"/>
              <w:ind w:left="480" w:hanging="480"/>
              <w:jc w:val="center"/>
              <w:rPr>
                <w:rFonts w:ascii="仿宋_GB2312" w:eastAsia="仿宋_GB2312" w:hAnsiTheme="minorEastAsia" w:cstheme="minorEastAsia"/>
                <w:sz w:val="24"/>
                <w:szCs w:val="24"/>
              </w:rPr>
            </w:pPr>
          </w:p>
        </w:tc>
      </w:tr>
      <w:tr w14:paraId="2A1E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9A4D049">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0E21C4E7">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1287926B">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6EA1D8B7">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3D098164">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4EE8240">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1F12B26">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545EFE4">
            <w:pPr>
              <w:pStyle w:val="25"/>
              <w:spacing w:line="360" w:lineRule="auto"/>
              <w:ind w:left="480" w:hanging="480"/>
              <w:jc w:val="center"/>
              <w:rPr>
                <w:rFonts w:ascii="仿宋_GB2312" w:eastAsia="仿宋_GB2312" w:hAnsiTheme="minorEastAsia" w:cstheme="minorEastAsia"/>
                <w:sz w:val="24"/>
                <w:szCs w:val="24"/>
              </w:rPr>
            </w:pPr>
          </w:p>
        </w:tc>
      </w:tr>
      <w:tr w14:paraId="5F5B8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CB61676">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6CA93B18">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0C42BE02">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0A115E23">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4CEEF82">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1EE24B5">
            <w:pPr>
              <w:spacing w:line="360" w:lineRule="auto"/>
              <w:jc w:val="center"/>
              <w:rPr>
                <w:rFonts w:ascii="仿宋_GB2312" w:eastAsia="仿宋_GB2312" w:hAnsiTheme="minorEastAsia" w:cstheme="minorEastAsia"/>
                <w:sz w:val="24"/>
                <w:szCs w:val="24"/>
              </w:rPr>
            </w:pPr>
          </w:p>
        </w:tc>
        <w:tc>
          <w:tcPr>
            <w:tcW w:w="708" w:type="dxa"/>
            <w:vAlign w:val="center"/>
          </w:tcPr>
          <w:p w14:paraId="43DF2A32">
            <w:pPr>
              <w:spacing w:line="360" w:lineRule="auto"/>
              <w:jc w:val="center"/>
              <w:rPr>
                <w:rFonts w:ascii="仿宋_GB2312" w:eastAsia="仿宋_GB2312" w:hAnsiTheme="minorEastAsia" w:cstheme="minorEastAsia"/>
                <w:sz w:val="24"/>
                <w:szCs w:val="24"/>
              </w:rPr>
            </w:pPr>
          </w:p>
        </w:tc>
        <w:tc>
          <w:tcPr>
            <w:tcW w:w="708" w:type="dxa"/>
            <w:vAlign w:val="center"/>
          </w:tcPr>
          <w:p w14:paraId="2AEC7A61">
            <w:pPr>
              <w:spacing w:line="360" w:lineRule="auto"/>
              <w:jc w:val="center"/>
              <w:rPr>
                <w:rFonts w:ascii="仿宋_GB2312" w:eastAsia="仿宋_GB2312" w:hAnsiTheme="minorEastAsia" w:cstheme="minorEastAsia"/>
                <w:sz w:val="24"/>
                <w:szCs w:val="24"/>
              </w:rPr>
            </w:pPr>
          </w:p>
        </w:tc>
      </w:tr>
    </w:tbl>
    <w:p w14:paraId="0B3B9984">
      <w:pPr>
        <w:rPr>
          <w:rFonts w:asciiTheme="minorEastAsia" w:hAnsiTheme="minorEastAsia" w:cstheme="minorEastAsia"/>
          <w:sz w:val="20"/>
          <w:szCs w:val="20"/>
        </w:rPr>
      </w:pPr>
      <w:bookmarkStart w:id="1419" w:name="_Toc25120"/>
      <w:bookmarkStart w:id="1420" w:name="_Toc5379"/>
      <w:bookmarkStart w:id="1421" w:name="_Toc3778"/>
      <w:bookmarkStart w:id="1422" w:name="_Toc24623"/>
      <w:bookmarkStart w:id="1423" w:name="_Toc16330037"/>
      <w:r>
        <w:rPr>
          <w:rFonts w:hint="eastAsia" w:asciiTheme="minorEastAsia" w:hAnsiTheme="minorEastAsia" w:cstheme="minorEastAsia"/>
          <w:sz w:val="20"/>
          <w:szCs w:val="20"/>
        </w:rPr>
        <w:br w:type="page"/>
      </w:r>
    </w:p>
    <w:p w14:paraId="426AAA16">
      <w:pPr>
        <w:pStyle w:val="5"/>
        <w:tabs>
          <w:tab w:val="right" w:leader="dot" w:pos="9061"/>
        </w:tabs>
        <w:rPr>
          <w:rFonts w:ascii="黑体" w:hAnsi="黑体" w:eastAsia="黑体" w:cstheme="minorEastAsia"/>
          <w:b w:val="0"/>
          <w:i/>
          <w:sz w:val="28"/>
          <w:szCs w:val="28"/>
        </w:rPr>
      </w:pPr>
      <w:r>
        <w:rPr>
          <w:rFonts w:hint="eastAsia" w:ascii="黑体" w:hAnsi="黑体" w:eastAsia="黑体" w:cstheme="minorEastAsia"/>
          <w:b w:val="0"/>
          <w:sz w:val="28"/>
          <w:szCs w:val="28"/>
        </w:rPr>
        <w:t xml:space="preserve">附件二 </w:t>
      </w:r>
      <w:bookmarkEnd w:id="1419"/>
      <w:bookmarkEnd w:id="1420"/>
      <w:bookmarkEnd w:id="1421"/>
      <w:bookmarkEnd w:id="1422"/>
      <w:bookmarkEnd w:id="1423"/>
      <w:r>
        <w:rPr>
          <w:rFonts w:hint="eastAsia" w:ascii="黑体" w:hAnsi="黑体" w:eastAsia="黑体" w:cstheme="minorEastAsia"/>
          <w:b w:val="0"/>
          <w:sz w:val="28"/>
          <w:szCs w:val="28"/>
        </w:rPr>
        <w:t>技术协议书</w:t>
      </w:r>
    </w:p>
    <w:p w14:paraId="50C3AB88">
      <w:pPr>
        <w:ind w:right="360"/>
        <w:rPr>
          <w:rFonts w:asciiTheme="minorEastAsia" w:hAnsiTheme="minorEastAsia" w:cstheme="minorEastAsia"/>
          <w:sz w:val="20"/>
          <w:szCs w:val="20"/>
        </w:rPr>
      </w:pPr>
    </w:p>
    <w:p w14:paraId="76A2F846">
      <w:pPr>
        <w:jc w:val="right"/>
        <w:rPr>
          <w:rFonts w:asciiTheme="minorEastAsia" w:hAnsiTheme="minorEastAsia" w:cstheme="minorEastAsia"/>
          <w:sz w:val="20"/>
          <w:szCs w:val="20"/>
        </w:rPr>
      </w:pPr>
    </w:p>
    <w:p w14:paraId="639850D3">
      <w:pPr>
        <w:jc w:val="right"/>
        <w:rPr>
          <w:rFonts w:asciiTheme="minorEastAsia" w:hAnsiTheme="minorEastAsia" w:cstheme="minorEastAsia"/>
          <w:sz w:val="20"/>
          <w:szCs w:val="20"/>
        </w:rPr>
      </w:pPr>
    </w:p>
    <w:p w14:paraId="74EF9573">
      <w:pPr>
        <w:jc w:val="right"/>
        <w:rPr>
          <w:rFonts w:asciiTheme="minorEastAsia" w:hAnsiTheme="minorEastAsia" w:cstheme="minorEastAsia"/>
          <w:sz w:val="20"/>
          <w:szCs w:val="20"/>
        </w:rPr>
      </w:pPr>
      <w:r>
        <w:rPr>
          <w:rFonts w:hint="eastAsia" w:asciiTheme="minorEastAsia" w:hAnsiTheme="minorEastAsia" w:cstheme="minorEastAsia"/>
          <w:sz w:val="20"/>
          <w:szCs w:val="20"/>
        </w:rPr>
        <w:t xml:space="preserve">                                      </w:t>
      </w:r>
    </w:p>
    <w:p w14:paraId="0914F961">
      <w:pPr>
        <w:jc w:val="right"/>
        <w:rPr>
          <w:rFonts w:asciiTheme="minorEastAsia" w:hAnsiTheme="minorEastAsia" w:cstheme="minorEastAsia"/>
          <w:sz w:val="20"/>
          <w:szCs w:val="20"/>
        </w:rPr>
      </w:pPr>
    </w:p>
    <w:p w14:paraId="59FE3C33">
      <w:pPr>
        <w:wordWrap w:val="0"/>
        <w:ind w:right="480"/>
        <w:rPr>
          <w:rFonts w:asciiTheme="minorEastAsia" w:hAnsiTheme="minorEastAsia" w:cstheme="minorEastAsia"/>
          <w:sz w:val="20"/>
          <w:szCs w:val="20"/>
        </w:rPr>
      </w:pPr>
    </w:p>
    <w:p w14:paraId="1FF02A5E">
      <w:pPr>
        <w:jc w:val="right"/>
        <w:rPr>
          <w:rFonts w:ascii="楷体_GB2312" w:hAnsi="宋体" w:eastAsia="楷体_GB2312"/>
          <w:sz w:val="24"/>
        </w:rPr>
      </w:pPr>
      <w:bookmarkStart w:id="1424" w:name="_Toc14341849"/>
    </w:p>
    <w:p w14:paraId="020D9AD6">
      <w:pPr>
        <w:ind w:right="480"/>
        <w:jc w:val="center"/>
        <w:rPr>
          <w:sz w:val="24"/>
          <w:szCs w:val="24"/>
        </w:rPr>
      </w:pPr>
      <w:r>
        <w:rPr>
          <w:rFonts w:hint="eastAsia" w:ascii="楷体_GB2312" w:hAnsi="宋体" w:eastAsia="楷体_GB2312"/>
          <w:sz w:val="24"/>
        </w:rPr>
        <w:t xml:space="preserve">                                    </w:t>
      </w:r>
    </w:p>
    <w:bookmarkEnd w:id="1424"/>
    <w:p w14:paraId="658D6BE2">
      <w:pPr>
        <w:rPr>
          <w:rFonts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13DB4909">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30E66AB8">
      <w:pPr>
        <w:pStyle w:val="2"/>
        <w:spacing w:before="8" w:after="156"/>
        <w:rPr>
          <w:rFonts w:ascii="楷体" w:hAnsi="楷体" w:eastAsia="楷体" w:cs="楷体"/>
          <w:sz w:val="44"/>
          <w:szCs w:val="28"/>
        </w:rPr>
      </w:pPr>
    </w:p>
    <w:p w14:paraId="4865356A">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70F84F83">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77940807">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272F1872">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5D402B78">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345FD749">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40C795ED">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11E3ECC5">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60A1F93A">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1008B59B">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40952856">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417E54E8">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3B42C9F8">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09BD094C">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067744B6">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4D7DFE00">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70FF28BC">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337D2DA2">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305B2139">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10F2692">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2B77308">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0D73A85D">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170262C6">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648E7E67">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A4724FB">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F94B9CC">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98284A3">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6BEBC330">
      <w:pPr>
        <w:pStyle w:val="2"/>
        <w:spacing w:before="9" w:after="156"/>
        <w:rPr>
          <w:rFonts w:ascii="楷体" w:hAnsi="楷体" w:eastAsia="楷体" w:cs="楷体"/>
          <w:sz w:val="40"/>
          <w:szCs w:val="28"/>
        </w:rPr>
      </w:pPr>
    </w:p>
    <w:p w14:paraId="5696BE06">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3335975F">
      <w:pPr>
        <w:pStyle w:val="2"/>
        <w:spacing w:after="156"/>
        <w:rPr>
          <w:rFonts w:ascii="楷体" w:hAnsi="楷体" w:eastAsia="楷体" w:cs="楷体"/>
          <w:b/>
          <w:sz w:val="24"/>
          <w:szCs w:val="28"/>
        </w:rPr>
      </w:pPr>
    </w:p>
    <w:p w14:paraId="4D202896">
      <w:pPr>
        <w:pStyle w:val="2"/>
        <w:spacing w:before="1" w:after="156"/>
        <w:rPr>
          <w:rFonts w:ascii="楷体" w:hAnsi="楷体" w:eastAsia="楷体" w:cs="楷体"/>
          <w:b/>
          <w:sz w:val="24"/>
          <w:szCs w:val="28"/>
        </w:rPr>
      </w:pPr>
    </w:p>
    <w:p w14:paraId="3CAA1B33">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29EA718C">
      <w:pPr>
        <w:pStyle w:val="2"/>
        <w:spacing w:after="156"/>
        <w:rPr>
          <w:rFonts w:ascii="楷体" w:hAnsi="楷体" w:eastAsia="楷体" w:cs="楷体"/>
          <w:b/>
          <w:sz w:val="24"/>
          <w:szCs w:val="28"/>
        </w:rPr>
      </w:pPr>
    </w:p>
    <w:p w14:paraId="453B9091">
      <w:pPr>
        <w:pStyle w:val="2"/>
        <w:spacing w:before="4" w:after="156"/>
        <w:rPr>
          <w:rFonts w:ascii="楷体" w:hAnsi="楷体" w:eastAsia="楷体" w:cs="楷体"/>
          <w:b/>
          <w:sz w:val="24"/>
          <w:szCs w:val="28"/>
        </w:rPr>
      </w:pPr>
    </w:p>
    <w:p w14:paraId="5D7D854A">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350D8C27">
      <w:pPr>
        <w:tabs>
          <w:tab w:val="left" w:pos="5457"/>
        </w:tabs>
        <w:ind w:left="117"/>
        <w:rPr>
          <w:rFonts w:ascii="楷体" w:hAnsi="楷体" w:eastAsia="楷体" w:cs="楷体"/>
          <w:b/>
          <w:sz w:val="24"/>
          <w:szCs w:val="21"/>
        </w:rPr>
      </w:pPr>
    </w:p>
    <w:p w14:paraId="6D8F4A88">
      <w:pPr>
        <w:keepNext/>
        <w:keepLines/>
        <w:jc w:val="center"/>
        <w:outlineLvl w:val="0"/>
        <w:rPr>
          <w:rFonts w:ascii="Calibri" w:hAnsi="Calibri" w:eastAsia="宋体" w:cs="Times New Roman"/>
          <w:b/>
          <w:bCs/>
          <w:kern w:val="44"/>
          <w:sz w:val="36"/>
          <w:szCs w:val="44"/>
        </w:rPr>
        <w:sectPr>
          <w:footerReference r:id="rId18" w:type="first"/>
          <w:headerReference r:id="rId16" w:type="default"/>
          <w:footerReference r:id="rId17"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5D8A0A22">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344"/>
    </w:p>
    <w:p w14:paraId="0FE03937">
      <w:pPr>
        <w:keepNext/>
        <w:keepLines/>
        <w:rPr>
          <w:rFonts w:ascii="Times New Roman" w:hAnsi="Times New Roman" w:eastAsia="宋体" w:cs="Times New Roman"/>
          <w:b/>
          <w:bCs/>
          <w:color w:val="000000"/>
          <w:sz w:val="24"/>
          <w:szCs w:val="24"/>
        </w:rPr>
      </w:pPr>
    </w:p>
    <w:p w14:paraId="68BE1C1B">
      <w:pPr>
        <w:pStyle w:val="16"/>
        <w:rPr>
          <w:rFonts w:ascii="Times New Roman" w:hAnsi="Times New Roman" w:eastAsia="宋体" w:cs="Times New Roman"/>
          <w:b/>
          <w:bCs/>
          <w:color w:val="000000"/>
          <w:sz w:val="24"/>
          <w:szCs w:val="24"/>
        </w:rPr>
      </w:pPr>
    </w:p>
    <w:p w14:paraId="234E205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1896099F">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7F8B1DF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340BFFE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0A78EB98">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19CC267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1A94990E">
      <w:pPr>
        <w:pStyle w:val="16"/>
        <w:rPr>
          <w:rFonts w:ascii="Times New Roman" w:hAnsi="Times New Roman" w:eastAsia="宋体" w:cs="Times New Roman"/>
          <w:b/>
          <w:bCs/>
          <w:color w:val="000000"/>
          <w:sz w:val="24"/>
          <w:szCs w:val="24"/>
        </w:rPr>
        <w:sectPr>
          <w:footerReference r:id="rId21" w:type="first"/>
          <w:headerReference r:id="rId19" w:type="default"/>
          <w:footerReference r:id="rId20"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5FB13BC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425" w:name="_Toc212369550"/>
      <w:bookmarkStart w:id="1426" w:name="_Toc25811"/>
      <w:bookmarkStart w:id="1427" w:name="_Toc639004"/>
      <w:bookmarkStart w:id="1428"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425"/>
      <w:bookmarkEnd w:id="1426"/>
      <w:bookmarkEnd w:id="1427"/>
      <w:bookmarkEnd w:id="1428"/>
    </w:p>
    <w:p w14:paraId="348BE57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致：重汽（济南）车桥有限公司：</w:t>
      </w:r>
    </w:p>
    <w:p w14:paraId="591A15E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u w:val="single"/>
          <w:lang w:eastAsia="zh-CN"/>
        </w:rPr>
        <w:t>主减装配 DE线产品兼容性改造技改项目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627493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DBB214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1B93B63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98468E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1FD19EF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0D49964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9444CF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4BD0B1E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92566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B41FA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D02940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91ADC7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6248DF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21CF958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4B21D05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9C5C01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7BE4DC0">
      <w:pPr>
        <w:rPr>
          <w:rFonts w:ascii="黑体" w:hAnsi="Calibri" w:eastAsia="黑体" w:cs="Times New Roman"/>
          <w:color w:val="000000"/>
          <w:sz w:val="24"/>
          <w:szCs w:val="24"/>
        </w:rPr>
      </w:pPr>
    </w:p>
    <w:p w14:paraId="11FCBB1A">
      <w:pPr>
        <w:rPr>
          <w:rFonts w:ascii="黑体" w:hAnsi="Calibri" w:eastAsia="黑体" w:cs="Times New Roman"/>
          <w:color w:val="000000"/>
          <w:sz w:val="24"/>
          <w:szCs w:val="24"/>
        </w:rPr>
      </w:pPr>
    </w:p>
    <w:p w14:paraId="3804B021">
      <w:pPr>
        <w:pStyle w:val="16"/>
        <w:rPr>
          <w:rFonts w:ascii="黑体" w:hAnsi="Calibri" w:eastAsia="黑体" w:cs="Times New Roman"/>
          <w:color w:val="000000"/>
          <w:sz w:val="24"/>
          <w:szCs w:val="24"/>
        </w:rPr>
      </w:pPr>
    </w:p>
    <w:p w14:paraId="6561E198">
      <w:pPr>
        <w:pStyle w:val="16"/>
        <w:rPr>
          <w:rFonts w:ascii="黑体" w:hAnsi="Calibri" w:eastAsia="黑体" w:cs="Times New Roman"/>
          <w:color w:val="000000"/>
          <w:sz w:val="24"/>
          <w:szCs w:val="24"/>
        </w:rPr>
      </w:pPr>
    </w:p>
    <w:p w14:paraId="6E8CE21B">
      <w:pPr>
        <w:pStyle w:val="16"/>
        <w:rPr>
          <w:rFonts w:ascii="黑体" w:hAnsi="Calibri" w:eastAsia="黑体" w:cs="Times New Roman"/>
          <w:color w:val="000000"/>
          <w:sz w:val="24"/>
          <w:szCs w:val="24"/>
        </w:rPr>
      </w:pPr>
    </w:p>
    <w:p w14:paraId="6550CF75">
      <w:pPr>
        <w:pStyle w:val="16"/>
        <w:rPr>
          <w:rFonts w:ascii="黑体" w:hAnsi="Calibri" w:eastAsia="黑体" w:cs="Times New Roman"/>
          <w:color w:val="000000"/>
          <w:sz w:val="24"/>
          <w:szCs w:val="24"/>
        </w:rPr>
      </w:pPr>
    </w:p>
    <w:p w14:paraId="2C8B6319">
      <w:pPr>
        <w:rPr>
          <w:rFonts w:ascii="黑体" w:hAnsi="Calibri" w:eastAsia="黑体" w:cs="Times New Roman"/>
          <w:color w:val="000000"/>
          <w:sz w:val="24"/>
          <w:szCs w:val="24"/>
        </w:rPr>
      </w:pPr>
    </w:p>
    <w:p w14:paraId="4926808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5DC01A8B">
      <w:pPr>
        <w:adjustRightInd w:val="0"/>
        <w:snapToGrid w:val="0"/>
        <w:spacing w:before="93" w:beforeLines="30" w:line="240" w:lineRule="exact"/>
        <w:jc w:val="center"/>
        <w:rPr>
          <w:rFonts w:ascii="宋体" w:hAnsi="Calibri" w:eastAsia="宋体" w:cs="Times New Roman"/>
          <w:sz w:val="24"/>
          <w:szCs w:val="20"/>
        </w:rPr>
      </w:pPr>
    </w:p>
    <w:p w14:paraId="77305D4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u w:val="single"/>
          <w:lang w:eastAsia="zh-CN"/>
        </w:rPr>
        <w:t>主减装配 DE线产品兼容性改造技改项目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CGZX2025020050</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A7825B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01FB5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14225A7F">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0AD3233C">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45985E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1B8428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ACDEAF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00700D2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6ED7B1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4EA163A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493D896C">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7388E8B">
      <w:pPr>
        <w:rPr>
          <w:rFonts w:ascii="Calibri" w:hAnsi="Calibri" w:eastAsia="黑体" w:cs="Times New Roman"/>
          <w:b/>
          <w:bCs/>
          <w:color w:val="000000"/>
          <w:sz w:val="28"/>
          <w:szCs w:val="20"/>
        </w:rPr>
      </w:pPr>
    </w:p>
    <w:p w14:paraId="75E91BE2">
      <w:pPr>
        <w:pStyle w:val="16"/>
        <w:rPr>
          <w:rFonts w:ascii="Calibri" w:hAnsi="Calibri" w:eastAsia="黑体" w:cs="Times New Roman"/>
          <w:b/>
          <w:bCs/>
          <w:color w:val="000000"/>
          <w:sz w:val="28"/>
          <w:szCs w:val="20"/>
        </w:rPr>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4BB4A5AA">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6E4D3438">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9"/>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2E7F8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3047D021">
            <w:pPr>
              <w:pStyle w:val="131"/>
              <w:spacing w:before="114"/>
              <w:ind w:left="720"/>
            </w:pPr>
            <w:r>
              <w:t xml:space="preserve">企业名称 </w:t>
            </w:r>
          </w:p>
        </w:tc>
        <w:tc>
          <w:tcPr>
            <w:tcW w:w="4680" w:type="dxa"/>
            <w:gridSpan w:val="4"/>
            <w:vAlign w:val="center"/>
          </w:tcPr>
          <w:p w14:paraId="29132CA3">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2A49D16">
            <w:pPr>
              <w:pStyle w:val="13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647D6C11">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E673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65E661B0">
            <w:pPr>
              <w:pStyle w:val="131"/>
              <w:spacing w:before="114"/>
              <w:ind w:left="720"/>
            </w:pPr>
            <w:r>
              <w:t xml:space="preserve">企业地址 </w:t>
            </w:r>
          </w:p>
        </w:tc>
        <w:tc>
          <w:tcPr>
            <w:tcW w:w="4680" w:type="dxa"/>
            <w:gridSpan w:val="4"/>
            <w:vAlign w:val="center"/>
          </w:tcPr>
          <w:p w14:paraId="391AB9F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98222CD">
            <w:pPr>
              <w:pStyle w:val="13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613828DC">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F458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B594961">
            <w:pPr>
              <w:pStyle w:val="131"/>
              <w:spacing w:before="111"/>
              <w:ind w:left="720"/>
            </w:pPr>
            <w:r>
              <w:t xml:space="preserve">企业性质 </w:t>
            </w:r>
          </w:p>
        </w:tc>
        <w:tc>
          <w:tcPr>
            <w:tcW w:w="4680" w:type="dxa"/>
            <w:gridSpan w:val="4"/>
            <w:vAlign w:val="center"/>
          </w:tcPr>
          <w:p w14:paraId="1C676933">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BA50CBB">
            <w:pPr>
              <w:pStyle w:val="131"/>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79FDA123">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617F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6BF2687">
            <w:pPr>
              <w:pStyle w:val="131"/>
              <w:spacing w:before="111"/>
              <w:ind w:left="509"/>
              <w:rPr>
                <w:highlight w:val="yellow"/>
              </w:rPr>
            </w:pPr>
            <w:r>
              <w:t xml:space="preserve">企业法人代表  </w:t>
            </w:r>
          </w:p>
        </w:tc>
        <w:tc>
          <w:tcPr>
            <w:tcW w:w="4680" w:type="dxa"/>
            <w:gridSpan w:val="4"/>
          </w:tcPr>
          <w:p w14:paraId="3B6A7950">
            <w:pPr>
              <w:pStyle w:val="6"/>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063DB653">
            <w:pPr>
              <w:pStyle w:val="131"/>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7B18922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85F4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4FCF25E">
            <w:pPr>
              <w:pStyle w:val="131"/>
              <w:spacing w:before="114"/>
              <w:ind w:left="720"/>
            </w:pPr>
            <w:r>
              <w:t xml:space="preserve">品牌区分 </w:t>
            </w:r>
          </w:p>
        </w:tc>
        <w:tc>
          <w:tcPr>
            <w:tcW w:w="7500" w:type="dxa"/>
            <w:gridSpan w:val="6"/>
          </w:tcPr>
          <w:p w14:paraId="3BAC4E4E">
            <w:pPr>
              <w:pStyle w:val="13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7819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412B4A">
            <w:pPr>
              <w:pStyle w:val="131"/>
              <w:spacing w:before="178"/>
              <w:ind w:left="720"/>
            </w:pPr>
            <w:r>
              <w:t xml:space="preserve">品牌名称 </w:t>
            </w:r>
          </w:p>
        </w:tc>
        <w:tc>
          <w:tcPr>
            <w:tcW w:w="3583" w:type="dxa"/>
            <w:gridSpan w:val="3"/>
            <w:vAlign w:val="center"/>
          </w:tcPr>
          <w:p w14:paraId="3803F907">
            <w:pPr>
              <w:widowControl/>
              <w:rPr>
                <w:rFonts w:ascii="宋体" w:hAnsi="宋体" w:eastAsia="仿宋_GB2312"/>
                <w:kern w:val="0"/>
                <w:szCs w:val="21"/>
                <w:lang w:bidi="ar"/>
              </w:rPr>
            </w:pPr>
          </w:p>
        </w:tc>
        <w:tc>
          <w:tcPr>
            <w:tcW w:w="1097" w:type="dxa"/>
          </w:tcPr>
          <w:p w14:paraId="206F9E79">
            <w:pPr>
              <w:pStyle w:val="131"/>
              <w:spacing w:before="15"/>
              <w:ind w:left="279"/>
            </w:pPr>
            <w:r>
              <w:rPr>
                <w:spacing w:val="-2"/>
              </w:rPr>
              <w:t>质量</w:t>
            </w:r>
            <w:r>
              <w:t xml:space="preserve"> </w:t>
            </w:r>
          </w:p>
          <w:p w14:paraId="2F3BF0F8">
            <w:pPr>
              <w:pStyle w:val="131"/>
              <w:spacing w:before="30" w:line="277" w:lineRule="exact"/>
              <w:ind w:left="279"/>
            </w:pPr>
            <w:r>
              <w:rPr>
                <w:rFonts w:hint="eastAsia"/>
              </w:rPr>
              <w:t>体系</w:t>
            </w:r>
          </w:p>
        </w:tc>
        <w:tc>
          <w:tcPr>
            <w:tcW w:w="2820" w:type="dxa"/>
            <w:gridSpan w:val="2"/>
          </w:tcPr>
          <w:p w14:paraId="78C9D745">
            <w:pPr>
              <w:pStyle w:val="131"/>
              <w:spacing w:before="158"/>
              <w:jc w:val="center"/>
              <w:rPr>
                <w:sz w:val="24"/>
              </w:rPr>
            </w:pPr>
            <w:r>
              <w:rPr>
                <w:rFonts w:hint="eastAsia"/>
                <w:kern w:val="0"/>
                <w:szCs w:val="21"/>
                <w:lang w:bidi="ar"/>
              </w:rPr>
              <w:t>/</w:t>
            </w:r>
          </w:p>
        </w:tc>
      </w:tr>
      <w:tr w14:paraId="6292D8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5FBDBEA9">
            <w:pPr>
              <w:pStyle w:val="131"/>
              <w:spacing w:before="149"/>
              <w:ind w:left="3345" w:right="3223"/>
              <w:jc w:val="center"/>
            </w:pPr>
            <w:r>
              <w:rPr>
                <w:rFonts w:hint="eastAsia"/>
                <w:szCs w:val="21"/>
              </w:rPr>
              <w:t>单位概况</w:t>
            </w:r>
          </w:p>
        </w:tc>
      </w:tr>
      <w:tr w14:paraId="28444D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1078A8B">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12F42898">
            <w:pPr>
              <w:widowControl/>
              <w:textAlignment w:val="center"/>
              <w:rPr>
                <w:rFonts w:ascii="宋体" w:hAnsi="宋体" w:eastAsia="宋体" w:cs="宋体"/>
                <w:szCs w:val="21"/>
              </w:rPr>
            </w:pPr>
          </w:p>
        </w:tc>
        <w:tc>
          <w:tcPr>
            <w:tcW w:w="1530" w:type="dxa"/>
            <w:vAlign w:val="center"/>
          </w:tcPr>
          <w:p w14:paraId="02A96C98">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4BA9E57">
            <w:pPr>
              <w:widowControl/>
              <w:jc w:val="center"/>
              <w:textAlignment w:val="center"/>
              <w:rPr>
                <w:rFonts w:ascii="宋体" w:hAnsi="宋体" w:eastAsia="宋体" w:cs="宋体"/>
                <w:szCs w:val="21"/>
              </w:rPr>
            </w:pPr>
          </w:p>
        </w:tc>
        <w:tc>
          <w:tcPr>
            <w:tcW w:w="1097" w:type="dxa"/>
            <w:vAlign w:val="center"/>
          </w:tcPr>
          <w:p w14:paraId="434A1746">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B1D26E3">
            <w:pPr>
              <w:widowControl/>
              <w:jc w:val="center"/>
              <w:textAlignment w:val="center"/>
              <w:rPr>
                <w:rFonts w:ascii="宋体" w:hAnsi="宋体" w:eastAsia="宋体" w:cs="宋体"/>
                <w:szCs w:val="21"/>
              </w:rPr>
            </w:pPr>
          </w:p>
        </w:tc>
      </w:tr>
      <w:tr w14:paraId="615AF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6C97E967">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6265656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3C07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568AB6AE">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1F460039">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7D13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2B8EC0C2">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9D2D5F8">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2299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D173D1E">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663ADE1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3E42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58309CB">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30D7073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E103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68B0E8F">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51FABB59">
            <w:pPr>
              <w:widowControl/>
              <w:jc w:val="left"/>
              <w:rPr>
                <w:rFonts w:ascii="宋体" w:hAnsi="宋体" w:eastAsia="宋体" w:cs="宋体"/>
                <w:kern w:val="0"/>
                <w:szCs w:val="21"/>
                <w:lang w:bidi="ar"/>
              </w:rPr>
            </w:pPr>
          </w:p>
        </w:tc>
      </w:tr>
    </w:tbl>
    <w:p w14:paraId="35357D51">
      <w:pPr>
        <w:pStyle w:val="16"/>
        <w:rPr>
          <w:rFonts w:ascii="Times New Roman" w:hAnsi="Times New Roman" w:eastAsia="宋体" w:cs="Times New Roman"/>
          <w:b/>
          <w:bCs/>
          <w:color w:val="000000"/>
          <w:sz w:val="24"/>
          <w:szCs w:val="24"/>
        </w:rPr>
      </w:pPr>
    </w:p>
    <w:p w14:paraId="0582F8BD">
      <w:pPr>
        <w:pStyle w:val="16"/>
        <w:rPr>
          <w:rFonts w:ascii="Times New Roman" w:hAnsi="Times New Roman" w:eastAsia="宋体" w:cs="Times New Roman"/>
          <w:b/>
          <w:bCs/>
          <w:color w:val="000000"/>
          <w:sz w:val="24"/>
          <w:szCs w:val="24"/>
        </w:rPr>
      </w:pPr>
    </w:p>
    <w:p w14:paraId="56E64D78">
      <w:pPr>
        <w:pStyle w:val="16"/>
        <w:rPr>
          <w:rFonts w:ascii="Times New Roman" w:hAnsi="Times New Roman" w:eastAsia="宋体" w:cs="Times New Roman"/>
          <w:b/>
          <w:bCs/>
          <w:color w:val="000000"/>
          <w:sz w:val="24"/>
          <w:szCs w:val="24"/>
        </w:rPr>
      </w:pPr>
    </w:p>
    <w:p w14:paraId="52D4BD40">
      <w:pPr>
        <w:pStyle w:val="16"/>
        <w:rPr>
          <w:rFonts w:ascii="Times New Roman" w:hAnsi="Times New Roman" w:eastAsia="宋体" w:cs="Times New Roman"/>
          <w:b/>
          <w:bCs/>
          <w:color w:val="000000"/>
          <w:sz w:val="24"/>
          <w:szCs w:val="24"/>
        </w:rPr>
      </w:pPr>
    </w:p>
    <w:p w14:paraId="667B3FD9">
      <w:pPr>
        <w:pStyle w:val="16"/>
        <w:rPr>
          <w:rFonts w:ascii="Times New Roman" w:hAnsi="Times New Roman" w:eastAsia="宋体" w:cs="Times New Roman"/>
          <w:b/>
          <w:bCs/>
          <w:color w:val="000000"/>
          <w:sz w:val="24"/>
          <w:szCs w:val="24"/>
        </w:rPr>
      </w:pPr>
    </w:p>
    <w:p w14:paraId="6957ED0A">
      <w:pPr>
        <w:pStyle w:val="16"/>
        <w:rPr>
          <w:rFonts w:ascii="Times New Roman" w:hAnsi="Times New Roman" w:eastAsia="宋体" w:cs="Times New Roman"/>
          <w:b/>
          <w:bCs/>
          <w:color w:val="000000"/>
          <w:sz w:val="24"/>
          <w:szCs w:val="24"/>
        </w:rPr>
      </w:pPr>
    </w:p>
    <w:p w14:paraId="4E0FDAD4">
      <w:pPr>
        <w:pStyle w:val="16"/>
        <w:rPr>
          <w:rFonts w:ascii="Times New Roman" w:hAnsi="Times New Roman" w:eastAsia="宋体" w:cs="Times New Roman"/>
          <w:b/>
          <w:bCs/>
          <w:color w:val="000000"/>
          <w:sz w:val="24"/>
          <w:szCs w:val="24"/>
        </w:rPr>
      </w:pPr>
    </w:p>
    <w:p w14:paraId="4289E09D">
      <w:pPr>
        <w:pStyle w:val="16"/>
        <w:rPr>
          <w:rFonts w:ascii="Times New Roman" w:hAnsi="Times New Roman" w:eastAsia="宋体" w:cs="Times New Roman"/>
          <w:b/>
          <w:bCs/>
          <w:color w:val="000000"/>
          <w:sz w:val="24"/>
          <w:szCs w:val="24"/>
        </w:rPr>
      </w:pPr>
    </w:p>
    <w:p w14:paraId="505FFE57">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8D3C967">
      <w:pPr>
        <w:pStyle w:val="16"/>
        <w:rPr>
          <w:rFonts w:ascii="Times New Roman" w:hAnsi="Times New Roman" w:eastAsia="宋体" w:cs="Times New Roman"/>
          <w:b/>
          <w:bCs/>
          <w:color w:val="000000"/>
          <w:sz w:val="24"/>
          <w:szCs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11F84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7AD79B81">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61822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5B714CF">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7914B299">
            <w:pPr>
              <w:spacing w:line="440" w:lineRule="exact"/>
              <w:jc w:val="center"/>
              <w:rPr>
                <w:rFonts w:ascii="宋体" w:hAnsi="宋体"/>
                <w:color w:val="000000"/>
                <w:sz w:val="24"/>
                <w:szCs w:val="24"/>
              </w:rPr>
            </w:pPr>
          </w:p>
        </w:tc>
      </w:tr>
      <w:tr w14:paraId="4AA5A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22F8E77">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111436C4">
            <w:pPr>
              <w:spacing w:line="440" w:lineRule="exact"/>
              <w:jc w:val="center"/>
              <w:rPr>
                <w:rFonts w:ascii="宋体" w:hAnsi="宋体"/>
                <w:color w:val="000000"/>
                <w:sz w:val="24"/>
                <w:szCs w:val="24"/>
              </w:rPr>
            </w:pPr>
          </w:p>
        </w:tc>
      </w:tr>
      <w:tr w14:paraId="3A57B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5A5960">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6CCB9A5D">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2F808130">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6501D19B">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14:paraId="24570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12A65E">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71F059BF">
            <w:pPr>
              <w:spacing w:line="440" w:lineRule="exact"/>
              <w:jc w:val="center"/>
              <w:rPr>
                <w:rFonts w:ascii="宋体" w:hAnsi="宋体"/>
                <w:color w:val="000000"/>
                <w:sz w:val="24"/>
                <w:szCs w:val="24"/>
              </w:rPr>
            </w:pPr>
          </w:p>
        </w:tc>
        <w:tc>
          <w:tcPr>
            <w:tcW w:w="1288" w:type="dxa"/>
          </w:tcPr>
          <w:p w14:paraId="05708428">
            <w:pPr>
              <w:spacing w:line="440" w:lineRule="exact"/>
              <w:jc w:val="center"/>
              <w:rPr>
                <w:rFonts w:ascii="宋体" w:hAnsi="宋体"/>
                <w:color w:val="000000"/>
                <w:sz w:val="24"/>
                <w:szCs w:val="24"/>
              </w:rPr>
            </w:pPr>
          </w:p>
        </w:tc>
        <w:tc>
          <w:tcPr>
            <w:tcW w:w="1288" w:type="dxa"/>
          </w:tcPr>
          <w:p w14:paraId="13FF0E88">
            <w:pPr>
              <w:spacing w:line="440" w:lineRule="exact"/>
              <w:jc w:val="center"/>
              <w:rPr>
                <w:rFonts w:ascii="宋体" w:hAnsi="宋体"/>
                <w:color w:val="000000"/>
                <w:sz w:val="24"/>
                <w:szCs w:val="24"/>
              </w:rPr>
            </w:pPr>
          </w:p>
        </w:tc>
      </w:tr>
      <w:tr w14:paraId="3C7AC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853D53">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44F7CE9E">
            <w:pPr>
              <w:spacing w:line="440" w:lineRule="exact"/>
              <w:jc w:val="center"/>
              <w:rPr>
                <w:rFonts w:ascii="宋体" w:hAnsi="宋体"/>
                <w:color w:val="000000"/>
                <w:sz w:val="24"/>
                <w:szCs w:val="24"/>
              </w:rPr>
            </w:pPr>
          </w:p>
        </w:tc>
        <w:tc>
          <w:tcPr>
            <w:tcW w:w="1288" w:type="dxa"/>
          </w:tcPr>
          <w:p w14:paraId="0721DC28">
            <w:pPr>
              <w:spacing w:line="440" w:lineRule="exact"/>
              <w:jc w:val="center"/>
              <w:rPr>
                <w:rFonts w:ascii="宋体" w:hAnsi="宋体"/>
                <w:color w:val="000000"/>
                <w:sz w:val="24"/>
                <w:szCs w:val="24"/>
              </w:rPr>
            </w:pPr>
          </w:p>
        </w:tc>
        <w:tc>
          <w:tcPr>
            <w:tcW w:w="1288" w:type="dxa"/>
          </w:tcPr>
          <w:p w14:paraId="32D65BA9">
            <w:pPr>
              <w:spacing w:line="440" w:lineRule="exact"/>
              <w:jc w:val="center"/>
              <w:rPr>
                <w:rFonts w:ascii="宋体" w:hAnsi="宋体"/>
                <w:color w:val="000000"/>
                <w:sz w:val="24"/>
                <w:szCs w:val="24"/>
              </w:rPr>
            </w:pPr>
          </w:p>
        </w:tc>
      </w:tr>
      <w:tr w14:paraId="5C409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2BD1435">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4B951F34">
            <w:pPr>
              <w:spacing w:line="440" w:lineRule="exact"/>
              <w:jc w:val="center"/>
              <w:rPr>
                <w:rFonts w:ascii="宋体" w:hAnsi="宋体"/>
                <w:color w:val="000000"/>
                <w:sz w:val="24"/>
                <w:szCs w:val="24"/>
                <w:highlight w:val="yellow"/>
              </w:rPr>
            </w:pPr>
          </w:p>
        </w:tc>
        <w:tc>
          <w:tcPr>
            <w:tcW w:w="1288" w:type="dxa"/>
          </w:tcPr>
          <w:p w14:paraId="4EC76D3F">
            <w:pPr>
              <w:spacing w:line="440" w:lineRule="exact"/>
              <w:jc w:val="center"/>
              <w:rPr>
                <w:rFonts w:ascii="宋体" w:hAnsi="宋体"/>
                <w:color w:val="000000"/>
                <w:sz w:val="24"/>
                <w:szCs w:val="24"/>
                <w:highlight w:val="yellow"/>
              </w:rPr>
            </w:pPr>
          </w:p>
        </w:tc>
        <w:tc>
          <w:tcPr>
            <w:tcW w:w="1288" w:type="dxa"/>
          </w:tcPr>
          <w:p w14:paraId="2C5617DF">
            <w:pPr>
              <w:spacing w:line="440" w:lineRule="exact"/>
              <w:jc w:val="center"/>
              <w:rPr>
                <w:rFonts w:ascii="宋体" w:hAnsi="宋体"/>
                <w:color w:val="000000"/>
                <w:sz w:val="24"/>
                <w:szCs w:val="24"/>
                <w:highlight w:val="yellow"/>
              </w:rPr>
            </w:pPr>
          </w:p>
        </w:tc>
      </w:tr>
      <w:tr w14:paraId="7BC9A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EB5B6A1">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D58F7D3">
            <w:pPr>
              <w:spacing w:line="440" w:lineRule="exact"/>
              <w:jc w:val="center"/>
              <w:rPr>
                <w:rFonts w:ascii="宋体" w:hAnsi="宋体"/>
                <w:color w:val="000000"/>
                <w:sz w:val="24"/>
                <w:szCs w:val="24"/>
              </w:rPr>
            </w:pPr>
          </w:p>
        </w:tc>
        <w:tc>
          <w:tcPr>
            <w:tcW w:w="1288" w:type="dxa"/>
          </w:tcPr>
          <w:p w14:paraId="39D74DF4">
            <w:pPr>
              <w:spacing w:line="440" w:lineRule="exact"/>
              <w:jc w:val="center"/>
              <w:rPr>
                <w:rFonts w:ascii="宋体" w:hAnsi="宋体"/>
                <w:color w:val="000000"/>
                <w:sz w:val="24"/>
                <w:szCs w:val="24"/>
              </w:rPr>
            </w:pPr>
          </w:p>
        </w:tc>
        <w:tc>
          <w:tcPr>
            <w:tcW w:w="1288" w:type="dxa"/>
          </w:tcPr>
          <w:p w14:paraId="6B91A68A">
            <w:pPr>
              <w:spacing w:line="440" w:lineRule="exact"/>
              <w:jc w:val="center"/>
              <w:rPr>
                <w:rFonts w:ascii="宋体" w:hAnsi="宋体"/>
                <w:color w:val="000000"/>
                <w:sz w:val="24"/>
                <w:szCs w:val="24"/>
              </w:rPr>
            </w:pPr>
          </w:p>
        </w:tc>
      </w:tr>
      <w:tr w14:paraId="0A666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34DA63B">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79CC67FA">
            <w:pPr>
              <w:spacing w:line="440" w:lineRule="exact"/>
              <w:jc w:val="center"/>
              <w:rPr>
                <w:rFonts w:ascii="宋体" w:hAnsi="宋体"/>
                <w:color w:val="000000"/>
                <w:sz w:val="24"/>
                <w:szCs w:val="24"/>
              </w:rPr>
            </w:pPr>
          </w:p>
        </w:tc>
        <w:tc>
          <w:tcPr>
            <w:tcW w:w="1288" w:type="dxa"/>
          </w:tcPr>
          <w:p w14:paraId="376C68F4">
            <w:pPr>
              <w:spacing w:line="440" w:lineRule="exact"/>
              <w:jc w:val="center"/>
              <w:rPr>
                <w:rFonts w:ascii="宋体" w:hAnsi="宋体"/>
                <w:color w:val="000000"/>
                <w:sz w:val="24"/>
                <w:szCs w:val="24"/>
              </w:rPr>
            </w:pPr>
          </w:p>
        </w:tc>
        <w:tc>
          <w:tcPr>
            <w:tcW w:w="1288" w:type="dxa"/>
          </w:tcPr>
          <w:p w14:paraId="3CD9F1AA">
            <w:pPr>
              <w:spacing w:line="440" w:lineRule="exact"/>
              <w:jc w:val="center"/>
              <w:rPr>
                <w:rFonts w:ascii="宋体" w:hAnsi="宋体"/>
                <w:color w:val="000000"/>
                <w:sz w:val="24"/>
                <w:szCs w:val="24"/>
              </w:rPr>
            </w:pPr>
          </w:p>
        </w:tc>
      </w:tr>
      <w:tr w14:paraId="2D4FC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A4CDCED">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036BBACC">
            <w:pPr>
              <w:spacing w:line="440" w:lineRule="exact"/>
              <w:jc w:val="center"/>
              <w:rPr>
                <w:rFonts w:ascii="宋体" w:hAnsi="宋体"/>
                <w:color w:val="000000"/>
                <w:sz w:val="24"/>
                <w:szCs w:val="24"/>
                <w:highlight w:val="yellow"/>
              </w:rPr>
            </w:pPr>
          </w:p>
        </w:tc>
        <w:tc>
          <w:tcPr>
            <w:tcW w:w="1288" w:type="dxa"/>
          </w:tcPr>
          <w:p w14:paraId="752C24F0">
            <w:pPr>
              <w:spacing w:line="440" w:lineRule="exact"/>
              <w:jc w:val="center"/>
              <w:rPr>
                <w:rFonts w:ascii="宋体" w:hAnsi="宋体"/>
                <w:color w:val="000000"/>
                <w:sz w:val="24"/>
                <w:szCs w:val="24"/>
                <w:highlight w:val="yellow"/>
              </w:rPr>
            </w:pPr>
          </w:p>
        </w:tc>
        <w:tc>
          <w:tcPr>
            <w:tcW w:w="1288" w:type="dxa"/>
          </w:tcPr>
          <w:p w14:paraId="34DF150C">
            <w:pPr>
              <w:spacing w:line="440" w:lineRule="exact"/>
              <w:jc w:val="center"/>
              <w:rPr>
                <w:rFonts w:ascii="宋体" w:hAnsi="宋体"/>
                <w:color w:val="000000"/>
                <w:sz w:val="24"/>
                <w:szCs w:val="24"/>
                <w:highlight w:val="yellow"/>
              </w:rPr>
            </w:pPr>
          </w:p>
        </w:tc>
      </w:tr>
      <w:tr w14:paraId="177DD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01885F7">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1C27D172">
            <w:pPr>
              <w:spacing w:line="440" w:lineRule="exact"/>
              <w:jc w:val="center"/>
              <w:rPr>
                <w:rFonts w:ascii="宋体" w:hAnsi="宋体"/>
                <w:color w:val="000000"/>
                <w:sz w:val="24"/>
                <w:szCs w:val="24"/>
                <w:highlight w:val="yellow"/>
              </w:rPr>
            </w:pPr>
          </w:p>
        </w:tc>
        <w:tc>
          <w:tcPr>
            <w:tcW w:w="1288" w:type="dxa"/>
          </w:tcPr>
          <w:p w14:paraId="2663CB4F">
            <w:pPr>
              <w:spacing w:line="440" w:lineRule="exact"/>
              <w:jc w:val="center"/>
              <w:rPr>
                <w:rFonts w:ascii="宋体" w:hAnsi="宋体"/>
                <w:color w:val="000000"/>
                <w:sz w:val="24"/>
                <w:szCs w:val="24"/>
                <w:highlight w:val="yellow"/>
              </w:rPr>
            </w:pPr>
          </w:p>
        </w:tc>
        <w:tc>
          <w:tcPr>
            <w:tcW w:w="1288" w:type="dxa"/>
          </w:tcPr>
          <w:p w14:paraId="35D4D511">
            <w:pPr>
              <w:spacing w:line="440" w:lineRule="exact"/>
              <w:jc w:val="center"/>
              <w:rPr>
                <w:rFonts w:ascii="宋体" w:hAnsi="宋体"/>
                <w:color w:val="000000"/>
                <w:sz w:val="24"/>
                <w:szCs w:val="24"/>
                <w:highlight w:val="yellow"/>
              </w:rPr>
            </w:pPr>
          </w:p>
        </w:tc>
      </w:tr>
      <w:tr w14:paraId="338E9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569EDCA">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225A60D2">
            <w:pPr>
              <w:spacing w:line="440" w:lineRule="exact"/>
              <w:jc w:val="center"/>
              <w:rPr>
                <w:rFonts w:ascii="宋体" w:hAnsi="宋体"/>
                <w:color w:val="000000"/>
                <w:sz w:val="24"/>
                <w:szCs w:val="24"/>
              </w:rPr>
            </w:pPr>
          </w:p>
        </w:tc>
        <w:tc>
          <w:tcPr>
            <w:tcW w:w="1288" w:type="dxa"/>
          </w:tcPr>
          <w:p w14:paraId="47FB273E">
            <w:pPr>
              <w:spacing w:line="440" w:lineRule="exact"/>
              <w:jc w:val="center"/>
              <w:rPr>
                <w:rFonts w:ascii="宋体" w:hAnsi="宋体"/>
                <w:color w:val="000000"/>
                <w:sz w:val="24"/>
                <w:szCs w:val="24"/>
              </w:rPr>
            </w:pPr>
          </w:p>
        </w:tc>
        <w:tc>
          <w:tcPr>
            <w:tcW w:w="1288" w:type="dxa"/>
          </w:tcPr>
          <w:p w14:paraId="3405D566">
            <w:pPr>
              <w:spacing w:line="440" w:lineRule="exact"/>
              <w:jc w:val="center"/>
              <w:rPr>
                <w:rFonts w:ascii="宋体" w:hAnsi="宋体"/>
                <w:color w:val="000000"/>
                <w:sz w:val="24"/>
                <w:szCs w:val="24"/>
              </w:rPr>
            </w:pPr>
          </w:p>
        </w:tc>
      </w:tr>
      <w:tr w14:paraId="7B119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9E1BD3">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3F61F28D">
            <w:pPr>
              <w:spacing w:line="440" w:lineRule="exact"/>
              <w:jc w:val="center"/>
              <w:rPr>
                <w:rFonts w:ascii="宋体" w:hAnsi="宋体"/>
                <w:color w:val="000000"/>
                <w:sz w:val="24"/>
                <w:szCs w:val="24"/>
              </w:rPr>
            </w:pPr>
          </w:p>
        </w:tc>
        <w:tc>
          <w:tcPr>
            <w:tcW w:w="1288" w:type="dxa"/>
          </w:tcPr>
          <w:p w14:paraId="21FB879F">
            <w:pPr>
              <w:spacing w:line="440" w:lineRule="exact"/>
              <w:jc w:val="center"/>
              <w:rPr>
                <w:rFonts w:ascii="宋体" w:hAnsi="宋体"/>
                <w:color w:val="000000"/>
                <w:sz w:val="24"/>
                <w:szCs w:val="24"/>
              </w:rPr>
            </w:pPr>
          </w:p>
        </w:tc>
        <w:tc>
          <w:tcPr>
            <w:tcW w:w="1288" w:type="dxa"/>
          </w:tcPr>
          <w:p w14:paraId="688363C0">
            <w:pPr>
              <w:spacing w:line="440" w:lineRule="exact"/>
              <w:jc w:val="center"/>
              <w:rPr>
                <w:rFonts w:ascii="宋体" w:hAnsi="宋体"/>
                <w:color w:val="000000"/>
                <w:sz w:val="24"/>
                <w:szCs w:val="24"/>
              </w:rPr>
            </w:pPr>
          </w:p>
        </w:tc>
      </w:tr>
      <w:tr w14:paraId="5A83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936645A">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3DD5E755">
            <w:pPr>
              <w:spacing w:line="440" w:lineRule="exact"/>
              <w:jc w:val="center"/>
              <w:rPr>
                <w:rFonts w:ascii="宋体" w:hAnsi="宋体"/>
                <w:color w:val="000000"/>
                <w:sz w:val="24"/>
                <w:szCs w:val="24"/>
              </w:rPr>
            </w:pPr>
          </w:p>
        </w:tc>
        <w:tc>
          <w:tcPr>
            <w:tcW w:w="1288" w:type="dxa"/>
          </w:tcPr>
          <w:p w14:paraId="01DE8BC5">
            <w:pPr>
              <w:spacing w:line="440" w:lineRule="exact"/>
              <w:jc w:val="center"/>
              <w:rPr>
                <w:rFonts w:ascii="宋体" w:hAnsi="宋体"/>
                <w:color w:val="000000"/>
                <w:sz w:val="24"/>
                <w:szCs w:val="24"/>
              </w:rPr>
            </w:pPr>
          </w:p>
        </w:tc>
        <w:tc>
          <w:tcPr>
            <w:tcW w:w="1288" w:type="dxa"/>
          </w:tcPr>
          <w:p w14:paraId="2C82A645">
            <w:pPr>
              <w:spacing w:line="440" w:lineRule="exact"/>
              <w:jc w:val="center"/>
              <w:rPr>
                <w:rFonts w:ascii="宋体" w:hAnsi="宋体"/>
                <w:color w:val="000000"/>
                <w:sz w:val="24"/>
                <w:szCs w:val="24"/>
              </w:rPr>
            </w:pPr>
          </w:p>
        </w:tc>
      </w:tr>
    </w:tbl>
    <w:p w14:paraId="037BBD0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877C40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414DC3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D9948B4">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5F8792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E62778B">
      <w:pPr>
        <w:spacing w:line="240" w:lineRule="exact"/>
        <w:jc w:val="center"/>
        <w:rPr>
          <w:rFonts w:ascii="宋体" w:hAnsi="Calibri" w:eastAsia="宋体" w:cs="Times New Roman"/>
          <w:b/>
          <w:bCs/>
          <w:sz w:val="36"/>
          <w:szCs w:val="20"/>
        </w:rPr>
      </w:pPr>
    </w:p>
    <w:p w14:paraId="05CBCF9C">
      <w:pPr>
        <w:spacing w:line="360" w:lineRule="auto"/>
        <w:rPr>
          <w:rFonts w:hint="eastAsia" w:ascii="宋体" w:hAnsi="宋体" w:eastAsia="宋体" w:cs="宋体"/>
          <w:sz w:val="24"/>
          <w:szCs w:val="24"/>
          <w:u w:val="single"/>
          <w:lang w:eastAsia="zh-CN"/>
        </w:rPr>
      </w:pPr>
      <w:r>
        <w:rPr>
          <w:rFonts w:hint="eastAsia" w:ascii="宋体" w:hAnsi="宋体" w:eastAsia="宋体" w:cs="Times New Roman"/>
          <w:sz w:val="24"/>
          <w:szCs w:val="20"/>
        </w:rPr>
        <w:t>项目名称：</w:t>
      </w:r>
      <w:r>
        <w:rPr>
          <w:rFonts w:hint="eastAsia" w:ascii="宋体" w:hAnsi="宋体" w:eastAsia="宋体" w:cs="宋体"/>
          <w:sz w:val="24"/>
          <w:szCs w:val="24"/>
          <w:u w:val="single"/>
          <w:lang w:eastAsia="zh-CN"/>
        </w:rPr>
        <w:t>主减装配 DE线产品兼容性改造技改项目</w:t>
      </w:r>
    </w:p>
    <w:p w14:paraId="0F77B3EA">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重汽（济南）车桥有限公司：</w:t>
      </w:r>
    </w:p>
    <w:p w14:paraId="74D6207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867A22F">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p>
    <w:p w14:paraId="13C9FE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D6F96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77CDE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032DC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346F3B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82F4F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564B2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FC13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C96500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D8A7C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18E0F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EE2C2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BA435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2DA7C7">
      <w:pPr>
        <w:spacing w:line="360" w:lineRule="auto"/>
        <w:ind w:firstLine="480" w:firstLineChars="200"/>
        <w:rPr>
          <w:rFonts w:ascii="宋体" w:hAnsi="宋体" w:eastAsia="宋体" w:cs="Times New Roman"/>
          <w:sz w:val="24"/>
          <w:szCs w:val="20"/>
          <w:u w:val="single"/>
        </w:rPr>
      </w:pPr>
    </w:p>
    <w:p w14:paraId="32FFEB8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7A1D5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4DC0B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9687B9A">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5987CE4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Times New Roman"/>
          <w:b/>
          <w:bCs/>
          <w:color w:val="000000"/>
          <w:sz w:val="24"/>
          <w:szCs w:val="24"/>
        </w:rPr>
        <w:t>技术规格偏离表</w:t>
      </w:r>
    </w:p>
    <w:p w14:paraId="6F37275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lang w:eastAsia="zh-CN"/>
        </w:rPr>
        <w:t>主减装配 DE线产品兼容性改造技改项目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B13E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27DF4010">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9713528">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1BF708E0">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342A0160">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01155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3257B07">
            <w:pPr>
              <w:jc w:val="center"/>
              <w:rPr>
                <w:rFonts w:ascii="Times New Roman" w:hAnsi="Times New Roman" w:eastAsia="宋体" w:cs="Times New Roman"/>
                <w:b/>
                <w:sz w:val="24"/>
                <w:szCs w:val="20"/>
              </w:rPr>
            </w:pPr>
          </w:p>
        </w:tc>
        <w:tc>
          <w:tcPr>
            <w:tcW w:w="3449" w:type="dxa"/>
          </w:tcPr>
          <w:p w14:paraId="36A30DFA">
            <w:pPr>
              <w:jc w:val="center"/>
              <w:rPr>
                <w:rFonts w:ascii="Times New Roman" w:hAnsi="Times New Roman" w:eastAsia="宋体" w:cs="Times New Roman"/>
                <w:b/>
                <w:sz w:val="24"/>
                <w:szCs w:val="20"/>
              </w:rPr>
            </w:pPr>
          </w:p>
        </w:tc>
        <w:tc>
          <w:tcPr>
            <w:tcW w:w="2414" w:type="dxa"/>
          </w:tcPr>
          <w:p w14:paraId="5E660ED0">
            <w:pPr>
              <w:jc w:val="center"/>
              <w:rPr>
                <w:rFonts w:ascii="Times New Roman" w:hAnsi="Times New Roman" w:eastAsia="宋体" w:cs="Times New Roman"/>
                <w:b/>
                <w:sz w:val="24"/>
                <w:szCs w:val="20"/>
              </w:rPr>
            </w:pPr>
          </w:p>
        </w:tc>
        <w:tc>
          <w:tcPr>
            <w:tcW w:w="1608" w:type="dxa"/>
          </w:tcPr>
          <w:p w14:paraId="2ED56228">
            <w:pPr>
              <w:jc w:val="center"/>
              <w:rPr>
                <w:rFonts w:ascii="Times New Roman" w:hAnsi="Times New Roman" w:eastAsia="宋体" w:cs="Times New Roman"/>
                <w:b/>
                <w:sz w:val="24"/>
                <w:szCs w:val="20"/>
              </w:rPr>
            </w:pPr>
          </w:p>
        </w:tc>
      </w:tr>
      <w:tr w14:paraId="5DDEC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5D123EF">
            <w:pPr>
              <w:jc w:val="center"/>
              <w:rPr>
                <w:rFonts w:ascii="Times New Roman" w:hAnsi="Times New Roman" w:eastAsia="宋体" w:cs="Times New Roman"/>
                <w:b/>
                <w:sz w:val="24"/>
                <w:szCs w:val="20"/>
              </w:rPr>
            </w:pPr>
          </w:p>
        </w:tc>
        <w:tc>
          <w:tcPr>
            <w:tcW w:w="3449" w:type="dxa"/>
          </w:tcPr>
          <w:p w14:paraId="1838CF10">
            <w:pPr>
              <w:jc w:val="center"/>
              <w:rPr>
                <w:rFonts w:ascii="Times New Roman" w:hAnsi="Times New Roman" w:eastAsia="宋体" w:cs="Times New Roman"/>
                <w:b/>
                <w:sz w:val="24"/>
                <w:szCs w:val="20"/>
              </w:rPr>
            </w:pPr>
          </w:p>
        </w:tc>
        <w:tc>
          <w:tcPr>
            <w:tcW w:w="2414" w:type="dxa"/>
          </w:tcPr>
          <w:p w14:paraId="12A1058A">
            <w:pPr>
              <w:jc w:val="center"/>
              <w:rPr>
                <w:rFonts w:ascii="Times New Roman" w:hAnsi="Times New Roman" w:eastAsia="宋体" w:cs="Times New Roman"/>
                <w:b/>
                <w:sz w:val="24"/>
                <w:szCs w:val="20"/>
              </w:rPr>
            </w:pPr>
          </w:p>
        </w:tc>
        <w:tc>
          <w:tcPr>
            <w:tcW w:w="1608" w:type="dxa"/>
          </w:tcPr>
          <w:p w14:paraId="040E1640">
            <w:pPr>
              <w:jc w:val="center"/>
              <w:rPr>
                <w:rFonts w:ascii="Times New Roman" w:hAnsi="Times New Roman" w:eastAsia="宋体" w:cs="Times New Roman"/>
                <w:b/>
                <w:sz w:val="24"/>
                <w:szCs w:val="20"/>
              </w:rPr>
            </w:pPr>
          </w:p>
        </w:tc>
      </w:tr>
      <w:tr w14:paraId="7CEA3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E34B97C">
            <w:pPr>
              <w:jc w:val="center"/>
              <w:rPr>
                <w:rFonts w:ascii="Times New Roman" w:hAnsi="Times New Roman" w:eastAsia="宋体" w:cs="Times New Roman"/>
                <w:b/>
                <w:sz w:val="24"/>
                <w:szCs w:val="20"/>
              </w:rPr>
            </w:pPr>
          </w:p>
        </w:tc>
        <w:tc>
          <w:tcPr>
            <w:tcW w:w="3449" w:type="dxa"/>
          </w:tcPr>
          <w:p w14:paraId="4C964A12">
            <w:pPr>
              <w:jc w:val="center"/>
              <w:rPr>
                <w:rFonts w:ascii="Times New Roman" w:hAnsi="Times New Roman" w:eastAsia="宋体" w:cs="Times New Roman"/>
                <w:b/>
                <w:sz w:val="24"/>
                <w:szCs w:val="20"/>
              </w:rPr>
            </w:pPr>
          </w:p>
        </w:tc>
        <w:tc>
          <w:tcPr>
            <w:tcW w:w="2414" w:type="dxa"/>
          </w:tcPr>
          <w:p w14:paraId="2695E49B">
            <w:pPr>
              <w:jc w:val="center"/>
              <w:rPr>
                <w:rFonts w:ascii="Times New Roman" w:hAnsi="Times New Roman" w:eastAsia="宋体" w:cs="Times New Roman"/>
                <w:b/>
                <w:sz w:val="24"/>
                <w:szCs w:val="20"/>
              </w:rPr>
            </w:pPr>
          </w:p>
        </w:tc>
        <w:tc>
          <w:tcPr>
            <w:tcW w:w="1608" w:type="dxa"/>
          </w:tcPr>
          <w:p w14:paraId="65DE1749">
            <w:pPr>
              <w:jc w:val="center"/>
              <w:rPr>
                <w:rFonts w:ascii="Times New Roman" w:hAnsi="Times New Roman" w:eastAsia="宋体" w:cs="Times New Roman"/>
                <w:b/>
                <w:sz w:val="24"/>
                <w:szCs w:val="20"/>
              </w:rPr>
            </w:pPr>
          </w:p>
        </w:tc>
      </w:tr>
      <w:tr w14:paraId="2A705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00B6934">
            <w:pPr>
              <w:jc w:val="center"/>
              <w:rPr>
                <w:rFonts w:ascii="Times New Roman" w:hAnsi="Times New Roman" w:eastAsia="宋体" w:cs="Times New Roman"/>
                <w:b/>
                <w:sz w:val="24"/>
                <w:szCs w:val="20"/>
              </w:rPr>
            </w:pPr>
          </w:p>
        </w:tc>
        <w:tc>
          <w:tcPr>
            <w:tcW w:w="3449" w:type="dxa"/>
          </w:tcPr>
          <w:p w14:paraId="2B99F1CE">
            <w:pPr>
              <w:jc w:val="center"/>
              <w:rPr>
                <w:rFonts w:ascii="Times New Roman" w:hAnsi="Times New Roman" w:eastAsia="宋体" w:cs="Times New Roman"/>
                <w:b/>
                <w:sz w:val="24"/>
                <w:szCs w:val="20"/>
              </w:rPr>
            </w:pPr>
          </w:p>
        </w:tc>
        <w:tc>
          <w:tcPr>
            <w:tcW w:w="2414" w:type="dxa"/>
          </w:tcPr>
          <w:p w14:paraId="388CCC72">
            <w:pPr>
              <w:jc w:val="center"/>
              <w:rPr>
                <w:rFonts w:ascii="Times New Roman" w:hAnsi="Times New Roman" w:eastAsia="宋体" w:cs="Times New Roman"/>
                <w:b/>
                <w:sz w:val="24"/>
                <w:szCs w:val="20"/>
              </w:rPr>
            </w:pPr>
          </w:p>
        </w:tc>
        <w:tc>
          <w:tcPr>
            <w:tcW w:w="1608" w:type="dxa"/>
          </w:tcPr>
          <w:p w14:paraId="056BD4B7">
            <w:pPr>
              <w:jc w:val="center"/>
              <w:rPr>
                <w:rFonts w:ascii="Times New Roman" w:hAnsi="Times New Roman" w:eastAsia="宋体" w:cs="Times New Roman"/>
                <w:b/>
                <w:sz w:val="24"/>
                <w:szCs w:val="20"/>
              </w:rPr>
            </w:pPr>
          </w:p>
        </w:tc>
      </w:tr>
      <w:tr w14:paraId="21F6B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8F17B37">
            <w:pPr>
              <w:jc w:val="center"/>
              <w:rPr>
                <w:rFonts w:ascii="Times New Roman" w:hAnsi="Times New Roman" w:eastAsia="宋体" w:cs="Times New Roman"/>
                <w:b/>
                <w:sz w:val="24"/>
                <w:szCs w:val="20"/>
              </w:rPr>
            </w:pPr>
          </w:p>
        </w:tc>
        <w:tc>
          <w:tcPr>
            <w:tcW w:w="3449" w:type="dxa"/>
          </w:tcPr>
          <w:p w14:paraId="7FCDA1B6">
            <w:pPr>
              <w:jc w:val="center"/>
              <w:rPr>
                <w:rFonts w:ascii="Times New Roman" w:hAnsi="Times New Roman" w:eastAsia="宋体" w:cs="Times New Roman"/>
                <w:b/>
                <w:sz w:val="24"/>
                <w:szCs w:val="20"/>
              </w:rPr>
            </w:pPr>
          </w:p>
        </w:tc>
        <w:tc>
          <w:tcPr>
            <w:tcW w:w="2414" w:type="dxa"/>
          </w:tcPr>
          <w:p w14:paraId="20E7CEC3">
            <w:pPr>
              <w:jc w:val="center"/>
              <w:rPr>
                <w:rFonts w:ascii="Times New Roman" w:hAnsi="Times New Roman" w:eastAsia="宋体" w:cs="Times New Roman"/>
                <w:b/>
                <w:sz w:val="24"/>
                <w:szCs w:val="20"/>
              </w:rPr>
            </w:pPr>
          </w:p>
        </w:tc>
        <w:tc>
          <w:tcPr>
            <w:tcW w:w="1608" w:type="dxa"/>
          </w:tcPr>
          <w:p w14:paraId="0B1970CD">
            <w:pPr>
              <w:jc w:val="center"/>
              <w:rPr>
                <w:rFonts w:ascii="Times New Roman" w:hAnsi="Times New Roman" w:eastAsia="宋体" w:cs="Times New Roman"/>
                <w:b/>
                <w:sz w:val="24"/>
                <w:szCs w:val="20"/>
              </w:rPr>
            </w:pPr>
          </w:p>
        </w:tc>
      </w:tr>
      <w:tr w14:paraId="43D4D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7C38087">
            <w:pPr>
              <w:jc w:val="center"/>
              <w:rPr>
                <w:rFonts w:ascii="Times New Roman" w:hAnsi="Times New Roman" w:eastAsia="宋体" w:cs="Times New Roman"/>
                <w:b/>
                <w:sz w:val="24"/>
                <w:szCs w:val="20"/>
              </w:rPr>
            </w:pPr>
          </w:p>
        </w:tc>
        <w:tc>
          <w:tcPr>
            <w:tcW w:w="3449" w:type="dxa"/>
          </w:tcPr>
          <w:p w14:paraId="4B2EA2BA">
            <w:pPr>
              <w:jc w:val="center"/>
              <w:rPr>
                <w:rFonts w:ascii="Times New Roman" w:hAnsi="Times New Roman" w:eastAsia="宋体" w:cs="Times New Roman"/>
                <w:b/>
                <w:sz w:val="24"/>
                <w:szCs w:val="20"/>
              </w:rPr>
            </w:pPr>
          </w:p>
        </w:tc>
        <w:tc>
          <w:tcPr>
            <w:tcW w:w="2414" w:type="dxa"/>
          </w:tcPr>
          <w:p w14:paraId="27D816B4">
            <w:pPr>
              <w:jc w:val="center"/>
              <w:rPr>
                <w:rFonts w:ascii="Times New Roman" w:hAnsi="Times New Roman" w:eastAsia="宋体" w:cs="Times New Roman"/>
                <w:b/>
                <w:sz w:val="24"/>
                <w:szCs w:val="20"/>
              </w:rPr>
            </w:pPr>
          </w:p>
        </w:tc>
        <w:tc>
          <w:tcPr>
            <w:tcW w:w="1608" w:type="dxa"/>
          </w:tcPr>
          <w:p w14:paraId="184A4564">
            <w:pPr>
              <w:jc w:val="center"/>
              <w:rPr>
                <w:rFonts w:ascii="Times New Roman" w:hAnsi="Times New Roman" w:eastAsia="宋体" w:cs="Times New Roman"/>
                <w:b/>
                <w:sz w:val="24"/>
                <w:szCs w:val="20"/>
              </w:rPr>
            </w:pPr>
          </w:p>
        </w:tc>
      </w:tr>
      <w:tr w14:paraId="295B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04C2AB4">
            <w:pPr>
              <w:jc w:val="center"/>
              <w:rPr>
                <w:rFonts w:ascii="Times New Roman" w:hAnsi="Times New Roman" w:eastAsia="宋体" w:cs="Times New Roman"/>
                <w:b/>
                <w:sz w:val="24"/>
                <w:szCs w:val="20"/>
              </w:rPr>
            </w:pPr>
          </w:p>
        </w:tc>
        <w:tc>
          <w:tcPr>
            <w:tcW w:w="3449" w:type="dxa"/>
          </w:tcPr>
          <w:p w14:paraId="0AD26550">
            <w:pPr>
              <w:jc w:val="center"/>
              <w:rPr>
                <w:rFonts w:ascii="Times New Roman" w:hAnsi="Times New Roman" w:eastAsia="宋体" w:cs="Times New Roman"/>
                <w:b/>
                <w:sz w:val="24"/>
                <w:szCs w:val="20"/>
              </w:rPr>
            </w:pPr>
          </w:p>
        </w:tc>
        <w:tc>
          <w:tcPr>
            <w:tcW w:w="2414" w:type="dxa"/>
          </w:tcPr>
          <w:p w14:paraId="5D407F21">
            <w:pPr>
              <w:jc w:val="center"/>
              <w:rPr>
                <w:rFonts w:ascii="Times New Roman" w:hAnsi="Times New Roman" w:eastAsia="宋体" w:cs="Times New Roman"/>
                <w:b/>
                <w:sz w:val="24"/>
                <w:szCs w:val="20"/>
              </w:rPr>
            </w:pPr>
          </w:p>
        </w:tc>
        <w:tc>
          <w:tcPr>
            <w:tcW w:w="1608" w:type="dxa"/>
          </w:tcPr>
          <w:p w14:paraId="78CF3591">
            <w:pPr>
              <w:jc w:val="center"/>
              <w:rPr>
                <w:rFonts w:ascii="Times New Roman" w:hAnsi="Times New Roman" w:eastAsia="宋体" w:cs="Times New Roman"/>
                <w:b/>
                <w:sz w:val="24"/>
                <w:szCs w:val="20"/>
              </w:rPr>
            </w:pPr>
          </w:p>
        </w:tc>
      </w:tr>
      <w:tr w14:paraId="52C6C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63FA224">
            <w:pPr>
              <w:jc w:val="center"/>
              <w:rPr>
                <w:rFonts w:ascii="Times New Roman" w:hAnsi="Times New Roman" w:eastAsia="宋体" w:cs="Times New Roman"/>
                <w:b/>
                <w:sz w:val="24"/>
                <w:szCs w:val="20"/>
              </w:rPr>
            </w:pPr>
          </w:p>
        </w:tc>
        <w:tc>
          <w:tcPr>
            <w:tcW w:w="3449" w:type="dxa"/>
          </w:tcPr>
          <w:p w14:paraId="5C3DEE6F">
            <w:pPr>
              <w:jc w:val="center"/>
              <w:rPr>
                <w:rFonts w:ascii="Times New Roman" w:hAnsi="Times New Roman" w:eastAsia="宋体" w:cs="Times New Roman"/>
                <w:b/>
                <w:sz w:val="24"/>
                <w:szCs w:val="20"/>
              </w:rPr>
            </w:pPr>
          </w:p>
        </w:tc>
        <w:tc>
          <w:tcPr>
            <w:tcW w:w="2414" w:type="dxa"/>
          </w:tcPr>
          <w:p w14:paraId="4792105D">
            <w:pPr>
              <w:jc w:val="center"/>
              <w:rPr>
                <w:rFonts w:ascii="Times New Roman" w:hAnsi="Times New Roman" w:eastAsia="宋体" w:cs="Times New Roman"/>
                <w:b/>
                <w:sz w:val="24"/>
                <w:szCs w:val="20"/>
              </w:rPr>
            </w:pPr>
          </w:p>
        </w:tc>
        <w:tc>
          <w:tcPr>
            <w:tcW w:w="1608" w:type="dxa"/>
          </w:tcPr>
          <w:p w14:paraId="1CE52FB3">
            <w:pPr>
              <w:jc w:val="center"/>
              <w:rPr>
                <w:rFonts w:ascii="Times New Roman" w:hAnsi="Times New Roman" w:eastAsia="宋体" w:cs="Times New Roman"/>
                <w:b/>
                <w:sz w:val="24"/>
                <w:szCs w:val="20"/>
              </w:rPr>
            </w:pPr>
          </w:p>
        </w:tc>
      </w:tr>
      <w:tr w14:paraId="4536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0A6C468">
            <w:pPr>
              <w:jc w:val="center"/>
              <w:rPr>
                <w:rFonts w:ascii="Times New Roman" w:hAnsi="Times New Roman" w:eastAsia="宋体" w:cs="Times New Roman"/>
                <w:b/>
                <w:sz w:val="24"/>
                <w:szCs w:val="20"/>
              </w:rPr>
            </w:pPr>
          </w:p>
        </w:tc>
        <w:tc>
          <w:tcPr>
            <w:tcW w:w="3449" w:type="dxa"/>
          </w:tcPr>
          <w:p w14:paraId="706A4A41">
            <w:pPr>
              <w:jc w:val="center"/>
              <w:rPr>
                <w:rFonts w:ascii="Times New Roman" w:hAnsi="Times New Roman" w:eastAsia="宋体" w:cs="Times New Roman"/>
                <w:b/>
                <w:sz w:val="24"/>
                <w:szCs w:val="20"/>
              </w:rPr>
            </w:pPr>
          </w:p>
        </w:tc>
        <w:tc>
          <w:tcPr>
            <w:tcW w:w="2414" w:type="dxa"/>
          </w:tcPr>
          <w:p w14:paraId="44ED7B10">
            <w:pPr>
              <w:jc w:val="center"/>
              <w:rPr>
                <w:rFonts w:ascii="Times New Roman" w:hAnsi="Times New Roman" w:eastAsia="宋体" w:cs="Times New Roman"/>
                <w:b/>
                <w:sz w:val="24"/>
                <w:szCs w:val="20"/>
              </w:rPr>
            </w:pPr>
          </w:p>
        </w:tc>
        <w:tc>
          <w:tcPr>
            <w:tcW w:w="1608" w:type="dxa"/>
          </w:tcPr>
          <w:p w14:paraId="2302ECAC">
            <w:pPr>
              <w:jc w:val="center"/>
              <w:rPr>
                <w:rFonts w:ascii="Times New Roman" w:hAnsi="Times New Roman" w:eastAsia="宋体" w:cs="Times New Roman"/>
                <w:b/>
                <w:sz w:val="24"/>
                <w:szCs w:val="20"/>
              </w:rPr>
            </w:pPr>
          </w:p>
        </w:tc>
      </w:tr>
      <w:tr w14:paraId="483CB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D2E114D">
            <w:pPr>
              <w:jc w:val="center"/>
              <w:rPr>
                <w:rFonts w:ascii="Times New Roman" w:hAnsi="Times New Roman" w:eastAsia="宋体" w:cs="Times New Roman"/>
                <w:b/>
                <w:sz w:val="24"/>
                <w:szCs w:val="20"/>
              </w:rPr>
            </w:pPr>
          </w:p>
        </w:tc>
        <w:tc>
          <w:tcPr>
            <w:tcW w:w="3449" w:type="dxa"/>
          </w:tcPr>
          <w:p w14:paraId="284D59A3">
            <w:pPr>
              <w:jc w:val="center"/>
              <w:rPr>
                <w:rFonts w:ascii="Times New Roman" w:hAnsi="Times New Roman" w:eastAsia="宋体" w:cs="Times New Roman"/>
                <w:b/>
                <w:sz w:val="24"/>
                <w:szCs w:val="20"/>
              </w:rPr>
            </w:pPr>
          </w:p>
        </w:tc>
        <w:tc>
          <w:tcPr>
            <w:tcW w:w="2414" w:type="dxa"/>
          </w:tcPr>
          <w:p w14:paraId="6ED509E8">
            <w:pPr>
              <w:jc w:val="center"/>
              <w:rPr>
                <w:rFonts w:ascii="Times New Roman" w:hAnsi="Times New Roman" w:eastAsia="宋体" w:cs="Times New Roman"/>
                <w:b/>
                <w:sz w:val="24"/>
                <w:szCs w:val="20"/>
              </w:rPr>
            </w:pPr>
          </w:p>
        </w:tc>
        <w:tc>
          <w:tcPr>
            <w:tcW w:w="1608" w:type="dxa"/>
          </w:tcPr>
          <w:p w14:paraId="4BD2756A">
            <w:pPr>
              <w:jc w:val="center"/>
              <w:rPr>
                <w:rFonts w:ascii="Times New Roman" w:hAnsi="Times New Roman" w:eastAsia="宋体" w:cs="Times New Roman"/>
                <w:b/>
                <w:sz w:val="24"/>
                <w:szCs w:val="20"/>
              </w:rPr>
            </w:pPr>
          </w:p>
        </w:tc>
      </w:tr>
      <w:tr w14:paraId="4D92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D8BA597">
            <w:pPr>
              <w:jc w:val="center"/>
              <w:rPr>
                <w:rFonts w:ascii="Times New Roman" w:hAnsi="Times New Roman" w:eastAsia="宋体" w:cs="Times New Roman"/>
                <w:b/>
                <w:sz w:val="24"/>
                <w:szCs w:val="20"/>
              </w:rPr>
            </w:pPr>
          </w:p>
        </w:tc>
        <w:tc>
          <w:tcPr>
            <w:tcW w:w="3449" w:type="dxa"/>
          </w:tcPr>
          <w:p w14:paraId="7794218F">
            <w:pPr>
              <w:jc w:val="center"/>
              <w:rPr>
                <w:rFonts w:ascii="Times New Roman" w:hAnsi="Times New Roman" w:eastAsia="宋体" w:cs="Times New Roman"/>
                <w:b/>
                <w:sz w:val="24"/>
                <w:szCs w:val="20"/>
              </w:rPr>
            </w:pPr>
          </w:p>
        </w:tc>
        <w:tc>
          <w:tcPr>
            <w:tcW w:w="2414" w:type="dxa"/>
          </w:tcPr>
          <w:p w14:paraId="0CAAEEAD">
            <w:pPr>
              <w:jc w:val="center"/>
              <w:rPr>
                <w:rFonts w:ascii="Times New Roman" w:hAnsi="Times New Roman" w:eastAsia="宋体" w:cs="Times New Roman"/>
                <w:b/>
                <w:sz w:val="24"/>
                <w:szCs w:val="20"/>
              </w:rPr>
            </w:pPr>
          </w:p>
        </w:tc>
        <w:tc>
          <w:tcPr>
            <w:tcW w:w="1608" w:type="dxa"/>
          </w:tcPr>
          <w:p w14:paraId="344053B7">
            <w:pPr>
              <w:jc w:val="center"/>
              <w:rPr>
                <w:rFonts w:ascii="Times New Roman" w:hAnsi="Times New Roman" w:eastAsia="宋体" w:cs="Times New Roman"/>
                <w:b/>
                <w:sz w:val="24"/>
                <w:szCs w:val="20"/>
              </w:rPr>
            </w:pPr>
          </w:p>
        </w:tc>
      </w:tr>
      <w:tr w14:paraId="4B5EB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AE30C4A">
            <w:pPr>
              <w:jc w:val="center"/>
              <w:rPr>
                <w:rFonts w:ascii="Times New Roman" w:hAnsi="Times New Roman" w:eastAsia="宋体" w:cs="Times New Roman"/>
                <w:b/>
                <w:sz w:val="24"/>
                <w:szCs w:val="20"/>
              </w:rPr>
            </w:pPr>
          </w:p>
        </w:tc>
        <w:tc>
          <w:tcPr>
            <w:tcW w:w="3449" w:type="dxa"/>
          </w:tcPr>
          <w:p w14:paraId="191486AA">
            <w:pPr>
              <w:jc w:val="center"/>
              <w:rPr>
                <w:rFonts w:ascii="Times New Roman" w:hAnsi="Times New Roman" w:eastAsia="宋体" w:cs="Times New Roman"/>
                <w:b/>
                <w:sz w:val="24"/>
                <w:szCs w:val="20"/>
              </w:rPr>
            </w:pPr>
          </w:p>
        </w:tc>
        <w:tc>
          <w:tcPr>
            <w:tcW w:w="2414" w:type="dxa"/>
          </w:tcPr>
          <w:p w14:paraId="353C7BB8">
            <w:pPr>
              <w:jc w:val="center"/>
              <w:rPr>
                <w:rFonts w:ascii="Times New Roman" w:hAnsi="Times New Roman" w:eastAsia="宋体" w:cs="Times New Roman"/>
                <w:b/>
                <w:sz w:val="24"/>
                <w:szCs w:val="20"/>
              </w:rPr>
            </w:pPr>
          </w:p>
        </w:tc>
        <w:tc>
          <w:tcPr>
            <w:tcW w:w="1608" w:type="dxa"/>
          </w:tcPr>
          <w:p w14:paraId="336BC324">
            <w:pPr>
              <w:jc w:val="center"/>
              <w:rPr>
                <w:rFonts w:ascii="Times New Roman" w:hAnsi="Times New Roman" w:eastAsia="宋体" w:cs="Times New Roman"/>
                <w:b/>
                <w:sz w:val="24"/>
                <w:szCs w:val="20"/>
              </w:rPr>
            </w:pPr>
          </w:p>
        </w:tc>
      </w:tr>
      <w:tr w14:paraId="17A97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6C5EB7A">
            <w:pPr>
              <w:jc w:val="center"/>
              <w:rPr>
                <w:rFonts w:ascii="Times New Roman" w:hAnsi="Times New Roman" w:eastAsia="宋体" w:cs="Times New Roman"/>
                <w:b/>
                <w:sz w:val="24"/>
                <w:szCs w:val="20"/>
              </w:rPr>
            </w:pPr>
          </w:p>
        </w:tc>
        <w:tc>
          <w:tcPr>
            <w:tcW w:w="3449" w:type="dxa"/>
          </w:tcPr>
          <w:p w14:paraId="3CBC63DA">
            <w:pPr>
              <w:jc w:val="center"/>
              <w:rPr>
                <w:rFonts w:ascii="Times New Roman" w:hAnsi="Times New Roman" w:eastAsia="宋体" w:cs="Times New Roman"/>
                <w:b/>
                <w:sz w:val="24"/>
                <w:szCs w:val="20"/>
              </w:rPr>
            </w:pPr>
          </w:p>
        </w:tc>
        <w:tc>
          <w:tcPr>
            <w:tcW w:w="2414" w:type="dxa"/>
          </w:tcPr>
          <w:p w14:paraId="2F3C6E9E">
            <w:pPr>
              <w:jc w:val="center"/>
              <w:rPr>
                <w:rFonts w:ascii="Times New Roman" w:hAnsi="Times New Roman" w:eastAsia="宋体" w:cs="Times New Roman"/>
                <w:b/>
                <w:sz w:val="24"/>
                <w:szCs w:val="20"/>
              </w:rPr>
            </w:pPr>
          </w:p>
        </w:tc>
        <w:tc>
          <w:tcPr>
            <w:tcW w:w="1608" w:type="dxa"/>
          </w:tcPr>
          <w:p w14:paraId="4B700D23">
            <w:pPr>
              <w:jc w:val="center"/>
              <w:rPr>
                <w:rFonts w:ascii="Times New Roman" w:hAnsi="Times New Roman" w:eastAsia="宋体" w:cs="Times New Roman"/>
                <w:b/>
                <w:sz w:val="24"/>
                <w:szCs w:val="20"/>
              </w:rPr>
            </w:pPr>
          </w:p>
        </w:tc>
      </w:tr>
      <w:tr w14:paraId="7AF2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354C372">
            <w:pPr>
              <w:jc w:val="center"/>
              <w:rPr>
                <w:rFonts w:ascii="Times New Roman" w:hAnsi="Times New Roman" w:eastAsia="宋体" w:cs="Times New Roman"/>
                <w:b/>
                <w:sz w:val="24"/>
                <w:szCs w:val="20"/>
              </w:rPr>
            </w:pPr>
          </w:p>
        </w:tc>
        <w:tc>
          <w:tcPr>
            <w:tcW w:w="3449" w:type="dxa"/>
          </w:tcPr>
          <w:p w14:paraId="6C4DC664">
            <w:pPr>
              <w:jc w:val="center"/>
              <w:rPr>
                <w:rFonts w:ascii="Times New Roman" w:hAnsi="Times New Roman" w:eastAsia="宋体" w:cs="Times New Roman"/>
                <w:b/>
                <w:sz w:val="24"/>
                <w:szCs w:val="20"/>
              </w:rPr>
            </w:pPr>
          </w:p>
        </w:tc>
        <w:tc>
          <w:tcPr>
            <w:tcW w:w="2414" w:type="dxa"/>
          </w:tcPr>
          <w:p w14:paraId="170E70BD">
            <w:pPr>
              <w:jc w:val="center"/>
              <w:rPr>
                <w:rFonts w:ascii="Times New Roman" w:hAnsi="Times New Roman" w:eastAsia="宋体" w:cs="Times New Roman"/>
                <w:b/>
                <w:sz w:val="24"/>
                <w:szCs w:val="20"/>
              </w:rPr>
            </w:pPr>
          </w:p>
        </w:tc>
        <w:tc>
          <w:tcPr>
            <w:tcW w:w="1608" w:type="dxa"/>
          </w:tcPr>
          <w:p w14:paraId="22D09A3B">
            <w:pPr>
              <w:jc w:val="center"/>
              <w:rPr>
                <w:rFonts w:ascii="Times New Roman" w:hAnsi="Times New Roman" w:eastAsia="宋体" w:cs="Times New Roman"/>
                <w:b/>
                <w:sz w:val="24"/>
                <w:szCs w:val="20"/>
              </w:rPr>
            </w:pPr>
          </w:p>
        </w:tc>
      </w:tr>
    </w:tbl>
    <w:p w14:paraId="58C2A279">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0CDD02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1F3167E">
      <w:pPr>
        <w:rPr>
          <w:rFonts w:ascii="宋体" w:hAnsi="Calibri" w:eastAsia="宋体" w:cs="宋体"/>
          <w:b/>
          <w:bCs/>
          <w:color w:val="000000"/>
          <w:sz w:val="28"/>
          <w:szCs w:val="20"/>
        </w:rPr>
      </w:pPr>
    </w:p>
    <w:p w14:paraId="0FAEC2FB">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4AEA642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2021年1月1日至今同类项目业绩一览表</w:t>
      </w:r>
    </w:p>
    <w:p w14:paraId="7A3BF09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lang w:eastAsia="zh-CN"/>
        </w:rPr>
        <w:t>主减装配 DE线产品兼容性改造技改项目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1179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3581DE91">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BDD5AC8">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72B1BAD8">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47AF21A5">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07406BB2">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46764F12">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5AB96E86">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6FE8E23A">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68C69CA0">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195C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5BB630">
            <w:pPr>
              <w:ind w:left="420" w:hanging="420"/>
              <w:rPr>
                <w:rFonts w:ascii="宋体" w:hAnsi="Times New Roman" w:eastAsia="宋体" w:cs="Times New Roman"/>
                <w:b/>
                <w:szCs w:val="20"/>
              </w:rPr>
            </w:pPr>
          </w:p>
        </w:tc>
        <w:tc>
          <w:tcPr>
            <w:tcW w:w="2082" w:type="dxa"/>
          </w:tcPr>
          <w:p w14:paraId="46D5A6D4">
            <w:pPr>
              <w:ind w:left="420" w:hanging="420"/>
              <w:rPr>
                <w:rFonts w:ascii="宋体" w:hAnsi="Times New Roman" w:eastAsia="宋体" w:cs="Times New Roman"/>
                <w:b/>
                <w:szCs w:val="20"/>
              </w:rPr>
            </w:pPr>
          </w:p>
        </w:tc>
        <w:tc>
          <w:tcPr>
            <w:tcW w:w="1355" w:type="dxa"/>
          </w:tcPr>
          <w:p w14:paraId="4701036C">
            <w:pPr>
              <w:ind w:left="420" w:hanging="420"/>
              <w:rPr>
                <w:rFonts w:ascii="宋体" w:hAnsi="Times New Roman" w:eastAsia="宋体" w:cs="Times New Roman"/>
                <w:b/>
                <w:szCs w:val="20"/>
              </w:rPr>
            </w:pPr>
          </w:p>
        </w:tc>
        <w:tc>
          <w:tcPr>
            <w:tcW w:w="826" w:type="dxa"/>
          </w:tcPr>
          <w:p w14:paraId="51C26E74">
            <w:pPr>
              <w:ind w:left="420" w:hanging="420"/>
              <w:rPr>
                <w:rFonts w:ascii="宋体" w:hAnsi="Times New Roman" w:eastAsia="宋体" w:cs="Times New Roman"/>
                <w:b/>
                <w:szCs w:val="20"/>
              </w:rPr>
            </w:pPr>
          </w:p>
        </w:tc>
        <w:tc>
          <w:tcPr>
            <w:tcW w:w="1320" w:type="dxa"/>
          </w:tcPr>
          <w:p w14:paraId="1407CDC5">
            <w:pPr>
              <w:ind w:left="420" w:hanging="420"/>
              <w:rPr>
                <w:rFonts w:ascii="宋体" w:hAnsi="Times New Roman" w:eastAsia="宋体" w:cs="Times New Roman"/>
                <w:b/>
                <w:szCs w:val="20"/>
              </w:rPr>
            </w:pPr>
          </w:p>
        </w:tc>
        <w:tc>
          <w:tcPr>
            <w:tcW w:w="1023" w:type="dxa"/>
          </w:tcPr>
          <w:p w14:paraId="2CA25812">
            <w:pPr>
              <w:ind w:left="420" w:hanging="420"/>
              <w:rPr>
                <w:rFonts w:ascii="宋体" w:hAnsi="Times New Roman" w:eastAsia="宋体" w:cs="Times New Roman"/>
                <w:b/>
                <w:szCs w:val="20"/>
              </w:rPr>
            </w:pPr>
          </w:p>
        </w:tc>
        <w:tc>
          <w:tcPr>
            <w:tcW w:w="1590" w:type="dxa"/>
          </w:tcPr>
          <w:p w14:paraId="0BC5513D">
            <w:pPr>
              <w:ind w:left="420" w:hanging="420"/>
              <w:rPr>
                <w:rFonts w:ascii="宋体" w:hAnsi="Times New Roman" w:eastAsia="宋体" w:cs="Times New Roman"/>
                <w:b/>
                <w:szCs w:val="20"/>
              </w:rPr>
            </w:pPr>
          </w:p>
        </w:tc>
      </w:tr>
      <w:tr w14:paraId="43F18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87CC3A">
            <w:pPr>
              <w:ind w:left="420" w:hanging="420"/>
              <w:rPr>
                <w:rFonts w:ascii="宋体" w:hAnsi="Times New Roman" w:eastAsia="宋体" w:cs="Times New Roman"/>
                <w:b/>
                <w:szCs w:val="20"/>
              </w:rPr>
            </w:pPr>
          </w:p>
        </w:tc>
        <w:tc>
          <w:tcPr>
            <w:tcW w:w="2082" w:type="dxa"/>
          </w:tcPr>
          <w:p w14:paraId="371BF4A4">
            <w:pPr>
              <w:ind w:left="420" w:hanging="420"/>
              <w:rPr>
                <w:rFonts w:ascii="宋体" w:hAnsi="Times New Roman" w:eastAsia="宋体" w:cs="Times New Roman"/>
                <w:b/>
                <w:szCs w:val="20"/>
              </w:rPr>
            </w:pPr>
          </w:p>
        </w:tc>
        <w:tc>
          <w:tcPr>
            <w:tcW w:w="1355" w:type="dxa"/>
          </w:tcPr>
          <w:p w14:paraId="432E21B4">
            <w:pPr>
              <w:ind w:left="420" w:hanging="420"/>
              <w:rPr>
                <w:rFonts w:ascii="宋体" w:hAnsi="Times New Roman" w:eastAsia="宋体" w:cs="Times New Roman"/>
                <w:b/>
                <w:szCs w:val="20"/>
              </w:rPr>
            </w:pPr>
          </w:p>
        </w:tc>
        <w:tc>
          <w:tcPr>
            <w:tcW w:w="826" w:type="dxa"/>
          </w:tcPr>
          <w:p w14:paraId="0B688F39">
            <w:pPr>
              <w:ind w:left="420" w:hanging="420"/>
              <w:rPr>
                <w:rFonts w:ascii="宋体" w:hAnsi="Times New Roman" w:eastAsia="宋体" w:cs="Times New Roman"/>
                <w:b/>
                <w:szCs w:val="20"/>
              </w:rPr>
            </w:pPr>
          </w:p>
        </w:tc>
        <w:tc>
          <w:tcPr>
            <w:tcW w:w="1320" w:type="dxa"/>
          </w:tcPr>
          <w:p w14:paraId="6D6695B0">
            <w:pPr>
              <w:ind w:left="420" w:hanging="420"/>
              <w:rPr>
                <w:rFonts w:ascii="宋体" w:hAnsi="Times New Roman" w:eastAsia="宋体" w:cs="Times New Roman"/>
                <w:b/>
                <w:szCs w:val="20"/>
              </w:rPr>
            </w:pPr>
          </w:p>
        </w:tc>
        <w:tc>
          <w:tcPr>
            <w:tcW w:w="1023" w:type="dxa"/>
          </w:tcPr>
          <w:p w14:paraId="1630ABA6">
            <w:pPr>
              <w:ind w:left="420" w:hanging="420"/>
              <w:rPr>
                <w:rFonts w:ascii="宋体" w:hAnsi="Times New Roman" w:eastAsia="宋体" w:cs="Times New Roman"/>
                <w:b/>
                <w:szCs w:val="20"/>
              </w:rPr>
            </w:pPr>
          </w:p>
        </w:tc>
        <w:tc>
          <w:tcPr>
            <w:tcW w:w="1590" w:type="dxa"/>
          </w:tcPr>
          <w:p w14:paraId="375B99A6">
            <w:pPr>
              <w:ind w:left="420" w:hanging="420"/>
              <w:rPr>
                <w:rFonts w:ascii="宋体" w:hAnsi="Times New Roman" w:eastAsia="宋体" w:cs="Times New Roman"/>
                <w:b/>
                <w:szCs w:val="20"/>
              </w:rPr>
            </w:pPr>
          </w:p>
        </w:tc>
      </w:tr>
      <w:tr w14:paraId="464D0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CBFAB92">
            <w:pPr>
              <w:ind w:left="420" w:hanging="420"/>
              <w:rPr>
                <w:rFonts w:ascii="宋体" w:hAnsi="Times New Roman" w:eastAsia="宋体" w:cs="Times New Roman"/>
                <w:b/>
                <w:szCs w:val="20"/>
              </w:rPr>
            </w:pPr>
          </w:p>
        </w:tc>
        <w:tc>
          <w:tcPr>
            <w:tcW w:w="2082" w:type="dxa"/>
          </w:tcPr>
          <w:p w14:paraId="59224E83">
            <w:pPr>
              <w:ind w:left="420" w:hanging="420"/>
              <w:rPr>
                <w:rFonts w:ascii="宋体" w:hAnsi="Times New Roman" w:eastAsia="宋体" w:cs="Times New Roman"/>
                <w:b/>
                <w:szCs w:val="20"/>
              </w:rPr>
            </w:pPr>
          </w:p>
        </w:tc>
        <w:tc>
          <w:tcPr>
            <w:tcW w:w="1355" w:type="dxa"/>
          </w:tcPr>
          <w:p w14:paraId="0C382DB2">
            <w:pPr>
              <w:ind w:left="420" w:hanging="420"/>
              <w:rPr>
                <w:rFonts w:ascii="宋体" w:hAnsi="Times New Roman" w:eastAsia="宋体" w:cs="Times New Roman"/>
                <w:b/>
                <w:szCs w:val="20"/>
              </w:rPr>
            </w:pPr>
          </w:p>
        </w:tc>
        <w:tc>
          <w:tcPr>
            <w:tcW w:w="826" w:type="dxa"/>
          </w:tcPr>
          <w:p w14:paraId="37CDCD74">
            <w:pPr>
              <w:ind w:left="420" w:hanging="420"/>
              <w:rPr>
                <w:rFonts w:ascii="宋体" w:hAnsi="Times New Roman" w:eastAsia="宋体" w:cs="Times New Roman"/>
                <w:b/>
                <w:szCs w:val="20"/>
              </w:rPr>
            </w:pPr>
          </w:p>
        </w:tc>
        <w:tc>
          <w:tcPr>
            <w:tcW w:w="1320" w:type="dxa"/>
          </w:tcPr>
          <w:p w14:paraId="5E3189F1">
            <w:pPr>
              <w:ind w:left="420" w:hanging="420"/>
              <w:rPr>
                <w:rFonts w:ascii="宋体" w:hAnsi="Times New Roman" w:eastAsia="宋体" w:cs="Times New Roman"/>
                <w:b/>
                <w:szCs w:val="20"/>
              </w:rPr>
            </w:pPr>
          </w:p>
        </w:tc>
        <w:tc>
          <w:tcPr>
            <w:tcW w:w="1023" w:type="dxa"/>
          </w:tcPr>
          <w:p w14:paraId="55E15A24">
            <w:pPr>
              <w:ind w:left="420" w:hanging="420"/>
              <w:rPr>
                <w:rFonts w:ascii="宋体" w:hAnsi="Times New Roman" w:eastAsia="宋体" w:cs="Times New Roman"/>
                <w:b/>
                <w:szCs w:val="20"/>
              </w:rPr>
            </w:pPr>
          </w:p>
        </w:tc>
        <w:tc>
          <w:tcPr>
            <w:tcW w:w="1590" w:type="dxa"/>
          </w:tcPr>
          <w:p w14:paraId="4382F726">
            <w:pPr>
              <w:ind w:left="420" w:hanging="420"/>
              <w:rPr>
                <w:rFonts w:ascii="宋体" w:hAnsi="Times New Roman" w:eastAsia="宋体" w:cs="Times New Roman"/>
                <w:b/>
                <w:szCs w:val="20"/>
              </w:rPr>
            </w:pPr>
          </w:p>
        </w:tc>
      </w:tr>
      <w:tr w14:paraId="38E8C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B2F967">
            <w:pPr>
              <w:ind w:left="420" w:hanging="420"/>
              <w:rPr>
                <w:rFonts w:ascii="宋体" w:hAnsi="Times New Roman" w:eastAsia="宋体" w:cs="Times New Roman"/>
                <w:b/>
                <w:szCs w:val="20"/>
              </w:rPr>
            </w:pPr>
          </w:p>
        </w:tc>
        <w:tc>
          <w:tcPr>
            <w:tcW w:w="2082" w:type="dxa"/>
          </w:tcPr>
          <w:p w14:paraId="5DF144AB">
            <w:pPr>
              <w:ind w:left="420" w:hanging="420"/>
              <w:rPr>
                <w:rFonts w:ascii="宋体" w:hAnsi="Times New Roman" w:eastAsia="宋体" w:cs="Times New Roman"/>
                <w:b/>
                <w:szCs w:val="20"/>
              </w:rPr>
            </w:pPr>
          </w:p>
        </w:tc>
        <w:tc>
          <w:tcPr>
            <w:tcW w:w="1355" w:type="dxa"/>
          </w:tcPr>
          <w:p w14:paraId="55DC5444">
            <w:pPr>
              <w:ind w:left="420" w:hanging="420"/>
              <w:rPr>
                <w:rFonts w:ascii="宋体" w:hAnsi="Times New Roman" w:eastAsia="宋体" w:cs="Times New Roman"/>
                <w:b/>
                <w:szCs w:val="20"/>
              </w:rPr>
            </w:pPr>
          </w:p>
        </w:tc>
        <w:tc>
          <w:tcPr>
            <w:tcW w:w="826" w:type="dxa"/>
          </w:tcPr>
          <w:p w14:paraId="2C243ABE">
            <w:pPr>
              <w:ind w:left="420" w:hanging="420"/>
              <w:rPr>
                <w:rFonts w:ascii="宋体" w:hAnsi="Times New Roman" w:eastAsia="宋体" w:cs="Times New Roman"/>
                <w:b/>
                <w:szCs w:val="20"/>
              </w:rPr>
            </w:pPr>
          </w:p>
        </w:tc>
        <w:tc>
          <w:tcPr>
            <w:tcW w:w="1320" w:type="dxa"/>
          </w:tcPr>
          <w:p w14:paraId="67B37BFC">
            <w:pPr>
              <w:ind w:left="420" w:hanging="420"/>
              <w:rPr>
                <w:rFonts w:ascii="宋体" w:hAnsi="Times New Roman" w:eastAsia="宋体" w:cs="Times New Roman"/>
                <w:b/>
                <w:szCs w:val="20"/>
              </w:rPr>
            </w:pPr>
          </w:p>
        </w:tc>
        <w:tc>
          <w:tcPr>
            <w:tcW w:w="1023" w:type="dxa"/>
          </w:tcPr>
          <w:p w14:paraId="3044F31E">
            <w:pPr>
              <w:ind w:left="420" w:hanging="420"/>
              <w:rPr>
                <w:rFonts w:ascii="宋体" w:hAnsi="Times New Roman" w:eastAsia="宋体" w:cs="Times New Roman"/>
                <w:b/>
                <w:szCs w:val="20"/>
              </w:rPr>
            </w:pPr>
          </w:p>
        </w:tc>
        <w:tc>
          <w:tcPr>
            <w:tcW w:w="1590" w:type="dxa"/>
          </w:tcPr>
          <w:p w14:paraId="5ACC93A5">
            <w:pPr>
              <w:ind w:left="420" w:hanging="420"/>
              <w:rPr>
                <w:rFonts w:ascii="宋体" w:hAnsi="Times New Roman" w:eastAsia="宋体" w:cs="Times New Roman"/>
                <w:b/>
                <w:szCs w:val="20"/>
              </w:rPr>
            </w:pPr>
          </w:p>
        </w:tc>
      </w:tr>
      <w:tr w14:paraId="2E0F8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79EDB9A">
            <w:pPr>
              <w:ind w:left="420" w:hanging="420"/>
              <w:rPr>
                <w:rFonts w:ascii="宋体" w:hAnsi="Times New Roman" w:eastAsia="宋体" w:cs="Times New Roman"/>
                <w:b/>
                <w:szCs w:val="20"/>
              </w:rPr>
            </w:pPr>
          </w:p>
        </w:tc>
        <w:tc>
          <w:tcPr>
            <w:tcW w:w="2082" w:type="dxa"/>
          </w:tcPr>
          <w:p w14:paraId="476C4408">
            <w:pPr>
              <w:ind w:left="420" w:hanging="420"/>
              <w:rPr>
                <w:rFonts w:ascii="宋体" w:hAnsi="Times New Roman" w:eastAsia="宋体" w:cs="Times New Roman"/>
                <w:b/>
                <w:szCs w:val="20"/>
              </w:rPr>
            </w:pPr>
          </w:p>
        </w:tc>
        <w:tc>
          <w:tcPr>
            <w:tcW w:w="1355" w:type="dxa"/>
          </w:tcPr>
          <w:p w14:paraId="5D453218">
            <w:pPr>
              <w:ind w:left="420" w:hanging="420"/>
              <w:rPr>
                <w:rFonts w:ascii="宋体" w:hAnsi="Times New Roman" w:eastAsia="宋体" w:cs="Times New Roman"/>
                <w:b/>
                <w:szCs w:val="20"/>
              </w:rPr>
            </w:pPr>
          </w:p>
        </w:tc>
        <w:tc>
          <w:tcPr>
            <w:tcW w:w="826" w:type="dxa"/>
          </w:tcPr>
          <w:p w14:paraId="38625FD1">
            <w:pPr>
              <w:ind w:left="420" w:hanging="420"/>
              <w:rPr>
                <w:rFonts w:ascii="宋体" w:hAnsi="Times New Roman" w:eastAsia="宋体" w:cs="Times New Roman"/>
                <w:b/>
                <w:szCs w:val="20"/>
              </w:rPr>
            </w:pPr>
          </w:p>
        </w:tc>
        <w:tc>
          <w:tcPr>
            <w:tcW w:w="1320" w:type="dxa"/>
          </w:tcPr>
          <w:p w14:paraId="5558B830">
            <w:pPr>
              <w:ind w:left="420" w:hanging="420"/>
              <w:rPr>
                <w:rFonts w:ascii="宋体" w:hAnsi="Times New Roman" w:eastAsia="宋体" w:cs="Times New Roman"/>
                <w:b/>
                <w:szCs w:val="20"/>
              </w:rPr>
            </w:pPr>
          </w:p>
        </w:tc>
        <w:tc>
          <w:tcPr>
            <w:tcW w:w="1023" w:type="dxa"/>
          </w:tcPr>
          <w:p w14:paraId="4BD89FAA">
            <w:pPr>
              <w:ind w:left="420" w:hanging="420"/>
              <w:rPr>
                <w:rFonts w:ascii="宋体" w:hAnsi="Times New Roman" w:eastAsia="宋体" w:cs="Times New Roman"/>
                <w:b/>
                <w:szCs w:val="20"/>
              </w:rPr>
            </w:pPr>
          </w:p>
        </w:tc>
        <w:tc>
          <w:tcPr>
            <w:tcW w:w="1590" w:type="dxa"/>
          </w:tcPr>
          <w:p w14:paraId="4E247110">
            <w:pPr>
              <w:ind w:left="420" w:hanging="420"/>
              <w:rPr>
                <w:rFonts w:ascii="宋体" w:hAnsi="Times New Roman" w:eastAsia="宋体" w:cs="Times New Roman"/>
                <w:b/>
                <w:szCs w:val="20"/>
              </w:rPr>
            </w:pPr>
          </w:p>
        </w:tc>
      </w:tr>
      <w:tr w14:paraId="5A171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2B2BE3">
            <w:pPr>
              <w:ind w:left="420" w:hanging="420"/>
              <w:rPr>
                <w:rFonts w:ascii="宋体" w:hAnsi="Times New Roman" w:eastAsia="宋体" w:cs="Times New Roman"/>
                <w:b/>
                <w:szCs w:val="20"/>
              </w:rPr>
            </w:pPr>
          </w:p>
        </w:tc>
        <w:tc>
          <w:tcPr>
            <w:tcW w:w="2082" w:type="dxa"/>
          </w:tcPr>
          <w:p w14:paraId="4A0786CD">
            <w:pPr>
              <w:ind w:left="420" w:hanging="420"/>
              <w:rPr>
                <w:rFonts w:ascii="宋体" w:hAnsi="Times New Roman" w:eastAsia="宋体" w:cs="Times New Roman"/>
                <w:b/>
                <w:szCs w:val="20"/>
              </w:rPr>
            </w:pPr>
          </w:p>
        </w:tc>
        <w:tc>
          <w:tcPr>
            <w:tcW w:w="1355" w:type="dxa"/>
          </w:tcPr>
          <w:p w14:paraId="54F70199">
            <w:pPr>
              <w:ind w:left="420" w:hanging="420"/>
              <w:rPr>
                <w:rFonts w:ascii="宋体" w:hAnsi="Times New Roman" w:eastAsia="宋体" w:cs="Times New Roman"/>
                <w:b/>
                <w:szCs w:val="20"/>
              </w:rPr>
            </w:pPr>
          </w:p>
        </w:tc>
        <w:tc>
          <w:tcPr>
            <w:tcW w:w="826" w:type="dxa"/>
          </w:tcPr>
          <w:p w14:paraId="53CE2AE6">
            <w:pPr>
              <w:ind w:left="420" w:hanging="420"/>
              <w:rPr>
                <w:rFonts w:ascii="宋体" w:hAnsi="Times New Roman" w:eastAsia="宋体" w:cs="Times New Roman"/>
                <w:b/>
                <w:szCs w:val="20"/>
              </w:rPr>
            </w:pPr>
          </w:p>
        </w:tc>
        <w:tc>
          <w:tcPr>
            <w:tcW w:w="1320" w:type="dxa"/>
          </w:tcPr>
          <w:p w14:paraId="3C95A675">
            <w:pPr>
              <w:ind w:left="420" w:hanging="420"/>
              <w:rPr>
                <w:rFonts w:ascii="宋体" w:hAnsi="Times New Roman" w:eastAsia="宋体" w:cs="Times New Roman"/>
                <w:b/>
                <w:szCs w:val="20"/>
              </w:rPr>
            </w:pPr>
          </w:p>
        </w:tc>
        <w:tc>
          <w:tcPr>
            <w:tcW w:w="1023" w:type="dxa"/>
          </w:tcPr>
          <w:p w14:paraId="12DCA444">
            <w:pPr>
              <w:ind w:left="420" w:hanging="420"/>
              <w:rPr>
                <w:rFonts w:ascii="宋体" w:hAnsi="Times New Roman" w:eastAsia="宋体" w:cs="Times New Roman"/>
                <w:b/>
                <w:szCs w:val="20"/>
              </w:rPr>
            </w:pPr>
          </w:p>
        </w:tc>
        <w:tc>
          <w:tcPr>
            <w:tcW w:w="1590" w:type="dxa"/>
          </w:tcPr>
          <w:p w14:paraId="1FFC3A98">
            <w:pPr>
              <w:ind w:left="420" w:hanging="420"/>
              <w:rPr>
                <w:rFonts w:ascii="宋体" w:hAnsi="Times New Roman" w:eastAsia="宋体" w:cs="Times New Roman"/>
                <w:b/>
                <w:szCs w:val="20"/>
              </w:rPr>
            </w:pPr>
          </w:p>
        </w:tc>
      </w:tr>
      <w:tr w14:paraId="1036A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D0A412F">
            <w:pPr>
              <w:ind w:left="420" w:hanging="420"/>
              <w:rPr>
                <w:rFonts w:ascii="宋体" w:hAnsi="Times New Roman" w:eastAsia="宋体" w:cs="Times New Roman"/>
                <w:b/>
                <w:szCs w:val="20"/>
              </w:rPr>
            </w:pPr>
          </w:p>
        </w:tc>
        <w:tc>
          <w:tcPr>
            <w:tcW w:w="2082" w:type="dxa"/>
          </w:tcPr>
          <w:p w14:paraId="24E2DE4B">
            <w:pPr>
              <w:ind w:left="420" w:hanging="420"/>
              <w:rPr>
                <w:rFonts w:ascii="宋体" w:hAnsi="Times New Roman" w:eastAsia="宋体" w:cs="Times New Roman"/>
                <w:b/>
                <w:szCs w:val="20"/>
              </w:rPr>
            </w:pPr>
          </w:p>
        </w:tc>
        <w:tc>
          <w:tcPr>
            <w:tcW w:w="1355" w:type="dxa"/>
          </w:tcPr>
          <w:p w14:paraId="721F654C">
            <w:pPr>
              <w:ind w:left="420" w:hanging="420"/>
              <w:rPr>
                <w:rFonts w:ascii="宋体" w:hAnsi="Times New Roman" w:eastAsia="宋体" w:cs="Times New Roman"/>
                <w:b/>
                <w:szCs w:val="20"/>
              </w:rPr>
            </w:pPr>
          </w:p>
        </w:tc>
        <w:tc>
          <w:tcPr>
            <w:tcW w:w="826" w:type="dxa"/>
          </w:tcPr>
          <w:p w14:paraId="4885941B">
            <w:pPr>
              <w:ind w:left="420" w:hanging="420"/>
              <w:rPr>
                <w:rFonts w:ascii="宋体" w:hAnsi="Times New Roman" w:eastAsia="宋体" w:cs="Times New Roman"/>
                <w:b/>
                <w:szCs w:val="20"/>
              </w:rPr>
            </w:pPr>
          </w:p>
        </w:tc>
        <w:tc>
          <w:tcPr>
            <w:tcW w:w="1320" w:type="dxa"/>
          </w:tcPr>
          <w:p w14:paraId="1502D994">
            <w:pPr>
              <w:ind w:left="420" w:hanging="420"/>
              <w:rPr>
                <w:rFonts w:ascii="宋体" w:hAnsi="Times New Roman" w:eastAsia="宋体" w:cs="Times New Roman"/>
                <w:b/>
                <w:szCs w:val="20"/>
              </w:rPr>
            </w:pPr>
          </w:p>
        </w:tc>
        <w:tc>
          <w:tcPr>
            <w:tcW w:w="1023" w:type="dxa"/>
          </w:tcPr>
          <w:p w14:paraId="6B652DD2">
            <w:pPr>
              <w:ind w:left="420" w:hanging="420"/>
              <w:rPr>
                <w:rFonts w:ascii="宋体" w:hAnsi="Times New Roman" w:eastAsia="宋体" w:cs="Times New Roman"/>
                <w:b/>
                <w:szCs w:val="20"/>
              </w:rPr>
            </w:pPr>
          </w:p>
        </w:tc>
        <w:tc>
          <w:tcPr>
            <w:tcW w:w="1590" w:type="dxa"/>
          </w:tcPr>
          <w:p w14:paraId="783C2175">
            <w:pPr>
              <w:ind w:left="420" w:hanging="420"/>
              <w:rPr>
                <w:rFonts w:ascii="宋体" w:hAnsi="Times New Roman" w:eastAsia="宋体" w:cs="Times New Roman"/>
                <w:b/>
                <w:szCs w:val="20"/>
              </w:rPr>
            </w:pPr>
          </w:p>
        </w:tc>
      </w:tr>
      <w:tr w14:paraId="4C2E8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81F703B">
            <w:pPr>
              <w:ind w:left="420" w:hanging="420"/>
              <w:rPr>
                <w:rFonts w:ascii="宋体" w:hAnsi="Times New Roman" w:eastAsia="宋体" w:cs="Times New Roman"/>
                <w:b/>
                <w:szCs w:val="20"/>
              </w:rPr>
            </w:pPr>
          </w:p>
        </w:tc>
        <w:tc>
          <w:tcPr>
            <w:tcW w:w="2082" w:type="dxa"/>
          </w:tcPr>
          <w:p w14:paraId="0F549303">
            <w:pPr>
              <w:ind w:left="420" w:hanging="420"/>
              <w:rPr>
                <w:rFonts w:ascii="宋体" w:hAnsi="Times New Roman" w:eastAsia="宋体" w:cs="Times New Roman"/>
                <w:b/>
                <w:szCs w:val="20"/>
              </w:rPr>
            </w:pPr>
          </w:p>
        </w:tc>
        <w:tc>
          <w:tcPr>
            <w:tcW w:w="1355" w:type="dxa"/>
          </w:tcPr>
          <w:p w14:paraId="50BA9BCF">
            <w:pPr>
              <w:ind w:left="420" w:hanging="420"/>
              <w:rPr>
                <w:rFonts w:ascii="宋体" w:hAnsi="Times New Roman" w:eastAsia="宋体" w:cs="Times New Roman"/>
                <w:b/>
                <w:szCs w:val="20"/>
              </w:rPr>
            </w:pPr>
          </w:p>
        </w:tc>
        <w:tc>
          <w:tcPr>
            <w:tcW w:w="826" w:type="dxa"/>
          </w:tcPr>
          <w:p w14:paraId="5A4C2DF0">
            <w:pPr>
              <w:ind w:left="420" w:hanging="420"/>
              <w:rPr>
                <w:rFonts w:ascii="宋体" w:hAnsi="Times New Roman" w:eastAsia="宋体" w:cs="Times New Roman"/>
                <w:b/>
                <w:szCs w:val="20"/>
              </w:rPr>
            </w:pPr>
          </w:p>
        </w:tc>
        <w:tc>
          <w:tcPr>
            <w:tcW w:w="1320" w:type="dxa"/>
          </w:tcPr>
          <w:p w14:paraId="0F5C3285">
            <w:pPr>
              <w:ind w:left="420" w:hanging="420"/>
              <w:rPr>
                <w:rFonts w:ascii="宋体" w:hAnsi="Times New Roman" w:eastAsia="宋体" w:cs="Times New Roman"/>
                <w:b/>
                <w:szCs w:val="20"/>
              </w:rPr>
            </w:pPr>
          </w:p>
        </w:tc>
        <w:tc>
          <w:tcPr>
            <w:tcW w:w="1023" w:type="dxa"/>
          </w:tcPr>
          <w:p w14:paraId="5170E053">
            <w:pPr>
              <w:ind w:left="420" w:hanging="420"/>
              <w:rPr>
                <w:rFonts w:ascii="宋体" w:hAnsi="Times New Roman" w:eastAsia="宋体" w:cs="Times New Roman"/>
                <w:b/>
                <w:szCs w:val="20"/>
              </w:rPr>
            </w:pPr>
          </w:p>
        </w:tc>
        <w:tc>
          <w:tcPr>
            <w:tcW w:w="1590" w:type="dxa"/>
          </w:tcPr>
          <w:p w14:paraId="6AEC5757">
            <w:pPr>
              <w:ind w:left="420" w:hanging="420"/>
              <w:rPr>
                <w:rFonts w:ascii="宋体" w:hAnsi="Times New Roman" w:eastAsia="宋体" w:cs="Times New Roman"/>
                <w:b/>
                <w:szCs w:val="20"/>
              </w:rPr>
            </w:pPr>
          </w:p>
        </w:tc>
      </w:tr>
      <w:tr w14:paraId="0C69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1044518">
            <w:pPr>
              <w:ind w:left="420" w:hanging="420"/>
              <w:rPr>
                <w:rFonts w:ascii="宋体" w:hAnsi="Times New Roman" w:eastAsia="宋体" w:cs="Times New Roman"/>
                <w:b/>
                <w:szCs w:val="20"/>
              </w:rPr>
            </w:pPr>
          </w:p>
        </w:tc>
        <w:tc>
          <w:tcPr>
            <w:tcW w:w="2082" w:type="dxa"/>
          </w:tcPr>
          <w:p w14:paraId="6D3E2800">
            <w:pPr>
              <w:ind w:left="420" w:hanging="420"/>
              <w:rPr>
                <w:rFonts w:ascii="宋体" w:hAnsi="Times New Roman" w:eastAsia="宋体" w:cs="Times New Roman"/>
                <w:b/>
                <w:szCs w:val="20"/>
              </w:rPr>
            </w:pPr>
          </w:p>
        </w:tc>
        <w:tc>
          <w:tcPr>
            <w:tcW w:w="1355" w:type="dxa"/>
          </w:tcPr>
          <w:p w14:paraId="08095237">
            <w:pPr>
              <w:ind w:left="420" w:hanging="420"/>
              <w:rPr>
                <w:rFonts w:ascii="宋体" w:hAnsi="Times New Roman" w:eastAsia="宋体" w:cs="Times New Roman"/>
                <w:b/>
                <w:szCs w:val="20"/>
              </w:rPr>
            </w:pPr>
          </w:p>
        </w:tc>
        <w:tc>
          <w:tcPr>
            <w:tcW w:w="826" w:type="dxa"/>
          </w:tcPr>
          <w:p w14:paraId="77B5C99F">
            <w:pPr>
              <w:ind w:left="420" w:hanging="420"/>
              <w:rPr>
                <w:rFonts w:ascii="宋体" w:hAnsi="Times New Roman" w:eastAsia="宋体" w:cs="Times New Roman"/>
                <w:b/>
                <w:szCs w:val="20"/>
              </w:rPr>
            </w:pPr>
          </w:p>
        </w:tc>
        <w:tc>
          <w:tcPr>
            <w:tcW w:w="1320" w:type="dxa"/>
          </w:tcPr>
          <w:p w14:paraId="039C9E03">
            <w:pPr>
              <w:ind w:left="420" w:hanging="420"/>
              <w:rPr>
                <w:rFonts w:ascii="宋体" w:hAnsi="Times New Roman" w:eastAsia="宋体" w:cs="Times New Roman"/>
                <w:b/>
                <w:szCs w:val="20"/>
              </w:rPr>
            </w:pPr>
          </w:p>
        </w:tc>
        <w:tc>
          <w:tcPr>
            <w:tcW w:w="1023" w:type="dxa"/>
          </w:tcPr>
          <w:p w14:paraId="3AE6D014">
            <w:pPr>
              <w:ind w:left="420" w:hanging="420"/>
              <w:rPr>
                <w:rFonts w:ascii="宋体" w:hAnsi="Times New Roman" w:eastAsia="宋体" w:cs="Times New Roman"/>
                <w:b/>
                <w:szCs w:val="20"/>
              </w:rPr>
            </w:pPr>
          </w:p>
        </w:tc>
        <w:tc>
          <w:tcPr>
            <w:tcW w:w="1590" w:type="dxa"/>
          </w:tcPr>
          <w:p w14:paraId="3AD397B0">
            <w:pPr>
              <w:ind w:left="420" w:hanging="420"/>
              <w:rPr>
                <w:rFonts w:ascii="宋体" w:hAnsi="Times New Roman" w:eastAsia="宋体" w:cs="Times New Roman"/>
                <w:b/>
                <w:szCs w:val="20"/>
              </w:rPr>
            </w:pPr>
          </w:p>
        </w:tc>
      </w:tr>
      <w:tr w14:paraId="63D64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84DD2CB">
            <w:pPr>
              <w:ind w:left="420" w:hanging="420"/>
              <w:rPr>
                <w:rFonts w:ascii="宋体" w:hAnsi="Times New Roman" w:eastAsia="宋体" w:cs="Times New Roman"/>
                <w:b/>
                <w:szCs w:val="20"/>
              </w:rPr>
            </w:pPr>
          </w:p>
        </w:tc>
        <w:tc>
          <w:tcPr>
            <w:tcW w:w="2082" w:type="dxa"/>
          </w:tcPr>
          <w:p w14:paraId="38A91175">
            <w:pPr>
              <w:ind w:left="420" w:hanging="420"/>
              <w:rPr>
                <w:rFonts w:ascii="宋体" w:hAnsi="Times New Roman" w:eastAsia="宋体" w:cs="Times New Roman"/>
                <w:b/>
                <w:szCs w:val="20"/>
              </w:rPr>
            </w:pPr>
          </w:p>
        </w:tc>
        <w:tc>
          <w:tcPr>
            <w:tcW w:w="1355" w:type="dxa"/>
          </w:tcPr>
          <w:p w14:paraId="34B6E427">
            <w:pPr>
              <w:ind w:left="420" w:hanging="420"/>
              <w:rPr>
                <w:rFonts w:ascii="宋体" w:hAnsi="Times New Roman" w:eastAsia="宋体" w:cs="Times New Roman"/>
                <w:b/>
                <w:szCs w:val="20"/>
              </w:rPr>
            </w:pPr>
          </w:p>
        </w:tc>
        <w:tc>
          <w:tcPr>
            <w:tcW w:w="826" w:type="dxa"/>
          </w:tcPr>
          <w:p w14:paraId="4FD37019">
            <w:pPr>
              <w:ind w:left="420" w:hanging="420"/>
              <w:rPr>
                <w:rFonts w:ascii="宋体" w:hAnsi="Times New Roman" w:eastAsia="宋体" w:cs="Times New Roman"/>
                <w:b/>
                <w:szCs w:val="20"/>
              </w:rPr>
            </w:pPr>
          </w:p>
        </w:tc>
        <w:tc>
          <w:tcPr>
            <w:tcW w:w="1320" w:type="dxa"/>
          </w:tcPr>
          <w:p w14:paraId="296EEA4B">
            <w:pPr>
              <w:ind w:left="420" w:hanging="420"/>
              <w:rPr>
                <w:rFonts w:ascii="宋体" w:hAnsi="Times New Roman" w:eastAsia="宋体" w:cs="Times New Roman"/>
                <w:b/>
                <w:szCs w:val="20"/>
              </w:rPr>
            </w:pPr>
          </w:p>
        </w:tc>
        <w:tc>
          <w:tcPr>
            <w:tcW w:w="1023" w:type="dxa"/>
          </w:tcPr>
          <w:p w14:paraId="679B6065">
            <w:pPr>
              <w:ind w:left="420" w:hanging="420"/>
              <w:rPr>
                <w:rFonts w:ascii="宋体" w:hAnsi="Times New Roman" w:eastAsia="宋体" w:cs="Times New Roman"/>
                <w:b/>
                <w:szCs w:val="20"/>
              </w:rPr>
            </w:pPr>
          </w:p>
        </w:tc>
        <w:tc>
          <w:tcPr>
            <w:tcW w:w="1590" w:type="dxa"/>
          </w:tcPr>
          <w:p w14:paraId="4B9DA951">
            <w:pPr>
              <w:ind w:left="420" w:hanging="420"/>
              <w:rPr>
                <w:rFonts w:ascii="宋体" w:hAnsi="Times New Roman" w:eastAsia="宋体" w:cs="Times New Roman"/>
                <w:b/>
                <w:szCs w:val="20"/>
              </w:rPr>
            </w:pPr>
          </w:p>
        </w:tc>
      </w:tr>
      <w:tr w14:paraId="3771D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1265AF">
            <w:pPr>
              <w:ind w:left="420" w:hanging="420"/>
              <w:rPr>
                <w:rFonts w:ascii="宋体" w:hAnsi="Times New Roman" w:eastAsia="宋体" w:cs="Times New Roman"/>
                <w:b/>
                <w:szCs w:val="20"/>
              </w:rPr>
            </w:pPr>
          </w:p>
        </w:tc>
        <w:tc>
          <w:tcPr>
            <w:tcW w:w="2082" w:type="dxa"/>
          </w:tcPr>
          <w:p w14:paraId="2724145C">
            <w:pPr>
              <w:ind w:left="420" w:hanging="420"/>
              <w:rPr>
                <w:rFonts w:ascii="宋体" w:hAnsi="Times New Roman" w:eastAsia="宋体" w:cs="Times New Roman"/>
                <w:b/>
                <w:szCs w:val="20"/>
              </w:rPr>
            </w:pPr>
          </w:p>
        </w:tc>
        <w:tc>
          <w:tcPr>
            <w:tcW w:w="1355" w:type="dxa"/>
          </w:tcPr>
          <w:p w14:paraId="1CE1394B">
            <w:pPr>
              <w:ind w:left="420" w:hanging="420"/>
              <w:rPr>
                <w:rFonts w:ascii="宋体" w:hAnsi="Times New Roman" w:eastAsia="宋体" w:cs="Times New Roman"/>
                <w:b/>
                <w:szCs w:val="20"/>
              </w:rPr>
            </w:pPr>
          </w:p>
        </w:tc>
        <w:tc>
          <w:tcPr>
            <w:tcW w:w="826" w:type="dxa"/>
          </w:tcPr>
          <w:p w14:paraId="46399657">
            <w:pPr>
              <w:ind w:left="420" w:hanging="420"/>
              <w:rPr>
                <w:rFonts w:ascii="宋体" w:hAnsi="Times New Roman" w:eastAsia="宋体" w:cs="Times New Roman"/>
                <w:b/>
                <w:szCs w:val="20"/>
              </w:rPr>
            </w:pPr>
          </w:p>
        </w:tc>
        <w:tc>
          <w:tcPr>
            <w:tcW w:w="1320" w:type="dxa"/>
          </w:tcPr>
          <w:p w14:paraId="2F581717">
            <w:pPr>
              <w:ind w:left="420" w:hanging="420"/>
              <w:rPr>
                <w:rFonts w:ascii="宋体" w:hAnsi="Times New Roman" w:eastAsia="宋体" w:cs="Times New Roman"/>
                <w:b/>
                <w:szCs w:val="20"/>
              </w:rPr>
            </w:pPr>
          </w:p>
        </w:tc>
        <w:tc>
          <w:tcPr>
            <w:tcW w:w="1023" w:type="dxa"/>
          </w:tcPr>
          <w:p w14:paraId="7FBBF80C">
            <w:pPr>
              <w:ind w:left="420" w:hanging="420"/>
              <w:rPr>
                <w:rFonts w:ascii="宋体" w:hAnsi="Times New Roman" w:eastAsia="宋体" w:cs="Times New Roman"/>
                <w:b/>
                <w:szCs w:val="20"/>
              </w:rPr>
            </w:pPr>
          </w:p>
        </w:tc>
        <w:tc>
          <w:tcPr>
            <w:tcW w:w="1590" w:type="dxa"/>
          </w:tcPr>
          <w:p w14:paraId="40C74CF4">
            <w:pPr>
              <w:ind w:left="420" w:hanging="420"/>
              <w:rPr>
                <w:rFonts w:ascii="宋体" w:hAnsi="Times New Roman" w:eastAsia="宋体" w:cs="Times New Roman"/>
                <w:b/>
                <w:szCs w:val="20"/>
              </w:rPr>
            </w:pPr>
          </w:p>
        </w:tc>
      </w:tr>
      <w:tr w14:paraId="69237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ED631D1">
            <w:pPr>
              <w:ind w:left="420" w:hanging="420"/>
              <w:rPr>
                <w:rFonts w:ascii="宋体" w:hAnsi="Times New Roman" w:eastAsia="宋体" w:cs="Times New Roman"/>
                <w:b/>
                <w:szCs w:val="20"/>
              </w:rPr>
            </w:pPr>
          </w:p>
        </w:tc>
        <w:tc>
          <w:tcPr>
            <w:tcW w:w="2082" w:type="dxa"/>
          </w:tcPr>
          <w:p w14:paraId="606B287B">
            <w:pPr>
              <w:ind w:left="420" w:hanging="420"/>
              <w:rPr>
                <w:rFonts w:ascii="宋体" w:hAnsi="Times New Roman" w:eastAsia="宋体" w:cs="Times New Roman"/>
                <w:b/>
                <w:szCs w:val="20"/>
              </w:rPr>
            </w:pPr>
          </w:p>
        </w:tc>
        <w:tc>
          <w:tcPr>
            <w:tcW w:w="1355" w:type="dxa"/>
          </w:tcPr>
          <w:p w14:paraId="1E6CB39F">
            <w:pPr>
              <w:ind w:left="420" w:hanging="420"/>
              <w:rPr>
                <w:rFonts w:ascii="宋体" w:hAnsi="Times New Roman" w:eastAsia="宋体" w:cs="Times New Roman"/>
                <w:b/>
                <w:szCs w:val="20"/>
              </w:rPr>
            </w:pPr>
          </w:p>
        </w:tc>
        <w:tc>
          <w:tcPr>
            <w:tcW w:w="826" w:type="dxa"/>
          </w:tcPr>
          <w:p w14:paraId="661F45FD">
            <w:pPr>
              <w:ind w:left="420" w:hanging="420"/>
              <w:rPr>
                <w:rFonts w:ascii="宋体" w:hAnsi="Times New Roman" w:eastAsia="宋体" w:cs="Times New Roman"/>
                <w:b/>
                <w:szCs w:val="20"/>
              </w:rPr>
            </w:pPr>
          </w:p>
        </w:tc>
        <w:tc>
          <w:tcPr>
            <w:tcW w:w="1320" w:type="dxa"/>
          </w:tcPr>
          <w:p w14:paraId="775DEC84">
            <w:pPr>
              <w:ind w:left="420" w:hanging="420"/>
              <w:rPr>
                <w:rFonts w:ascii="宋体" w:hAnsi="Times New Roman" w:eastAsia="宋体" w:cs="Times New Roman"/>
                <w:b/>
                <w:szCs w:val="20"/>
              </w:rPr>
            </w:pPr>
          </w:p>
        </w:tc>
        <w:tc>
          <w:tcPr>
            <w:tcW w:w="1023" w:type="dxa"/>
          </w:tcPr>
          <w:p w14:paraId="47C84854">
            <w:pPr>
              <w:ind w:left="420" w:hanging="420"/>
              <w:rPr>
                <w:rFonts w:ascii="宋体" w:hAnsi="Times New Roman" w:eastAsia="宋体" w:cs="Times New Roman"/>
                <w:b/>
                <w:szCs w:val="20"/>
              </w:rPr>
            </w:pPr>
          </w:p>
        </w:tc>
        <w:tc>
          <w:tcPr>
            <w:tcW w:w="1590" w:type="dxa"/>
          </w:tcPr>
          <w:p w14:paraId="09F817C3">
            <w:pPr>
              <w:ind w:left="420" w:hanging="420"/>
              <w:rPr>
                <w:rFonts w:ascii="宋体" w:hAnsi="Times New Roman" w:eastAsia="宋体" w:cs="Times New Roman"/>
                <w:b/>
                <w:szCs w:val="20"/>
              </w:rPr>
            </w:pPr>
          </w:p>
        </w:tc>
      </w:tr>
      <w:tr w14:paraId="0B315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62AE9B66">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21</w:t>
            </w:r>
            <w:r>
              <w:rPr>
                <w:rFonts w:ascii="宋体" w:hAnsi="宋体" w:eastAsia="宋体" w:cs="宋体"/>
                <w:sz w:val="24"/>
                <w:szCs w:val="24"/>
                <w:highlight w:val="yellow"/>
              </w:rPr>
              <w:t>年1月1日至今所有业绩合同总额汇总（必填）</w:t>
            </w:r>
          </w:p>
        </w:tc>
        <w:tc>
          <w:tcPr>
            <w:tcW w:w="826" w:type="dxa"/>
          </w:tcPr>
          <w:p w14:paraId="5754D18E">
            <w:pPr>
              <w:ind w:left="420" w:hanging="420"/>
              <w:rPr>
                <w:rFonts w:ascii="宋体" w:hAnsi="Times New Roman" w:eastAsia="宋体" w:cs="Times New Roman"/>
                <w:b/>
                <w:szCs w:val="20"/>
              </w:rPr>
            </w:pPr>
          </w:p>
        </w:tc>
        <w:tc>
          <w:tcPr>
            <w:tcW w:w="1320" w:type="dxa"/>
          </w:tcPr>
          <w:p w14:paraId="27E7555D">
            <w:pPr>
              <w:ind w:left="420" w:hanging="420"/>
              <w:rPr>
                <w:rFonts w:ascii="宋体" w:hAnsi="Times New Roman" w:eastAsia="宋体" w:cs="Times New Roman"/>
                <w:b/>
                <w:szCs w:val="20"/>
              </w:rPr>
            </w:pPr>
          </w:p>
        </w:tc>
        <w:tc>
          <w:tcPr>
            <w:tcW w:w="1023" w:type="dxa"/>
          </w:tcPr>
          <w:p w14:paraId="5A43243E">
            <w:pPr>
              <w:ind w:left="420" w:hanging="420"/>
              <w:rPr>
                <w:rFonts w:ascii="宋体" w:hAnsi="Times New Roman" w:eastAsia="宋体" w:cs="Times New Roman"/>
                <w:b/>
                <w:szCs w:val="20"/>
              </w:rPr>
            </w:pPr>
          </w:p>
        </w:tc>
        <w:tc>
          <w:tcPr>
            <w:tcW w:w="1590" w:type="dxa"/>
          </w:tcPr>
          <w:p w14:paraId="3D7170A4">
            <w:pPr>
              <w:ind w:left="420" w:hanging="420"/>
              <w:rPr>
                <w:rFonts w:ascii="宋体" w:hAnsi="Times New Roman" w:eastAsia="宋体" w:cs="Times New Roman"/>
                <w:b/>
                <w:szCs w:val="20"/>
              </w:rPr>
            </w:pPr>
          </w:p>
        </w:tc>
      </w:tr>
    </w:tbl>
    <w:p w14:paraId="01642998">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提供2021年1月1日以来同类产品的制造销售业绩（用户名单、联系方式）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4F7A6215">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3FF1713">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A5C6F34">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B43FE92">
      <w:pPr>
        <w:rPr>
          <w:rFonts w:ascii="宋体" w:hAnsi="Calibri" w:eastAsia="宋体" w:cs="宋体"/>
          <w:b/>
          <w:bCs/>
          <w:color w:val="000000"/>
          <w:sz w:val="28"/>
        </w:rPr>
      </w:pPr>
    </w:p>
    <w:p w14:paraId="7EA15630">
      <w:pPr>
        <w:rPr>
          <w:rFonts w:ascii="宋体" w:hAnsi="Calibri" w:eastAsia="宋体" w:cs="宋体"/>
          <w:b/>
          <w:bCs/>
          <w:color w:val="000000"/>
          <w:sz w:val="28"/>
        </w:rPr>
        <w:sectPr>
          <w:footerReference r:id="rId28"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7199298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3A68A983">
      <w:pPr>
        <w:spacing w:line="240" w:lineRule="exact"/>
        <w:rPr>
          <w:rFonts w:ascii="宋体" w:hAnsi="宋体" w:eastAsia="宋体" w:cs="Times New Roman"/>
          <w:szCs w:val="20"/>
        </w:rPr>
      </w:pPr>
      <w:r>
        <w:rPr>
          <w:rFonts w:ascii="宋体" w:hAnsi="宋体" w:eastAsia="宋体" w:cs="Times New Roman"/>
          <w:szCs w:val="20"/>
        </w:rPr>
        <w:t xml:space="preserve">                                               </w:t>
      </w:r>
    </w:p>
    <w:p w14:paraId="572E5891">
      <w:pPr>
        <w:spacing w:line="360" w:lineRule="auto"/>
        <w:rPr>
          <w:rFonts w:hint="eastAsia" w:ascii="宋体" w:hAnsi="宋体" w:eastAsia="宋体" w:cs="宋体"/>
          <w:sz w:val="24"/>
          <w:szCs w:val="24"/>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u w:val="single"/>
          <w:lang w:eastAsia="zh-CN"/>
        </w:rPr>
        <w:t>主减装配 DE线产品兼容性改造技改项目</w:t>
      </w:r>
    </w:p>
    <w:p w14:paraId="7393079C">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重汽（济南）车桥有限公司：</w:t>
      </w:r>
    </w:p>
    <w:p w14:paraId="00EA439B">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052889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DABE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1D033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E6849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C283D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8D507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1554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B7871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4E1D8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A35A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9301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2019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9D59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654FCD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0A261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484F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B7E7A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DE31DF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C20A89B">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3D96E9B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4CC4E2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ED04DAF">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0658A7C">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17CD433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30ED73E5">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35BC900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lang w:eastAsia="zh-CN"/>
        </w:rPr>
        <w:t>主减装配 DE线产品兼容性改造技改项目</w:t>
      </w:r>
      <w:r>
        <w:rPr>
          <w:rFonts w:ascii="宋体" w:hAnsi="宋体" w:eastAsia="宋体" w:cs="Times New Roman"/>
          <w:color w:val="000000"/>
          <w:sz w:val="24"/>
          <w:szCs w:val="24"/>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8CCD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7F98B40D">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4549B333">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19BCE56C">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245EDAD">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4198E431">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5DC85F36">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00C1F4B2">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0599892E">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67F4F5FF">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4C6BA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2497280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210806D">
            <w:pPr>
              <w:jc w:val="center"/>
              <w:rPr>
                <w:rFonts w:hint="eastAsia" w:ascii="Times New Roman" w:hAnsi="Times New Roman" w:eastAsia="宋体" w:cs="Times New Roman"/>
                <w:b/>
                <w:szCs w:val="20"/>
                <w:lang w:eastAsia="zh-CN"/>
              </w:rPr>
            </w:pPr>
            <w:r>
              <w:rPr>
                <w:rFonts w:hint="eastAsia" w:ascii="宋体" w:hAnsi="宋体" w:eastAsia="宋体" w:cs="宋体"/>
                <w:sz w:val="24"/>
                <w:szCs w:val="24"/>
                <w:u w:val="single"/>
                <w:lang w:eastAsia="zh-CN"/>
              </w:rPr>
              <w:t>主减装配 DE线产品兼容性改造技改项目</w:t>
            </w:r>
          </w:p>
        </w:tc>
        <w:tc>
          <w:tcPr>
            <w:tcW w:w="848" w:type="dxa"/>
            <w:vAlign w:val="center"/>
          </w:tcPr>
          <w:p w14:paraId="21F05EB9">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270" w:type="dxa"/>
            <w:vAlign w:val="center"/>
          </w:tcPr>
          <w:p w14:paraId="7F89F526">
            <w:pPr>
              <w:jc w:val="center"/>
              <w:rPr>
                <w:rFonts w:ascii="等线" w:hAnsi="等线" w:eastAsia="等线" w:cs="Times New Roman"/>
                <w:b/>
                <w:szCs w:val="20"/>
              </w:rPr>
            </w:pPr>
            <w:r>
              <w:rPr>
                <w:rFonts w:hint="eastAsia" w:ascii="等线" w:hAnsi="等线" w:eastAsia="等线" w:cs="Times New Roman"/>
                <w:b/>
                <w:szCs w:val="20"/>
              </w:rPr>
              <w:t>不含税价：</w:t>
            </w:r>
          </w:p>
          <w:p w14:paraId="07E7E6AF">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1415C5BD">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64001C29">
            <w:pPr>
              <w:jc w:val="center"/>
              <w:rPr>
                <w:rFonts w:ascii="Times New Roman" w:hAnsi="Times New Roman" w:eastAsia="宋体" w:cs="Times New Roman"/>
                <w:b/>
                <w:szCs w:val="20"/>
              </w:rPr>
            </w:pPr>
          </w:p>
        </w:tc>
        <w:tc>
          <w:tcPr>
            <w:tcW w:w="1243" w:type="dxa"/>
            <w:vAlign w:val="center"/>
          </w:tcPr>
          <w:p w14:paraId="45E803E0">
            <w:pPr>
              <w:jc w:val="center"/>
              <w:rPr>
                <w:rFonts w:ascii="Times New Roman" w:hAnsi="Times New Roman" w:eastAsia="宋体" w:cs="Times New Roman"/>
                <w:b/>
                <w:szCs w:val="20"/>
              </w:rPr>
            </w:pPr>
          </w:p>
        </w:tc>
        <w:tc>
          <w:tcPr>
            <w:tcW w:w="705" w:type="dxa"/>
            <w:vAlign w:val="center"/>
          </w:tcPr>
          <w:p w14:paraId="1AA7941A">
            <w:pPr>
              <w:jc w:val="center"/>
              <w:rPr>
                <w:rFonts w:ascii="Times New Roman" w:hAnsi="Times New Roman" w:eastAsia="宋体" w:cs="Times New Roman"/>
                <w:b/>
                <w:szCs w:val="20"/>
              </w:rPr>
            </w:pPr>
          </w:p>
        </w:tc>
        <w:tc>
          <w:tcPr>
            <w:tcW w:w="699" w:type="dxa"/>
            <w:vAlign w:val="center"/>
          </w:tcPr>
          <w:p w14:paraId="373EC41D">
            <w:pPr>
              <w:jc w:val="center"/>
              <w:rPr>
                <w:rFonts w:ascii="Times New Roman" w:hAnsi="Times New Roman" w:eastAsia="宋体" w:cs="Times New Roman"/>
                <w:b/>
                <w:szCs w:val="20"/>
              </w:rPr>
            </w:pPr>
          </w:p>
        </w:tc>
      </w:tr>
    </w:tbl>
    <w:p w14:paraId="6C2BA43F">
      <w:pPr>
        <w:rPr>
          <w:rFonts w:ascii="宋体" w:hAnsi="Arial" w:eastAsia="宋体" w:cs="Times New Roman"/>
          <w:sz w:val="24"/>
          <w:szCs w:val="24"/>
        </w:rPr>
      </w:pPr>
    </w:p>
    <w:p w14:paraId="3C68FA2D">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34E98611">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AC097D5">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7B9319D7">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0B18A3BF">
      <w:pPr>
        <w:pStyle w:val="16"/>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5B1171C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DC4C832">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BFD87D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4B72728">
      <w:pPr>
        <w:ind w:firstLine="480"/>
        <w:rPr>
          <w:rFonts w:ascii="宋体" w:hAnsi="Calibri" w:eastAsia="宋体" w:cs="Times New Roman"/>
          <w:color w:val="000000"/>
          <w:sz w:val="24"/>
          <w:szCs w:val="24"/>
        </w:rPr>
      </w:pPr>
    </w:p>
    <w:p w14:paraId="4137C9BE">
      <w:pPr>
        <w:pStyle w:val="16"/>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2D05EE6B">
      <w:pPr>
        <w:rPr>
          <w:rFonts w:ascii="宋体" w:hAnsi="宋体" w:cs="宋体"/>
          <w:color w:val="000000"/>
          <w:sz w:val="24"/>
          <w:szCs w:val="24"/>
        </w:rPr>
      </w:pPr>
    </w:p>
    <w:p w14:paraId="12FBA632">
      <w:pPr>
        <w:pStyle w:val="6"/>
        <w:keepNext/>
        <w:keepLines/>
        <w:pageBreakBefore w:val="0"/>
        <w:widowControl w:val="0"/>
        <w:kinsoku/>
        <w:wordWrap/>
        <w:overflowPunct/>
        <w:topLinePunct w:val="0"/>
        <w:autoSpaceDE/>
        <w:autoSpaceDN/>
        <w:bidi w:val="0"/>
        <w:adjustRightInd/>
        <w:snapToGrid/>
        <w:spacing w:after="60" w:line="416" w:lineRule="auto"/>
        <w:jc w:val="left"/>
        <w:textAlignment w:val="auto"/>
        <w:rPr>
          <w:rFonts w:hint="eastAsia" w:ascii="宋体" w:hAnsi="宋体" w:eastAsia="宋体" w:cs="宋体"/>
          <w:spacing w:val="8"/>
          <w:sz w:val="16"/>
          <w:szCs w:val="16"/>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242B5C7D">
      <w:pPr>
        <w:keepNext/>
        <w:keepLines/>
        <w:spacing w:line="400" w:lineRule="exact"/>
        <w:jc w:val="center"/>
        <w:rPr>
          <w:rFonts w:ascii="宋体" w:hAnsi="宋体" w:eastAsia="宋体" w:cs="宋体"/>
          <w:spacing w:val="8"/>
          <w:sz w:val="24"/>
          <w:szCs w:val="24"/>
          <w14:textOutline w14:w="5791" w14:cap="flat" w14:cmpd="sng" w14:algn="ctr">
            <w14:solidFill>
              <w14:srgbClr w14:val="000000"/>
            </w14:solidFill>
            <w14:prstDash w14:val="solid"/>
            <w14:miter w14:val="0"/>
          </w14:textOutline>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0AE2B41F">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cs="宋体"/>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9"/>
        <w:tblW w:w="13997" w:type="dxa"/>
        <w:tblInd w:w="1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8"/>
        <w:gridCol w:w="2865"/>
        <w:gridCol w:w="1658"/>
        <w:gridCol w:w="977"/>
        <w:gridCol w:w="942"/>
        <w:gridCol w:w="1889"/>
        <w:gridCol w:w="1602"/>
        <w:gridCol w:w="1864"/>
        <w:gridCol w:w="1642"/>
      </w:tblGrid>
      <w:tr w14:paraId="5A22B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702DB9C8">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1</w:t>
            </w:r>
          </w:p>
        </w:tc>
        <w:tc>
          <w:tcPr>
            <w:tcW w:w="2865" w:type="dxa"/>
            <w:tcBorders>
              <w:top w:val="single" w:color="000000" w:sz="2" w:space="0"/>
              <w:left w:val="single" w:color="000000" w:sz="2" w:space="0"/>
              <w:bottom w:val="single" w:color="000000" w:sz="2" w:space="0"/>
              <w:right w:val="single" w:color="000000" w:sz="2" w:space="0"/>
            </w:tcBorders>
            <w:vAlign w:val="center"/>
          </w:tcPr>
          <w:p w14:paraId="0A2BB65C">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2</w:t>
            </w:r>
          </w:p>
        </w:tc>
        <w:tc>
          <w:tcPr>
            <w:tcW w:w="1658" w:type="dxa"/>
            <w:tcBorders>
              <w:top w:val="single" w:color="000000" w:sz="2" w:space="0"/>
              <w:left w:val="single" w:color="000000" w:sz="2" w:space="0"/>
              <w:bottom w:val="single" w:color="000000" w:sz="2" w:space="0"/>
              <w:right w:val="single" w:color="000000" w:sz="2" w:space="0"/>
            </w:tcBorders>
            <w:vAlign w:val="center"/>
          </w:tcPr>
          <w:p w14:paraId="6CD0F29E">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3</w:t>
            </w:r>
          </w:p>
        </w:tc>
        <w:tc>
          <w:tcPr>
            <w:tcW w:w="977" w:type="dxa"/>
            <w:tcBorders>
              <w:top w:val="single" w:color="000000" w:sz="2" w:space="0"/>
              <w:left w:val="single" w:color="000000" w:sz="2" w:space="0"/>
              <w:bottom w:val="single" w:color="000000" w:sz="2" w:space="0"/>
              <w:right w:val="single" w:color="000000" w:sz="2" w:space="0"/>
            </w:tcBorders>
            <w:vAlign w:val="center"/>
          </w:tcPr>
          <w:p w14:paraId="5C621216">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4</w:t>
            </w:r>
          </w:p>
        </w:tc>
        <w:tc>
          <w:tcPr>
            <w:tcW w:w="942" w:type="dxa"/>
            <w:tcBorders>
              <w:top w:val="single" w:color="000000" w:sz="2" w:space="0"/>
              <w:left w:val="single" w:color="000000" w:sz="2" w:space="0"/>
              <w:bottom w:val="single" w:color="000000" w:sz="2" w:space="0"/>
              <w:right w:val="single" w:color="000000" w:sz="2" w:space="0"/>
            </w:tcBorders>
            <w:vAlign w:val="center"/>
          </w:tcPr>
          <w:p w14:paraId="591999CD">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5</w:t>
            </w:r>
          </w:p>
        </w:tc>
        <w:tc>
          <w:tcPr>
            <w:tcW w:w="1889" w:type="dxa"/>
            <w:tcBorders>
              <w:top w:val="single" w:color="000000" w:sz="2" w:space="0"/>
              <w:left w:val="single" w:color="000000" w:sz="2" w:space="0"/>
              <w:bottom w:val="single" w:color="000000" w:sz="2" w:space="0"/>
              <w:right w:val="single" w:color="000000" w:sz="2" w:space="0"/>
            </w:tcBorders>
            <w:vAlign w:val="center"/>
          </w:tcPr>
          <w:p w14:paraId="7A27A34E">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6</w:t>
            </w:r>
          </w:p>
        </w:tc>
        <w:tc>
          <w:tcPr>
            <w:tcW w:w="1602" w:type="dxa"/>
            <w:tcBorders>
              <w:top w:val="single" w:color="000000" w:sz="2" w:space="0"/>
              <w:left w:val="single" w:color="000000" w:sz="2" w:space="0"/>
              <w:bottom w:val="single" w:color="000000" w:sz="2" w:space="0"/>
              <w:right w:val="single" w:color="000000" w:sz="4" w:space="0"/>
            </w:tcBorders>
            <w:vAlign w:val="center"/>
          </w:tcPr>
          <w:p w14:paraId="22856367">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7</w:t>
            </w:r>
          </w:p>
        </w:tc>
        <w:tc>
          <w:tcPr>
            <w:tcW w:w="1864" w:type="dxa"/>
            <w:tcBorders>
              <w:top w:val="single" w:color="000000" w:sz="2" w:space="0"/>
              <w:left w:val="nil"/>
              <w:bottom w:val="single" w:color="000000" w:sz="2" w:space="0"/>
              <w:right w:val="single" w:color="000000" w:sz="2" w:space="0"/>
            </w:tcBorders>
            <w:vAlign w:val="center"/>
          </w:tcPr>
          <w:p w14:paraId="58B3F066">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8</w:t>
            </w:r>
          </w:p>
        </w:tc>
        <w:tc>
          <w:tcPr>
            <w:tcW w:w="1642" w:type="dxa"/>
            <w:tcBorders>
              <w:top w:val="single" w:color="000000" w:sz="2" w:space="0"/>
              <w:left w:val="single" w:color="000000" w:sz="2" w:space="0"/>
              <w:bottom w:val="single" w:color="000000" w:sz="2" w:space="0"/>
              <w:right w:val="single" w:color="000000" w:sz="2" w:space="0"/>
            </w:tcBorders>
            <w:vAlign w:val="center"/>
          </w:tcPr>
          <w:p w14:paraId="318898F7">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9</w:t>
            </w:r>
          </w:p>
        </w:tc>
      </w:tr>
      <w:tr w14:paraId="4D587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3968EF56">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序</w:t>
            </w:r>
            <w:r>
              <w:rPr>
                <w:rFonts w:hint="eastAsia" w:ascii="宋体" w:hAnsi="宋体" w:eastAsia="Times New Roman" w:cs="Times New Roman"/>
                <w:b/>
                <w:spacing w:val="-1"/>
                <w:kern w:val="0"/>
                <w:sz w:val="20"/>
                <w:szCs w:val="20"/>
              </w:rPr>
              <w:t>号</w:t>
            </w:r>
          </w:p>
        </w:tc>
        <w:tc>
          <w:tcPr>
            <w:tcW w:w="2865" w:type="dxa"/>
            <w:tcBorders>
              <w:top w:val="single" w:color="000000" w:sz="2" w:space="0"/>
              <w:left w:val="single" w:color="000000" w:sz="2" w:space="0"/>
              <w:bottom w:val="single" w:color="000000" w:sz="2" w:space="0"/>
              <w:right w:val="single" w:color="000000" w:sz="2" w:space="0"/>
            </w:tcBorders>
            <w:vAlign w:val="center"/>
          </w:tcPr>
          <w:p w14:paraId="09093FEF">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货物名</w:t>
            </w:r>
            <w:r>
              <w:rPr>
                <w:rFonts w:hint="eastAsia" w:ascii="宋体" w:hAnsi="宋体" w:eastAsia="Times New Roman" w:cs="Times New Roman"/>
                <w:b/>
                <w:spacing w:val="-1"/>
                <w:kern w:val="0"/>
                <w:sz w:val="20"/>
                <w:szCs w:val="20"/>
              </w:rPr>
              <w:t>称</w:t>
            </w:r>
          </w:p>
        </w:tc>
        <w:tc>
          <w:tcPr>
            <w:tcW w:w="1658" w:type="dxa"/>
            <w:tcBorders>
              <w:top w:val="single" w:color="000000" w:sz="2" w:space="0"/>
              <w:left w:val="single" w:color="000000" w:sz="2" w:space="0"/>
              <w:bottom w:val="single" w:color="000000" w:sz="2" w:space="0"/>
              <w:right w:val="single" w:color="000000" w:sz="2" w:space="0"/>
            </w:tcBorders>
            <w:vAlign w:val="center"/>
          </w:tcPr>
          <w:p w14:paraId="4A5675F6">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型号和</w:t>
            </w:r>
            <w:r>
              <w:rPr>
                <w:rFonts w:hint="eastAsia" w:ascii="宋体" w:hAnsi="宋体" w:eastAsia="Times New Roman" w:cs="Times New Roman"/>
                <w:b/>
                <w:spacing w:val="-1"/>
                <w:kern w:val="0"/>
                <w:sz w:val="20"/>
                <w:szCs w:val="20"/>
              </w:rPr>
              <w:t>规格</w:t>
            </w:r>
          </w:p>
        </w:tc>
        <w:tc>
          <w:tcPr>
            <w:tcW w:w="977" w:type="dxa"/>
            <w:tcBorders>
              <w:top w:val="single" w:color="000000" w:sz="2" w:space="0"/>
              <w:left w:val="single" w:color="000000" w:sz="2" w:space="0"/>
              <w:bottom w:val="single" w:color="000000" w:sz="2" w:space="0"/>
              <w:right w:val="single" w:color="000000" w:sz="2" w:space="0"/>
            </w:tcBorders>
            <w:vAlign w:val="center"/>
          </w:tcPr>
          <w:p w14:paraId="4FBE0E3C">
            <w:pPr>
              <w:jc w:val="center"/>
              <w:rPr>
                <w:rFonts w:ascii="宋体" w:hAnsi="宋体" w:eastAsia="宋体" w:cs="Times New Roman"/>
                <w:b/>
                <w:spacing w:val="-2"/>
                <w:kern w:val="0"/>
                <w:sz w:val="20"/>
                <w:szCs w:val="20"/>
              </w:rPr>
            </w:pPr>
            <w:r>
              <w:rPr>
                <w:rFonts w:hint="eastAsia" w:ascii="宋体" w:hAnsi="宋体" w:eastAsia="Times New Roman" w:cs="Times New Roman"/>
                <w:b/>
                <w:spacing w:val="-2"/>
                <w:kern w:val="0"/>
                <w:sz w:val="20"/>
                <w:szCs w:val="20"/>
              </w:rPr>
              <w:t>单位</w:t>
            </w:r>
          </w:p>
        </w:tc>
        <w:tc>
          <w:tcPr>
            <w:tcW w:w="942" w:type="dxa"/>
            <w:tcBorders>
              <w:top w:val="single" w:color="000000" w:sz="2" w:space="0"/>
              <w:left w:val="single" w:color="000000" w:sz="2" w:space="0"/>
              <w:bottom w:val="single" w:color="000000" w:sz="2" w:space="0"/>
              <w:right w:val="single" w:color="000000" w:sz="2" w:space="0"/>
            </w:tcBorders>
            <w:vAlign w:val="center"/>
          </w:tcPr>
          <w:p w14:paraId="75B6BE7B">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数量</w:t>
            </w:r>
          </w:p>
        </w:tc>
        <w:tc>
          <w:tcPr>
            <w:tcW w:w="1889" w:type="dxa"/>
            <w:tcBorders>
              <w:top w:val="single" w:color="000000" w:sz="2" w:space="0"/>
              <w:left w:val="single" w:color="000000" w:sz="2" w:space="0"/>
              <w:bottom w:val="single" w:color="000000" w:sz="2" w:space="0"/>
              <w:right w:val="single" w:color="000000" w:sz="2" w:space="0"/>
            </w:tcBorders>
            <w:vAlign w:val="center"/>
          </w:tcPr>
          <w:p w14:paraId="3B5A1D69">
            <w:pPr>
              <w:jc w:val="center"/>
              <w:rPr>
                <w:rFonts w:ascii="宋体" w:hAnsi="宋体" w:eastAsia="宋体" w:cs="Times New Roman"/>
                <w:b/>
                <w:kern w:val="0"/>
                <w:sz w:val="20"/>
                <w:szCs w:val="20"/>
              </w:rPr>
            </w:pPr>
            <w:r>
              <w:rPr>
                <w:rFonts w:hint="eastAsia" w:ascii="宋体" w:hAnsi="宋体" w:eastAsia="Times New Roman" w:cs="Times New Roman"/>
                <w:b/>
                <w:spacing w:val="-3"/>
                <w:kern w:val="0"/>
                <w:sz w:val="20"/>
                <w:szCs w:val="20"/>
              </w:rPr>
              <w:t>原</w:t>
            </w:r>
            <w:r>
              <w:rPr>
                <w:rFonts w:hint="eastAsia" w:ascii="宋体" w:hAnsi="宋体" w:eastAsia="Times New Roman" w:cs="Times New Roman"/>
                <w:b/>
                <w:spacing w:val="-2"/>
                <w:kern w:val="0"/>
                <w:sz w:val="20"/>
                <w:szCs w:val="20"/>
              </w:rPr>
              <w:t>产地和</w:t>
            </w:r>
            <w:r>
              <w:rPr>
                <w:rFonts w:hint="eastAsia" w:ascii="宋体" w:hAnsi="宋体" w:eastAsia="Times New Roman" w:cs="Times New Roman"/>
                <w:b/>
                <w:spacing w:val="-1"/>
                <w:kern w:val="0"/>
                <w:sz w:val="20"/>
                <w:szCs w:val="20"/>
              </w:rPr>
              <w:t>制造商名</w:t>
            </w:r>
            <w:r>
              <w:rPr>
                <w:rFonts w:hint="eastAsia" w:ascii="宋体" w:hAnsi="宋体" w:eastAsia="Times New Roman" w:cs="Times New Roman"/>
                <w:b/>
                <w:kern w:val="0"/>
                <w:sz w:val="20"/>
                <w:szCs w:val="20"/>
              </w:rPr>
              <w:t>称</w:t>
            </w:r>
          </w:p>
        </w:tc>
        <w:tc>
          <w:tcPr>
            <w:tcW w:w="1602" w:type="dxa"/>
            <w:tcBorders>
              <w:top w:val="single" w:color="000000" w:sz="2" w:space="0"/>
              <w:left w:val="single" w:color="000000" w:sz="2" w:space="0"/>
              <w:bottom w:val="single" w:color="000000" w:sz="2" w:space="0"/>
              <w:right w:val="single" w:color="000000" w:sz="4" w:space="0"/>
            </w:tcBorders>
            <w:vAlign w:val="center"/>
          </w:tcPr>
          <w:p w14:paraId="27B3A2C4">
            <w:pPr>
              <w:jc w:val="center"/>
              <w:rPr>
                <w:rFonts w:ascii="宋体" w:hAnsi="宋体" w:eastAsia="Times New Roman" w:cs="Times New Roman"/>
                <w:b/>
                <w:kern w:val="0"/>
                <w:sz w:val="20"/>
                <w:szCs w:val="20"/>
              </w:rPr>
            </w:pPr>
            <w:r>
              <w:rPr>
                <w:rFonts w:hint="eastAsia" w:ascii="宋体" w:hAnsi="宋体" w:eastAsia="Times New Roman" w:cs="Times New Roman"/>
                <w:b/>
                <w:spacing w:val="1"/>
                <w:kern w:val="0"/>
                <w:sz w:val="20"/>
                <w:szCs w:val="20"/>
              </w:rPr>
              <w:t>单</w:t>
            </w:r>
            <w:r>
              <w:rPr>
                <w:rFonts w:hint="eastAsia" w:ascii="宋体" w:hAnsi="宋体" w:eastAsia="Times New Roman" w:cs="Times New Roman"/>
                <w:b/>
                <w:kern w:val="0"/>
                <w:sz w:val="20"/>
                <w:szCs w:val="20"/>
              </w:rPr>
              <w:t>价</w:t>
            </w:r>
            <w:r>
              <w:rPr>
                <w:rFonts w:hint="eastAsia" w:ascii="宋体" w:hAnsi="宋体" w:eastAsia="Times New Roman" w:cs="Times New Roman"/>
                <w:b/>
                <w:spacing w:val="-3"/>
                <w:kern w:val="0"/>
                <w:sz w:val="20"/>
                <w:szCs w:val="20"/>
              </w:rPr>
              <w:t>（不含税）</w:t>
            </w:r>
          </w:p>
          <w:p w14:paraId="641CF8C1">
            <w:pPr>
              <w:jc w:val="center"/>
              <w:rPr>
                <w:rFonts w:ascii="宋体" w:hAnsi="宋体" w:eastAsia="宋体" w:cs="Times New Roman"/>
                <w:b/>
                <w:kern w:val="0"/>
                <w:sz w:val="20"/>
                <w:szCs w:val="20"/>
              </w:rPr>
            </w:pPr>
            <w:r>
              <w:rPr>
                <w:rFonts w:hint="eastAsia" w:ascii="宋体" w:hAnsi="宋体" w:eastAsia="Times New Roman" w:cs="Times New Roman"/>
                <w:b/>
                <w:spacing w:val="-16"/>
                <w:kern w:val="0"/>
                <w:sz w:val="20"/>
                <w:szCs w:val="20"/>
              </w:rPr>
              <w:t>(</w:t>
            </w:r>
            <w:r>
              <w:rPr>
                <w:rFonts w:hint="eastAsia" w:ascii="宋体" w:hAnsi="宋体" w:eastAsia="Times New Roman" w:cs="Times New Roman"/>
                <w:b/>
                <w:spacing w:val="-14"/>
                <w:kern w:val="0"/>
                <w:sz w:val="20"/>
                <w:szCs w:val="20"/>
              </w:rPr>
              <w:t>元)</w:t>
            </w:r>
          </w:p>
        </w:tc>
        <w:tc>
          <w:tcPr>
            <w:tcW w:w="1864" w:type="dxa"/>
            <w:tcBorders>
              <w:top w:val="single" w:color="000000" w:sz="2" w:space="0"/>
              <w:left w:val="nil"/>
              <w:bottom w:val="single" w:color="000000" w:sz="2" w:space="0"/>
              <w:right w:val="single" w:color="000000" w:sz="2" w:space="0"/>
            </w:tcBorders>
            <w:vAlign w:val="center"/>
          </w:tcPr>
          <w:p w14:paraId="5283A019">
            <w:pPr>
              <w:jc w:val="center"/>
              <w:rPr>
                <w:rFonts w:ascii="宋体" w:hAnsi="宋体" w:eastAsia="Times New Roman" w:cs="Times New Roman"/>
                <w:b/>
                <w:spacing w:val="-3"/>
                <w:kern w:val="0"/>
                <w:sz w:val="20"/>
                <w:szCs w:val="20"/>
              </w:rPr>
            </w:pPr>
            <w:r>
              <w:rPr>
                <w:rFonts w:hint="eastAsia" w:ascii="宋体" w:hAnsi="宋体" w:eastAsia="Times New Roman" w:cs="Times New Roman"/>
                <w:b/>
                <w:spacing w:val="-1"/>
                <w:kern w:val="0"/>
                <w:sz w:val="20"/>
                <w:szCs w:val="20"/>
              </w:rPr>
              <w:t>总价[6</w:t>
            </w:r>
            <w:r>
              <w:rPr>
                <w:rFonts w:hint="eastAsia" w:ascii="宋体" w:hAnsi="宋体" w:eastAsia="Times New Roman" w:cs="Times New Roman"/>
                <w:b/>
                <w:kern w:val="0"/>
                <w:sz w:val="20"/>
                <w:szCs w:val="20"/>
              </w:rPr>
              <w:t>×8]</w:t>
            </w:r>
            <w:r>
              <w:rPr>
                <w:rFonts w:hint="eastAsia" w:ascii="宋体" w:hAnsi="宋体" w:eastAsia="Times New Roman" w:cs="Times New Roman"/>
                <w:b/>
                <w:spacing w:val="-3"/>
                <w:kern w:val="0"/>
                <w:sz w:val="20"/>
                <w:szCs w:val="20"/>
              </w:rPr>
              <w:t>（不含税）</w:t>
            </w:r>
          </w:p>
          <w:p w14:paraId="0623CB63">
            <w:pPr>
              <w:jc w:val="center"/>
              <w:rPr>
                <w:rFonts w:ascii="宋体" w:hAnsi="宋体" w:eastAsia="宋体" w:cs="Times New Roman"/>
                <w:b/>
                <w:kern w:val="0"/>
                <w:sz w:val="20"/>
                <w:szCs w:val="20"/>
              </w:rPr>
            </w:pPr>
            <w:r>
              <w:rPr>
                <w:rFonts w:hint="eastAsia" w:ascii="宋体" w:hAnsi="宋体" w:eastAsia="Times New Roman" w:cs="Times New Roman"/>
                <w:b/>
                <w:spacing w:val="27"/>
                <w:kern w:val="0"/>
                <w:sz w:val="20"/>
                <w:szCs w:val="20"/>
              </w:rPr>
              <w:t>(</w:t>
            </w:r>
            <w:r>
              <w:rPr>
                <w:rFonts w:hint="eastAsia" w:ascii="宋体" w:hAnsi="宋体" w:eastAsia="Times New Roman" w:cs="Times New Roman"/>
                <w:b/>
                <w:spacing w:val="26"/>
                <w:kern w:val="0"/>
                <w:sz w:val="20"/>
                <w:szCs w:val="20"/>
              </w:rPr>
              <w:t>元)</w:t>
            </w:r>
          </w:p>
        </w:tc>
        <w:tc>
          <w:tcPr>
            <w:tcW w:w="1642" w:type="dxa"/>
            <w:tcBorders>
              <w:top w:val="single" w:color="000000" w:sz="2" w:space="0"/>
              <w:left w:val="single" w:color="000000" w:sz="2" w:space="0"/>
              <w:bottom w:val="single" w:color="000000" w:sz="2" w:space="0"/>
              <w:right w:val="single" w:color="000000" w:sz="2" w:space="0"/>
            </w:tcBorders>
            <w:vAlign w:val="center"/>
          </w:tcPr>
          <w:p w14:paraId="10CA0894">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备  注</w:t>
            </w:r>
          </w:p>
        </w:tc>
      </w:tr>
      <w:tr w14:paraId="7DBC2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243252A2">
            <w:pPr>
              <w:widowControl/>
              <w:jc w:val="center"/>
              <w:textAlignment w:val="center"/>
              <w:rPr>
                <w:rFonts w:hint="eastAsia" w:ascii="仿宋_GB2312" w:hAnsi="仿宋_GB2312" w:eastAsia="宋体" w:cs="Times New Roman"/>
                <w:color w:val="000000"/>
                <w:szCs w:val="21"/>
              </w:rPr>
            </w:pPr>
            <w:r>
              <w:rPr>
                <w:rFonts w:ascii="仿宋_GB2312" w:hAnsi="仿宋_GB2312" w:eastAsia="Times New Roman" w:cs="Times New Roman"/>
                <w:color w:val="000000"/>
                <w:szCs w:val="21"/>
              </w:rPr>
              <w:t>1</w:t>
            </w:r>
          </w:p>
        </w:tc>
        <w:tc>
          <w:tcPr>
            <w:tcW w:w="28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B7A25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16T液压压力机</w:t>
            </w:r>
          </w:p>
        </w:tc>
        <w:tc>
          <w:tcPr>
            <w:tcW w:w="1658" w:type="dxa"/>
            <w:tcBorders>
              <w:top w:val="single" w:color="000000" w:sz="2" w:space="0"/>
              <w:left w:val="single" w:color="000000" w:sz="2" w:space="0"/>
              <w:bottom w:val="single" w:color="000000" w:sz="2" w:space="0"/>
              <w:right w:val="single" w:color="000000" w:sz="2" w:space="0"/>
            </w:tcBorders>
            <w:vAlign w:val="center"/>
          </w:tcPr>
          <w:p w14:paraId="5A2F8052">
            <w:pPr>
              <w:widowControl/>
              <w:jc w:val="center"/>
              <w:textAlignment w:val="center"/>
              <w:rPr>
                <w:rFonts w:ascii="宋体" w:hAnsi="宋体" w:eastAsia="宋体" w:cs="Times New Roman"/>
                <w:color w:val="000000"/>
                <w:kern w:val="0"/>
                <w:sz w:val="22"/>
                <w:highlight w:val="yellow"/>
              </w:rPr>
            </w:pPr>
          </w:p>
        </w:tc>
        <w:tc>
          <w:tcPr>
            <w:tcW w:w="9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7AA31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台</w:t>
            </w:r>
          </w:p>
        </w:tc>
        <w:tc>
          <w:tcPr>
            <w:tcW w:w="94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DE481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7</w:t>
            </w:r>
          </w:p>
        </w:tc>
        <w:tc>
          <w:tcPr>
            <w:tcW w:w="1889" w:type="dxa"/>
            <w:tcBorders>
              <w:top w:val="single" w:color="000000" w:sz="2" w:space="0"/>
              <w:left w:val="single" w:color="000000" w:sz="2" w:space="0"/>
              <w:bottom w:val="single" w:color="000000" w:sz="2" w:space="0"/>
              <w:right w:val="single" w:color="000000" w:sz="2" w:space="0"/>
            </w:tcBorders>
            <w:vAlign w:val="center"/>
          </w:tcPr>
          <w:p w14:paraId="4970FA56">
            <w:pPr>
              <w:widowControl/>
              <w:jc w:val="center"/>
              <w:textAlignment w:val="center"/>
              <w:rPr>
                <w:rFonts w:ascii="仿宋" w:hAnsi="仿宋" w:eastAsia="仿宋" w:cs="Times New Roman"/>
                <w:color w:val="000000"/>
                <w:sz w:val="24"/>
                <w:szCs w:val="24"/>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2DAFA221">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6F4E4346">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30FCA33E">
            <w:pPr>
              <w:jc w:val="left"/>
              <w:rPr>
                <w:rFonts w:ascii="Arial" w:hAnsi="Times New Roman" w:eastAsia="宋体" w:cs="Times New Roman"/>
                <w:kern w:val="0"/>
                <w:sz w:val="20"/>
                <w:szCs w:val="20"/>
              </w:rPr>
            </w:pPr>
          </w:p>
        </w:tc>
      </w:tr>
      <w:tr w14:paraId="2A07A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1FF851EC">
            <w:pPr>
              <w:widowControl/>
              <w:jc w:val="center"/>
              <w:textAlignment w:val="center"/>
              <w:rPr>
                <w:rFonts w:hint="eastAsia" w:ascii="仿宋_GB2312" w:hAnsi="仿宋_GB2312" w:eastAsia="宋体" w:cs="Times New Roman"/>
                <w:color w:val="000000"/>
                <w:szCs w:val="21"/>
              </w:rPr>
            </w:pPr>
            <w:r>
              <w:rPr>
                <w:rFonts w:ascii="仿宋_GB2312" w:hAnsi="仿宋_GB2312" w:eastAsia="Times New Roman" w:cs="Times New Roman"/>
                <w:color w:val="000000"/>
                <w:szCs w:val="21"/>
              </w:rPr>
              <w:t>2</w:t>
            </w:r>
          </w:p>
        </w:tc>
        <w:tc>
          <w:tcPr>
            <w:tcW w:w="28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55B63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自动传输辊道线体</w:t>
            </w:r>
          </w:p>
        </w:tc>
        <w:tc>
          <w:tcPr>
            <w:tcW w:w="1658" w:type="dxa"/>
            <w:tcBorders>
              <w:top w:val="single" w:color="000000" w:sz="2" w:space="0"/>
              <w:left w:val="single" w:color="000000" w:sz="2" w:space="0"/>
              <w:bottom w:val="single" w:color="000000" w:sz="2" w:space="0"/>
              <w:right w:val="single" w:color="000000" w:sz="2" w:space="0"/>
            </w:tcBorders>
            <w:vAlign w:val="center"/>
          </w:tcPr>
          <w:p w14:paraId="5C30B9DF">
            <w:pPr>
              <w:widowControl/>
              <w:jc w:val="center"/>
              <w:textAlignment w:val="center"/>
              <w:rPr>
                <w:rFonts w:ascii="宋体" w:hAnsi="宋体" w:eastAsia="宋体" w:cs="Times New Roman"/>
                <w:color w:val="000000"/>
                <w:kern w:val="0"/>
                <w:sz w:val="22"/>
                <w:highlight w:val="yellow"/>
              </w:rPr>
            </w:pPr>
          </w:p>
        </w:tc>
        <w:tc>
          <w:tcPr>
            <w:tcW w:w="9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B6B6D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m</w:t>
            </w:r>
          </w:p>
        </w:tc>
        <w:tc>
          <w:tcPr>
            <w:tcW w:w="94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35EAE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80</w:t>
            </w:r>
          </w:p>
        </w:tc>
        <w:tc>
          <w:tcPr>
            <w:tcW w:w="1889" w:type="dxa"/>
            <w:tcBorders>
              <w:top w:val="single" w:color="000000" w:sz="2" w:space="0"/>
              <w:left w:val="single" w:color="000000" w:sz="2" w:space="0"/>
              <w:bottom w:val="single" w:color="000000" w:sz="2" w:space="0"/>
              <w:right w:val="single" w:color="000000" w:sz="2" w:space="0"/>
            </w:tcBorders>
            <w:vAlign w:val="center"/>
          </w:tcPr>
          <w:p w14:paraId="16FA2C74">
            <w:pPr>
              <w:widowControl/>
              <w:jc w:val="center"/>
              <w:textAlignment w:val="center"/>
              <w:rPr>
                <w:rFonts w:ascii="宋体" w:hAnsi="宋体" w:eastAsia="宋体" w:cs="Times New Roman"/>
                <w:color w:val="000000"/>
                <w:sz w:val="22"/>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1295E830">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51158DB4">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07A5C93E">
            <w:pPr>
              <w:jc w:val="left"/>
              <w:rPr>
                <w:rFonts w:ascii="Arial" w:hAnsi="Times New Roman" w:eastAsia="宋体" w:cs="Times New Roman"/>
                <w:kern w:val="0"/>
                <w:sz w:val="20"/>
                <w:szCs w:val="20"/>
              </w:rPr>
            </w:pPr>
          </w:p>
        </w:tc>
      </w:tr>
      <w:tr w14:paraId="6DAEB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115F6B87">
            <w:pPr>
              <w:widowControl/>
              <w:jc w:val="center"/>
              <w:textAlignment w:val="center"/>
              <w:rPr>
                <w:rFonts w:hint="eastAsia" w:ascii="仿宋_GB2312" w:hAnsi="仿宋_GB2312" w:eastAsia="宋体" w:cs="Times New Roman"/>
                <w:color w:val="000000"/>
                <w:szCs w:val="21"/>
              </w:rPr>
            </w:pPr>
            <w:r>
              <w:rPr>
                <w:rFonts w:ascii="仿宋_GB2312" w:hAnsi="仿宋_GB2312" w:eastAsia="Times New Roman" w:cs="Times New Roman"/>
                <w:color w:val="000000"/>
                <w:szCs w:val="21"/>
              </w:rPr>
              <w:t>3</w:t>
            </w:r>
          </w:p>
        </w:tc>
        <w:tc>
          <w:tcPr>
            <w:tcW w:w="28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F1E7A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线体随行托盘</w:t>
            </w:r>
          </w:p>
        </w:tc>
        <w:tc>
          <w:tcPr>
            <w:tcW w:w="1658" w:type="dxa"/>
            <w:tcBorders>
              <w:top w:val="single" w:color="000000" w:sz="2" w:space="0"/>
              <w:left w:val="single" w:color="000000" w:sz="2" w:space="0"/>
              <w:bottom w:val="single" w:color="000000" w:sz="2" w:space="0"/>
              <w:right w:val="single" w:color="000000" w:sz="2" w:space="0"/>
            </w:tcBorders>
            <w:vAlign w:val="center"/>
          </w:tcPr>
          <w:p w14:paraId="1ABDE4DC">
            <w:pPr>
              <w:widowControl/>
              <w:jc w:val="center"/>
              <w:textAlignment w:val="center"/>
              <w:rPr>
                <w:rFonts w:ascii="宋体" w:hAnsi="宋体" w:eastAsia="宋体" w:cs="Times New Roman"/>
                <w:color w:val="000000"/>
                <w:kern w:val="0"/>
                <w:sz w:val="22"/>
                <w:highlight w:val="yellow"/>
              </w:rPr>
            </w:pPr>
          </w:p>
        </w:tc>
        <w:tc>
          <w:tcPr>
            <w:tcW w:w="9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DCDA30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套</w:t>
            </w:r>
          </w:p>
        </w:tc>
        <w:tc>
          <w:tcPr>
            <w:tcW w:w="94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B3F794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43</w:t>
            </w:r>
          </w:p>
        </w:tc>
        <w:tc>
          <w:tcPr>
            <w:tcW w:w="1889" w:type="dxa"/>
            <w:tcBorders>
              <w:top w:val="single" w:color="000000" w:sz="2" w:space="0"/>
              <w:left w:val="single" w:color="000000" w:sz="2" w:space="0"/>
              <w:bottom w:val="single" w:color="000000" w:sz="2" w:space="0"/>
              <w:right w:val="single" w:color="000000" w:sz="2" w:space="0"/>
            </w:tcBorders>
            <w:vAlign w:val="center"/>
          </w:tcPr>
          <w:p w14:paraId="7CFE354F">
            <w:pPr>
              <w:widowControl/>
              <w:jc w:val="center"/>
              <w:textAlignment w:val="center"/>
              <w:rPr>
                <w:rFonts w:ascii="宋体" w:hAnsi="宋体" w:eastAsia="宋体" w:cs="Times New Roman"/>
                <w:color w:val="000000"/>
                <w:sz w:val="22"/>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65DE7A41">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3E33F75A">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6D7F4D34">
            <w:pPr>
              <w:jc w:val="left"/>
              <w:rPr>
                <w:rFonts w:ascii="Arial" w:hAnsi="Times New Roman" w:eastAsia="宋体" w:cs="Times New Roman"/>
                <w:kern w:val="0"/>
                <w:sz w:val="20"/>
                <w:szCs w:val="20"/>
              </w:rPr>
            </w:pPr>
          </w:p>
        </w:tc>
      </w:tr>
      <w:tr w14:paraId="4B17D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121769A4">
            <w:pPr>
              <w:widowControl/>
              <w:jc w:val="center"/>
              <w:textAlignment w:val="center"/>
              <w:rPr>
                <w:rFonts w:hint="eastAsia" w:ascii="仿宋_GB2312" w:hAnsi="仿宋_GB2312" w:eastAsia="宋体" w:cs="Times New Roman"/>
                <w:color w:val="000000"/>
                <w:kern w:val="0"/>
                <w:szCs w:val="21"/>
                <w:lang w:val="en-US" w:eastAsia="zh-CN"/>
              </w:rPr>
            </w:pPr>
            <w:r>
              <w:rPr>
                <w:rFonts w:ascii="仿宋_GB2312" w:hAnsi="仿宋_GB2312" w:eastAsia="Times New Roman" w:cs="Times New Roman"/>
                <w:color w:val="000000"/>
                <w:kern w:val="0"/>
                <w:szCs w:val="21"/>
              </w:rPr>
              <w:t>4</w:t>
            </w:r>
          </w:p>
        </w:tc>
        <w:tc>
          <w:tcPr>
            <w:tcW w:w="28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77ADC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单轴拧紧机（2000N.m）</w:t>
            </w:r>
          </w:p>
        </w:tc>
        <w:tc>
          <w:tcPr>
            <w:tcW w:w="1658" w:type="dxa"/>
            <w:tcBorders>
              <w:top w:val="single" w:color="000000" w:sz="2" w:space="0"/>
              <w:left w:val="single" w:color="000000" w:sz="2" w:space="0"/>
              <w:bottom w:val="single" w:color="000000" w:sz="2" w:space="0"/>
              <w:right w:val="single" w:color="000000" w:sz="2" w:space="0"/>
            </w:tcBorders>
            <w:vAlign w:val="center"/>
          </w:tcPr>
          <w:p w14:paraId="77BA33DA">
            <w:pPr>
              <w:widowControl/>
              <w:jc w:val="center"/>
              <w:textAlignment w:val="center"/>
              <w:rPr>
                <w:rFonts w:ascii="宋体" w:hAnsi="宋体" w:eastAsia="宋体" w:cs="Times New Roman"/>
                <w:color w:val="000000"/>
                <w:kern w:val="0"/>
                <w:sz w:val="22"/>
                <w:highlight w:val="yellow"/>
              </w:rPr>
            </w:pPr>
          </w:p>
        </w:tc>
        <w:tc>
          <w:tcPr>
            <w:tcW w:w="9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7CE87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台</w:t>
            </w:r>
          </w:p>
        </w:tc>
        <w:tc>
          <w:tcPr>
            <w:tcW w:w="94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98C84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2</w:t>
            </w:r>
          </w:p>
        </w:tc>
        <w:tc>
          <w:tcPr>
            <w:tcW w:w="1889" w:type="dxa"/>
            <w:tcBorders>
              <w:top w:val="single" w:color="000000" w:sz="2" w:space="0"/>
              <w:left w:val="single" w:color="000000" w:sz="2" w:space="0"/>
              <w:bottom w:val="single" w:color="000000" w:sz="2" w:space="0"/>
              <w:right w:val="single" w:color="000000" w:sz="2" w:space="0"/>
            </w:tcBorders>
            <w:vAlign w:val="center"/>
          </w:tcPr>
          <w:p w14:paraId="0E8925F2">
            <w:pPr>
              <w:widowControl/>
              <w:jc w:val="center"/>
              <w:textAlignment w:val="center"/>
              <w:rPr>
                <w:rFonts w:ascii="宋体" w:hAnsi="宋体" w:eastAsia="宋体" w:cs="Times New Roman"/>
                <w:color w:val="000000"/>
                <w:sz w:val="24"/>
                <w:szCs w:val="24"/>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65BC6867">
            <w:pPr>
              <w:widowControl/>
              <w:jc w:val="center"/>
              <w:textAlignment w:val="center"/>
              <w:rPr>
                <w:rFonts w:ascii="宋体" w:hAnsi="宋体" w:eastAsia="宋体" w:cs="Times New Roman"/>
                <w:sz w:val="24"/>
                <w:szCs w:val="24"/>
              </w:rPr>
            </w:pPr>
          </w:p>
        </w:tc>
        <w:tc>
          <w:tcPr>
            <w:tcW w:w="1864" w:type="dxa"/>
            <w:tcBorders>
              <w:top w:val="single" w:color="000000" w:sz="2" w:space="0"/>
              <w:left w:val="nil"/>
              <w:bottom w:val="single" w:color="000000" w:sz="2" w:space="0"/>
              <w:right w:val="single" w:color="000000" w:sz="2" w:space="0"/>
            </w:tcBorders>
            <w:vAlign w:val="center"/>
          </w:tcPr>
          <w:p w14:paraId="365CC82F">
            <w:pPr>
              <w:widowControl/>
              <w:jc w:val="left"/>
              <w:textAlignment w:val="center"/>
              <w:rPr>
                <w:rFonts w:ascii="宋体" w:hAnsi="宋体" w:eastAsia="宋体" w:cs="Times New Roman"/>
                <w:sz w:val="24"/>
                <w:szCs w:val="24"/>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22C24B47">
            <w:pPr>
              <w:jc w:val="center"/>
              <w:textAlignment w:val="center"/>
              <w:rPr>
                <w:rFonts w:ascii="宋体" w:hAnsi="宋体" w:eastAsia="宋体" w:cs="Times New Roman"/>
                <w:sz w:val="24"/>
                <w:szCs w:val="24"/>
              </w:rPr>
            </w:pPr>
          </w:p>
        </w:tc>
      </w:tr>
      <w:tr w14:paraId="5DF2D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65D83678">
            <w:pPr>
              <w:widowControl/>
              <w:jc w:val="center"/>
              <w:textAlignment w:val="center"/>
              <w:rPr>
                <w:rFonts w:hint="eastAsia" w:ascii="仿宋_GB2312" w:hAnsi="仿宋_GB2312" w:eastAsia="宋体" w:cs="Times New Roman"/>
                <w:color w:val="000000"/>
                <w:kern w:val="0"/>
                <w:szCs w:val="21"/>
                <w:lang w:val="en-US" w:eastAsia="zh-CN"/>
              </w:rPr>
            </w:pPr>
            <w:r>
              <w:rPr>
                <w:rFonts w:ascii="仿宋_GB2312" w:hAnsi="仿宋_GB2312" w:eastAsia="Times New Roman" w:cs="Times New Roman"/>
                <w:color w:val="000000"/>
                <w:kern w:val="0"/>
                <w:szCs w:val="21"/>
              </w:rPr>
              <w:t>5</w:t>
            </w:r>
          </w:p>
        </w:tc>
        <w:tc>
          <w:tcPr>
            <w:tcW w:w="28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7F099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单轴拧紧机（800N.m）</w:t>
            </w:r>
          </w:p>
        </w:tc>
        <w:tc>
          <w:tcPr>
            <w:tcW w:w="1658" w:type="dxa"/>
            <w:tcBorders>
              <w:top w:val="single" w:color="000000" w:sz="2" w:space="0"/>
              <w:left w:val="single" w:color="000000" w:sz="2" w:space="0"/>
              <w:bottom w:val="single" w:color="000000" w:sz="2" w:space="0"/>
              <w:right w:val="single" w:color="000000" w:sz="2" w:space="0"/>
            </w:tcBorders>
            <w:vAlign w:val="center"/>
          </w:tcPr>
          <w:p w14:paraId="14CCE317">
            <w:pPr>
              <w:widowControl/>
              <w:jc w:val="center"/>
              <w:textAlignment w:val="center"/>
              <w:rPr>
                <w:rFonts w:ascii="宋体" w:hAnsi="宋体" w:eastAsia="宋体" w:cs="Times New Roman"/>
                <w:color w:val="000000"/>
                <w:kern w:val="0"/>
                <w:sz w:val="22"/>
                <w:highlight w:val="yellow"/>
              </w:rPr>
            </w:pPr>
          </w:p>
        </w:tc>
        <w:tc>
          <w:tcPr>
            <w:tcW w:w="9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3C7CC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台</w:t>
            </w:r>
          </w:p>
        </w:tc>
        <w:tc>
          <w:tcPr>
            <w:tcW w:w="94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1E86F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1</w:t>
            </w:r>
          </w:p>
        </w:tc>
        <w:tc>
          <w:tcPr>
            <w:tcW w:w="1889" w:type="dxa"/>
            <w:tcBorders>
              <w:top w:val="single" w:color="000000" w:sz="2" w:space="0"/>
              <w:left w:val="single" w:color="000000" w:sz="2" w:space="0"/>
              <w:bottom w:val="single" w:color="000000" w:sz="2" w:space="0"/>
              <w:right w:val="single" w:color="000000" w:sz="2" w:space="0"/>
            </w:tcBorders>
            <w:vAlign w:val="center"/>
          </w:tcPr>
          <w:p w14:paraId="1E4EB6F5">
            <w:pPr>
              <w:widowControl/>
              <w:jc w:val="center"/>
              <w:textAlignment w:val="center"/>
              <w:rPr>
                <w:rFonts w:ascii="宋体" w:hAnsi="宋体" w:eastAsia="宋体" w:cs="Times New Roman"/>
                <w:color w:val="000000"/>
                <w:sz w:val="24"/>
                <w:szCs w:val="24"/>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38647832">
            <w:pPr>
              <w:widowControl/>
              <w:jc w:val="center"/>
              <w:textAlignment w:val="center"/>
              <w:rPr>
                <w:rFonts w:ascii="宋体" w:hAnsi="宋体" w:eastAsia="宋体" w:cs="Times New Roman"/>
                <w:sz w:val="24"/>
                <w:szCs w:val="24"/>
              </w:rPr>
            </w:pPr>
          </w:p>
        </w:tc>
        <w:tc>
          <w:tcPr>
            <w:tcW w:w="1864" w:type="dxa"/>
            <w:tcBorders>
              <w:top w:val="single" w:color="000000" w:sz="2" w:space="0"/>
              <w:left w:val="nil"/>
              <w:bottom w:val="single" w:color="000000" w:sz="2" w:space="0"/>
              <w:right w:val="single" w:color="000000" w:sz="2" w:space="0"/>
            </w:tcBorders>
            <w:vAlign w:val="center"/>
          </w:tcPr>
          <w:p w14:paraId="5CC49C2F">
            <w:pPr>
              <w:widowControl/>
              <w:jc w:val="left"/>
              <w:textAlignment w:val="center"/>
              <w:rPr>
                <w:rFonts w:ascii="宋体" w:hAnsi="宋体" w:eastAsia="宋体" w:cs="Times New Roman"/>
                <w:sz w:val="24"/>
                <w:szCs w:val="24"/>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5718F970">
            <w:pPr>
              <w:jc w:val="center"/>
              <w:textAlignment w:val="center"/>
              <w:rPr>
                <w:rFonts w:ascii="宋体" w:hAnsi="宋体" w:eastAsia="宋体" w:cs="Times New Roman"/>
                <w:sz w:val="24"/>
                <w:szCs w:val="24"/>
              </w:rPr>
            </w:pPr>
          </w:p>
        </w:tc>
      </w:tr>
      <w:tr w14:paraId="10283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2F365646">
            <w:pPr>
              <w:widowControl/>
              <w:jc w:val="center"/>
              <w:textAlignment w:val="center"/>
              <w:rPr>
                <w:rFonts w:hint="default" w:ascii="仿宋_GB2312" w:hAnsi="仿宋_GB2312" w:eastAsia="宋体" w:cs="Times New Roman"/>
                <w:color w:val="000000"/>
                <w:kern w:val="0"/>
                <w:szCs w:val="21"/>
                <w:lang w:val="en-US" w:eastAsia="zh-CN"/>
              </w:rPr>
            </w:pPr>
            <w:r>
              <w:rPr>
                <w:rFonts w:ascii="仿宋_GB2312" w:hAnsi="仿宋_GB2312" w:eastAsia="Times New Roman" w:cs="Times New Roman"/>
                <w:color w:val="000000"/>
                <w:kern w:val="0"/>
                <w:szCs w:val="21"/>
              </w:rPr>
              <w:t>6</w:t>
            </w:r>
          </w:p>
        </w:tc>
        <w:tc>
          <w:tcPr>
            <w:tcW w:w="28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6B9D1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法兰盘模拟工装</w:t>
            </w:r>
          </w:p>
        </w:tc>
        <w:tc>
          <w:tcPr>
            <w:tcW w:w="1658" w:type="dxa"/>
            <w:tcBorders>
              <w:top w:val="single" w:color="000000" w:sz="2" w:space="0"/>
              <w:left w:val="single" w:color="000000" w:sz="2" w:space="0"/>
              <w:bottom w:val="single" w:color="000000" w:sz="2" w:space="0"/>
              <w:right w:val="single" w:color="000000" w:sz="2" w:space="0"/>
            </w:tcBorders>
            <w:vAlign w:val="center"/>
          </w:tcPr>
          <w:p w14:paraId="0FE14E00">
            <w:pPr>
              <w:widowControl/>
              <w:jc w:val="center"/>
              <w:textAlignment w:val="center"/>
              <w:rPr>
                <w:rFonts w:ascii="宋体" w:hAnsi="宋体" w:eastAsia="宋体" w:cs="Times New Roman"/>
                <w:color w:val="000000"/>
                <w:kern w:val="0"/>
                <w:sz w:val="22"/>
                <w:highlight w:val="yellow"/>
              </w:rPr>
            </w:pPr>
          </w:p>
        </w:tc>
        <w:tc>
          <w:tcPr>
            <w:tcW w:w="9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DD44C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套</w:t>
            </w:r>
          </w:p>
        </w:tc>
        <w:tc>
          <w:tcPr>
            <w:tcW w:w="94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B67B8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20</w:t>
            </w:r>
          </w:p>
        </w:tc>
        <w:tc>
          <w:tcPr>
            <w:tcW w:w="1889" w:type="dxa"/>
            <w:tcBorders>
              <w:top w:val="single" w:color="000000" w:sz="2" w:space="0"/>
              <w:left w:val="single" w:color="000000" w:sz="2" w:space="0"/>
              <w:bottom w:val="single" w:color="000000" w:sz="2" w:space="0"/>
              <w:right w:val="single" w:color="000000" w:sz="2" w:space="0"/>
            </w:tcBorders>
            <w:vAlign w:val="center"/>
          </w:tcPr>
          <w:p w14:paraId="1FACCF0B">
            <w:pPr>
              <w:widowControl/>
              <w:jc w:val="center"/>
              <w:textAlignment w:val="center"/>
              <w:rPr>
                <w:rFonts w:ascii="宋体" w:hAnsi="宋体" w:eastAsia="宋体" w:cs="Times New Roman"/>
                <w:color w:val="000000"/>
                <w:sz w:val="24"/>
                <w:szCs w:val="24"/>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2E58708E">
            <w:pPr>
              <w:widowControl/>
              <w:jc w:val="center"/>
              <w:textAlignment w:val="center"/>
              <w:rPr>
                <w:rFonts w:ascii="宋体" w:hAnsi="宋体" w:eastAsia="宋体" w:cs="Times New Roman"/>
                <w:sz w:val="24"/>
                <w:szCs w:val="24"/>
              </w:rPr>
            </w:pPr>
          </w:p>
        </w:tc>
        <w:tc>
          <w:tcPr>
            <w:tcW w:w="1864" w:type="dxa"/>
            <w:tcBorders>
              <w:top w:val="single" w:color="000000" w:sz="2" w:space="0"/>
              <w:left w:val="nil"/>
              <w:bottom w:val="single" w:color="000000" w:sz="2" w:space="0"/>
              <w:right w:val="single" w:color="000000" w:sz="2" w:space="0"/>
            </w:tcBorders>
            <w:vAlign w:val="center"/>
          </w:tcPr>
          <w:p w14:paraId="03C6FDF8">
            <w:pPr>
              <w:widowControl/>
              <w:jc w:val="left"/>
              <w:textAlignment w:val="center"/>
              <w:rPr>
                <w:rFonts w:ascii="宋体" w:hAnsi="宋体" w:eastAsia="宋体" w:cs="Times New Roman"/>
                <w:sz w:val="24"/>
                <w:szCs w:val="24"/>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3A2C1E9B">
            <w:pPr>
              <w:jc w:val="center"/>
              <w:textAlignment w:val="center"/>
              <w:rPr>
                <w:rFonts w:ascii="宋体" w:hAnsi="宋体" w:eastAsia="宋体" w:cs="Times New Roman"/>
                <w:sz w:val="24"/>
                <w:szCs w:val="24"/>
              </w:rPr>
            </w:pPr>
          </w:p>
        </w:tc>
      </w:tr>
      <w:tr w14:paraId="2CFEE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55401339">
            <w:pPr>
              <w:widowControl/>
              <w:jc w:val="center"/>
              <w:textAlignment w:val="center"/>
              <w:rPr>
                <w:rFonts w:hint="eastAsia" w:ascii="仿宋_GB2312" w:hAnsi="仿宋_GB2312" w:eastAsia="宋体" w:cs="Times New Roman"/>
                <w:color w:val="000000"/>
                <w:kern w:val="0"/>
                <w:szCs w:val="21"/>
                <w:lang w:eastAsia="zh-CN"/>
              </w:rPr>
            </w:pPr>
            <w:r>
              <w:rPr>
                <w:rFonts w:ascii="仿宋_GB2312" w:hAnsi="仿宋_GB2312" w:eastAsia="Times New Roman" w:cs="Times New Roman"/>
                <w:color w:val="000000"/>
                <w:kern w:val="0"/>
                <w:szCs w:val="21"/>
              </w:rPr>
              <w:t>7</w:t>
            </w:r>
          </w:p>
        </w:tc>
        <w:tc>
          <w:tcPr>
            <w:tcW w:w="28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D80111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AGV小车专用工装板</w:t>
            </w:r>
          </w:p>
        </w:tc>
        <w:tc>
          <w:tcPr>
            <w:tcW w:w="1658" w:type="dxa"/>
            <w:tcBorders>
              <w:top w:val="single" w:color="000000" w:sz="2" w:space="0"/>
              <w:left w:val="single" w:color="000000" w:sz="2" w:space="0"/>
              <w:bottom w:val="single" w:color="000000" w:sz="2" w:space="0"/>
              <w:right w:val="single" w:color="000000" w:sz="2" w:space="0"/>
            </w:tcBorders>
            <w:vAlign w:val="center"/>
          </w:tcPr>
          <w:p w14:paraId="65C5FB9D">
            <w:pPr>
              <w:widowControl/>
              <w:jc w:val="center"/>
              <w:textAlignment w:val="center"/>
              <w:rPr>
                <w:rFonts w:ascii="宋体" w:hAnsi="宋体" w:eastAsia="宋体" w:cs="Times New Roman"/>
                <w:color w:val="000000"/>
                <w:kern w:val="0"/>
                <w:sz w:val="22"/>
                <w:highlight w:val="yellow"/>
              </w:rPr>
            </w:pPr>
          </w:p>
        </w:tc>
        <w:tc>
          <w:tcPr>
            <w:tcW w:w="9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B337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对</w:t>
            </w:r>
          </w:p>
        </w:tc>
        <w:tc>
          <w:tcPr>
            <w:tcW w:w="94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54DC4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6</w:t>
            </w:r>
          </w:p>
        </w:tc>
        <w:tc>
          <w:tcPr>
            <w:tcW w:w="1889" w:type="dxa"/>
            <w:tcBorders>
              <w:top w:val="single" w:color="000000" w:sz="2" w:space="0"/>
              <w:left w:val="single" w:color="000000" w:sz="2" w:space="0"/>
              <w:bottom w:val="single" w:color="000000" w:sz="2" w:space="0"/>
              <w:right w:val="single" w:color="000000" w:sz="2" w:space="0"/>
            </w:tcBorders>
            <w:vAlign w:val="center"/>
          </w:tcPr>
          <w:p w14:paraId="6CDBEBC7">
            <w:pPr>
              <w:widowControl/>
              <w:jc w:val="center"/>
              <w:textAlignment w:val="center"/>
              <w:rPr>
                <w:rFonts w:ascii="宋体" w:hAnsi="宋体" w:eastAsia="宋体" w:cs="Times New Roman"/>
                <w:color w:val="000000"/>
                <w:sz w:val="22"/>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4656636C">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1AA402C0">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4022D7BD">
            <w:pPr>
              <w:jc w:val="left"/>
              <w:rPr>
                <w:rFonts w:ascii="Arial" w:hAnsi="Times New Roman" w:eastAsia="宋体" w:cs="Times New Roman"/>
                <w:kern w:val="0"/>
                <w:sz w:val="20"/>
                <w:szCs w:val="20"/>
              </w:rPr>
            </w:pPr>
          </w:p>
        </w:tc>
      </w:tr>
      <w:tr w14:paraId="11418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080FC07B">
            <w:pPr>
              <w:widowControl/>
              <w:jc w:val="center"/>
              <w:textAlignment w:val="center"/>
              <w:rPr>
                <w:rFonts w:hint="eastAsia" w:ascii="仿宋_GB2312" w:hAnsi="仿宋_GB2312" w:eastAsia="宋体" w:cs="Times New Roman"/>
                <w:color w:val="000000"/>
                <w:kern w:val="0"/>
                <w:szCs w:val="21"/>
                <w:lang w:val="en-US" w:eastAsia="zh-CN"/>
              </w:rPr>
            </w:pPr>
            <w:r>
              <w:rPr>
                <w:rFonts w:ascii="仿宋_GB2312" w:hAnsi="仿宋_GB2312" w:eastAsia="Times New Roman" w:cs="Times New Roman"/>
                <w:color w:val="000000"/>
                <w:kern w:val="0"/>
                <w:szCs w:val="21"/>
              </w:rPr>
              <w:t>8</w:t>
            </w:r>
          </w:p>
        </w:tc>
        <w:tc>
          <w:tcPr>
            <w:tcW w:w="28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6A0D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主动锥齿轮运载电动周转车</w:t>
            </w:r>
          </w:p>
        </w:tc>
        <w:tc>
          <w:tcPr>
            <w:tcW w:w="1658" w:type="dxa"/>
            <w:tcBorders>
              <w:top w:val="single" w:color="000000" w:sz="2" w:space="0"/>
              <w:left w:val="single" w:color="000000" w:sz="2" w:space="0"/>
              <w:bottom w:val="single" w:color="000000" w:sz="2" w:space="0"/>
              <w:right w:val="single" w:color="000000" w:sz="2" w:space="0"/>
            </w:tcBorders>
            <w:vAlign w:val="center"/>
          </w:tcPr>
          <w:p w14:paraId="5ED6AE05">
            <w:pPr>
              <w:widowControl/>
              <w:jc w:val="center"/>
              <w:textAlignment w:val="center"/>
              <w:rPr>
                <w:rFonts w:ascii="宋体" w:hAnsi="宋体" w:eastAsia="宋体" w:cs="Times New Roman"/>
                <w:color w:val="000000"/>
                <w:kern w:val="0"/>
                <w:sz w:val="22"/>
                <w:highlight w:val="yellow"/>
              </w:rPr>
            </w:pPr>
          </w:p>
        </w:tc>
        <w:tc>
          <w:tcPr>
            <w:tcW w:w="9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1D0657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台</w:t>
            </w:r>
          </w:p>
        </w:tc>
        <w:tc>
          <w:tcPr>
            <w:tcW w:w="94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7ADDB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2</w:t>
            </w:r>
          </w:p>
        </w:tc>
        <w:tc>
          <w:tcPr>
            <w:tcW w:w="1889" w:type="dxa"/>
            <w:tcBorders>
              <w:top w:val="single" w:color="000000" w:sz="2" w:space="0"/>
              <w:left w:val="single" w:color="000000" w:sz="2" w:space="0"/>
              <w:bottom w:val="single" w:color="000000" w:sz="2" w:space="0"/>
              <w:right w:val="single" w:color="000000" w:sz="2" w:space="0"/>
            </w:tcBorders>
            <w:vAlign w:val="center"/>
          </w:tcPr>
          <w:p w14:paraId="17A2329D">
            <w:pPr>
              <w:widowControl/>
              <w:jc w:val="center"/>
              <w:textAlignment w:val="center"/>
              <w:rPr>
                <w:rFonts w:ascii="宋体" w:hAnsi="宋体" w:eastAsia="宋体" w:cs="Times New Roman"/>
                <w:color w:val="000000"/>
                <w:sz w:val="22"/>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31143073">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46106906">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2F9E8254">
            <w:pPr>
              <w:jc w:val="left"/>
              <w:rPr>
                <w:rFonts w:ascii="Arial" w:hAnsi="Times New Roman" w:eastAsia="宋体" w:cs="Times New Roman"/>
                <w:kern w:val="0"/>
                <w:sz w:val="20"/>
                <w:szCs w:val="20"/>
              </w:rPr>
            </w:pPr>
          </w:p>
        </w:tc>
      </w:tr>
      <w:tr w14:paraId="6F1A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03DC04F4">
            <w:pPr>
              <w:widowControl/>
              <w:jc w:val="center"/>
              <w:textAlignment w:val="center"/>
              <w:rPr>
                <w:rFonts w:hint="eastAsia" w:ascii="仿宋_GB2312" w:hAnsi="仿宋_GB2312" w:eastAsia="宋体" w:cs="Times New Roman"/>
                <w:color w:val="000000"/>
                <w:kern w:val="0"/>
                <w:szCs w:val="21"/>
                <w:lang w:val="en-US" w:eastAsia="zh-CN"/>
              </w:rPr>
            </w:pPr>
            <w:r>
              <w:rPr>
                <w:rFonts w:ascii="仿宋_GB2312" w:hAnsi="仿宋_GB2312" w:eastAsia="Times New Roman" w:cs="Times New Roman"/>
                <w:color w:val="000000"/>
                <w:kern w:val="0"/>
                <w:szCs w:val="21"/>
              </w:rPr>
              <w:t>9</w:t>
            </w:r>
          </w:p>
        </w:tc>
        <w:tc>
          <w:tcPr>
            <w:tcW w:w="28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13BA7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3层工具定置车1.5m*0.5m*1m</w:t>
            </w:r>
          </w:p>
        </w:tc>
        <w:tc>
          <w:tcPr>
            <w:tcW w:w="1658" w:type="dxa"/>
            <w:tcBorders>
              <w:top w:val="single" w:color="000000" w:sz="2" w:space="0"/>
              <w:left w:val="single" w:color="000000" w:sz="2" w:space="0"/>
              <w:bottom w:val="single" w:color="000000" w:sz="2" w:space="0"/>
              <w:right w:val="single" w:color="000000" w:sz="2" w:space="0"/>
            </w:tcBorders>
            <w:vAlign w:val="center"/>
          </w:tcPr>
          <w:p w14:paraId="1D4E30D9">
            <w:pPr>
              <w:widowControl/>
              <w:jc w:val="center"/>
              <w:textAlignment w:val="center"/>
              <w:rPr>
                <w:rFonts w:ascii="宋体" w:hAnsi="宋体" w:eastAsia="宋体" w:cs="Times New Roman"/>
                <w:color w:val="000000"/>
                <w:kern w:val="0"/>
                <w:sz w:val="22"/>
                <w:highlight w:val="yellow"/>
              </w:rPr>
            </w:pPr>
          </w:p>
        </w:tc>
        <w:tc>
          <w:tcPr>
            <w:tcW w:w="9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FB6A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件</w:t>
            </w:r>
          </w:p>
        </w:tc>
        <w:tc>
          <w:tcPr>
            <w:tcW w:w="94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E42EF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10</w:t>
            </w:r>
          </w:p>
        </w:tc>
        <w:tc>
          <w:tcPr>
            <w:tcW w:w="1889" w:type="dxa"/>
            <w:tcBorders>
              <w:top w:val="single" w:color="000000" w:sz="2" w:space="0"/>
              <w:left w:val="single" w:color="000000" w:sz="2" w:space="0"/>
              <w:bottom w:val="single" w:color="000000" w:sz="2" w:space="0"/>
              <w:right w:val="single" w:color="000000" w:sz="2" w:space="0"/>
            </w:tcBorders>
            <w:vAlign w:val="center"/>
          </w:tcPr>
          <w:p w14:paraId="38808A62">
            <w:pPr>
              <w:widowControl/>
              <w:jc w:val="center"/>
              <w:textAlignment w:val="center"/>
              <w:rPr>
                <w:rFonts w:ascii="宋体" w:hAnsi="宋体" w:eastAsia="宋体" w:cs="Times New Roman"/>
                <w:color w:val="000000"/>
                <w:sz w:val="22"/>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285E6105">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1ECB8ED5">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6F25C925">
            <w:pPr>
              <w:jc w:val="left"/>
              <w:rPr>
                <w:rFonts w:ascii="Arial" w:hAnsi="Times New Roman" w:eastAsia="宋体" w:cs="Times New Roman"/>
                <w:kern w:val="0"/>
                <w:sz w:val="20"/>
                <w:szCs w:val="20"/>
              </w:rPr>
            </w:pPr>
          </w:p>
        </w:tc>
      </w:tr>
      <w:tr w14:paraId="6C84F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63C87ADD">
            <w:pPr>
              <w:widowControl/>
              <w:jc w:val="center"/>
              <w:textAlignment w:val="center"/>
              <w:rPr>
                <w:rFonts w:hint="eastAsia" w:ascii="仿宋_GB2312" w:hAnsi="仿宋_GB2312" w:eastAsia="宋体" w:cs="Times New Roman"/>
                <w:color w:val="000000"/>
                <w:kern w:val="0"/>
                <w:szCs w:val="21"/>
                <w:lang w:val="en-US" w:eastAsia="zh-CN"/>
              </w:rPr>
            </w:pPr>
            <w:r>
              <w:rPr>
                <w:rFonts w:ascii="仿宋_GB2312" w:hAnsi="仿宋_GB2312" w:eastAsia="Times New Roman" w:cs="Times New Roman"/>
                <w:color w:val="000000"/>
                <w:kern w:val="0"/>
                <w:szCs w:val="21"/>
              </w:rPr>
              <w:t>10</w:t>
            </w:r>
          </w:p>
        </w:tc>
        <w:tc>
          <w:tcPr>
            <w:tcW w:w="28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40E63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设备拆除搬迁基建</w:t>
            </w:r>
          </w:p>
        </w:tc>
        <w:tc>
          <w:tcPr>
            <w:tcW w:w="1658" w:type="dxa"/>
            <w:tcBorders>
              <w:top w:val="single" w:color="000000" w:sz="2" w:space="0"/>
              <w:left w:val="single" w:color="000000" w:sz="2" w:space="0"/>
              <w:bottom w:val="single" w:color="000000" w:sz="2" w:space="0"/>
              <w:right w:val="single" w:color="000000" w:sz="2" w:space="0"/>
            </w:tcBorders>
            <w:vAlign w:val="center"/>
          </w:tcPr>
          <w:p w14:paraId="532FD772">
            <w:pPr>
              <w:widowControl/>
              <w:jc w:val="center"/>
              <w:textAlignment w:val="center"/>
              <w:rPr>
                <w:rFonts w:ascii="宋体" w:hAnsi="宋体" w:eastAsia="宋体" w:cs="Times New Roman"/>
                <w:color w:val="000000"/>
                <w:kern w:val="0"/>
                <w:sz w:val="22"/>
                <w:highlight w:val="yellow"/>
              </w:rPr>
            </w:pPr>
          </w:p>
        </w:tc>
        <w:tc>
          <w:tcPr>
            <w:tcW w:w="9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E2549A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吨</w:t>
            </w:r>
          </w:p>
        </w:tc>
        <w:tc>
          <w:tcPr>
            <w:tcW w:w="94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45684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16</w:t>
            </w:r>
          </w:p>
        </w:tc>
        <w:tc>
          <w:tcPr>
            <w:tcW w:w="1889" w:type="dxa"/>
            <w:tcBorders>
              <w:top w:val="single" w:color="000000" w:sz="2" w:space="0"/>
              <w:left w:val="single" w:color="000000" w:sz="2" w:space="0"/>
              <w:bottom w:val="single" w:color="000000" w:sz="2" w:space="0"/>
              <w:right w:val="single" w:color="000000" w:sz="2" w:space="0"/>
            </w:tcBorders>
            <w:vAlign w:val="center"/>
          </w:tcPr>
          <w:p w14:paraId="6B1C06B6">
            <w:pPr>
              <w:widowControl/>
              <w:jc w:val="center"/>
              <w:textAlignment w:val="center"/>
              <w:rPr>
                <w:rFonts w:ascii="宋体" w:hAnsi="宋体" w:eastAsia="宋体" w:cs="Times New Roman"/>
                <w:color w:val="000000"/>
                <w:sz w:val="22"/>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01DE63CF">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79A47F89">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4F4A1FBA">
            <w:pPr>
              <w:jc w:val="left"/>
              <w:rPr>
                <w:rFonts w:ascii="Arial" w:hAnsi="Times New Roman" w:eastAsia="宋体" w:cs="Times New Roman"/>
                <w:kern w:val="0"/>
                <w:sz w:val="20"/>
                <w:szCs w:val="20"/>
              </w:rPr>
            </w:pPr>
          </w:p>
        </w:tc>
      </w:tr>
      <w:tr w14:paraId="65927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3E3F7F34">
            <w:pPr>
              <w:widowControl/>
              <w:jc w:val="center"/>
              <w:textAlignment w:val="center"/>
              <w:rPr>
                <w:rFonts w:hint="default" w:ascii="仿宋_GB2312" w:hAnsi="仿宋_GB2312" w:eastAsia="宋体" w:cs="Times New Roman"/>
                <w:color w:val="000000"/>
                <w:kern w:val="0"/>
                <w:szCs w:val="21"/>
                <w:lang w:val="en-US" w:eastAsia="zh-CN"/>
              </w:rPr>
            </w:pPr>
            <w:r>
              <w:rPr>
                <w:rFonts w:hint="eastAsia" w:ascii="仿宋_GB2312" w:hAnsi="仿宋_GB2312" w:eastAsia="宋体" w:cs="Times New Roman"/>
                <w:color w:val="000000"/>
                <w:kern w:val="0"/>
                <w:szCs w:val="21"/>
                <w:lang w:val="en-US" w:eastAsia="zh-CN"/>
              </w:rPr>
              <w:t>11</w:t>
            </w:r>
          </w:p>
        </w:tc>
        <w:tc>
          <w:tcPr>
            <w:tcW w:w="28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C0E6F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电气线路及桥架基建</w:t>
            </w:r>
          </w:p>
        </w:tc>
        <w:tc>
          <w:tcPr>
            <w:tcW w:w="1658" w:type="dxa"/>
            <w:tcBorders>
              <w:top w:val="single" w:color="000000" w:sz="2" w:space="0"/>
              <w:left w:val="single" w:color="000000" w:sz="2" w:space="0"/>
              <w:bottom w:val="single" w:color="000000" w:sz="2" w:space="0"/>
              <w:right w:val="single" w:color="000000" w:sz="2" w:space="0"/>
            </w:tcBorders>
            <w:vAlign w:val="center"/>
          </w:tcPr>
          <w:p w14:paraId="6796CF71">
            <w:pPr>
              <w:widowControl/>
              <w:jc w:val="center"/>
              <w:textAlignment w:val="center"/>
              <w:rPr>
                <w:rFonts w:ascii="宋体" w:hAnsi="宋体" w:eastAsia="宋体" w:cs="Times New Roman"/>
                <w:color w:val="000000"/>
                <w:kern w:val="0"/>
                <w:sz w:val="22"/>
                <w:highlight w:val="yellow"/>
              </w:rPr>
            </w:pPr>
          </w:p>
        </w:tc>
        <w:tc>
          <w:tcPr>
            <w:tcW w:w="9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C39D5C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m</w:t>
            </w:r>
          </w:p>
        </w:tc>
        <w:tc>
          <w:tcPr>
            <w:tcW w:w="94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E649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160</w:t>
            </w:r>
          </w:p>
        </w:tc>
        <w:tc>
          <w:tcPr>
            <w:tcW w:w="1889" w:type="dxa"/>
            <w:tcBorders>
              <w:top w:val="single" w:color="000000" w:sz="2" w:space="0"/>
              <w:left w:val="single" w:color="000000" w:sz="2" w:space="0"/>
              <w:bottom w:val="single" w:color="000000" w:sz="2" w:space="0"/>
              <w:right w:val="single" w:color="000000" w:sz="2" w:space="0"/>
            </w:tcBorders>
            <w:vAlign w:val="center"/>
          </w:tcPr>
          <w:p w14:paraId="5482DCBF">
            <w:pPr>
              <w:widowControl/>
              <w:jc w:val="center"/>
              <w:textAlignment w:val="center"/>
              <w:rPr>
                <w:rFonts w:ascii="宋体" w:hAnsi="宋体" w:eastAsia="宋体" w:cs="Times New Roman"/>
                <w:color w:val="000000"/>
                <w:sz w:val="22"/>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6129D515">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51B0B8DE">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3F75B1BB">
            <w:pPr>
              <w:jc w:val="left"/>
              <w:rPr>
                <w:rFonts w:ascii="Arial" w:hAnsi="Times New Roman" w:eastAsia="宋体" w:cs="Times New Roman"/>
                <w:kern w:val="0"/>
                <w:sz w:val="20"/>
                <w:szCs w:val="20"/>
              </w:rPr>
            </w:pPr>
          </w:p>
        </w:tc>
      </w:tr>
      <w:tr w14:paraId="59637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5EEF32B5">
            <w:pPr>
              <w:widowControl/>
              <w:jc w:val="center"/>
              <w:textAlignment w:val="center"/>
              <w:rPr>
                <w:rFonts w:hint="default" w:ascii="仿宋_GB2312" w:hAnsi="仿宋_GB2312" w:eastAsia="宋体" w:cs="Times New Roman"/>
                <w:color w:val="000000"/>
                <w:kern w:val="0"/>
                <w:szCs w:val="21"/>
                <w:lang w:val="en-US" w:eastAsia="zh-CN"/>
              </w:rPr>
            </w:pPr>
            <w:r>
              <w:rPr>
                <w:rFonts w:hint="eastAsia" w:ascii="仿宋_GB2312" w:hAnsi="仿宋_GB2312" w:eastAsia="宋体" w:cs="Times New Roman"/>
                <w:color w:val="000000"/>
                <w:kern w:val="0"/>
                <w:szCs w:val="21"/>
                <w:lang w:val="en-US" w:eastAsia="zh-CN"/>
              </w:rPr>
              <w:t>12</w:t>
            </w:r>
          </w:p>
        </w:tc>
        <w:tc>
          <w:tcPr>
            <w:tcW w:w="28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4A7A96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照明风扇复原基建</w:t>
            </w:r>
          </w:p>
        </w:tc>
        <w:tc>
          <w:tcPr>
            <w:tcW w:w="1658" w:type="dxa"/>
            <w:tcBorders>
              <w:top w:val="single" w:color="000000" w:sz="2" w:space="0"/>
              <w:left w:val="single" w:color="000000" w:sz="2" w:space="0"/>
              <w:bottom w:val="single" w:color="000000" w:sz="2" w:space="0"/>
              <w:right w:val="single" w:color="000000" w:sz="2" w:space="0"/>
            </w:tcBorders>
            <w:vAlign w:val="center"/>
          </w:tcPr>
          <w:p w14:paraId="25D52E81">
            <w:pPr>
              <w:widowControl/>
              <w:jc w:val="center"/>
              <w:textAlignment w:val="center"/>
              <w:rPr>
                <w:rFonts w:ascii="宋体" w:hAnsi="宋体" w:eastAsia="宋体" w:cs="Times New Roman"/>
                <w:color w:val="000000"/>
                <w:kern w:val="0"/>
                <w:sz w:val="22"/>
                <w:highlight w:val="yellow"/>
              </w:rPr>
            </w:pPr>
          </w:p>
        </w:tc>
        <w:tc>
          <w:tcPr>
            <w:tcW w:w="9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433904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组</w:t>
            </w:r>
          </w:p>
        </w:tc>
        <w:tc>
          <w:tcPr>
            <w:tcW w:w="94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3DBD3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40</w:t>
            </w:r>
          </w:p>
        </w:tc>
        <w:tc>
          <w:tcPr>
            <w:tcW w:w="1889" w:type="dxa"/>
            <w:tcBorders>
              <w:top w:val="single" w:color="000000" w:sz="2" w:space="0"/>
              <w:left w:val="single" w:color="000000" w:sz="2" w:space="0"/>
              <w:bottom w:val="single" w:color="000000" w:sz="2" w:space="0"/>
              <w:right w:val="single" w:color="000000" w:sz="2" w:space="0"/>
            </w:tcBorders>
            <w:vAlign w:val="center"/>
          </w:tcPr>
          <w:p w14:paraId="5BABAD22">
            <w:pPr>
              <w:widowControl/>
              <w:jc w:val="center"/>
              <w:textAlignment w:val="center"/>
              <w:rPr>
                <w:rFonts w:ascii="宋体" w:hAnsi="宋体" w:eastAsia="宋体" w:cs="Times New Roman"/>
                <w:color w:val="000000"/>
                <w:sz w:val="22"/>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2C85AD7C">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263BEC55">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0F2359CA">
            <w:pPr>
              <w:jc w:val="left"/>
              <w:rPr>
                <w:rFonts w:ascii="Arial" w:hAnsi="Times New Roman" w:eastAsia="宋体" w:cs="Times New Roman"/>
                <w:kern w:val="0"/>
                <w:sz w:val="20"/>
                <w:szCs w:val="20"/>
              </w:rPr>
            </w:pPr>
          </w:p>
        </w:tc>
      </w:tr>
      <w:tr w14:paraId="3A729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35EC162B">
            <w:pPr>
              <w:widowControl/>
              <w:jc w:val="center"/>
              <w:textAlignment w:val="center"/>
              <w:rPr>
                <w:rFonts w:hint="default" w:ascii="仿宋_GB2312" w:hAnsi="仿宋_GB2312" w:eastAsia="宋体" w:cs="Times New Roman"/>
                <w:color w:val="000000"/>
                <w:kern w:val="0"/>
                <w:szCs w:val="21"/>
                <w:lang w:val="en-US" w:eastAsia="zh-CN"/>
              </w:rPr>
            </w:pPr>
            <w:r>
              <w:rPr>
                <w:rFonts w:hint="eastAsia" w:ascii="仿宋_GB2312" w:hAnsi="仿宋_GB2312" w:eastAsia="宋体" w:cs="Times New Roman"/>
                <w:color w:val="000000"/>
                <w:kern w:val="0"/>
                <w:szCs w:val="21"/>
                <w:lang w:val="en-US" w:eastAsia="zh-CN"/>
              </w:rPr>
              <w:t>13</w:t>
            </w:r>
          </w:p>
        </w:tc>
        <w:tc>
          <w:tcPr>
            <w:tcW w:w="28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FF64CA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地面填坑基建</w:t>
            </w:r>
          </w:p>
        </w:tc>
        <w:tc>
          <w:tcPr>
            <w:tcW w:w="1658" w:type="dxa"/>
            <w:tcBorders>
              <w:top w:val="single" w:color="000000" w:sz="2" w:space="0"/>
              <w:left w:val="single" w:color="000000" w:sz="2" w:space="0"/>
              <w:bottom w:val="single" w:color="000000" w:sz="2" w:space="0"/>
              <w:right w:val="single" w:color="000000" w:sz="2" w:space="0"/>
            </w:tcBorders>
            <w:vAlign w:val="center"/>
          </w:tcPr>
          <w:p w14:paraId="26C133A8">
            <w:pPr>
              <w:widowControl/>
              <w:jc w:val="center"/>
              <w:textAlignment w:val="center"/>
              <w:rPr>
                <w:rFonts w:ascii="宋体" w:hAnsi="宋体" w:eastAsia="宋体" w:cs="Times New Roman"/>
                <w:color w:val="000000"/>
                <w:kern w:val="0"/>
                <w:sz w:val="22"/>
                <w:highlight w:val="yellow"/>
              </w:rPr>
            </w:pPr>
          </w:p>
        </w:tc>
        <w:tc>
          <w:tcPr>
            <w:tcW w:w="9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8B7A9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m³</w:t>
            </w:r>
          </w:p>
        </w:tc>
        <w:tc>
          <w:tcPr>
            <w:tcW w:w="94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D61EC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4</w:t>
            </w:r>
          </w:p>
        </w:tc>
        <w:tc>
          <w:tcPr>
            <w:tcW w:w="1889" w:type="dxa"/>
            <w:tcBorders>
              <w:top w:val="single" w:color="000000" w:sz="2" w:space="0"/>
              <w:left w:val="single" w:color="000000" w:sz="2" w:space="0"/>
              <w:bottom w:val="single" w:color="000000" w:sz="2" w:space="0"/>
              <w:right w:val="single" w:color="000000" w:sz="2" w:space="0"/>
            </w:tcBorders>
            <w:vAlign w:val="center"/>
          </w:tcPr>
          <w:p w14:paraId="15EDC3BC">
            <w:pPr>
              <w:widowControl/>
              <w:jc w:val="center"/>
              <w:textAlignment w:val="center"/>
              <w:rPr>
                <w:rFonts w:ascii="宋体" w:hAnsi="宋体" w:eastAsia="宋体" w:cs="Times New Roman"/>
                <w:color w:val="000000"/>
                <w:sz w:val="22"/>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4BDF9FAA">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07BCE87F">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3AFAFBBE">
            <w:pPr>
              <w:jc w:val="left"/>
              <w:rPr>
                <w:rFonts w:ascii="Arial" w:hAnsi="Times New Roman" w:eastAsia="宋体" w:cs="Times New Roman"/>
                <w:kern w:val="0"/>
                <w:sz w:val="20"/>
                <w:szCs w:val="20"/>
              </w:rPr>
            </w:pPr>
          </w:p>
        </w:tc>
      </w:tr>
      <w:tr w14:paraId="0BFE0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785614FA">
            <w:pPr>
              <w:widowControl/>
              <w:jc w:val="center"/>
              <w:textAlignment w:val="center"/>
              <w:rPr>
                <w:rFonts w:hint="default" w:ascii="仿宋_GB2312" w:hAnsi="仿宋_GB2312" w:eastAsia="宋体" w:cs="Times New Roman"/>
                <w:color w:val="000000"/>
                <w:kern w:val="0"/>
                <w:szCs w:val="21"/>
                <w:lang w:val="en-US" w:eastAsia="zh-CN"/>
              </w:rPr>
            </w:pPr>
            <w:r>
              <w:rPr>
                <w:rFonts w:hint="eastAsia" w:ascii="仿宋_GB2312" w:hAnsi="仿宋_GB2312" w:eastAsia="宋体" w:cs="Times New Roman"/>
                <w:color w:val="000000"/>
                <w:kern w:val="0"/>
                <w:szCs w:val="21"/>
                <w:lang w:val="en-US" w:eastAsia="zh-CN"/>
              </w:rPr>
              <w:t>14</w:t>
            </w:r>
          </w:p>
        </w:tc>
        <w:tc>
          <w:tcPr>
            <w:tcW w:w="28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DD949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地面平整及地坪刷漆基建</w:t>
            </w:r>
          </w:p>
        </w:tc>
        <w:tc>
          <w:tcPr>
            <w:tcW w:w="1658" w:type="dxa"/>
            <w:tcBorders>
              <w:top w:val="single" w:color="000000" w:sz="2" w:space="0"/>
              <w:left w:val="single" w:color="000000" w:sz="2" w:space="0"/>
              <w:bottom w:val="single" w:color="000000" w:sz="2" w:space="0"/>
              <w:right w:val="single" w:color="000000" w:sz="2" w:space="0"/>
            </w:tcBorders>
            <w:vAlign w:val="center"/>
          </w:tcPr>
          <w:p w14:paraId="5B8D6544">
            <w:pPr>
              <w:widowControl/>
              <w:jc w:val="center"/>
              <w:textAlignment w:val="center"/>
              <w:rPr>
                <w:rFonts w:ascii="宋体" w:hAnsi="宋体" w:eastAsia="宋体" w:cs="Times New Roman"/>
                <w:color w:val="000000"/>
                <w:kern w:val="0"/>
                <w:sz w:val="22"/>
                <w:highlight w:val="yellow"/>
              </w:rPr>
            </w:pPr>
          </w:p>
        </w:tc>
        <w:tc>
          <w:tcPr>
            <w:tcW w:w="9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9FBAE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w:t>
            </w:r>
          </w:p>
        </w:tc>
        <w:tc>
          <w:tcPr>
            <w:tcW w:w="94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81032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1000</w:t>
            </w:r>
          </w:p>
        </w:tc>
        <w:tc>
          <w:tcPr>
            <w:tcW w:w="1889" w:type="dxa"/>
            <w:tcBorders>
              <w:top w:val="single" w:color="000000" w:sz="2" w:space="0"/>
              <w:left w:val="single" w:color="000000" w:sz="2" w:space="0"/>
              <w:bottom w:val="single" w:color="000000" w:sz="2" w:space="0"/>
              <w:right w:val="single" w:color="000000" w:sz="2" w:space="0"/>
            </w:tcBorders>
            <w:vAlign w:val="center"/>
          </w:tcPr>
          <w:p w14:paraId="69E4782F">
            <w:pPr>
              <w:widowControl/>
              <w:jc w:val="center"/>
              <w:textAlignment w:val="center"/>
              <w:rPr>
                <w:rFonts w:ascii="宋体" w:hAnsi="宋体" w:eastAsia="宋体" w:cs="Times New Roman"/>
                <w:color w:val="000000"/>
                <w:sz w:val="22"/>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258B6EC4">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72EDFDF8">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55D8FAB7">
            <w:pPr>
              <w:jc w:val="left"/>
              <w:rPr>
                <w:rFonts w:ascii="Arial" w:hAnsi="Times New Roman" w:eastAsia="宋体" w:cs="Times New Roman"/>
                <w:kern w:val="0"/>
                <w:sz w:val="20"/>
                <w:szCs w:val="20"/>
              </w:rPr>
            </w:pPr>
          </w:p>
        </w:tc>
      </w:tr>
      <w:tr w14:paraId="78477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30F723C7">
            <w:pPr>
              <w:widowControl/>
              <w:jc w:val="center"/>
              <w:textAlignment w:val="center"/>
              <w:rPr>
                <w:rFonts w:hint="default" w:ascii="仿宋_GB2312" w:hAnsi="仿宋_GB2312" w:eastAsia="宋体" w:cs="Times New Roman"/>
                <w:color w:val="000000"/>
                <w:kern w:val="0"/>
                <w:szCs w:val="21"/>
                <w:lang w:val="en-US" w:eastAsia="zh-CN"/>
              </w:rPr>
            </w:pPr>
            <w:r>
              <w:rPr>
                <w:rFonts w:hint="eastAsia" w:ascii="仿宋_GB2312" w:hAnsi="仿宋_GB2312" w:eastAsia="宋体" w:cs="Times New Roman"/>
                <w:color w:val="000000"/>
                <w:kern w:val="0"/>
                <w:szCs w:val="21"/>
                <w:lang w:val="en-US" w:eastAsia="zh-CN"/>
              </w:rPr>
              <w:t>15</w:t>
            </w:r>
          </w:p>
        </w:tc>
        <w:tc>
          <w:tcPr>
            <w:tcW w:w="28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06378E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sz w:val="21"/>
                <w:szCs w:val="21"/>
                <w:lang w:val="en-US" w:eastAsia="zh-CN" w:bidi="ar"/>
              </w:rPr>
              <w:t>柔性吊位置移动基建</w:t>
            </w:r>
          </w:p>
        </w:tc>
        <w:tc>
          <w:tcPr>
            <w:tcW w:w="1658" w:type="dxa"/>
            <w:tcBorders>
              <w:top w:val="single" w:color="000000" w:sz="2" w:space="0"/>
              <w:left w:val="single" w:color="000000" w:sz="2" w:space="0"/>
              <w:bottom w:val="single" w:color="000000" w:sz="2" w:space="0"/>
              <w:right w:val="single" w:color="000000" w:sz="2" w:space="0"/>
            </w:tcBorders>
            <w:vAlign w:val="center"/>
          </w:tcPr>
          <w:p w14:paraId="6A0F75C4">
            <w:pPr>
              <w:widowControl/>
              <w:jc w:val="center"/>
              <w:textAlignment w:val="center"/>
              <w:rPr>
                <w:rFonts w:ascii="宋体" w:hAnsi="宋体" w:eastAsia="宋体" w:cs="Times New Roman"/>
                <w:color w:val="000000"/>
                <w:kern w:val="0"/>
                <w:sz w:val="22"/>
                <w:highlight w:val="yellow"/>
              </w:rPr>
            </w:pPr>
          </w:p>
        </w:tc>
        <w:tc>
          <w:tcPr>
            <w:tcW w:w="9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874E7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m</w:t>
            </w:r>
          </w:p>
        </w:tc>
        <w:tc>
          <w:tcPr>
            <w:tcW w:w="94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AF4D2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40</w:t>
            </w:r>
          </w:p>
        </w:tc>
        <w:tc>
          <w:tcPr>
            <w:tcW w:w="1889" w:type="dxa"/>
            <w:tcBorders>
              <w:top w:val="single" w:color="000000" w:sz="2" w:space="0"/>
              <w:left w:val="single" w:color="000000" w:sz="2" w:space="0"/>
              <w:bottom w:val="single" w:color="000000" w:sz="2" w:space="0"/>
              <w:right w:val="single" w:color="000000" w:sz="2" w:space="0"/>
            </w:tcBorders>
            <w:vAlign w:val="center"/>
          </w:tcPr>
          <w:p w14:paraId="105A5A1D">
            <w:pPr>
              <w:widowControl/>
              <w:jc w:val="center"/>
              <w:textAlignment w:val="center"/>
              <w:rPr>
                <w:rFonts w:ascii="宋体" w:hAnsi="宋体" w:eastAsia="宋体" w:cs="Times New Roman"/>
                <w:color w:val="000000"/>
                <w:sz w:val="22"/>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67D39EB8">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7BF967A9">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35AC7E0A">
            <w:pPr>
              <w:jc w:val="left"/>
              <w:rPr>
                <w:rFonts w:ascii="Arial" w:hAnsi="Times New Roman" w:eastAsia="宋体" w:cs="Times New Roman"/>
                <w:kern w:val="0"/>
                <w:sz w:val="20"/>
                <w:szCs w:val="20"/>
              </w:rPr>
            </w:pPr>
          </w:p>
        </w:tc>
      </w:tr>
      <w:tr w14:paraId="1EC0B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453A617C">
            <w:pPr>
              <w:widowControl/>
              <w:jc w:val="center"/>
              <w:textAlignment w:val="center"/>
              <w:rPr>
                <w:rFonts w:hint="default" w:ascii="仿宋_GB2312" w:hAnsi="仿宋_GB2312" w:eastAsia="宋体" w:cs="Times New Roman"/>
                <w:color w:val="000000"/>
                <w:kern w:val="0"/>
                <w:szCs w:val="21"/>
                <w:lang w:val="en-US" w:eastAsia="zh-CN"/>
              </w:rPr>
            </w:pPr>
            <w:r>
              <w:rPr>
                <w:rFonts w:hint="eastAsia" w:ascii="仿宋_GB2312" w:hAnsi="仿宋_GB2312" w:eastAsia="宋体" w:cs="Times New Roman"/>
                <w:color w:val="000000"/>
                <w:kern w:val="0"/>
                <w:szCs w:val="21"/>
                <w:lang w:val="en-US" w:eastAsia="zh-CN"/>
              </w:rPr>
              <w:t>16</w:t>
            </w:r>
          </w:p>
        </w:tc>
        <w:tc>
          <w:tcPr>
            <w:tcW w:w="28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F0F06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运输</w:t>
            </w:r>
          </w:p>
        </w:tc>
        <w:tc>
          <w:tcPr>
            <w:tcW w:w="1658" w:type="dxa"/>
            <w:tcBorders>
              <w:top w:val="single" w:color="000000" w:sz="2" w:space="0"/>
              <w:left w:val="single" w:color="000000" w:sz="2" w:space="0"/>
              <w:bottom w:val="single" w:color="000000" w:sz="2" w:space="0"/>
              <w:right w:val="single" w:color="000000" w:sz="2" w:space="0"/>
            </w:tcBorders>
            <w:vAlign w:val="center"/>
          </w:tcPr>
          <w:p w14:paraId="5A812D82">
            <w:pPr>
              <w:widowControl/>
              <w:jc w:val="center"/>
              <w:textAlignment w:val="center"/>
              <w:rPr>
                <w:rFonts w:ascii="宋体" w:hAnsi="宋体" w:eastAsia="宋体" w:cs="Times New Roman"/>
                <w:color w:val="000000"/>
                <w:kern w:val="0"/>
                <w:sz w:val="22"/>
                <w:highlight w:val="yellow"/>
              </w:rPr>
            </w:pPr>
          </w:p>
        </w:tc>
        <w:tc>
          <w:tcPr>
            <w:tcW w:w="977" w:type="dxa"/>
            <w:tcBorders>
              <w:top w:val="single" w:color="000000" w:sz="2" w:space="0"/>
              <w:left w:val="single" w:color="000000" w:sz="2" w:space="0"/>
              <w:bottom w:val="single" w:color="000000" w:sz="2" w:space="0"/>
              <w:right w:val="single" w:color="000000" w:sz="2" w:space="0"/>
            </w:tcBorders>
            <w:vAlign w:val="center"/>
          </w:tcPr>
          <w:p w14:paraId="0A3AC6B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次</w:t>
            </w:r>
          </w:p>
        </w:tc>
        <w:tc>
          <w:tcPr>
            <w:tcW w:w="942" w:type="dxa"/>
            <w:tcBorders>
              <w:top w:val="single" w:color="000000" w:sz="2" w:space="0"/>
              <w:left w:val="single" w:color="000000" w:sz="2" w:space="0"/>
              <w:bottom w:val="single" w:color="000000" w:sz="2" w:space="0"/>
              <w:right w:val="single" w:color="000000" w:sz="2" w:space="0"/>
            </w:tcBorders>
            <w:vAlign w:val="center"/>
          </w:tcPr>
          <w:p w14:paraId="012E9E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1</w:t>
            </w:r>
          </w:p>
        </w:tc>
        <w:tc>
          <w:tcPr>
            <w:tcW w:w="1889" w:type="dxa"/>
            <w:tcBorders>
              <w:top w:val="single" w:color="000000" w:sz="2" w:space="0"/>
              <w:left w:val="single" w:color="000000" w:sz="2" w:space="0"/>
              <w:bottom w:val="single" w:color="000000" w:sz="2" w:space="0"/>
              <w:right w:val="single" w:color="000000" w:sz="2" w:space="0"/>
            </w:tcBorders>
            <w:vAlign w:val="center"/>
          </w:tcPr>
          <w:p w14:paraId="7449E5D7">
            <w:pPr>
              <w:widowControl/>
              <w:jc w:val="center"/>
              <w:textAlignment w:val="center"/>
              <w:rPr>
                <w:rFonts w:ascii="宋体" w:hAnsi="宋体" w:eastAsia="宋体" w:cs="Times New Roman"/>
                <w:color w:val="000000"/>
                <w:sz w:val="22"/>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346F3A7F">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7179FE25">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10093787">
            <w:pPr>
              <w:jc w:val="left"/>
              <w:rPr>
                <w:rFonts w:ascii="Arial" w:hAnsi="Times New Roman" w:eastAsia="宋体" w:cs="Times New Roman"/>
                <w:kern w:val="0"/>
                <w:sz w:val="20"/>
                <w:szCs w:val="20"/>
              </w:rPr>
            </w:pPr>
          </w:p>
        </w:tc>
      </w:tr>
      <w:tr w14:paraId="2DB70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5D808E9B">
            <w:pPr>
              <w:widowControl/>
              <w:jc w:val="center"/>
              <w:textAlignment w:val="center"/>
              <w:rPr>
                <w:rFonts w:hint="default" w:ascii="仿宋_GB2312" w:hAnsi="仿宋_GB2312" w:eastAsia="宋体" w:cs="Times New Roman"/>
                <w:color w:val="000000"/>
                <w:kern w:val="0"/>
                <w:szCs w:val="21"/>
                <w:lang w:val="en-US" w:eastAsia="zh-CN"/>
              </w:rPr>
            </w:pPr>
            <w:r>
              <w:rPr>
                <w:rFonts w:hint="eastAsia" w:ascii="仿宋_GB2312" w:hAnsi="仿宋_GB2312" w:eastAsia="宋体" w:cs="Times New Roman"/>
                <w:color w:val="000000"/>
                <w:kern w:val="0"/>
                <w:szCs w:val="21"/>
                <w:lang w:val="en-US" w:eastAsia="zh-CN"/>
              </w:rPr>
              <w:t>17</w:t>
            </w:r>
          </w:p>
        </w:tc>
        <w:tc>
          <w:tcPr>
            <w:tcW w:w="28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F3E65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培训</w:t>
            </w:r>
          </w:p>
        </w:tc>
        <w:tc>
          <w:tcPr>
            <w:tcW w:w="1658" w:type="dxa"/>
            <w:tcBorders>
              <w:top w:val="single" w:color="000000" w:sz="2" w:space="0"/>
              <w:left w:val="single" w:color="000000" w:sz="2" w:space="0"/>
              <w:bottom w:val="single" w:color="000000" w:sz="2" w:space="0"/>
              <w:right w:val="single" w:color="000000" w:sz="2" w:space="0"/>
            </w:tcBorders>
            <w:vAlign w:val="center"/>
          </w:tcPr>
          <w:p w14:paraId="6727F342">
            <w:pPr>
              <w:widowControl/>
              <w:jc w:val="center"/>
              <w:textAlignment w:val="center"/>
              <w:rPr>
                <w:rFonts w:ascii="宋体" w:hAnsi="宋体" w:eastAsia="宋体" w:cs="Times New Roman"/>
                <w:color w:val="000000"/>
                <w:kern w:val="0"/>
                <w:sz w:val="22"/>
                <w:highlight w:val="yellow"/>
              </w:rPr>
            </w:pPr>
          </w:p>
        </w:tc>
        <w:tc>
          <w:tcPr>
            <w:tcW w:w="977" w:type="dxa"/>
            <w:tcBorders>
              <w:top w:val="single" w:color="000000" w:sz="2" w:space="0"/>
              <w:left w:val="single" w:color="000000" w:sz="2" w:space="0"/>
              <w:bottom w:val="single" w:color="000000" w:sz="2" w:space="0"/>
              <w:right w:val="single" w:color="000000" w:sz="2" w:space="0"/>
            </w:tcBorders>
            <w:vAlign w:val="center"/>
          </w:tcPr>
          <w:p w14:paraId="679674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次</w:t>
            </w:r>
          </w:p>
        </w:tc>
        <w:tc>
          <w:tcPr>
            <w:tcW w:w="942" w:type="dxa"/>
            <w:tcBorders>
              <w:top w:val="single" w:color="000000" w:sz="2" w:space="0"/>
              <w:left w:val="single" w:color="000000" w:sz="2" w:space="0"/>
              <w:bottom w:val="single" w:color="000000" w:sz="2" w:space="0"/>
              <w:right w:val="single" w:color="000000" w:sz="2" w:space="0"/>
            </w:tcBorders>
            <w:vAlign w:val="center"/>
          </w:tcPr>
          <w:p w14:paraId="27823B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3</w:t>
            </w:r>
          </w:p>
        </w:tc>
        <w:tc>
          <w:tcPr>
            <w:tcW w:w="1889" w:type="dxa"/>
            <w:tcBorders>
              <w:top w:val="single" w:color="000000" w:sz="2" w:space="0"/>
              <w:left w:val="single" w:color="000000" w:sz="2" w:space="0"/>
              <w:bottom w:val="single" w:color="000000" w:sz="2" w:space="0"/>
              <w:right w:val="single" w:color="000000" w:sz="2" w:space="0"/>
            </w:tcBorders>
            <w:vAlign w:val="center"/>
          </w:tcPr>
          <w:p w14:paraId="703CA680">
            <w:pPr>
              <w:widowControl/>
              <w:jc w:val="center"/>
              <w:textAlignment w:val="center"/>
              <w:rPr>
                <w:rFonts w:ascii="宋体" w:hAnsi="宋体" w:eastAsia="宋体" w:cs="Times New Roman"/>
                <w:color w:val="000000"/>
                <w:sz w:val="22"/>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0E3AC1A7">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1E0B5F35">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0DC5C653">
            <w:pPr>
              <w:jc w:val="left"/>
              <w:rPr>
                <w:rFonts w:ascii="Arial" w:hAnsi="Times New Roman" w:eastAsia="宋体" w:cs="Times New Roman"/>
                <w:kern w:val="0"/>
                <w:sz w:val="20"/>
                <w:szCs w:val="20"/>
              </w:rPr>
            </w:pPr>
          </w:p>
        </w:tc>
      </w:tr>
      <w:tr w14:paraId="7335C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2DDF122A">
            <w:pPr>
              <w:widowControl/>
              <w:jc w:val="center"/>
              <w:textAlignment w:val="center"/>
              <w:rPr>
                <w:rFonts w:hint="default" w:ascii="仿宋_GB2312" w:hAnsi="仿宋_GB2312" w:eastAsia="宋体" w:cs="Times New Roman"/>
                <w:color w:val="000000"/>
                <w:kern w:val="0"/>
                <w:szCs w:val="21"/>
                <w:lang w:val="en-US" w:eastAsia="zh-CN"/>
              </w:rPr>
            </w:pPr>
            <w:r>
              <w:rPr>
                <w:rFonts w:hint="eastAsia" w:ascii="仿宋_GB2312" w:hAnsi="仿宋_GB2312" w:eastAsia="宋体" w:cs="Times New Roman"/>
                <w:color w:val="000000"/>
                <w:kern w:val="0"/>
                <w:szCs w:val="21"/>
                <w:lang w:val="en-US" w:eastAsia="zh-CN"/>
              </w:rPr>
              <w:t>18</w:t>
            </w:r>
          </w:p>
        </w:tc>
        <w:tc>
          <w:tcPr>
            <w:tcW w:w="28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482D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包装</w:t>
            </w:r>
          </w:p>
        </w:tc>
        <w:tc>
          <w:tcPr>
            <w:tcW w:w="1658" w:type="dxa"/>
            <w:tcBorders>
              <w:top w:val="single" w:color="000000" w:sz="2" w:space="0"/>
              <w:left w:val="single" w:color="000000" w:sz="2" w:space="0"/>
              <w:bottom w:val="single" w:color="000000" w:sz="2" w:space="0"/>
              <w:right w:val="single" w:color="000000" w:sz="2" w:space="0"/>
            </w:tcBorders>
            <w:vAlign w:val="center"/>
          </w:tcPr>
          <w:p w14:paraId="117DF90F">
            <w:pPr>
              <w:widowControl/>
              <w:jc w:val="center"/>
              <w:textAlignment w:val="center"/>
              <w:rPr>
                <w:rFonts w:ascii="宋体" w:hAnsi="宋体" w:eastAsia="宋体" w:cs="Times New Roman"/>
                <w:color w:val="000000"/>
                <w:kern w:val="0"/>
                <w:sz w:val="22"/>
                <w:highlight w:val="yellow"/>
              </w:rPr>
            </w:pPr>
          </w:p>
        </w:tc>
        <w:tc>
          <w:tcPr>
            <w:tcW w:w="977" w:type="dxa"/>
            <w:tcBorders>
              <w:top w:val="single" w:color="000000" w:sz="2" w:space="0"/>
              <w:left w:val="single" w:color="000000" w:sz="2" w:space="0"/>
              <w:bottom w:val="single" w:color="000000" w:sz="2" w:space="0"/>
              <w:right w:val="single" w:color="000000" w:sz="2" w:space="0"/>
            </w:tcBorders>
            <w:vAlign w:val="center"/>
          </w:tcPr>
          <w:p w14:paraId="5A5EEB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套</w:t>
            </w:r>
          </w:p>
        </w:tc>
        <w:tc>
          <w:tcPr>
            <w:tcW w:w="942" w:type="dxa"/>
            <w:tcBorders>
              <w:top w:val="single" w:color="000000" w:sz="2" w:space="0"/>
              <w:left w:val="single" w:color="000000" w:sz="2" w:space="0"/>
              <w:bottom w:val="single" w:color="000000" w:sz="2" w:space="0"/>
              <w:right w:val="single" w:color="000000" w:sz="2" w:space="0"/>
            </w:tcBorders>
            <w:vAlign w:val="center"/>
          </w:tcPr>
          <w:p w14:paraId="52DEA33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1</w:t>
            </w:r>
          </w:p>
        </w:tc>
        <w:tc>
          <w:tcPr>
            <w:tcW w:w="1889" w:type="dxa"/>
            <w:tcBorders>
              <w:top w:val="single" w:color="000000" w:sz="2" w:space="0"/>
              <w:left w:val="single" w:color="000000" w:sz="2" w:space="0"/>
              <w:bottom w:val="single" w:color="000000" w:sz="2" w:space="0"/>
              <w:right w:val="single" w:color="000000" w:sz="2" w:space="0"/>
            </w:tcBorders>
            <w:vAlign w:val="center"/>
          </w:tcPr>
          <w:p w14:paraId="007BB1E5">
            <w:pPr>
              <w:widowControl/>
              <w:jc w:val="center"/>
              <w:textAlignment w:val="center"/>
              <w:rPr>
                <w:rFonts w:ascii="宋体" w:hAnsi="宋体" w:eastAsia="宋体" w:cs="Times New Roman"/>
                <w:color w:val="000000"/>
                <w:sz w:val="22"/>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450AA44F">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42BD7F1C">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05BDCCC5">
            <w:pPr>
              <w:jc w:val="left"/>
              <w:rPr>
                <w:rFonts w:ascii="Arial" w:hAnsi="Times New Roman" w:eastAsia="宋体" w:cs="Times New Roman"/>
                <w:kern w:val="0"/>
                <w:sz w:val="20"/>
                <w:szCs w:val="20"/>
              </w:rPr>
            </w:pPr>
          </w:p>
        </w:tc>
      </w:tr>
      <w:tr w14:paraId="6D1DB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558" w:type="dxa"/>
            <w:tcBorders>
              <w:top w:val="single" w:color="000000" w:sz="2" w:space="0"/>
              <w:left w:val="single" w:color="000000" w:sz="2" w:space="0"/>
              <w:bottom w:val="single" w:color="000000" w:sz="2" w:space="0"/>
              <w:right w:val="single" w:color="000000" w:sz="4" w:space="0"/>
            </w:tcBorders>
            <w:vAlign w:val="center"/>
          </w:tcPr>
          <w:p w14:paraId="0F65ED70">
            <w:pPr>
              <w:jc w:val="left"/>
              <w:rPr>
                <w:rFonts w:ascii="宋体" w:hAnsi="宋体" w:eastAsia="宋体" w:cs="Times New Roman"/>
                <w:spacing w:val="-6"/>
                <w:kern w:val="0"/>
                <w:sz w:val="20"/>
                <w:szCs w:val="20"/>
              </w:rPr>
            </w:pPr>
          </w:p>
        </w:tc>
        <w:tc>
          <w:tcPr>
            <w:tcW w:w="9933" w:type="dxa"/>
            <w:gridSpan w:val="6"/>
            <w:tcBorders>
              <w:top w:val="single" w:color="000000" w:sz="2" w:space="0"/>
              <w:left w:val="single" w:color="000000" w:sz="2" w:space="0"/>
              <w:bottom w:val="single" w:color="000000" w:sz="2" w:space="0"/>
              <w:right w:val="single" w:color="000000" w:sz="4" w:space="0"/>
            </w:tcBorders>
            <w:vAlign w:val="center"/>
          </w:tcPr>
          <w:p w14:paraId="065B23F7">
            <w:pPr>
              <w:jc w:val="center"/>
              <w:rPr>
                <w:rFonts w:ascii="Arial" w:hAnsi="Times New Roman" w:eastAsia="宋体" w:cs="Times New Roman"/>
                <w:kern w:val="0"/>
                <w:sz w:val="20"/>
                <w:szCs w:val="20"/>
              </w:rPr>
            </w:pPr>
            <w:r>
              <w:rPr>
                <w:rFonts w:hint="eastAsia" w:ascii="宋体" w:hAnsi="宋体" w:eastAsia="Times New Roman" w:cs="Times New Roman"/>
                <w:spacing w:val="-6"/>
                <w:kern w:val="0"/>
                <w:sz w:val="20"/>
                <w:szCs w:val="20"/>
              </w:rPr>
              <w:t>总</w:t>
            </w:r>
            <w:r>
              <w:rPr>
                <w:rFonts w:hint="eastAsia" w:ascii="宋体" w:hAnsi="宋体" w:eastAsia="Times New Roman" w:cs="Times New Roman"/>
                <w:spacing w:val="-4"/>
                <w:kern w:val="0"/>
                <w:sz w:val="20"/>
                <w:szCs w:val="20"/>
              </w:rPr>
              <w:t>价合计列入价格汇总表 9-5</w:t>
            </w:r>
          </w:p>
        </w:tc>
        <w:tc>
          <w:tcPr>
            <w:tcW w:w="1864" w:type="dxa"/>
            <w:tcBorders>
              <w:top w:val="single" w:color="000000" w:sz="2" w:space="0"/>
              <w:left w:val="nil"/>
              <w:bottom w:val="single" w:color="000000" w:sz="2" w:space="0"/>
              <w:right w:val="single" w:color="000000" w:sz="2" w:space="0"/>
            </w:tcBorders>
            <w:vAlign w:val="center"/>
          </w:tcPr>
          <w:p w14:paraId="13190CF7">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59FDF3F6">
            <w:pPr>
              <w:jc w:val="left"/>
              <w:rPr>
                <w:rFonts w:ascii="Arial" w:hAnsi="Times New Roman" w:eastAsia="宋体" w:cs="Times New Roman"/>
                <w:kern w:val="0"/>
                <w:sz w:val="20"/>
                <w:szCs w:val="20"/>
              </w:rPr>
            </w:pPr>
          </w:p>
        </w:tc>
      </w:tr>
    </w:tbl>
    <w:p w14:paraId="74831658">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7B30DF45">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26D2475E">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1D557CD7">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422A85C">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F834BFC">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12FDE29">
      <w:pPr>
        <w:spacing w:line="105" w:lineRule="exact"/>
      </w:pPr>
    </w:p>
    <w:p w14:paraId="266AFF02">
      <w:pPr>
        <w:sectPr>
          <w:footerReference r:id="rId31" w:type="default"/>
          <w:pgSz w:w="16841" w:h="11907" w:orient="landscape"/>
          <w:pgMar w:top="400" w:right="1387" w:bottom="1168" w:left="1473" w:header="0" w:footer="990" w:gutter="0"/>
          <w:cols w:equalWidth="0" w:num="1">
            <w:col w:w="13980"/>
          </w:cols>
        </w:sectPr>
      </w:pPr>
    </w:p>
    <w:p w14:paraId="6D665CAB">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6525DA84">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074A8EEE">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51BD60CD">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7A225FBC">
      <w:pPr>
        <w:pStyle w:val="7"/>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6BE0E74A">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13AF6C4F">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cs="宋体"/>
          <w:szCs w:val="21"/>
          <w:lang w:val="en-US" w:eastAsia="zh-CN"/>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6C982AE">
      <w:pPr>
        <w:spacing w:line="172" w:lineRule="exact"/>
      </w:pPr>
    </w:p>
    <w:tbl>
      <w:tblPr>
        <w:tblStyle w:val="129"/>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041FA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58212957">
            <w:pPr>
              <w:spacing w:line="296" w:lineRule="auto"/>
              <w:rPr>
                <w:rFonts w:ascii="Arial"/>
              </w:rPr>
            </w:pPr>
          </w:p>
          <w:p w14:paraId="401F5410">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68E0B91A">
            <w:pPr>
              <w:spacing w:line="295" w:lineRule="auto"/>
              <w:rPr>
                <w:rFonts w:ascii="Arial"/>
              </w:rPr>
            </w:pPr>
          </w:p>
          <w:p w14:paraId="1694EB20">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2899E28F">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27E62CEC">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14:paraId="1B3031E4">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14:paraId="2AE7C629">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4CC3E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2691B205">
            <w:pPr>
              <w:rPr>
                <w:rFonts w:ascii="Arial"/>
              </w:rPr>
            </w:pPr>
          </w:p>
        </w:tc>
        <w:tc>
          <w:tcPr>
            <w:tcW w:w="3530" w:type="dxa"/>
            <w:vMerge w:val="continue"/>
            <w:tcBorders>
              <w:top w:val="nil"/>
            </w:tcBorders>
          </w:tcPr>
          <w:p w14:paraId="20DFAC79">
            <w:pPr>
              <w:rPr>
                <w:rFonts w:ascii="Arial"/>
              </w:rPr>
            </w:pPr>
          </w:p>
        </w:tc>
        <w:tc>
          <w:tcPr>
            <w:tcW w:w="2159" w:type="dxa"/>
          </w:tcPr>
          <w:p w14:paraId="2C72E84E">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07694F18">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2DE9EEA0">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7ADED345">
            <w:pPr>
              <w:spacing w:before="161" w:line="185" w:lineRule="auto"/>
              <w:ind w:left="1031"/>
              <w:rPr>
                <w:rFonts w:ascii="宋体" w:hAnsi="宋体" w:eastAsia="宋体" w:cs="宋体"/>
                <w:szCs w:val="21"/>
              </w:rPr>
            </w:pPr>
            <w:r>
              <w:rPr>
                <w:rFonts w:ascii="宋体" w:hAnsi="宋体" w:eastAsia="宋体" w:cs="宋体"/>
                <w:szCs w:val="21"/>
              </w:rPr>
              <w:t>4</w:t>
            </w:r>
          </w:p>
        </w:tc>
      </w:tr>
      <w:tr w14:paraId="6DE17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1BE5064">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14:paraId="627DE32E">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22AB2A97">
            <w:pPr>
              <w:rPr>
                <w:rFonts w:ascii="Arial"/>
              </w:rPr>
            </w:pPr>
          </w:p>
        </w:tc>
        <w:tc>
          <w:tcPr>
            <w:tcW w:w="2186" w:type="dxa"/>
          </w:tcPr>
          <w:p w14:paraId="2BFAAEC9">
            <w:pPr>
              <w:rPr>
                <w:rFonts w:ascii="Arial"/>
              </w:rPr>
            </w:pPr>
          </w:p>
        </w:tc>
        <w:tc>
          <w:tcPr>
            <w:tcW w:w="2596" w:type="dxa"/>
          </w:tcPr>
          <w:p w14:paraId="15F83DF7">
            <w:pPr>
              <w:rPr>
                <w:rFonts w:ascii="Arial"/>
              </w:rPr>
            </w:pPr>
          </w:p>
        </w:tc>
        <w:tc>
          <w:tcPr>
            <w:tcW w:w="2164" w:type="dxa"/>
          </w:tcPr>
          <w:p w14:paraId="16480BD8">
            <w:pPr>
              <w:rPr>
                <w:rFonts w:ascii="Arial"/>
              </w:rPr>
            </w:pPr>
          </w:p>
        </w:tc>
      </w:tr>
      <w:tr w14:paraId="562F1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8088868">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14:paraId="2F546671">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69669083">
            <w:pPr>
              <w:rPr>
                <w:rFonts w:ascii="Arial"/>
              </w:rPr>
            </w:pPr>
          </w:p>
        </w:tc>
        <w:tc>
          <w:tcPr>
            <w:tcW w:w="2186" w:type="dxa"/>
          </w:tcPr>
          <w:p w14:paraId="6455AEA5">
            <w:pPr>
              <w:rPr>
                <w:rFonts w:ascii="Arial"/>
              </w:rPr>
            </w:pPr>
          </w:p>
        </w:tc>
        <w:tc>
          <w:tcPr>
            <w:tcW w:w="2596" w:type="dxa"/>
          </w:tcPr>
          <w:p w14:paraId="6C8CE07D">
            <w:pPr>
              <w:rPr>
                <w:rFonts w:ascii="Arial"/>
              </w:rPr>
            </w:pPr>
          </w:p>
        </w:tc>
        <w:tc>
          <w:tcPr>
            <w:tcW w:w="2164" w:type="dxa"/>
            <w:vMerge w:val="restart"/>
            <w:tcBorders>
              <w:bottom w:val="nil"/>
            </w:tcBorders>
          </w:tcPr>
          <w:p w14:paraId="546164A7">
            <w:pPr>
              <w:spacing w:line="295" w:lineRule="auto"/>
              <w:rPr>
                <w:rFonts w:ascii="Arial"/>
              </w:rPr>
            </w:pPr>
          </w:p>
          <w:p w14:paraId="651747B5">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74392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05935D1B">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14:paraId="1F9B162A">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5EA25DC5">
            <w:pPr>
              <w:rPr>
                <w:rFonts w:ascii="Arial"/>
              </w:rPr>
            </w:pPr>
          </w:p>
        </w:tc>
        <w:tc>
          <w:tcPr>
            <w:tcW w:w="2186" w:type="dxa"/>
          </w:tcPr>
          <w:p w14:paraId="53CCDAC0">
            <w:pPr>
              <w:rPr>
                <w:rFonts w:ascii="Arial"/>
              </w:rPr>
            </w:pPr>
          </w:p>
        </w:tc>
        <w:tc>
          <w:tcPr>
            <w:tcW w:w="2596" w:type="dxa"/>
          </w:tcPr>
          <w:p w14:paraId="1CC86305">
            <w:pPr>
              <w:rPr>
                <w:rFonts w:ascii="Arial"/>
              </w:rPr>
            </w:pPr>
          </w:p>
        </w:tc>
        <w:tc>
          <w:tcPr>
            <w:tcW w:w="2164" w:type="dxa"/>
            <w:vMerge w:val="continue"/>
            <w:tcBorders>
              <w:top w:val="nil"/>
            </w:tcBorders>
          </w:tcPr>
          <w:p w14:paraId="37565990">
            <w:pPr>
              <w:rPr>
                <w:rFonts w:ascii="Arial"/>
              </w:rPr>
            </w:pPr>
          </w:p>
        </w:tc>
      </w:tr>
      <w:tr w14:paraId="175EC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C695A11">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14:paraId="62655BF1">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7C898C4F">
            <w:pPr>
              <w:rPr>
                <w:rFonts w:ascii="Arial"/>
              </w:rPr>
            </w:pPr>
          </w:p>
        </w:tc>
        <w:tc>
          <w:tcPr>
            <w:tcW w:w="2186" w:type="dxa"/>
          </w:tcPr>
          <w:p w14:paraId="5BD2FEEC">
            <w:pPr>
              <w:rPr>
                <w:rFonts w:ascii="Arial"/>
              </w:rPr>
            </w:pPr>
          </w:p>
        </w:tc>
        <w:tc>
          <w:tcPr>
            <w:tcW w:w="2596" w:type="dxa"/>
          </w:tcPr>
          <w:p w14:paraId="78C3EF16">
            <w:pPr>
              <w:rPr>
                <w:rFonts w:ascii="Arial"/>
              </w:rPr>
            </w:pPr>
          </w:p>
        </w:tc>
        <w:tc>
          <w:tcPr>
            <w:tcW w:w="2164" w:type="dxa"/>
          </w:tcPr>
          <w:p w14:paraId="658E3850">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07FBD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18167A1">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14:paraId="326A949E">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322BAB5F">
            <w:pPr>
              <w:rPr>
                <w:rFonts w:ascii="Arial"/>
              </w:rPr>
            </w:pPr>
          </w:p>
        </w:tc>
        <w:tc>
          <w:tcPr>
            <w:tcW w:w="2186" w:type="dxa"/>
          </w:tcPr>
          <w:p w14:paraId="77274BE0">
            <w:pPr>
              <w:rPr>
                <w:rFonts w:ascii="Arial"/>
              </w:rPr>
            </w:pPr>
          </w:p>
        </w:tc>
        <w:tc>
          <w:tcPr>
            <w:tcW w:w="2596" w:type="dxa"/>
          </w:tcPr>
          <w:p w14:paraId="15CC2036">
            <w:pPr>
              <w:rPr>
                <w:rFonts w:ascii="Arial"/>
              </w:rPr>
            </w:pPr>
          </w:p>
        </w:tc>
        <w:tc>
          <w:tcPr>
            <w:tcW w:w="2164" w:type="dxa"/>
          </w:tcPr>
          <w:p w14:paraId="65A85405">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28777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7B3FFA71">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416EFAF2">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29E43E39">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1E12782C">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02DC847D">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6D93DCF">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AA60499">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24D0391">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5A016BCE">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44ED4F01">
      <w:pPr>
        <w:rPr>
          <w:sz w:val="24"/>
          <w:szCs w:val="24"/>
        </w:rPr>
        <w:sectPr>
          <w:footerReference r:id="rId32" w:type="default"/>
          <w:pgSz w:w="16841" w:h="11907"/>
          <w:pgMar w:top="400" w:right="1699" w:bottom="1184" w:left="1481" w:header="0" w:footer="1022" w:gutter="0"/>
          <w:cols w:space="720" w:num="1"/>
        </w:sectPr>
      </w:pPr>
    </w:p>
    <w:p w14:paraId="5737D005">
      <w:pPr>
        <w:pStyle w:val="7"/>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4A6CC154">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5C117806">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03D8348"/>
    <w:p w14:paraId="5BCD66BE">
      <w:pPr>
        <w:spacing w:line="20" w:lineRule="exact"/>
      </w:pPr>
    </w:p>
    <w:tbl>
      <w:tblPr>
        <w:tblStyle w:val="129"/>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7D46C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700684A6">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7C98E7E8">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241863ED">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4D354C4F">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25C07014">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6D8148E4">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1772F480">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4B3E1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425825D">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21727E1B">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14:paraId="537EB064">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4D0222CF">
            <w:pPr>
              <w:spacing w:before="266" w:line="221" w:lineRule="auto"/>
              <w:jc w:val="center"/>
              <w:rPr>
                <w:rFonts w:ascii="宋体" w:hAnsi="宋体" w:eastAsia="宋体" w:cs="宋体"/>
                <w:spacing w:val="-2"/>
                <w:szCs w:val="21"/>
              </w:rPr>
            </w:pPr>
          </w:p>
        </w:tc>
        <w:tc>
          <w:tcPr>
            <w:tcW w:w="1138" w:type="dxa"/>
          </w:tcPr>
          <w:p w14:paraId="0D3B2709">
            <w:pPr>
              <w:spacing w:before="266" w:line="221" w:lineRule="auto"/>
              <w:jc w:val="center"/>
              <w:rPr>
                <w:rFonts w:ascii="宋体" w:hAnsi="宋体" w:eastAsia="宋体" w:cs="宋体"/>
                <w:spacing w:val="-2"/>
                <w:szCs w:val="21"/>
              </w:rPr>
            </w:pPr>
          </w:p>
        </w:tc>
        <w:tc>
          <w:tcPr>
            <w:tcW w:w="2449" w:type="dxa"/>
          </w:tcPr>
          <w:p w14:paraId="1585A154">
            <w:pPr>
              <w:rPr>
                <w:rFonts w:ascii="Arial"/>
              </w:rPr>
            </w:pPr>
          </w:p>
        </w:tc>
        <w:tc>
          <w:tcPr>
            <w:tcW w:w="3328" w:type="dxa"/>
          </w:tcPr>
          <w:p w14:paraId="39FEC031">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74F7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A635C19">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078DCF71">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14:paraId="698B848F">
            <w:pPr>
              <w:spacing w:before="266" w:line="221" w:lineRule="auto"/>
              <w:jc w:val="center"/>
              <w:rPr>
                <w:rFonts w:ascii="宋体" w:hAnsi="宋体" w:eastAsia="宋体" w:cs="宋体"/>
                <w:spacing w:val="-2"/>
                <w:szCs w:val="21"/>
              </w:rPr>
            </w:pPr>
          </w:p>
        </w:tc>
        <w:tc>
          <w:tcPr>
            <w:tcW w:w="1138" w:type="dxa"/>
          </w:tcPr>
          <w:p w14:paraId="35E40868">
            <w:pPr>
              <w:spacing w:before="266" w:line="221" w:lineRule="auto"/>
              <w:jc w:val="center"/>
              <w:rPr>
                <w:rFonts w:ascii="宋体" w:hAnsi="宋体" w:eastAsia="宋体" w:cs="宋体"/>
                <w:spacing w:val="-2"/>
                <w:szCs w:val="21"/>
              </w:rPr>
            </w:pPr>
          </w:p>
        </w:tc>
        <w:tc>
          <w:tcPr>
            <w:tcW w:w="1138" w:type="dxa"/>
          </w:tcPr>
          <w:p w14:paraId="040DB596">
            <w:pPr>
              <w:spacing w:before="266" w:line="221" w:lineRule="auto"/>
              <w:jc w:val="center"/>
              <w:rPr>
                <w:rFonts w:ascii="宋体" w:hAnsi="宋体" w:eastAsia="宋体" w:cs="宋体"/>
                <w:spacing w:val="-2"/>
                <w:szCs w:val="21"/>
              </w:rPr>
            </w:pPr>
          </w:p>
        </w:tc>
        <w:tc>
          <w:tcPr>
            <w:tcW w:w="2449" w:type="dxa"/>
          </w:tcPr>
          <w:p w14:paraId="078A93A2">
            <w:pPr>
              <w:rPr>
                <w:rFonts w:ascii="Arial"/>
              </w:rPr>
            </w:pPr>
          </w:p>
        </w:tc>
        <w:tc>
          <w:tcPr>
            <w:tcW w:w="3328" w:type="dxa"/>
          </w:tcPr>
          <w:p w14:paraId="2A129D8B">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2325C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1A01BC76">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02D035C0">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14:paraId="49629782">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1DEFAAF8">
            <w:pPr>
              <w:spacing w:before="266" w:line="221" w:lineRule="auto"/>
              <w:jc w:val="center"/>
              <w:rPr>
                <w:rFonts w:ascii="宋体" w:hAnsi="宋体" w:eastAsia="宋体" w:cs="宋体"/>
                <w:spacing w:val="-2"/>
                <w:szCs w:val="21"/>
              </w:rPr>
            </w:pPr>
          </w:p>
        </w:tc>
        <w:tc>
          <w:tcPr>
            <w:tcW w:w="1138" w:type="dxa"/>
          </w:tcPr>
          <w:p w14:paraId="51124AC3">
            <w:pPr>
              <w:spacing w:before="266" w:line="221" w:lineRule="auto"/>
              <w:jc w:val="center"/>
              <w:rPr>
                <w:rFonts w:ascii="宋体" w:hAnsi="宋体" w:eastAsia="宋体" w:cs="宋体"/>
                <w:spacing w:val="-2"/>
                <w:szCs w:val="21"/>
              </w:rPr>
            </w:pPr>
          </w:p>
        </w:tc>
        <w:tc>
          <w:tcPr>
            <w:tcW w:w="2449" w:type="dxa"/>
          </w:tcPr>
          <w:p w14:paraId="53D1377F">
            <w:pPr>
              <w:rPr>
                <w:rFonts w:ascii="Arial"/>
              </w:rPr>
            </w:pPr>
          </w:p>
        </w:tc>
        <w:tc>
          <w:tcPr>
            <w:tcW w:w="3328" w:type="dxa"/>
          </w:tcPr>
          <w:p w14:paraId="569BF3CA">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249A4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950B825">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14:paraId="1CAB3E36">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5587F0BD">
            <w:pPr>
              <w:spacing w:before="266" w:line="221" w:lineRule="auto"/>
              <w:jc w:val="center"/>
              <w:rPr>
                <w:rFonts w:ascii="宋体" w:hAnsi="宋体" w:eastAsia="宋体" w:cs="宋体"/>
                <w:spacing w:val="-2"/>
                <w:szCs w:val="21"/>
              </w:rPr>
            </w:pPr>
          </w:p>
        </w:tc>
        <w:tc>
          <w:tcPr>
            <w:tcW w:w="1138" w:type="dxa"/>
          </w:tcPr>
          <w:p w14:paraId="29C501E9">
            <w:pPr>
              <w:spacing w:before="266" w:line="221" w:lineRule="auto"/>
              <w:jc w:val="center"/>
              <w:rPr>
                <w:rFonts w:ascii="宋体" w:hAnsi="宋体" w:eastAsia="宋体" w:cs="宋体"/>
                <w:spacing w:val="-2"/>
                <w:szCs w:val="21"/>
              </w:rPr>
            </w:pPr>
          </w:p>
        </w:tc>
        <w:tc>
          <w:tcPr>
            <w:tcW w:w="1138" w:type="dxa"/>
          </w:tcPr>
          <w:p w14:paraId="4145E6F0">
            <w:pPr>
              <w:spacing w:before="266" w:line="221" w:lineRule="auto"/>
              <w:jc w:val="center"/>
              <w:rPr>
                <w:rFonts w:ascii="宋体" w:hAnsi="宋体" w:eastAsia="宋体" w:cs="宋体"/>
                <w:spacing w:val="-2"/>
                <w:szCs w:val="21"/>
              </w:rPr>
            </w:pPr>
          </w:p>
        </w:tc>
        <w:tc>
          <w:tcPr>
            <w:tcW w:w="2449" w:type="dxa"/>
          </w:tcPr>
          <w:p w14:paraId="0F4E0F4D">
            <w:pPr>
              <w:rPr>
                <w:rFonts w:ascii="Arial"/>
              </w:rPr>
            </w:pPr>
          </w:p>
        </w:tc>
        <w:tc>
          <w:tcPr>
            <w:tcW w:w="3328" w:type="dxa"/>
          </w:tcPr>
          <w:p w14:paraId="0E01EE63">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1AF04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22D1B78B">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34B8CB14">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7D71303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7BF307DB">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222D48FF">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03B12D76">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0E8691AA">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70D6B2FA">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738C6C6">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0831FE53">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9DD8EFE">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C779651">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1E997125"/>
    <w:p w14:paraId="6AC44BD6">
      <w:pPr>
        <w:pStyle w:val="16"/>
      </w:pPr>
    </w:p>
    <w:p w14:paraId="4E1E2182">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076251F0">
      <w:pPr>
        <w:spacing w:before="35" w:line="239" w:lineRule="auto"/>
        <w:ind w:left="724"/>
        <w:rPr>
          <w:rFonts w:ascii="宋体" w:hAnsi="宋体" w:eastAsia="宋体" w:cs="宋体"/>
          <w:spacing w:val="-1"/>
          <w:sz w:val="24"/>
          <w:szCs w:val="24"/>
        </w:rPr>
        <w:sectPr>
          <w:footerReference r:id="rId33" w:type="default"/>
          <w:pgSz w:w="16841" w:h="11907"/>
          <w:pgMar w:top="400" w:right="1699" w:bottom="1184" w:left="1481" w:header="0" w:footer="1022" w:gutter="0"/>
          <w:cols w:space="720" w:num="1"/>
        </w:sectPr>
      </w:pPr>
    </w:p>
    <w:p w14:paraId="6A5FA9F2">
      <w:pPr>
        <w:pStyle w:val="7"/>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6C139DD0">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5DB4C66B">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6C859A3">
      <w:pPr>
        <w:spacing w:line="172" w:lineRule="exact"/>
      </w:pPr>
    </w:p>
    <w:tbl>
      <w:tblPr>
        <w:tblStyle w:val="129"/>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20B4F4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368CAED8">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2A456120">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439F007F">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5B840E8C">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2AF69393">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02E3515E">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569A89A2">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1A5AC0FD">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0805CB2A">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3232B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3542D321">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19A6E1CC">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1F037C26">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49028896">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73C830D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3B659DFA">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46986CCA">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45FA73D5">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237EF9A5">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6DA52B9A">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602FE0C1">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045093DF">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5BDDF60A">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62A14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B3772A1">
            <w:pPr>
              <w:spacing w:before="237" w:line="186" w:lineRule="auto"/>
              <w:ind w:left="223"/>
              <w:jc w:val="center"/>
              <w:rPr>
                <w:rFonts w:ascii="宋体" w:hAnsi="宋体" w:eastAsia="宋体" w:cs="宋体"/>
                <w:szCs w:val="21"/>
              </w:rPr>
            </w:pPr>
            <w:r>
              <w:rPr>
                <w:rFonts w:ascii="宋体" w:hAnsi="宋体" w:eastAsia="宋体" w:cs="宋体"/>
                <w:szCs w:val="21"/>
              </w:rPr>
              <w:t>1</w:t>
            </w:r>
          </w:p>
        </w:tc>
        <w:tc>
          <w:tcPr>
            <w:tcW w:w="2543" w:type="dxa"/>
          </w:tcPr>
          <w:p w14:paraId="361F50BB">
            <w:pPr>
              <w:spacing w:before="237" w:line="186" w:lineRule="auto"/>
              <w:ind w:left="223"/>
              <w:jc w:val="center"/>
              <w:rPr>
                <w:rFonts w:hint="default" w:ascii="宋体" w:hAnsi="宋体" w:eastAsia="宋体" w:cs="宋体"/>
                <w:szCs w:val="21"/>
                <w:lang w:val="en-US" w:eastAsia="zh-CN"/>
              </w:rPr>
            </w:pPr>
            <w:r>
              <w:rPr>
                <w:rFonts w:hint="eastAsia" w:ascii="宋体" w:hAnsi="宋体" w:eastAsia="宋体" w:cs="宋体"/>
                <w:szCs w:val="21"/>
                <w:lang w:val="en-US" w:eastAsia="zh-CN"/>
              </w:rPr>
              <w:t>压头工装、定位元件、拧紧工装轴、反力工装</w:t>
            </w:r>
          </w:p>
        </w:tc>
        <w:tc>
          <w:tcPr>
            <w:tcW w:w="2100" w:type="dxa"/>
          </w:tcPr>
          <w:p w14:paraId="5D809C4A">
            <w:pPr>
              <w:spacing w:before="237" w:line="186" w:lineRule="auto"/>
              <w:ind w:left="223"/>
              <w:jc w:val="center"/>
              <w:rPr>
                <w:rFonts w:ascii="宋体" w:hAnsi="宋体" w:eastAsia="宋体" w:cs="宋体"/>
                <w:szCs w:val="21"/>
              </w:rPr>
            </w:pPr>
          </w:p>
        </w:tc>
        <w:tc>
          <w:tcPr>
            <w:tcW w:w="840" w:type="dxa"/>
          </w:tcPr>
          <w:p w14:paraId="3A29E686">
            <w:pPr>
              <w:spacing w:before="237" w:line="186" w:lineRule="auto"/>
              <w:ind w:left="223"/>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2239" w:type="dxa"/>
          </w:tcPr>
          <w:p w14:paraId="5098E123">
            <w:pPr>
              <w:rPr>
                <w:rFonts w:ascii="Arial"/>
              </w:rPr>
            </w:pPr>
          </w:p>
        </w:tc>
        <w:tc>
          <w:tcPr>
            <w:tcW w:w="1498" w:type="dxa"/>
          </w:tcPr>
          <w:p w14:paraId="437F9B24">
            <w:pPr>
              <w:rPr>
                <w:rFonts w:ascii="Arial"/>
              </w:rPr>
            </w:pPr>
          </w:p>
        </w:tc>
        <w:tc>
          <w:tcPr>
            <w:tcW w:w="1861" w:type="dxa"/>
          </w:tcPr>
          <w:p w14:paraId="041CDC21">
            <w:pPr>
              <w:rPr>
                <w:rFonts w:ascii="Arial"/>
              </w:rPr>
            </w:pPr>
          </w:p>
        </w:tc>
        <w:tc>
          <w:tcPr>
            <w:tcW w:w="1120" w:type="dxa"/>
          </w:tcPr>
          <w:p w14:paraId="5C6F18A8">
            <w:pPr>
              <w:rPr>
                <w:rFonts w:ascii="Arial"/>
              </w:rPr>
            </w:pPr>
          </w:p>
        </w:tc>
        <w:tc>
          <w:tcPr>
            <w:tcW w:w="1125" w:type="dxa"/>
          </w:tcPr>
          <w:p w14:paraId="355AB1D9">
            <w:pPr>
              <w:rPr>
                <w:rFonts w:ascii="Arial"/>
              </w:rPr>
            </w:pPr>
          </w:p>
        </w:tc>
      </w:tr>
      <w:tr w14:paraId="0F00F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09D87A94">
            <w:pPr>
              <w:spacing w:before="237" w:line="186" w:lineRule="auto"/>
              <w:ind w:left="223"/>
              <w:jc w:val="center"/>
              <w:rPr>
                <w:rFonts w:ascii="宋体" w:hAnsi="宋体" w:eastAsia="宋体" w:cs="宋体"/>
                <w:szCs w:val="21"/>
              </w:rPr>
            </w:pPr>
            <w:r>
              <w:rPr>
                <w:rFonts w:ascii="宋体" w:hAnsi="宋体" w:eastAsia="宋体" w:cs="宋体"/>
                <w:szCs w:val="21"/>
              </w:rPr>
              <w:t>2</w:t>
            </w:r>
          </w:p>
        </w:tc>
        <w:tc>
          <w:tcPr>
            <w:tcW w:w="2543" w:type="dxa"/>
          </w:tcPr>
          <w:p w14:paraId="706C896A">
            <w:pPr>
              <w:spacing w:before="237" w:line="186" w:lineRule="auto"/>
              <w:ind w:left="223"/>
              <w:jc w:val="center"/>
              <w:rPr>
                <w:rFonts w:hint="default" w:ascii="宋体" w:hAnsi="宋体" w:eastAsia="宋体" w:cs="宋体"/>
                <w:szCs w:val="21"/>
                <w:lang w:val="en-US" w:eastAsia="zh-CN"/>
              </w:rPr>
            </w:pPr>
            <w:r>
              <w:rPr>
                <w:rFonts w:hint="eastAsia" w:ascii="宋体" w:hAnsi="宋体" w:eastAsia="宋体" w:cs="宋体"/>
                <w:szCs w:val="21"/>
                <w:lang w:val="en-US" w:eastAsia="zh-CN"/>
              </w:rPr>
              <w:t>电子元件、气动元件</w:t>
            </w:r>
          </w:p>
        </w:tc>
        <w:tc>
          <w:tcPr>
            <w:tcW w:w="2100" w:type="dxa"/>
          </w:tcPr>
          <w:p w14:paraId="47AD2277">
            <w:pPr>
              <w:spacing w:before="237" w:line="186" w:lineRule="auto"/>
              <w:ind w:left="223"/>
              <w:jc w:val="center"/>
              <w:rPr>
                <w:rFonts w:ascii="宋体" w:hAnsi="宋体" w:eastAsia="宋体" w:cs="宋体"/>
                <w:szCs w:val="21"/>
              </w:rPr>
            </w:pPr>
          </w:p>
        </w:tc>
        <w:tc>
          <w:tcPr>
            <w:tcW w:w="840" w:type="dxa"/>
          </w:tcPr>
          <w:p w14:paraId="33D57036">
            <w:pPr>
              <w:spacing w:before="237" w:line="186" w:lineRule="auto"/>
              <w:ind w:left="223"/>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2239" w:type="dxa"/>
          </w:tcPr>
          <w:p w14:paraId="78962107">
            <w:pPr>
              <w:rPr>
                <w:rFonts w:ascii="Arial"/>
              </w:rPr>
            </w:pPr>
          </w:p>
        </w:tc>
        <w:tc>
          <w:tcPr>
            <w:tcW w:w="1498" w:type="dxa"/>
          </w:tcPr>
          <w:p w14:paraId="2C3B7C01">
            <w:pPr>
              <w:rPr>
                <w:rFonts w:ascii="Arial"/>
              </w:rPr>
            </w:pPr>
          </w:p>
        </w:tc>
        <w:tc>
          <w:tcPr>
            <w:tcW w:w="1861" w:type="dxa"/>
          </w:tcPr>
          <w:p w14:paraId="65B18E1A">
            <w:pPr>
              <w:rPr>
                <w:rFonts w:ascii="Arial"/>
              </w:rPr>
            </w:pPr>
          </w:p>
        </w:tc>
        <w:tc>
          <w:tcPr>
            <w:tcW w:w="1120" w:type="dxa"/>
          </w:tcPr>
          <w:p w14:paraId="7DAF6987">
            <w:pPr>
              <w:rPr>
                <w:rFonts w:ascii="Arial"/>
              </w:rPr>
            </w:pPr>
          </w:p>
        </w:tc>
        <w:tc>
          <w:tcPr>
            <w:tcW w:w="1125" w:type="dxa"/>
          </w:tcPr>
          <w:p w14:paraId="738E5D40">
            <w:pPr>
              <w:rPr>
                <w:rFonts w:ascii="Arial"/>
              </w:rPr>
            </w:pPr>
          </w:p>
        </w:tc>
      </w:tr>
      <w:tr w14:paraId="74C87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FC56B58">
            <w:pPr>
              <w:spacing w:before="237" w:line="186" w:lineRule="auto"/>
              <w:ind w:left="223"/>
              <w:jc w:val="center"/>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2543" w:type="dxa"/>
          </w:tcPr>
          <w:p w14:paraId="34CCD71A">
            <w:pPr>
              <w:spacing w:before="237" w:line="186" w:lineRule="auto"/>
              <w:ind w:left="223"/>
              <w:jc w:val="center"/>
              <w:rPr>
                <w:rFonts w:hint="default" w:ascii="宋体" w:hAnsi="宋体" w:eastAsia="宋体" w:cs="宋体"/>
                <w:szCs w:val="21"/>
                <w:lang w:val="en-US" w:eastAsia="zh-CN"/>
              </w:rPr>
            </w:pPr>
            <w:r>
              <w:rPr>
                <w:rFonts w:hint="eastAsia" w:ascii="宋体" w:hAnsi="宋体" w:eastAsia="宋体" w:cs="宋体"/>
                <w:szCs w:val="21"/>
                <w:lang w:val="en-US" w:eastAsia="zh-CN"/>
              </w:rPr>
              <w:t>易磨损联轴器、轴承、线体轴杆、滚轮、链条、管路</w:t>
            </w:r>
          </w:p>
        </w:tc>
        <w:tc>
          <w:tcPr>
            <w:tcW w:w="2100" w:type="dxa"/>
          </w:tcPr>
          <w:p w14:paraId="5A231178">
            <w:pPr>
              <w:spacing w:before="237" w:line="186" w:lineRule="auto"/>
              <w:ind w:left="223"/>
              <w:jc w:val="center"/>
              <w:rPr>
                <w:rFonts w:ascii="宋体" w:hAnsi="宋体" w:eastAsia="宋体" w:cs="宋体"/>
                <w:szCs w:val="21"/>
              </w:rPr>
            </w:pPr>
          </w:p>
        </w:tc>
        <w:tc>
          <w:tcPr>
            <w:tcW w:w="840" w:type="dxa"/>
          </w:tcPr>
          <w:p w14:paraId="20341593">
            <w:pPr>
              <w:spacing w:before="237" w:line="186" w:lineRule="auto"/>
              <w:ind w:left="223"/>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2239" w:type="dxa"/>
          </w:tcPr>
          <w:p w14:paraId="525C29E1">
            <w:pPr>
              <w:rPr>
                <w:rFonts w:ascii="Arial"/>
              </w:rPr>
            </w:pPr>
          </w:p>
        </w:tc>
        <w:tc>
          <w:tcPr>
            <w:tcW w:w="1498" w:type="dxa"/>
          </w:tcPr>
          <w:p w14:paraId="77B532AC">
            <w:pPr>
              <w:rPr>
                <w:rFonts w:ascii="Arial"/>
              </w:rPr>
            </w:pPr>
          </w:p>
        </w:tc>
        <w:tc>
          <w:tcPr>
            <w:tcW w:w="1861" w:type="dxa"/>
          </w:tcPr>
          <w:p w14:paraId="2C8D9031">
            <w:pPr>
              <w:rPr>
                <w:rFonts w:ascii="Arial"/>
              </w:rPr>
            </w:pPr>
          </w:p>
        </w:tc>
        <w:tc>
          <w:tcPr>
            <w:tcW w:w="1120" w:type="dxa"/>
          </w:tcPr>
          <w:p w14:paraId="75D67E4E">
            <w:pPr>
              <w:rPr>
                <w:rFonts w:ascii="Arial"/>
              </w:rPr>
            </w:pPr>
          </w:p>
        </w:tc>
        <w:tc>
          <w:tcPr>
            <w:tcW w:w="1125" w:type="dxa"/>
          </w:tcPr>
          <w:p w14:paraId="46D69566">
            <w:pPr>
              <w:rPr>
                <w:rFonts w:ascii="Arial"/>
              </w:rPr>
            </w:pPr>
          </w:p>
        </w:tc>
      </w:tr>
      <w:tr w14:paraId="3ACC2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1BCCC7D">
            <w:pPr>
              <w:spacing w:before="237" w:line="186" w:lineRule="auto"/>
              <w:ind w:left="223"/>
              <w:jc w:val="center"/>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2543" w:type="dxa"/>
          </w:tcPr>
          <w:p w14:paraId="41F991C8">
            <w:pPr>
              <w:spacing w:before="237" w:line="186" w:lineRule="auto"/>
              <w:ind w:left="223"/>
              <w:jc w:val="center"/>
              <w:rPr>
                <w:rFonts w:hint="default" w:ascii="宋体" w:hAnsi="宋体" w:eastAsia="宋体" w:cs="宋体"/>
                <w:szCs w:val="21"/>
                <w:lang w:val="en-US" w:eastAsia="zh-CN"/>
              </w:rPr>
            </w:pPr>
            <w:r>
              <w:rPr>
                <w:rFonts w:hint="eastAsia" w:ascii="宋体" w:hAnsi="宋体" w:eastAsia="宋体" w:cs="宋体"/>
                <w:szCs w:val="21"/>
                <w:lang w:val="en-US" w:eastAsia="zh-CN"/>
              </w:rPr>
              <w:t>各管路接头、电磁阀</w:t>
            </w:r>
          </w:p>
        </w:tc>
        <w:tc>
          <w:tcPr>
            <w:tcW w:w="2100" w:type="dxa"/>
          </w:tcPr>
          <w:p w14:paraId="4296DBF4">
            <w:pPr>
              <w:spacing w:before="237" w:line="186" w:lineRule="auto"/>
              <w:ind w:left="223"/>
              <w:jc w:val="center"/>
              <w:rPr>
                <w:rFonts w:ascii="宋体" w:hAnsi="宋体" w:eastAsia="宋体" w:cs="宋体"/>
                <w:szCs w:val="21"/>
              </w:rPr>
            </w:pPr>
          </w:p>
        </w:tc>
        <w:tc>
          <w:tcPr>
            <w:tcW w:w="840" w:type="dxa"/>
          </w:tcPr>
          <w:p w14:paraId="0E630AA7">
            <w:pPr>
              <w:spacing w:before="237" w:line="186" w:lineRule="auto"/>
              <w:ind w:left="223"/>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2239" w:type="dxa"/>
          </w:tcPr>
          <w:p w14:paraId="29563D56">
            <w:pPr>
              <w:rPr>
                <w:rFonts w:ascii="Arial"/>
              </w:rPr>
            </w:pPr>
          </w:p>
        </w:tc>
        <w:tc>
          <w:tcPr>
            <w:tcW w:w="1498" w:type="dxa"/>
          </w:tcPr>
          <w:p w14:paraId="0AE8CB56">
            <w:pPr>
              <w:rPr>
                <w:rFonts w:ascii="Arial"/>
              </w:rPr>
            </w:pPr>
          </w:p>
        </w:tc>
        <w:tc>
          <w:tcPr>
            <w:tcW w:w="1861" w:type="dxa"/>
          </w:tcPr>
          <w:p w14:paraId="4EBA101C">
            <w:pPr>
              <w:rPr>
                <w:rFonts w:ascii="Arial"/>
              </w:rPr>
            </w:pPr>
          </w:p>
        </w:tc>
        <w:tc>
          <w:tcPr>
            <w:tcW w:w="1120" w:type="dxa"/>
          </w:tcPr>
          <w:p w14:paraId="08118B5C">
            <w:pPr>
              <w:rPr>
                <w:rFonts w:ascii="Arial"/>
              </w:rPr>
            </w:pPr>
          </w:p>
        </w:tc>
        <w:tc>
          <w:tcPr>
            <w:tcW w:w="1125" w:type="dxa"/>
          </w:tcPr>
          <w:p w14:paraId="0F0DA4B2">
            <w:pPr>
              <w:rPr>
                <w:rFonts w:ascii="Arial"/>
              </w:rPr>
            </w:pPr>
          </w:p>
        </w:tc>
      </w:tr>
      <w:tr w14:paraId="3BA24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8CEADAA">
            <w:pPr>
              <w:spacing w:before="237" w:line="186" w:lineRule="auto"/>
              <w:ind w:left="223"/>
              <w:jc w:val="center"/>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2543" w:type="dxa"/>
          </w:tcPr>
          <w:p w14:paraId="0654CBD7">
            <w:pPr>
              <w:spacing w:before="237" w:line="186" w:lineRule="auto"/>
              <w:ind w:left="223"/>
              <w:jc w:val="center"/>
              <w:rPr>
                <w:rFonts w:hint="default" w:ascii="宋体" w:hAnsi="宋体" w:eastAsia="宋体" w:cs="宋体"/>
                <w:szCs w:val="21"/>
                <w:lang w:val="en-US" w:eastAsia="zh-CN"/>
              </w:rPr>
            </w:pPr>
            <w:r>
              <w:rPr>
                <w:rFonts w:hint="eastAsia" w:ascii="宋体" w:hAnsi="宋体" w:eastAsia="宋体" w:cs="宋体"/>
                <w:szCs w:val="21"/>
                <w:lang w:val="en-US" w:eastAsia="zh-CN"/>
              </w:rPr>
              <w:t>液压压力表、气动压力表等计量仪表</w:t>
            </w:r>
          </w:p>
        </w:tc>
        <w:tc>
          <w:tcPr>
            <w:tcW w:w="2100" w:type="dxa"/>
          </w:tcPr>
          <w:p w14:paraId="588084EA">
            <w:pPr>
              <w:spacing w:before="237" w:line="186" w:lineRule="auto"/>
              <w:ind w:left="223"/>
              <w:jc w:val="center"/>
              <w:rPr>
                <w:rFonts w:ascii="宋体" w:hAnsi="宋体" w:eastAsia="宋体" w:cs="宋体"/>
                <w:szCs w:val="21"/>
              </w:rPr>
            </w:pPr>
          </w:p>
        </w:tc>
        <w:tc>
          <w:tcPr>
            <w:tcW w:w="840" w:type="dxa"/>
          </w:tcPr>
          <w:p w14:paraId="0F526B2C">
            <w:pPr>
              <w:spacing w:before="237" w:line="186" w:lineRule="auto"/>
              <w:ind w:left="223"/>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2239" w:type="dxa"/>
          </w:tcPr>
          <w:p w14:paraId="172CDDF3">
            <w:pPr>
              <w:rPr>
                <w:rFonts w:ascii="Arial"/>
              </w:rPr>
            </w:pPr>
          </w:p>
        </w:tc>
        <w:tc>
          <w:tcPr>
            <w:tcW w:w="1498" w:type="dxa"/>
          </w:tcPr>
          <w:p w14:paraId="6E282170">
            <w:pPr>
              <w:rPr>
                <w:rFonts w:ascii="Arial"/>
              </w:rPr>
            </w:pPr>
          </w:p>
        </w:tc>
        <w:tc>
          <w:tcPr>
            <w:tcW w:w="1861" w:type="dxa"/>
          </w:tcPr>
          <w:p w14:paraId="1F4D5DFF">
            <w:pPr>
              <w:rPr>
                <w:rFonts w:ascii="Arial"/>
              </w:rPr>
            </w:pPr>
          </w:p>
        </w:tc>
        <w:tc>
          <w:tcPr>
            <w:tcW w:w="1120" w:type="dxa"/>
          </w:tcPr>
          <w:p w14:paraId="1B1A26A2">
            <w:pPr>
              <w:rPr>
                <w:rFonts w:ascii="Arial"/>
              </w:rPr>
            </w:pPr>
          </w:p>
        </w:tc>
        <w:tc>
          <w:tcPr>
            <w:tcW w:w="1125" w:type="dxa"/>
          </w:tcPr>
          <w:p w14:paraId="4253E2A9">
            <w:pPr>
              <w:rPr>
                <w:rFonts w:ascii="Arial"/>
              </w:rPr>
            </w:pPr>
          </w:p>
        </w:tc>
      </w:tr>
      <w:tr w14:paraId="77BC9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6921A382">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731550B2">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0DF6CF76">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2CF66F81">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385E1F3">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631D861">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F734D7B">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596A794">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1E232631">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7E175853">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78C7E45A">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6583C869">
      <w:pPr>
        <w:spacing w:before="87" w:line="198" w:lineRule="auto"/>
        <w:ind w:left="411"/>
        <w:rPr>
          <w:rFonts w:ascii="宋体" w:hAnsi="宋体" w:eastAsia="宋体" w:cs="宋体"/>
          <w:spacing w:val="-2"/>
          <w:sz w:val="24"/>
          <w:szCs w:val="24"/>
        </w:rPr>
        <w:sectPr>
          <w:footerReference r:id="rId34" w:type="default"/>
          <w:pgSz w:w="16841" w:h="11907"/>
          <w:pgMar w:top="400" w:right="1500" w:bottom="1184" w:left="1480" w:header="0" w:footer="1022" w:gutter="0"/>
          <w:cols w:space="720" w:num="1"/>
        </w:sectPr>
      </w:pPr>
    </w:p>
    <w:p w14:paraId="1F888F01">
      <w:pPr>
        <w:pStyle w:val="7"/>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0ABD9647">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7DF1A440">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D31C594">
      <w:pPr>
        <w:spacing w:line="127" w:lineRule="exact"/>
      </w:pPr>
    </w:p>
    <w:tbl>
      <w:tblPr>
        <w:tblStyle w:val="129"/>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0CF81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D094633">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7F5A2766">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20DF2CB">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44090C26">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48B64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D98355A">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725EA3BA">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5E8397A0">
            <w:pPr>
              <w:rPr>
                <w:rFonts w:ascii="Arial"/>
              </w:rPr>
            </w:pPr>
          </w:p>
        </w:tc>
        <w:tc>
          <w:tcPr>
            <w:tcW w:w="3362" w:type="dxa"/>
          </w:tcPr>
          <w:p w14:paraId="4EA07C81">
            <w:pPr>
              <w:rPr>
                <w:rFonts w:ascii="Arial"/>
              </w:rPr>
            </w:pPr>
          </w:p>
        </w:tc>
      </w:tr>
      <w:tr w14:paraId="355BF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4D659DB4">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286B8DDA">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4E97C1B2">
            <w:pPr>
              <w:rPr>
                <w:rFonts w:ascii="Arial"/>
              </w:rPr>
            </w:pPr>
          </w:p>
        </w:tc>
        <w:tc>
          <w:tcPr>
            <w:tcW w:w="3362" w:type="dxa"/>
          </w:tcPr>
          <w:p w14:paraId="3AA18EB7">
            <w:pPr>
              <w:rPr>
                <w:rFonts w:ascii="Arial"/>
              </w:rPr>
            </w:pPr>
          </w:p>
        </w:tc>
      </w:tr>
      <w:tr w14:paraId="684BD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6D871F77">
            <w:pPr>
              <w:rPr>
                <w:rFonts w:ascii="Arial"/>
              </w:rPr>
            </w:pPr>
          </w:p>
          <w:p w14:paraId="02D5DFD1">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0F03BA6D">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447FF595">
            <w:pPr>
              <w:rPr>
                <w:rFonts w:ascii="Arial"/>
              </w:rPr>
            </w:pPr>
          </w:p>
        </w:tc>
        <w:tc>
          <w:tcPr>
            <w:tcW w:w="3362" w:type="dxa"/>
          </w:tcPr>
          <w:p w14:paraId="366E3155">
            <w:pPr>
              <w:rPr>
                <w:rFonts w:ascii="Arial"/>
              </w:rPr>
            </w:pPr>
          </w:p>
        </w:tc>
      </w:tr>
      <w:tr w14:paraId="541009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6DEDD9B4">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2F8D0274">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5A5A5A55">
            <w:pPr>
              <w:rPr>
                <w:rFonts w:ascii="Arial"/>
              </w:rPr>
            </w:pPr>
          </w:p>
        </w:tc>
        <w:tc>
          <w:tcPr>
            <w:tcW w:w="3362" w:type="dxa"/>
          </w:tcPr>
          <w:p w14:paraId="551C8DB9">
            <w:pPr>
              <w:rPr>
                <w:rFonts w:ascii="Arial"/>
              </w:rPr>
            </w:pPr>
          </w:p>
        </w:tc>
      </w:tr>
      <w:tr w14:paraId="7175A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FC73D40">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2798CF5">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89CCFAA">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48C29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6CAE8AEE">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34CEB9A9">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4D12AFFA">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18E1C324">
      <w:pPr>
        <w:spacing w:line="291" w:lineRule="auto"/>
        <w:rPr>
          <w:rFonts w:ascii="Arial"/>
        </w:rPr>
      </w:pPr>
    </w:p>
    <w:p w14:paraId="54DD3AB5">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7DECF592">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31BD762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2A2EA4CE">
      <w:pPr>
        <w:pStyle w:val="16"/>
      </w:pPr>
    </w:p>
    <w:p w14:paraId="288522D5">
      <w:pPr>
        <w:pStyle w:val="16"/>
      </w:pPr>
    </w:p>
    <w:p w14:paraId="0DDCF4C5">
      <w:pPr>
        <w:spacing w:before="140" w:line="220" w:lineRule="auto"/>
        <w:ind w:left="2" w:firstLine="464" w:firstLineChars="200"/>
        <w:rPr>
          <w:rFonts w:ascii="宋体" w:hAnsi="宋体" w:eastAsia="宋体" w:cs="宋体"/>
          <w:spacing w:val="-2"/>
          <w:szCs w:val="21"/>
        </w:rPr>
        <w:sectPr>
          <w:footerReference r:id="rId35" w:type="default"/>
          <w:pgSz w:w="16841" w:h="11907"/>
          <w:pgMar w:top="400" w:right="1699" w:bottom="1168" w:left="1481" w:header="0" w:footer="990" w:gutter="0"/>
          <w:pgBorders>
            <w:top w:val="none" w:sz="0" w:space="0"/>
            <w:left w:val="none" w:sz="0" w:space="0"/>
            <w:bottom w:val="none" w:sz="0" w:space="0"/>
            <w:right w:val="none" w:sz="0" w:space="0"/>
          </w:pgBorders>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139CCC2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757BEF7E">
      <w:pPr>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7B71FF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C91F3C8">
            <w:pPr>
              <w:jc w:val="center"/>
              <w:rPr>
                <w:rFonts w:hint="eastAsia" w:ascii="Times New Roman" w:hAnsi="Times New Roman" w:eastAsia="宋体" w:cs="Times New Roman"/>
                <w:b/>
                <w:szCs w:val="20"/>
                <w:lang w:eastAsia="zh-CN"/>
              </w:rPr>
            </w:pPr>
            <w:r>
              <w:rPr>
                <w:rFonts w:hint="eastAsia" w:ascii="宋体" w:hAnsi="宋体" w:eastAsia="宋体" w:cs="宋体"/>
                <w:sz w:val="24"/>
                <w:szCs w:val="24"/>
                <w:u w:val="single"/>
                <w:lang w:eastAsia="zh-CN"/>
              </w:rPr>
              <w:t>主减装配 DE线产品兼容性改造技改项目</w:t>
            </w:r>
          </w:p>
        </w:tc>
        <w:tc>
          <w:tcPr>
            <w:tcW w:w="2875" w:type="dxa"/>
            <w:tcBorders>
              <w:top w:val="single" w:color="auto" w:sz="4" w:space="0"/>
              <w:left w:val="single" w:color="auto" w:sz="4" w:space="0"/>
              <w:bottom w:val="single" w:color="auto" w:sz="4" w:space="0"/>
              <w:right w:val="single" w:color="auto" w:sz="4" w:space="0"/>
            </w:tcBorders>
            <w:vAlign w:val="center"/>
          </w:tcPr>
          <w:p w14:paraId="38B36E68">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96CA2BA">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0BAC9A2B">
            <w:pPr>
              <w:jc w:val="center"/>
              <w:rPr>
                <w:rFonts w:ascii="Times New Roman" w:hAnsi="Times New Roman" w:eastAsia="宋体" w:cs="Times New Roman"/>
                <w:b/>
                <w:szCs w:val="20"/>
              </w:rPr>
            </w:pPr>
            <w:r>
              <w:rPr>
                <w:rFonts w:hint="eastAsia" w:ascii="宋体" w:hAnsi="宋体" w:eastAsia="宋体" w:cs="宋体"/>
                <w:b/>
                <w:szCs w:val="20"/>
              </w:rPr>
              <w:t>是否偏离</w:t>
            </w:r>
          </w:p>
          <w:p w14:paraId="2E8269FD">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3AE6E6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FCCB74C">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4CB7C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5B0340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73F91A0">
            <w:pPr>
              <w:jc w:val="center"/>
              <w:rPr>
                <w:rFonts w:ascii="Times New Roman" w:hAnsi="Times New Roman" w:eastAsia="宋体" w:cs="Times New Roman"/>
                <w:b/>
                <w:szCs w:val="20"/>
              </w:rPr>
            </w:pPr>
          </w:p>
        </w:tc>
      </w:tr>
      <w:tr w14:paraId="5EDA9D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3EA3E7">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00FE3DB7">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B286BD4">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173A653">
            <w:pPr>
              <w:jc w:val="center"/>
              <w:rPr>
                <w:rFonts w:ascii="Times New Roman" w:hAnsi="Times New Roman" w:eastAsia="宋体" w:cs="Times New Roman"/>
                <w:b/>
                <w:szCs w:val="21"/>
              </w:rPr>
            </w:pPr>
          </w:p>
        </w:tc>
      </w:tr>
      <w:tr w14:paraId="69C895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AE064FD">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72D5E68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23403CB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DF7AEAC">
            <w:pPr>
              <w:jc w:val="center"/>
              <w:rPr>
                <w:rFonts w:ascii="Times New Roman" w:hAnsi="Times New Roman" w:eastAsia="宋体" w:cs="Times New Roman"/>
                <w:b/>
                <w:szCs w:val="20"/>
              </w:rPr>
            </w:pPr>
          </w:p>
        </w:tc>
      </w:tr>
      <w:tr w14:paraId="0FC33B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7036B08">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395BA1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51BD5A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2451A78">
            <w:pPr>
              <w:jc w:val="center"/>
              <w:rPr>
                <w:rFonts w:ascii="Times New Roman" w:hAnsi="Times New Roman" w:eastAsia="宋体" w:cs="Times New Roman"/>
                <w:b/>
                <w:szCs w:val="21"/>
              </w:rPr>
            </w:pPr>
          </w:p>
          <w:p w14:paraId="0409E117">
            <w:pPr>
              <w:jc w:val="center"/>
              <w:rPr>
                <w:rFonts w:ascii="Times New Roman" w:hAnsi="Times New Roman" w:eastAsia="宋体" w:cs="Times New Roman"/>
                <w:b/>
                <w:szCs w:val="21"/>
              </w:rPr>
            </w:pPr>
          </w:p>
          <w:p w14:paraId="56313AED">
            <w:pPr>
              <w:jc w:val="center"/>
              <w:rPr>
                <w:rFonts w:ascii="Times New Roman" w:hAnsi="Times New Roman" w:eastAsia="宋体" w:cs="Times New Roman"/>
                <w:b/>
                <w:szCs w:val="21"/>
              </w:rPr>
            </w:pPr>
          </w:p>
          <w:p w14:paraId="1D88CEE6">
            <w:pPr>
              <w:jc w:val="center"/>
              <w:rPr>
                <w:rFonts w:ascii="Times New Roman" w:hAnsi="Times New Roman" w:eastAsia="宋体" w:cs="Times New Roman"/>
                <w:b/>
                <w:szCs w:val="21"/>
              </w:rPr>
            </w:pPr>
          </w:p>
          <w:p w14:paraId="4CCC238E">
            <w:pPr>
              <w:jc w:val="center"/>
              <w:rPr>
                <w:rFonts w:ascii="Times New Roman" w:hAnsi="Times New Roman" w:eastAsia="宋体" w:cs="Times New Roman"/>
                <w:b/>
                <w:szCs w:val="21"/>
              </w:rPr>
            </w:pPr>
          </w:p>
          <w:p w14:paraId="1DF603B2">
            <w:pPr>
              <w:jc w:val="center"/>
              <w:rPr>
                <w:rFonts w:ascii="Times New Roman" w:hAnsi="Times New Roman" w:eastAsia="宋体" w:cs="Times New Roman"/>
                <w:b/>
                <w:szCs w:val="21"/>
              </w:rPr>
            </w:pPr>
          </w:p>
          <w:p w14:paraId="19BDA43D">
            <w:pPr>
              <w:jc w:val="center"/>
              <w:rPr>
                <w:rFonts w:ascii="Times New Roman" w:hAnsi="Times New Roman" w:eastAsia="宋体" w:cs="Times New Roman"/>
                <w:b/>
                <w:szCs w:val="21"/>
              </w:rPr>
            </w:pPr>
          </w:p>
          <w:p w14:paraId="2F44AD08">
            <w:pPr>
              <w:jc w:val="center"/>
              <w:rPr>
                <w:rFonts w:ascii="Times New Roman" w:hAnsi="Times New Roman" w:eastAsia="宋体" w:cs="Times New Roman"/>
                <w:b/>
                <w:szCs w:val="21"/>
              </w:rPr>
            </w:pPr>
          </w:p>
          <w:p w14:paraId="657DE316">
            <w:pPr>
              <w:jc w:val="center"/>
              <w:rPr>
                <w:rFonts w:ascii="Times New Roman" w:hAnsi="Times New Roman" w:eastAsia="宋体" w:cs="Times New Roman"/>
                <w:b/>
                <w:szCs w:val="21"/>
              </w:rPr>
            </w:pPr>
          </w:p>
          <w:p w14:paraId="1C92731F">
            <w:pPr>
              <w:jc w:val="center"/>
              <w:rPr>
                <w:rFonts w:ascii="Times New Roman" w:hAnsi="Times New Roman" w:eastAsia="宋体" w:cs="Times New Roman"/>
                <w:b/>
                <w:szCs w:val="21"/>
              </w:rPr>
            </w:pPr>
          </w:p>
          <w:p w14:paraId="41735BCA">
            <w:pPr>
              <w:jc w:val="center"/>
              <w:rPr>
                <w:rFonts w:ascii="Times New Roman" w:hAnsi="Times New Roman" w:eastAsia="宋体" w:cs="Times New Roman"/>
                <w:b/>
                <w:szCs w:val="21"/>
              </w:rPr>
            </w:pPr>
          </w:p>
          <w:p w14:paraId="13C4B403">
            <w:pPr>
              <w:jc w:val="center"/>
              <w:rPr>
                <w:rFonts w:ascii="Times New Roman" w:hAnsi="Times New Roman" w:eastAsia="宋体" w:cs="Times New Roman"/>
                <w:b/>
                <w:szCs w:val="21"/>
              </w:rPr>
            </w:pPr>
          </w:p>
          <w:p w14:paraId="69523D9F">
            <w:pPr>
              <w:jc w:val="center"/>
              <w:rPr>
                <w:rFonts w:ascii="Times New Roman" w:hAnsi="Times New Roman" w:eastAsia="宋体" w:cs="Times New Roman"/>
                <w:b/>
                <w:szCs w:val="21"/>
              </w:rPr>
            </w:pPr>
          </w:p>
          <w:p w14:paraId="27930B20">
            <w:pPr>
              <w:jc w:val="center"/>
              <w:rPr>
                <w:rFonts w:ascii="Times New Roman" w:hAnsi="Times New Roman" w:eastAsia="宋体" w:cs="Times New Roman"/>
                <w:b/>
                <w:szCs w:val="21"/>
              </w:rPr>
            </w:pPr>
          </w:p>
          <w:p w14:paraId="323CE6E9">
            <w:pPr>
              <w:jc w:val="center"/>
              <w:rPr>
                <w:rFonts w:ascii="Times New Roman" w:hAnsi="Times New Roman" w:eastAsia="宋体" w:cs="Times New Roman"/>
                <w:b/>
                <w:szCs w:val="21"/>
              </w:rPr>
            </w:pPr>
          </w:p>
          <w:p w14:paraId="1C480E99">
            <w:pPr>
              <w:jc w:val="center"/>
              <w:rPr>
                <w:rFonts w:ascii="Times New Roman" w:hAnsi="Times New Roman" w:eastAsia="宋体" w:cs="Times New Roman"/>
                <w:b/>
                <w:szCs w:val="21"/>
              </w:rPr>
            </w:pPr>
          </w:p>
          <w:p w14:paraId="5B3703FB">
            <w:pPr>
              <w:jc w:val="center"/>
              <w:rPr>
                <w:rFonts w:ascii="Times New Roman" w:hAnsi="Times New Roman" w:eastAsia="宋体" w:cs="Times New Roman"/>
                <w:b/>
                <w:szCs w:val="20"/>
              </w:rPr>
            </w:pPr>
          </w:p>
        </w:tc>
      </w:tr>
      <w:tr w14:paraId="1FE357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C55F79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4CB0E605">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071F2CE9">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5C0C7AD">
            <w:pPr>
              <w:jc w:val="center"/>
              <w:rPr>
                <w:rFonts w:ascii="Times New Roman" w:hAnsi="Times New Roman" w:eastAsia="宋体" w:cs="Times New Roman"/>
                <w:b/>
                <w:szCs w:val="20"/>
              </w:rPr>
            </w:pPr>
          </w:p>
        </w:tc>
      </w:tr>
    </w:tbl>
    <w:p w14:paraId="4D27976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71EE14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2EA976D8">
      <w:pPr>
        <w:rPr>
          <w:rFonts w:ascii="宋体" w:hAnsi="Calibri" w:eastAsia="宋体" w:cs="Times New Roman"/>
          <w:szCs w:val="20"/>
        </w:rPr>
      </w:pPr>
    </w:p>
    <w:p w14:paraId="2C15016D">
      <w:pPr>
        <w:rPr>
          <w:rFonts w:ascii="宋体" w:hAnsi="Calibri" w:eastAsia="宋体" w:cs="宋体"/>
          <w:b/>
          <w:bCs/>
          <w:color w:val="000000"/>
          <w:sz w:val="28"/>
          <w:szCs w:val="20"/>
        </w:rPr>
        <w:sectPr>
          <w:footerReference r:id="rId3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F3B6DD3">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2251FFC1">
      <w:pPr>
        <w:spacing w:line="272" w:lineRule="auto"/>
        <w:rPr>
          <w:rFonts w:ascii="Arial"/>
        </w:rPr>
      </w:pPr>
    </w:p>
    <w:p w14:paraId="53C1B3F1">
      <w:pPr>
        <w:spacing w:before="75" w:line="228" w:lineRule="auto"/>
        <w:ind w:left="134"/>
        <w:rPr>
          <w:rFonts w:hint="eastAsia" w:ascii="宋体" w:hAnsi="宋体" w:eastAsia="宋体" w:cs="宋体"/>
          <w:sz w:val="24"/>
          <w:szCs w:val="24"/>
          <w:lang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u w:val="single"/>
          <w:lang w:eastAsia="zh-CN"/>
        </w:rPr>
        <w:t>主减装配 DE线产品兼容性改造技改项目</w:t>
      </w:r>
    </w:p>
    <w:p w14:paraId="2772EECE">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277BEFFC"/>
    <w:p w14:paraId="7556A455">
      <w:pPr>
        <w:spacing w:line="109" w:lineRule="exact"/>
      </w:pPr>
    </w:p>
    <w:tbl>
      <w:tblPr>
        <w:tblStyle w:val="129"/>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C7C963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56692FB5">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54CC43DA">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1A964498">
      <w:pPr>
        <w:keepNext/>
        <w:keepLines/>
        <w:rPr>
          <w:rFonts w:ascii="Times New Roman" w:hAnsi="Times New Roman" w:eastAsia="宋体" w:cs="Times New Roman"/>
          <w:b/>
          <w:bCs/>
          <w:color w:val="000000"/>
          <w:sz w:val="24"/>
          <w:szCs w:val="24"/>
        </w:rPr>
      </w:pPr>
    </w:p>
    <w:p w14:paraId="5F2D4BFA">
      <w:pPr>
        <w:spacing w:before="75" w:line="227" w:lineRule="auto"/>
        <w:ind w:left="135"/>
        <w:rPr>
          <w:rFonts w:ascii="宋体" w:hAnsi="宋体" w:eastAsia="宋体" w:cs="宋体"/>
          <w:spacing w:val="-2"/>
          <w:sz w:val="24"/>
          <w:szCs w:val="24"/>
        </w:rPr>
      </w:pPr>
    </w:p>
    <w:p w14:paraId="0130208F">
      <w:pPr>
        <w:spacing w:before="75" w:line="227" w:lineRule="auto"/>
        <w:ind w:left="135"/>
        <w:rPr>
          <w:rFonts w:ascii="宋体" w:hAnsi="宋体" w:eastAsia="宋体" w:cs="宋体"/>
          <w:spacing w:val="-2"/>
          <w:sz w:val="24"/>
          <w:szCs w:val="24"/>
        </w:rPr>
      </w:pPr>
    </w:p>
    <w:p w14:paraId="6266D03F">
      <w:pPr>
        <w:spacing w:before="75" w:line="227" w:lineRule="auto"/>
        <w:ind w:left="135"/>
        <w:rPr>
          <w:rFonts w:eastAsia="宋体"/>
          <w:sz w:val="24"/>
          <w:szCs w:val="24"/>
        </w:rPr>
        <w:sectPr>
          <w:footerReference r:id="rId37"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167A924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74740FDD">
      <w:pPr>
        <w:spacing w:line="240" w:lineRule="exact"/>
        <w:jc w:val="center"/>
        <w:rPr>
          <w:rFonts w:ascii="宋体" w:hAnsi="Calibri" w:eastAsia="宋体" w:cs="Times New Roman"/>
          <w:b/>
          <w:bCs/>
          <w:sz w:val="36"/>
          <w:szCs w:val="20"/>
        </w:rPr>
      </w:pPr>
    </w:p>
    <w:p w14:paraId="4918E48B">
      <w:pPr>
        <w:spacing w:line="360" w:lineRule="auto"/>
        <w:rPr>
          <w:rFonts w:ascii="宋体" w:hAnsi="Calibri" w:eastAsia="宋体" w:cs="Times New Roman"/>
          <w:b/>
          <w:bCs/>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lang w:eastAsia="zh-CN"/>
        </w:rPr>
        <w:t>主减装配 DE线产品兼容性改造技改项目</w:t>
      </w:r>
      <w:r>
        <w:rPr>
          <w:rFonts w:hint="eastAsia" w:ascii="宋体" w:hAnsi="宋体" w:eastAsia="宋体" w:cs="Times New Roman"/>
          <w:b/>
          <w:bCs/>
          <w:sz w:val="24"/>
          <w:szCs w:val="20"/>
        </w:rPr>
        <w:t>重汽（济南）车桥有限公司：</w:t>
      </w:r>
    </w:p>
    <w:p w14:paraId="1C9A55A0">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62062AE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A580D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C5B2C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9053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5C5FA6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7F7BA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4B24F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9856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59331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99C26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3D46A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D9FD6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CB1B7B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B028E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FA6E2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1D0A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19A4A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2C865C">
      <w:pPr>
        <w:spacing w:line="360" w:lineRule="auto"/>
        <w:ind w:firstLine="480" w:firstLineChars="200"/>
        <w:rPr>
          <w:rFonts w:ascii="宋体" w:hAnsi="宋体" w:eastAsia="宋体" w:cs="Times New Roman"/>
          <w:sz w:val="24"/>
          <w:szCs w:val="20"/>
          <w:u w:val="single"/>
        </w:rPr>
      </w:pPr>
    </w:p>
    <w:p w14:paraId="05750DF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88C9A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EBD3EC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744503">
      <w:pPr>
        <w:rPr>
          <w:rFonts w:ascii="宋体" w:hAnsi="Calibri" w:eastAsia="宋体" w:cs="宋体"/>
          <w:b/>
          <w:bCs/>
          <w:color w:val="000000"/>
          <w:sz w:val="28"/>
          <w:szCs w:val="20"/>
        </w:rPr>
      </w:pPr>
    </w:p>
    <w:p w14:paraId="0F253B81">
      <w:pPr>
        <w:pStyle w:val="16"/>
        <w:rPr>
          <w:rFonts w:hAnsi="Calibri" w:eastAsia="宋体" w:cs="宋体"/>
          <w:b/>
          <w:bCs/>
          <w:color w:val="000000"/>
          <w:sz w:val="28"/>
          <w:szCs w:val="20"/>
        </w:rPr>
      </w:pPr>
    </w:p>
    <w:p w14:paraId="1BDA00BE">
      <w:pPr>
        <w:rPr>
          <w:rFonts w:ascii="宋体" w:hAnsi="Calibri" w:eastAsia="宋体" w:cs="宋体"/>
          <w:b/>
          <w:bCs/>
          <w:color w:val="000000"/>
          <w:sz w:val="28"/>
          <w:szCs w:val="20"/>
        </w:rPr>
      </w:pPr>
    </w:p>
    <w:p w14:paraId="6E880F93">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4E33B69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5D8E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1A47A11">
            <w:pPr>
              <w:jc w:val="center"/>
              <w:rPr>
                <w:rFonts w:ascii="Times New Roman" w:hAnsi="Times New Roman" w:eastAsia="宋体" w:cs="Times New Roman"/>
                <w:b/>
                <w:szCs w:val="20"/>
              </w:rPr>
            </w:pPr>
          </w:p>
          <w:p w14:paraId="435AD9BB">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6EA91D80">
            <w:pPr>
              <w:rPr>
                <w:rFonts w:ascii="Times New Roman" w:hAnsi="Times New Roman" w:eastAsia="等线" w:cs="Times New Roman"/>
                <w:b/>
                <w:sz w:val="30"/>
                <w:szCs w:val="30"/>
              </w:rPr>
            </w:pPr>
          </w:p>
          <w:p w14:paraId="68FB5B2B">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0BD092FF">
            <w:pPr>
              <w:jc w:val="center"/>
              <w:rPr>
                <w:rFonts w:ascii="Times New Roman" w:hAnsi="Times New Roman" w:eastAsia="宋体" w:cs="Times New Roman"/>
                <w:b/>
                <w:szCs w:val="20"/>
              </w:rPr>
            </w:pPr>
          </w:p>
          <w:p w14:paraId="16E5555A">
            <w:pPr>
              <w:jc w:val="center"/>
              <w:rPr>
                <w:rFonts w:ascii="Times New Roman" w:hAnsi="Times New Roman" w:eastAsia="宋体" w:cs="Times New Roman"/>
                <w:b/>
                <w:szCs w:val="20"/>
              </w:rPr>
            </w:pPr>
          </w:p>
          <w:p w14:paraId="27015B11">
            <w:pPr>
              <w:jc w:val="center"/>
              <w:rPr>
                <w:rFonts w:hint="eastAsia" w:ascii="宋体" w:hAnsi="宋体" w:eastAsia="宋体" w:cs="宋体"/>
                <w:sz w:val="24"/>
                <w:szCs w:val="24"/>
                <w:u w:val="single"/>
                <w:lang w:eastAsia="zh-CN"/>
              </w:rPr>
            </w:pPr>
            <w:r>
              <w:rPr>
                <w:rFonts w:hint="eastAsia" w:ascii="宋体" w:hAnsi="宋体" w:eastAsia="宋体" w:cs="宋体"/>
                <w:b/>
                <w:szCs w:val="20"/>
              </w:rPr>
              <w:t>项目名称：</w:t>
            </w:r>
            <w:r>
              <w:rPr>
                <w:rFonts w:hint="eastAsia" w:ascii="宋体" w:hAnsi="宋体" w:eastAsia="宋体" w:cs="宋体"/>
                <w:sz w:val="24"/>
                <w:szCs w:val="24"/>
                <w:u w:val="single"/>
                <w:lang w:eastAsia="zh-CN"/>
              </w:rPr>
              <w:t>主减装配 DE线产品兼容性改造技改项目</w:t>
            </w:r>
          </w:p>
          <w:p w14:paraId="744DA78F">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AF5436E">
            <w:pPr>
              <w:jc w:val="center"/>
              <w:rPr>
                <w:rFonts w:ascii="Times New Roman" w:hAnsi="Times New Roman" w:eastAsia="宋体" w:cs="Times New Roman"/>
                <w:b/>
                <w:szCs w:val="20"/>
              </w:rPr>
            </w:pPr>
            <w:r>
              <w:rPr>
                <w:rFonts w:hint="eastAsia" w:ascii="宋体" w:hAnsi="宋体" w:eastAsia="宋体" w:cs="宋体"/>
                <w:b/>
                <w:szCs w:val="20"/>
              </w:rPr>
              <w:t>地址：</w:t>
            </w:r>
          </w:p>
          <w:p w14:paraId="0823922D">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5180593D">
            <w:pPr>
              <w:jc w:val="center"/>
              <w:rPr>
                <w:rFonts w:ascii="Times New Roman" w:hAnsi="Times New Roman" w:eastAsia="宋体" w:cs="Times New Roman"/>
                <w:b/>
                <w:szCs w:val="20"/>
              </w:rPr>
            </w:pPr>
            <w:r>
              <w:rPr>
                <w:rFonts w:hint="eastAsia" w:ascii="宋体" w:hAnsi="宋体" w:eastAsia="宋体" w:cs="宋体"/>
                <w:b/>
                <w:szCs w:val="20"/>
              </w:rPr>
              <w:t>传真：</w:t>
            </w:r>
          </w:p>
          <w:p w14:paraId="47E2E8E6">
            <w:pPr>
              <w:jc w:val="center"/>
              <w:rPr>
                <w:rFonts w:ascii="Times New Roman" w:hAnsi="Times New Roman" w:eastAsia="宋体" w:cs="Times New Roman"/>
                <w:b/>
                <w:szCs w:val="20"/>
              </w:rPr>
            </w:pPr>
          </w:p>
          <w:p w14:paraId="61B64EAD">
            <w:pPr>
              <w:jc w:val="center"/>
              <w:rPr>
                <w:rFonts w:ascii="Times New Roman" w:hAnsi="Times New Roman" w:eastAsia="宋体" w:cs="Times New Roman"/>
                <w:b/>
                <w:szCs w:val="20"/>
              </w:rPr>
            </w:pPr>
          </w:p>
        </w:tc>
      </w:tr>
    </w:tbl>
    <w:p w14:paraId="0B19A4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745DE43">
      <w:pPr>
        <w:pStyle w:val="16"/>
      </w:pPr>
    </w:p>
    <w:p w14:paraId="7D3FC108">
      <w:pPr>
        <w:jc w:val="right"/>
        <w:rPr>
          <w:rFonts w:asciiTheme="minorEastAsia" w:hAnsiTheme="minorEastAsia" w:cstheme="minorEastAsia"/>
          <w:sz w:val="20"/>
          <w:szCs w:val="20"/>
        </w:rPr>
      </w:pPr>
    </w:p>
    <w:p w14:paraId="71C996EC">
      <w:pPr>
        <w:jc w:val="right"/>
        <w:rPr>
          <w:rFonts w:asciiTheme="minorEastAsia" w:hAnsiTheme="minorEastAsia" w:cstheme="minorEastAsia"/>
          <w:sz w:val="20"/>
          <w:szCs w:val="20"/>
        </w:rPr>
      </w:pPr>
    </w:p>
    <w:p w14:paraId="2C2A0E5F">
      <w:pPr>
        <w:sectPr>
          <w:headerReference r:id="rId39" w:type="first"/>
          <w:footerReference r:id="rId41" w:type="first"/>
          <w:headerReference r:id="rId38" w:type="default"/>
          <w:footerReference r:id="rId40"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7E98B926">
      <w:pPr>
        <w:ind w:firstLine="482"/>
        <w:outlineLvl w:val="2"/>
        <w:rPr>
          <w:b/>
          <w:bCs/>
          <w:szCs w:val="24"/>
        </w:rPr>
      </w:pPr>
      <w:r>
        <w:rPr>
          <w:b/>
          <w:bCs/>
          <w:szCs w:val="24"/>
        </w:rPr>
        <w:t>附件1</w:t>
      </w:r>
      <w:r>
        <w:rPr>
          <w:rFonts w:hint="eastAsia"/>
          <w:b/>
          <w:bCs/>
          <w:szCs w:val="24"/>
          <w:lang w:val="en-US" w:eastAsia="zh-CN"/>
        </w:rPr>
        <w:t>4</w:t>
      </w:r>
      <w:r>
        <w:rPr>
          <w:b/>
          <w:bCs/>
          <w:szCs w:val="24"/>
        </w:rPr>
        <w:t>技术标评分标准</w:t>
      </w:r>
    </w:p>
    <w:p w14:paraId="42D25CB8">
      <w:pPr>
        <w:pStyle w:val="139"/>
        <w:rPr>
          <w:rFonts w:hint="eastAsia"/>
          <w:color w:val="auto"/>
        </w:rPr>
      </w:pPr>
      <w:r>
        <w:rPr>
          <w:color w:val="auto"/>
        </w:rPr>
        <w:t>技术标评分标准（100分）</w:t>
      </w:r>
    </w:p>
    <w:tbl>
      <w:tblPr>
        <w:tblStyle w:val="36"/>
        <w:tblW w:w="98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3102"/>
        <w:gridCol w:w="4749"/>
        <w:gridCol w:w="1199"/>
      </w:tblGrid>
      <w:tr w14:paraId="7DE56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1" w:type="dxa"/>
            <w:tcBorders>
              <w:top w:val="single" w:color="auto" w:sz="4" w:space="0"/>
              <w:left w:val="single" w:color="auto" w:sz="4" w:space="0"/>
              <w:bottom w:val="single" w:color="auto" w:sz="4" w:space="0"/>
              <w:right w:val="single" w:color="auto" w:sz="4" w:space="0"/>
            </w:tcBorders>
            <w:noWrap/>
            <w:vAlign w:val="center"/>
          </w:tcPr>
          <w:p w14:paraId="759105FA">
            <w:pPr>
              <w:spacing w:line="420" w:lineRule="exact"/>
              <w:jc w:val="center"/>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一</w:t>
            </w:r>
          </w:p>
        </w:tc>
        <w:tc>
          <w:tcPr>
            <w:tcW w:w="9050" w:type="dxa"/>
            <w:gridSpan w:val="3"/>
            <w:tcBorders>
              <w:top w:val="single" w:color="auto" w:sz="4" w:space="0"/>
              <w:left w:val="single" w:color="auto" w:sz="4" w:space="0"/>
              <w:bottom w:val="single" w:color="auto" w:sz="4" w:space="0"/>
              <w:right w:val="single" w:color="auto" w:sz="4" w:space="0"/>
            </w:tcBorders>
            <w:noWrap/>
            <w:vAlign w:val="center"/>
          </w:tcPr>
          <w:p w14:paraId="4E3D48BF">
            <w:pPr>
              <w:spacing w:line="420" w:lineRule="exact"/>
              <w:jc w:val="left"/>
              <w:rPr>
                <w:rFonts w:hint="default" w:ascii="宋体" w:hAnsi="宋体" w:eastAsia="宋体" w:cs="宋体"/>
                <w:b/>
                <w:sz w:val="28"/>
                <w:szCs w:val="28"/>
                <w:lang w:val="en-US" w:eastAsia="zh-CN"/>
              </w:rPr>
            </w:pPr>
            <w:r>
              <w:rPr>
                <w:rFonts w:hint="eastAsia" w:ascii="宋体" w:hAnsi="宋体" w:eastAsia="宋体" w:cs="宋体"/>
                <w:b/>
                <w:sz w:val="28"/>
                <w:szCs w:val="28"/>
                <w:lang w:val="en-US" w:eastAsia="zh-CN"/>
              </w:rPr>
              <w:t>技术标</w:t>
            </w:r>
          </w:p>
        </w:tc>
      </w:tr>
      <w:tr w14:paraId="186E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93" w:type="dxa"/>
            <w:gridSpan w:val="2"/>
            <w:tcBorders>
              <w:top w:val="single" w:color="auto" w:sz="4" w:space="0"/>
              <w:left w:val="single" w:color="auto" w:sz="4" w:space="0"/>
              <w:bottom w:val="single" w:color="auto" w:sz="4" w:space="0"/>
              <w:right w:val="single" w:color="auto" w:sz="4" w:space="0"/>
            </w:tcBorders>
            <w:noWrap/>
            <w:vAlign w:val="center"/>
          </w:tcPr>
          <w:p w14:paraId="14317D2E">
            <w:pPr>
              <w:pStyle w:val="139"/>
              <w:ind w:right="0" w:firstLine="0" w:firstLineChars="0"/>
              <w:jc w:val="center"/>
              <w:rPr>
                <w:rFonts w:ascii="Times New Roman" w:hAnsi="Times New Roman" w:cs="Times New Roman"/>
                <w:b/>
                <w:bCs/>
                <w:color w:val="auto"/>
              </w:rPr>
            </w:pPr>
            <w:r>
              <w:rPr>
                <w:rFonts w:ascii="Times New Roman" w:hAnsi="Times New Roman" w:cs="Times New Roman"/>
                <w:b/>
                <w:bCs/>
                <w:color w:val="auto"/>
              </w:rPr>
              <w:t>评分项目</w:t>
            </w:r>
          </w:p>
        </w:tc>
        <w:tc>
          <w:tcPr>
            <w:tcW w:w="4749" w:type="dxa"/>
            <w:tcBorders>
              <w:top w:val="single" w:color="auto" w:sz="4" w:space="0"/>
              <w:left w:val="single" w:color="auto" w:sz="4" w:space="0"/>
              <w:bottom w:val="single" w:color="auto" w:sz="4" w:space="0"/>
              <w:right w:val="single" w:color="auto" w:sz="4" w:space="0"/>
            </w:tcBorders>
            <w:noWrap/>
            <w:vAlign w:val="center"/>
          </w:tcPr>
          <w:p w14:paraId="5DBA64AF">
            <w:pPr>
              <w:pStyle w:val="139"/>
              <w:ind w:right="0" w:firstLine="0" w:firstLineChars="0"/>
              <w:jc w:val="center"/>
              <w:rPr>
                <w:rFonts w:ascii="Times New Roman" w:hAnsi="Times New Roman" w:cs="Times New Roman"/>
                <w:b/>
                <w:bCs/>
                <w:color w:val="auto"/>
              </w:rPr>
            </w:pPr>
            <w:r>
              <w:rPr>
                <w:rFonts w:ascii="Times New Roman" w:hAnsi="Times New Roman" w:cs="Times New Roman"/>
                <w:b/>
                <w:bCs/>
                <w:color w:val="auto"/>
              </w:rPr>
              <w:t>评分标准</w:t>
            </w:r>
          </w:p>
        </w:tc>
        <w:tc>
          <w:tcPr>
            <w:tcW w:w="1199" w:type="dxa"/>
            <w:tcBorders>
              <w:top w:val="single" w:color="auto" w:sz="4" w:space="0"/>
              <w:left w:val="single" w:color="auto" w:sz="4" w:space="0"/>
              <w:bottom w:val="single" w:color="auto" w:sz="4" w:space="0"/>
              <w:right w:val="single" w:color="auto" w:sz="4" w:space="0"/>
            </w:tcBorders>
            <w:noWrap/>
            <w:vAlign w:val="center"/>
          </w:tcPr>
          <w:p w14:paraId="5E3B3F73">
            <w:pPr>
              <w:pStyle w:val="139"/>
              <w:spacing w:line="240" w:lineRule="auto"/>
              <w:ind w:right="0" w:firstLine="0" w:firstLineChars="0"/>
              <w:jc w:val="center"/>
              <w:rPr>
                <w:rFonts w:ascii="Times New Roman" w:hAnsi="Times New Roman" w:cs="Times New Roman"/>
                <w:b/>
                <w:bCs/>
                <w:color w:val="auto"/>
              </w:rPr>
            </w:pPr>
            <w:r>
              <w:rPr>
                <w:rFonts w:ascii="Times New Roman" w:hAnsi="Times New Roman" w:cs="Times New Roman"/>
                <w:b/>
                <w:bCs/>
                <w:color w:val="auto"/>
              </w:rPr>
              <w:t>最大分值</w:t>
            </w:r>
          </w:p>
        </w:tc>
      </w:tr>
      <w:tr w14:paraId="7330F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91" w:type="dxa"/>
            <w:vMerge w:val="restart"/>
            <w:tcBorders>
              <w:top w:val="nil"/>
              <w:left w:val="single" w:color="auto" w:sz="4" w:space="0"/>
              <w:right w:val="single" w:color="auto" w:sz="4" w:space="0"/>
            </w:tcBorders>
            <w:noWrap/>
            <w:vAlign w:val="center"/>
          </w:tcPr>
          <w:p w14:paraId="52BC078C">
            <w:pPr>
              <w:pStyle w:val="139"/>
              <w:ind w:right="0" w:firstLine="0" w:firstLineChars="0"/>
              <w:jc w:val="center"/>
              <w:rPr>
                <w:rFonts w:ascii="Times New Roman" w:hAnsi="Times New Roman" w:cs="Times New Roman"/>
                <w:b/>
                <w:bCs/>
                <w:color w:val="auto"/>
                <w:sz w:val="22"/>
                <w:szCs w:val="22"/>
              </w:rPr>
            </w:pPr>
            <w:r>
              <w:rPr>
                <w:rFonts w:ascii="Times New Roman" w:hAnsi="Times New Roman" w:cs="Times New Roman"/>
                <w:b/>
                <w:bCs/>
                <w:color w:val="auto"/>
                <w:sz w:val="22"/>
                <w:szCs w:val="22"/>
              </w:rPr>
              <w:t>技</w:t>
            </w:r>
          </w:p>
          <w:p w14:paraId="0C46DB87">
            <w:pPr>
              <w:pStyle w:val="139"/>
              <w:ind w:right="0" w:firstLine="0" w:firstLineChars="0"/>
              <w:jc w:val="center"/>
              <w:rPr>
                <w:rFonts w:ascii="Times New Roman" w:hAnsi="Times New Roman" w:cs="Times New Roman"/>
                <w:b/>
                <w:bCs/>
                <w:color w:val="auto"/>
                <w:sz w:val="22"/>
                <w:szCs w:val="22"/>
              </w:rPr>
            </w:pPr>
            <w:r>
              <w:rPr>
                <w:rFonts w:ascii="Times New Roman" w:hAnsi="Times New Roman" w:cs="Times New Roman"/>
                <w:b/>
                <w:bCs/>
                <w:color w:val="auto"/>
                <w:sz w:val="22"/>
                <w:szCs w:val="22"/>
              </w:rPr>
              <w:t>术</w:t>
            </w:r>
          </w:p>
          <w:p w14:paraId="12B95049">
            <w:pPr>
              <w:pStyle w:val="139"/>
              <w:ind w:right="0" w:firstLine="0" w:firstLineChars="0"/>
              <w:jc w:val="center"/>
              <w:rPr>
                <w:rFonts w:ascii="Times New Roman" w:hAnsi="Times New Roman" w:cs="Times New Roman"/>
                <w:b/>
                <w:bCs/>
                <w:color w:val="auto"/>
                <w:sz w:val="22"/>
                <w:szCs w:val="22"/>
              </w:rPr>
            </w:pPr>
            <w:r>
              <w:rPr>
                <w:rFonts w:ascii="Times New Roman" w:hAnsi="Times New Roman" w:cs="Times New Roman"/>
                <w:b/>
                <w:bCs/>
                <w:color w:val="auto"/>
                <w:sz w:val="22"/>
                <w:szCs w:val="22"/>
              </w:rPr>
              <w:t>部</w:t>
            </w:r>
          </w:p>
          <w:p w14:paraId="60C20AE2">
            <w:pPr>
              <w:pStyle w:val="139"/>
              <w:ind w:right="0" w:firstLine="0" w:firstLineChars="0"/>
              <w:jc w:val="center"/>
              <w:rPr>
                <w:rFonts w:ascii="Times New Roman" w:hAnsi="Times New Roman" w:eastAsia="Times New Roman" w:cs="Times New Roman"/>
                <w:bCs/>
                <w:color w:val="auto"/>
                <w:szCs w:val="21"/>
              </w:rPr>
            </w:pPr>
            <w:r>
              <w:rPr>
                <w:rFonts w:ascii="Times New Roman" w:hAnsi="Times New Roman" w:cs="Times New Roman"/>
                <w:b/>
                <w:bCs/>
                <w:color w:val="auto"/>
                <w:sz w:val="22"/>
                <w:szCs w:val="22"/>
              </w:rPr>
              <w:t>分</w:t>
            </w:r>
          </w:p>
        </w:tc>
        <w:tc>
          <w:tcPr>
            <w:tcW w:w="31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721D53">
            <w:pPr>
              <w:spacing w:line="420" w:lineRule="exact"/>
              <w:rPr>
                <w:rFonts w:hint="default" w:ascii="宋体" w:hAnsi="Times New Roman" w:cs="Times New Roman" w:eastAsiaTheme="minorEastAsia"/>
                <w:kern w:val="2"/>
                <w:sz w:val="24"/>
                <w:szCs w:val="21"/>
                <w:lang w:val="en-US" w:eastAsia="zh-CN" w:bidi="ar-SA"/>
              </w:rPr>
            </w:pPr>
            <w:r>
              <w:rPr>
                <w:rFonts w:hint="eastAsia" w:ascii="宋体" w:hAnsi="宋体"/>
                <w:bCs/>
              </w:rPr>
              <w:t>设备制造商装备制造能力、生产设备、加工工艺、</w:t>
            </w:r>
            <w:r>
              <w:rPr>
                <w:rFonts w:hint="eastAsia" w:ascii="宋体" w:hAnsi="宋体"/>
                <w:bCs/>
                <w:lang w:val="en-US" w:eastAsia="zh-CN"/>
              </w:rPr>
              <w:t>公司规模、制造厂房先进程度、人员配置</w:t>
            </w:r>
          </w:p>
        </w:tc>
        <w:tc>
          <w:tcPr>
            <w:tcW w:w="4749" w:type="dxa"/>
            <w:tcBorders>
              <w:top w:val="single" w:color="auto" w:sz="4" w:space="0"/>
              <w:left w:val="single" w:color="auto" w:sz="4" w:space="0"/>
              <w:bottom w:val="single" w:color="auto" w:sz="4" w:space="0"/>
              <w:right w:val="single" w:color="auto" w:sz="4" w:space="0"/>
            </w:tcBorders>
            <w:shd w:val="clear" w:color="auto" w:fill="auto"/>
            <w:vAlign w:val="center"/>
          </w:tcPr>
          <w:p w14:paraId="663D8542">
            <w:pPr>
              <w:spacing w:line="420" w:lineRule="exact"/>
              <w:rPr>
                <w:rFonts w:hint="default" w:ascii="宋体" w:hAnsi="宋体" w:cs="Times New Roman" w:eastAsiaTheme="minorEastAsia"/>
                <w:bCs/>
                <w:kern w:val="2"/>
                <w:sz w:val="24"/>
                <w:szCs w:val="21"/>
                <w:lang w:val="en-US" w:eastAsia="zh-CN" w:bidi="ar-SA"/>
              </w:rPr>
            </w:pPr>
            <w:r>
              <w:rPr>
                <w:rFonts w:hint="eastAsia" w:ascii="宋体" w:hAnsi="宋体"/>
                <w:bCs/>
              </w:rPr>
              <w:t>投标人的装备制造能力</w:t>
            </w:r>
            <w:r>
              <w:rPr>
                <w:rFonts w:hint="eastAsia" w:ascii="宋体" w:hAnsi="宋体"/>
                <w:bCs/>
                <w:lang w:val="en-US" w:eastAsia="zh-CN"/>
              </w:rPr>
              <w:t>优势</w:t>
            </w:r>
            <w:r>
              <w:rPr>
                <w:rFonts w:hint="eastAsia" w:ascii="宋体" w:hAnsi="宋体"/>
                <w:bCs/>
              </w:rPr>
              <w:t>、生产设备</w:t>
            </w:r>
            <w:r>
              <w:rPr>
                <w:rFonts w:hint="eastAsia" w:ascii="宋体" w:hAnsi="宋体"/>
                <w:bCs/>
                <w:lang w:val="en-US" w:eastAsia="zh-CN"/>
              </w:rPr>
              <w:t>全面</w:t>
            </w:r>
            <w:r>
              <w:rPr>
                <w:rFonts w:hint="eastAsia" w:ascii="宋体" w:hAnsi="宋体"/>
                <w:bCs/>
              </w:rPr>
              <w:t>、加工工艺先进、</w:t>
            </w:r>
            <w:r>
              <w:rPr>
                <w:rFonts w:hint="eastAsia" w:ascii="宋体" w:hAnsi="宋体"/>
                <w:bCs/>
                <w:lang w:val="en-US" w:eastAsia="zh-CN"/>
              </w:rPr>
              <w:t>公司规模大、制造厂房先进、人员配置合理</w:t>
            </w:r>
            <w:r>
              <w:rPr>
                <w:rFonts w:hint="eastAsia" w:ascii="宋体" w:hAnsi="宋体"/>
                <w:bCs/>
              </w:rPr>
              <w:t>，视情况得0-</w:t>
            </w:r>
            <w:r>
              <w:rPr>
                <w:rFonts w:hint="eastAsia" w:ascii="宋体" w:hAnsi="宋体"/>
                <w:bCs/>
                <w:lang w:val="en-US" w:eastAsia="zh-CN"/>
              </w:rPr>
              <w:t>10分。</w:t>
            </w:r>
          </w:p>
        </w:tc>
        <w:tc>
          <w:tcPr>
            <w:tcW w:w="1199" w:type="dxa"/>
            <w:tcBorders>
              <w:top w:val="single" w:color="auto" w:sz="4" w:space="0"/>
              <w:left w:val="single" w:color="auto" w:sz="4" w:space="0"/>
              <w:bottom w:val="single" w:color="auto" w:sz="4" w:space="0"/>
              <w:right w:val="single" w:color="auto" w:sz="4" w:space="0"/>
            </w:tcBorders>
            <w:shd w:val="clear" w:color="auto" w:fill="auto"/>
            <w:vAlign w:val="center"/>
          </w:tcPr>
          <w:p w14:paraId="0156B33D">
            <w:pPr>
              <w:spacing w:line="420" w:lineRule="exact"/>
              <w:jc w:val="center"/>
              <w:rPr>
                <w:rFonts w:hint="default" w:ascii="宋体" w:hAnsi="宋体" w:eastAsia="宋体" w:cs="Times New Roman"/>
                <w:kern w:val="2"/>
                <w:sz w:val="24"/>
                <w:szCs w:val="21"/>
                <w:lang w:val="en-US" w:eastAsia="zh-CN" w:bidi="ar-SA"/>
              </w:rPr>
            </w:pPr>
            <w:r>
              <w:rPr>
                <w:rFonts w:hint="eastAsia" w:ascii="宋体" w:hAnsi="宋体" w:eastAsia="宋体"/>
                <w:lang w:val="en-US" w:eastAsia="zh-CN"/>
              </w:rPr>
              <w:t>10</w:t>
            </w:r>
          </w:p>
        </w:tc>
      </w:tr>
      <w:tr w14:paraId="4C575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6" w:hRule="atLeast"/>
          <w:jc w:val="center"/>
        </w:trPr>
        <w:tc>
          <w:tcPr>
            <w:tcW w:w="791" w:type="dxa"/>
            <w:vMerge w:val="continue"/>
            <w:tcBorders>
              <w:left w:val="single" w:color="auto" w:sz="4" w:space="0"/>
              <w:right w:val="single" w:color="auto" w:sz="4" w:space="0"/>
            </w:tcBorders>
            <w:vAlign w:val="center"/>
          </w:tcPr>
          <w:p w14:paraId="4390B461">
            <w:pPr>
              <w:pStyle w:val="139"/>
              <w:ind w:right="0" w:firstLine="0" w:firstLineChars="0"/>
              <w:rPr>
                <w:rFonts w:ascii="Times New Roman" w:hAnsi="Times New Roman" w:cs="Times New Roman"/>
                <w:b/>
                <w:bCs/>
                <w:color w:val="auto"/>
                <w:sz w:val="22"/>
                <w:szCs w:val="22"/>
              </w:rPr>
            </w:pPr>
          </w:p>
        </w:tc>
        <w:tc>
          <w:tcPr>
            <w:tcW w:w="31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E059C7">
            <w:pPr>
              <w:spacing w:line="420" w:lineRule="exact"/>
              <w:rPr>
                <w:rFonts w:hint="default" w:ascii="宋体" w:hAnsi="Times New Roman" w:cs="Times New Roman" w:eastAsiaTheme="minorEastAsia"/>
                <w:bCs/>
                <w:kern w:val="2"/>
                <w:sz w:val="24"/>
                <w:szCs w:val="21"/>
                <w:highlight w:val="none"/>
                <w:lang w:val="en-US" w:eastAsia="zh-CN" w:bidi="ar-SA"/>
              </w:rPr>
            </w:pPr>
            <w:r>
              <w:rPr>
                <w:rFonts w:hint="eastAsia" w:ascii="宋体" w:hAnsi="宋体"/>
                <w:bCs/>
                <w:highlight w:val="none"/>
              </w:rPr>
              <w:t>产品方案技术先进、</w:t>
            </w:r>
            <w:r>
              <w:rPr>
                <w:rFonts w:hint="eastAsia" w:ascii="宋体" w:hAnsi="宋体"/>
                <w:bCs/>
                <w:highlight w:val="none"/>
                <w:lang w:val="en-US" w:eastAsia="zh-CN"/>
              </w:rPr>
              <w:t>工艺保证能力优良，各产品之间切换方便快捷</w:t>
            </w:r>
            <w:r>
              <w:rPr>
                <w:rFonts w:hint="eastAsia" w:ascii="宋体" w:hAnsi="宋体"/>
                <w:bCs/>
                <w:highlight w:val="none"/>
              </w:rPr>
              <w:t>、性能可靠，</w:t>
            </w:r>
            <w:r>
              <w:rPr>
                <w:rFonts w:hint="eastAsia" w:ascii="宋体" w:hAnsi="宋体"/>
                <w:bCs/>
                <w:highlight w:val="none"/>
                <w:lang w:val="en-US" w:eastAsia="zh-CN"/>
              </w:rPr>
              <w:t>导向定位方案可靠耐用，工装托盘等</w:t>
            </w:r>
            <w:r>
              <w:rPr>
                <w:rFonts w:hint="eastAsia" w:ascii="宋体" w:hAnsi="宋体"/>
                <w:bCs/>
                <w:highlight w:val="none"/>
              </w:rPr>
              <w:t>主要核心部件，具备自身技术优势</w:t>
            </w:r>
            <w:r>
              <w:rPr>
                <w:rFonts w:hint="eastAsia" w:ascii="宋体" w:hAnsi="宋体"/>
                <w:bCs/>
                <w:highlight w:val="none"/>
                <w:lang w:eastAsia="zh-CN"/>
              </w:rPr>
              <w:t>，</w:t>
            </w:r>
            <w:r>
              <w:rPr>
                <w:rFonts w:hint="eastAsia" w:ascii="宋体" w:hAnsi="宋体"/>
                <w:bCs/>
                <w:highlight w:val="none"/>
                <w:lang w:val="en-US" w:eastAsia="zh-CN"/>
              </w:rPr>
              <w:t>关键部件选择品牌等级高</w:t>
            </w:r>
          </w:p>
        </w:tc>
        <w:tc>
          <w:tcPr>
            <w:tcW w:w="4749" w:type="dxa"/>
            <w:tcBorders>
              <w:top w:val="single" w:color="auto" w:sz="4" w:space="0"/>
              <w:left w:val="single" w:color="auto" w:sz="4" w:space="0"/>
              <w:bottom w:val="single" w:color="auto" w:sz="4" w:space="0"/>
              <w:right w:val="single" w:color="auto" w:sz="4" w:space="0"/>
            </w:tcBorders>
            <w:shd w:val="clear" w:color="auto" w:fill="auto"/>
            <w:vAlign w:val="center"/>
          </w:tcPr>
          <w:p w14:paraId="58C0B29E">
            <w:pPr>
              <w:spacing w:line="420" w:lineRule="exact"/>
              <w:rPr>
                <w:rFonts w:hint="default" w:ascii="宋体" w:hAnsi="宋体" w:cs="Times New Roman" w:eastAsiaTheme="minorEastAsia"/>
                <w:bCs/>
                <w:kern w:val="2"/>
                <w:sz w:val="24"/>
                <w:szCs w:val="21"/>
                <w:highlight w:val="none"/>
                <w:lang w:val="en-US" w:eastAsia="zh-CN" w:bidi="ar-SA"/>
              </w:rPr>
            </w:pPr>
            <w:r>
              <w:rPr>
                <w:rFonts w:hint="eastAsia" w:ascii="宋体" w:hAnsi="宋体"/>
                <w:bCs/>
                <w:highlight w:val="none"/>
              </w:rPr>
              <w:t>产品方案技术先进、</w:t>
            </w:r>
            <w:r>
              <w:rPr>
                <w:rFonts w:hint="eastAsia" w:ascii="宋体" w:hAnsi="宋体"/>
                <w:bCs/>
                <w:highlight w:val="none"/>
                <w:lang w:val="en-US" w:eastAsia="zh-CN"/>
              </w:rPr>
              <w:t>工艺保证能力优良、规划方案优势突出、参数执行合格率保障有效，各产品之间切换方便快捷</w:t>
            </w:r>
            <w:r>
              <w:rPr>
                <w:rFonts w:hint="eastAsia" w:ascii="宋体" w:hAnsi="宋体"/>
                <w:bCs/>
                <w:highlight w:val="none"/>
              </w:rPr>
              <w:t>、性能可靠，</w:t>
            </w:r>
            <w:r>
              <w:rPr>
                <w:rFonts w:hint="eastAsia" w:ascii="宋体" w:hAnsi="宋体"/>
                <w:bCs/>
                <w:highlight w:val="none"/>
                <w:lang w:val="en-US" w:eastAsia="zh-CN"/>
              </w:rPr>
              <w:t>导向定位方案可靠耐用，工装托盘等</w:t>
            </w:r>
            <w:r>
              <w:rPr>
                <w:rFonts w:hint="eastAsia" w:ascii="宋体" w:hAnsi="宋体"/>
                <w:bCs/>
                <w:highlight w:val="none"/>
              </w:rPr>
              <w:t>主要核心部件，具备自身技术优势</w:t>
            </w:r>
            <w:r>
              <w:rPr>
                <w:rFonts w:hint="eastAsia" w:ascii="宋体" w:hAnsi="宋体"/>
                <w:bCs/>
                <w:highlight w:val="none"/>
                <w:lang w:eastAsia="zh-CN"/>
              </w:rPr>
              <w:t>，</w:t>
            </w:r>
            <w:r>
              <w:rPr>
                <w:rFonts w:hint="eastAsia" w:ascii="宋体" w:hAnsi="宋体"/>
                <w:bCs/>
                <w:highlight w:val="none"/>
                <w:lang w:val="en-US" w:eastAsia="zh-CN"/>
              </w:rPr>
              <w:t>关键部件选择品牌等级高</w:t>
            </w:r>
            <w:r>
              <w:rPr>
                <w:rFonts w:hint="eastAsia" w:ascii="宋体" w:hAnsi="宋体"/>
                <w:bCs/>
                <w:highlight w:val="none"/>
              </w:rPr>
              <w:t>，视情况得0-</w:t>
            </w:r>
            <w:r>
              <w:rPr>
                <w:rFonts w:hint="eastAsia" w:ascii="宋体" w:hAnsi="宋体"/>
                <w:bCs/>
                <w:highlight w:val="none"/>
                <w:lang w:val="en-US" w:eastAsia="zh-CN"/>
              </w:rPr>
              <w:t>50分。</w:t>
            </w:r>
          </w:p>
        </w:tc>
        <w:tc>
          <w:tcPr>
            <w:tcW w:w="119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05A208">
            <w:pPr>
              <w:spacing w:line="420" w:lineRule="exact"/>
              <w:jc w:val="center"/>
              <w:rPr>
                <w:rFonts w:hint="default" w:ascii="宋体" w:hAnsi="宋体" w:eastAsia="宋体" w:cs="Times New Roman"/>
                <w:kern w:val="2"/>
                <w:sz w:val="24"/>
                <w:szCs w:val="21"/>
                <w:highlight w:val="none"/>
                <w:lang w:val="en-US" w:eastAsia="zh-CN" w:bidi="ar-SA"/>
              </w:rPr>
            </w:pPr>
            <w:r>
              <w:rPr>
                <w:rFonts w:hint="eastAsia" w:ascii="宋体" w:hAnsi="宋体" w:eastAsia="宋体"/>
                <w:highlight w:val="none"/>
                <w:lang w:val="en-US" w:eastAsia="zh-CN"/>
              </w:rPr>
              <w:t>50</w:t>
            </w:r>
          </w:p>
        </w:tc>
      </w:tr>
      <w:tr w14:paraId="11BD4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791" w:type="dxa"/>
            <w:vMerge w:val="continue"/>
            <w:tcBorders>
              <w:left w:val="single" w:color="auto" w:sz="4" w:space="0"/>
              <w:right w:val="single" w:color="auto" w:sz="4" w:space="0"/>
            </w:tcBorders>
            <w:vAlign w:val="center"/>
          </w:tcPr>
          <w:p w14:paraId="3EDB05AE">
            <w:pPr>
              <w:pStyle w:val="139"/>
              <w:ind w:right="0" w:firstLine="0" w:firstLineChars="0"/>
              <w:rPr>
                <w:rFonts w:ascii="Times New Roman" w:hAnsi="Times New Roman" w:cs="Times New Roman"/>
                <w:b/>
                <w:bCs/>
                <w:color w:val="auto"/>
                <w:sz w:val="22"/>
                <w:szCs w:val="22"/>
              </w:rPr>
            </w:pPr>
          </w:p>
        </w:tc>
        <w:tc>
          <w:tcPr>
            <w:tcW w:w="31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CC52EA">
            <w:pPr>
              <w:spacing w:line="420" w:lineRule="exact"/>
              <w:rPr>
                <w:rFonts w:ascii="宋体" w:hAnsi="Times New Roman" w:eastAsia="宋体" w:cs="Times New Roman"/>
                <w:bCs/>
                <w:kern w:val="2"/>
                <w:sz w:val="24"/>
                <w:szCs w:val="21"/>
                <w:lang w:val="en-US" w:eastAsia="zh-CN" w:bidi="ar-SA"/>
              </w:rPr>
            </w:pPr>
            <w:r>
              <w:rPr>
                <w:rFonts w:hint="eastAsia" w:ascii="宋体" w:hAnsi="宋体"/>
                <w:bCs/>
              </w:rPr>
              <w:t>产品维保</w:t>
            </w:r>
          </w:p>
        </w:tc>
        <w:tc>
          <w:tcPr>
            <w:tcW w:w="4749" w:type="dxa"/>
            <w:tcBorders>
              <w:top w:val="single" w:color="auto" w:sz="4" w:space="0"/>
              <w:left w:val="single" w:color="auto" w:sz="4" w:space="0"/>
              <w:bottom w:val="single" w:color="auto" w:sz="4" w:space="0"/>
              <w:right w:val="single" w:color="auto" w:sz="4" w:space="0"/>
            </w:tcBorders>
            <w:shd w:val="clear" w:color="auto" w:fill="auto"/>
            <w:vAlign w:val="center"/>
          </w:tcPr>
          <w:p w14:paraId="6313E767">
            <w:pPr>
              <w:spacing w:line="420" w:lineRule="exact"/>
              <w:rPr>
                <w:rFonts w:ascii="宋体" w:hAnsi="宋体" w:eastAsia="宋体" w:cs="Times New Roman"/>
                <w:bCs/>
                <w:kern w:val="2"/>
                <w:sz w:val="24"/>
                <w:szCs w:val="21"/>
                <w:lang w:val="en-US" w:eastAsia="zh-CN" w:bidi="ar-SA"/>
              </w:rPr>
            </w:pPr>
            <w:r>
              <w:rPr>
                <w:rFonts w:hint="eastAsia" w:ascii="宋体" w:hAnsi="宋体"/>
                <w:bCs/>
              </w:rPr>
              <w:t>易于维修、操作方便，产品附件配置齐全，质量可靠，设备在使用期内的维护费用，视情况得0-</w:t>
            </w:r>
            <w:r>
              <w:rPr>
                <w:rFonts w:hint="eastAsia" w:ascii="宋体" w:hAnsi="宋体"/>
                <w:bCs/>
                <w:lang w:val="en-US" w:eastAsia="zh-CN"/>
              </w:rPr>
              <w:t>10分。</w:t>
            </w:r>
          </w:p>
        </w:tc>
        <w:tc>
          <w:tcPr>
            <w:tcW w:w="119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65AF70">
            <w:pPr>
              <w:spacing w:line="420" w:lineRule="exact"/>
              <w:jc w:val="center"/>
              <w:rPr>
                <w:rFonts w:hint="default" w:ascii="宋体" w:hAnsi="宋体" w:eastAsia="宋体" w:cs="Times New Roman"/>
                <w:kern w:val="2"/>
                <w:sz w:val="24"/>
                <w:szCs w:val="21"/>
                <w:lang w:val="en-US" w:eastAsia="zh-CN" w:bidi="ar-SA"/>
              </w:rPr>
            </w:pPr>
            <w:r>
              <w:rPr>
                <w:rFonts w:hint="eastAsia" w:ascii="宋体" w:hAnsi="宋体" w:eastAsia="宋体"/>
                <w:lang w:val="en-US" w:eastAsia="zh-CN"/>
              </w:rPr>
              <w:t>10</w:t>
            </w:r>
          </w:p>
        </w:tc>
      </w:tr>
      <w:tr w14:paraId="7C3C2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vMerge w:val="continue"/>
            <w:tcBorders>
              <w:left w:val="single" w:color="auto" w:sz="4" w:space="0"/>
              <w:right w:val="single" w:color="auto" w:sz="4" w:space="0"/>
            </w:tcBorders>
            <w:vAlign w:val="center"/>
          </w:tcPr>
          <w:p w14:paraId="6D10BDAD">
            <w:pPr>
              <w:pStyle w:val="139"/>
              <w:ind w:right="0" w:firstLine="0" w:firstLineChars="0"/>
              <w:rPr>
                <w:rFonts w:ascii="Times New Roman" w:hAnsi="Times New Roman" w:cs="Times New Roman"/>
                <w:b/>
                <w:bCs/>
                <w:color w:val="auto"/>
                <w:sz w:val="22"/>
                <w:szCs w:val="22"/>
              </w:rPr>
            </w:pPr>
          </w:p>
        </w:tc>
        <w:tc>
          <w:tcPr>
            <w:tcW w:w="31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89015E">
            <w:pPr>
              <w:spacing w:line="420" w:lineRule="exact"/>
              <w:rPr>
                <w:rFonts w:ascii="宋体" w:hAnsi="Times New Roman" w:eastAsia="宋体" w:cs="Times New Roman"/>
                <w:kern w:val="2"/>
                <w:sz w:val="24"/>
                <w:szCs w:val="21"/>
                <w:lang w:val="en-US" w:eastAsia="zh-CN" w:bidi="ar-SA"/>
              </w:rPr>
            </w:pPr>
            <w:r>
              <w:rPr>
                <w:rFonts w:hint="eastAsia" w:ascii="宋体" w:hAnsi="宋体"/>
              </w:rPr>
              <w:t>计划控制</w:t>
            </w:r>
          </w:p>
        </w:tc>
        <w:tc>
          <w:tcPr>
            <w:tcW w:w="4749" w:type="dxa"/>
            <w:tcBorders>
              <w:top w:val="single" w:color="auto" w:sz="4" w:space="0"/>
              <w:left w:val="single" w:color="auto" w:sz="4" w:space="0"/>
              <w:bottom w:val="single" w:color="auto" w:sz="4" w:space="0"/>
              <w:right w:val="single" w:color="auto" w:sz="4" w:space="0"/>
            </w:tcBorders>
            <w:shd w:val="clear" w:color="auto" w:fill="auto"/>
            <w:vAlign w:val="center"/>
          </w:tcPr>
          <w:p w14:paraId="1B3D0639">
            <w:pPr>
              <w:spacing w:line="420" w:lineRule="exact"/>
              <w:rPr>
                <w:rFonts w:ascii="宋体" w:hAnsi="Times New Roman" w:eastAsia="宋体" w:cs="Times New Roman"/>
                <w:bCs/>
                <w:kern w:val="2"/>
                <w:sz w:val="24"/>
                <w:szCs w:val="21"/>
                <w:lang w:val="en-US" w:eastAsia="zh-CN" w:bidi="ar-SA"/>
              </w:rPr>
            </w:pPr>
            <w:r>
              <w:rPr>
                <w:rFonts w:hint="eastAsia" w:ascii="宋体" w:hAnsi="宋体"/>
                <w:bCs/>
              </w:rPr>
              <w:t>有详细可行的行动计划能保证项目进度，有风险管理。综合评审，视情况得0-</w:t>
            </w:r>
            <w:r>
              <w:rPr>
                <w:rFonts w:hint="eastAsia" w:ascii="宋体" w:hAnsi="宋体"/>
                <w:bCs/>
                <w:lang w:val="en-US" w:eastAsia="zh-CN"/>
              </w:rPr>
              <w:t>5分</w:t>
            </w:r>
            <w:r>
              <w:rPr>
                <w:rFonts w:hint="eastAsia" w:ascii="宋体" w:hAnsi="宋体"/>
                <w:bCs/>
              </w:rPr>
              <w:t>。</w:t>
            </w:r>
          </w:p>
        </w:tc>
        <w:tc>
          <w:tcPr>
            <w:tcW w:w="119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9AFBF1">
            <w:pPr>
              <w:spacing w:line="420" w:lineRule="exact"/>
              <w:jc w:val="center"/>
              <w:rPr>
                <w:rFonts w:ascii="宋体" w:hAnsi="宋体" w:eastAsia="宋体" w:cs="Times New Roman"/>
                <w:kern w:val="2"/>
                <w:sz w:val="24"/>
                <w:szCs w:val="21"/>
                <w:lang w:val="en-US" w:eastAsia="zh-CN" w:bidi="ar-SA"/>
              </w:rPr>
            </w:pPr>
            <w:r>
              <w:rPr>
                <w:rFonts w:hint="eastAsia" w:ascii="宋体" w:hAnsi="宋体"/>
                <w:bCs/>
              </w:rPr>
              <w:t>5</w:t>
            </w:r>
          </w:p>
        </w:tc>
      </w:tr>
      <w:tr w14:paraId="33A0B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vMerge w:val="continue"/>
            <w:tcBorders>
              <w:left w:val="single" w:color="auto" w:sz="4" w:space="0"/>
              <w:right w:val="single" w:color="auto" w:sz="4" w:space="0"/>
            </w:tcBorders>
          </w:tcPr>
          <w:p w14:paraId="4BD9A3A3">
            <w:pPr>
              <w:pStyle w:val="139"/>
              <w:ind w:right="0" w:firstLine="0" w:firstLineChars="0"/>
              <w:rPr>
                <w:rFonts w:ascii="Times New Roman" w:hAnsi="Times New Roman" w:cs="Times New Roman"/>
                <w:b/>
                <w:bCs/>
                <w:color w:val="auto"/>
                <w:sz w:val="22"/>
                <w:szCs w:val="22"/>
              </w:rPr>
            </w:pPr>
          </w:p>
        </w:tc>
        <w:tc>
          <w:tcPr>
            <w:tcW w:w="3102" w:type="dxa"/>
            <w:shd w:val="clear" w:color="auto" w:fill="auto"/>
            <w:vAlign w:val="center"/>
          </w:tcPr>
          <w:p w14:paraId="4F3D1D9E">
            <w:pPr>
              <w:spacing w:line="420" w:lineRule="exact"/>
              <w:rPr>
                <w:rFonts w:ascii="宋体" w:hAnsi="Times New Roman" w:eastAsia="宋体" w:cs="Times New Roman"/>
                <w:kern w:val="2"/>
                <w:sz w:val="24"/>
                <w:szCs w:val="21"/>
                <w:lang w:val="en-US" w:eastAsia="zh-CN" w:bidi="ar-SA"/>
              </w:rPr>
            </w:pPr>
            <w:r>
              <w:rPr>
                <w:rFonts w:hint="eastAsia" w:ascii="宋体" w:hAnsi="宋体"/>
              </w:rPr>
              <w:t>业绩</w:t>
            </w:r>
          </w:p>
        </w:tc>
        <w:tc>
          <w:tcPr>
            <w:tcW w:w="4749" w:type="dxa"/>
            <w:shd w:val="clear" w:color="auto" w:fill="auto"/>
            <w:vAlign w:val="center"/>
          </w:tcPr>
          <w:p w14:paraId="5A1D69EA">
            <w:pPr>
              <w:spacing w:line="420" w:lineRule="exact"/>
              <w:rPr>
                <w:rFonts w:hint="eastAsia" w:ascii="宋体" w:hAnsi="宋体" w:eastAsia="宋体" w:cs="Times New Roman"/>
                <w:bCs/>
                <w:kern w:val="2"/>
                <w:sz w:val="24"/>
                <w:lang w:val="en-US" w:eastAsia="zh-CN" w:bidi="ar-SA"/>
              </w:rPr>
            </w:pPr>
            <w:r>
              <w:rPr>
                <w:rFonts w:hint="eastAsia" w:ascii="宋体" w:hAnsi="宋体"/>
                <w:bCs/>
              </w:rPr>
              <w:t>最近连续三年有国内或国外知名品牌商用车或乘用车供货经历和经验或其他大型供货经历，提供3份以上投标同类产品开发合同证明材料，得5分；提供3份得4分；提供2份得3分；提供1份证明材料的，得2分；无证明材料的，不得分。</w:t>
            </w:r>
          </w:p>
        </w:tc>
        <w:tc>
          <w:tcPr>
            <w:tcW w:w="1199" w:type="dxa"/>
            <w:shd w:val="clear" w:color="auto" w:fill="auto"/>
            <w:vAlign w:val="center"/>
          </w:tcPr>
          <w:p w14:paraId="27AEA04B">
            <w:pPr>
              <w:spacing w:line="420" w:lineRule="exact"/>
              <w:jc w:val="center"/>
              <w:rPr>
                <w:rFonts w:ascii="宋体" w:hAnsi="宋体" w:eastAsia="宋体" w:cs="Times New Roman"/>
                <w:kern w:val="2"/>
                <w:sz w:val="24"/>
                <w:szCs w:val="21"/>
                <w:lang w:val="en-US" w:eastAsia="zh-CN" w:bidi="ar-SA"/>
              </w:rPr>
            </w:pPr>
            <w:r>
              <w:rPr>
                <w:rFonts w:hint="eastAsia" w:ascii="宋体" w:hAnsi="宋体"/>
              </w:rPr>
              <w:t>5</w:t>
            </w:r>
          </w:p>
        </w:tc>
      </w:tr>
      <w:tr w14:paraId="3EF2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vMerge w:val="continue"/>
            <w:tcBorders>
              <w:left w:val="single" w:color="auto" w:sz="4" w:space="0"/>
              <w:right w:val="single" w:color="auto" w:sz="4" w:space="0"/>
            </w:tcBorders>
          </w:tcPr>
          <w:p w14:paraId="04B7DCAA">
            <w:pPr>
              <w:pStyle w:val="139"/>
              <w:ind w:right="0" w:firstLine="0" w:firstLineChars="0"/>
              <w:rPr>
                <w:rFonts w:ascii="Times New Roman" w:hAnsi="Times New Roman" w:cs="Times New Roman"/>
                <w:b/>
                <w:bCs/>
                <w:color w:val="auto"/>
                <w:sz w:val="22"/>
                <w:szCs w:val="22"/>
              </w:rPr>
            </w:pPr>
          </w:p>
        </w:tc>
        <w:tc>
          <w:tcPr>
            <w:tcW w:w="3102" w:type="dxa"/>
            <w:shd w:val="clear" w:color="auto" w:fill="auto"/>
            <w:vAlign w:val="center"/>
          </w:tcPr>
          <w:p w14:paraId="3267A084">
            <w:pPr>
              <w:spacing w:line="420" w:lineRule="exact"/>
              <w:rPr>
                <w:rFonts w:ascii="宋体" w:hAnsi="宋体" w:eastAsia="宋体" w:cs="Times New Roman"/>
                <w:kern w:val="2"/>
                <w:sz w:val="24"/>
                <w:szCs w:val="21"/>
                <w:lang w:val="en-US" w:eastAsia="zh-CN" w:bidi="ar-SA"/>
              </w:rPr>
            </w:pPr>
            <w:r>
              <w:rPr>
                <w:rFonts w:hint="eastAsia" w:ascii="宋体" w:hAnsi="宋体"/>
              </w:rPr>
              <w:t>质量保证</w:t>
            </w:r>
          </w:p>
        </w:tc>
        <w:tc>
          <w:tcPr>
            <w:tcW w:w="4749" w:type="dxa"/>
            <w:shd w:val="clear" w:color="auto" w:fill="auto"/>
            <w:vAlign w:val="center"/>
          </w:tcPr>
          <w:p w14:paraId="24D64E5A">
            <w:pPr>
              <w:spacing w:line="420" w:lineRule="exact"/>
              <w:rPr>
                <w:rFonts w:hint="eastAsia" w:ascii="宋体" w:hAnsi="宋体" w:eastAsia="宋体" w:cs="Times New Roman"/>
                <w:bCs/>
                <w:kern w:val="2"/>
                <w:sz w:val="24"/>
                <w:lang w:val="en-US" w:eastAsia="zh-CN" w:bidi="ar-SA"/>
              </w:rPr>
            </w:pPr>
            <w:r>
              <w:rPr>
                <w:rFonts w:hint="eastAsia" w:ascii="宋体" w:hAnsi="宋体"/>
                <w:bCs/>
              </w:rPr>
              <w:t>具有良好的质量管理体系和完备的检测体系，保证设备造质量符合要求（提供相应证明材料）。根据提供的资料综合评审，视情况得0-</w:t>
            </w:r>
            <w:r>
              <w:rPr>
                <w:rFonts w:hint="eastAsia" w:ascii="宋体" w:hAnsi="宋体"/>
                <w:bCs/>
                <w:lang w:val="en-US" w:eastAsia="zh-CN"/>
              </w:rPr>
              <w:t>5分</w:t>
            </w:r>
            <w:r>
              <w:rPr>
                <w:rFonts w:hint="eastAsia" w:ascii="宋体" w:hAnsi="宋体"/>
                <w:bCs/>
              </w:rPr>
              <w:t>。</w:t>
            </w:r>
          </w:p>
        </w:tc>
        <w:tc>
          <w:tcPr>
            <w:tcW w:w="1199" w:type="dxa"/>
            <w:shd w:val="clear" w:color="auto" w:fill="auto"/>
            <w:vAlign w:val="center"/>
          </w:tcPr>
          <w:p w14:paraId="660DD559">
            <w:pPr>
              <w:spacing w:line="420" w:lineRule="exact"/>
              <w:jc w:val="center"/>
              <w:rPr>
                <w:rFonts w:ascii="宋体" w:hAnsi="宋体" w:eastAsia="宋体" w:cs="Times New Roman"/>
                <w:kern w:val="2"/>
                <w:sz w:val="24"/>
                <w:szCs w:val="21"/>
                <w:lang w:val="en-US" w:eastAsia="zh-CN" w:bidi="ar-SA"/>
              </w:rPr>
            </w:pPr>
            <w:r>
              <w:rPr>
                <w:rFonts w:hint="eastAsia" w:ascii="宋体" w:hAnsi="宋体"/>
              </w:rPr>
              <w:t>5</w:t>
            </w:r>
          </w:p>
        </w:tc>
      </w:tr>
      <w:tr w14:paraId="43ACF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vMerge w:val="continue"/>
            <w:tcBorders>
              <w:left w:val="single" w:color="auto" w:sz="4" w:space="0"/>
              <w:right w:val="single" w:color="auto" w:sz="4" w:space="0"/>
            </w:tcBorders>
          </w:tcPr>
          <w:p w14:paraId="395D86E3">
            <w:pPr>
              <w:pStyle w:val="139"/>
              <w:ind w:right="0" w:firstLine="0" w:firstLineChars="0"/>
              <w:rPr>
                <w:rFonts w:ascii="Times New Roman" w:hAnsi="Times New Roman" w:cs="Times New Roman"/>
                <w:b/>
                <w:bCs/>
                <w:color w:val="auto"/>
                <w:sz w:val="22"/>
                <w:szCs w:val="22"/>
              </w:rPr>
            </w:pPr>
          </w:p>
        </w:tc>
        <w:tc>
          <w:tcPr>
            <w:tcW w:w="3102" w:type="dxa"/>
            <w:shd w:val="clear" w:color="auto" w:fill="auto"/>
            <w:vAlign w:val="center"/>
          </w:tcPr>
          <w:p w14:paraId="704A7110">
            <w:pPr>
              <w:spacing w:line="420" w:lineRule="exact"/>
              <w:rPr>
                <w:rFonts w:hint="eastAsia" w:ascii="宋体" w:hAnsi="宋体" w:cs="Times New Roman" w:eastAsiaTheme="minorEastAsia"/>
                <w:kern w:val="2"/>
                <w:sz w:val="24"/>
                <w:lang w:val="en-US" w:eastAsia="zh-CN" w:bidi="ar-SA"/>
              </w:rPr>
            </w:pPr>
            <w:r>
              <w:rPr>
                <w:rFonts w:hint="eastAsia"/>
                <w:szCs w:val="21"/>
                <w:highlight w:val="none"/>
                <w:lang w:val="en-US" w:eastAsia="zh-CN"/>
              </w:rPr>
              <w:t>技术偏离</w:t>
            </w:r>
          </w:p>
        </w:tc>
        <w:tc>
          <w:tcPr>
            <w:tcW w:w="4749" w:type="dxa"/>
            <w:shd w:val="clear" w:color="auto" w:fill="auto"/>
            <w:vAlign w:val="center"/>
          </w:tcPr>
          <w:p w14:paraId="05BBCB68">
            <w:pPr>
              <w:spacing w:line="420" w:lineRule="exact"/>
              <w:rPr>
                <w:rFonts w:hint="eastAsia" w:ascii="宋体" w:hAnsi="宋体" w:eastAsia="宋体" w:cs="Times New Roman"/>
                <w:bCs/>
                <w:kern w:val="2"/>
                <w:sz w:val="24"/>
                <w:lang w:val="en-US" w:eastAsia="zh-CN" w:bidi="ar-SA"/>
              </w:rPr>
            </w:pPr>
            <w:r>
              <w:rPr>
                <w:rFonts w:hint="eastAsia" w:ascii="宋体" w:hAnsi="宋体"/>
                <w:bCs/>
                <w:lang w:val="en-US" w:eastAsia="zh-CN"/>
              </w:rPr>
              <w:t>技术方案优于招标要求的加分，不满足招标要求的减分，综合评议，</w:t>
            </w:r>
            <w:r>
              <w:rPr>
                <w:rFonts w:hint="eastAsia" w:ascii="宋体" w:hAnsi="宋体"/>
                <w:bCs/>
              </w:rPr>
              <w:t>视情况得0-</w:t>
            </w:r>
            <w:r>
              <w:rPr>
                <w:rFonts w:hint="eastAsia" w:ascii="宋体" w:hAnsi="宋体"/>
                <w:bCs/>
                <w:lang w:val="en-US" w:eastAsia="zh-CN"/>
              </w:rPr>
              <w:t>5分</w:t>
            </w:r>
            <w:r>
              <w:rPr>
                <w:rFonts w:hint="eastAsia" w:ascii="宋体" w:hAnsi="宋体"/>
                <w:bCs/>
              </w:rPr>
              <w:t>。</w:t>
            </w:r>
          </w:p>
        </w:tc>
        <w:tc>
          <w:tcPr>
            <w:tcW w:w="1199" w:type="dxa"/>
            <w:shd w:val="clear" w:color="auto" w:fill="auto"/>
            <w:vAlign w:val="center"/>
          </w:tcPr>
          <w:p w14:paraId="47F4A42D">
            <w:pPr>
              <w:spacing w:line="420" w:lineRule="exact"/>
              <w:jc w:val="center"/>
              <w:rPr>
                <w:rFonts w:hint="eastAsia" w:ascii="宋体" w:hAnsi="宋体" w:cs="Times New Roman" w:eastAsiaTheme="minorEastAsia"/>
                <w:kern w:val="2"/>
                <w:sz w:val="24"/>
                <w:lang w:val="en-US" w:eastAsia="zh-CN" w:bidi="ar-SA"/>
              </w:rPr>
            </w:pPr>
            <w:r>
              <w:rPr>
                <w:rFonts w:hint="eastAsia" w:ascii="宋体" w:hAnsi="宋体"/>
                <w:lang w:val="en-US" w:eastAsia="zh-CN"/>
              </w:rPr>
              <w:t>5</w:t>
            </w:r>
          </w:p>
        </w:tc>
      </w:tr>
      <w:tr w14:paraId="4FAB7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vMerge w:val="continue"/>
            <w:tcBorders>
              <w:left w:val="single" w:color="auto" w:sz="4" w:space="0"/>
              <w:right w:val="single" w:color="auto" w:sz="4" w:space="0"/>
            </w:tcBorders>
          </w:tcPr>
          <w:p w14:paraId="21DA8825">
            <w:pPr>
              <w:pStyle w:val="139"/>
              <w:ind w:right="0" w:firstLine="0" w:firstLineChars="0"/>
              <w:rPr>
                <w:rFonts w:ascii="Times New Roman" w:hAnsi="Times New Roman" w:cs="Times New Roman"/>
                <w:b/>
                <w:bCs/>
                <w:color w:val="auto"/>
                <w:sz w:val="22"/>
                <w:szCs w:val="22"/>
              </w:rPr>
            </w:pPr>
          </w:p>
        </w:tc>
        <w:tc>
          <w:tcPr>
            <w:tcW w:w="3102" w:type="dxa"/>
            <w:shd w:val="clear" w:color="auto" w:fill="auto"/>
            <w:vAlign w:val="center"/>
          </w:tcPr>
          <w:p w14:paraId="36E9CF9E">
            <w:pPr>
              <w:spacing w:line="420" w:lineRule="exact"/>
              <w:rPr>
                <w:rFonts w:hint="default" w:ascii="宋体" w:hAnsi="宋体" w:eastAsia="宋体" w:cs="Times New Roman"/>
                <w:kern w:val="2"/>
                <w:sz w:val="24"/>
                <w:szCs w:val="21"/>
                <w:lang w:val="en-US" w:eastAsia="zh-CN" w:bidi="ar-SA"/>
              </w:rPr>
            </w:pPr>
            <w:r>
              <w:rPr>
                <w:rFonts w:hint="eastAsia" w:ascii="宋体" w:hAnsi="宋体" w:eastAsia="宋体"/>
                <w:lang w:val="en-US" w:eastAsia="zh-CN"/>
              </w:rPr>
              <w:t>项目交期</w:t>
            </w:r>
          </w:p>
        </w:tc>
        <w:tc>
          <w:tcPr>
            <w:tcW w:w="4749" w:type="dxa"/>
            <w:shd w:val="clear" w:color="auto" w:fill="auto"/>
            <w:vAlign w:val="center"/>
          </w:tcPr>
          <w:p w14:paraId="385393B5">
            <w:pPr>
              <w:spacing w:line="420" w:lineRule="exact"/>
              <w:rPr>
                <w:rFonts w:hint="default" w:ascii="宋体" w:hAnsi="宋体" w:eastAsia="宋体" w:cs="Times New Roman"/>
                <w:bCs/>
                <w:kern w:val="2"/>
                <w:sz w:val="24"/>
                <w:lang w:val="en-US" w:eastAsia="zh-CN" w:bidi="ar-SA"/>
              </w:rPr>
            </w:pPr>
            <w:r>
              <w:rPr>
                <w:rFonts w:hint="eastAsia" w:ascii="宋体" w:hAnsi="宋体"/>
                <w:bCs/>
              </w:rPr>
              <w:t>可以提前完成项目交货，视情况得0-</w:t>
            </w:r>
            <w:r>
              <w:rPr>
                <w:rFonts w:hint="eastAsia" w:ascii="宋体" w:hAnsi="宋体"/>
                <w:bCs/>
                <w:lang w:val="en-US" w:eastAsia="zh-CN"/>
              </w:rPr>
              <w:t>5分。</w:t>
            </w:r>
          </w:p>
        </w:tc>
        <w:tc>
          <w:tcPr>
            <w:tcW w:w="1199" w:type="dxa"/>
            <w:shd w:val="clear" w:color="auto" w:fill="auto"/>
            <w:vAlign w:val="center"/>
          </w:tcPr>
          <w:p w14:paraId="2FAAE5CB">
            <w:pPr>
              <w:spacing w:line="420" w:lineRule="exact"/>
              <w:jc w:val="center"/>
              <w:rPr>
                <w:rFonts w:hint="default" w:ascii="宋体" w:hAnsi="宋体" w:eastAsia="宋体" w:cs="Times New Roman"/>
                <w:kern w:val="2"/>
                <w:sz w:val="24"/>
                <w:szCs w:val="21"/>
                <w:lang w:val="en-US" w:eastAsia="zh-CN" w:bidi="ar-SA"/>
              </w:rPr>
            </w:pPr>
            <w:r>
              <w:rPr>
                <w:rFonts w:hint="eastAsia" w:ascii="宋体" w:hAnsi="宋体" w:eastAsia="宋体"/>
                <w:szCs w:val="21"/>
                <w:lang w:val="en-US" w:eastAsia="zh-CN"/>
              </w:rPr>
              <w:t>5</w:t>
            </w:r>
          </w:p>
        </w:tc>
      </w:tr>
      <w:tr w14:paraId="5E5A6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vMerge w:val="continue"/>
            <w:tcBorders>
              <w:left w:val="single" w:color="auto" w:sz="4" w:space="0"/>
              <w:right w:val="single" w:color="auto" w:sz="4" w:space="0"/>
            </w:tcBorders>
          </w:tcPr>
          <w:p w14:paraId="48DBEAA4">
            <w:pPr>
              <w:pStyle w:val="139"/>
              <w:ind w:right="0" w:firstLine="0" w:firstLineChars="0"/>
              <w:rPr>
                <w:rFonts w:ascii="Times New Roman" w:hAnsi="Times New Roman" w:cs="Times New Roman"/>
                <w:b/>
                <w:bCs/>
                <w:color w:val="auto"/>
                <w:sz w:val="22"/>
                <w:szCs w:val="22"/>
              </w:rPr>
            </w:pPr>
          </w:p>
        </w:tc>
        <w:tc>
          <w:tcPr>
            <w:tcW w:w="3102" w:type="dxa"/>
            <w:shd w:val="clear" w:color="auto" w:fill="auto"/>
            <w:vAlign w:val="center"/>
          </w:tcPr>
          <w:p w14:paraId="772DB1F8">
            <w:pPr>
              <w:spacing w:line="420" w:lineRule="exact"/>
              <w:rPr>
                <w:rFonts w:hint="default" w:ascii="宋体" w:hAnsi="宋体" w:eastAsia="宋体" w:cs="Times New Roman"/>
                <w:kern w:val="2"/>
                <w:sz w:val="24"/>
                <w:lang w:val="en-US" w:eastAsia="zh-CN" w:bidi="ar-SA"/>
              </w:rPr>
            </w:pPr>
            <w:r>
              <w:rPr>
                <w:rFonts w:hint="eastAsia" w:ascii="宋体" w:hAnsi="宋体" w:eastAsia="宋体"/>
                <w:lang w:val="en-US" w:eastAsia="zh-CN"/>
              </w:rPr>
              <w:t>基建项目</w:t>
            </w:r>
          </w:p>
        </w:tc>
        <w:tc>
          <w:tcPr>
            <w:tcW w:w="4749" w:type="dxa"/>
            <w:shd w:val="clear" w:color="auto" w:fill="auto"/>
            <w:vAlign w:val="center"/>
          </w:tcPr>
          <w:p w14:paraId="67F32961">
            <w:pPr>
              <w:spacing w:line="420" w:lineRule="exact"/>
              <w:rPr>
                <w:rFonts w:hint="default" w:ascii="宋体" w:hAnsi="宋体" w:cs="Times New Roman" w:eastAsiaTheme="minorEastAsia"/>
                <w:bCs/>
                <w:kern w:val="2"/>
                <w:sz w:val="24"/>
                <w:lang w:val="en-US" w:eastAsia="zh-CN" w:bidi="ar-SA"/>
              </w:rPr>
            </w:pPr>
            <w:r>
              <w:rPr>
                <w:rFonts w:hint="eastAsia" w:ascii="宋体" w:hAnsi="宋体"/>
                <w:bCs/>
                <w:lang w:val="en-US" w:eastAsia="zh-CN"/>
              </w:rPr>
              <w:t>方案中详细介绍基建内容及施工方案，视情况得</w:t>
            </w:r>
            <w:r>
              <w:rPr>
                <w:rFonts w:hint="eastAsia" w:ascii="宋体" w:hAnsi="宋体"/>
                <w:bCs/>
              </w:rPr>
              <w:t>0-</w:t>
            </w:r>
            <w:r>
              <w:rPr>
                <w:rFonts w:hint="eastAsia" w:ascii="宋体" w:hAnsi="宋体"/>
                <w:bCs/>
                <w:lang w:val="en-US" w:eastAsia="zh-CN"/>
              </w:rPr>
              <w:t>5分。</w:t>
            </w:r>
          </w:p>
        </w:tc>
        <w:tc>
          <w:tcPr>
            <w:tcW w:w="1199" w:type="dxa"/>
            <w:shd w:val="clear" w:color="auto" w:fill="auto"/>
            <w:vAlign w:val="center"/>
          </w:tcPr>
          <w:p w14:paraId="10C2B6C2">
            <w:pPr>
              <w:spacing w:line="420" w:lineRule="exact"/>
              <w:jc w:val="center"/>
              <w:rPr>
                <w:rFonts w:hint="default" w:ascii="宋体" w:hAnsi="宋体" w:eastAsia="宋体" w:cs="Times New Roman"/>
                <w:kern w:val="2"/>
                <w:sz w:val="24"/>
                <w:lang w:val="en-US" w:eastAsia="zh-CN" w:bidi="ar-SA"/>
              </w:rPr>
            </w:pPr>
            <w:r>
              <w:rPr>
                <w:rFonts w:hint="eastAsia" w:ascii="宋体" w:hAnsi="宋体" w:eastAsia="宋体"/>
                <w:lang w:val="en-US" w:eastAsia="zh-CN"/>
              </w:rPr>
              <w:t>5</w:t>
            </w:r>
          </w:p>
        </w:tc>
      </w:tr>
    </w:tbl>
    <w:p w14:paraId="7CBD4C69">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7CDB6894">
      <w:pPr>
        <w:pStyle w:val="16"/>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286E2160">
      <w:pPr>
        <w:pStyle w:val="16"/>
        <w:rPr>
          <w:rFonts w:eastAsia="宋体"/>
        </w:rPr>
      </w:pPr>
    </w:p>
    <w:p w14:paraId="43BFA630">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1783F1B0">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C8E12D4">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4F7D576">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56"/>
                    <a:stretch>
                      <a:fillRect/>
                    </a:stretch>
                  </pic:blipFill>
                  <pic:spPr>
                    <a:xfrm>
                      <a:off x="0" y="0"/>
                      <a:ext cx="5760085" cy="2933377"/>
                    </a:xfrm>
                    <a:prstGeom prst="rect">
                      <a:avLst/>
                    </a:prstGeom>
                  </pic:spPr>
                </pic:pic>
              </a:graphicData>
            </a:graphic>
          </wp:inline>
        </w:drawing>
      </w:r>
    </w:p>
    <w:p w14:paraId="3841C575">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04B2E1FF">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7"/>
                    <a:stretch>
                      <a:fillRect/>
                    </a:stretch>
                  </pic:blipFill>
                  <pic:spPr>
                    <a:xfrm>
                      <a:off x="0" y="0"/>
                      <a:ext cx="5760085" cy="2766707"/>
                    </a:xfrm>
                    <a:prstGeom prst="rect">
                      <a:avLst/>
                    </a:prstGeom>
                  </pic:spPr>
                </pic:pic>
              </a:graphicData>
            </a:graphic>
          </wp:inline>
        </w:drawing>
      </w:r>
    </w:p>
    <w:p w14:paraId="00A50F3D">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C6324BB">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8"/>
                    <a:stretch>
                      <a:fillRect/>
                    </a:stretch>
                  </pic:blipFill>
                  <pic:spPr>
                    <a:xfrm>
                      <a:off x="0" y="0"/>
                      <a:ext cx="5760085" cy="2870054"/>
                    </a:xfrm>
                    <a:prstGeom prst="rect">
                      <a:avLst/>
                    </a:prstGeom>
                  </pic:spPr>
                </pic:pic>
              </a:graphicData>
            </a:graphic>
          </wp:inline>
        </w:drawing>
      </w:r>
    </w:p>
    <w:p w14:paraId="56AB404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F14B194">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9"/>
                    <a:stretch>
                      <a:fillRect/>
                    </a:stretch>
                  </pic:blipFill>
                  <pic:spPr>
                    <a:xfrm>
                      <a:off x="0" y="0"/>
                      <a:ext cx="5760085" cy="2853375"/>
                    </a:xfrm>
                    <a:prstGeom prst="rect">
                      <a:avLst/>
                    </a:prstGeom>
                  </pic:spPr>
                </pic:pic>
              </a:graphicData>
            </a:graphic>
          </wp:inline>
        </w:drawing>
      </w:r>
    </w:p>
    <w:p w14:paraId="3F011319">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25834A48">
      <w:pPr>
        <w:pStyle w:val="16"/>
      </w:pPr>
    </w:p>
    <w:p w14:paraId="2CFE83AF">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60"/>
                    <a:stretch>
                      <a:fillRect/>
                    </a:stretch>
                  </pic:blipFill>
                  <pic:spPr>
                    <a:xfrm>
                      <a:off x="0" y="0"/>
                      <a:ext cx="5760085" cy="2810122"/>
                    </a:xfrm>
                    <a:prstGeom prst="rect">
                      <a:avLst/>
                    </a:prstGeom>
                  </pic:spPr>
                </pic:pic>
              </a:graphicData>
            </a:graphic>
          </wp:inline>
        </w:drawing>
      </w:r>
    </w:p>
    <w:p w14:paraId="231F6107">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61"/>
                    <a:stretch>
                      <a:fillRect/>
                    </a:stretch>
                  </pic:blipFill>
                  <pic:spPr>
                    <a:xfrm>
                      <a:off x="0" y="0"/>
                      <a:ext cx="5760085" cy="2820042"/>
                    </a:xfrm>
                    <a:prstGeom prst="rect">
                      <a:avLst/>
                    </a:prstGeom>
                  </pic:spPr>
                </pic:pic>
              </a:graphicData>
            </a:graphic>
          </wp:inline>
        </w:drawing>
      </w:r>
    </w:p>
    <w:p w14:paraId="0B9B23E9">
      <w:pPr>
        <w:pStyle w:val="16"/>
      </w:pPr>
    </w:p>
    <w:p w14:paraId="7B658F4C">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963539F">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12B287F0">
      <w:pPr>
        <w:pStyle w:val="16"/>
        <w:outlineLvl w:val="2"/>
        <w:rPr>
          <w:rFonts w:hAnsi="宋体" w:eastAsia="宋体" w:cs="宋体"/>
          <w:b/>
          <w:bCs/>
          <w:color w:val="000000"/>
          <w:sz w:val="24"/>
          <w:szCs w:val="28"/>
          <w:highlight w:val="yellow"/>
        </w:rPr>
      </w:pPr>
      <w:r>
        <w:rPr>
          <w:rFonts w:hint="eastAsia" w:hAnsi="宋体" w:eastAsia="宋体" w:cs="宋体"/>
          <w:b/>
          <w:bCs/>
          <w:color w:val="000000"/>
          <w:sz w:val="24"/>
          <w:szCs w:val="28"/>
          <w:highlight w:val="yellow"/>
        </w:rPr>
        <w:t>2.配套能力“供货类别”填“计量检具”，业务主管部门为“质量部”。</w:t>
      </w:r>
    </w:p>
    <w:p w14:paraId="4CDB09CC">
      <w:pPr>
        <w:rPr>
          <w:rFonts w:ascii="宋体" w:hAnsi="宋体" w:eastAsia="宋体" w:cs="宋体"/>
          <w:b/>
          <w:bCs/>
          <w:color w:val="000000"/>
          <w:sz w:val="24"/>
          <w:szCs w:val="24"/>
        </w:rPr>
      </w:pPr>
      <w:r>
        <w:rPr>
          <w:rFonts w:hint="eastAsia" w:ascii="宋体" w:hAnsi="宋体" w:eastAsia="宋体" w:cs="宋体"/>
          <w:b/>
          <w:bCs/>
          <w:color w:val="000000"/>
          <w:sz w:val="24"/>
          <w:szCs w:val="24"/>
        </w:rPr>
        <w:br w:type="page"/>
      </w:r>
    </w:p>
    <w:p w14:paraId="6611A87D">
      <w:pPr>
        <w:pStyle w:val="16"/>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2DFAADA7">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4"/>
          <w:rFonts w:hint="eastAsia" w:ascii="宋体" w:hAnsi="宋体" w:eastAsia="宋体" w:cs="宋体"/>
          <w:sz w:val="24"/>
          <w:szCs w:val="24"/>
        </w:rPr>
        <w:t>https://ecaitong.sinotruk.com:8012/</w:t>
      </w:r>
      <w:r>
        <w:rPr>
          <w:rStyle w:val="44"/>
          <w:rFonts w:hint="eastAsia" w:ascii="宋体" w:hAnsi="宋体" w:eastAsia="宋体" w:cs="宋体"/>
          <w:sz w:val="24"/>
          <w:szCs w:val="24"/>
        </w:rPr>
        <w:fldChar w:fldCharType="end"/>
      </w:r>
    </w:p>
    <w:p w14:paraId="203A6BD1">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723B62EB">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41753AA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17820D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5ED5F923">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23ABBC53">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62"/>
                    <a:stretch>
                      <a:fillRect/>
                    </a:stretch>
                  </pic:blipFill>
                  <pic:spPr>
                    <a:xfrm>
                      <a:off x="0" y="0"/>
                      <a:ext cx="5760085" cy="2269864"/>
                    </a:xfrm>
                    <a:prstGeom prst="rect">
                      <a:avLst/>
                    </a:prstGeom>
                  </pic:spPr>
                </pic:pic>
              </a:graphicData>
            </a:graphic>
          </wp:inline>
        </w:drawing>
      </w:r>
    </w:p>
    <w:p w14:paraId="367A17B1"/>
    <w:p w14:paraId="1AB25B6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6BD2047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7948E35B">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63"/>
                    <a:stretch>
                      <a:fillRect/>
                    </a:stretch>
                  </pic:blipFill>
                  <pic:spPr>
                    <a:xfrm>
                      <a:off x="0" y="0"/>
                      <a:ext cx="5760085" cy="2125673"/>
                    </a:xfrm>
                    <a:prstGeom prst="rect">
                      <a:avLst/>
                    </a:prstGeom>
                  </pic:spPr>
                </pic:pic>
              </a:graphicData>
            </a:graphic>
          </wp:inline>
        </w:drawing>
      </w:r>
    </w:p>
    <w:p w14:paraId="1EEE1DE1">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6659B31E">
      <w:pPr>
        <w:pStyle w:val="16"/>
      </w:pPr>
      <w:r>
        <w:rPr>
          <w:rFonts w:hint="eastAsia" w:hAnsi="宋体" w:eastAsia="宋体" w:cs="宋体"/>
          <w:color w:val="000000"/>
          <w:sz w:val="24"/>
          <w:szCs w:val="28"/>
          <w:highlight w:val="yellow"/>
        </w:rPr>
        <w:t>注意：系统内的投标报价单位为“万元”，如开标现场发现填错报价，即直接淘汰。</w:t>
      </w:r>
    </w:p>
    <w:p w14:paraId="0AF05D29">
      <w:pPr>
        <w:pStyle w:val="7"/>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64"/>
                    <a:stretch>
                      <a:fillRect/>
                    </a:stretch>
                  </pic:blipFill>
                  <pic:spPr>
                    <a:xfrm>
                      <a:off x="0" y="0"/>
                      <a:ext cx="5490210" cy="2669498"/>
                    </a:xfrm>
                    <a:prstGeom prst="rect">
                      <a:avLst/>
                    </a:prstGeom>
                  </pic:spPr>
                </pic:pic>
              </a:graphicData>
            </a:graphic>
          </wp:inline>
        </w:drawing>
      </w:r>
    </w:p>
    <w:p w14:paraId="2FD9629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07EE95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E7759F7">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73EA0458">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65"/>
                    <a:stretch>
                      <a:fillRect/>
                    </a:stretch>
                  </pic:blipFill>
                  <pic:spPr>
                    <a:xfrm>
                      <a:off x="0" y="0"/>
                      <a:ext cx="5490210" cy="1992743"/>
                    </a:xfrm>
                    <a:prstGeom prst="rect">
                      <a:avLst/>
                    </a:prstGeom>
                  </pic:spPr>
                </pic:pic>
              </a:graphicData>
            </a:graphic>
          </wp:inline>
        </w:drawing>
      </w:r>
    </w:p>
    <w:p w14:paraId="7045E2B1">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316CD82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33A66722">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6112C15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59B0FE7">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7FE9B7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AEB5255">
      <w:pPr>
        <w:pStyle w:val="7"/>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6"/>
                    <a:stretch>
                      <a:fillRect/>
                    </a:stretch>
                  </pic:blipFill>
                  <pic:spPr>
                    <a:xfrm>
                      <a:off x="0" y="0"/>
                      <a:ext cx="5490210" cy="2544669"/>
                    </a:xfrm>
                    <a:prstGeom prst="rect">
                      <a:avLst/>
                    </a:prstGeom>
                  </pic:spPr>
                </pic:pic>
              </a:graphicData>
            </a:graphic>
          </wp:inline>
        </w:drawing>
      </w:r>
    </w:p>
    <w:p w14:paraId="1E9BD3E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497B4BE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BB53FE">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6BD4F833">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7"/>
                    <a:stretch>
                      <a:fillRect/>
                    </a:stretch>
                  </pic:blipFill>
                  <pic:spPr>
                    <a:xfrm>
                      <a:off x="0" y="0"/>
                      <a:ext cx="5760085" cy="1956600"/>
                    </a:xfrm>
                    <a:prstGeom prst="rect">
                      <a:avLst/>
                    </a:prstGeom>
                  </pic:spPr>
                </pic:pic>
              </a:graphicData>
            </a:graphic>
          </wp:inline>
        </w:drawing>
      </w:r>
    </w:p>
    <w:p w14:paraId="5B6A21A5">
      <w:pPr>
        <w:pStyle w:val="16"/>
        <w:rPr>
          <w:rFonts w:hAnsi="宋体" w:eastAsia="宋体" w:cs="Times New Roman"/>
          <w:b/>
          <w:color w:val="000000"/>
          <w:sz w:val="24"/>
          <w:szCs w:val="24"/>
        </w:rPr>
      </w:pPr>
    </w:p>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altName w:val="黑体"/>
    <w:panose1 w:val="02000000000000000000"/>
    <w:charset w:val="86"/>
    <w:family w:val="script"/>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05399">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667C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B667C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D68EF">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649D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0B649D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89271">
    <w:pPr>
      <w:pStyle w:val="21"/>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CB3BC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5ACB3BC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A4F2E">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4239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04239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2EBE0">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462B7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9462B7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ED95B">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2E9E9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12E9E9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7B3B0">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288D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311288D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D5D1D">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6B5A9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A6B5A9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849E7">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83F43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4883F43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A0795">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A77EF">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12265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7B12265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B7CCB">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4F6A6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B4F6A6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9E7B6">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2AF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CB2AF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68</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144BE">
    <w:pPr>
      <w:spacing w:line="182" w:lineRule="auto"/>
      <w:ind w:left="6866"/>
      <w:rPr>
        <w:rFonts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D5505">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D2713">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F8C32">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C51A7">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9258D">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E059A">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049760">
                          <w:pPr>
                            <w:pStyle w:val="21"/>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58049760">
                    <w:pPr>
                      <w:pStyle w:val="21"/>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92C47">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08520">
                          <w:pPr>
                            <w:pStyle w:val="21"/>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7B308520">
                    <w:pPr>
                      <w:pStyle w:val="21"/>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44434">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46FF8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446FF8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AEED8">
    <w:pPr>
      <w:pStyle w:val="21"/>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77FC48">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177FC48">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FB986">
    <w:pPr>
      <w:pStyle w:val="21"/>
      <w:jc w:val="center"/>
    </w:pPr>
  </w:p>
  <w:p w14:paraId="70644666">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4541E">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4D4E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64D4E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BCC34">
    <w:pPr>
      <w:pStyle w:val="21"/>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FC1A0">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A29E03">
                          <w:pPr>
                            <w:pStyle w:val="21"/>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29A29E03">
                    <w:pPr>
                      <w:pStyle w:val="21"/>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DA1DF">
    <w:pPr>
      <w:pStyle w:val="2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FE78DD">
                          <w:pPr>
                            <w:pStyle w:val="21"/>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70FE78DD">
                    <w:pPr>
                      <w:pStyle w:val="21"/>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731EB">
    <w:pPr>
      <w:pStyle w:val="21"/>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EADD1F">
                          <w:pPr>
                            <w:pStyle w:val="21"/>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04EADD1F">
                    <w:pPr>
                      <w:pStyle w:val="21"/>
                    </w:pPr>
                    <w:r>
                      <w:fldChar w:fldCharType="begin"/>
                    </w:r>
                    <w:r>
                      <w:instrText xml:space="preserve"> PAGE  \* MERGEFORMAT </w:instrText>
                    </w:r>
                    <w:r>
                      <w:fldChar w:fldCharType="separate"/>
                    </w:r>
                    <w:r>
                      <w:t>35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C6DA1">
    <w:pPr>
      <w:pStyle w:val="2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C2B4F">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FAE92">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9F013">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D9DFE">
    <w:pPr>
      <w:pStyle w:val="2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9E2EF">
    <w:pPr>
      <w:pStyle w:val="22"/>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C944C">
    <w:pPr>
      <w:pStyle w:val="22"/>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8E3A9">
    <w:pPr>
      <w:pStyle w:val="2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50245">
    <w:pPr>
      <w:pStyle w:val="2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186EF">
    <w:pPr>
      <w:pStyle w:val="22"/>
    </w:pPr>
  </w:p>
  <w:p w14:paraId="066DB711">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0"/>
  </w:num>
  <w:num w:numId="3">
    <w:abstractNumId w:val="8"/>
  </w:num>
  <w:num w:numId="4">
    <w:abstractNumId w:val="4"/>
  </w:num>
  <w:num w:numId="5">
    <w:abstractNumId w:val="2"/>
  </w:num>
  <w:num w:numId="6">
    <w:abstractNumId w:val="6"/>
  </w:num>
  <w:num w:numId="7">
    <w:abstractNumId w:val="1"/>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JkNGQyNWM1MmMwNTBmZDE3MjE4NWEyZmQzODJiYmYifQ=="/>
    <w:docVar w:name="KSO_WPS_MARK_KEY" w:val="288773bf-0df4-413a-9f38-c1906dd68f40"/>
  </w:docVars>
  <w:rsids>
    <w:rsidRoot w:val="0056018A"/>
    <w:rsid w:val="000139F5"/>
    <w:rsid w:val="00022B06"/>
    <w:rsid w:val="00036836"/>
    <w:rsid w:val="00044EF2"/>
    <w:rsid w:val="00047AD5"/>
    <w:rsid w:val="0005777A"/>
    <w:rsid w:val="00065382"/>
    <w:rsid w:val="00080223"/>
    <w:rsid w:val="000A5309"/>
    <w:rsid w:val="000D6A51"/>
    <w:rsid w:val="000E3EA5"/>
    <w:rsid w:val="000F45A3"/>
    <w:rsid w:val="001C1EE3"/>
    <w:rsid w:val="001C713C"/>
    <w:rsid w:val="001D75B9"/>
    <w:rsid w:val="00200F05"/>
    <w:rsid w:val="00220056"/>
    <w:rsid w:val="002626ED"/>
    <w:rsid w:val="00265A40"/>
    <w:rsid w:val="00282FDE"/>
    <w:rsid w:val="0029130A"/>
    <w:rsid w:val="003176C9"/>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24233"/>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41BD"/>
    <w:rsid w:val="00AE6633"/>
    <w:rsid w:val="00B01FF1"/>
    <w:rsid w:val="00B72516"/>
    <w:rsid w:val="00B92C97"/>
    <w:rsid w:val="00BA3C70"/>
    <w:rsid w:val="00BB4E42"/>
    <w:rsid w:val="00BB6DCB"/>
    <w:rsid w:val="00BF0E19"/>
    <w:rsid w:val="00C01073"/>
    <w:rsid w:val="00C61417"/>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EE6D96"/>
    <w:rsid w:val="00F01A28"/>
    <w:rsid w:val="00F71720"/>
    <w:rsid w:val="00F9257D"/>
    <w:rsid w:val="00FA062A"/>
    <w:rsid w:val="00FD1083"/>
    <w:rsid w:val="00FE040F"/>
    <w:rsid w:val="00FE42B3"/>
    <w:rsid w:val="01081B3E"/>
    <w:rsid w:val="014832F2"/>
    <w:rsid w:val="014D51C1"/>
    <w:rsid w:val="01576403"/>
    <w:rsid w:val="01714809"/>
    <w:rsid w:val="01BB2C67"/>
    <w:rsid w:val="01C52478"/>
    <w:rsid w:val="022F2C26"/>
    <w:rsid w:val="02567262"/>
    <w:rsid w:val="027408EE"/>
    <w:rsid w:val="02963F39"/>
    <w:rsid w:val="0296734E"/>
    <w:rsid w:val="02B037A6"/>
    <w:rsid w:val="02B3095A"/>
    <w:rsid w:val="02BA7274"/>
    <w:rsid w:val="02F676C8"/>
    <w:rsid w:val="03251978"/>
    <w:rsid w:val="0325718A"/>
    <w:rsid w:val="032A08BF"/>
    <w:rsid w:val="03D567D9"/>
    <w:rsid w:val="041078B8"/>
    <w:rsid w:val="042921B6"/>
    <w:rsid w:val="043B72BB"/>
    <w:rsid w:val="04461EC1"/>
    <w:rsid w:val="04504B3F"/>
    <w:rsid w:val="04831DF5"/>
    <w:rsid w:val="04A3012C"/>
    <w:rsid w:val="04AD02B8"/>
    <w:rsid w:val="04DE51C8"/>
    <w:rsid w:val="04DF17D4"/>
    <w:rsid w:val="05000C0B"/>
    <w:rsid w:val="05174255"/>
    <w:rsid w:val="05412745"/>
    <w:rsid w:val="05491761"/>
    <w:rsid w:val="05515CC6"/>
    <w:rsid w:val="055D755A"/>
    <w:rsid w:val="058761A0"/>
    <w:rsid w:val="05A351AD"/>
    <w:rsid w:val="05F9748A"/>
    <w:rsid w:val="06266F78"/>
    <w:rsid w:val="063E7B7A"/>
    <w:rsid w:val="06582413"/>
    <w:rsid w:val="067E33B8"/>
    <w:rsid w:val="06AA3F72"/>
    <w:rsid w:val="06E82FCB"/>
    <w:rsid w:val="06F34B95"/>
    <w:rsid w:val="072858CC"/>
    <w:rsid w:val="07571DAC"/>
    <w:rsid w:val="07645CFB"/>
    <w:rsid w:val="07FC1127"/>
    <w:rsid w:val="08493425"/>
    <w:rsid w:val="0886328A"/>
    <w:rsid w:val="088A5513"/>
    <w:rsid w:val="08DD171B"/>
    <w:rsid w:val="08E64121"/>
    <w:rsid w:val="08EE34FB"/>
    <w:rsid w:val="091D420B"/>
    <w:rsid w:val="093D4FB7"/>
    <w:rsid w:val="093E2A38"/>
    <w:rsid w:val="0942017F"/>
    <w:rsid w:val="09480908"/>
    <w:rsid w:val="096473F5"/>
    <w:rsid w:val="096F3207"/>
    <w:rsid w:val="09BA1FBB"/>
    <w:rsid w:val="09CA2C4D"/>
    <w:rsid w:val="09CB139F"/>
    <w:rsid w:val="09D71932"/>
    <w:rsid w:val="0A0106F5"/>
    <w:rsid w:val="0A112AB7"/>
    <w:rsid w:val="0A447D68"/>
    <w:rsid w:val="0A4E5482"/>
    <w:rsid w:val="0AAA504A"/>
    <w:rsid w:val="0AC402B6"/>
    <w:rsid w:val="0AD71BC7"/>
    <w:rsid w:val="0ADB5CDD"/>
    <w:rsid w:val="0AF420EB"/>
    <w:rsid w:val="0AFB4013"/>
    <w:rsid w:val="0B2B2BF5"/>
    <w:rsid w:val="0B2F3908"/>
    <w:rsid w:val="0B3F6206"/>
    <w:rsid w:val="0B7E67EB"/>
    <w:rsid w:val="0B8C5B00"/>
    <w:rsid w:val="0BA070D0"/>
    <w:rsid w:val="0BE12DB6"/>
    <w:rsid w:val="0BE72997"/>
    <w:rsid w:val="0BFC6504"/>
    <w:rsid w:val="0C345AD1"/>
    <w:rsid w:val="0C552FCB"/>
    <w:rsid w:val="0C626CE4"/>
    <w:rsid w:val="0D08498F"/>
    <w:rsid w:val="0D0C2B7B"/>
    <w:rsid w:val="0D9308F8"/>
    <w:rsid w:val="0DE76C3D"/>
    <w:rsid w:val="0E1A1D85"/>
    <w:rsid w:val="0E3C75E8"/>
    <w:rsid w:val="0E6B26B6"/>
    <w:rsid w:val="0E750568"/>
    <w:rsid w:val="0E9C3C97"/>
    <w:rsid w:val="0EA55D13"/>
    <w:rsid w:val="0EBA2435"/>
    <w:rsid w:val="0EE1283B"/>
    <w:rsid w:val="0F0F31C4"/>
    <w:rsid w:val="0F2D7A80"/>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1F6117A"/>
    <w:rsid w:val="123B45F5"/>
    <w:rsid w:val="12491386"/>
    <w:rsid w:val="12DE232A"/>
    <w:rsid w:val="12E60579"/>
    <w:rsid w:val="12EB0F02"/>
    <w:rsid w:val="12FE34CD"/>
    <w:rsid w:val="13057392"/>
    <w:rsid w:val="13695B36"/>
    <w:rsid w:val="1372609F"/>
    <w:rsid w:val="138A301D"/>
    <w:rsid w:val="138E6D87"/>
    <w:rsid w:val="13CD6F8A"/>
    <w:rsid w:val="13D73572"/>
    <w:rsid w:val="141476FE"/>
    <w:rsid w:val="1449272D"/>
    <w:rsid w:val="14504752"/>
    <w:rsid w:val="145A6A37"/>
    <w:rsid w:val="1467440F"/>
    <w:rsid w:val="146B2014"/>
    <w:rsid w:val="147F6DAD"/>
    <w:rsid w:val="14846AB8"/>
    <w:rsid w:val="14E05B4D"/>
    <w:rsid w:val="14FA1F7A"/>
    <w:rsid w:val="15400323"/>
    <w:rsid w:val="15433A9B"/>
    <w:rsid w:val="15545B0C"/>
    <w:rsid w:val="159233F2"/>
    <w:rsid w:val="15BB45B7"/>
    <w:rsid w:val="15D346A7"/>
    <w:rsid w:val="15D93B67"/>
    <w:rsid w:val="15E9057E"/>
    <w:rsid w:val="15FC2F04"/>
    <w:rsid w:val="16181FAC"/>
    <w:rsid w:val="16450C97"/>
    <w:rsid w:val="16666C4E"/>
    <w:rsid w:val="168756A0"/>
    <w:rsid w:val="16F94849"/>
    <w:rsid w:val="17045E51"/>
    <w:rsid w:val="172011D4"/>
    <w:rsid w:val="17252C3B"/>
    <w:rsid w:val="173F0A2E"/>
    <w:rsid w:val="17770BC2"/>
    <w:rsid w:val="177A3491"/>
    <w:rsid w:val="17860E2F"/>
    <w:rsid w:val="17A119AA"/>
    <w:rsid w:val="17E85AC5"/>
    <w:rsid w:val="18104A8B"/>
    <w:rsid w:val="182E403B"/>
    <w:rsid w:val="18426B32"/>
    <w:rsid w:val="18586F2B"/>
    <w:rsid w:val="19A766B9"/>
    <w:rsid w:val="19B06735"/>
    <w:rsid w:val="19CE76BA"/>
    <w:rsid w:val="19F26070"/>
    <w:rsid w:val="19F97C8B"/>
    <w:rsid w:val="1A1523CE"/>
    <w:rsid w:val="1AA730BD"/>
    <w:rsid w:val="1B333D5D"/>
    <w:rsid w:val="1B400146"/>
    <w:rsid w:val="1B587618"/>
    <w:rsid w:val="1B5F19C7"/>
    <w:rsid w:val="1B84164C"/>
    <w:rsid w:val="1B847674"/>
    <w:rsid w:val="1C1C709B"/>
    <w:rsid w:val="1C4A05F8"/>
    <w:rsid w:val="1C4F6795"/>
    <w:rsid w:val="1C687BA8"/>
    <w:rsid w:val="1C7723C1"/>
    <w:rsid w:val="1C9F6814"/>
    <w:rsid w:val="1CA7399C"/>
    <w:rsid w:val="1D5C514E"/>
    <w:rsid w:val="1D865D14"/>
    <w:rsid w:val="1D8705EC"/>
    <w:rsid w:val="1DBE0159"/>
    <w:rsid w:val="1DEC0E7D"/>
    <w:rsid w:val="1DF779ED"/>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20107567"/>
    <w:rsid w:val="20313E48"/>
    <w:rsid w:val="204E750E"/>
    <w:rsid w:val="208244E5"/>
    <w:rsid w:val="20AB56C6"/>
    <w:rsid w:val="20E21F80"/>
    <w:rsid w:val="21547789"/>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B01277"/>
    <w:rsid w:val="236356D1"/>
    <w:rsid w:val="23672FA4"/>
    <w:rsid w:val="23A45F21"/>
    <w:rsid w:val="23A91C83"/>
    <w:rsid w:val="23C962E8"/>
    <w:rsid w:val="243F7403"/>
    <w:rsid w:val="247E4FED"/>
    <w:rsid w:val="24AD78E0"/>
    <w:rsid w:val="24B30BE8"/>
    <w:rsid w:val="24BC5AD3"/>
    <w:rsid w:val="24E10292"/>
    <w:rsid w:val="24E34060"/>
    <w:rsid w:val="253A0491"/>
    <w:rsid w:val="254E0478"/>
    <w:rsid w:val="259322B4"/>
    <w:rsid w:val="25AF6361"/>
    <w:rsid w:val="25C50504"/>
    <w:rsid w:val="25E036B2"/>
    <w:rsid w:val="25E75BA2"/>
    <w:rsid w:val="25E9082A"/>
    <w:rsid w:val="25F42473"/>
    <w:rsid w:val="260A0FF9"/>
    <w:rsid w:val="26436BD4"/>
    <w:rsid w:val="265C2AE3"/>
    <w:rsid w:val="269C17B8"/>
    <w:rsid w:val="26AF2D79"/>
    <w:rsid w:val="26B34B91"/>
    <w:rsid w:val="26ED706D"/>
    <w:rsid w:val="26F853FE"/>
    <w:rsid w:val="26F92E80"/>
    <w:rsid w:val="270D66E8"/>
    <w:rsid w:val="27514612"/>
    <w:rsid w:val="278B0DAB"/>
    <w:rsid w:val="278D3850"/>
    <w:rsid w:val="279C6B0E"/>
    <w:rsid w:val="27A64735"/>
    <w:rsid w:val="27CC4DF2"/>
    <w:rsid w:val="27FC39A7"/>
    <w:rsid w:val="280D64D7"/>
    <w:rsid w:val="281864F2"/>
    <w:rsid w:val="28341582"/>
    <w:rsid w:val="283D5C30"/>
    <w:rsid w:val="28634650"/>
    <w:rsid w:val="286903EF"/>
    <w:rsid w:val="287F5DD3"/>
    <w:rsid w:val="288047CB"/>
    <w:rsid w:val="289E62FA"/>
    <w:rsid w:val="28DB3015"/>
    <w:rsid w:val="28FD6E90"/>
    <w:rsid w:val="291E2CA6"/>
    <w:rsid w:val="29331862"/>
    <w:rsid w:val="29606AF1"/>
    <w:rsid w:val="299741EC"/>
    <w:rsid w:val="299E147F"/>
    <w:rsid w:val="29B72BFE"/>
    <w:rsid w:val="29C32A87"/>
    <w:rsid w:val="29CF26DC"/>
    <w:rsid w:val="29FB0EEE"/>
    <w:rsid w:val="2A1C5DA0"/>
    <w:rsid w:val="2A200D39"/>
    <w:rsid w:val="2A507EFF"/>
    <w:rsid w:val="2A5F2FA3"/>
    <w:rsid w:val="2AAB37D0"/>
    <w:rsid w:val="2ADC05A4"/>
    <w:rsid w:val="2AEF2177"/>
    <w:rsid w:val="2B0B6B2D"/>
    <w:rsid w:val="2B46348F"/>
    <w:rsid w:val="2B5E3CCB"/>
    <w:rsid w:val="2B6F0D7F"/>
    <w:rsid w:val="2B8716BD"/>
    <w:rsid w:val="2B8B76FF"/>
    <w:rsid w:val="2BA07020"/>
    <w:rsid w:val="2BB97F4A"/>
    <w:rsid w:val="2BD5034F"/>
    <w:rsid w:val="2BF77A2F"/>
    <w:rsid w:val="2C370819"/>
    <w:rsid w:val="2C5F3D9D"/>
    <w:rsid w:val="2C61165D"/>
    <w:rsid w:val="2C88731E"/>
    <w:rsid w:val="2CF85053"/>
    <w:rsid w:val="2D002B75"/>
    <w:rsid w:val="2D025012"/>
    <w:rsid w:val="2D2B45A9"/>
    <w:rsid w:val="2D4178F0"/>
    <w:rsid w:val="2DAE631A"/>
    <w:rsid w:val="2DD877E0"/>
    <w:rsid w:val="2DE616C9"/>
    <w:rsid w:val="2DFC2451"/>
    <w:rsid w:val="2E3422F8"/>
    <w:rsid w:val="2E6E566D"/>
    <w:rsid w:val="2E7F188E"/>
    <w:rsid w:val="2E81758A"/>
    <w:rsid w:val="2EBC0905"/>
    <w:rsid w:val="2EC73739"/>
    <w:rsid w:val="2EFB1B0E"/>
    <w:rsid w:val="2F5C684F"/>
    <w:rsid w:val="2F63756E"/>
    <w:rsid w:val="2F933A9E"/>
    <w:rsid w:val="2FA45F37"/>
    <w:rsid w:val="2FAE20C9"/>
    <w:rsid w:val="2FBF7DE5"/>
    <w:rsid w:val="3032101E"/>
    <w:rsid w:val="306927FC"/>
    <w:rsid w:val="307776D1"/>
    <w:rsid w:val="307B2717"/>
    <w:rsid w:val="30862574"/>
    <w:rsid w:val="30B631E1"/>
    <w:rsid w:val="30C05531"/>
    <w:rsid w:val="30E57BC8"/>
    <w:rsid w:val="311933AA"/>
    <w:rsid w:val="31414A5E"/>
    <w:rsid w:val="315B788A"/>
    <w:rsid w:val="315E658D"/>
    <w:rsid w:val="3168109A"/>
    <w:rsid w:val="317D15BB"/>
    <w:rsid w:val="31D07E6C"/>
    <w:rsid w:val="323F65DA"/>
    <w:rsid w:val="32412074"/>
    <w:rsid w:val="32674F4D"/>
    <w:rsid w:val="32DE0199"/>
    <w:rsid w:val="333C2963"/>
    <w:rsid w:val="335B2774"/>
    <w:rsid w:val="338B331E"/>
    <w:rsid w:val="33A20D45"/>
    <w:rsid w:val="33A4642E"/>
    <w:rsid w:val="33D1020F"/>
    <w:rsid w:val="33D4039C"/>
    <w:rsid w:val="33D47E05"/>
    <w:rsid w:val="33EC194A"/>
    <w:rsid w:val="3413677D"/>
    <w:rsid w:val="342B544B"/>
    <w:rsid w:val="344B402F"/>
    <w:rsid w:val="345E036E"/>
    <w:rsid w:val="34C47852"/>
    <w:rsid w:val="34DE1E4F"/>
    <w:rsid w:val="34F07DB1"/>
    <w:rsid w:val="35216C38"/>
    <w:rsid w:val="35486AF7"/>
    <w:rsid w:val="359009FB"/>
    <w:rsid w:val="35D354B8"/>
    <w:rsid w:val="35D4025C"/>
    <w:rsid w:val="36063A32"/>
    <w:rsid w:val="362666BC"/>
    <w:rsid w:val="36445A95"/>
    <w:rsid w:val="368A6B11"/>
    <w:rsid w:val="36A238B1"/>
    <w:rsid w:val="37085B1F"/>
    <w:rsid w:val="37103EE5"/>
    <w:rsid w:val="372E04CB"/>
    <w:rsid w:val="37317C9C"/>
    <w:rsid w:val="38E070F2"/>
    <w:rsid w:val="390D33AB"/>
    <w:rsid w:val="391E6D06"/>
    <w:rsid w:val="39DC5BB6"/>
    <w:rsid w:val="39F1031B"/>
    <w:rsid w:val="3A074847"/>
    <w:rsid w:val="3A830B2E"/>
    <w:rsid w:val="3AA90FE6"/>
    <w:rsid w:val="3AA9318F"/>
    <w:rsid w:val="3AB62DA0"/>
    <w:rsid w:val="3AD04447"/>
    <w:rsid w:val="3AEA41B5"/>
    <w:rsid w:val="3B414BC4"/>
    <w:rsid w:val="3B69577B"/>
    <w:rsid w:val="3B702D85"/>
    <w:rsid w:val="3B7905A1"/>
    <w:rsid w:val="3B7D3FD5"/>
    <w:rsid w:val="3B823DDF"/>
    <w:rsid w:val="3BD827B4"/>
    <w:rsid w:val="3C237ED3"/>
    <w:rsid w:val="3C317D4F"/>
    <w:rsid w:val="3C4D2D59"/>
    <w:rsid w:val="3CAA596A"/>
    <w:rsid w:val="3CAF1D22"/>
    <w:rsid w:val="3CB1587B"/>
    <w:rsid w:val="3CB735F2"/>
    <w:rsid w:val="3CFC4E99"/>
    <w:rsid w:val="3D186684"/>
    <w:rsid w:val="3D363C36"/>
    <w:rsid w:val="3D68584E"/>
    <w:rsid w:val="3D8B2178"/>
    <w:rsid w:val="3DB34909"/>
    <w:rsid w:val="3DCA67EC"/>
    <w:rsid w:val="3DD115F5"/>
    <w:rsid w:val="3DE435F0"/>
    <w:rsid w:val="3DE5122C"/>
    <w:rsid w:val="3DF37E53"/>
    <w:rsid w:val="3E1768EB"/>
    <w:rsid w:val="3E212A7E"/>
    <w:rsid w:val="3E47743A"/>
    <w:rsid w:val="3EB70D31"/>
    <w:rsid w:val="3ED26DE9"/>
    <w:rsid w:val="3EED17D0"/>
    <w:rsid w:val="3F052CF0"/>
    <w:rsid w:val="3F0C0304"/>
    <w:rsid w:val="3F2A7DE0"/>
    <w:rsid w:val="3F774839"/>
    <w:rsid w:val="3FEC147E"/>
    <w:rsid w:val="400D1324"/>
    <w:rsid w:val="40111F29"/>
    <w:rsid w:val="401A01BA"/>
    <w:rsid w:val="40376375"/>
    <w:rsid w:val="407D0E43"/>
    <w:rsid w:val="40980F08"/>
    <w:rsid w:val="40C83C56"/>
    <w:rsid w:val="40E340D5"/>
    <w:rsid w:val="40F3251B"/>
    <w:rsid w:val="412732B7"/>
    <w:rsid w:val="4127791F"/>
    <w:rsid w:val="41281794"/>
    <w:rsid w:val="413C1FDF"/>
    <w:rsid w:val="41806A69"/>
    <w:rsid w:val="41980AAB"/>
    <w:rsid w:val="41A40141"/>
    <w:rsid w:val="41B0259C"/>
    <w:rsid w:val="41BC6F1C"/>
    <w:rsid w:val="41EF2363"/>
    <w:rsid w:val="41F77860"/>
    <w:rsid w:val="424A4B98"/>
    <w:rsid w:val="424F27D8"/>
    <w:rsid w:val="42581D3A"/>
    <w:rsid w:val="429C4E56"/>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5316885"/>
    <w:rsid w:val="459B1F40"/>
    <w:rsid w:val="45A95EE9"/>
    <w:rsid w:val="45EA5542"/>
    <w:rsid w:val="45FB0F21"/>
    <w:rsid w:val="46130905"/>
    <w:rsid w:val="46167166"/>
    <w:rsid w:val="4636719A"/>
    <w:rsid w:val="463A65C6"/>
    <w:rsid w:val="464858DB"/>
    <w:rsid w:val="4650656B"/>
    <w:rsid w:val="46685E10"/>
    <w:rsid w:val="46D73EC6"/>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A10D21"/>
    <w:rsid w:val="48B9571B"/>
    <w:rsid w:val="48DB38E3"/>
    <w:rsid w:val="49001B5E"/>
    <w:rsid w:val="4904108C"/>
    <w:rsid w:val="493443AD"/>
    <w:rsid w:val="49376DB0"/>
    <w:rsid w:val="493D4634"/>
    <w:rsid w:val="49551CDB"/>
    <w:rsid w:val="49605AEE"/>
    <w:rsid w:val="497E3057"/>
    <w:rsid w:val="49804BB7"/>
    <w:rsid w:val="49826DCB"/>
    <w:rsid w:val="499013E7"/>
    <w:rsid w:val="49C8088A"/>
    <w:rsid w:val="49F031DE"/>
    <w:rsid w:val="49F772E6"/>
    <w:rsid w:val="4A0F6D68"/>
    <w:rsid w:val="4A301C93"/>
    <w:rsid w:val="4A3302AB"/>
    <w:rsid w:val="4A4C47F2"/>
    <w:rsid w:val="4A572A17"/>
    <w:rsid w:val="4A6F2535"/>
    <w:rsid w:val="4A7224B3"/>
    <w:rsid w:val="4A7706DB"/>
    <w:rsid w:val="4A901A63"/>
    <w:rsid w:val="4A9C5875"/>
    <w:rsid w:val="4AC85D49"/>
    <w:rsid w:val="4ACD18C8"/>
    <w:rsid w:val="4AE308A9"/>
    <w:rsid w:val="4B260F2D"/>
    <w:rsid w:val="4B4F7F5C"/>
    <w:rsid w:val="4B9A1456"/>
    <w:rsid w:val="4BA32C82"/>
    <w:rsid w:val="4BB67869"/>
    <w:rsid w:val="4BDB6202"/>
    <w:rsid w:val="4BE70627"/>
    <w:rsid w:val="4C0A5AE1"/>
    <w:rsid w:val="4C130AB8"/>
    <w:rsid w:val="4C5A284D"/>
    <w:rsid w:val="4C5C0673"/>
    <w:rsid w:val="4C8B531F"/>
    <w:rsid w:val="4CB96B43"/>
    <w:rsid w:val="4CC61682"/>
    <w:rsid w:val="4CC75FCC"/>
    <w:rsid w:val="4CC87A5E"/>
    <w:rsid w:val="4CD63947"/>
    <w:rsid w:val="4CFC49F4"/>
    <w:rsid w:val="4D0314E7"/>
    <w:rsid w:val="4D073D73"/>
    <w:rsid w:val="4D1E27BA"/>
    <w:rsid w:val="4D23574A"/>
    <w:rsid w:val="4D4C4DB0"/>
    <w:rsid w:val="4D7322D5"/>
    <w:rsid w:val="4DD7034C"/>
    <w:rsid w:val="4DE312CB"/>
    <w:rsid w:val="4DF5318E"/>
    <w:rsid w:val="4E0D199A"/>
    <w:rsid w:val="4E0E0BAE"/>
    <w:rsid w:val="4E1F4862"/>
    <w:rsid w:val="4E2E4393"/>
    <w:rsid w:val="4E4478F5"/>
    <w:rsid w:val="4E535EF2"/>
    <w:rsid w:val="4F08773C"/>
    <w:rsid w:val="4F31409F"/>
    <w:rsid w:val="4F391107"/>
    <w:rsid w:val="4F3B50DC"/>
    <w:rsid w:val="4F5E670E"/>
    <w:rsid w:val="4F846A83"/>
    <w:rsid w:val="50070E2C"/>
    <w:rsid w:val="50093D5E"/>
    <w:rsid w:val="501112F3"/>
    <w:rsid w:val="504B57F2"/>
    <w:rsid w:val="50514152"/>
    <w:rsid w:val="50850D04"/>
    <w:rsid w:val="50C5433A"/>
    <w:rsid w:val="50C62BC7"/>
    <w:rsid w:val="50C879B4"/>
    <w:rsid w:val="50D40EA8"/>
    <w:rsid w:val="50F72A66"/>
    <w:rsid w:val="5123368C"/>
    <w:rsid w:val="51291C37"/>
    <w:rsid w:val="5130747C"/>
    <w:rsid w:val="515C765A"/>
    <w:rsid w:val="5175182D"/>
    <w:rsid w:val="51905BB3"/>
    <w:rsid w:val="51922560"/>
    <w:rsid w:val="51946FCB"/>
    <w:rsid w:val="51DD796B"/>
    <w:rsid w:val="51DF373B"/>
    <w:rsid w:val="52A511EA"/>
    <w:rsid w:val="52EF4CB5"/>
    <w:rsid w:val="52F959F0"/>
    <w:rsid w:val="5302488E"/>
    <w:rsid w:val="530323B4"/>
    <w:rsid w:val="53136173"/>
    <w:rsid w:val="534B12B7"/>
    <w:rsid w:val="539A4AC7"/>
    <w:rsid w:val="53F86552"/>
    <w:rsid w:val="542631B6"/>
    <w:rsid w:val="542B7CA6"/>
    <w:rsid w:val="5447483C"/>
    <w:rsid w:val="544D14DF"/>
    <w:rsid w:val="547748A2"/>
    <w:rsid w:val="54942CAE"/>
    <w:rsid w:val="54A61722"/>
    <w:rsid w:val="54B31FAF"/>
    <w:rsid w:val="54DC2048"/>
    <w:rsid w:val="550C502E"/>
    <w:rsid w:val="55224E1C"/>
    <w:rsid w:val="55326D63"/>
    <w:rsid w:val="555D1A10"/>
    <w:rsid w:val="55963292"/>
    <w:rsid w:val="55B72CB0"/>
    <w:rsid w:val="55C300FC"/>
    <w:rsid w:val="55E8347F"/>
    <w:rsid w:val="55E90F00"/>
    <w:rsid w:val="56AC4A78"/>
    <w:rsid w:val="56B55151"/>
    <w:rsid w:val="56DB16B9"/>
    <w:rsid w:val="57435CBA"/>
    <w:rsid w:val="577A3463"/>
    <w:rsid w:val="57B35F6D"/>
    <w:rsid w:val="57BE1D80"/>
    <w:rsid w:val="57F967AD"/>
    <w:rsid w:val="58052975"/>
    <w:rsid w:val="581D7A74"/>
    <w:rsid w:val="58346163"/>
    <w:rsid w:val="584D1A65"/>
    <w:rsid w:val="584F5C44"/>
    <w:rsid w:val="58A96885"/>
    <w:rsid w:val="58B8581B"/>
    <w:rsid w:val="58E525CA"/>
    <w:rsid w:val="58EE7372"/>
    <w:rsid w:val="58FD7D40"/>
    <w:rsid w:val="592B5B5A"/>
    <w:rsid w:val="593D045A"/>
    <w:rsid w:val="5960739E"/>
    <w:rsid w:val="59896D0A"/>
    <w:rsid w:val="599226DC"/>
    <w:rsid w:val="599D6D92"/>
    <w:rsid w:val="59B72684"/>
    <w:rsid w:val="59BA4144"/>
    <w:rsid w:val="59F861A7"/>
    <w:rsid w:val="5A9579AE"/>
    <w:rsid w:val="5AC468CD"/>
    <w:rsid w:val="5AC558FB"/>
    <w:rsid w:val="5B342B9A"/>
    <w:rsid w:val="5B5953B0"/>
    <w:rsid w:val="5B630802"/>
    <w:rsid w:val="5B746998"/>
    <w:rsid w:val="5B807F68"/>
    <w:rsid w:val="5BA72CE5"/>
    <w:rsid w:val="5BE61256"/>
    <w:rsid w:val="5C034D53"/>
    <w:rsid w:val="5C0A43A9"/>
    <w:rsid w:val="5C41066B"/>
    <w:rsid w:val="5C620B9F"/>
    <w:rsid w:val="5C79798F"/>
    <w:rsid w:val="5C7F2AAC"/>
    <w:rsid w:val="5CDA5F34"/>
    <w:rsid w:val="5D0E2082"/>
    <w:rsid w:val="5D161948"/>
    <w:rsid w:val="5D722852"/>
    <w:rsid w:val="5E1D6F56"/>
    <w:rsid w:val="5E52187F"/>
    <w:rsid w:val="5E6A13CD"/>
    <w:rsid w:val="5E705D15"/>
    <w:rsid w:val="5E93326C"/>
    <w:rsid w:val="5E9F1A7A"/>
    <w:rsid w:val="5EAB5261"/>
    <w:rsid w:val="5EAF3818"/>
    <w:rsid w:val="5EE62ABD"/>
    <w:rsid w:val="5EFB4BA4"/>
    <w:rsid w:val="5EFD23AE"/>
    <w:rsid w:val="5F025452"/>
    <w:rsid w:val="5F5F46B5"/>
    <w:rsid w:val="5FB25360"/>
    <w:rsid w:val="5FBA3CC0"/>
    <w:rsid w:val="5FD90D61"/>
    <w:rsid w:val="60177697"/>
    <w:rsid w:val="602329DB"/>
    <w:rsid w:val="607777D6"/>
    <w:rsid w:val="60B34B89"/>
    <w:rsid w:val="60BC76A1"/>
    <w:rsid w:val="610B7637"/>
    <w:rsid w:val="612279BA"/>
    <w:rsid w:val="614D1FB2"/>
    <w:rsid w:val="615F5624"/>
    <w:rsid w:val="616014D4"/>
    <w:rsid w:val="61D215CF"/>
    <w:rsid w:val="62042FA0"/>
    <w:rsid w:val="62414951"/>
    <w:rsid w:val="625901AB"/>
    <w:rsid w:val="625C563D"/>
    <w:rsid w:val="626A1704"/>
    <w:rsid w:val="627921C2"/>
    <w:rsid w:val="62B362C8"/>
    <w:rsid w:val="62C1330E"/>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44632F"/>
    <w:rsid w:val="656B2909"/>
    <w:rsid w:val="6598607C"/>
    <w:rsid w:val="659A2704"/>
    <w:rsid w:val="65A3045D"/>
    <w:rsid w:val="65D5369F"/>
    <w:rsid w:val="65D97752"/>
    <w:rsid w:val="65E25E59"/>
    <w:rsid w:val="66174109"/>
    <w:rsid w:val="6617798C"/>
    <w:rsid w:val="66307F76"/>
    <w:rsid w:val="66580EAF"/>
    <w:rsid w:val="66694D0D"/>
    <w:rsid w:val="667B4472"/>
    <w:rsid w:val="66F041A8"/>
    <w:rsid w:val="6721178A"/>
    <w:rsid w:val="6739399A"/>
    <w:rsid w:val="673F39DE"/>
    <w:rsid w:val="674C5D22"/>
    <w:rsid w:val="67663AF8"/>
    <w:rsid w:val="677243C5"/>
    <w:rsid w:val="67762CFD"/>
    <w:rsid w:val="67762DCB"/>
    <w:rsid w:val="677A678D"/>
    <w:rsid w:val="678C2D71"/>
    <w:rsid w:val="67A17493"/>
    <w:rsid w:val="67D30B32"/>
    <w:rsid w:val="68011379"/>
    <w:rsid w:val="68252C37"/>
    <w:rsid w:val="6836320A"/>
    <w:rsid w:val="6855023B"/>
    <w:rsid w:val="68673E5E"/>
    <w:rsid w:val="68803F1E"/>
    <w:rsid w:val="68817BAC"/>
    <w:rsid w:val="689A5E59"/>
    <w:rsid w:val="68A94E70"/>
    <w:rsid w:val="68AB31C8"/>
    <w:rsid w:val="68EB61B0"/>
    <w:rsid w:val="68EE72DF"/>
    <w:rsid w:val="68FE51D1"/>
    <w:rsid w:val="690B4C92"/>
    <w:rsid w:val="69485FEA"/>
    <w:rsid w:val="69677DC0"/>
    <w:rsid w:val="69937EC7"/>
    <w:rsid w:val="699A504F"/>
    <w:rsid w:val="69D64558"/>
    <w:rsid w:val="6A042548"/>
    <w:rsid w:val="6A0D2242"/>
    <w:rsid w:val="6A0F720C"/>
    <w:rsid w:val="6A146F17"/>
    <w:rsid w:val="6A244C92"/>
    <w:rsid w:val="6A471EFD"/>
    <w:rsid w:val="6AB57116"/>
    <w:rsid w:val="6B17424A"/>
    <w:rsid w:val="6B2218FA"/>
    <w:rsid w:val="6B5A722E"/>
    <w:rsid w:val="6B686C59"/>
    <w:rsid w:val="6B691672"/>
    <w:rsid w:val="6B8C3281"/>
    <w:rsid w:val="6BCA2D65"/>
    <w:rsid w:val="6BE97F42"/>
    <w:rsid w:val="6BEB29A1"/>
    <w:rsid w:val="6C5660C1"/>
    <w:rsid w:val="6C5E6A51"/>
    <w:rsid w:val="6C6513C3"/>
    <w:rsid w:val="6C744268"/>
    <w:rsid w:val="6C913746"/>
    <w:rsid w:val="6C9D0B3F"/>
    <w:rsid w:val="6CD62D03"/>
    <w:rsid w:val="6CD97FB6"/>
    <w:rsid w:val="6D0B1173"/>
    <w:rsid w:val="6D0E5050"/>
    <w:rsid w:val="6D4B22B8"/>
    <w:rsid w:val="6D930013"/>
    <w:rsid w:val="6DA51372"/>
    <w:rsid w:val="6DB53B8B"/>
    <w:rsid w:val="6DBA5A94"/>
    <w:rsid w:val="6E1A1656"/>
    <w:rsid w:val="6E231DD6"/>
    <w:rsid w:val="6E5A5288"/>
    <w:rsid w:val="6EE013EE"/>
    <w:rsid w:val="6EE079F1"/>
    <w:rsid w:val="6EE42C42"/>
    <w:rsid w:val="6F143527"/>
    <w:rsid w:val="6F7F7CB0"/>
    <w:rsid w:val="6FE0165C"/>
    <w:rsid w:val="6FE10C44"/>
    <w:rsid w:val="70222744"/>
    <w:rsid w:val="70616C6C"/>
    <w:rsid w:val="706D25DF"/>
    <w:rsid w:val="706D2B21"/>
    <w:rsid w:val="707B1384"/>
    <w:rsid w:val="70857A34"/>
    <w:rsid w:val="70985D3C"/>
    <w:rsid w:val="70C52655"/>
    <w:rsid w:val="70FD625F"/>
    <w:rsid w:val="71047C73"/>
    <w:rsid w:val="7109004F"/>
    <w:rsid w:val="71103167"/>
    <w:rsid w:val="71211E57"/>
    <w:rsid w:val="712E56F7"/>
    <w:rsid w:val="713954C7"/>
    <w:rsid w:val="71691ABB"/>
    <w:rsid w:val="718D0958"/>
    <w:rsid w:val="71AE1AEA"/>
    <w:rsid w:val="71CF3B6C"/>
    <w:rsid w:val="71F80F33"/>
    <w:rsid w:val="722922C6"/>
    <w:rsid w:val="72367C59"/>
    <w:rsid w:val="723C5278"/>
    <w:rsid w:val="723F4D5F"/>
    <w:rsid w:val="72532C9F"/>
    <w:rsid w:val="727176A7"/>
    <w:rsid w:val="72CB03A1"/>
    <w:rsid w:val="73047240"/>
    <w:rsid w:val="730F5864"/>
    <w:rsid w:val="732D4B5D"/>
    <w:rsid w:val="73393C88"/>
    <w:rsid w:val="7362513F"/>
    <w:rsid w:val="736612A1"/>
    <w:rsid w:val="73771D49"/>
    <w:rsid w:val="73846894"/>
    <w:rsid w:val="738B299C"/>
    <w:rsid w:val="73A1354E"/>
    <w:rsid w:val="73CB7009"/>
    <w:rsid w:val="73F12089"/>
    <w:rsid w:val="73FE05FF"/>
    <w:rsid w:val="73FE4ED9"/>
    <w:rsid w:val="743D3AC4"/>
    <w:rsid w:val="747D20BB"/>
    <w:rsid w:val="74A11E7D"/>
    <w:rsid w:val="74AE727B"/>
    <w:rsid w:val="74EC1DD5"/>
    <w:rsid w:val="75590B0A"/>
    <w:rsid w:val="758075D4"/>
    <w:rsid w:val="7582279F"/>
    <w:rsid w:val="75843EB5"/>
    <w:rsid w:val="75BB71AF"/>
    <w:rsid w:val="75F01962"/>
    <w:rsid w:val="760E19DF"/>
    <w:rsid w:val="762A586E"/>
    <w:rsid w:val="764E52E0"/>
    <w:rsid w:val="76557F3E"/>
    <w:rsid w:val="76676A53"/>
    <w:rsid w:val="76A3294D"/>
    <w:rsid w:val="76B620A1"/>
    <w:rsid w:val="76D0016F"/>
    <w:rsid w:val="76E51777"/>
    <w:rsid w:val="76F20814"/>
    <w:rsid w:val="77050D7C"/>
    <w:rsid w:val="77462524"/>
    <w:rsid w:val="77854826"/>
    <w:rsid w:val="779A6594"/>
    <w:rsid w:val="77A21064"/>
    <w:rsid w:val="77E34EB2"/>
    <w:rsid w:val="781564B8"/>
    <w:rsid w:val="78224ACF"/>
    <w:rsid w:val="783751ED"/>
    <w:rsid w:val="78C7099A"/>
    <w:rsid w:val="78CD6DCC"/>
    <w:rsid w:val="78D07CAF"/>
    <w:rsid w:val="78DE12D7"/>
    <w:rsid w:val="79055F9C"/>
    <w:rsid w:val="79202AC9"/>
    <w:rsid w:val="79210683"/>
    <w:rsid w:val="79535D1B"/>
    <w:rsid w:val="796A5940"/>
    <w:rsid w:val="79936B04"/>
    <w:rsid w:val="799C3465"/>
    <w:rsid w:val="79B14EC4"/>
    <w:rsid w:val="7A2A6B4A"/>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C0562EC"/>
    <w:rsid w:val="7C067A45"/>
    <w:rsid w:val="7C0B2A10"/>
    <w:rsid w:val="7C27683F"/>
    <w:rsid w:val="7CAE2219"/>
    <w:rsid w:val="7CB14B4D"/>
    <w:rsid w:val="7CF26969"/>
    <w:rsid w:val="7D25523C"/>
    <w:rsid w:val="7D2953E6"/>
    <w:rsid w:val="7D7A3EEC"/>
    <w:rsid w:val="7DAA6C39"/>
    <w:rsid w:val="7DB23041"/>
    <w:rsid w:val="7DD86484"/>
    <w:rsid w:val="7E163D6A"/>
    <w:rsid w:val="7E2120FB"/>
    <w:rsid w:val="7E412630"/>
    <w:rsid w:val="7E5F7809"/>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47"/>
    <w:autoRedefine/>
    <w:qFormat/>
    <w:uiPriority w:val="9"/>
    <w:pPr>
      <w:keepNext/>
      <w:keepLines/>
      <w:jc w:val="center"/>
      <w:outlineLvl w:val="0"/>
    </w:pPr>
    <w:rPr>
      <w:b/>
      <w:bCs/>
      <w:kern w:val="44"/>
      <w:sz w:val="36"/>
      <w:szCs w:val="44"/>
    </w:rPr>
  </w:style>
  <w:style w:type="paragraph" w:styleId="5">
    <w:name w:val="heading 2"/>
    <w:basedOn w:val="1"/>
    <w:next w:val="1"/>
    <w:link w:val="48"/>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49"/>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character" w:default="1" w:styleId="38">
    <w:name w:val="Default Paragraph Font"/>
    <w:semiHidden/>
    <w:unhideWhenUsed/>
    <w:uiPriority w:val="1"/>
  </w:style>
  <w:style w:type="table" w:default="1" w:styleId="36">
    <w:name w:val="Normal Table"/>
    <w:semiHidden/>
    <w:unhideWhenUsed/>
    <w:uiPriority w:val="99"/>
    <w:tblPr>
      <w:tblCellMar>
        <w:top w:w="0" w:type="dxa"/>
        <w:left w:w="108" w:type="dxa"/>
        <w:bottom w:w="0" w:type="dxa"/>
        <w:right w:w="108" w:type="dxa"/>
      </w:tblCellMar>
    </w:tblPr>
  </w:style>
  <w:style w:type="paragraph" w:styleId="2">
    <w:name w:val="Body Text"/>
    <w:basedOn w:val="1"/>
    <w:next w:val="3"/>
    <w:link w:val="82"/>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3">
    <w:name w:val="Body Text Indent"/>
    <w:basedOn w:val="1"/>
    <w:link w:val="79"/>
    <w:qFormat/>
    <w:uiPriority w:val="99"/>
    <w:pPr>
      <w:spacing w:after="120"/>
      <w:ind w:left="420" w:leftChars="200"/>
    </w:pPr>
    <w:rPr>
      <w:rFonts w:ascii="Calibri" w:hAnsi="Calibri" w:eastAsia="宋体" w:cs="Times New Roman"/>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70"/>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1"/>
    <w:qFormat/>
    <w:uiPriority w:val="0"/>
    <w:pPr>
      <w:jc w:val="left"/>
    </w:p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2"/>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3"/>
    <w:qFormat/>
    <w:uiPriority w:val="0"/>
    <w:pPr>
      <w:ind w:left="100" w:leftChars="2500"/>
    </w:pPr>
    <w:rPr>
      <w:sz w:val="24"/>
    </w:rPr>
  </w:style>
  <w:style w:type="paragraph" w:styleId="19">
    <w:name w:val="Body Text Indent 2"/>
    <w:basedOn w:val="1"/>
    <w:link w:val="51"/>
    <w:qFormat/>
    <w:uiPriority w:val="0"/>
    <w:pPr>
      <w:spacing w:after="120" w:line="480" w:lineRule="auto"/>
      <w:ind w:left="420" w:leftChars="200"/>
    </w:pPr>
  </w:style>
  <w:style w:type="paragraph" w:styleId="20">
    <w:name w:val="Balloon Text"/>
    <w:basedOn w:val="1"/>
    <w:link w:val="67"/>
    <w:qFormat/>
    <w:uiPriority w:val="0"/>
    <w:rPr>
      <w:sz w:val="18"/>
    </w:rPr>
  </w:style>
  <w:style w:type="paragraph" w:styleId="21">
    <w:name w:val="footer"/>
    <w:basedOn w:val="1"/>
    <w:link w:val="73"/>
    <w:qFormat/>
    <w:uiPriority w:val="99"/>
    <w:pPr>
      <w:tabs>
        <w:tab w:val="center" w:pos="4153"/>
        <w:tab w:val="right" w:pos="8306"/>
      </w:tabs>
      <w:snapToGrid w:val="0"/>
      <w:jc w:val="left"/>
    </w:pPr>
    <w:rPr>
      <w:sz w:val="18"/>
    </w:rPr>
  </w:style>
  <w:style w:type="paragraph" w:styleId="22">
    <w:name w:val="header"/>
    <w:basedOn w:val="1"/>
    <w:link w:val="59"/>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3"/>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2"/>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2"/>
    <w:next w:val="12"/>
    <w:link w:val="52"/>
    <w:qFormat/>
    <w:uiPriority w:val="0"/>
    <w:rPr>
      <w:b/>
    </w:rPr>
  </w:style>
  <w:style w:type="paragraph" w:styleId="34">
    <w:name w:val="Body Text First Indent"/>
    <w:basedOn w:val="2"/>
    <w:qFormat/>
    <w:uiPriority w:val="0"/>
    <w:pPr>
      <w:ind w:firstLine="420" w:firstLineChars="100"/>
    </w:pPr>
  </w:style>
  <w:style w:type="paragraph" w:styleId="35">
    <w:name w:val="Body Text First Indent 2"/>
    <w:basedOn w:val="3"/>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paragraph" w:customStyle="1" w:styleId="46">
    <w:name w:val="Fließtext"/>
    <w:basedOn w:val="1"/>
    <w:qFormat/>
    <w:uiPriority w:val="99"/>
    <w:pPr>
      <w:widowControl/>
      <w:ind w:left="1134"/>
      <w:jc w:val="left"/>
    </w:pPr>
    <w:rPr>
      <w:rFonts w:ascii="Arial" w:hAnsi="Arial"/>
      <w:kern w:val="0"/>
      <w:szCs w:val="20"/>
      <w:lang w:val="de-DE" w:eastAsia="de-DE"/>
    </w:rPr>
  </w:style>
  <w:style w:type="character" w:customStyle="1" w:styleId="47">
    <w:name w:val="标题 1 Char"/>
    <w:basedOn w:val="38"/>
    <w:link w:val="4"/>
    <w:qFormat/>
    <w:uiPriority w:val="9"/>
    <w:rPr>
      <w:rFonts w:ascii="Calibri" w:hAnsi="Calibri" w:eastAsia="宋体" w:cs="Times New Roman"/>
      <w:b/>
      <w:bCs/>
      <w:kern w:val="44"/>
      <w:sz w:val="36"/>
      <w:szCs w:val="44"/>
    </w:rPr>
  </w:style>
  <w:style w:type="character" w:customStyle="1" w:styleId="48">
    <w:name w:val="标题 2 Char"/>
    <w:basedOn w:val="38"/>
    <w:link w:val="5"/>
    <w:qFormat/>
    <w:uiPriority w:val="9"/>
    <w:rPr>
      <w:rFonts w:ascii="Arial" w:hAnsi="Arial" w:eastAsia="宋体" w:cs="Times New Roman"/>
      <w:b/>
      <w:bCs/>
      <w:sz w:val="24"/>
      <w:szCs w:val="32"/>
    </w:rPr>
  </w:style>
  <w:style w:type="character" w:customStyle="1" w:styleId="49">
    <w:name w:val="标题 3 Char"/>
    <w:basedOn w:val="38"/>
    <w:link w:val="6"/>
    <w:semiHidden/>
    <w:qFormat/>
    <w:uiPriority w:val="9"/>
    <w:rPr>
      <w:rFonts w:ascii="Calibri" w:hAnsi="Calibri" w:eastAsia="宋体" w:cs="Times New Roman"/>
      <w:b/>
      <w:bCs/>
      <w:sz w:val="32"/>
      <w:szCs w:val="32"/>
    </w:rPr>
  </w:style>
  <w:style w:type="character" w:customStyle="1" w:styleId="50">
    <w:name w:val="Char Char3"/>
    <w:qFormat/>
    <w:uiPriority w:val="0"/>
    <w:rPr>
      <w:rFonts w:ascii="宋体" w:hAnsi="Courier New" w:eastAsia="宋体"/>
      <w:kern w:val="2"/>
      <w:sz w:val="21"/>
      <w:lang w:val="en-US" w:eastAsia="zh-CN"/>
    </w:rPr>
  </w:style>
  <w:style w:type="character" w:customStyle="1" w:styleId="51">
    <w:name w:val="正文文本缩进 2 Char"/>
    <w:link w:val="19"/>
    <w:qFormat/>
    <w:locked/>
    <w:uiPriority w:val="0"/>
  </w:style>
  <w:style w:type="character" w:customStyle="1" w:styleId="52">
    <w:name w:val="批注主题 Char1"/>
    <w:link w:val="33"/>
    <w:qFormat/>
    <w:locked/>
    <w:uiPriority w:val="0"/>
    <w:rPr>
      <w:b/>
    </w:rPr>
  </w:style>
  <w:style w:type="character" w:customStyle="1" w:styleId="53">
    <w:name w:val="正文文本缩进 3 Char"/>
    <w:link w:val="27"/>
    <w:qFormat/>
    <w:locked/>
    <w:uiPriority w:val="0"/>
    <w:rPr>
      <w:sz w:val="16"/>
    </w:rPr>
  </w:style>
  <w:style w:type="character" w:customStyle="1" w:styleId="54">
    <w:name w:val="纯文本 Char"/>
    <w:qFormat/>
    <w:uiPriority w:val="0"/>
    <w:rPr>
      <w:rFonts w:ascii="宋体" w:hAnsi="Courier New" w:eastAsia="宋体"/>
      <w:kern w:val="2"/>
      <w:sz w:val="21"/>
      <w:lang w:val="en-US" w:eastAsia="zh-CN"/>
    </w:rPr>
  </w:style>
  <w:style w:type="character" w:customStyle="1" w:styleId="55">
    <w:name w:val="Char Char2"/>
    <w:autoRedefine/>
    <w:qFormat/>
    <w:uiPriority w:val="0"/>
    <w:rPr>
      <w:rFonts w:ascii="宋体" w:hAnsi="Courier New"/>
      <w:kern w:val="2"/>
      <w:sz w:val="21"/>
    </w:rPr>
  </w:style>
  <w:style w:type="character" w:customStyle="1" w:styleId="56">
    <w:name w:val="列出段落 字符"/>
    <w:link w:val="57"/>
    <w:qFormat/>
    <w:locked/>
    <w:uiPriority w:val="34"/>
    <w:rPr>
      <w:sz w:val="22"/>
    </w:rPr>
  </w:style>
  <w:style w:type="paragraph" w:customStyle="1" w:styleId="57">
    <w:name w:val="列出段落1"/>
    <w:basedOn w:val="1"/>
    <w:link w:val="56"/>
    <w:qFormat/>
    <w:uiPriority w:val="34"/>
    <w:pPr>
      <w:ind w:firstLine="420" w:firstLineChars="200"/>
    </w:pPr>
    <w:rPr>
      <w:sz w:val="22"/>
    </w:rPr>
  </w:style>
  <w:style w:type="character" w:customStyle="1" w:styleId="58">
    <w:name w:val="apple-converted-space"/>
    <w:basedOn w:val="38"/>
    <w:qFormat/>
    <w:uiPriority w:val="0"/>
    <w:rPr>
      <w:rFonts w:cs="Times New Roman"/>
    </w:rPr>
  </w:style>
  <w:style w:type="character" w:customStyle="1" w:styleId="59">
    <w:name w:val="页眉 Char"/>
    <w:link w:val="22"/>
    <w:qFormat/>
    <w:locked/>
    <w:uiPriority w:val="0"/>
    <w:rPr>
      <w:sz w:val="18"/>
    </w:rPr>
  </w:style>
  <w:style w:type="character" w:customStyle="1" w:styleId="60">
    <w:name w:val="BODY TEXT Char"/>
    <w:qFormat/>
    <w:locked/>
    <w:uiPriority w:val="0"/>
    <w:rPr>
      <w:rFonts w:eastAsia="新宋体"/>
      <w:kern w:val="2"/>
      <w:sz w:val="21"/>
    </w:rPr>
  </w:style>
  <w:style w:type="character" w:customStyle="1" w:styleId="61">
    <w:name w:val="批注文字 Char1"/>
    <w:link w:val="12"/>
    <w:qFormat/>
    <w:locked/>
    <w:uiPriority w:val="0"/>
  </w:style>
  <w:style w:type="character" w:customStyle="1" w:styleId="62">
    <w:name w:val="标题 Char"/>
    <w:link w:val="32"/>
    <w:qFormat/>
    <w:locked/>
    <w:uiPriority w:val="0"/>
    <w:rPr>
      <w:rFonts w:ascii="Arial" w:hAnsi="Arial"/>
      <w:b/>
      <w:sz w:val="32"/>
    </w:rPr>
  </w:style>
  <w:style w:type="character" w:customStyle="1" w:styleId="63">
    <w:name w:val="日期 Char"/>
    <w:link w:val="18"/>
    <w:qFormat/>
    <w:locked/>
    <w:uiPriority w:val="0"/>
    <w:rPr>
      <w:sz w:val="24"/>
    </w:rPr>
  </w:style>
  <w:style w:type="character" w:customStyle="1" w:styleId="64">
    <w:name w:val="ATXT_Bullets Zchn"/>
    <w:link w:val="65"/>
    <w:qFormat/>
    <w:locked/>
    <w:uiPriority w:val="99"/>
    <w:rPr>
      <w:rFonts w:ascii="Arial" w:hAnsi="Arial"/>
      <w:lang w:val="de-AT" w:eastAsia="zh-CN"/>
    </w:rPr>
  </w:style>
  <w:style w:type="paragraph" w:customStyle="1" w:styleId="65">
    <w:name w:val="ATXT_Bullets"/>
    <w:link w:val="64"/>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6">
    <w:name w:val="Char Char5"/>
    <w:qFormat/>
    <w:uiPriority w:val="0"/>
    <w:rPr>
      <w:rFonts w:ascii="宋体" w:hAnsi="Courier New" w:eastAsia="宋体"/>
      <w:kern w:val="2"/>
      <w:sz w:val="21"/>
      <w:lang w:val="en-US" w:eastAsia="zh-CN"/>
    </w:rPr>
  </w:style>
  <w:style w:type="character" w:customStyle="1" w:styleId="67">
    <w:name w:val="批注框文本 Char"/>
    <w:link w:val="20"/>
    <w:qFormat/>
    <w:locked/>
    <w:uiPriority w:val="0"/>
    <w:rPr>
      <w:sz w:val="18"/>
    </w:rPr>
  </w:style>
  <w:style w:type="character" w:customStyle="1" w:styleId="68">
    <w:name w:val="批注文字 Char"/>
    <w:qFormat/>
    <w:uiPriority w:val="0"/>
    <w:rPr>
      <w:kern w:val="2"/>
    </w:rPr>
  </w:style>
  <w:style w:type="character" w:customStyle="1" w:styleId="69">
    <w:name w:val="批注主题 Char"/>
    <w:qFormat/>
    <w:uiPriority w:val="0"/>
    <w:rPr>
      <w:b/>
      <w:kern w:val="2"/>
    </w:rPr>
  </w:style>
  <w:style w:type="character" w:customStyle="1" w:styleId="70">
    <w:name w:val="文档结构图 Char"/>
    <w:link w:val="10"/>
    <w:qFormat/>
    <w:locked/>
    <w:uiPriority w:val="0"/>
    <w:rPr>
      <w:sz w:val="24"/>
      <w:shd w:val="clear" w:color="auto" w:fill="000080"/>
    </w:rPr>
  </w:style>
  <w:style w:type="character" w:customStyle="1" w:styleId="71">
    <w:name w:val="HTML Markup"/>
    <w:qFormat/>
    <w:uiPriority w:val="0"/>
    <w:rPr>
      <w:vanish/>
      <w:color w:val="FF0000"/>
    </w:rPr>
  </w:style>
  <w:style w:type="character" w:customStyle="1" w:styleId="72">
    <w:name w:val="纯文本 Char1"/>
    <w:link w:val="16"/>
    <w:qFormat/>
    <w:locked/>
    <w:uiPriority w:val="0"/>
    <w:rPr>
      <w:rFonts w:ascii="宋体" w:hAnsi="Courier New"/>
    </w:rPr>
  </w:style>
  <w:style w:type="character" w:customStyle="1" w:styleId="73">
    <w:name w:val="页脚 Char1"/>
    <w:link w:val="21"/>
    <w:qFormat/>
    <w:locked/>
    <w:uiPriority w:val="99"/>
    <w:rPr>
      <w:sz w:val="18"/>
    </w:rPr>
  </w:style>
  <w:style w:type="character" w:customStyle="1" w:styleId="74">
    <w:name w:val="Default Char"/>
    <w:link w:val="75"/>
    <w:qFormat/>
    <w:locked/>
    <w:uiPriority w:val="0"/>
    <w:rPr>
      <w:rFonts w:ascii="仿宋_GB2312" w:eastAsia="仿宋_GB2312"/>
      <w:color w:val="000000"/>
      <w:sz w:val="24"/>
    </w:rPr>
  </w:style>
  <w:style w:type="paragraph" w:customStyle="1" w:styleId="75">
    <w:name w:val="Default"/>
    <w:link w:val="74"/>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6">
    <w:name w:val="页脚 Char"/>
    <w:qFormat/>
    <w:locked/>
    <w:uiPriority w:val="99"/>
    <w:rPr>
      <w:sz w:val="18"/>
    </w:rPr>
  </w:style>
  <w:style w:type="character" w:customStyle="1" w:styleId="77">
    <w:name w:val="批注文字 字符1"/>
    <w:basedOn w:val="38"/>
    <w:semiHidden/>
    <w:qFormat/>
    <w:uiPriority w:val="99"/>
  </w:style>
  <w:style w:type="character" w:customStyle="1" w:styleId="78">
    <w:name w:val="批注文字 字符11"/>
    <w:basedOn w:val="38"/>
    <w:qFormat/>
    <w:uiPriority w:val="0"/>
    <w:rPr>
      <w:rFonts w:cs="Times New Roman"/>
      <w:kern w:val="2"/>
      <w:sz w:val="21"/>
    </w:rPr>
  </w:style>
  <w:style w:type="character" w:customStyle="1" w:styleId="79">
    <w:name w:val="正文文本缩进 Char"/>
    <w:basedOn w:val="38"/>
    <w:link w:val="3"/>
    <w:qFormat/>
    <w:uiPriority w:val="99"/>
    <w:rPr>
      <w:rFonts w:ascii="Calibri" w:hAnsi="Calibri" w:eastAsia="宋体" w:cs="Times New Roman"/>
      <w:szCs w:val="20"/>
    </w:rPr>
  </w:style>
  <w:style w:type="character" w:customStyle="1" w:styleId="80">
    <w:name w:val="文档结构图 字符1"/>
    <w:basedOn w:val="38"/>
    <w:semiHidden/>
    <w:qFormat/>
    <w:uiPriority w:val="99"/>
    <w:rPr>
      <w:rFonts w:ascii="Microsoft YaHei UI" w:eastAsia="Microsoft YaHei UI"/>
      <w:sz w:val="18"/>
      <w:szCs w:val="18"/>
    </w:rPr>
  </w:style>
  <w:style w:type="character" w:customStyle="1" w:styleId="81">
    <w:name w:val="文档结构图 字符11"/>
    <w:basedOn w:val="38"/>
    <w:semiHidden/>
    <w:qFormat/>
    <w:uiPriority w:val="99"/>
    <w:rPr>
      <w:rFonts w:ascii="Microsoft YaHei UI" w:eastAsia="Microsoft YaHei UI" w:cs="Times New Roman"/>
      <w:kern w:val="2"/>
      <w:sz w:val="18"/>
      <w:szCs w:val="18"/>
    </w:rPr>
  </w:style>
  <w:style w:type="character" w:customStyle="1" w:styleId="82">
    <w:name w:val="正文文本 Char"/>
    <w:basedOn w:val="38"/>
    <w:link w:val="2"/>
    <w:qFormat/>
    <w:uiPriority w:val="99"/>
    <w:rPr>
      <w:rFonts w:ascii="Calibri" w:hAnsi="Calibri" w:eastAsia="新宋体" w:cs="Times New Roman"/>
      <w:szCs w:val="21"/>
    </w:rPr>
  </w:style>
  <w:style w:type="character" w:customStyle="1" w:styleId="83">
    <w:name w:val="纯文本 字符1"/>
    <w:basedOn w:val="38"/>
    <w:semiHidden/>
    <w:qFormat/>
    <w:uiPriority w:val="99"/>
    <w:rPr>
      <w:rFonts w:hAnsi="Courier New" w:cs="Courier New" w:asciiTheme="minorEastAsia"/>
    </w:rPr>
  </w:style>
  <w:style w:type="character" w:customStyle="1" w:styleId="84">
    <w:name w:val="纯文本 字符11"/>
    <w:basedOn w:val="38"/>
    <w:qFormat/>
    <w:uiPriority w:val="0"/>
    <w:rPr>
      <w:rFonts w:hAnsi="Courier New" w:cs="Courier New" w:asciiTheme="minorEastAsia" w:eastAsiaTheme="minorEastAsia"/>
      <w:kern w:val="2"/>
      <w:sz w:val="21"/>
    </w:rPr>
  </w:style>
  <w:style w:type="character" w:customStyle="1" w:styleId="85">
    <w:name w:val="页眉 字符1"/>
    <w:basedOn w:val="38"/>
    <w:semiHidden/>
    <w:qFormat/>
    <w:uiPriority w:val="99"/>
    <w:rPr>
      <w:sz w:val="18"/>
      <w:szCs w:val="18"/>
    </w:rPr>
  </w:style>
  <w:style w:type="character" w:customStyle="1" w:styleId="86">
    <w:name w:val="页眉 字符11"/>
    <w:basedOn w:val="38"/>
    <w:semiHidden/>
    <w:qFormat/>
    <w:uiPriority w:val="99"/>
    <w:rPr>
      <w:rFonts w:cs="Times New Roman"/>
      <w:kern w:val="2"/>
      <w:sz w:val="18"/>
      <w:szCs w:val="18"/>
    </w:rPr>
  </w:style>
  <w:style w:type="character" w:customStyle="1" w:styleId="87">
    <w:name w:val="批注框文本 字符1"/>
    <w:basedOn w:val="38"/>
    <w:semiHidden/>
    <w:qFormat/>
    <w:uiPriority w:val="99"/>
    <w:rPr>
      <w:sz w:val="18"/>
      <w:szCs w:val="18"/>
    </w:rPr>
  </w:style>
  <w:style w:type="character" w:customStyle="1" w:styleId="88">
    <w:name w:val="批注框文本 字符11"/>
    <w:basedOn w:val="38"/>
    <w:semiHidden/>
    <w:qFormat/>
    <w:uiPriority w:val="99"/>
    <w:rPr>
      <w:rFonts w:cs="Times New Roman"/>
      <w:kern w:val="2"/>
      <w:sz w:val="18"/>
      <w:szCs w:val="18"/>
    </w:rPr>
  </w:style>
  <w:style w:type="character" w:customStyle="1" w:styleId="89">
    <w:name w:val="日期 字符1"/>
    <w:basedOn w:val="38"/>
    <w:semiHidden/>
    <w:qFormat/>
    <w:uiPriority w:val="99"/>
  </w:style>
  <w:style w:type="character" w:customStyle="1" w:styleId="90">
    <w:name w:val="日期 字符11"/>
    <w:basedOn w:val="38"/>
    <w:semiHidden/>
    <w:qFormat/>
    <w:uiPriority w:val="99"/>
    <w:rPr>
      <w:rFonts w:cs="Times New Roman"/>
      <w:kern w:val="2"/>
      <w:sz w:val="21"/>
    </w:rPr>
  </w:style>
  <w:style w:type="character" w:customStyle="1" w:styleId="91">
    <w:name w:val="页脚 字符1"/>
    <w:basedOn w:val="38"/>
    <w:semiHidden/>
    <w:qFormat/>
    <w:uiPriority w:val="99"/>
    <w:rPr>
      <w:sz w:val="18"/>
      <w:szCs w:val="18"/>
    </w:rPr>
  </w:style>
  <w:style w:type="character" w:customStyle="1" w:styleId="92">
    <w:name w:val="页脚 字符11"/>
    <w:basedOn w:val="38"/>
    <w:semiHidden/>
    <w:qFormat/>
    <w:uiPriority w:val="99"/>
    <w:rPr>
      <w:rFonts w:cs="Times New Roman"/>
      <w:kern w:val="2"/>
      <w:sz w:val="18"/>
      <w:szCs w:val="18"/>
    </w:rPr>
  </w:style>
  <w:style w:type="character" w:customStyle="1" w:styleId="93">
    <w:name w:val="正文文本缩进 2 字符1"/>
    <w:basedOn w:val="38"/>
    <w:semiHidden/>
    <w:qFormat/>
    <w:uiPriority w:val="99"/>
  </w:style>
  <w:style w:type="character" w:customStyle="1" w:styleId="94">
    <w:name w:val="正文文本缩进 2 字符11"/>
    <w:basedOn w:val="38"/>
    <w:semiHidden/>
    <w:qFormat/>
    <w:uiPriority w:val="99"/>
    <w:rPr>
      <w:rFonts w:cs="Times New Roman"/>
      <w:kern w:val="2"/>
      <w:sz w:val="21"/>
    </w:rPr>
  </w:style>
  <w:style w:type="character" w:customStyle="1" w:styleId="95">
    <w:name w:val="正文文本缩进 3 字符1"/>
    <w:basedOn w:val="38"/>
    <w:semiHidden/>
    <w:qFormat/>
    <w:uiPriority w:val="99"/>
    <w:rPr>
      <w:sz w:val="16"/>
      <w:szCs w:val="16"/>
    </w:rPr>
  </w:style>
  <w:style w:type="character" w:customStyle="1" w:styleId="96">
    <w:name w:val="正文文本缩进 3 字符11"/>
    <w:basedOn w:val="38"/>
    <w:semiHidden/>
    <w:qFormat/>
    <w:uiPriority w:val="99"/>
    <w:rPr>
      <w:rFonts w:cs="Times New Roman"/>
      <w:kern w:val="2"/>
      <w:sz w:val="16"/>
      <w:szCs w:val="16"/>
    </w:rPr>
  </w:style>
  <w:style w:type="character" w:customStyle="1" w:styleId="97">
    <w:name w:val="批注主题 字符1"/>
    <w:basedOn w:val="77"/>
    <w:semiHidden/>
    <w:qFormat/>
    <w:uiPriority w:val="99"/>
    <w:rPr>
      <w:b/>
      <w:bCs/>
    </w:rPr>
  </w:style>
  <w:style w:type="character" w:customStyle="1" w:styleId="98">
    <w:name w:val="批注主题 字符11"/>
    <w:basedOn w:val="78"/>
    <w:semiHidden/>
    <w:qFormat/>
    <w:uiPriority w:val="99"/>
    <w:rPr>
      <w:rFonts w:cs="Times New Roman"/>
      <w:b/>
      <w:bCs/>
      <w:kern w:val="2"/>
      <w:sz w:val="21"/>
    </w:rPr>
  </w:style>
  <w:style w:type="character" w:customStyle="1" w:styleId="99">
    <w:name w:val="标题 字符1"/>
    <w:basedOn w:val="38"/>
    <w:qFormat/>
    <w:uiPriority w:val="10"/>
    <w:rPr>
      <w:rFonts w:asciiTheme="majorHAnsi" w:hAnsiTheme="majorHAnsi" w:eastAsiaTheme="majorEastAsia" w:cstheme="majorBidi"/>
      <w:b/>
      <w:bCs/>
      <w:sz w:val="32"/>
      <w:szCs w:val="32"/>
    </w:rPr>
  </w:style>
  <w:style w:type="character" w:customStyle="1" w:styleId="100">
    <w:name w:val="标题 字符11"/>
    <w:basedOn w:val="38"/>
    <w:qFormat/>
    <w:uiPriority w:val="10"/>
    <w:rPr>
      <w:rFonts w:cs="Times New Roman" w:asciiTheme="majorHAnsi" w:hAnsiTheme="majorHAnsi" w:eastAsiaTheme="majorEastAsia"/>
      <w:b/>
      <w:bCs/>
      <w:kern w:val="2"/>
      <w:sz w:val="32"/>
      <w:szCs w:val="32"/>
    </w:rPr>
  </w:style>
  <w:style w:type="paragraph" w:customStyle="1" w:styleId="101">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2">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3">
    <w:name w:val="二级列表 Char"/>
    <w:basedOn w:val="1"/>
    <w:qFormat/>
    <w:uiPriority w:val="0"/>
    <w:rPr>
      <w:rFonts w:ascii="Calibri" w:hAnsi="Calibri" w:eastAsia="宋体" w:cs="Times New Roman"/>
      <w:szCs w:val="20"/>
    </w:rPr>
  </w:style>
  <w:style w:type="paragraph" w:customStyle="1" w:styleId="104">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5">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6">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7">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8">
    <w:name w:val="Char Char Char Char Char Char Char"/>
    <w:basedOn w:val="1"/>
    <w:qFormat/>
    <w:uiPriority w:val="0"/>
    <w:rPr>
      <w:rFonts w:ascii="Verdana" w:hAnsi="Verdana" w:eastAsia="宋体" w:cs="Times New Roman"/>
      <w:kern w:val="0"/>
      <w:sz w:val="20"/>
      <w:szCs w:val="20"/>
      <w:lang w:eastAsia="en-US"/>
    </w:rPr>
  </w:style>
  <w:style w:type="paragraph" w:customStyle="1" w:styleId="109">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0">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1">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2">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3">
    <w:name w:val="标书正文格式"/>
    <w:basedOn w:val="16"/>
    <w:link w:val="115"/>
    <w:qFormat/>
    <w:uiPriority w:val="0"/>
    <w:pPr>
      <w:spacing w:line="360" w:lineRule="auto"/>
      <w:ind w:firstLine="200" w:firstLineChars="200"/>
    </w:pPr>
    <w:rPr>
      <w:rFonts w:hAnsi="宋体"/>
      <w:color w:val="000000"/>
      <w:sz w:val="24"/>
      <w:szCs w:val="24"/>
    </w:rPr>
  </w:style>
  <w:style w:type="paragraph" w:customStyle="1" w:styleId="114">
    <w:name w:val="标书二级标题"/>
    <w:basedOn w:val="5"/>
    <w:link w:val="117"/>
    <w:qFormat/>
    <w:uiPriority w:val="0"/>
    <w:pPr>
      <w:spacing w:line="240" w:lineRule="auto"/>
      <w:jc w:val="left"/>
    </w:pPr>
    <w:rPr>
      <w:rFonts w:ascii="宋体" w:hAnsi="宋体" w:eastAsia="黑体"/>
      <w:b w:val="0"/>
      <w:sz w:val="28"/>
      <w:szCs w:val="30"/>
    </w:rPr>
  </w:style>
  <w:style w:type="character" w:customStyle="1" w:styleId="115">
    <w:name w:val="标书正文格式 字符"/>
    <w:link w:val="113"/>
    <w:qFormat/>
    <w:locked/>
    <w:uiPriority w:val="0"/>
    <w:rPr>
      <w:rFonts w:ascii="宋体" w:hAnsi="宋体"/>
      <w:color w:val="000000"/>
      <w:sz w:val="24"/>
      <w:szCs w:val="24"/>
    </w:rPr>
  </w:style>
  <w:style w:type="paragraph" w:customStyle="1" w:styleId="116">
    <w:name w:val="标书表格"/>
    <w:basedOn w:val="1"/>
    <w:link w:val="118"/>
    <w:qFormat/>
    <w:uiPriority w:val="0"/>
    <w:pPr>
      <w:jc w:val="center"/>
    </w:pPr>
    <w:rPr>
      <w:rFonts w:ascii="Times New Roman" w:hAnsi="Times New Roman" w:eastAsia="宋体" w:cs="Times New Roman"/>
      <w:b/>
      <w:szCs w:val="20"/>
    </w:rPr>
  </w:style>
  <w:style w:type="character" w:customStyle="1" w:styleId="117">
    <w:name w:val="标书二级标题 字符"/>
    <w:link w:val="114"/>
    <w:qFormat/>
    <w:locked/>
    <w:uiPriority w:val="0"/>
    <w:rPr>
      <w:rFonts w:ascii="宋体" w:hAnsi="宋体" w:eastAsia="黑体" w:cs="Times New Roman"/>
      <w:bCs/>
      <w:sz w:val="28"/>
      <w:szCs w:val="30"/>
    </w:rPr>
  </w:style>
  <w:style w:type="character" w:customStyle="1" w:styleId="118">
    <w:name w:val="标书表格 字符"/>
    <w:link w:val="116"/>
    <w:qFormat/>
    <w:locked/>
    <w:uiPriority w:val="0"/>
    <w:rPr>
      <w:rFonts w:ascii="Times New Roman" w:hAnsi="Times New Roman" w:eastAsia="宋体" w:cs="Times New Roman"/>
      <w:b/>
      <w:szCs w:val="20"/>
    </w:rPr>
  </w:style>
  <w:style w:type="paragraph" w:customStyle="1" w:styleId="119">
    <w:name w:val="标书三级标题"/>
    <w:basedOn w:val="6"/>
    <w:next w:val="113"/>
    <w:link w:val="120"/>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0">
    <w:name w:val="标书三级标题 字符"/>
    <w:link w:val="119"/>
    <w:qFormat/>
    <w:locked/>
    <w:uiPriority w:val="0"/>
    <w:rPr>
      <w:rFonts w:ascii="Times New Roman" w:hAnsi="Times New Roman" w:eastAsia="宋体" w:cs="Times New Roman"/>
      <w:b/>
      <w:bCs/>
      <w:color w:val="000000"/>
      <w:sz w:val="24"/>
      <w:szCs w:val="24"/>
    </w:rPr>
  </w:style>
  <w:style w:type="character" w:customStyle="1" w:styleId="121">
    <w:name w:val="标三级标题 字符"/>
    <w:link w:val="122"/>
    <w:qFormat/>
    <w:locked/>
    <w:uiPriority w:val="0"/>
    <w:rPr>
      <w:b/>
      <w:color w:val="000000"/>
      <w:sz w:val="24"/>
    </w:rPr>
  </w:style>
  <w:style w:type="paragraph" w:customStyle="1" w:styleId="122">
    <w:name w:val="标三级标题"/>
    <w:basedOn w:val="119"/>
    <w:link w:val="121"/>
    <w:qFormat/>
    <w:uiPriority w:val="0"/>
    <w:rPr>
      <w:rFonts w:asciiTheme="minorHAnsi" w:hAnsiTheme="minorHAnsi" w:eastAsiaTheme="minorEastAsia" w:cstheme="minorBidi"/>
      <w:bCs w:val="0"/>
      <w:szCs w:val="22"/>
    </w:rPr>
  </w:style>
  <w:style w:type="character" w:customStyle="1" w:styleId="123">
    <w:name w:val="标正文 字符"/>
    <w:link w:val="124"/>
    <w:qFormat/>
    <w:locked/>
    <w:uiPriority w:val="0"/>
    <w:rPr>
      <w:rFonts w:ascii="宋体" w:eastAsia="宋体"/>
      <w:color w:val="000000"/>
      <w:sz w:val="24"/>
    </w:rPr>
  </w:style>
  <w:style w:type="paragraph" w:customStyle="1" w:styleId="124">
    <w:name w:val="标正文"/>
    <w:basedOn w:val="113"/>
    <w:link w:val="123"/>
    <w:qFormat/>
    <w:uiPriority w:val="0"/>
    <w:pPr>
      <w:ind w:firstLine="480"/>
    </w:pPr>
    <w:rPr>
      <w:rFonts w:eastAsia="宋体" w:hAnsiTheme="minorHAnsi"/>
      <w:szCs w:val="22"/>
    </w:rPr>
  </w:style>
  <w:style w:type="paragraph" w:customStyle="1" w:styleId="125">
    <w:name w:val="TOC 标题1"/>
    <w:basedOn w:val="4"/>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6">
    <w:name w:val="HR正文表格"/>
    <w:basedOn w:val="1"/>
    <w:qFormat/>
    <w:uiPriority w:val="0"/>
    <w:pPr>
      <w:spacing w:beforeLines="25" w:afterLines="25" w:line="300" w:lineRule="auto"/>
    </w:pPr>
    <w:rPr>
      <w:szCs w:val="24"/>
    </w:rPr>
  </w:style>
  <w:style w:type="paragraph" w:styleId="127">
    <w:name w:val="List Paragraph"/>
    <w:basedOn w:val="1"/>
    <w:qFormat/>
    <w:uiPriority w:val="99"/>
    <w:pPr>
      <w:ind w:firstLine="420" w:firstLineChars="200"/>
    </w:pPr>
  </w:style>
  <w:style w:type="paragraph" w:customStyle="1" w:styleId="128">
    <w:name w:val="WPSOffice手动目录 1"/>
    <w:qFormat/>
    <w:uiPriority w:val="0"/>
    <w:rPr>
      <w:rFonts w:ascii="Times New Roman" w:hAnsi="Times New Roman" w:eastAsia="宋体" w:cs="Times New Roman"/>
      <w:lang w:val="en-US" w:eastAsia="zh-CN" w:bidi="ar-SA"/>
    </w:rPr>
  </w:style>
  <w:style w:type="table" w:customStyle="1" w:styleId="129">
    <w:name w:val="Table Normal"/>
    <w:semiHidden/>
    <w:unhideWhenUsed/>
    <w:qFormat/>
    <w:uiPriority w:val="0"/>
    <w:tblPr>
      <w:tblCellMar>
        <w:top w:w="0" w:type="dxa"/>
        <w:left w:w="0" w:type="dxa"/>
        <w:bottom w:w="0" w:type="dxa"/>
        <w:right w:w="0" w:type="dxa"/>
      </w:tblCellMar>
    </w:tblPr>
  </w:style>
  <w:style w:type="character" w:customStyle="1" w:styleId="130">
    <w:name w:val="NormalCharacter"/>
    <w:qFormat/>
    <w:uiPriority w:val="0"/>
  </w:style>
  <w:style w:type="paragraph" w:customStyle="1" w:styleId="131">
    <w:name w:val="Table Paragraph"/>
    <w:basedOn w:val="1"/>
    <w:qFormat/>
    <w:uiPriority w:val="1"/>
    <w:rPr>
      <w:rFonts w:ascii="宋体" w:hAnsi="宋体" w:eastAsia="宋体" w:cs="宋体"/>
    </w:rPr>
  </w:style>
  <w:style w:type="paragraph" w:customStyle="1" w:styleId="132">
    <w:name w:val="标书一级标题"/>
    <w:basedOn w:val="4"/>
    <w:qFormat/>
    <w:uiPriority w:val="0"/>
    <w:rPr>
      <w:rFonts w:eastAsia="黑体"/>
      <w:b w:val="0"/>
      <w:color w:val="000000"/>
      <w:sz w:val="30"/>
      <w:szCs w:val="24"/>
    </w:rPr>
  </w:style>
  <w:style w:type="paragraph" w:customStyle="1" w:styleId="133">
    <w:name w:val="无间隔1"/>
    <w:qFormat/>
    <w:uiPriority w:val="0"/>
    <w:rPr>
      <w:rFonts w:ascii="Calibri" w:hAnsi="Calibri" w:eastAsia="Calibri" w:cs="Times New Roman"/>
      <w:szCs w:val="22"/>
      <w:lang w:val="en-GB" w:eastAsia="en-US" w:bidi="ar-SA"/>
    </w:rPr>
  </w:style>
  <w:style w:type="paragraph" w:customStyle="1" w:styleId="134">
    <w:name w:val="CM22"/>
    <w:basedOn w:val="75"/>
    <w:next w:val="75"/>
    <w:qFormat/>
    <w:uiPriority w:val="0"/>
    <w:pPr>
      <w:spacing w:after="125"/>
    </w:pPr>
    <w:rPr>
      <w:rFonts w:cs="Times New Roman"/>
      <w:color w:val="auto"/>
    </w:rPr>
  </w:style>
  <w:style w:type="paragraph" w:customStyle="1" w:styleId="135">
    <w:name w:val="List Paragraph1"/>
    <w:basedOn w:val="1"/>
    <w:qFormat/>
    <w:uiPriority w:val="0"/>
    <w:pPr>
      <w:ind w:firstLine="420" w:firstLineChars="200"/>
    </w:pPr>
    <w:rPr>
      <w:rFonts w:ascii="Calibri" w:hAnsi="Calibri"/>
    </w:rPr>
  </w:style>
  <w:style w:type="paragraph" w:customStyle="1" w:styleId="136">
    <w:name w:val="样式 正文首行缩进 2 + Arial"/>
    <w:basedOn w:val="35"/>
    <w:autoRedefine/>
    <w:qFormat/>
    <w:uiPriority w:val="0"/>
    <w:pPr>
      <w:spacing w:line="320" w:lineRule="atLeast"/>
      <w:ind w:left="0" w:leftChars="0" w:firstLine="200"/>
    </w:pPr>
    <w:rPr>
      <w:rFonts w:ascii="Arial" w:hAnsi="Arial"/>
      <w:kern w:val="0"/>
    </w:rPr>
  </w:style>
  <w:style w:type="paragraph" w:customStyle="1" w:styleId="137">
    <w:name w:val="表格标题"/>
    <w:basedOn w:val="138"/>
    <w:autoRedefine/>
    <w:qFormat/>
    <w:uiPriority w:val="0"/>
    <w:pPr>
      <w:jc w:val="center"/>
    </w:pPr>
    <w:rPr>
      <w:b/>
    </w:rPr>
  </w:style>
  <w:style w:type="paragraph" w:customStyle="1" w:styleId="138">
    <w:name w:val="表格正文"/>
    <w:basedOn w:val="1"/>
    <w:next w:val="1"/>
    <w:autoRedefine/>
    <w:qFormat/>
    <w:uiPriority w:val="0"/>
    <w:pPr>
      <w:spacing w:before="20" w:beforeLines="20" w:after="20" w:afterLines="20" w:line="300" w:lineRule="exact"/>
      <w:contextualSpacing/>
      <w:jc w:val="left"/>
    </w:pPr>
  </w:style>
  <w:style w:type="paragraph" w:customStyle="1" w:styleId="139">
    <w:name w:val="正文 20241128"/>
    <w:basedOn w:val="1"/>
    <w:autoRedefine/>
    <w:qFormat/>
    <w:uiPriority w:val="0"/>
    <w:pPr>
      <w:spacing w:line="360" w:lineRule="auto"/>
      <w:ind w:right="2" w:firstLine="480" w:firstLineChars="200"/>
    </w:pPr>
    <w:rPr>
      <w:rFonts w:ascii="宋体" w:hAnsi="宋体" w:cs="宋体"/>
      <w:color w:val="000000"/>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0" Type="http://schemas.openxmlformats.org/officeDocument/2006/relationships/fontTable" Target="fontTable.xml"/><Relationship Id="rId7" Type="http://schemas.openxmlformats.org/officeDocument/2006/relationships/header" Target="header3.xml"/><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25.png"/><Relationship Id="rId66" Type="http://schemas.openxmlformats.org/officeDocument/2006/relationships/image" Target="media/image24.png"/><Relationship Id="rId65" Type="http://schemas.openxmlformats.org/officeDocument/2006/relationships/image" Target="media/image23.png"/><Relationship Id="rId64" Type="http://schemas.openxmlformats.org/officeDocument/2006/relationships/image" Target="media/image22.png"/><Relationship Id="rId63" Type="http://schemas.openxmlformats.org/officeDocument/2006/relationships/image" Target="media/image21.png"/><Relationship Id="rId62" Type="http://schemas.openxmlformats.org/officeDocument/2006/relationships/image" Target="media/image20.png"/><Relationship Id="rId61" Type="http://schemas.openxmlformats.org/officeDocument/2006/relationships/image" Target="media/image19.png"/><Relationship Id="rId60" Type="http://schemas.openxmlformats.org/officeDocument/2006/relationships/image" Target="media/image18.png"/><Relationship Id="rId6" Type="http://schemas.openxmlformats.org/officeDocument/2006/relationships/footer" Target="footer2.xml"/><Relationship Id="rId59" Type="http://schemas.openxmlformats.org/officeDocument/2006/relationships/image" Target="media/image17.png"/><Relationship Id="rId58" Type="http://schemas.openxmlformats.org/officeDocument/2006/relationships/image" Target="media/image16.png"/><Relationship Id="rId57" Type="http://schemas.openxmlformats.org/officeDocument/2006/relationships/image" Target="media/image15.png"/><Relationship Id="rId56" Type="http://schemas.openxmlformats.org/officeDocument/2006/relationships/image" Target="media/image14.png"/><Relationship Id="rId55" Type="http://schemas.openxmlformats.org/officeDocument/2006/relationships/image" Target="media/image13.png"/><Relationship Id="rId54" Type="http://schemas.openxmlformats.org/officeDocument/2006/relationships/image" Target="media/image12.png"/><Relationship Id="rId53" Type="http://schemas.openxmlformats.org/officeDocument/2006/relationships/image" Target="media/image11.png"/><Relationship Id="rId52" Type="http://schemas.openxmlformats.org/officeDocument/2006/relationships/image" Target="media/image10.png"/><Relationship Id="rId51" Type="http://schemas.openxmlformats.org/officeDocument/2006/relationships/image" Target="media/image9.png"/><Relationship Id="rId50" Type="http://schemas.openxmlformats.org/officeDocument/2006/relationships/image" Target="media/image8.png"/><Relationship Id="rId5" Type="http://schemas.openxmlformats.org/officeDocument/2006/relationships/footer" Target="footer1.xml"/><Relationship Id="rId49" Type="http://schemas.openxmlformats.org/officeDocument/2006/relationships/image" Target="media/image7.png"/><Relationship Id="rId48" Type="http://schemas.openxmlformats.org/officeDocument/2006/relationships/image" Target="media/image6.png"/><Relationship Id="rId47" Type="http://schemas.openxmlformats.org/officeDocument/2006/relationships/image" Target="media/image5.png"/><Relationship Id="rId46" Type="http://schemas.openxmlformats.org/officeDocument/2006/relationships/image" Target="media/image4.png"/><Relationship Id="rId45" Type="http://schemas.openxmlformats.org/officeDocument/2006/relationships/image" Target="media/image3.png"/><Relationship Id="rId44" Type="http://schemas.openxmlformats.org/officeDocument/2006/relationships/image" Target="media/image2.png"/><Relationship Id="rId43" Type="http://schemas.openxmlformats.org/officeDocument/2006/relationships/image" Target="media/image1.png"/><Relationship Id="rId42" Type="http://schemas.openxmlformats.org/officeDocument/2006/relationships/theme" Target="theme/theme1.xml"/><Relationship Id="rId41" Type="http://schemas.openxmlformats.org/officeDocument/2006/relationships/footer" Target="footer29.xml"/><Relationship Id="rId40" Type="http://schemas.openxmlformats.org/officeDocument/2006/relationships/footer" Target="footer28.xml"/><Relationship Id="rId4" Type="http://schemas.openxmlformats.org/officeDocument/2006/relationships/header" Target="header2.xml"/><Relationship Id="rId39" Type="http://schemas.openxmlformats.org/officeDocument/2006/relationships/header" Target="header10.xml"/><Relationship Id="rId38" Type="http://schemas.openxmlformats.org/officeDocument/2006/relationships/header" Target="header9.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92</Pages>
  <Words>1489</Words>
  <Characters>1592</Characters>
  <Lines>410</Lines>
  <Paragraphs>115</Paragraphs>
  <TotalTime>8</TotalTime>
  <ScaleCrop>false</ScaleCrop>
  <LinksUpToDate>false</LinksUpToDate>
  <CharactersWithSpaces>1711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2024-12-13T03:19:00Z</dcterms:created>
  <dc:creator>ZQNet</dc:creator>
  <cp:lastModifiedBy>林保良（工作号）</cp:lastModifiedBy>
  <cp:lastPrinted>2022-07-01T11:19:00Z</cp:lastPrinted>
  <dcterms:modified xsi:type="dcterms:W3CDTF">2025-03-11T05:34:31Z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ED02EB12B8294FE5807EAA5D2C3C24E0</vt:lpwstr>
  </property>
  <property fmtid="{D5CDD505-2E9C-101B-9397-08002B2CF9AE}" pid="4" name="KSOTemplateDocerSaveRecord">
    <vt:lpwstr>eyJoZGlkIjoiYzBjY2ZjNjgzZjhjYjEzMzUzNzFkMjE1NWI4ZDlmNjciLCJ1c2VySWQiOiIxMjgyMjE0MDYxIn0=</vt:lpwstr>
  </property>
</Properties>
</file>