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sz w:val="30"/>
          <w:szCs w:val="30"/>
        </w:rPr>
      </w:pPr>
    </w:p>
    <w:p>
      <w:pPr>
        <w:spacing w:line="276" w:lineRule="auto"/>
        <w:jc w:val="center"/>
        <w:rPr>
          <w:rFonts w:hint="eastAsia" w:ascii="Calibri" w:hAnsi="宋体" w:eastAsia="宋体" w:cs="Times New Roman"/>
          <w:b/>
          <w:bCs/>
          <w:color w:val="000000"/>
          <w:spacing w:val="-8"/>
          <w:sz w:val="48"/>
          <w:szCs w:val="44"/>
        </w:rPr>
      </w:pPr>
      <w:bookmarkStart w:id="0" w:name="_Toc11494"/>
      <w:bookmarkStart w:id="1" w:name="_Toc24094"/>
      <w:bookmarkStart w:id="2" w:name="_Toc32280"/>
      <w:bookmarkStart w:id="3" w:name="_Toc12825"/>
      <w:bookmarkStart w:id="4" w:name="_Toc9849"/>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电器盒自动涂胶工艺开发项目</w:t>
      </w:r>
    </w:p>
    <w:p>
      <w:pPr>
        <w:pStyle w:val="21"/>
        <w:jc w:val="center"/>
        <w:rPr>
          <w:rFonts w:ascii="Calibri" w:hAnsi="宋体" w:eastAsia="宋体" w:cs="Times New Roman"/>
          <w:b/>
          <w:bCs/>
          <w:color w:val="000000"/>
          <w:spacing w:val="-8"/>
          <w:sz w:val="48"/>
          <w:szCs w:val="44"/>
        </w:rPr>
      </w:pPr>
    </w:p>
    <w:p>
      <w:pPr>
        <w:pStyle w:val="21"/>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8"/>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_Toc15680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_Toc15680 \h </w:instrText>
          </w:r>
          <w:r>
            <w:rPr>
              <w:color w:val="auto"/>
            </w:rPr>
            <w:fldChar w:fldCharType="separate"/>
          </w:r>
          <w:r>
            <w:rPr>
              <w:color w:val="auto"/>
            </w:rPr>
            <w:t>3</w:t>
          </w:r>
          <w:r>
            <w:rPr>
              <w:color w:val="auto"/>
            </w:rPr>
            <w:fldChar w:fldCharType="end"/>
          </w:r>
          <w:r>
            <w:rPr>
              <w:rFonts w:hint="eastAsia" w:ascii="Calibri" w:hAnsi="Calibri"/>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_Toc26408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_Toc10711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_Toc10711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_Toc5828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_Toc5828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_Toc4968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_Toc4968 \h </w:instrText>
          </w:r>
          <w:r>
            <w:rPr>
              <w:color w:val="auto"/>
            </w:rPr>
            <w:fldChar w:fldCharType="separate"/>
          </w:r>
          <w:r>
            <w:rPr>
              <w:color w:val="auto"/>
            </w:rPr>
            <w:t>40</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_Toc32520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_Toc32520 \h </w:instrText>
          </w:r>
          <w:r>
            <w:rPr>
              <w:color w:val="auto"/>
            </w:rPr>
            <w:fldChar w:fldCharType="separate"/>
          </w:r>
          <w:r>
            <w:rPr>
              <w:color w:val="auto"/>
            </w:rPr>
            <w:t>57</w:t>
          </w:r>
          <w:r>
            <w:rPr>
              <w:color w:val="auto"/>
            </w:rPr>
            <w:fldChar w:fldCharType="end"/>
          </w:r>
          <w:r>
            <w:rPr>
              <w:rFonts w:hint="eastAsia" w:ascii="Calibri" w:hAnsi="Calibri" w:eastAsia="宋体" w:cs="Times New Roman"/>
              <w:bCs/>
              <w:color w:val="auto"/>
              <w:kern w:val="44"/>
              <w:szCs w:val="44"/>
            </w:rPr>
            <w:fldChar w:fldCharType="end"/>
          </w:r>
        </w:p>
        <w:p>
          <w:pPr>
            <w:pStyle w:val="21"/>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1"/>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5" w:name="_Toc15680"/>
      <w:r>
        <w:rPr>
          <w:rFonts w:hint="eastAsia" w:ascii="Calibri" w:hAnsi="Calibri" w:eastAsia="宋体" w:cs="Times New Roman"/>
          <w:b/>
          <w:bCs/>
          <w:kern w:val="44"/>
          <w:sz w:val="36"/>
          <w:szCs w:val="44"/>
        </w:rPr>
        <w:t>投标须知前附表</w:t>
      </w:r>
      <w:bookmarkEnd w:id="5"/>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01"/>
                <w:rFonts w:ascii="宋体" w:hAnsi="宋体" w:eastAsia="宋体" w:cs="宋体"/>
                <w:b/>
                <w:sz w:val="28"/>
                <w:szCs w:val="28"/>
              </w:rPr>
            </w:pPr>
            <w:bookmarkStart w:id="6" w:name="_Toc346372875"/>
            <w:r>
              <w:rPr>
                <w:rStyle w:val="10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0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w:t>
            </w:r>
            <w:r>
              <w:rPr>
                <w:rFonts w:hint="eastAsia" w:ascii="宋体" w:hAnsi="宋体" w:eastAsia="宋体" w:cs="宋体"/>
                <w:sz w:val="24"/>
                <w:szCs w:val="24"/>
                <w:u w:val="single"/>
                <w:lang w:val="en-US" w:eastAsia="zh-CN"/>
              </w:rPr>
              <w:t>电器盒自动涂胶工艺开发项目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color w:val="FF0000"/>
                <w:sz w:val="24"/>
                <w:szCs w:val="24"/>
                <w:highlight w:val="yellow"/>
                <w:u w:val="single"/>
                <w:lang w:val="en-US" w:eastAsia="zh-CN"/>
              </w:rPr>
              <w:t>CGZX2025030241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color w:val="auto"/>
                <w:sz w:val="24"/>
                <w:szCs w:val="24"/>
                <w:highlight w:val="none"/>
                <w:u w:val="single"/>
                <w:lang w:val="en-US" w:eastAsia="zh-CN"/>
              </w:rPr>
              <w:t>物联网智能加注枪系统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u w:val="non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u w:val="none"/>
              </w:rPr>
              <w:t xml:space="preserve"> </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highlight w:val="none"/>
                <w:lang w:val="en-US" w:eastAsia="zh-CN"/>
              </w:rPr>
              <w:t>李月兵</w:t>
            </w:r>
          </w:p>
          <w:p>
            <w:pPr>
              <w:pStyle w:val="21"/>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none"/>
                <w:lang w:val="en-US" w:eastAsia="zh-CN"/>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u w:val="single"/>
                <w:lang w:val="en-US" w:eastAsia="zh-CN"/>
              </w:rPr>
              <w:t>12</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2.拟投标人应提供营业执照副本原件和扫描件(需盖章);</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3.拟投标人应提供法定代表人资格证明文件;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4.拟投标人在国家市场监督管理总局的《国家企业信用信息公示系统》</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中查询不存在不良记录;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5.拟投标人不存在严重违规或被列入招标人“黑名单”的声明;</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6.拟投标人2021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7.拟投标人有与本次招标内容相同或类似项目业绩，且近3年内无因服务不当而造成重大事故;</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8.拟投标人近三年内在经营活动中无与本项目有关的违法及重大违规情况;</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9.拟投标人须认可招标人的工作指令，包括节、假日能正常开展工作的要求;</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10.拟投标人最近半年纳税正常;</w:t>
            </w:r>
          </w:p>
          <w:p>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11.拟投标人没有被我公司列入黑名单;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12.拟投标人信用证明材料未显示异常;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13.供方的直接或间接股东、法定代表人、董事、监事、高管非重汽员工及其亲属;</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14.本项目不接受联合体投标，拟投标人必须是最终投标单位和签订合同单位，不得以任何理由将已中标项目以任何形式分包或转包给其他单位;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日17:00前；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18</w:t>
            </w:r>
            <w:r>
              <w:rPr>
                <w:rFonts w:hint="eastAsia" w:eastAsia="宋体" w:cs="宋体"/>
                <w:highlight w:val="yellow"/>
              </w:rPr>
              <w:t>日1</w:t>
            </w:r>
            <w:r>
              <w:rPr>
                <w:rFonts w:hint="eastAsia" w:eastAsia="宋体" w:cs="宋体"/>
                <w:highlight w:val="yellow"/>
                <w:lang w:val="en-US" w:eastAsia="zh-CN"/>
              </w:rPr>
              <w:t>2</w:t>
            </w:r>
            <w:r>
              <w:rPr>
                <w:rFonts w:hint="eastAsia" w:eastAsia="宋体" w:cs="宋体"/>
                <w:highlight w:val="yellow"/>
              </w:rPr>
              <w:t>时00分00秒</w:t>
            </w:r>
          </w:p>
          <w:p>
            <w:pPr>
              <w:pStyle w:val="69"/>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李月兵</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22</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上午</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b/>
                <w:bCs/>
                <w:color w:val="auto"/>
                <w:sz w:val="24"/>
                <w:szCs w:val="24"/>
                <w:highlight w:val="yellow"/>
                <w:lang w:val="en-US" w:eastAsia="zh-CN"/>
              </w:rPr>
              <w:t>50</w:t>
            </w:r>
            <w:r>
              <w:rPr>
                <w:rFonts w:hint="eastAsia" w:ascii="宋体" w:hAnsi="宋体" w:eastAsia="宋体" w:cs="宋体"/>
                <w:b/>
                <w:bCs/>
                <w:color w:val="auto"/>
                <w:sz w:val="24"/>
                <w:szCs w:val="24"/>
                <w:highlight w:val="yellow"/>
              </w:rPr>
              <w:t>00</w:t>
            </w:r>
            <w:r>
              <w:rPr>
                <w:rFonts w:hint="eastAsia" w:ascii="宋体" w:hAnsi="宋体" w:eastAsia="宋体" w:cs="宋体"/>
                <w:color w:val="auto"/>
                <w:sz w:val="24"/>
                <w:szCs w:val="24"/>
                <w:highlight w:val="yellow"/>
              </w:rPr>
              <w:t>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个日历日之内交货至供货地点。</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90</w:t>
            </w:r>
            <w:r>
              <w:rPr>
                <w:rFonts w:hint="eastAsia" w:ascii="宋体" w:hAnsi="宋体" w:eastAsia="宋体" w:cs="宋体"/>
                <w:sz w:val="24"/>
                <w:szCs w:val="24"/>
              </w:rPr>
              <w:t>个日历日之内完成终验收。</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eastAsia="zh-CN"/>
              </w:rPr>
              <w:t>：</w:t>
            </w:r>
            <w:r>
              <w:rPr>
                <w:rFonts w:hint="eastAsia" w:ascii="宋体" w:hAnsi="宋体" w:eastAsia="宋体" w:cs="宋体"/>
                <w:sz w:val="24"/>
                <w:szCs w:val="24"/>
                <w:u w:val="single"/>
                <w:lang w:bidi="ar"/>
              </w:rPr>
              <w:t>济南商用车有限公司（章丘重汽工业园）</w:t>
            </w:r>
            <w:r>
              <w:rPr>
                <w:rFonts w:hint="eastAsia" w:ascii="宋体" w:hAnsi="宋体" w:eastAsia="宋体" w:cs="宋体"/>
                <w:sz w:val="24"/>
                <w:szCs w:val="24"/>
                <w:u w:val="single"/>
                <w:lang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（1）合同生效设备全部到齐无质量问题通过买方初步验收后, 卖方提交金额为合同含税价款</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0%</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0%增值税专用发票（税率为13 %，正本一份，复印件二份），经买方依照财务制度审核无误后【30】日后支付。</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（2）设备全部到齐无质量问题，经安装、调试最终验收合格后，卖方提交金额为合同含税价款</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0 %</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auto"/>
                <w:sz w:val="24"/>
                <w:szCs w:val="24"/>
              </w:rPr>
              <w:t>（3）合同含税总价款的</w:t>
            </w:r>
            <w:r>
              <w:rPr>
                <w:rFonts w:hint="eastAsia" w:ascii="宋体" w:hAnsi="宋体" w:eastAsia="宋体" w:cs="宋体"/>
                <w:b/>
                <w:bCs/>
                <w:color w:val="auto"/>
                <w:sz w:val="24"/>
                <w:szCs w:val="24"/>
              </w:rPr>
              <w:t xml:space="preserve"> 10 %</w:t>
            </w:r>
            <w:r>
              <w:rPr>
                <w:rFonts w:hint="eastAsia" w:ascii="宋体" w:hAnsi="宋体" w:eastAsia="宋体" w:cs="宋体"/>
                <w:color w:val="auto"/>
                <w:sz w:val="24"/>
                <w:szCs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1"/>
        <w:jc w:val="center"/>
        <w:outlineLvl w:val="0"/>
        <w:rPr>
          <w:rFonts w:ascii="Calibri" w:hAnsi="Calibri" w:eastAsia="宋体" w:cs="Times New Roman"/>
          <w:b/>
          <w:bCs/>
          <w:kern w:val="44"/>
          <w:sz w:val="36"/>
          <w:szCs w:val="44"/>
        </w:rPr>
      </w:pPr>
      <w:bookmarkStart w:id="7" w:name="_Toc26408"/>
      <w:r>
        <w:rPr>
          <w:rFonts w:hint="eastAsia" w:ascii="Calibri" w:hAnsi="Calibri" w:eastAsia="宋体" w:cs="Times New Roman"/>
          <w:b/>
          <w:bCs/>
          <w:kern w:val="44"/>
          <w:sz w:val="36"/>
          <w:szCs w:val="44"/>
        </w:rPr>
        <w:t>第二部分 投标须知</w:t>
      </w:r>
      <w:bookmarkEnd w:id="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1"/>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69"/>
        <w:ind w:firstLine="480"/>
        <w:rPr>
          <w:rFonts w:eastAsia="宋体" w:cs="宋体"/>
        </w:rPr>
      </w:pPr>
      <w:r>
        <w:rPr>
          <w:rFonts w:hint="eastAsia" w:eastAsia="宋体" w:cs="宋体"/>
        </w:rPr>
        <w:t>4.2招标人银行账户信息如下：见《投标须知前附表》4.2。</w:t>
      </w:r>
    </w:p>
    <w:p>
      <w:pPr>
        <w:pStyle w:val="69"/>
        <w:ind w:firstLine="480"/>
        <w:rPr>
          <w:rFonts w:eastAsia="宋体" w:cs="宋体"/>
        </w:rPr>
      </w:pPr>
      <w:r>
        <w:rPr>
          <w:rFonts w:hint="eastAsia" w:eastAsia="宋体" w:cs="宋体"/>
        </w:rPr>
        <w:t>转账附言：公司名称+项目名称+投标保证金；</w:t>
      </w:r>
    </w:p>
    <w:p>
      <w:pPr>
        <w:pStyle w:val="69"/>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69"/>
        <w:ind w:firstLine="480"/>
        <w:rPr>
          <w:rFonts w:eastAsia="宋体" w:cs="宋体"/>
        </w:rPr>
      </w:pPr>
      <w:r>
        <w:rPr>
          <w:rFonts w:hint="eastAsia" w:eastAsia="宋体" w:cs="宋体"/>
        </w:rPr>
        <w:t>4.3说明</w:t>
      </w:r>
    </w:p>
    <w:p>
      <w:pPr>
        <w:pStyle w:val="69"/>
        <w:ind w:firstLine="480"/>
        <w:rPr>
          <w:rFonts w:eastAsia="宋体" w:cs="宋体"/>
        </w:rPr>
      </w:pPr>
      <w:r>
        <w:rPr>
          <w:rFonts w:hint="eastAsia" w:eastAsia="宋体" w:cs="宋体"/>
        </w:rPr>
        <w:t>4.3.1 投标人在向招标人出示《投标保证金缴纳凭证》后方可进行投标；</w:t>
      </w:r>
    </w:p>
    <w:p>
      <w:pPr>
        <w:pStyle w:val="69"/>
        <w:ind w:firstLine="480"/>
        <w:rPr>
          <w:rFonts w:eastAsia="宋体" w:cs="宋体"/>
        </w:rPr>
      </w:pPr>
      <w:r>
        <w:rPr>
          <w:rFonts w:hint="eastAsia" w:eastAsia="宋体" w:cs="宋体"/>
        </w:rPr>
        <w:t>4.3.2 发生以下情况时，招标人有权没收保证金：</w:t>
      </w:r>
    </w:p>
    <w:p>
      <w:pPr>
        <w:pStyle w:val="69"/>
        <w:ind w:firstLine="480"/>
        <w:rPr>
          <w:rFonts w:eastAsia="宋体" w:cs="宋体"/>
        </w:rPr>
      </w:pPr>
      <w:r>
        <w:rPr>
          <w:rFonts w:hint="eastAsia" w:eastAsia="宋体" w:cs="宋体"/>
        </w:rPr>
        <w:t>4.3.2.1 截至开标前3天，投标人无正当理由且未以书面形式递交说明而在投标截止日不来投标的；</w:t>
      </w:r>
    </w:p>
    <w:p>
      <w:pPr>
        <w:pStyle w:val="69"/>
        <w:ind w:firstLine="480"/>
        <w:rPr>
          <w:rFonts w:eastAsia="宋体" w:cs="宋体"/>
        </w:rPr>
      </w:pPr>
      <w:r>
        <w:rPr>
          <w:rFonts w:hint="eastAsia" w:eastAsia="宋体" w:cs="宋体"/>
        </w:rPr>
        <w:t>4.3.2.2 投标人递送投标文件后，无正当理由放弃投标的；</w:t>
      </w:r>
    </w:p>
    <w:p>
      <w:pPr>
        <w:pStyle w:val="69"/>
        <w:ind w:firstLine="480"/>
        <w:rPr>
          <w:rFonts w:eastAsia="宋体" w:cs="宋体"/>
        </w:rPr>
      </w:pPr>
      <w:r>
        <w:rPr>
          <w:rFonts w:hint="eastAsia" w:eastAsia="宋体" w:cs="宋体"/>
        </w:rPr>
        <w:t>4.3.2.3若为视频开标，招标过程中澄清函等资料原件未按要求提交的；</w:t>
      </w:r>
    </w:p>
    <w:p>
      <w:pPr>
        <w:pStyle w:val="69"/>
        <w:ind w:firstLine="480"/>
        <w:rPr>
          <w:rFonts w:eastAsia="宋体" w:cs="宋体"/>
        </w:rPr>
      </w:pPr>
      <w:r>
        <w:rPr>
          <w:rFonts w:hint="eastAsia" w:eastAsia="宋体" w:cs="宋体"/>
        </w:rPr>
        <w:t>4.3.2.4自中标通知书发出之日起30日内，中标人无正当理由不签订合同的；</w:t>
      </w:r>
    </w:p>
    <w:p>
      <w:pPr>
        <w:pStyle w:val="69"/>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69"/>
        <w:ind w:firstLine="480"/>
        <w:rPr>
          <w:rFonts w:eastAsia="宋体" w:cs="宋体"/>
        </w:rPr>
      </w:pPr>
      <w:r>
        <w:rPr>
          <w:rFonts w:hint="eastAsia" w:eastAsia="宋体" w:cs="宋体"/>
        </w:rPr>
        <w:t>4.4投标报名截止时间</w:t>
      </w:r>
    </w:p>
    <w:p>
      <w:pPr>
        <w:pStyle w:val="69"/>
        <w:ind w:firstLine="480"/>
        <w:rPr>
          <w:rFonts w:eastAsia="宋体" w:cs="宋体"/>
        </w:rPr>
      </w:pPr>
      <w:r>
        <w:rPr>
          <w:rFonts w:hint="eastAsia" w:eastAsia="宋体" w:cs="宋体"/>
        </w:rPr>
        <w:t>报名方式：见《投标须知前附表》2.3。</w:t>
      </w:r>
    </w:p>
    <w:p>
      <w:pPr>
        <w:pStyle w:val="69"/>
        <w:ind w:firstLine="480"/>
        <w:rPr>
          <w:rFonts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9" w:name="_Toc33265653"/>
      <w:bookmarkStart w:id="10" w:name="_Toc33265752"/>
      <w:bookmarkStart w:id="11" w:name="_Toc33266950"/>
      <w:bookmarkStart w:id="12" w:name="_Toc33266627"/>
      <w:bookmarkStart w:id="13" w:name="_Toc33267001"/>
      <w:bookmarkStart w:id="14" w:name="_Toc33266914"/>
      <w:bookmarkStart w:id="15" w:name="_Toc33285487"/>
      <w:r>
        <w:rPr>
          <w:rFonts w:hint="eastAsia" w:ascii="宋体" w:hAnsi="宋体" w:eastAsia="宋体" w:cs="宋体"/>
          <w:b/>
          <w:sz w:val="24"/>
          <w:szCs w:val="24"/>
        </w:rPr>
        <w:t>六、评价原则</w:t>
      </w:r>
      <w:bookmarkEnd w:id="9"/>
      <w:bookmarkEnd w:id="10"/>
      <w:bookmarkEnd w:id="11"/>
      <w:bookmarkEnd w:id="12"/>
      <w:bookmarkEnd w:id="13"/>
      <w:bookmarkEnd w:id="14"/>
      <w:bookmarkEnd w:id="15"/>
      <w:bookmarkStart w:id="16" w:name="_Toc395116633"/>
    </w:p>
    <w:bookmarkEnd w:id="16"/>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7" w:name="_Toc33265753"/>
      <w:bookmarkStart w:id="18" w:name="_Toc33266628"/>
      <w:bookmarkStart w:id="19" w:name="_Toc33266951"/>
      <w:bookmarkStart w:id="20" w:name="_Toc33266915"/>
      <w:bookmarkStart w:id="21" w:name="_Toc395116634"/>
      <w:bookmarkStart w:id="22" w:name="_Toc33267002"/>
      <w:bookmarkStart w:id="23" w:name="_Toc33265654"/>
      <w:bookmarkStart w:id="24"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7"/>
    <w:bookmarkEnd w:id="18"/>
    <w:bookmarkEnd w:id="19"/>
    <w:bookmarkEnd w:id="20"/>
    <w:bookmarkEnd w:id="21"/>
    <w:bookmarkEnd w:id="22"/>
    <w:bookmarkEnd w:id="23"/>
    <w:bookmarkEnd w:id="24"/>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5" w:name="OLE_LINK27"/>
      <w:bookmarkStart w:id="26" w:name="OLE_LINK25"/>
      <w:bookmarkStart w:id="27" w:name="OLE_LINK29"/>
      <w:bookmarkStart w:id="28" w:name="OLE_LINK26"/>
      <w:bookmarkStart w:id="29" w:name="OLE_LINK28"/>
      <w:r>
        <w:rPr>
          <w:rFonts w:hint="eastAsia" w:ascii="宋体" w:hAnsi="宋体" w:eastAsia="宋体" w:cs="宋体"/>
          <w:bCs/>
          <w:sz w:val="24"/>
          <w:szCs w:val="24"/>
        </w:rPr>
        <w:t>；</w:t>
      </w:r>
      <w:bookmarkEnd w:id="25"/>
      <w:bookmarkEnd w:id="26"/>
      <w:bookmarkEnd w:id="27"/>
      <w:bookmarkEnd w:id="28"/>
      <w:bookmarkEnd w:id="29"/>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30" w:name="_Toc10711"/>
      <w:r>
        <w:rPr>
          <w:rFonts w:hint="eastAsia" w:ascii="Calibri" w:hAnsi="Calibri" w:eastAsia="宋体" w:cs="Times New Roman"/>
          <w:b/>
          <w:bCs/>
          <w:kern w:val="44"/>
          <w:sz w:val="36"/>
          <w:szCs w:val="44"/>
        </w:rPr>
        <w:t>第三部分 投标文件编制</w:t>
      </w:r>
      <w:bookmarkEnd w:id="30"/>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本项目的唯一</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31"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1"/>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2" w:name="_Toc536542319"/>
      <w:r>
        <w:rPr>
          <w:rFonts w:hint="eastAsia" w:ascii="宋体" w:hAnsi="宋体" w:eastAsia="宋体" w:cs="宋体"/>
          <w:color w:val="000000"/>
          <w:sz w:val="24"/>
          <w:szCs w:val="24"/>
        </w:rPr>
        <w:t>2.7投标产品技术支持材料</w:t>
      </w:r>
      <w:bookmarkEnd w:id="32"/>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3" w:name="OLE_LINK19"/>
      <w:bookmarkStart w:id="34" w:name="OLE_LINK18"/>
      <w:r>
        <w:rPr>
          <w:rFonts w:hint="eastAsia" w:ascii="宋体" w:hAnsi="宋体" w:eastAsia="宋体" w:cs="宋体"/>
          <w:b/>
          <w:color w:val="000000"/>
          <w:sz w:val="24"/>
          <w:szCs w:val="24"/>
        </w:rPr>
        <w:t>；</w:t>
      </w:r>
      <w:bookmarkEnd w:id="33"/>
      <w:bookmarkEnd w:id="34"/>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keepNext/>
        <w:keepLines/>
        <w:jc w:val="center"/>
        <w:outlineLvl w:val="0"/>
        <w:rPr>
          <w:rFonts w:hint="default" w:ascii="Times New Roman" w:hAnsi="Times New Roman" w:eastAsia="宋体" w:cs="Times New Roman"/>
          <w:b/>
          <w:bCs/>
          <w:kern w:val="44"/>
          <w:sz w:val="36"/>
          <w:szCs w:val="44"/>
        </w:rPr>
      </w:pPr>
      <w:r>
        <w:rPr>
          <w:rFonts w:hint="default" w:ascii="Times New Roman" w:hAnsi="Times New Roman" w:eastAsia="宋体" w:cs="Times New Roman"/>
          <w:b/>
          <w:bCs/>
          <w:kern w:val="44"/>
          <w:sz w:val="36"/>
          <w:szCs w:val="44"/>
        </w:rPr>
        <w:t>第四部分 技术标书</w:t>
      </w:r>
      <w:bookmarkEnd w:id="0"/>
      <w:bookmarkEnd w:id="1"/>
      <w:bookmarkEnd w:id="2"/>
    </w:p>
    <w:p>
      <w:pPr>
        <w:pStyle w:val="21"/>
        <w:rPr>
          <w:rFonts w:hint="default" w:ascii="Times New Roman" w:hAnsi="Times New Roman" w:cs="Times New Roman"/>
        </w:rPr>
      </w:pPr>
    </w:p>
    <w:p>
      <w:pPr>
        <w:keepNext/>
        <w:keepLines/>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w:t>
      </w:r>
    </w:p>
    <w:p>
      <w:pPr>
        <w:spacing w:line="276" w:lineRule="auto"/>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themeColor="text1"/>
          <w:spacing w:val="-8"/>
          <w:sz w:val="48"/>
          <w:szCs w:val="44"/>
          <w:lang w:val="en-US" w:eastAsia="zh-CN"/>
          <w14:textFill>
            <w14:solidFill>
              <w14:schemeClr w14:val="tx1"/>
            </w14:solidFill>
          </w14:textFill>
        </w:rPr>
        <w:t>电器盒自动涂胶工艺开发</w:t>
      </w:r>
      <w:r>
        <w:rPr>
          <w:rFonts w:hint="default" w:ascii="Times New Roman" w:hAnsi="Times New Roman" w:eastAsia="宋体" w:cs="Times New Roman"/>
          <w:b/>
          <w:bCs/>
          <w:color w:val="000000" w:themeColor="text1"/>
          <w:spacing w:val="-8"/>
          <w:sz w:val="48"/>
          <w:szCs w:val="44"/>
          <w14:textFill>
            <w14:solidFill>
              <w14:schemeClr w14:val="tx1"/>
            </w14:solidFill>
          </w14:textFill>
        </w:rPr>
        <w:t>项目</w:t>
      </w:r>
      <w:r>
        <w:rPr>
          <w:rFonts w:hint="default" w:ascii="Times New Roman" w:hAnsi="Times New Roman" w:eastAsia="宋体" w:cs="Times New Roman"/>
          <w:b/>
          <w:bCs/>
          <w:color w:val="000000"/>
          <w:spacing w:val="-8"/>
          <w:sz w:val="48"/>
          <w:szCs w:val="44"/>
        </w:rPr>
        <w:t xml:space="preserve"> </w:t>
      </w:r>
    </w:p>
    <w:p>
      <w:pPr>
        <w:jc w:val="right"/>
        <w:rPr>
          <w:rFonts w:hint="default" w:ascii="Times New Roman" w:hAnsi="Times New Roman" w:eastAsia="宋体" w:cs="Times New Roman"/>
          <w:color w:val="000000"/>
          <w:sz w:val="28"/>
          <w:szCs w:val="28"/>
        </w:rPr>
      </w:pPr>
    </w:p>
    <w:p>
      <w:pPr>
        <w:pStyle w:val="21"/>
        <w:rPr>
          <w:rFonts w:hint="default" w:ascii="Times New Roman" w:hAnsi="Times New Roman" w:cs="Times New Roman"/>
        </w:rPr>
      </w:pP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技</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术</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书</w:t>
      </w:r>
    </w:p>
    <w:p>
      <w:pPr>
        <w:pStyle w:val="21"/>
        <w:rPr>
          <w:rFonts w:hint="default" w:ascii="Times New Roman" w:hAnsi="Times New Roman" w:cs="Times New Roman"/>
        </w:rPr>
      </w:pPr>
    </w:p>
    <w:p>
      <w:pPr>
        <w:pStyle w:val="21"/>
        <w:rPr>
          <w:rFonts w:hint="default" w:ascii="Times New Roman" w:hAnsi="Times New Roman" w:eastAsia="黑体" w:cs="Times New Roman"/>
          <w:color w:val="000000"/>
          <w:sz w:val="72"/>
          <w:szCs w:val="72"/>
        </w:rPr>
      </w:pPr>
    </w:p>
    <w:p>
      <w:pPr>
        <w:pStyle w:val="21"/>
        <w:rPr>
          <w:rFonts w:hint="default" w:ascii="Times New Roman" w:hAnsi="Times New Roman" w:eastAsia="黑体" w:cs="Times New Roman"/>
          <w:color w:val="000000"/>
          <w:sz w:val="72"/>
          <w:szCs w:val="72"/>
        </w:rPr>
      </w:pP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pStyle w:val="21"/>
        <w:rPr>
          <w:rFonts w:hint="default" w:ascii="Times New Roman" w:hAnsi="Times New Roman" w:cs="Times New Roman"/>
          <w:b/>
          <w:bCs/>
        </w:rPr>
      </w:pP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人：中国重汽集团济南动力有限公司</w:t>
      </w: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b/>
          <w:bCs/>
          <w:kern w:val="44"/>
          <w:sz w:val="36"/>
          <w:szCs w:val="44"/>
        </w:rPr>
      </w:pPr>
      <w:r>
        <w:rPr>
          <w:rFonts w:hint="default" w:ascii="Times New Roman" w:hAnsi="Times New Roman" w:eastAsia="宋体" w:cs="Times New Roman"/>
          <w:color w:val="000000"/>
          <w:sz w:val="28"/>
          <w:szCs w:val="28"/>
        </w:rPr>
        <w:t>202</w:t>
      </w:r>
      <w:r>
        <w:rPr>
          <w:rFonts w:hint="default" w:ascii="Times New Roman" w:hAnsi="Times New Roman" w:eastAsia="宋体" w:cs="Times New Roman"/>
          <w:color w:val="000000"/>
          <w:sz w:val="28"/>
          <w:szCs w:val="28"/>
          <w:lang w:val="en-US" w:eastAsia="zh-CN"/>
        </w:rPr>
        <w:t>5</w:t>
      </w:r>
      <w:r>
        <w:rPr>
          <w:rFonts w:hint="default" w:ascii="Times New Roman" w:hAnsi="Times New Roman" w:eastAsia="宋体" w:cs="Times New Roman"/>
          <w:color w:val="000000"/>
          <w:sz w:val="28"/>
          <w:szCs w:val="28"/>
        </w:rPr>
        <w:t xml:space="preserve">年 </w:t>
      </w:r>
      <w:r>
        <w:rPr>
          <w:rFonts w:hint="eastAsia" w:ascii="Times New Roman" w:hAnsi="Times New Roman" w:eastAsia="宋体" w:cs="Times New Roman"/>
          <w:color w:val="000000"/>
          <w:sz w:val="28"/>
          <w:szCs w:val="28"/>
          <w:lang w:val="en-US" w:eastAsia="zh-CN"/>
        </w:rPr>
        <w:t>4</w:t>
      </w:r>
      <w:r>
        <w:rPr>
          <w:rFonts w:hint="default" w:ascii="Times New Roman" w:hAnsi="Times New Roman" w:eastAsia="宋体" w:cs="Times New Roman"/>
          <w:color w:val="000000"/>
          <w:sz w:val="28"/>
          <w:szCs w:val="28"/>
        </w:rPr>
        <w:t xml:space="preserve"> 月</w:t>
      </w:r>
    </w:p>
    <w:p>
      <w:pPr>
        <w:spacing w:line="360" w:lineRule="auto"/>
        <w:rPr>
          <w:rFonts w:hint="default" w:ascii="Times New Roman" w:hAnsi="Times New Roman" w:eastAsia="宋体" w:cs="Times New Roman"/>
          <w:b/>
          <w:sz w:val="36"/>
          <w:szCs w:val="36"/>
        </w:rPr>
      </w:pPr>
    </w:p>
    <w:p>
      <w:pPr>
        <w:jc w:val="center"/>
        <w:rPr>
          <w:rFonts w:hint="default" w:ascii="Times New Roman" w:hAnsi="Times New Roman" w:cs="Times New Roman"/>
          <w:color w:val="000000"/>
          <w:sz w:val="24"/>
          <w:szCs w:val="24"/>
        </w:rPr>
      </w:pPr>
    </w:p>
    <w:bookmarkEnd w:id="3"/>
    <w:bookmarkEnd w:id="4"/>
    <w:p>
      <w:pPr>
        <w:rPr>
          <w:rFonts w:hint="default" w:ascii="Times New Roman" w:hAnsi="Times New Roman" w:cs="Times New Roman"/>
        </w:rPr>
        <w:sectPr>
          <w:headerReference r:id="rId11" w:type="default"/>
          <w:footerReference r:id="rId12" w:type="default"/>
          <w:pgSz w:w="11907" w:h="16840"/>
          <w:pgMar w:top="1304" w:right="1418" w:bottom="1304" w:left="1418" w:header="724" w:footer="851" w:gutter="0"/>
          <w:cols w:space="720" w:num="1"/>
          <w:docGrid w:linePitch="290" w:charSpace="-3931"/>
        </w:sectPr>
      </w:pPr>
      <w:bookmarkStart w:id="35" w:name="_Toc326840031"/>
    </w:p>
    <w:p>
      <w:pPr>
        <w:pStyle w:val="4"/>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bookmarkEnd w:id="35"/>
    </w:p>
    <w:p>
      <w:pPr>
        <w:pStyle w:val="5"/>
        <w:widowControl/>
        <w:spacing w:before="120" w:after="120" w:line="360" w:lineRule="auto"/>
        <w:jc w:val="center"/>
        <w:rPr>
          <w:rFonts w:hint="default" w:ascii="Times New Roman" w:hAnsi="Times New Roman" w:cs="Times New Roman"/>
          <w:b w:val="0"/>
          <w:sz w:val="24"/>
          <w:szCs w:val="24"/>
        </w:rPr>
      </w:pPr>
      <w:bookmarkStart w:id="36" w:name="_Toc326840032"/>
      <w:r>
        <w:rPr>
          <w:rFonts w:hint="default" w:ascii="Times New Roman" w:hAnsi="Times New Roman" w:cs="Times New Roman"/>
          <w:b w:val="0"/>
          <w:sz w:val="24"/>
          <w:szCs w:val="24"/>
        </w:rPr>
        <w:t>第一节  使用环境</w:t>
      </w:r>
      <w:bookmarkEnd w:id="36"/>
    </w:p>
    <w:p>
      <w:pPr>
        <w:spacing w:line="360" w:lineRule="auto"/>
        <w:rPr>
          <w:rFonts w:hint="default" w:ascii="Times New Roman" w:hAnsi="Times New Roman" w:cs="Times New Roman"/>
          <w:u w:val="single"/>
        </w:rPr>
      </w:pPr>
      <w:r>
        <w:rPr>
          <w:rFonts w:hint="default" w:ascii="Times New Roman" w:hAnsi="Times New Roman" w:eastAsia="黑体" w:cs="Times New Roman"/>
          <w:sz w:val="24"/>
          <w:szCs w:val="24"/>
          <w:lang w:bidi="ar"/>
        </w:rPr>
        <w:t xml:space="preserve">    一、项目名称：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val="en-US" w:eastAsia="zh-CN" w:bidi="ar"/>
        </w:rPr>
        <w:t>二</w:t>
      </w:r>
      <w:r>
        <w:rPr>
          <w:rFonts w:hint="default" w:ascii="Times New Roman" w:hAnsi="Times New Roman" w:eastAsia="黑体" w:cs="Times New Roman"/>
          <w:sz w:val="24"/>
          <w:szCs w:val="24"/>
          <w:lang w:bidi="ar"/>
        </w:rPr>
        <w:t>、</w:t>
      </w:r>
      <w:r>
        <w:rPr>
          <w:rFonts w:hint="default" w:ascii="Times New Roman" w:hAnsi="Times New Roman" w:eastAsia="黑体" w:cs="Times New Roman"/>
          <w:sz w:val="24"/>
          <w:szCs w:val="24"/>
          <w:lang w:val="en-US" w:eastAsia="zh-CN" w:bidi="ar"/>
        </w:rPr>
        <w:t>交付</w:t>
      </w:r>
      <w:r>
        <w:rPr>
          <w:rFonts w:hint="default" w:ascii="Times New Roman" w:hAnsi="Times New Roman" w:eastAsia="黑体" w:cs="Times New Roman"/>
          <w:sz w:val="24"/>
          <w:szCs w:val="24"/>
          <w:lang w:bidi="ar"/>
        </w:rPr>
        <w:t>地点：</w:t>
      </w:r>
    </w:p>
    <w:p>
      <w:pPr>
        <w:spacing w:line="360" w:lineRule="auto"/>
        <w:ind w:firstLine="480" w:firstLineChars="200"/>
        <w:jc w:val="left"/>
        <w:rPr>
          <w:rFonts w:hint="default" w:ascii="Times New Roman" w:hAnsi="Times New Roman" w:cs="Times New Roman"/>
          <w:sz w:val="24"/>
          <w:szCs w:val="24"/>
          <w:u w:val="single"/>
          <w:lang w:bidi="ar"/>
        </w:rPr>
      </w:pPr>
      <w:r>
        <w:rPr>
          <w:rFonts w:hint="default" w:ascii="Times New Roman" w:hAnsi="Times New Roman" w:cs="Times New Roman"/>
          <w:sz w:val="24"/>
          <w:szCs w:val="24"/>
          <w:u w:val="single"/>
          <w:lang w:bidi="ar"/>
        </w:rPr>
        <w:t>济南商用车有限公司（章丘重汽工业园）</w:t>
      </w:r>
    </w:p>
    <w:p>
      <w:pPr>
        <w:spacing w:line="360" w:lineRule="auto"/>
        <w:ind w:firstLine="480" w:firstLineChars="200"/>
        <w:rPr>
          <w:rFonts w:hint="default" w:ascii="Times New Roman" w:hAnsi="Times New Roman" w:cs="Times New Roman"/>
          <w:sz w:val="24"/>
          <w:szCs w:val="24"/>
          <w:lang w:bidi="ar"/>
        </w:rPr>
      </w:pPr>
      <w:r>
        <w:rPr>
          <w:rFonts w:hint="default" w:ascii="Times New Roman" w:hAnsi="Times New Roman" w:eastAsia="黑体" w:cs="Times New Roman"/>
          <w:sz w:val="24"/>
          <w:szCs w:val="24"/>
          <w:lang w:val="en-US" w:eastAsia="zh-CN" w:bidi="ar"/>
        </w:rPr>
        <w:t>三</w:t>
      </w:r>
      <w:r>
        <w:rPr>
          <w:rFonts w:hint="default" w:ascii="Times New Roman" w:hAnsi="Times New Roman" w:eastAsia="黑体" w:cs="Times New Roman"/>
          <w:sz w:val="24"/>
          <w:szCs w:val="24"/>
          <w:lang w:bidi="ar"/>
        </w:rPr>
        <w:t>、工作制度：</w:t>
      </w:r>
      <w:r>
        <w:rPr>
          <w:rFonts w:hint="default" w:ascii="Times New Roman" w:hAnsi="Times New Roman" w:cs="Times New Roman"/>
          <w:sz w:val="24"/>
          <w:szCs w:val="24"/>
          <w:lang w:bidi="ar"/>
        </w:rPr>
        <w:t>全年工作</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300 </w:t>
      </w:r>
      <w:r>
        <w:rPr>
          <w:rFonts w:hint="default" w:ascii="Times New Roman" w:hAnsi="Times New Roman" w:cs="Times New Roman"/>
          <w:sz w:val="24"/>
          <w:szCs w:val="24"/>
          <w:lang w:bidi="ar"/>
        </w:rPr>
        <w:t>天、年时基数</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5000 </w:t>
      </w:r>
      <w:r>
        <w:rPr>
          <w:rFonts w:hint="default" w:ascii="Times New Roman" w:hAnsi="Times New Roman" w:cs="Times New Roman"/>
          <w:sz w:val="24"/>
          <w:szCs w:val="24"/>
          <w:lang w:bidi="ar"/>
        </w:rPr>
        <w:t>小时</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、使用地点区域自然环境：</w:t>
      </w:r>
    </w:p>
    <w:p>
      <w:pPr>
        <w:numPr>
          <w:ilvl w:val="0"/>
          <w:numId w:val="10"/>
        </w:numPr>
        <w:spacing w:line="360" w:lineRule="auto"/>
        <w:rPr>
          <w:rFonts w:hint="default" w:ascii="Times New Roman" w:hAnsi="Times New Roman" w:cs="Times New Roman"/>
        </w:rPr>
      </w:pPr>
      <w:r>
        <w:rPr>
          <w:rFonts w:hint="default" w:ascii="Times New Roman" w:hAnsi="Times New Roman" w:cs="Times New Roman"/>
          <w:bCs/>
          <w:sz w:val="24"/>
          <w:szCs w:val="24"/>
          <w:lang w:bidi="ar"/>
        </w:rPr>
        <w:t>海拨高度：4000m以下</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环境温度：室外极端最低温度-20℃、极端最高温度45℃，昼夜最大温差25℃。</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相对湿度：年平均59%，最大95%、最小15%。</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五</w:t>
      </w:r>
      <w:r>
        <w:rPr>
          <w:rFonts w:hint="default" w:ascii="Times New Roman" w:hAnsi="Times New Roman" w:eastAsia="黑体" w:cs="Times New Roman"/>
          <w:sz w:val="24"/>
          <w:szCs w:val="24"/>
          <w:lang w:bidi="ar"/>
        </w:rPr>
        <w:t>、能源环境：</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sz w:val="24"/>
          <w:szCs w:val="24"/>
          <w:lang w:bidi="ar"/>
        </w:rPr>
        <w:t>1、</w:t>
      </w:r>
      <w:r>
        <w:rPr>
          <w:rFonts w:hint="default" w:ascii="Times New Roman" w:hAnsi="Times New Roman" w:cs="Times New Roman"/>
          <w:bCs/>
          <w:sz w:val="24"/>
          <w:szCs w:val="24"/>
          <w:lang w:val="en-US" w:eastAsia="zh-CN" w:bidi="ar"/>
        </w:rPr>
        <w:t>电力：中国制式，三相五线制供电，供电电压380V±10%/220V±10%，供电频率50Hz±0.5Hz。</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bCs/>
          <w:sz w:val="24"/>
          <w:szCs w:val="24"/>
          <w:lang w:val="en-US" w:eastAsia="zh-CN" w:bidi="ar"/>
        </w:rPr>
        <w:t>2、水：市政自来水0.25MPa(0.15-0.35MPa)，。</w:t>
      </w:r>
    </w:p>
    <w:p>
      <w:pPr>
        <w:spacing w:line="360" w:lineRule="auto"/>
        <w:ind w:left="840" w:leftChars="200" w:hanging="420" w:hangingChars="175"/>
        <w:rPr>
          <w:rFonts w:hint="default" w:ascii="Times New Roman" w:hAnsi="Times New Roman" w:cs="Times New Roman"/>
          <w:bCs/>
          <w:sz w:val="24"/>
          <w:szCs w:val="24"/>
          <w:lang w:bidi="ar"/>
        </w:rPr>
      </w:pPr>
      <w:r>
        <w:rPr>
          <w:rFonts w:hint="default" w:ascii="Times New Roman" w:hAnsi="Times New Roman" w:cs="Times New Roman"/>
          <w:bCs/>
          <w:sz w:val="24"/>
          <w:szCs w:val="24"/>
          <w:lang w:val="en-US" w:eastAsia="zh-CN" w:bidi="ar"/>
        </w:rPr>
        <w:t>3、压缩空气：厂区空压机自产压缩空气，0.55～0.7 Mpa。</w:t>
      </w:r>
    </w:p>
    <w:p>
      <w:pPr>
        <w:spacing w:line="360" w:lineRule="auto"/>
        <w:ind w:firstLine="480" w:firstLineChars="200"/>
        <w:rPr>
          <w:rFonts w:hint="default" w:ascii="Times New Roman" w:hAnsi="Times New Roman" w:cs="Times New Roman" w:eastAsiaTheme="minorEastAsia"/>
          <w:sz w:val="24"/>
          <w:szCs w:val="24"/>
          <w:lang w:val="en-US" w:eastAsia="zh-CN" w:bidi="ar"/>
        </w:rPr>
      </w:pPr>
    </w:p>
    <w:p>
      <w:pPr>
        <w:pStyle w:val="5"/>
        <w:widowControl/>
        <w:spacing w:before="120" w:after="12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bidi="ar"/>
        </w:rPr>
        <w:br w:type="page"/>
      </w:r>
      <w:bookmarkStart w:id="37" w:name="_Toc326840033"/>
      <w:r>
        <w:rPr>
          <w:rFonts w:hint="default" w:ascii="Times New Roman" w:hAnsi="Times New Roman" w:cs="Times New Roman"/>
          <w:sz w:val="24"/>
          <w:szCs w:val="24"/>
        </w:rPr>
        <w:t>第二节  采购货物概况</w:t>
      </w:r>
      <w:bookmarkEnd w:id="37"/>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一、货物名称：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cs="Times New Roman"/>
          <w:sz w:val="24"/>
          <w:szCs w:val="24"/>
          <w:u w:val="single"/>
          <w:shd w:val="pct10" w:color="auto" w:fill="FFFFFF"/>
          <w:lang w:bidi="ar"/>
        </w:rPr>
        <w:t xml:space="preserve"> 一套  </w:t>
      </w:r>
      <w:r>
        <w:rPr>
          <w:rFonts w:hint="default" w:ascii="Times New Roman" w:hAnsi="Times New Roman" w:cs="Times New Roman"/>
          <w:sz w:val="24"/>
          <w:szCs w:val="24"/>
          <w:lang w:bidi="ar"/>
        </w:rPr>
        <w:t>（详见下表）</w:t>
      </w:r>
    </w:p>
    <w:p>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cs="Times New Roman"/>
          <w:sz w:val="24"/>
          <w:szCs w:val="24"/>
          <w:u w:val="single"/>
          <w:shd w:val="pct10" w:color="auto" w:fill="FFFFFF"/>
          <w:lang w:bidi="ar"/>
        </w:rPr>
        <w:t>不允许</w:t>
      </w: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cs="Times New Roman"/>
          <w:sz w:val="24"/>
          <w:szCs w:val="24"/>
          <w:lang w:bidi="ar"/>
        </w:rPr>
        <w:t>采购货物主要构成一览表</w:t>
      </w:r>
    </w:p>
    <w:tbl>
      <w:tblPr>
        <w:tblStyle w:val="40"/>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75"/>
        <w:gridCol w:w="4169"/>
        <w:gridCol w:w="859"/>
        <w:gridCol w:w="69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1775"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416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规格</w:t>
            </w:r>
          </w:p>
        </w:tc>
        <w:tc>
          <w:tcPr>
            <w:tcW w:w="85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69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140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交付</w:t>
            </w:r>
            <w:r>
              <w:rPr>
                <w:rFonts w:hint="default" w:ascii="Times New Roman" w:hAnsi="Times New Roman" w:eastAsia="宋体" w:cs="Times New Roman"/>
                <w:color w:val="000000"/>
                <w:sz w:val="24"/>
                <w:szCs w:val="24"/>
              </w:rPr>
              <w:t>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协作机器人</w:t>
            </w:r>
          </w:p>
        </w:tc>
        <w:tc>
          <w:tcPr>
            <w:tcW w:w="4169" w:type="dxa"/>
            <w:vAlign w:val="center"/>
          </w:tcPr>
          <w:p>
            <w:pPr>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highlight w:val="none"/>
                <w:lang w:val="en-US" w:eastAsia="zh-CN" w:bidi="ar"/>
              </w:rPr>
              <w:t>法奥意威FR5</w:t>
            </w:r>
          </w:p>
        </w:tc>
        <w:tc>
          <w:tcPr>
            <w:tcW w:w="859"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5加仑配加热，详见技术要求</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8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表1机械件明细表 </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表2 电气件明细表</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tc>
        <w:tc>
          <w:tcPr>
            <w:tcW w:w="859"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81" w:type="dxa"/>
            <w:vAlign w:val="center"/>
          </w:tcPr>
          <w:p>
            <w:pPr>
              <w:jc w:val="center"/>
              <w:textAlignment w:val="center"/>
              <w:rPr>
                <w:rFonts w:hint="default" w:ascii="Times New Roman" w:hAnsi="Times New Roman" w:eastAsia="宋体" w:cs="Times New Roman"/>
                <w:sz w:val="24"/>
                <w:szCs w:val="24"/>
              </w:rPr>
            </w:pPr>
          </w:p>
        </w:tc>
        <w:tc>
          <w:tcPr>
            <w:tcW w:w="1775" w:type="dxa"/>
            <w:vAlign w:val="center"/>
          </w:tcPr>
          <w:p>
            <w:pPr>
              <w:jc w:val="center"/>
              <w:textAlignment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bidi="ar"/>
              </w:rPr>
              <w:t>合计</w:t>
            </w:r>
          </w:p>
        </w:tc>
        <w:tc>
          <w:tcPr>
            <w:tcW w:w="4169" w:type="dxa"/>
            <w:vAlign w:val="center"/>
          </w:tcPr>
          <w:p>
            <w:pPr>
              <w:jc w:val="center"/>
              <w:textAlignment w:val="center"/>
              <w:rPr>
                <w:rFonts w:hint="default" w:ascii="Times New Roman" w:hAnsi="Times New Roman" w:eastAsia="宋体" w:cs="Times New Roman"/>
                <w:b/>
                <w:bCs/>
                <w:sz w:val="24"/>
                <w:szCs w:val="24"/>
              </w:rPr>
            </w:pPr>
          </w:p>
        </w:tc>
        <w:tc>
          <w:tcPr>
            <w:tcW w:w="859" w:type="dxa"/>
            <w:vAlign w:val="center"/>
          </w:tcPr>
          <w:p>
            <w:pPr>
              <w:jc w:val="center"/>
              <w:textAlignment w:val="center"/>
              <w:rPr>
                <w:rFonts w:hint="default" w:ascii="Times New Roman" w:hAnsi="Times New Roman" w:eastAsia="宋体" w:cs="Times New Roman"/>
                <w:b/>
                <w:bCs/>
                <w:sz w:val="24"/>
                <w:szCs w:val="24"/>
              </w:rPr>
            </w:pPr>
          </w:p>
        </w:tc>
        <w:tc>
          <w:tcPr>
            <w:tcW w:w="691" w:type="dxa"/>
            <w:vAlign w:val="center"/>
          </w:tcPr>
          <w:p>
            <w:pPr>
              <w:jc w:val="center"/>
              <w:textAlignment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4</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lang w:val="en-US" w:eastAsia="zh-CN"/>
        </w:rPr>
        <w:t xml:space="preserve">2. </w:t>
      </w:r>
      <w:r>
        <w:rPr>
          <w:rFonts w:hint="default" w:ascii="Times New Roman" w:hAnsi="Times New Roman" w:eastAsia="宋体" w:cs="Times New Roman"/>
          <w:bCs/>
          <w:sz w:val="24"/>
          <w:szCs w:val="24"/>
        </w:rPr>
        <w:t>本表“供货方式”指：交钥匙方式——包括制造、运输、定点卸货、安装、调试和协助验收以及约定培训等。</w:t>
      </w:r>
    </w:p>
    <w:p>
      <w:pPr>
        <w:spacing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lang w:val="en-US" w:eastAsia="zh-CN"/>
        </w:rPr>
        <w:t xml:space="preserve">3. </w:t>
      </w:r>
      <w:r>
        <w:rPr>
          <w:rFonts w:hint="default" w:ascii="Times New Roman" w:hAnsi="Times New Roman" w:eastAsia="宋体" w:cs="Times New Roman"/>
          <w:bCs/>
          <w:sz w:val="24"/>
          <w:szCs w:val="24"/>
        </w:rPr>
        <w:t>采购货物特别说明：招标人所列货物的名称和规格型号，如为某一供应商所特有，则该名称和规格型号可作参考，但要求投标人所提供的货物必须满足本技术标书实质性要求。</w:t>
      </w:r>
    </w:p>
    <w:p>
      <w:pPr>
        <w:pStyle w:val="21"/>
        <w:spacing w:line="36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主要器件品牌表（可选同等或更优质量品牌）</w:t>
      </w:r>
    </w:p>
    <w:tbl>
      <w:tblPr>
        <w:tblStyle w:val="40"/>
        <w:tblW w:w="9759" w:type="dxa"/>
        <w:tblInd w:w="0" w:type="dxa"/>
        <w:tblLayout w:type="fixed"/>
        <w:tblCellMar>
          <w:top w:w="0" w:type="dxa"/>
          <w:left w:w="108" w:type="dxa"/>
          <w:bottom w:w="0" w:type="dxa"/>
          <w:right w:w="108" w:type="dxa"/>
        </w:tblCellMar>
      </w:tblPr>
      <w:tblGrid>
        <w:gridCol w:w="768"/>
        <w:gridCol w:w="1902"/>
        <w:gridCol w:w="7089"/>
      </w:tblGrid>
      <w:tr>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序号</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名称</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品牌群</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协作机器人</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法奥意威、UR、遨博、节卡</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供胶系统</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存融、</w:t>
            </w:r>
            <w:r>
              <w:rPr>
                <w:rFonts w:hint="default" w:ascii="Times New Roman" w:hAnsi="Times New Roman" w:eastAsia="宋体" w:cs="Times New Roman"/>
                <w:color w:val="000000"/>
                <w:kern w:val="0"/>
                <w:szCs w:val="21"/>
                <w:lang w:bidi="ar"/>
              </w:rPr>
              <w:t>GRACO、</w:t>
            </w:r>
            <w:r>
              <w:rPr>
                <w:rFonts w:hint="default" w:ascii="Times New Roman" w:hAnsi="Times New Roman" w:eastAsia="宋体" w:cs="Times New Roman"/>
                <w:color w:val="000000"/>
                <w:kern w:val="0"/>
                <w:szCs w:val="21"/>
                <w:lang w:val="en-US" w:eastAsia="zh-CN" w:bidi="ar"/>
              </w:rPr>
              <w:t>SCA、杜尔</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3</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PLC</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西门子S</w:t>
            </w:r>
            <w:r>
              <w:rPr>
                <w:rFonts w:hint="default" w:ascii="Times New Roman" w:hAnsi="Times New Roman" w:eastAsia="宋体" w:cs="Times New Roman"/>
                <w:color w:val="000000"/>
                <w:kern w:val="0"/>
                <w:szCs w:val="21"/>
                <w:lang w:val="en-US" w:eastAsia="zh-CN" w:bidi="ar"/>
              </w:rPr>
              <w:t>mart</w:t>
            </w:r>
            <w:r>
              <w:rPr>
                <w:rFonts w:hint="default" w:ascii="Times New Roman" w:hAnsi="Times New Roman" w:eastAsia="宋体" w:cs="Times New Roman"/>
                <w:color w:val="000000"/>
                <w:kern w:val="0"/>
                <w:szCs w:val="21"/>
                <w:lang w:bidi="ar"/>
              </w:rPr>
              <w:t>、ABB、三菱</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4</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触摸屏</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w:t>
            </w:r>
            <w:r>
              <w:rPr>
                <w:rFonts w:hint="default" w:ascii="Times New Roman" w:hAnsi="Times New Roman" w:eastAsia="宋体" w:cs="Times New Roman"/>
                <w:color w:val="000000"/>
                <w:kern w:val="0"/>
                <w:szCs w:val="21"/>
                <w:lang w:eastAsia="zh-CN" w:bidi="ar"/>
              </w:rPr>
              <w:t>、</w:t>
            </w:r>
            <w:r>
              <w:rPr>
                <w:rFonts w:hint="default" w:ascii="Times New Roman" w:hAnsi="Times New Roman" w:eastAsia="宋体" w:cs="Times New Roman"/>
                <w:color w:val="000000"/>
                <w:kern w:val="0"/>
                <w:szCs w:val="21"/>
                <w:lang w:bidi="ar"/>
              </w:rPr>
              <w:t>Elo</w:t>
            </w:r>
            <w:r>
              <w:rPr>
                <w:rFonts w:hint="default" w:ascii="Times New Roman" w:hAnsi="Times New Roman" w:eastAsia="宋体" w:cs="Times New Roman"/>
                <w:color w:val="000000"/>
                <w:kern w:val="0"/>
                <w:szCs w:val="21"/>
                <w:lang w:val="en-US" w:eastAsia="zh-CN" w:bidi="ar"/>
              </w:rPr>
              <w:t xml:space="preserve"> </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5</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加热装置</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国产优质，恒温加热</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6</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电气元件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西门子</w:t>
            </w:r>
            <w:r>
              <w:rPr>
                <w:rFonts w:hint="default" w:ascii="Times New Roman" w:hAnsi="Times New Roman" w:eastAsia="宋体" w:cs="Times New Roman"/>
                <w:color w:val="000000"/>
                <w:kern w:val="0"/>
                <w:szCs w:val="21"/>
                <w:lang w:bidi="ar"/>
              </w:rPr>
              <w:t>、三菱</w:t>
            </w:r>
            <w:r>
              <w:rPr>
                <w:rFonts w:hint="default" w:ascii="Times New Roman" w:hAnsi="Times New Roman" w:eastAsia="宋体" w:cs="Times New Roman"/>
                <w:color w:val="000000"/>
                <w:kern w:val="0"/>
                <w:szCs w:val="21"/>
                <w:lang w:val="en-US" w:eastAsia="zh-CN" w:bidi="ar"/>
              </w:rPr>
              <w:t>或国产优质</w:t>
            </w:r>
          </w:p>
        </w:tc>
      </w:tr>
      <w:tr>
        <w:tblPrEx>
          <w:tblCellMar>
            <w:top w:w="0" w:type="dxa"/>
            <w:left w:w="108" w:type="dxa"/>
            <w:bottom w:w="0" w:type="dxa"/>
            <w:right w:w="108" w:type="dxa"/>
          </w:tblCellMar>
        </w:tblPrEx>
        <w:trPr>
          <w:trHeight w:val="396"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7</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气动元件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SMC、</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"https://www.maigoo.com/brand/16017.html"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亚德客AirTAC</w:t>
            </w:r>
            <w:r>
              <w:rPr>
                <w:rFonts w:hint="default" w:ascii="Times New Roman" w:hAnsi="Times New Roman" w:eastAsia="宋体" w:cs="Times New Roman"/>
                <w:color w:val="000000"/>
                <w:kern w:val="0"/>
                <w:szCs w:val="21"/>
                <w:lang w:bidi="ar"/>
              </w:rPr>
              <w:fldChar w:fldCharType="end"/>
            </w:r>
            <w:r>
              <w:rPr>
                <w:rFonts w:hint="default" w:ascii="Times New Roman" w:hAnsi="Times New Roman" w:eastAsia="宋体" w:cs="Times New Roman"/>
                <w:color w:val="000000"/>
                <w:kern w:val="0"/>
                <w:szCs w:val="21"/>
                <w:lang w:bidi="ar"/>
              </w:rPr>
              <w:t>、</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"https://www.maigoo.com/brand/123031.html"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FESTO费斯托</w:t>
            </w:r>
            <w:r>
              <w:rPr>
                <w:rFonts w:hint="default" w:ascii="Times New Roman" w:hAnsi="Times New Roman" w:eastAsia="宋体" w:cs="Times New Roman"/>
                <w:color w:val="000000"/>
                <w:kern w:val="0"/>
                <w:szCs w:val="21"/>
                <w:lang w:bidi="ar"/>
              </w:rPr>
              <w:fldChar w:fldCharType="end"/>
            </w:r>
          </w:p>
        </w:tc>
      </w:tr>
    </w:tbl>
    <w:p>
      <w:pPr>
        <w:pStyle w:val="21"/>
        <w:spacing w:line="360" w:lineRule="auto"/>
        <w:jc w:val="center"/>
        <w:rPr>
          <w:rFonts w:hint="default" w:ascii="Times New Roman" w:hAnsi="Times New Roman" w:eastAsia="宋体" w:cs="Times New Roman"/>
          <w:bCs/>
          <w:sz w:val="24"/>
          <w:szCs w:val="24"/>
        </w:rPr>
      </w:pPr>
    </w:p>
    <w:p>
      <w:pPr>
        <w:spacing w:line="360" w:lineRule="auto"/>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四</w:t>
      </w:r>
      <w:r>
        <w:rPr>
          <w:rFonts w:hint="default" w:ascii="Times New Roman" w:hAnsi="Times New Roman" w:eastAsia="宋体" w:cs="Times New Roman"/>
          <w:b/>
          <w:color w:val="000000"/>
          <w:sz w:val="24"/>
          <w:szCs w:val="24"/>
        </w:rPr>
        <w:t>、采购货物特别说明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r>
        <w:rPr>
          <w:rFonts w:hint="default" w:ascii="Times New Roman" w:hAnsi="Times New Roman" w:eastAsia="宋体" w:cs="Times New Roman"/>
          <w:bCs/>
          <w:sz w:val="24"/>
          <w:szCs w:val="24"/>
        </w:rPr>
        <w:br w:type="page"/>
      </w:r>
    </w:p>
    <w:p>
      <w:pPr>
        <w:keepNext/>
        <w:keepLines/>
        <w:spacing w:before="120" w:after="120" w:line="480" w:lineRule="exact"/>
        <w:jc w:val="center"/>
        <w:outlineLvl w:val="1"/>
        <w:rPr>
          <w:rFonts w:hint="default" w:ascii="Times New Roman" w:hAnsi="Times New Roman" w:eastAsia="宋体" w:cs="Times New Roman"/>
          <w:bCs/>
          <w:kern w:val="44"/>
          <w:sz w:val="28"/>
          <w:szCs w:val="28"/>
        </w:rPr>
      </w:pPr>
      <w:bookmarkStart w:id="38" w:name="_Toc169605880"/>
      <w:bookmarkStart w:id="39" w:name="_Toc169605881"/>
      <w:r>
        <w:rPr>
          <w:rFonts w:hint="default" w:ascii="Times New Roman" w:hAnsi="Times New Roman" w:eastAsia="宋体" w:cs="Times New Roman"/>
          <w:b/>
          <w:bCs/>
          <w:kern w:val="44"/>
          <w:sz w:val="28"/>
          <w:szCs w:val="28"/>
        </w:rPr>
        <w:t>第二章技术要求</w:t>
      </w:r>
      <w:bookmarkEnd w:id="38"/>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一、特别提示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二、基本要求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1.投标人所供的货物，必须符合中国最新版的法律、法规和相关标准、规范的要求，符合项目所在地政府有关特殊要求。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3.投标人应保证所供货物的先进性、可靠性、经济性和实用性，并为全新货物（或设备）。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4.投标人应满足招标人提出的各项技术要求，必要时应当免费提供技术承诺或担保。</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6.投标人应保证所供货物的完整性和成套性，能保证货物的正常运行、使用。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8.投标人预验收时需提供进口设备、部件的报关清关资料。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9.投标人应提供设备的第三方检定校准报告，检定费用含在报价中。</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10.电机能耗要求：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电机功率≥7.5kW，必须选用一级能效。电机功率&lt;7.5kW，优先选用一级能效；其中对于能源供应类设备及年运行时间≥2000h 工艺设备的电机必须选用一级能效。</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11.程序权限要求：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11.1供方必须提供所有设备程序的源代码，包括但不限于 PLC程序、HMI 程序、机器人程序、视觉程序、伺服等。</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11.2供方所提供的程序不得设置任何密码、保护等限制手段，PLC不得设置修改下载权限，功能块不得设置密码保护。</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11.3 HMI界面等需要密码保护的程序，供方必须提供所有级别的用户名、密码。 </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11.4供方需在设备入场前提供设备程序源码，HMI 界面各级用户名和密码，并保证与现场程序一致。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11.5 供方需在终验收前提供最新的设备程序源码和电气图纸，图纸要求为可编辑原格式（EPLAN、CAD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12.接口协议要求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12.1 供方免费开放所有通讯接口，包括但不限于以太网、RS232、RS485、PROFIBUS、PROFINET、MODBUS 等常见接口，以及设备特有的专用接口。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12.2 供方免费提供数据交互功能，交互数据包括但不限于实时数据、历史数据、报警信息等。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12.3 供方在设备入场前提供接口的技术文档和参数说明，包括但不限于接口协议、通讯速率、数据格式等。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12.4 设备使用周期内，供方免费派遣技术人员与甲方调试团队共同进行设备通讯接口的调试工作。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13.设备设施颜色严格执行我公司企业标准《设备设施颜色标识》（Q/ZZ30070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—2020）。</w:t>
      </w:r>
    </w:p>
    <w:p>
      <w:pPr>
        <w:spacing w:line="360" w:lineRule="auto"/>
        <w:ind w:firstLine="480" w:firstLineChars="200"/>
        <w:rPr>
          <w:rFonts w:hint="default" w:ascii="Times New Roman" w:hAnsi="Times New Roman" w:eastAsia="宋体" w:cs="Times New Roman"/>
          <w:sz w:val="24"/>
          <w:szCs w:val="24"/>
        </w:r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三、技术要求</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协作机器人</w:t>
      </w:r>
    </w:p>
    <w:tbl>
      <w:tblPr>
        <w:tblStyle w:val="40"/>
        <w:tblW w:w="7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71"/>
        <w:gridCol w:w="2220"/>
        <w:gridCol w:w="2301"/>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序号</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项目</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有效负载</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工作半径</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922mm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自由度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6个旋转关节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重复定位精度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±0.02mm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5</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移动轴</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工作范围</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基座</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肩部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肘部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±160°</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腕部1</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腕部2</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腕部3</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典型TCP速度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防护等级</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IP54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eastAsia="zh-CN"/>
              </w:rPr>
            </w:pPr>
            <w:r>
              <w:rPr>
                <w:rFonts w:hint="default" w:ascii="Times New Roman" w:hAnsi="Times New Roman" w:eastAsia="宋体" w:cs="Times New Roman"/>
                <w:b w:val="0"/>
                <w:color w:val="000000"/>
                <w:sz w:val="24"/>
                <w:szCs w:val="24"/>
                <w:lang w:val="en-US" w:eastAsia="zh-CN"/>
              </w:rPr>
              <w:t>8</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工作环境</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环境温度：0~45 °/环境湿度：≤90%</w:t>
            </w:r>
          </w:p>
        </w:tc>
      </w:tr>
    </w:tbl>
    <w:p>
      <w:pPr>
        <w:pStyle w:val="4"/>
        <w:rPr>
          <w:rFonts w:hint="default" w:ascii="Times New Roman" w:hAnsi="Times New Roman" w:cs="Times New Roman"/>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涂胶系统</w:t>
      </w:r>
    </w:p>
    <w:p>
      <w:pPr>
        <w:spacing w:line="360" w:lineRule="auto"/>
        <w:ind w:firstLine="480" w:firstLineChars="200"/>
        <w:rPr>
          <w:rStyle w:val="152"/>
          <w:rFonts w:hint="default" w:ascii="Times New Roman" w:hAnsi="Times New Roman" w:eastAsia="宋体" w:cs="Times New Roman"/>
          <w:b w:val="0"/>
          <w:bCs w:val="0"/>
          <w:sz w:val="24"/>
          <w:szCs w:val="24"/>
          <w:highlight w:val="none"/>
        </w:rPr>
      </w:pPr>
      <w:r>
        <w:rPr>
          <w:rStyle w:val="152"/>
          <w:rFonts w:hint="default" w:ascii="Times New Roman" w:hAnsi="Times New Roman" w:eastAsia="宋体" w:cs="Times New Roman"/>
          <w:b w:val="0"/>
          <w:bCs w:val="0"/>
          <w:sz w:val="24"/>
          <w:szCs w:val="24"/>
          <w:highlight w:val="none"/>
        </w:rPr>
        <w:t>供胶泵采用5加仑，胶泵将胶按一定压力打出，</w:t>
      </w:r>
      <w:r>
        <w:rPr>
          <w:rStyle w:val="152"/>
          <w:rFonts w:hint="default" w:ascii="Times New Roman" w:hAnsi="Times New Roman" w:eastAsia="宋体" w:cs="Times New Roman"/>
          <w:b w:val="0"/>
          <w:bCs w:val="0"/>
          <w:sz w:val="24"/>
          <w:szCs w:val="24"/>
          <w:highlight w:val="none"/>
          <w:lang w:val="en-US" w:eastAsia="zh-CN"/>
        </w:rPr>
        <w:t>配备稳压系统及自动出胶阀，压盘、泵体及胶管带加热功能</w:t>
      </w:r>
      <w:r>
        <w:rPr>
          <w:rStyle w:val="152"/>
          <w:rFonts w:hint="default" w:ascii="Times New Roman" w:hAnsi="Times New Roman" w:eastAsia="宋体" w:cs="Times New Roman"/>
          <w:b w:val="0"/>
          <w:bCs w:val="0"/>
          <w:sz w:val="24"/>
          <w:szCs w:val="24"/>
          <w:highlight w:val="none"/>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2.1胶泵</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胶泵为5加仑20L</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1min内可完成200ml涂胶量需求</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胶泵应能适应买方所用的胶</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胶泵气动马达往复换向使用寿命不低于100万次</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胶泵采用加热方式，加热区域分为压盘、</w:t>
      </w:r>
      <w:r>
        <w:rPr>
          <w:rFonts w:hint="default" w:ascii="Times New Roman" w:hAnsi="Times New Roman" w:eastAsia="宋体" w:cs="Times New Roman"/>
          <w:sz w:val="24"/>
          <w:szCs w:val="24"/>
          <w:highlight w:val="none"/>
          <w:lang w:val="en-US" w:eastAsia="zh-CN"/>
        </w:rPr>
        <w:t>胶泵、胶管</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胶泵的升降缸</w:t>
      </w:r>
      <w:r>
        <w:rPr>
          <w:rFonts w:hint="default" w:ascii="Times New Roman" w:hAnsi="Times New Roman" w:eastAsia="宋体" w:cs="Times New Roman"/>
          <w:sz w:val="24"/>
          <w:szCs w:val="24"/>
          <w:highlight w:val="none"/>
          <w:lang w:val="en-US" w:eastAsia="zh-CN"/>
        </w:rPr>
        <w:t>可</w:t>
      </w:r>
      <w:r>
        <w:rPr>
          <w:rFonts w:hint="default" w:ascii="Times New Roman" w:hAnsi="Times New Roman" w:eastAsia="宋体" w:cs="Times New Roman"/>
          <w:sz w:val="24"/>
          <w:szCs w:val="24"/>
          <w:highlight w:val="none"/>
        </w:rPr>
        <w:t>保证下泵体能够和胶桶内壁保持垂直</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当正处于工作状态的泵出现故障，此时胶桶内胶并未用尽，</w:t>
      </w:r>
      <w:r>
        <w:rPr>
          <w:rFonts w:hint="default" w:ascii="Times New Roman" w:hAnsi="Times New Roman" w:eastAsia="宋体" w:cs="Times New Roman"/>
          <w:sz w:val="24"/>
          <w:szCs w:val="24"/>
          <w:lang w:val="en-US" w:eastAsia="zh-CN"/>
        </w:rPr>
        <w:t>胶泵修复后</w:t>
      </w:r>
      <w:r>
        <w:rPr>
          <w:rFonts w:hint="default" w:ascii="Times New Roman" w:hAnsi="Times New Roman" w:eastAsia="宋体" w:cs="Times New Roman"/>
          <w:sz w:val="24"/>
          <w:szCs w:val="24"/>
        </w:rPr>
        <w:t>可以通过手工切换</w:t>
      </w:r>
      <w:r>
        <w:rPr>
          <w:rFonts w:hint="default" w:ascii="Times New Roman" w:hAnsi="Times New Roman" w:eastAsia="宋体" w:cs="Times New Roman"/>
          <w:sz w:val="24"/>
          <w:szCs w:val="24"/>
          <w:lang w:val="en-US" w:eastAsia="zh-CN"/>
        </w:rPr>
        <w:t>再次</w:t>
      </w:r>
      <w:r>
        <w:rPr>
          <w:rFonts w:hint="default" w:ascii="Times New Roman" w:hAnsi="Times New Roman" w:eastAsia="宋体" w:cs="Times New Roman"/>
          <w:sz w:val="24"/>
          <w:szCs w:val="24"/>
        </w:rPr>
        <w:t>进入工作状态；</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涂胶泵必须能够竖直固定到地面或者相应部位，当更换胶桶的时候或者自动涂胶系统工作的时候，胶泵不会发生任何位置移动或者晃动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2.2胶管</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耐高压加热胶管为多层复合结构由耐磨供料层，加热层，保温层，保护层及传感器组成。在配管、软管上设置加热装置，可对粘接剂实现加热、保温</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各供胶软、硬管，供胶能力需能满足节拍要求，且带加热器，温度可达70摄氏度且可调</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软管使用聚四氟乙烯管，并要求有良好的耐久性能。须合理固定并用平衡器悬挂，以防止管道弯折损坏</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机器人手臂或涂胶枪上的胶管接头，需防止松动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2.3胶温控制系统</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加热控制器对胶料全程温控，且加热能力达到70℃的要求</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加热器可按加热控制装置的控制，可设定胶泵、定量泵、胶枪和胶管内胶的温度(15°～70°)，并通过显示器显示温度</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温度异常时向操作者声光报警，并系统暂停</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加热器及热电偶温度探头应在标识位置，便于故障的查找、维修</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系统采用恒温控制，</w:t>
      </w:r>
      <w:r>
        <w:rPr>
          <w:rFonts w:hint="default" w:ascii="Times New Roman" w:hAnsi="Times New Roman" w:eastAsia="宋体" w:cs="Times New Roman"/>
          <w:sz w:val="24"/>
          <w:szCs w:val="24"/>
          <w:highlight w:val="none"/>
        </w:rPr>
        <w:t>使涂胶枪口的出胶温度不会超出</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0°至</w:t>
      </w:r>
      <w:r>
        <w:rPr>
          <w:rFonts w:hint="default" w:ascii="Times New Roman" w:hAnsi="Times New Roman" w:eastAsia="宋体" w:cs="Times New Roman"/>
          <w:sz w:val="24"/>
          <w:szCs w:val="24"/>
          <w:highlight w:val="none"/>
          <w:lang w:val="en-US" w:eastAsia="zh-CN"/>
        </w:rPr>
        <w:t>40</w:t>
      </w:r>
      <w:r>
        <w:rPr>
          <w:rFonts w:hint="default" w:ascii="Times New Roman" w:hAnsi="Times New Roman" w:eastAsia="宋体" w:cs="Times New Roman"/>
          <w:sz w:val="24"/>
          <w:szCs w:val="24"/>
          <w:highlight w:val="none"/>
        </w:rPr>
        <w:t>°的范围，以保证设备冬天的正常运行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温控稳定可靠。</w:t>
      </w:r>
    </w:p>
    <w:p>
      <w:pPr>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2.4涂胶枪</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自动胶枪由自动枪阀和专用胶嘴组成；</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机器人软件控制同步，保证胶形、轨迹符合要求；</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将胶枪口作为唯一工具坐标点运行涂胶路径程序；</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胶枪与胶嘴的连接设计合理，在固定处设置定位机构，方便胶嘴更换，并确保胶</w:t>
      </w:r>
      <w:r>
        <w:rPr>
          <w:rFonts w:hint="default" w:ascii="Times New Roman" w:hAnsi="Times New Roman" w:eastAsia="宋体" w:cs="Times New Roman"/>
          <w:sz w:val="24"/>
          <w:szCs w:val="24"/>
          <w:highlight w:val="none"/>
          <w:lang w:val="en-US" w:eastAsia="zh-CN"/>
        </w:rPr>
        <w:t>嘴开口的相对位置固定；</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为保证胶条的质量，投标方可以使用标准胶嘴，不得划伤被涂物表面，也可以采用专用胶嘴，并提供相应图纸；</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专用胶嘴根据胶型的要求定制设计。</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机械件</w:t>
      </w:r>
    </w:p>
    <w:p>
      <w:pPr>
        <w:pStyle w:val="4"/>
        <w:numPr>
          <w:ilvl w:val="0"/>
          <w:numId w:val="0"/>
        </w:numPr>
        <w:ind w:left="570" w:leftChars="0"/>
        <w:rPr>
          <w:rFonts w:hint="default" w:ascii="Times New Roman" w:hAnsi="Times New Roman" w:cs="Times New Roman"/>
          <w:sz w:val="24"/>
          <w:szCs w:val="24"/>
          <w:highlight w:val="none"/>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cs="Times New Roman"/>
          <w:lang w:val="en-US" w:eastAsia="zh-CN"/>
        </w:rPr>
        <w:t>机械件明细见表1</w:t>
      </w:r>
    </w:p>
    <w:p>
      <w:pPr>
        <w:numPr>
          <w:ilvl w:val="0"/>
          <w:numId w:val="0"/>
        </w:numPr>
        <w:spacing w:line="36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表1 机械件明细表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34"/>
        <w:gridCol w:w="2225"/>
        <w:gridCol w:w="3002"/>
        <w:gridCol w:w="1933"/>
        <w:gridCol w:w="793"/>
        <w:gridCol w:w="754"/>
        <w:gridCol w:w="977"/>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序号</w:t>
            </w:r>
          </w:p>
        </w:tc>
        <w:tc>
          <w:tcPr>
            <w:tcW w:w="293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图号</w:t>
            </w:r>
          </w:p>
        </w:tc>
        <w:tc>
          <w:tcPr>
            <w:tcW w:w="2225" w:type="dxa"/>
            <w:shd w:val="clear" w:color="auto" w:fill="auto"/>
            <w:vAlign w:val="top"/>
          </w:tcPr>
          <w:p>
            <w:pPr>
              <w:spacing w:beforeLines="0" w:afterLine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rPr>
              <w:t>名称</w:t>
            </w:r>
          </w:p>
        </w:tc>
        <w:tc>
          <w:tcPr>
            <w:tcW w:w="3002"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规格/型号</w:t>
            </w:r>
          </w:p>
        </w:tc>
        <w:tc>
          <w:tcPr>
            <w:tcW w:w="193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材质</w:t>
            </w:r>
          </w:p>
        </w:tc>
        <w:tc>
          <w:tcPr>
            <w:tcW w:w="79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单位</w:t>
            </w:r>
          </w:p>
        </w:tc>
        <w:tc>
          <w:tcPr>
            <w:tcW w:w="75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数量</w:t>
            </w:r>
          </w:p>
        </w:tc>
        <w:tc>
          <w:tcPr>
            <w:tcW w:w="977"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品牌</w:t>
            </w:r>
          </w:p>
        </w:tc>
        <w:tc>
          <w:tcPr>
            <w:tcW w:w="1016"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RH-JQ01-02-04-00-0000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2#支架支撑轴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1#支架固定底板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RH-JQ01-02-02-00-0000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RH-JQ01-02-07-02-0000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自制压板1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RH-JQ01-03-04-01-0000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压钳支架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2#定位柱_5</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2#定位柱_3</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2#定位柱_4</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吹扫连接件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RH-JQ01-07-01-00-0000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点胶阀连接板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29</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RH-JQ01-01-01-08-0000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30</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31</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RH-JQ01-01-01-06-0000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32</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RH-JQ01-01-01-07-0000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电气元件安装板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33</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RH-JQ01-01-02-03-0000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上防护罩后门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主底板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传感器支架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废料支架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RH-JQ01-06-00-00-0000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机器人底座</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YDG11-D20-P25-B10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YDG01-D20-P25-B10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WDC13005-SM</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PC1003</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过滤减压阀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GFR3001-AS</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手动滑阀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HSV10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触摸屏安装盒</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F120悬臂+安装盒+把手</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平衡器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SB-7000 4-7KG</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万向轮</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4寸</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不锈钢蹄脚</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D100xM20x125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54</w:t>
            </w:r>
          </w:p>
        </w:tc>
        <w:tc>
          <w:tcPr>
            <w:tcW w:w="2934" w:type="dxa"/>
            <w:shd w:val="clear" w:color="auto" w:fill="auto"/>
            <w:vAlign w:val="top"/>
          </w:tcPr>
          <w:p>
            <w:pPr>
              <w:spacing w:beforeLines="0" w:afterLines="0"/>
              <w:ind w:firstLine="246" w:firstLineChar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穿线孔装饰圈</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M3x8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M4x10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M6x12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M6x40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M8x12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M8x16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M8x35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sectPr>
          <w:pgSz w:w="16840" w:h="11907" w:orient="landscape"/>
          <w:pgMar w:top="1418" w:right="1304" w:bottom="1418" w:left="1304" w:header="724" w:footer="851" w:gutter="0"/>
          <w:pgBorders>
            <w:top w:val="none" w:sz="0" w:space="0"/>
            <w:left w:val="none" w:sz="0" w:space="0"/>
            <w:bottom w:val="none" w:sz="0" w:space="0"/>
            <w:right w:val="none" w:sz="0" w:space="0"/>
          </w:pgBorders>
          <w:pgNumType w:fmt="decimal"/>
          <w:cols w:space="720" w:num="1"/>
          <w:docGrid w:linePitch="290" w:charSpace="-3931"/>
        </w:sect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电气件</w:t>
      </w:r>
    </w:p>
    <w:p>
      <w:pPr>
        <w:numPr>
          <w:ilvl w:val="0"/>
          <w:numId w:val="0"/>
        </w:numPr>
        <w:spacing w:line="360" w:lineRule="auto"/>
        <w:ind w:left="570" w:leftChars="0"/>
        <w:rPr>
          <w:rFonts w:hint="default" w:ascii="Times New Roman" w:hAnsi="Times New Roman" w:eastAsia="宋体" w:cs="Times New Roman"/>
          <w:b/>
          <w:bCs/>
          <w:kern w:val="2"/>
          <w:sz w:val="24"/>
          <w:szCs w:val="32"/>
          <w:lang w:val="en-US" w:eastAsia="zh-CN" w:bidi="ar-SA"/>
        </w:rPr>
      </w:pPr>
      <w:r>
        <w:rPr>
          <w:rFonts w:hint="default" w:ascii="Times New Roman" w:hAnsi="Times New Roman" w:eastAsia="宋体" w:cs="Times New Roman"/>
          <w:b/>
          <w:bCs/>
          <w:kern w:val="2"/>
          <w:sz w:val="24"/>
          <w:szCs w:val="32"/>
          <w:lang w:val="en-US" w:eastAsia="zh-CN" w:bidi="ar-SA"/>
        </w:rPr>
        <w:t>电气件明细见表2</w:t>
      </w:r>
    </w:p>
    <w:p>
      <w:pPr>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表2 电气件明细表</w:t>
      </w:r>
    </w:p>
    <w:tbl>
      <w:tblPr>
        <w:tblStyle w:val="40"/>
        <w:tblW w:w="93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2770"/>
        <w:gridCol w:w="2936"/>
        <w:gridCol w:w="811"/>
        <w:gridCol w:w="768"/>
        <w:gridCol w:w="1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blHeader/>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名称</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规格型号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数量</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ATH6-63N2C40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ATH6-63N2C16</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通用继电器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SR2HLT-D24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插座</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SSF08F</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接触器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3RT6028-1AN20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中央处理器模组</w:t>
            </w:r>
          </w:p>
        </w:tc>
        <w:tc>
          <w:tcPr>
            <w:tcW w:w="2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6ES7288-1ST40-0AA0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HMI Smart 700 IE V4</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6AV6648-0DC11-3AX0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隔离开关</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LW42B2-1824/LF101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上海天逸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金属旋转释放急停钮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PB1S-02ZR/r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 F13-60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金属短柄二位置旋钮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PB1S-10X/k</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PB1S-10/g</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按钮标识框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PB1-F-B11-18</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工业以太网交换机</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TL-SF1005</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TP-Link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配线槽</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线槽40*40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铝合金导轨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DR5100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导轨开关电源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NDR-120-24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明纬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1米</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2米</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6XV1870-3RH60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 UK-B1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端子固定件</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ZEW35 9540000000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1608620000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BL 1608630000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6 1608670000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5 1608830000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L</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N</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OR 1636800000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BL 1608580000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2.5/4AN 1608660000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OR 1608820000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BL 1608810000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1608800000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接线端子横联件（4通道）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ZQV 2.5/10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多层模块化端子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ZDK 2.5 1674300000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ZDK2.5 1674730000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21-30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接线盒1进10出20位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F122007-UK2.5-20-1/10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短接片10位</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插排8位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GN-403 无线缆</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公牛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三色警示灯</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三层弯臂红黄绿 常亮蜂鸣 DC 24V</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九家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安全光栅</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TAYB2820-30PB</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台邦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接近开关</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BC1206PZ-PNP信号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精嘉科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电容式传感器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ZJG25-N-6-M12-P-0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怡合达</w:t>
            </w:r>
          </w:p>
        </w:tc>
      </w:tr>
    </w:tbl>
    <w:p>
      <w:pPr>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附件</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p>
      <w:pPr>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动力基本要求</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动力电路从动力箱或屋架上插接母线接入，从车间配电柜到设备的电源的配线施工包含在报价范围内。设备控制柜内图纸要包含液体、气体管路图和加注时序图。张贴在柜的回路图，必须耐水耐腐蚀。</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系统设计上须要确保电压在±15%范围内波动能正常使用。若需要提高电能质量，相关的电能处理设备需</w:t>
      </w:r>
      <w:r>
        <w:rPr>
          <w:rFonts w:hint="eastAsia" w:ascii="Times New Roman" w:hAnsi="Times New Roman" w:eastAsia="宋体" w:cs="Times New Roman"/>
          <w:sz w:val="24"/>
          <w:szCs w:val="24"/>
          <w:highlight w:val="none"/>
          <w:lang w:val="en-US" w:eastAsia="zh-CN"/>
        </w:rPr>
        <w:t>投标方</w:t>
      </w:r>
      <w:r>
        <w:rPr>
          <w:rFonts w:hint="default" w:ascii="Times New Roman" w:hAnsi="Times New Roman" w:eastAsia="宋体" w:cs="Times New Roman"/>
          <w:sz w:val="24"/>
          <w:szCs w:val="24"/>
          <w:highlight w:val="none"/>
          <w:lang w:val="en-US" w:eastAsia="zh-CN"/>
        </w:rPr>
        <w:t>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安装控制柜时要明确标示电缆去向的设备名称，设备侧的电缆上要明确标明回路的分电盘编号，标识清晰不易脱落。控制柜内应有回路图。</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为避免电机用电源线对信号线产生干扰，需进行屏蔽处理，并留有必要间距，强弱电需分开布置。</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设备须用地线可靠接地，禁止跨越布线。开关固定可靠，不能固定在安全网上。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禁止跨越布线：每一个接地点都必须通过单独的接地线接到总接地铜排的一个接地端子上。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bookmarkStart w:id="40" w:name="_Toc29499"/>
      <w:r>
        <w:rPr>
          <w:rFonts w:hint="default" w:ascii="Times New Roman" w:hAnsi="Times New Roman" w:eastAsia="宋体" w:cs="Times New Roman"/>
          <w:sz w:val="24"/>
          <w:szCs w:val="24"/>
          <w:highlight w:val="none"/>
          <w:lang w:val="en-US" w:eastAsia="zh-CN"/>
        </w:rPr>
        <w:t>接地导体截面积选择：</w:t>
      </w:r>
      <w:bookmarkEnd w:id="40"/>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1" w:name="_Toc21730"/>
      <w:r>
        <w:rPr>
          <w:rFonts w:hint="default" w:ascii="Times New Roman" w:hAnsi="Times New Roman" w:eastAsia="宋体" w:cs="Times New Roman"/>
          <w:sz w:val="24"/>
          <w:szCs w:val="24"/>
          <w:highlight w:val="none"/>
          <w:lang w:val="en-US" w:eastAsia="zh-CN"/>
        </w:rPr>
        <w:t>—导体截面在16mm²以下时，接地导体截面等于最大的导体截面。</w:t>
      </w:r>
      <w:bookmarkEnd w:id="41"/>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2" w:name="_Toc25669"/>
      <w:r>
        <w:rPr>
          <w:rFonts w:hint="default" w:ascii="Times New Roman" w:hAnsi="Times New Roman" w:eastAsia="宋体" w:cs="Times New Roman"/>
          <w:sz w:val="24"/>
          <w:szCs w:val="24"/>
          <w:highlight w:val="none"/>
          <w:lang w:val="en-US" w:eastAsia="zh-CN"/>
        </w:rPr>
        <w:t>—导体截面在16～32mm²时，接地导体截面为16mm²。</w:t>
      </w:r>
      <w:bookmarkEnd w:id="42"/>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3" w:name="_Toc17608"/>
      <w:r>
        <w:rPr>
          <w:rFonts w:hint="default" w:ascii="Times New Roman" w:hAnsi="Times New Roman" w:eastAsia="宋体" w:cs="Times New Roman"/>
          <w:sz w:val="24"/>
          <w:szCs w:val="24"/>
          <w:highlight w:val="none"/>
          <w:lang w:val="en-US" w:eastAsia="zh-CN"/>
        </w:rPr>
        <w:t>—导体截面在32～120mm²时，接地导体截面等于相线截面的一半。</w:t>
      </w:r>
      <w:bookmarkEnd w:id="43"/>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电缆进出控制盒、控制柜、接线盒必须安装合适的防护套，过长的线路需处理。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系统需具备完善的互锁保护，需具备双向且不允许同时发生的移动、运转装置等的电气互锁控制，要求必须有硬件触点互锁，不能只有软件互锁。</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作业员作业和设备动作时各传感器不能与工件和设备产生干涉。</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各传感器的信号需采用独立的输入信号通道。</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热继电器、按钮要单独走线，不可串联；禁止将两个感应开关或两个行程开关串联使用。</w:t>
      </w:r>
    </w:p>
    <w:p>
      <w:pPr>
        <w:rPr>
          <w:rFonts w:hint="default" w:ascii="Times New Roman" w:hAnsi="Times New Roman" w:eastAsia="宋体" w:cs="Times New Roman"/>
          <w:sz w:val="24"/>
          <w:szCs w:val="24"/>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lang w:val="en-US" w:eastAsia="zh-CN"/>
        </w:rPr>
        <w:t>四</w:t>
      </w:r>
      <w:r>
        <w:rPr>
          <w:rFonts w:hint="default" w:ascii="Times New Roman" w:hAnsi="Times New Roman" w:eastAsia="宋体" w:cs="Times New Roman"/>
          <w:b/>
          <w:bCs w:val="0"/>
          <w:sz w:val="32"/>
          <w:szCs w:val="32"/>
        </w:rPr>
        <w:t>、其他</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sz w:val="24"/>
          <w:szCs w:val="24"/>
        </w:rPr>
        <w:t>1、</w:t>
      </w:r>
      <w:r>
        <w:rPr>
          <w:rFonts w:hint="default" w:ascii="Times New Roman" w:hAnsi="Times New Roman" w:eastAsia="宋体" w:cs="Times New Roman"/>
          <w:color w:val="000000"/>
          <w:kern w:val="0"/>
          <w:sz w:val="24"/>
          <w:szCs w:val="24"/>
          <w:lang w:bidi="ar"/>
        </w:rPr>
        <w:t>投标人应测算设备的</w:t>
      </w:r>
      <w:bookmarkStart w:id="44" w:name="_Hlk33015261"/>
      <w:r>
        <w:rPr>
          <w:rFonts w:hint="default" w:ascii="Times New Roman" w:hAnsi="Times New Roman" w:eastAsia="宋体" w:cs="Times New Roman"/>
          <w:color w:val="000000"/>
          <w:kern w:val="0"/>
          <w:sz w:val="24"/>
          <w:szCs w:val="24"/>
          <w:lang w:bidi="ar"/>
        </w:rPr>
        <w:t>全生命周期费用（LCC）</w:t>
      </w:r>
      <w:bookmarkEnd w:id="44"/>
      <w:r>
        <w:rPr>
          <w:rFonts w:hint="default" w:ascii="Times New Roman" w:hAnsi="Times New Roman" w:eastAsia="宋体" w:cs="Times New Roman"/>
          <w:color w:val="000000"/>
          <w:kern w:val="0"/>
          <w:sz w:val="24"/>
          <w:szCs w:val="24"/>
          <w:lang w:bidi="ar"/>
        </w:rPr>
        <w:t>、运行维持费用及费用分解构成，并在投标文件中列出。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2全生命周期费用（LCC）主要指设备的维持费用，包括设备在设计使用寿命内的备品备件投入，日常维护（维保）费用，大（项）修费用，和正常使用的能源费用，按年列出。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3节能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3.1优先采购节能产品和环境标志产品。可参照节能机电设备（产品）推荐目录（工信部）、“能效之星”产品目录（工信部）。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3.2</w:t>
      </w:r>
      <w:r>
        <w:rPr>
          <w:rFonts w:hint="default" w:ascii="Times New Roman" w:hAnsi="Times New Roman" w:eastAsia="宋体" w:cs="Times New Roman"/>
          <w:color w:val="000000"/>
          <w:kern w:val="0"/>
          <w:sz w:val="24"/>
          <w:szCs w:val="24"/>
          <w:lang w:bidi="ar"/>
        </w:rPr>
        <w:t>建议电动机等部件的能效等级不低于国家</w:t>
      </w:r>
      <w:bookmarkStart w:id="45" w:name="_Hlk33093381"/>
      <w:r>
        <w:rPr>
          <w:rFonts w:hint="default" w:ascii="Times New Roman" w:hAnsi="Times New Roman" w:eastAsia="宋体" w:cs="Times New Roman"/>
          <w:color w:val="000000"/>
          <w:kern w:val="0"/>
          <w:sz w:val="24"/>
          <w:szCs w:val="24"/>
          <w:lang w:bidi="ar"/>
        </w:rPr>
        <w:t>现行标准二级能效</w:t>
      </w:r>
      <w:bookmarkEnd w:id="45"/>
      <w:r>
        <w:rPr>
          <w:rFonts w:hint="default" w:ascii="Times New Roman" w:hAnsi="Times New Roman" w:eastAsia="宋体" w:cs="Times New Roman"/>
          <w:color w:val="000000"/>
          <w:kern w:val="0"/>
          <w:sz w:val="24"/>
          <w:szCs w:val="24"/>
          <w:lang w:bidi="ar"/>
        </w:rPr>
        <w:t>。进口产品的能效不应低于原产国现行能效标准二级能效。如：对应欧洲标准电动机的能效等级不低于IE3。</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3.3不应采购列入国家高耗能落后机电设备（产品）淘汰目录的产品（工信部）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3.4能源计量</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3.4.1主要用能设备应当按照GB17167《用能单位能源计量器具配备和管理通则》的要求配备能源计量器具。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3.4.2当主要用能设备能源消耗量（或功率）达到下列限定值时，应当配备能源计量器具：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--电力：100KW; 多功能电能表的准确度等级应不低于2.0级。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--其他：29.26GJ/h；计量表的准确度等级应不低于2.0级。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3.4.3设备能源消耗（或功率）虽达不到8.4.2的要求，但对需要测量能源消耗或能效的关键设备应当加装能源计量仪表。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3.4.4能源计量仪表应带远传功能，通讯应满足第3条工业通讯的要求。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3.4.5加装能源计量仪表的要求应写入设备招标文件，并包含在投标价格内。</w:t>
      </w:r>
    </w:p>
    <w:p>
      <w:pPr>
        <w:spacing w:line="460" w:lineRule="exact"/>
        <w:ind w:firstLine="480" w:firstLineChars="200"/>
        <w:rPr>
          <w:rFonts w:hint="default" w:ascii="Times New Roman" w:hAnsi="Times New Roman" w:eastAsia="宋体" w:cs="Times New Roman"/>
          <w:b w:val="0"/>
          <w:bCs w:val="0"/>
          <w:color w:val="000000"/>
          <w:kern w:val="0"/>
          <w:sz w:val="24"/>
          <w:szCs w:val="24"/>
          <w:lang w:bidi="ar"/>
        </w:rPr>
      </w:pPr>
      <w:r>
        <w:rPr>
          <w:rFonts w:hint="default" w:ascii="Times New Roman" w:hAnsi="Times New Roman" w:eastAsia="宋体" w:cs="Times New Roman"/>
          <w:b w:val="0"/>
          <w:bCs w:val="0"/>
          <w:color w:val="000000"/>
          <w:kern w:val="0"/>
          <w:sz w:val="24"/>
          <w:szCs w:val="24"/>
          <w:lang w:bidi="ar"/>
        </w:rPr>
        <w:t>4.</w:t>
      </w:r>
      <w:bookmarkStart w:id="46" w:name="_Hlk33102596"/>
      <w:r>
        <w:rPr>
          <w:rFonts w:hint="default" w:ascii="Times New Roman" w:hAnsi="Times New Roman" w:eastAsia="宋体" w:cs="Times New Roman"/>
          <w:b w:val="0"/>
          <w:bCs w:val="0"/>
          <w:color w:val="000000"/>
          <w:kern w:val="0"/>
          <w:sz w:val="24"/>
          <w:szCs w:val="24"/>
          <w:lang w:bidi="ar"/>
        </w:rPr>
        <w:t>设备设计使用寿命（年限）</w:t>
      </w:r>
    </w:p>
    <w:bookmarkEnd w:id="46"/>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w:t>
      </w:r>
      <w:bookmarkStart w:id="47" w:name="_Hlk33094137"/>
      <w:r>
        <w:rPr>
          <w:rFonts w:hint="default" w:ascii="Times New Roman" w:hAnsi="Times New Roman" w:eastAsia="宋体" w:cs="Times New Roman"/>
          <w:color w:val="000000"/>
          <w:kern w:val="0"/>
          <w:sz w:val="24"/>
          <w:szCs w:val="24"/>
          <w:lang w:bidi="ar"/>
        </w:rPr>
        <w:t>设计使用寿命不应低于</w:t>
      </w:r>
      <w:bookmarkEnd w:id="47"/>
      <w:r>
        <w:rPr>
          <w:rFonts w:hint="default" w:ascii="Times New Roman" w:hAnsi="Times New Roman" w:eastAsia="宋体" w:cs="Times New Roman"/>
          <w:color w:val="000000"/>
          <w:kern w:val="0"/>
          <w:sz w:val="24"/>
          <w:szCs w:val="24"/>
          <w:lang w:bidi="ar"/>
        </w:rPr>
        <w:t>10年。</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五、技术资料</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硬件资料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投标人至少应提供</w:t>
      </w:r>
      <w:r>
        <w:rPr>
          <w:rFonts w:hint="default" w:ascii="Times New Roman" w:hAnsi="Times New Roman" w:eastAsia="宋体" w:cs="Times New Roman"/>
          <w:color w:val="000000"/>
          <w:kern w:val="0"/>
          <w:sz w:val="24"/>
          <w:szCs w:val="24"/>
          <w:lang w:val="en-US" w:eastAsia="zh-CN" w:bidi="ar"/>
        </w:rPr>
        <w:t>关于协作机器人及供胶系统</w:t>
      </w:r>
      <w:r>
        <w:rPr>
          <w:rFonts w:hint="default" w:ascii="Times New Roman" w:hAnsi="Times New Roman" w:eastAsia="宋体" w:cs="Times New Roman"/>
          <w:color w:val="000000"/>
          <w:kern w:val="0"/>
          <w:sz w:val="24"/>
          <w:szCs w:val="24"/>
          <w:lang w:bidi="ar"/>
        </w:rPr>
        <w:t>下列手册和图纸：</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--设备硬件手册。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w:t>
      </w:r>
      <w:r>
        <w:rPr>
          <w:rFonts w:hint="default" w:ascii="Times New Roman" w:hAnsi="Times New Roman" w:eastAsia="宋体" w:cs="Times New Roman"/>
          <w:color w:val="000000"/>
          <w:kern w:val="0"/>
          <w:sz w:val="24"/>
          <w:szCs w:val="24"/>
          <w:lang w:bidi="ar"/>
        </w:rPr>
        <w:t>设备操作手册（含安全操作规程、操作和安全事项的使用说明书）。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--设备维护手册（含润滑图表、含有易损件的检查更换指南、易损件使用时间）。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--设备组态手册。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--仪器仪表检定证书和使用维修说明书。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--构成设备所有部件的原理图。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--内部布置图。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--符合招标人要求格式的外部连接图，图上应有电缆编号和端子编号。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--所有控制和调整装置在维护时所需的校验曲线。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--所有卖方外购设备手册。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PLC使用的部件详图。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--安装步骤、包括装配细节、设备散热和设备重量等。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--材料清册，包括备件、易损件和耗材清单。</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--所有外围设备的样本（包括主机、显示器、键盘、打印机等）。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--产品合格证。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--开箱记录等随机文件材料。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--施工文件。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--用于说明采购件名称、型号、规格、厂家等的采购件明细表。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--设备出厂所必须的精度检验证书、性能测试记录和报告。</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--设备分支动力管线的设计竣工图。</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软件资料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设备可编程器件（PLC、触摸屏、伺服器等）的原控制程序、组态程序电子文档。</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编程指导材料，投标人应提供用于各系统程序的源码说明，包括交互在程序中的注释，以便整个程序的理解，这一资料应存放在工程师站和U盘内提供给招标人。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六、服务范围及要求</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（一）、技术指导和培训服务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（二）、运输服务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bidi="ar"/>
        </w:rPr>
        <w:t>投标方负责将设备按要求运至甲方需求地点</w:t>
      </w:r>
      <w:r>
        <w:rPr>
          <w:rFonts w:hint="default" w:ascii="Times New Roman" w:hAnsi="Times New Roman" w:cs="Times New Roman"/>
          <w:sz w:val="24"/>
          <w:szCs w:val="24"/>
        </w:rPr>
        <w:t>。</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（三）、安装调试服务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3、投标方免费负责</w:t>
      </w:r>
      <w:r>
        <w:rPr>
          <w:rFonts w:hint="default" w:ascii="Times New Roman" w:hAnsi="Times New Roman" w:eastAsia="宋体" w:cs="Times New Roman"/>
          <w:color w:val="000000"/>
          <w:kern w:val="0"/>
          <w:sz w:val="24"/>
          <w:szCs w:val="24"/>
          <w:lang w:val="en-US" w:eastAsia="zh-CN" w:bidi="ar"/>
        </w:rPr>
        <w:t>所购货物</w:t>
      </w:r>
      <w:r>
        <w:rPr>
          <w:rFonts w:hint="default" w:ascii="Times New Roman" w:hAnsi="Times New Roman" w:eastAsia="宋体" w:cs="Times New Roman"/>
          <w:color w:val="000000"/>
          <w:kern w:val="0"/>
          <w:sz w:val="24"/>
          <w:szCs w:val="24"/>
          <w:lang w:bidi="ar"/>
        </w:rPr>
        <w:t>的</w:t>
      </w:r>
      <w:r>
        <w:rPr>
          <w:rFonts w:hint="default" w:ascii="Times New Roman" w:hAnsi="Times New Roman" w:eastAsia="宋体" w:cs="Times New Roman"/>
          <w:color w:val="000000"/>
          <w:kern w:val="0"/>
          <w:sz w:val="24"/>
          <w:szCs w:val="24"/>
          <w:lang w:val="en-US" w:eastAsia="zh-CN" w:bidi="ar"/>
        </w:rPr>
        <w:t>图纸校核、机器人可达性确认、</w:t>
      </w:r>
      <w:r>
        <w:rPr>
          <w:rFonts w:hint="default" w:ascii="Times New Roman" w:hAnsi="Times New Roman" w:eastAsia="宋体" w:cs="Times New Roman"/>
          <w:color w:val="000000"/>
          <w:kern w:val="0"/>
          <w:sz w:val="24"/>
          <w:szCs w:val="24"/>
          <w:lang w:bidi="ar"/>
        </w:rPr>
        <w:t>安装、调试，并接受用户的技术咨询。</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（四）、验收服务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2、按照参考招标文件、投标文件、答疑文件、技术交流文件等形成并达成一致的技术协议书和合同规定验收。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eastAsia="宋体" w:cs="Times New Roman"/>
          <w:color w:val="000000"/>
          <w:kern w:val="0"/>
          <w:sz w:val="24"/>
          <w:szCs w:val="24"/>
          <w:lang w:bidi="ar"/>
        </w:rPr>
        <w:t>验收标准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3.1资料齐全性、完整性和有效性，包含</w:t>
      </w:r>
      <w:r>
        <w:rPr>
          <w:rFonts w:hint="default" w:ascii="Times New Roman" w:hAnsi="Times New Roman" w:eastAsia="宋体" w:cs="Times New Roman"/>
          <w:color w:val="000000"/>
          <w:kern w:val="0"/>
          <w:sz w:val="24"/>
          <w:szCs w:val="24"/>
          <w:lang w:val="en-US" w:eastAsia="zh-CN" w:bidi="ar"/>
        </w:rPr>
        <w:t>设备组装</w:t>
      </w:r>
      <w:r>
        <w:rPr>
          <w:rFonts w:hint="default" w:ascii="Times New Roman" w:hAnsi="Times New Roman" w:eastAsia="宋体" w:cs="Times New Roman"/>
          <w:color w:val="000000"/>
          <w:kern w:val="0"/>
          <w:sz w:val="24"/>
          <w:szCs w:val="24"/>
          <w:lang w:bidi="ar"/>
        </w:rPr>
        <w:t>所用产品全部提供产品合格证、进口产品出具报关单、设备主要配置清单、说明书等4份纸质文件，电子档文件3份。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3.2设备应运行灵活、稳定、可靠、安全，无异常声音和非正常振动。设备不允许出现漏液、漏气（汽）；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3.3设备外观应无损伤，应该涂满同种明亮清晰的油漆（特殊标志除外）。设备应该完整且所有的零部件应该安装牢固，所有的焊缝饱满、无残渣等缺陷；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3.5设备应有完整的标牌，且清晰易见；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3.6设备的润滑系统工作可靠，润滑点易于到达，运行可靠、稳定，操作方便；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3.7设备的安全要求符合中国最新的相关法律、法规、标准和规范以及合同要求；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3.8地线连接和地极符合国际（ISO/IEC）标准规范；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3.9计量仪器、仪表配套合理，采用中国的法定计量单位，计量准确、灵敏可靠。计量仪器、仪表出具计量检验报告、产品合格证等。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3.10设备质量、技术性能等，按照签定的技术协议书和合同规定的终验收标准验收；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3.11备品备件的数量、规格等，按照技术协议和合同规定的标准。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3.12在投标方所提供设备需要得到招标人建设项目所在地政府或行业主管部门的查验、试验、验收时，投标方应当免费协助招标人完成所需要的工作、材料和服务等。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3.13投标方在招标人现场进行或负责的、设备（或材料）的预验收和终验收，应当是免费的；</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（五）、售后服务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在质保期之内，如发现投标方所提供的设备（或材料）存在问题，投标方须在接到通知后6小时内派有关人员到达现场，解决问题；</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eastAsia="宋体" w:cs="Times New Roman"/>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eastAsia="宋体" w:cs="Times New Roman"/>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1"/>
        <w:rPr>
          <w:rFonts w:hint="default" w:ascii="Times New Roman" w:hAnsi="Times New Roman" w:cs="Times New Roman"/>
        </w:rPr>
      </w:pPr>
      <w:r>
        <w:rPr>
          <w:rFonts w:hint="default" w:ascii="Times New Roman" w:hAnsi="Times New Roman" w:cs="Times New Roman"/>
        </w:rPr>
        <w:br w:type="page"/>
      </w:r>
    </w:p>
    <w:p>
      <w:pPr>
        <w:pStyle w:val="21"/>
        <w:rPr>
          <w:rFonts w:hint="default" w:ascii="Times New Roman" w:hAnsi="Times New Roman" w:cs="Times New Roman"/>
        </w:rPr>
      </w:pPr>
    </w:p>
    <w:p>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第三章供货范围及供货方式</w:t>
      </w:r>
      <w:bookmarkEnd w:id="39"/>
    </w:p>
    <w:p>
      <w:pPr>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bookmarkStart w:id="48" w:name="_Toc169605882"/>
      <w:r>
        <w:rPr>
          <w:rFonts w:hint="default" w:ascii="Times New Roman" w:hAnsi="Times New Roman" w:eastAsia="宋体" w:cs="Times New Roman"/>
          <w:b/>
          <w:bCs/>
          <w:sz w:val="24"/>
          <w:szCs w:val="32"/>
        </w:rPr>
        <w:t>第一节  供货范围</w:t>
      </w:r>
      <w:bookmarkEnd w:id="48"/>
    </w:p>
    <w:p>
      <w:pPr>
        <w:pStyle w:val="77"/>
        <w:numPr>
          <w:ilvl w:val="0"/>
          <w:numId w:val="17"/>
        </w:numPr>
        <w:spacing w:line="360" w:lineRule="auto"/>
        <w:ind w:firstLineChars="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highlight w:val="yellow"/>
        </w:rPr>
        <w:t>供货范围（按照组成项目主要构成一览表的所有最小单元逐一列示，要涵盖培训等内容）</w:t>
      </w:r>
    </w:p>
    <w:p>
      <w:pPr>
        <w:widowControl/>
        <w:jc w:val="left"/>
        <w:rPr>
          <w:rFonts w:hint="default" w:ascii="Times New Roman" w:hAnsi="Times New Roman" w:eastAsia="宋体" w:cs="Times New Roman"/>
          <w:color w:val="000000"/>
          <w:sz w:val="24"/>
          <w:szCs w:val="24"/>
          <w:lang w:bidi="ar"/>
        </w:rPr>
      </w:pPr>
    </w:p>
    <w:tbl>
      <w:tblPr>
        <w:tblStyle w:val="4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893"/>
        <w:gridCol w:w="992"/>
        <w:gridCol w:w="8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3893"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99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85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241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3893" w:type="dxa"/>
            <w:vAlign w:val="center"/>
          </w:tcPr>
          <w:p>
            <w:pPr>
              <w:widowControl/>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电气件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图纸校验及组装成套</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协作机器人及供胶系统操作培训</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1.包括本技术标书所列明的主要货物以及货物正常运行所必需的全套连线设备、材料等。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2.包括为保证货物正常安装、调试和验收完成及以前所必需的整套配件、附件及材料等。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3.包括货物维护维修所必需的专用工具。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包括为保证货物自身正常运行所必需的、满足使用地点环境条件的通风、冷却、降温等必需设施。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hint="default" w:ascii="Times New Roman" w:hAnsi="Times New Roman" w:eastAsia="宋体" w:cs="Times New Roman"/>
          <w:b/>
          <w:bCs/>
          <w:strike w:val="0"/>
          <w:dstrike w:val="0"/>
          <w:sz w:val="24"/>
          <w:szCs w:val="24"/>
          <w:highlight w:val="none"/>
        </w:rPr>
      </w:pPr>
      <w:r>
        <w:rPr>
          <w:rFonts w:hint="default" w:ascii="Times New Roman" w:hAnsi="Times New Roman" w:eastAsia="宋体" w:cs="Times New Roman"/>
          <w:b/>
          <w:bCs/>
          <w:strike w:val="0"/>
          <w:dstrike w:val="0"/>
          <w:sz w:val="24"/>
          <w:szCs w:val="24"/>
          <w:highlight w:val="none"/>
        </w:rPr>
        <w:t>二、备品备件、易损件和专用耗材供货范围</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1.终验收前提供质保期外1年所需备件，含报价中。</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三、技术资料供货范围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技术资料供货范围包括：</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1.在</w:t>
      </w:r>
      <w:r>
        <w:rPr>
          <w:rFonts w:hint="default" w:ascii="Times New Roman" w:hAnsi="Times New Roman" w:eastAsia="宋体" w:cs="Times New Roman"/>
          <w:bCs/>
          <w:sz w:val="24"/>
          <w:szCs w:val="24"/>
        </w:rPr>
        <w:t>合同签订后</w:t>
      </w:r>
      <w:r>
        <w:rPr>
          <w:rFonts w:hint="default" w:ascii="Times New Roman" w:hAnsi="Times New Roman" w:eastAsia="宋体" w:cs="Times New Roman"/>
          <w:bCs/>
          <w:sz w:val="24"/>
          <w:szCs w:val="24"/>
          <w:highlight w:val="yellow"/>
          <w:u w:val="single"/>
          <w:shd w:val="pct10" w:color="auto" w:fill="FFFFFF"/>
        </w:rPr>
        <w:t xml:space="preserve"> 30 </w:t>
      </w:r>
      <w:r>
        <w:rPr>
          <w:rFonts w:hint="default" w:ascii="Times New Roman" w:hAnsi="Times New Roman" w:eastAsia="宋体" w:cs="Times New Roman"/>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2.在预验收前，提供货物各部分的功能描述文件、图片、影像等资料（进口、设备应有中外文对照）。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3.在终验收前，提供为保证货物后续正常运行所需的具体技术要求等资料（如果供货范围包含该部分实物）。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7.本条款所列的技术资料、图片、影像等，投标人应各提供3套，其中2套为</w:t>
      </w:r>
      <w:r>
        <w:rPr>
          <w:rFonts w:hint="default" w:ascii="Times New Roman" w:hAnsi="Times New Roman" w:eastAsia="宋体" w:cs="Times New Roman"/>
          <w:sz w:val="24"/>
          <w:szCs w:val="24"/>
          <w:highlight w:val="yellow"/>
        </w:rPr>
        <w:t>电子版光盘或U盘</w:t>
      </w:r>
      <w:r>
        <w:rPr>
          <w:rFonts w:hint="default" w:ascii="Times New Roman" w:hAnsi="Times New Roman" w:eastAsia="宋体" w:cs="Times New Roman"/>
          <w:sz w:val="24"/>
          <w:szCs w:val="24"/>
        </w:rPr>
        <w:t>；每份技术文件应装有目录清单。</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四、供货范围特别提示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如果投标人认为本节所列的供货范围难以满足，则仍需要按照本要求提供，但该部分货物应当在投标报价中单独列明货物名称及品质、货值。</w:t>
      </w:r>
      <w:bookmarkStart w:id="49" w:name="_Toc169605883"/>
    </w:p>
    <w:p>
      <w:pPr>
        <w:pStyle w:val="21"/>
        <w:spacing w:line="360" w:lineRule="auto"/>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第二节  供货方式</w:t>
      </w:r>
      <w:bookmarkEnd w:id="49"/>
    </w:p>
    <w:p>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w:t>
      </w:r>
      <w:r>
        <w:rPr>
          <w:rFonts w:hint="default" w:ascii="Times New Roman" w:hAnsi="Times New Roman" w:eastAsia="宋体" w:cs="Times New Roman"/>
          <w:sz w:val="24"/>
          <w:szCs w:val="24"/>
          <w:lang w:val="en-US" w:eastAsia="zh-CN"/>
        </w:rPr>
        <w:t>图纸校验、方案校核优化、</w:t>
      </w:r>
      <w:r>
        <w:rPr>
          <w:rFonts w:hint="default" w:ascii="Times New Roman" w:hAnsi="Times New Roman" w:eastAsia="宋体" w:cs="Times New Roman"/>
          <w:sz w:val="24"/>
          <w:szCs w:val="24"/>
        </w:rPr>
        <w:t>非标或特需设计、制造、至交货地点的运输（含定点装卸）、安装、调试、买方安装地竣工验收服务、货物移交、约定培训等全流程范围。</w:t>
      </w:r>
    </w:p>
    <w:p>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sz w:val="24"/>
          <w:szCs w:val="24"/>
          <w:u w:val="single"/>
        </w:rPr>
        <w:t>济南商用车有限公司（章丘重汽工业园）</w:t>
      </w:r>
    </w:p>
    <w:p>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1.自合同签定生效之日起，</w:t>
      </w:r>
      <w:r>
        <w:rPr>
          <w:rFonts w:hint="default" w:ascii="Times New Roman" w:hAnsi="Times New Roman" w:eastAsia="宋体" w:cs="Times New Roman"/>
          <w:sz w:val="24"/>
          <w:szCs w:val="24"/>
          <w:highlight w:val="yellow"/>
          <w:u w:val="single"/>
          <w:lang w:val="en-US" w:eastAsia="zh-CN"/>
        </w:rPr>
        <w:t>6</w:t>
      </w:r>
      <w:r>
        <w:rPr>
          <w:rFonts w:hint="default" w:ascii="Times New Roman" w:hAnsi="Times New Roman" w:eastAsia="宋体" w:cs="Times New Roman"/>
          <w:sz w:val="24"/>
          <w:szCs w:val="24"/>
          <w:highlight w:val="yellow"/>
          <w:u w:val="single"/>
        </w:rPr>
        <w:t>0</w:t>
      </w:r>
      <w:r>
        <w:rPr>
          <w:rFonts w:hint="default" w:ascii="Times New Roman" w:hAnsi="Times New Roman" w:eastAsia="宋体" w:cs="Times New Roman"/>
          <w:sz w:val="24"/>
          <w:szCs w:val="24"/>
        </w:rPr>
        <w:t>个日历日之内交货至供货地点。</w:t>
      </w:r>
    </w:p>
    <w:p>
      <w:pPr>
        <w:spacing w:line="360" w:lineRule="auto"/>
        <w:ind w:firstLine="480" w:firstLineChars="200"/>
        <w:jc w:val="left"/>
        <w:rPr>
          <w:rFonts w:hint="default" w:ascii="Times New Roman" w:hAnsi="Times New Roman" w:eastAsia="宋体" w:cs="Times New Roman"/>
          <w:strike w:val="0"/>
          <w:dstrike w:val="0"/>
          <w:sz w:val="24"/>
          <w:szCs w:val="24"/>
        </w:rPr>
      </w:pPr>
      <w:r>
        <w:rPr>
          <w:rFonts w:hint="default" w:ascii="Times New Roman" w:hAnsi="Times New Roman" w:eastAsia="宋体" w:cs="Times New Roman"/>
          <w:strike w:val="0"/>
          <w:dstrike w:val="0"/>
          <w:sz w:val="24"/>
          <w:szCs w:val="24"/>
        </w:rPr>
        <w:t>2.接续</w:t>
      </w:r>
      <w:r>
        <w:rPr>
          <w:rFonts w:hint="default" w:ascii="Times New Roman" w:hAnsi="Times New Roman" w:eastAsia="宋体" w:cs="Times New Roman"/>
          <w:strike w:val="0"/>
          <w:dstrike w:val="0"/>
          <w:sz w:val="24"/>
          <w:szCs w:val="24"/>
          <w:u w:val="single"/>
          <w:shd w:val="clear" w:color="auto" w:fill="FFFF00"/>
        </w:rPr>
        <w:t>30</w:t>
      </w:r>
      <w:r>
        <w:rPr>
          <w:rFonts w:hint="default" w:ascii="Times New Roman" w:hAnsi="Times New Roman" w:eastAsia="宋体" w:cs="Times New Roman"/>
          <w:strike w:val="0"/>
          <w:dstrike w:val="0"/>
          <w:sz w:val="24"/>
          <w:szCs w:val="24"/>
        </w:rPr>
        <w:t>个日历日之内安装调试完毕。</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安装调试时间或终验收时间超过规定时间的，投标人应当随标书提供详细的工期计划。</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8.包装箱应连续编号，不应出现重复编号。</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pPr>
        <w:adjustRightInd w:val="0"/>
        <w:snapToGrid w:val="0"/>
        <w:spacing w:line="360" w:lineRule="auto"/>
        <w:rPr>
          <w:rFonts w:hint="default" w:ascii="Times New Roman" w:hAnsi="Times New Roman" w:eastAsia="宋体" w:cs="Times New Roman"/>
          <w:szCs w:val="20"/>
        </w:rPr>
      </w:pPr>
    </w:p>
    <w:p>
      <w:pPr>
        <w:widowControl/>
        <w:spacing w:line="360" w:lineRule="auto"/>
        <w:jc w:val="left"/>
        <w:rPr>
          <w:rFonts w:hint="default" w:ascii="Times New Roman" w:hAnsi="Times New Roman" w:eastAsia="宋体" w:cs="Times New Roman"/>
          <w:szCs w:val="20"/>
        </w:rPr>
      </w:pPr>
      <w:r>
        <w:rPr>
          <w:rFonts w:hint="default" w:ascii="Times New Roman" w:hAnsi="Times New Roman" w:eastAsia="宋体" w:cs="Times New Roman"/>
          <w:szCs w:val="20"/>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0" w:name="_Toc169605884"/>
      <w:r>
        <w:rPr>
          <w:rFonts w:hint="default" w:ascii="Times New Roman" w:hAnsi="Times New Roman" w:eastAsia="宋体" w:cs="Times New Roman"/>
          <w:b/>
          <w:bCs/>
          <w:kern w:val="44"/>
          <w:sz w:val="28"/>
          <w:szCs w:val="28"/>
        </w:rPr>
        <w:t>第四章质保期及售后服务</w:t>
      </w:r>
      <w:bookmarkEnd w:id="50"/>
    </w:p>
    <w:p>
      <w:pPr>
        <w:pStyle w:val="68"/>
        <w:spacing w:line="360" w:lineRule="auto"/>
        <w:rPr>
          <w:rFonts w:hint="default" w:ascii="Times New Roman" w:hAnsi="Times New Roman" w:cs="Times New Roman"/>
        </w:rPr>
      </w:pPr>
      <w:r>
        <w:rPr>
          <w:rFonts w:hint="default" w:ascii="Times New Roman" w:hAnsi="Times New Roman" w:cs="Times New Roman"/>
        </w:rPr>
        <w:t>一、质保期及质保要求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pPr>
        <w:pStyle w:val="68"/>
        <w:spacing w:line="360" w:lineRule="auto"/>
        <w:rPr>
          <w:rFonts w:hint="default" w:ascii="Times New Roman" w:hAnsi="Times New Roman" w:cs="Times New Roman"/>
        </w:rPr>
      </w:pPr>
      <w:r>
        <w:rPr>
          <w:rFonts w:hint="default" w:ascii="Times New Roman" w:hAnsi="Times New Roman" w:cs="Times New Roman"/>
        </w:rPr>
        <w:t>二、技术及培训服务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pPr>
        <w:pStyle w:val="68"/>
        <w:spacing w:line="360" w:lineRule="auto"/>
        <w:rPr>
          <w:rFonts w:hint="default" w:ascii="Times New Roman" w:hAnsi="Times New Roman" w:cs="Times New Roman"/>
        </w:rPr>
      </w:pPr>
      <w:r>
        <w:rPr>
          <w:rFonts w:hint="default" w:ascii="Times New Roman" w:hAnsi="Times New Roman" w:cs="Times New Roman"/>
        </w:rPr>
        <w:t>三、安装调试及验收服务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pPr>
        <w:pStyle w:val="68"/>
        <w:spacing w:line="360" w:lineRule="auto"/>
        <w:rPr>
          <w:rFonts w:hint="default" w:ascii="Times New Roman" w:hAnsi="Times New Roman" w:cs="Times New Roman"/>
        </w:rPr>
      </w:pPr>
      <w:r>
        <w:rPr>
          <w:rFonts w:hint="default" w:ascii="Times New Roman" w:hAnsi="Times New Roman" w:cs="Times New Roman"/>
        </w:rPr>
        <w:t>四、售后服务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pPr>
        <w:pStyle w:val="68"/>
        <w:spacing w:line="360" w:lineRule="auto"/>
        <w:rPr>
          <w:rFonts w:hint="default" w:ascii="Times New Roman" w:hAnsi="Times New Roman" w:cs="Times New Roman"/>
        </w:rPr>
      </w:pPr>
      <w:r>
        <w:rPr>
          <w:rFonts w:hint="default" w:ascii="Times New Roman" w:hAnsi="Times New Roman" w:cs="Times New Roman"/>
        </w:rPr>
        <w:t>五、其它服务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pPr>
        <w:pStyle w:val="21"/>
        <w:spacing w:line="360" w:lineRule="auto"/>
        <w:rPr>
          <w:rFonts w:hint="default" w:ascii="Times New Roman" w:hAnsi="Times New Roman" w:eastAsia="宋体" w:cs="Times New Roman"/>
        </w:rPr>
      </w:pPr>
      <w:r>
        <w:rPr>
          <w:rFonts w:hint="default" w:ascii="Times New Roman" w:hAnsi="Times New Roman" w:eastAsia="宋体" w:cs="Times New Roman"/>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1" w:name="_Toc465187646"/>
      <w:r>
        <w:rPr>
          <w:rFonts w:hint="default" w:ascii="Times New Roman" w:hAnsi="Times New Roman" w:eastAsia="宋体" w:cs="Times New Roman"/>
          <w:b/>
          <w:bCs/>
          <w:kern w:val="44"/>
          <w:sz w:val="28"/>
          <w:szCs w:val="28"/>
        </w:rPr>
        <w:t>第五章  终验收</w:t>
      </w:r>
      <w:bookmarkEnd w:id="51"/>
    </w:p>
    <w:p>
      <w:pPr>
        <w:pStyle w:val="68"/>
        <w:spacing w:line="360" w:lineRule="auto"/>
        <w:rPr>
          <w:rFonts w:hint="default" w:ascii="Times New Roman" w:hAnsi="Times New Roman" w:cs="Times New Roman"/>
        </w:rPr>
      </w:pPr>
      <w:r>
        <w:rPr>
          <w:rFonts w:hint="default" w:ascii="Times New Roman" w:hAnsi="Times New Roman" w:cs="Times New Roman"/>
        </w:rPr>
        <w:t>一、验收依据和验收标准</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pPr>
        <w:pStyle w:val="68"/>
        <w:spacing w:line="360" w:lineRule="auto"/>
        <w:rPr>
          <w:rFonts w:hint="default" w:ascii="Times New Roman" w:hAnsi="Times New Roman" w:cs="Times New Roman"/>
        </w:rPr>
      </w:pPr>
      <w:r>
        <w:rPr>
          <w:rFonts w:hint="default" w:ascii="Times New Roman" w:hAnsi="Times New Roman" w:cs="Times New Roman"/>
        </w:rPr>
        <w:t>二、检验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68"/>
        <w:spacing w:line="360" w:lineRule="auto"/>
        <w:rPr>
          <w:rFonts w:hint="default" w:ascii="Times New Roman" w:hAnsi="Times New Roman" w:cs="Times New Roman"/>
        </w:rPr>
      </w:pPr>
      <w:r>
        <w:rPr>
          <w:rFonts w:hint="default" w:ascii="Times New Roman" w:hAnsi="Times New Roman" w:cs="Times New Roman"/>
        </w:rPr>
        <w:t>三、验收基本条件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52" w:name="_Toc465187647"/>
      <w:r>
        <w:rPr>
          <w:rFonts w:hint="default" w:ascii="Times New Roman" w:hAnsi="Times New Roman" w:eastAsia="宋体" w:cs="Times New Roman"/>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 出现下列问题之一，视作验收失败：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 在整个验收过程中发生关键零部件损坏或重大故障；</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 一般性故障超过2次；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3.4 更换的零部件货值超过总货值的1%。</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4.累计负载运行实际性能（或生产率）达到合同规定。</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5．系统完整性验收</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a）对照技术要求中的供货范围，对提交的设备进行确认需提供完整的项目资料。甲方对所提交的工程文件、文档资料进行确认。</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b）乙方提供完整的验收测试服务。</w:t>
      </w:r>
      <w:r>
        <w:rPr>
          <w:rFonts w:hint="default" w:ascii="Times New Roman" w:hAnsi="Times New Roman" w:eastAsia="宋体" w:cs="Times New Roman"/>
          <w:sz w:val="24"/>
          <w:szCs w:val="24"/>
        </w:rPr>
        <w:br w:type="page"/>
      </w:r>
    </w:p>
    <w:p>
      <w:pPr>
        <w:pStyle w:val="115"/>
        <w:spacing w:line="360" w:lineRule="auto"/>
        <w:outlineLvl w:val="1"/>
        <w:rPr>
          <w:rFonts w:hint="default" w:ascii="Times New Roman" w:hAnsi="Times New Roman" w:eastAsia="宋体" w:cs="Times New Roman"/>
          <w:b/>
          <w:bCs w:val="0"/>
          <w:i/>
          <w:iCs/>
          <w:color w:val="auto"/>
          <w:sz w:val="28"/>
        </w:rPr>
      </w:pPr>
      <w:r>
        <w:rPr>
          <w:rFonts w:hint="default" w:ascii="Times New Roman" w:hAnsi="Times New Roman" w:eastAsia="宋体" w:cs="Times New Roman"/>
          <w:b/>
          <w:bCs w:val="0"/>
          <w:i/>
          <w:iCs/>
          <w:color w:val="auto"/>
          <w:sz w:val="28"/>
        </w:rPr>
        <w:t>第六章  投标技术文件一般要求</w:t>
      </w:r>
      <w:bookmarkEnd w:id="52"/>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一、技术文件一般内容要求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二、技术文件中货物报价格式要求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三、验收标准及内容要求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hint="default" w:ascii="Times New Roman" w:hAnsi="Times New Roman" w:eastAsia="宋体" w:cs="Times New Roman"/>
          <w:sz w:val="24"/>
          <w:szCs w:val="24"/>
        </w:rPr>
        <w:br w:type="page"/>
      </w:r>
    </w:p>
    <w:p>
      <w:pPr>
        <w:pStyle w:val="115"/>
        <w:widowControl/>
        <w:spacing w:before="120" w:after="120" w:line="360" w:lineRule="auto"/>
        <w:rPr>
          <w:rFonts w:hint="default" w:ascii="Times New Roman" w:hAnsi="Times New Roman" w:eastAsia="宋体" w:cs="Times New Roman"/>
          <w:b/>
          <w:bCs w:val="0"/>
          <w:iCs/>
          <w:color w:val="auto"/>
          <w:sz w:val="28"/>
        </w:rPr>
      </w:pPr>
      <w:bookmarkStart w:id="53" w:name="_Toc326840041"/>
      <w:r>
        <w:rPr>
          <w:rFonts w:hint="default" w:ascii="Times New Roman" w:hAnsi="Times New Roman" w:eastAsia="宋体" w:cs="Times New Roman"/>
          <w:b/>
          <w:bCs w:val="0"/>
          <w:iCs/>
          <w:color w:val="auto"/>
          <w:sz w:val="28"/>
        </w:rPr>
        <w:t>第七章  其它要求及说明</w:t>
      </w:r>
      <w:bookmarkEnd w:id="53"/>
    </w:p>
    <w:p>
      <w:pPr>
        <w:pStyle w:val="68"/>
        <w:spacing w:before="120" w:beforeLines="50" w:after="120" w:afterLines="50" w:line="360" w:lineRule="auto"/>
        <w:rPr>
          <w:rFonts w:hint="default" w:ascii="Times New Roman" w:hAnsi="Times New Roman" w:cs="Times New Roman"/>
          <w:color w:val="auto"/>
        </w:rPr>
      </w:pPr>
      <w:r>
        <w:rPr>
          <w:rFonts w:hint="default" w:ascii="Times New Roman" w:hAnsi="Times New Roman" w:cs="Times New Roman"/>
          <w:color w:val="auto"/>
          <w:lang w:bidi="ar"/>
        </w:rPr>
        <w:t>一、要求</w:t>
      </w:r>
    </w:p>
    <w:p>
      <w:pPr>
        <w:pStyle w:val="35"/>
        <w:spacing w:line="360" w:lineRule="auto"/>
        <w:ind w:firstLine="477" w:firstLineChars="199"/>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w:t>
      </w:r>
      <w:r>
        <w:rPr>
          <w:rFonts w:hint="default" w:ascii="Times New Roman" w:hAnsi="Times New Roman" w:eastAsia="宋体" w:cs="Times New Roman"/>
          <w:b/>
          <w:color w:val="000000"/>
          <w:sz w:val="24"/>
          <w:szCs w:val="24"/>
          <w:highlight w:val="yellow"/>
        </w:rPr>
        <w:t>202</w:t>
      </w:r>
      <w:r>
        <w:rPr>
          <w:rFonts w:hint="default" w:ascii="Times New Roman" w:hAnsi="Times New Roman" w:eastAsia="宋体" w:cs="Times New Roman"/>
          <w:b/>
          <w:color w:val="000000"/>
          <w:sz w:val="24"/>
          <w:szCs w:val="24"/>
          <w:highlight w:val="yellow"/>
          <w:lang w:val="en-US" w:eastAsia="zh-CN"/>
        </w:rPr>
        <w:t>1</w:t>
      </w:r>
      <w:r>
        <w:rPr>
          <w:rFonts w:hint="default" w:ascii="Times New Roman" w:hAnsi="Times New Roman" w:eastAsia="宋体" w:cs="Times New Roman"/>
          <w:b/>
          <w:color w:val="000000"/>
          <w:sz w:val="24"/>
          <w:szCs w:val="24"/>
          <w:highlight w:val="yellow"/>
        </w:rPr>
        <w:t>年1月1日</w:t>
      </w:r>
      <w:r>
        <w:rPr>
          <w:rFonts w:hint="default" w:ascii="Times New Roman" w:hAnsi="Times New Roman" w:eastAsia="宋体" w:cs="Times New Roman"/>
          <w:b/>
          <w:color w:val="000000"/>
          <w:sz w:val="24"/>
          <w:szCs w:val="24"/>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68"/>
        <w:spacing w:before="120" w:beforeLines="50" w:after="120" w:afterLines="50" w:line="360" w:lineRule="auto"/>
        <w:rPr>
          <w:rFonts w:hint="default" w:ascii="Times New Roman" w:hAnsi="Times New Roman" w:cs="Times New Roman"/>
          <w:color w:val="auto"/>
          <w:lang w:bidi="ar"/>
        </w:rPr>
      </w:pPr>
      <w:r>
        <w:rPr>
          <w:rFonts w:hint="default" w:ascii="Times New Roman" w:hAnsi="Times New Roman" w:cs="Times New Roman"/>
          <w:color w:val="auto"/>
          <w:lang w:bidi="ar"/>
        </w:rPr>
        <w:t>二、说明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default" w:ascii="Times New Roman" w:hAnsi="Times New Roman" w:cs="Times New Roman"/>
        </w:rPr>
      </w:pPr>
      <w:r>
        <w:rPr>
          <w:rFonts w:hint="default" w:ascii="Times New Roman" w:hAnsi="Times New Roman" w:cs="Times New Roman"/>
        </w:rPr>
        <w:br w:type="page"/>
      </w:r>
    </w:p>
    <w:p>
      <w:pPr>
        <w:spacing w:line="360" w:lineRule="auto"/>
        <w:jc w:val="center"/>
        <w:outlineLvl w:val="0"/>
        <w:rPr>
          <w:rFonts w:hint="default" w:ascii="Times New Roman" w:hAnsi="Times New Roman" w:eastAsia="宋体" w:cs="Times New Roman"/>
          <w:b/>
          <w:sz w:val="36"/>
          <w:szCs w:val="36"/>
        </w:rPr>
      </w:pPr>
      <w:bookmarkStart w:id="54" w:name="_Toc13222"/>
      <w:bookmarkStart w:id="55" w:name="_Toc30124"/>
      <w:bookmarkStart w:id="56" w:name="_Toc28859"/>
      <w:r>
        <w:rPr>
          <w:rFonts w:hint="default" w:ascii="Times New Roman" w:hAnsi="Times New Roman" w:eastAsia="宋体" w:cs="Times New Roman"/>
          <w:b/>
          <w:sz w:val="36"/>
          <w:szCs w:val="36"/>
        </w:rPr>
        <w:t>第五部分 设备采购合同</w:t>
      </w:r>
      <w:bookmarkEnd w:id="54"/>
      <w:bookmarkEnd w:id="55"/>
      <w:bookmarkEnd w:id="56"/>
    </w:p>
    <w:p>
      <w:pPr>
        <w:ind w:right="-189" w:rightChars="-90"/>
        <w:jc w:val="left"/>
        <w:rPr>
          <w:rFonts w:hint="default" w:ascii="Times New Roman" w:hAnsi="Times New Roman" w:eastAsia="宋体" w:cs="Times New Roman"/>
          <w:sz w:val="20"/>
          <w:szCs w:val="20"/>
        </w:rPr>
      </w:pPr>
      <w:r>
        <w:rPr>
          <w:rFonts w:hint="default" w:ascii="Times New Roman" w:hAnsi="Times New Roman" w:cs="Times New Roman"/>
          <w:sz w:val="20"/>
          <w:szCs w:val="20"/>
        </w:rPr>
        <w:t xml:space="preserve"> </w:t>
      </w:r>
      <w:bookmarkStart w:id="57" w:name="_Toc283814116"/>
      <w:r>
        <w:rPr>
          <w:rFonts w:hint="default" w:ascii="Times New Roman" w:hAnsi="Times New Roman" w:eastAsia="宋体" w:cs="Times New Roman"/>
          <w:sz w:val="20"/>
          <w:szCs w:val="20"/>
        </w:rPr>
        <w:t xml:space="preserve">                                            </w:t>
      </w:r>
    </w:p>
    <w:p>
      <w:pPr>
        <w:wordWrap w:val="0"/>
        <w:adjustRightInd w:val="0"/>
        <w:snapToGrid w:val="0"/>
        <w:spacing w:line="360" w:lineRule="auto"/>
        <w:jc w:val="right"/>
        <w:rPr>
          <w:rFonts w:hint="default" w:ascii="Times New Roman" w:hAnsi="Times New Roman" w:eastAsia="方正小标宋简体" w:cs="Times New Roman"/>
          <w:sz w:val="24"/>
          <w:szCs w:val="24"/>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lang w:eastAsia="zh-CN"/>
        </w:rPr>
      </w:pPr>
      <w:r>
        <w:rPr>
          <w:rFonts w:hint="default" w:ascii="Times New Roman" w:hAnsi="Times New Roman" w:eastAsia="方正小标宋简体" w:cs="Times New Roman"/>
          <w:bCs/>
          <w:sz w:val="52"/>
          <w:szCs w:val="36"/>
        </w:rPr>
        <w:t>设备采购合同</w:t>
      </w:r>
      <w:r>
        <w:rPr>
          <w:rFonts w:hint="default" w:ascii="Times New Roman" w:hAnsi="Times New Roman" w:eastAsia="方正小标宋简体" w:cs="Times New Roman"/>
          <w:bCs/>
          <w:sz w:val="52"/>
          <w:szCs w:val="36"/>
          <w:lang w:eastAsia="zh-CN"/>
        </w:rPr>
        <w:t>（</w:t>
      </w:r>
      <w:r>
        <w:rPr>
          <w:rFonts w:hint="default" w:ascii="Times New Roman" w:hAnsi="Times New Roman" w:eastAsia="方正小标宋简体" w:cs="Times New Roman"/>
          <w:bCs/>
          <w:sz w:val="52"/>
          <w:szCs w:val="36"/>
          <w:lang w:val="en-US" w:eastAsia="zh-CN"/>
        </w:rPr>
        <w:t>模板</w:t>
      </w:r>
      <w:r>
        <w:rPr>
          <w:rFonts w:hint="default" w:ascii="Times New Roman" w:hAnsi="Times New Roman" w:eastAsia="方正小标宋简体" w:cs="Times New Roman"/>
          <w:bCs/>
          <w:sz w:val="52"/>
          <w:szCs w:val="36"/>
          <w:lang w:eastAsia="zh-CN"/>
        </w:rPr>
        <w:t>）</w:t>
      </w:r>
    </w:p>
    <w:p>
      <w:pPr>
        <w:pStyle w:val="21"/>
        <w:jc w:val="center"/>
        <w:rPr>
          <w:rFonts w:hint="default" w:ascii="Times New Roman" w:hAnsi="Times New Roman" w:cs="Times New Roman"/>
        </w:rPr>
      </w:pPr>
      <w:r>
        <w:rPr>
          <w:rFonts w:hint="default" w:ascii="Times New Roman" w:hAnsi="Times New Roman" w:eastAsia="宋体" w:cs="Times New Roman"/>
          <w:b/>
          <w:sz w:val="24"/>
          <w:szCs w:val="24"/>
          <w:highlight w:val="yellow"/>
          <w:lang w:val="en-US" w:eastAsia="zh-CN"/>
        </w:rPr>
        <w:t>（合同以双方最终签署的版本为准）</w:t>
      </w: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ind w:firstLine="2107" w:firstLineChars="878"/>
        <w:jc w:val="left"/>
        <w:rPr>
          <w:rFonts w:hint="default" w:ascii="Times New Roman" w:hAnsi="Times New Roman" w:eastAsia="方正小标宋简体" w:cs="Times New Roman"/>
          <w:sz w:val="24"/>
          <w:szCs w:val="24"/>
          <w:u w:val="thick"/>
        </w:rPr>
      </w:pPr>
      <w:r>
        <w:rPr>
          <w:rFonts w:hint="default" w:ascii="Times New Roman" w:hAnsi="Times New Roman" w:eastAsia="方正小标宋简体" w:cs="Times New Roman"/>
          <w:sz w:val="24"/>
          <w:szCs w:val="24"/>
        </w:rPr>
        <w:t>甲  方：</w:t>
      </w:r>
      <w:r>
        <w:rPr>
          <w:rFonts w:hint="default" w:ascii="Times New Roman" w:hAnsi="Times New Roman" w:eastAsia="方正小标宋简体" w:cs="Times New Roman"/>
          <w:sz w:val="24"/>
          <w:szCs w:val="24"/>
          <w:u w:val="thick"/>
        </w:rPr>
        <w:t xml:space="preserve">                           </w:t>
      </w:r>
    </w:p>
    <w:p>
      <w:pPr>
        <w:adjustRightInd w:val="0"/>
        <w:snapToGrid w:val="0"/>
        <w:spacing w:line="360" w:lineRule="auto"/>
        <w:ind w:firstLine="1627" w:firstLineChars="678"/>
        <w:jc w:val="left"/>
        <w:rPr>
          <w:rFonts w:hint="default" w:ascii="Times New Roman" w:hAnsi="Times New Roman" w:eastAsia="方正小标宋简体" w:cs="Times New Roman"/>
          <w:sz w:val="24"/>
          <w:szCs w:val="24"/>
        </w:rPr>
      </w:pPr>
      <w:r>
        <w:rPr>
          <w:rFonts w:hint="default" w:ascii="Times New Roman" w:hAnsi="Times New Roman" w:eastAsia="方正小标宋简体" w:cs="Times New Roman"/>
          <w:sz w:val="24"/>
          <w:szCs w:val="24"/>
        </w:rPr>
        <w:t xml:space="preserve"> </w:t>
      </w:r>
    </w:p>
    <w:p>
      <w:pPr>
        <w:adjustRightInd w:val="0"/>
        <w:snapToGrid w:val="0"/>
        <w:spacing w:line="360" w:lineRule="auto"/>
        <w:ind w:firstLine="2107" w:firstLineChars="878"/>
        <w:jc w:val="left"/>
        <w:rPr>
          <w:rFonts w:hint="default" w:ascii="Times New Roman" w:hAnsi="Times New Roman" w:cs="Times New Roman"/>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eastAsia="方正小标宋简体" w:cs="Times New Roman"/>
          <w:sz w:val="24"/>
          <w:szCs w:val="24"/>
        </w:rPr>
        <w:t>乙  方：</w:t>
      </w:r>
      <w:r>
        <w:rPr>
          <w:rFonts w:hint="default" w:ascii="Times New Roman" w:hAnsi="Times New Roman" w:eastAsia="方正小标宋简体" w:cs="Times New Roman"/>
          <w:sz w:val="24"/>
          <w:szCs w:val="24"/>
          <w:u w:val="thick"/>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cs="Times New Roman"/>
          <w:bCs/>
          <w:sz w:val="22"/>
          <w:szCs w:val="22"/>
        </w:rPr>
        <w:t xml:space="preserve"> </w:t>
      </w:r>
      <w:r>
        <w:rPr>
          <w:rFonts w:hint="default" w:ascii="Times New Roman" w:hAnsi="Times New Roman" w:eastAsia="仿宋_GB2312" w:cs="Times New Roman"/>
          <w:bCs/>
          <w:sz w:val="24"/>
          <w:szCs w:val="24"/>
        </w:rPr>
        <w:t>甲方（买方）：</w:t>
      </w:r>
      <w:r>
        <w:rPr>
          <w:rFonts w:hint="default" w:ascii="Times New Roman" w:hAnsi="Times New Roman" w:eastAsia="仿宋_GB2312" w:cs="Times New Roman"/>
          <w:b/>
          <w:bCs/>
          <w:sz w:val="24"/>
          <w:szCs w:val="24"/>
          <w:u w:val="single"/>
        </w:rPr>
        <w:t xml:space="preserve">            </w:t>
      </w:r>
      <w:r>
        <w:rPr>
          <w:rFonts w:hint="default" w:ascii="Times New Roman" w:hAnsi="Times New Roman" w:eastAsia="仿宋_GB2312" w:cs="Times New Roman"/>
          <w:bCs/>
          <w:sz w:val="24"/>
          <w:szCs w:val="24"/>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w:t>
      </w:r>
    </w:p>
    <w:p>
      <w:pPr>
        <w:spacing w:line="360" w:lineRule="auto"/>
        <w:ind w:right="-189" w:rightChars="-90" w:firstLine="120" w:firstLineChars="50"/>
        <w:jc w:val="left"/>
        <w:rPr>
          <w:rFonts w:hint="default" w:ascii="Times New Roman" w:hAnsi="Times New Roman" w:eastAsia="仿宋_GB2312" w:cs="Times New Roman"/>
          <w:b/>
          <w:bCs/>
          <w:sz w:val="24"/>
          <w:szCs w:val="24"/>
          <w:u w:val="single"/>
        </w:rPr>
      </w:pPr>
      <w:r>
        <w:rPr>
          <w:rFonts w:hint="default" w:ascii="Times New Roman" w:hAnsi="Times New Roman" w:eastAsia="仿宋_GB2312" w:cs="Times New Roman"/>
          <w:bCs/>
          <w:sz w:val="24"/>
          <w:szCs w:val="24"/>
        </w:rPr>
        <w:t>乙方（卖方）：</w:t>
      </w:r>
      <w:r>
        <w:rPr>
          <w:rFonts w:hint="default" w:ascii="Times New Roman" w:hAnsi="Times New Roman" w:eastAsia="仿宋_GB2312" w:cs="Times New Roman"/>
          <w:b/>
          <w:bCs/>
          <w:sz w:val="24"/>
          <w:szCs w:val="24"/>
          <w:u w:val="single"/>
        </w:rPr>
        <w:t xml:space="preserve">            </w:t>
      </w:r>
    </w:p>
    <w:p>
      <w:pPr>
        <w:spacing w:line="360" w:lineRule="auto"/>
        <w:ind w:right="-189" w:rightChars="-90"/>
        <w:jc w:val="left"/>
        <w:rPr>
          <w:rFonts w:hint="default" w:ascii="Times New Roman" w:hAnsi="Times New Roman" w:eastAsia="仿宋_GB2312" w:cs="Times New Roman"/>
          <w:b/>
          <w:bCs/>
          <w:sz w:val="24"/>
          <w:szCs w:val="24"/>
          <w:u w:val="single"/>
        </w:rPr>
      </w:pP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本设备采购合同由甲乙双方于山东省济南市（</w:t>
      </w:r>
      <w:r>
        <w:rPr>
          <w:rFonts w:hint="default" w:ascii="Times New Roman" w:hAnsi="Times New Roman" w:eastAsia="仿宋_GB2312" w:cs="Times New Roman"/>
          <w:i/>
          <w:iCs/>
          <w:sz w:val="24"/>
          <w:u w:val="single"/>
        </w:rPr>
        <w:t>可根据实际情况调整为甲方/买方所在地</w:t>
      </w:r>
      <w:r>
        <w:rPr>
          <w:rFonts w:hint="default" w:ascii="Times New Roman" w:hAnsi="Times New Roman" w:eastAsia="仿宋_GB2312" w:cs="Times New Roman"/>
          <w:sz w:val="24"/>
          <w:szCs w:val="24"/>
        </w:rPr>
        <w:t>）签订：</w:t>
      </w:r>
    </w:p>
    <w:p>
      <w:pPr>
        <w:spacing w:line="360" w:lineRule="auto"/>
        <w:ind w:right="-189" w:rightChars="-90" w:firstLine="480" w:firstLineChars="20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鉴于，买方向卖方购买</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项目</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设备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 合同设备</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1.1买方向卖方购买的设备信息见附件一：《设备清单明细表》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1.2技术规格和标准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1.2.1本合同约定设备的技术规格详见附件二《技术协议书》。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1.3在设备所有权转移到买方之前，有关设备的保险由卖方负责办理并承担保险费用。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2 包装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2.2每件包装应附有详细的装箱单和质量证书各两套，一套在包装箱里，一套在包装箱外。</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3 运输标记</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3.1卖方应在每一包装箱邻近的四个侧面用不易褪色的油漆以醒目的中文印刷字体标明以下各项：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3.1.1收货人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3.1.2合同号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3.1.3发货标记（唛头）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3.1.4设备的名称、品目号、箱号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3.1.5毛重/净重（公斤）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3.1.6尺寸（长×宽×高，以厘米计）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4 检验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4.2国家强制检验检测的设备，需要经过国家有关部门进行检验检测，卖方保证提供的设备通过其检验并承担费用。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5 权利担保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5.2卖方应保证第三方对其提交的设备不得以侵权或其他类似理由提出合法要求，如侵犯知识产权等。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5.4买方应在已知道第三方的权利或要求后的一段合理时间内，将此权利或要求的性质通知卖方。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6 交货</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default" w:ascii="Times New Roman" w:hAnsi="Times New Roman" w:eastAsia="仿宋_GB2312" w:cs="Times New Roman"/>
          <w:i/>
          <w:iCs/>
          <w:sz w:val="24"/>
          <w:szCs w:val="24"/>
          <w:u w:val="double"/>
        </w:rPr>
      </w:pPr>
      <w:r>
        <w:rPr>
          <w:rFonts w:hint="default" w:ascii="Times New Roman" w:hAnsi="Times New Roman" w:eastAsia="仿宋_GB2312" w:cs="Times New Roman"/>
          <w:sz w:val="24"/>
          <w:szCs w:val="24"/>
        </w:rPr>
        <w:t>6.4交货方式</w:t>
      </w:r>
      <w:r>
        <w:rPr>
          <w:rFonts w:hint="default" w:ascii="Times New Roman" w:hAnsi="Times New Roman" w:eastAsia="仿宋_GB2312" w:cs="Times New Roman"/>
          <w:bCs/>
          <w:sz w:val="24"/>
          <w:szCs w:val="24"/>
        </w:rPr>
        <w:t>：</w:t>
      </w:r>
      <w:r>
        <w:rPr>
          <w:rFonts w:hint="default" w:ascii="Times New Roman" w:hAnsi="Times New Roman" w:eastAsia="仿宋_GB2312" w:cs="Times New Roman"/>
          <w:bCs/>
          <w:sz w:val="24"/>
          <w:szCs w:val="24"/>
          <w:u w:val="single"/>
        </w:rPr>
        <w:t xml:space="preserve">        </w:t>
      </w:r>
      <w:r>
        <w:rPr>
          <w:rFonts w:hint="default" w:ascii="Times New Roman" w:hAnsi="Times New Roman" w:eastAsia="仿宋_GB2312" w:cs="Times New Roman"/>
          <w:iCs/>
          <w:sz w:val="24"/>
          <w:szCs w:val="24"/>
          <w:u w:val="single"/>
        </w:rPr>
        <w:t>（可选择6.4.1-6.4.3定义的方式或根据实际约定）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6.5交货地点：</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6.6到货时间：</w:t>
      </w:r>
      <w:r>
        <w:rPr>
          <w:rFonts w:hint="default" w:ascii="Times New Roman" w:hAnsi="Times New Roman" w:eastAsia="仿宋_GB2312" w:cs="Times New Roman"/>
          <w:sz w:val="24"/>
          <w:szCs w:val="24"/>
          <w:u w:val="single"/>
        </w:rPr>
        <w:t>20  年  月   日前</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6.8卖方在交付设备前需通知买方。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6.9风险的转移：</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7 安装、调试</w:t>
      </w:r>
    </w:p>
    <w:p>
      <w:pPr>
        <w:pStyle w:val="15"/>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7.1 卖方须在到货后</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日内安装调试完成。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7.4</w:t>
      </w:r>
      <w:r>
        <w:rPr>
          <w:rFonts w:hint="default" w:ascii="Times New Roman" w:hAnsi="Times New Roman" w:eastAsia="仿宋_GB2312" w:cs="Times New Roman"/>
          <w:bCs/>
          <w:sz w:val="24"/>
          <w:szCs w:val="24"/>
        </w:rPr>
        <w:t xml:space="preserve"> </w:t>
      </w:r>
      <w:r>
        <w:rPr>
          <w:rFonts w:hint="default" w:ascii="Times New Roman" w:hAnsi="Times New Roman" w:eastAsia="仿宋_GB2312" w:cs="Times New Roman"/>
          <w:sz w:val="24"/>
          <w:szCs w:val="24"/>
        </w:rPr>
        <w:t>卖方须对安装、调试过程中造成的买方或他人人身损害或财产损失承担赔偿责任。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7.5 若设备安装、调试过程中需使用买方产品的，买方提供调试所用产品数量【】件，超出此数量部分由卖方提供，由此产生的相关费用由卖方承担。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8 价款与支付</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8.1本合同不含税总价为人民币¥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），增值税税率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%，税额</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元，含税总价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元人民币（大写：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8.2合同价款的结算方式：半年期商业汇票（包括银行承兑汇票和商业承兑汇票）（如有其它方式可据实填写）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8.3合同价款的支付：（如有不同付款比例，则按照招标文件约定据实填写）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8.3.1合同生效设备全部到齐无质量问题后, 卖方提交金额为合同含税价款60 %的收据（正本一份，复印件二份），经买方依照财务制度审核无误后【】日后支付。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8.3.2设备全部到齐无质量问题，经安装、调试最终验收合格后，卖方提交金额为合同含税价款30 %的收据及合同全额增值税专用发票（税率为</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%，正本一份，复印件二份）并附带该套合同设备最终验收报告的原件及其复印件两份，经买方依照财务制度审核无误后【】日后支付：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default" w:ascii="Times New Roman" w:hAnsi="Times New Roman" w:eastAsia="仿宋_GB2312" w:cs="Times New Roman"/>
          <w:i/>
          <w:sz w:val="24"/>
          <w:szCs w:val="24"/>
        </w:rPr>
        <w:t>【按照实际业务的SAP付款条件填写】</w:t>
      </w:r>
      <w:r>
        <w:rPr>
          <w:rFonts w:hint="default" w:ascii="Times New Roman" w:hAnsi="Times New Roman" w:eastAsia="仿宋_GB2312" w:cs="Times New Roman"/>
          <w:sz w:val="24"/>
          <w:szCs w:val="24"/>
        </w:rPr>
        <w:t>如有质量问题，质量保证金予以相应扣除。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9 质量保证及售后服务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9.4本合同约定设备的质量保证期：自最终验收报告签署之日（以签署日期最晚者为准）起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9.7质量保证期满后，卖方保证向买方提供及时的、质优的、价格优惠的技术服务和备品备件供应。</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10法定责任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10.2除非本合同中另有规定或买方同意，卖方不得全部或部分转让本合同项下的权利义务。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11 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11.1.2根据设备的瑕疵和受损程度以及买方遭受损失的金额，经买方同意降低设备价格。</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11.5买方延期付款时（有正当拒付理由者除外），每日按延付金额的 3 ‰向卖方偿付延期付款违约金，但违约金总额不超过延付金额的 50 ‰。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11.7因发票违规给买方造成的增值税、所得税等损失，由卖方承担相关责任，包括但不限于税款、滞纳金、罚款及其它相关损失。</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11.8如果卖方违反本合同其他约定（包括本合同及所有附件）应赔偿因此给买方造成的一切损失。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12 合同的终止与解除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12.2经双方协商一致，可以解除本合同。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12.3有下列情形之一的，买方可以解除本合同：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12.3.1卖方明确表示或者以自己的行为表明不履行主要义务的；</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12.3.2按照本合同第11.3条或第11.4条的规定，达到违约金的最高限额；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12.3.3卖方所提交的设备不符合本合同的规定；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12.3.4卖方有其他违约行为。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12.7因为卖方违约导致买方解除合同的，卖方应赔偿买方因此所遭受的一切损失。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13 不可抗力</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13.2各方应该通过协商决定是否终止本合同，或推迟全部或部分本合同的履行或免除对方全部或部分相关履行义务。</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14 通讯</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14.1通讯地址：</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本合同下的任何通讯按照本合同双方提供的信息，以书信、传真、电子通讯方式或电话作出。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14.2.1书信。书信为送达时生效；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14.2.2传真。发送人取得成功传输的信息时生效；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14.2.3电子邮件。电子邮件于发送之时生效，前提是寄件者于该邮件发送后24小时内没有收到发送失败通知；</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14.3书面法律证据。根据本合同以书信、传真或电子邮件方式送达任何订约方的任何通讯，将作为书面法律证据。</w:t>
      </w:r>
    </w:p>
    <w:p>
      <w:pPr>
        <w:pStyle w:val="2"/>
        <w:tabs>
          <w:tab w:val="right" w:leader="dot" w:pos="9061"/>
        </w:tabs>
        <w:spacing w:before="240" w:beforeLines="10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15 适用法律及争议解决</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15.1本合同条款的效力和解释适用中华人民共和国法律。</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16 附件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本合同及其附件构成双方关于本合同标的之全部协议，包括但不限于下列文件：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16.1技术协议书；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16.2合同设备一览表；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16.3卖方中标的设备投标书以及一切书面承诺；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16.4招标文件。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上述附件内容与本合同约定有冲突的，以本合同约定为准。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17 其他规定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17.2如果本合同的任何条款和条件在任何时间成为非法、无效或不可强制执行的，则其他条款不应受其影响。</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18 签署事项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本合同一式</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份，买方持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份，卖方持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份；本合同经双方签署后生效。</w:t>
      </w:r>
    </w:p>
    <w:p>
      <w:pPr>
        <w:spacing w:line="360" w:lineRule="auto"/>
        <w:ind w:firstLine="455" w:firstLineChars="18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default" w:ascii="Times New Roman" w:hAnsi="Times New Roman" w:eastAsia="仿宋_GB2312" w:cs="Times New Roman"/>
          <w:b/>
          <w:sz w:val="24"/>
          <w:szCs w:val="24"/>
        </w:rPr>
        <w:br w:type="textWrapping"/>
      </w:r>
      <w:r>
        <w:rPr>
          <w:rFonts w:hint="default" w:ascii="Times New Roman" w:hAnsi="Times New Roman" w:eastAsia="仿宋_GB2312" w:cs="Times New Roman"/>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（以下无正文）</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甲方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kern w:val="0"/>
          <w:sz w:val="24"/>
          <w:szCs w:val="24"/>
        </w:rPr>
        <w:t xml:space="preserve">           </w:t>
      </w:r>
      <w:r>
        <w:rPr>
          <w:rFonts w:hint="default" w:ascii="Times New Roman" w:hAnsi="Times New Roman" w:eastAsia="仿宋_GB2312" w:cs="Times New Roman"/>
          <w:snapToGrid w:val="0"/>
          <w:kern w:val="0"/>
          <w:sz w:val="24"/>
          <w:szCs w:val="24"/>
          <w:lang w:eastAsia="zh-Hans"/>
        </w:rPr>
        <w:t>乙方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法定代表人或代理人（签字）：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地  址：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开户银行：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rPr>
      </w:pPr>
      <w:r>
        <w:rPr>
          <w:rFonts w:hint="default" w:ascii="Times New Roman" w:hAnsi="Times New Roman" w:eastAsia="仿宋_GB2312" w:cs="Times New Roman"/>
          <w:snapToGrid w:val="0"/>
          <w:color w:val="000000"/>
          <w:kern w:val="0"/>
          <w:sz w:val="24"/>
          <w:szCs w:val="24"/>
          <w:lang w:eastAsia="zh-Hans"/>
        </w:rPr>
        <w:t xml:space="preserve">账  号：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账 号： </w:t>
      </w:r>
    </w:p>
    <w:p>
      <w:pPr>
        <w:pStyle w:val="2"/>
        <w:tabs>
          <w:tab w:val="right" w:leader="dot" w:pos="9061"/>
        </w:tabs>
        <w:ind w:left="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附件一：设备清单明细表</w:t>
      </w:r>
    </w:p>
    <w:p>
      <w:pPr>
        <w:rPr>
          <w:rFonts w:hint="default" w:ascii="Times New Roman" w:hAnsi="Times New Roman" w:cs="Times New Roman"/>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1541" w:type="dxa"/>
            <w:vAlign w:val="center"/>
          </w:tcPr>
          <w:p>
            <w:pPr>
              <w:pStyle w:val="30"/>
              <w:spacing w:line="360" w:lineRule="auto"/>
              <w:ind w:left="480" w:hanging="48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产品及部件名称</w:t>
            </w: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规格型号及</w:t>
            </w:r>
          </w:p>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技术参数</w:t>
            </w: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单位</w:t>
            </w: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数量</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总价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合计</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r>
    </w:tbl>
    <w:p>
      <w:pPr>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br w:type="page"/>
      </w:r>
    </w:p>
    <w:p>
      <w:pPr>
        <w:pStyle w:val="2"/>
        <w:tabs>
          <w:tab w:val="right" w:leader="dot" w:pos="9061"/>
        </w:tabs>
        <w:ind w:left="0"/>
        <w:jc w:val="both"/>
        <w:rPr>
          <w:rFonts w:hint="default" w:ascii="Times New Roman" w:hAnsi="Times New Roman" w:eastAsia="黑体" w:cs="Times New Roman"/>
          <w:b w:val="0"/>
          <w:bCs/>
          <w:i/>
          <w:iCs w:val="0"/>
          <w:sz w:val="28"/>
          <w:szCs w:val="28"/>
        </w:rPr>
      </w:pPr>
      <w:r>
        <w:rPr>
          <w:rFonts w:hint="default" w:ascii="Times New Roman" w:hAnsi="Times New Roman" w:eastAsia="黑体" w:cs="Times New Roman"/>
          <w:b w:val="0"/>
          <w:sz w:val="28"/>
          <w:szCs w:val="28"/>
        </w:rPr>
        <w:t>附件二 技术协议书</w:t>
      </w:r>
    </w:p>
    <w:p>
      <w:pPr>
        <w:ind w:right="360"/>
        <w:rPr>
          <w:rFonts w:hint="default" w:ascii="Times New Roman" w:hAnsi="Times New Roman" w:cs="Times New Roman" w:eastAsiaTheme="minorEastAsia"/>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                                      </w:t>
      </w:r>
    </w:p>
    <w:p>
      <w:pPr>
        <w:jc w:val="right"/>
        <w:rPr>
          <w:rFonts w:hint="default" w:ascii="Times New Roman" w:hAnsi="Times New Roman" w:eastAsia="宋体" w:cs="Times New Roman"/>
          <w:sz w:val="20"/>
          <w:szCs w:val="20"/>
        </w:rPr>
      </w:pPr>
    </w:p>
    <w:p>
      <w:pPr>
        <w:wordWrap w:val="0"/>
        <w:ind w:right="480"/>
        <w:rPr>
          <w:rFonts w:hint="default" w:ascii="Times New Roman" w:hAnsi="Times New Roman" w:eastAsia="宋体" w:cs="Times New Roman"/>
          <w:sz w:val="20"/>
          <w:szCs w:val="20"/>
        </w:rPr>
      </w:pPr>
    </w:p>
    <w:bookmarkEnd w:id="57"/>
    <w:p>
      <w:pPr>
        <w:jc w:val="right"/>
        <w:rPr>
          <w:rFonts w:hint="default" w:ascii="Times New Roman" w:hAnsi="Times New Roman" w:eastAsia="楷体_GB2312" w:cs="Times New Roman"/>
          <w:sz w:val="24"/>
          <w:szCs w:val="21"/>
        </w:rPr>
      </w:pPr>
      <w:bookmarkStart w:id="58" w:name="_Toc14341849"/>
    </w:p>
    <w:p>
      <w:pPr>
        <w:ind w:right="480"/>
        <w:jc w:val="center"/>
        <w:rPr>
          <w:rFonts w:hint="default" w:ascii="Times New Roman" w:hAnsi="Times New Roman" w:eastAsia="宋体" w:cs="Times New Roman"/>
          <w:sz w:val="24"/>
          <w:szCs w:val="24"/>
        </w:rPr>
      </w:pPr>
      <w:r>
        <w:rPr>
          <w:rFonts w:hint="default" w:ascii="Times New Roman" w:hAnsi="Times New Roman" w:eastAsia="楷体_GB2312" w:cs="Times New Roman"/>
          <w:sz w:val="24"/>
          <w:szCs w:val="21"/>
        </w:rPr>
        <w:t xml:space="preserve">                                    </w:t>
      </w:r>
    </w:p>
    <w:bookmarkEnd w:id="58"/>
    <w:p>
      <w:pPr>
        <w:rPr>
          <w:rFonts w:hint="default" w:ascii="Times New Roman" w:hAnsi="Times New Roman" w:cs="Times New Roman"/>
          <w:sz w:val="20"/>
          <w:szCs w:val="20"/>
        </w:rPr>
      </w:pPr>
      <w:bookmarkStart w:id="59" w:name="_Toc10272"/>
      <w:bookmarkStart w:id="60" w:name="_Toc16330036"/>
      <w:bookmarkStart w:id="61" w:name="_Toc15689"/>
      <w:bookmarkStart w:id="62" w:name="_Toc28611"/>
      <w:r>
        <w:rPr>
          <w:rFonts w:hint="default" w:ascii="Times New Roman" w:hAnsi="Times New Roman" w:cs="Times New Roman"/>
          <w:sz w:val="20"/>
          <w:szCs w:val="20"/>
        </w:rPr>
        <w:br w:type="page"/>
      </w:r>
    </w:p>
    <w:bookmarkEnd w:id="59"/>
    <w:bookmarkEnd w:id="60"/>
    <w:bookmarkEnd w:id="61"/>
    <w:bookmarkEnd w:id="62"/>
    <w:p>
      <w:pPr>
        <w:keepNext/>
        <w:keepLines/>
        <w:jc w:val="center"/>
        <w:outlineLvl w:val="0"/>
        <w:rPr>
          <w:rFonts w:hint="default" w:ascii="Times New Roman" w:hAnsi="Times New Roman" w:eastAsia="宋体" w:cs="Times New Roman"/>
          <w:b/>
          <w:bCs/>
          <w:kern w:val="44"/>
          <w:sz w:val="36"/>
          <w:szCs w:val="44"/>
        </w:rPr>
      </w:pPr>
      <w:bookmarkStart w:id="63" w:name="_Toc27009"/>
      <w:bookmarkStart w:id="64" w:name="_Toc18512"/>
      <w:bookmarkStart w:id="65" w:name="_Toc29691"/>
      <w:r>
        <w:rPr>
          <w:rFonts w:hint="default" w:ascii="Times New Roman" w:hAnsi="Times New Roman" w:eastAsia="宋体" w:cs="Times New Roman"/>
          <w:b/>
          <w:bCs/>
          <w:kern w:val="44"/>
          <w:sz w:val="36"/>
          <w:szCs w:val="44"/>
        </w:rPr>
        <w:t>第六部分 投标文件附件</w:t>
      </w:r>
      <w:bookmarkEnd w:id="63"/>
      <w:bookmarkEnd w:id="64"/>
      <w:bookmarkEnd w:id="65"/>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说明：</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1、投标人须认真填写和提交本部分中的附件文件；</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2、对附件文件中所要求的内容应给予明确的答复；</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3、附件文件的签字人应保证其对一切问题的答复、所做的声明及出具的资格资质文件、资料等具有真实性和准确性；</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4、招标人将对投标人提交的文件、资料等内容予以保密，但不退还；</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5、所有附件文件应以中文书写，作为投标文件的组成部分。</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66" w:name="_Toc353881012"/>
      <w:bookmarkStart w:id="67" w:name="_Toc25811"/>
      <w:bookmarkStart w:id="68" w:name="_Toc639004"/>
      <w:bookmarkStart w:id="69" w:name="_Toc212369550"/>
      <w:r>
        <w:rPr>
          <w:rFonts w:hint="default" w:ascii="Times New Roman" w:hAnsi="Times New Roman" w:eastAsia="宋体" w:cs="Times New Roman"/>
          <w:b/>
          <w:bCs/>
          <w:color w:val="000000"/>
          <w:sz w:val="24"/>
          <w:szCs w:val="24"/>
        </w:rPr>
        <w:t xml:space="preserve"> 投标函</w:t>
      </w:r>
      <w:bookmarkEnd w:id="66"/>
      <w:bookmarkEnd w:id="67"/>
      <w:bookmarkEnd w:id="68"/>
      <w:bookmarkEnd w:id="69"/>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致：中国重汽集团济南动力有限公司：</w:t>
      </w:r>
    </w:p>
    <w:p>
      <w:pPr>
        <w:pStyle w:val="17"/>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 xml:space="preserve">项目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提交纸质投标文件：资质证明文件、商务文件和技术文件正本</w:t>
      </w:r>
      <w:r>
        <w:rPr>
          <w:rFonts w:hint="default" w:ascii="Times New Roman" w:hAnsi="Times New Roman" w:eastAsia="宋体" w:cs="Times New Roman"/>
          <w:color w:val="000000"/>
          <w:sz w:val="24"/>
          <w:szCs w:val="24"/>
          <w:highlight w:val="yellow"/>
        </w:rPr>
        <w:t>一</w:t>
      </w:r>
      <w:r>
        <w:rPr>
          <w:rFonts w:hint="default" w:ascii="Times New Roman" w:hAnsi="Times New Roman" w:eastAsia="宋体" w:cs="Times New Roman"/>
          <w:color w:val="000000"/>
          <w:sz w:val="24"/>
          <w:szCs w:val="24"/>
        </w:rPr>
        <w:t>份；电子版投标文件一份（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CGZX2025030241）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1"/>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99"/>
        <w:tblpPr w:leftFromText="180" w:rightFromText="180" w:vertAnchor="text" w:horzAnchor="page" w:tblpX="1053"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47"/>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47"/>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147"/>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147"/>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147"/>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147"/>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147"/>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47"/>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pPr>
        <w:pStyle w:val="21"/>
        <w:rPr>
          <w:rFonts w:hint="default"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0</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0</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0</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left="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 xml:space="preserve">                           </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bookmarkStart w:id="70" w:name="_Toc29283"/>
      <w:r>
        <w:rPr>
          <w:rFonts w:hint="default" w:ascii="Times New Roman" w:hAnsi="Times New Roman" w:eastAsia="宋体" w:cs="Times New Roman"/>
          <w:b/>
          <w:bCs/>
          <w:color w:val="000000"/>
          <w:sz w:val="24"/>
          <w:szCs w:val="24"/>
        </w:rPr>
        <w:t>附件8 开标一览表</w:t>
      </w:r>
      <w:bookmarkEnd w:id="70"/>
    </w:p>
    <w:p>
      <w:pPr>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《开标一览表》需在商务标书之外单独封存两份，以备唱标使用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388"/>
        <w:gridCol w:w="1190"/>
        <w:gridCol w:w="3248"/>
        <w:gridCol w:w="1550"/>
        <w:gridCol w:w="2033"/>
        <w:gridCol w:w="203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138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货物名称</w:t>
            </w:r>
          </w:p>
        </w:tc>
        <w:tc>
          <w:tcPr>
            <w:tcW w:w="119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数量</w:t>
            </w:r>
          </w:p>
        </w:tc>
        <w:tc>
          <w:tcPr>
            <w:tcW w:w="324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投标总价</w:t>
            </w:r>
          </w:p>
        </w:tc>
        <w:tc>
          <w:tcPr>
            <w:tcW w:w="155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033"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交货及安装</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时间</w:t>
            </w:r>
          </w:p>
        </w:tc>
        <w:tc>
          <w:tcPr>
            <w:tcW w:w="203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付款方式及比例如何响应</w:t>
            </w:r>
          </w:p>
        </w:tc>
        <w:tc>
          <w:tcPr>
            <w:tcW w:w="117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5" w:hRule="atLeast"/>
          <w:jc w:val="center"/>
        </w:trPr>
        <w:tc>
          <w:tcPr>
            <w:tcW w:w="538"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w:t>
            </w:r>
          </w:p>
        </w:tc>
        <w:tc>
          <w:tcPr>
            <w:tcW w:w="1388" w:type="dxa"/>
            <w:vAlign w:val="center"/>
          </w:tcPr>
          <w:p>
            <w:pPr>
              <w:jc w:val="center"/>
              <w:rPr>
                <w:rFonts w:hint="default" w:ascii="Times New Roman" w:hAnsi="Times New Roman" w:eastAsia="宋体" w:cs="Times New Roman"/>
                <w:bCs/>
                <w:szCs w:val="20"/>
                <w:lang w:val="en-US" w:eastAsia="zh-CN"/>
              </w:rPr>
            </w:pPr>
            <w:r>
              <w:rPr>
                <w:rFonts w:hint="default" w:ascii="Times New Roman" w:hAnsi="Times New Roman" w:eastAsia="宋体" w:cs="Times New Roman"/>
                <w:color w:val="000000"/>
                <w:sz w:val="24"/>
                <w:szCs w:val="24"/>
                <w:lang w:val="en-US" w:eastAsia="zh-CN"/>
              </w:rPr>
              <w:t>电器盒自动涂胶工艺开发项目</w:t>
            </w:r>
          </w:p>
        </w:tc>
        <w:tc>
          <w:tcPr>
            <w:tcW w:w="1190"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1套</w:t>
            </w:r>
          </w:p>
        </w:tc>
        <w:tc>
          <w:tcPr>
            <w:tcW w:w="3248" w:type="dxa"/>
            <w:vAlign w:val="center"/>
          </w:tcPr>
          <w:p>
            <w:pPr>
              <w:adjustRightInd w:val="0"/>
              <w:snapToGrid w:val="0"/>
              <w:jc w:val="left"/>
              <w:rPr>
                <w:rFonts w:hint="default" w:ascii="Times New Roman" w:hAnsi="Times New Roman" w:eastAsia="等线" w:cs="Times New Roman"/>
                <w:bCs/>
                <w:szCs w:val="20"/>
              </w:rPr>
            </w:pPr>
            <w:r>
              <w:rPr>
                <w:rFonts w:hint="default" w:ascii="Times New Roman" w:hAnsi="Times New Roman" w:eastAsia="等线" w:cs="Times New Roman"/>
                <w:b/>
                <w:szCs w:val="20"/>
              </w:rPr>
              <w:t>含税价格：</w:t>
            </w:r>
            <w:r>
              <w:rPr>
                <w:rFonts w:hint="default" w:ascii="Times New Roman" w:hAnsi="Times New Roman" w:eastAsia="等线" w:cs="Times New Roman"/>
                <w:b/>
                <w:szCs w:val="20"/>
                <w:u w:val="single"/>
              </w:rPr>
              <w:t xml:space="preserve">    （大写：    ）</w:t>
            </w:r>
          </w:p>
          <w:p>
            <w:pPr>
              <w:adjustRightInd w:val="0"/>
              <w:snapToGrid w:val="0"/>
              <w:jc w:val="left"/>
              <w:rPr>
                <w:rFonts w:hint="default" w:ascii="Times New Roman" w:hAnsi="Times New Roman" w:cs="Times New Roman"/>
              </w:rPr>
            </w:pPr>
            <w:r>
              <w:rPr>
                <w:rFonts w:hint="default" w:ascii="Times New Roman" w:hAnsi="Times New Roman" w:eastAsia="等线" w:cs="Times New Roman"/>
                <w:bCs/>
                <w:szCs w:val="20"/>
              </w:rPr>
              <w:t>不含税价：</w:t>
            </w:r>
            <w:r>
              <w:rPr>
                <w:rFonts w:hint="default" w:ascii="Times New Roman" w:hAnsi="Times New Roman" w:eastAsia="等线" w:cs="Times New Roman"/>
                <w:b/>
                <w:szCs w:val="20"/>
                <w:u w:val="single"/>
              </w:rPr>
              <w:t xml:space="preserve">    </w:t>
            </w:r>
          </w:p>
          <w:p>
            <w:pPr>
              <w:adjustRightInd w:val="0"/>
              <w:snapToGrid w:val="0"/>
              <w:jc w:val="left"/>
              <w:rPr>
                <w:rFonts w:hint="default" w:ascii="Times New Roman" w:hAnsi="Times New Roman" w:eastAsia="宋体" w:cs="Times New Roman"/>
                <w:bCs/>
                <w:szCs w:val="20"/>
              </w:rPr>
            </w:pPr>
            <w:r>
              <w:rPr>
                <w:rFonts w:hint="default" w:ascii="Times New Roman" w:hAnsi="Times New Roman" w:eastAsia="等线" w:cs="Times New Roman"/>
                <w:bCs/>
                <w:szCs w:val="20"/>
              </w:rPr>
              <w:t>税率：</w:t>
            </w:r>
            <w:r>
              <w:rPr>
                <w:rFonts w:hint="default" w:ascii="Times New Roman" w:hAnsi="Times New Roman" w:eastAsia="等线" w:cs="Times New Roman"/>
                <w:b/>
                <w:szCs w:val="20"/>
                <w:u w:val="single"/>
              </w:rPr>
              <w:t xml:space="preserve">    </w:t>
            </w:r>
          </w:p>
        </w:tc>
        <w:tc>
          <w:tcPr>
            <w:tcW w:w="1550" w:type="dxa"/>
            <w:vAlign w:val="center"/>
          </w:tcPr>
          <w:p>
            <w:pPr>
              <w:jc w:val="center"/>
              <w:rPr>
                <w:rFonts w:hint="default" w:ascii="Times New Roman" w:hAnsi="Times New Roman" w:eastAsia="宋体" w:cs="Times New Roman"/>
                <w:b/>
                <w:szCs w:val="20"/>
              </w:rPr>
            </w:pPr>
          </w:p>
        </w:tc>
        <w:tc>
          <w:tcPr>
            <w:tcW w:w="2033" w:type="dxa"/>
            <w:vAlign w:val="center"/>
          </w:tcPr>
          <w:p>
            <w:pPr>
              <w:jc w:val="center"/>
              <w:rPr>
                <w:rFonts w:hint="default" w:ascii="Times New Roman" w:hAnsi="Times New Roman" w:eastAsia="宋体" w:cs="Times New Roman"/>
                <w:b/>
                <w:szCs w:val="20"/>
              </w:rPr>
            </w:pPr>
          </w:p>
        </w:tc>
        <w:tc>
          <w:tcPr>
            <w:tcW w:w="2034" w:type="dxa"/>
            <w:vAlign w:val="center"/>
          </w:tcPr>
          <w:p>
            <w:pPr>
              <w:jc w:val="center"/>
              <w:rPr>
                <w:rFonts w:hint="default" w:ascii="Times New Roman" w:hAnsi="Times New Roman" w:eastAsia="宋体" w:cs="Times New Roman"/>
                <w:b/>
                <w:szCs w:val="20"/>
              </w:rPr>
            </w:pPr>
          </w:p>
        </w:tc>
        <w:tc>
          <w:tcPr>
            <w:tcW w:w="1175" w:type="dxa"/>
            <w:vAlign w:val="center"/>
          </w:tcPr>
          <w:p>
            <w:pPr>
              <w:jc w:val="center"/>
              <w:rPr>
                <w:rFonts w:hint="default" w:ascii="Times New Roman" w:hAnsi="Times New Roman" w:eastAsia="宋体" w:cs="Times New Roman"/>
                <w:b/>
                <w:szCs w:val="20"/>
              </w:rPr>
            </w:pPr>
          </w:p>
        </w:tc>
      </w:tr>
    </w:tbl>
    <w:p>
      <w:pPr>
        <w:spacing w:line="400" w:lineRule="exact"/>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pPr>
        <w:spacing w:line="52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2.此表在投递标书时请单独密封两份，否则不予唱标。</w:t>
      </w:r>
    </w:p>
    <w:p>
      <w:pPr>
        <w:spacing w:line="300" w:lineRule="auto"/>
        <w:rPr>
          <w:rFonts w:hint="default" w:ascii="Times New Roman" w:hAnsi="Times New Roman" w:eastAsia="宋体" w:cs="Times New Roman"/>
          <w:b/>
          <w:szCs w:val="20"/>
        </w:rPr>
      </w:pPr>
      <w:r>
        <w:rPr>
          <w:rFonts w:hint="default" w:ascii="Times New Roman" w:hAnsi="Times New Roman" w:eastAsia="宋体" w:cs="Times New Roman"/>
          <w:b/>
          <w:szCs w:val="20"/>
        </w:rPr>
        <w:t>3.需写明含税价、不含税价格、税率。</w:t>
      </w:r>
    </w:p>
    <w:p>
      <w:pPr>
        <w:pStyle w:val="21"/>
        <w:rPr>
          <w:rFonts w:hint="default" w:ascii="Times New Roman" w:hAnsi="Times New Roman" w:eastAsia="宋体" w:cs="Times New Roman"/>
          <w:b/>
          <w:bCs/>
          <w:szCs w:val="21"/>
        </w:rPr>
      </w:pPr>
      <w:r>
        <w:rPr>
          <w:rFonts w:hint="default" w:ascii="Times New Roman" w:hAnsi="Times New Roman" w:eastAsia="宋体" w:cs="Times New Roman"/>
          <w:b/>
          <w:szCs w:val="20"/>
        </w:rPr>
        <w:t>4.</w:t>
      </w:r>
      <w:r>
        <w:rPr>
          <w:rFonts w:hint="default" w:ascii="Times New Roman" w:hAnsi="Times New Roman" w:eastAsia="宋体" w:cs="Times New Roman"/>
          <w:b/>
          <w:bCs/>
          <w:szCs w:val="21"/>
        </w:rPr>
        <w:t>投标总价包括设备费、调试费、备品备件、特殊工具、运杂费、装卸费、技术服务费、保险费及增值税和其它税费。</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rPr>
          <w:rFonts w:hint="default" w:ascii="Times New Roman" w:hAnsi="Times New Roman" w:cs="Times New Roman"/>
        </w:rPr>
        <w:sectPr>
          <w:pgSz w:w="16838" w:h="11906" w:orient="landscape"/>
          <w:pgMar w:top="1418" w:right="1588" w:bottom="1418" w:left="1134" w:header="851" w:footer="992" w:gutter="0"/>
          <w:cols w:space="720" w:num="1"/>
          <w:titlePg/>
          <w:docGrid w:type="lines" w:linePitch="312" w:charSpace="0"/>
        </w:sectPr>
      </w:pPr>
    </w:p>
    <w:p>
      <w:pPr>
        <w:rPr>
          <w:rFonts w:hint="default" w:ascii="Times New Roman" w:hAnsi="Times New Roman" w:cs="Times New Roman"/>
          <w:color w:val="000000"/>
          <w:sz w:val="24"/>
          <w:szCs w:val="24"/>
        </w:rPr>
      </w:pPr>
    </w:p>
    <w:p>
      <w:pPr>
        <w:pStyle w:val="4"/>
        <w:rPr>
          <w:rFonts w:hint="default" w:ascii="Times New Roman" w:hAnsi="Times New Roman" w:cs="Times New Roman"/>
          <w:spacing w:val="8"/>
          <w:szCs w:val="24"/>
        </w:rPr>
      </w:pPr>
      <w:r>
        <w:rPr>
          <w:rFonts w:hint="default" w:ascii="Times New Roman" w:hAnsi="Times New Roman" w:cs="Times New Roman"/>
          <w:color w:val="000000"/>
          <w:szCs w:val="24"/>
        </w:rPr>
        <w:t>附</w:t>
      </w:r>
      <w:r>
        <w:rPr>
          <w:rFonts w:hint="default" w:ascii="Times New Roman" w:hAnsi="Times New Roman" w:cs="Times New Roman"/>
          <w:color w:val="000000"/>
          <w:szCs w:val="24"/>
          <w:highlight w:val="yellow"/>
        </w:rPr>
        <w:t xml:space="preserve">件9 </w:t>
      </w:r>
      <w:r>
        <w:rPr>
          <w:rFonts w:hint="default" w:ascii="Times New Roman" w:hAnsi="Times New Roman" w:cs="Times New Roman"/>
          <w:spacing w:val="13"/>
          <w:szCs w:val="24"/>
          <w:highlight w:val="yellow"/>
          <w14:textOutline w14:w="5791" w14:cap="flat" w14:cmpd="sng" w14:algn="ctr">
            <w14:solidFill>
              <w14:srgbClr w14:val="000000"/>
            </w14:solidFill>
            <w14:prstDash w14:val="solid"/>
            <w14:miter w14:val="0"/>
          </w14:textOutline>
        </w:rPr>
        <w:t>设</w:t>
      </w:r>
      <w:r>
        <w:rPr>
          <w:rFonts w:hint="default" w:ascii="Times New Roman" w:hAnsi="Times New Roman" w:cs="Times New Roman"/>
          <w:spacing w:val="8"/>
          <w:szCs w:val="24"/>
          <w:highlight w:val="yellow"/>
          <w14:textOutline w14:w="5791" w14:cap="flat" w14:cmpd="sng" w14:algn="ctr">
            <w14:solidFill>
              <w14:srgbClr w14:val="000000"/>
            </w14:solidFill>
            <w14:prstDash w14:val="solid"/>
            <w14:miter w14:val="0"/>
          </w14:textOutline>
        </w:rPr>
        <w:t>备分项报价表</w:t>
      </w:r>
    </w:p>
    <w:p>
      <w:pPr>
        <w:spacing w:before="52" w:after="140" w:line="221" w:lineRule="auto"/>
        <w:ind w:left="9"/>
        <w:jc w:val="left"/>
        <w:outlineLvl w:val="2"/>
        <w:rPr>
          <w:rFonts w:hint="default" w:ascii="Times New Roman" w:hAnsi="Times New Roman" w:eastAsia="宋体" w:cs="Times New Roman"/>
          <w:spacing w:val="-1"/>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9-1</w:t>
      </w:r>
    </w:p>
    <w:p>
      <w:pPr>
        <w:keepNext/>
        <w:keepLines/>
        <w:spacing w:line="40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99"/>
        <w:tblpPr w:leftFromText="180" w:rightFromText="180" w:vertAnchor="text" w:horzAnchor="page" w:tblpXSpec="center" w:tblpY="258"/>
        <w:tblOverlap w:val="never"/>
        <w:tblW w:w="140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2878"/>
        <w:gridCol w:w="1665"/>
        <w:gridCol w:w="981"/>
        <w:gridCol w:w="946"/>
        <w:gridCol w:w="1898"/>
        <w:gridCol w:w="1608"/>
        <w:gridCol w:w="1872"/>
        <w:gridCol w:w="16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3</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4</w:t>
            </w:r>
          </w:p>
        </w:tc>
        <w:tc>
          <w:tcPr>
            <w:tcW w:w="981"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5</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6</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7</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p>
        </w:tc>
        <w:tc>
          <w:tcPr>
            <w:tcW w:w="1872" w:type="dxa"/>
            <w:tcBorders>
              <w:lef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9</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号</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货物名</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称</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规格</w:t>
            </w:r>
          </w:p>
        </w:tc>
        <w:tc>
          <w:tcPr>
            <w:tcW w:w="981" w:type="dxa"/>
            <w:vAlign w:val="center"/>
          </w:tcPr>
          <w:p>
            <w:pPr>
              <w:jc w:val="center"/>
              <w:rPr>
                <w:rFonts w:hint="default" w:ascii="Times New Roman" w:hAnsi="Times New Roman" w:eastAsia="宋体" w:cs="Times New Roman"/>
                <w:spacing w:val="-2"/>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单位</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数量</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原</w:t>
            </w: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产地和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制造商名</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称</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6"/>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kern w:val="0"/>
                <w:sz w:val="20"/>
                <w:szCs w:val="21"/>
                <w14:textOutline w14:w="3835" w14:cap="flat" w14:cmpd="sng" w14:algn="ctr">
                  <w14:solidFill>
                    <w14:srgbClr w14:val="000000"/>
                  </w14:solidFill>
                  <w14:prstDash w14:val="solid"/>
                  <w14:miter w14:val="0"/>
                </w14:textOutline>
              </w:rPr>
              <w:t>元)</w:t>
            </w:r>
          </w:p>
        </w:tc>
        <w:tc>
          <w:tcPr>
            <w:tcW w:w="1872" w:type="dxa"/>
            <w:tcBorders>
              <w:left w:val="single" w:color="000000" w:sz="4" w:space="0"/>
            </w:tcBorders>
            <w:vAlign w:val="center"/>
          </w:tcPr>
          <w:p>
            <w:pPr>
              <w:jc w:val="center"/>
              <w:rPr>
                <w:rFonts w:hint="default" w:ascii="Times New Roman" w:hAnsi="Times New Roman" w:eastAsia="宋体" w:cs="Times New Roman"/>
                <w:spacing w:val="-3"/>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总价[6</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7"/>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kern w:val="0"/>
                <w:sz w:val="20"/>
                <w:szCs w:val="21"/>
                <w14:textOutline w14:w="3835" w14:cap="flat" w14:cmpd="sng" w14:algn="ctr">
                  <w14:solidFill>
                    <w14:srgbClr w14:val="000000"/>
                  </w14:solidFill>
                  <w14:prstDash w14:val="solid"/>
                  <w14:miter w14:val="0"/>
                </w14:textOutline>
              </w:rPr>
              <w:t>元)</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kern w:val="0"/>
                <w:sz w:val="20"/>
                <w:szCs w:val="21"/>
              </w:rPr>
              <w:t xml:space="preserve">  </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1</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协作机器人</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eastAsia="仿宋" w:cs="Times New Roman"/>
                <w:color w:val="000000"/>
                <w:sz w:val="24"/>
                <w:szCs w:val="24"/>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2</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供胶系统</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3</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机械件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4</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电气件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jc w:val="center"/>
              <w:textAlignment w:val="center"/>
              <w:rPr>
                <w:rFonts w:hint="default" w:ascii="Times New Roman" w:hAnsi="Times New Roman" w:eastAsia="宋体" w:cs="Times New Roman"/>
                <w:color w:val="000000"/>
                <w:kern w:val="2"/>
                <w:sz w:val="24"/>
                <w:szCs w:val="24"/>
                <w:lang w:val="en-US" w:eastAsia="zh-CN" w:bidi="ar-SA"/>
              </w:rPr>
            </w:pPr>
          </w:p>
        </w:tc>
        <w:tc>
          <w:tcPr>
            <w:tcW w:w="1608" w:type="dxa"/>
            <w:tcBorders>
              <w:right w:val="single" w:color="000000" w:sz="4" w:space="0"/>
            </w:tcBorders>
            <w:vAlign w:val="center"/>
          </w:tcPr>
          <w:p>
            <w:pPr>
              <w:widowControl/>
              <w:jc w:val="center"/>
              <w:textAlignment w:val="center"/>
              <w:rPr>
                <w:rFonts w:hint="default" w:ascii="Times New Roman" w:hAnsi="Times New Roman" w:eastAsia="宋体" w:cs="Times New Roman"/>
                <w:kern w:val="2"/>
                <w:sz w:val="24"/>
                <w:szCs w:val="24"/>
                <w:lang w:val="en-US" w:eastAsia="zh-CN" w:bidi="ar-SA"/>
              </w:rPr>
            </w:pPr>
          </w:p>
        </w:tc>
        <w:tc>
          <w:tcPr>
            <w:tcW w:w="1872" w:type="dxa"/>
            <w:tcBorders>
              <w:left w:val="single" w:color="000000" w:sz="4" w:space="0"/>
            </w:tcBorders>
            <w:vAlign w:val="center"/>
          </w:tcPr>
          <w:p>
            <w:pPr>
              <w:widowControl/>
              <w:jc w:val="left"/>
              <w:textAlignment w:val="center"/>
              <w:rPr>
                <w:rFonts w:hint="default" w:ascii="Times New Roman" w:hAnsi="Times New Roman" w:eastAsia="宋体" w:cs="Times New Roman"/>
                <w:kern w:val="2"/>
                <w:sz w:val="24"/>
                <w:szCs w:val="24"/>
                <w:lang w:val="en-US" w:eastAsia="zh-CN" w:bidi="ar"/>
              </w:rPr>
            </w:pPr>
          </w:p>
        </w:tc>
        <w:tc>
          <w:tcPr>
            <w:tcW w:w="1648"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5</w:t>
            </w:r>
          </w:p>
        </w:tc>
        <w:tc>
          <w:tcPr>
            <w:tcW w:w="2878" w:type="dxa"/>
            <w:vAlign w:val="center"/>
          </w:tcPr>
          <w:p>
            <w:pPr>
              <w:jc w:val="center"/>
              <w:textAlignment w:val="center"/>
              <w:rPr>
                <w:rFonts w:hint="default" w:ascii="Times New Roman" w:hAnsi="Times New Roman" w:eastAsia="宋体" w:cs="Times New Roman"/>
                <w:kern w:val="2"/>
                <w:sz w:val="22"/>
                <w:szCs w:val="22"/>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6</w:t>
            </w:r>
          </w:p>
        </w:tc>
        <w:tc>
          <w:tcPr>
            <w:tcW w:w="2878" w:type="dxa"/>
            <w:vAlign w:val="center"/>
          </w:tcPr>
          <w:p>
            <w:pPr>
              <w:jc w:val="center"/>
              <w:textAlignment w:val="center"/>
              <w:rPr>
                <w:rFonts w:hint="default" w:ascii="Times New Roman" w:hAnsi="Times New Roman" w:eastAsia="宋体" w:cs="Times New Roman"/>
                <w:sz w:val="21"/>
                <w:szCs w:val="21"/>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1"/>
                <w:szCs w:val="21"/>
              </w:rPr>
              <w:t>.以上不足之处请往下添加序号自行补充</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4"/>
                <w:szCs w:val="24"/>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8" w:hRule="atLeast"/>
          <w:jc w:val="center"/>
        </w:trPr>
        <w:tc>
          <w:tcPr>
            <w:tcW w:w="560" w:type="dxa"/>
            <w:tcBorders>
              <w:right w:val="single" w:color="000000" w:sz="4" w:space="0"/>
            </w:tcBorders>
            <w:vAlign w:val="center"/>
          </w:tcPr>
          <w:p>
            <w:pPr>
              <w:jc w:val="left"/>
              <w:rPr>
                <w:rFonts w:hint="default" w:ascii="Times New Roman" w:hAnsi="Times New Roman" w:eastAsia="宋体" w:cs="Times New Roman"/>
                <w:spacing w:val="-6"/>
                <w:kern w:val="0"/>
                <w:sz w:val="20"/>
                <w:szCs w:val="21"/>
              </w:rPr>
            </w:pPr>
          </w:p>
        </w:tc>
        <w:tc>
          <w:tcPr>
            <w:tcW w:w="9976" w:type="dxa"/>
            <w:gridSpan w:val="6"/>
            <w:tcBorders>
              <w:right w:val="single" w:color="000000" w:sz="4" w:space="0"/>
            </w:tcBorders>
            <w:vAlign w:val="center"/>
          </w:tcPr>
          <w:p>
            <w:pPr>
              <w:jc w:val="center"/>
              <w:rPr>
                <w:rFonts w:hint="default" w:ascii="Times New Roman" w:hAnsi="Times New Roman" w:eastAsia="宋体" w:cs="Times New Roman"/>
                <w:kern w:val="0"/>
                <w:sz w:val="20"/>
                <w:szCs w:val="20"/>
              </w:rPr>
            </w:pPr>
            <w:r>
              <w:rPr>
                <w:rFonts w:hint="default" w:ascii="Times New Roman" w:hAnsi="Times New Roman" w:eastAsia="宋体" w:cs="Times New Roman"/>
                <w:spacing w:val="-6"/>
                <w:kern w:val="0"/>
                <w:sz w:val="20"/>
                <w:szCs w:val="21"/>
              </w:rPr>
              <w:t>总</w:t>
            </w:r>
            <w:r>
              <w:rPr>
                <w:rFonts w:hint="default" w:ascii="Times New Roman" w:hAnsi="Times New Roman" w:eastAsia="宋体" w:cs="Times New Roman"/>
                <w:spacing w:val="-4"/>
                <w:kern w:val="0"/>
                <w:sz w:val="20"/>
                <w:szCs w:val="21"/>
              </w:rPr>
              <w:t>价合计列入价格汇总表 9-5</w:t>
            </w: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bl>
    <w:p>
      <w:pPr>
        <w:spacing w:before="58" w:line="219" w:lineRule="auto"/>
        <w:ind w:left="8"/>
        <w:rPr>
          <w:rFonts w:hint="default" w:ascii="Times New Roman" w:hAnsi="Times New Roman" w:eastAsia="宋体" w:cs="Times New Roman"/>
          <w:spacing w:val="-8"/>
          <w:szCs w:val="21"/>
        </w:rPr>
      </w:pPr>
    </w:p>
    <w:p>
      <w:pPr>
        <w:spacing w:before="58" w:line="219" w:lineRule="auto"/>
        <w:ind w:left="8"/>
        <w:rPr>
          <w:rFonts w:hint="default" w:ascii="Times New Roman" w:hAnsi="Times New Roman" w:eastAsia="宋体" w:cs="Times New Roman"/>
          <w:szCs w:val="21"/>
        </w:rPr>
      </w:pPr>
      <w:r>
        <w:rPr>
          <w:rFonts w:hint="default" w:ascii="Times New Roman" w:hAnsi="Times New Roman" w:eastAsia="宋体" w:cs="Times New Roman"/>
          <w:spacing w:val="-8"/>
          <w:szCs w:val="21"/>
        </w:rPr>
        <w:t>注： 1.以上</w:t>
      </w:r>
      <w:r>
        <w:rPr>
          <w:rFonts w:hint="default" w:ascii="Times New Roman" w:hAnsi="Times New Roman" w:eastAsia="宋体" w:cs="Times New Roman"/>
          <w:spacing w:val="-5"/>
          <w:szCs w:val="21"/>
        </w:rPr>
        <w:t>是</w:t>
      </w:r>
      <w:r>
        <w:rPr>
          <w:rFonts w:hint="default" w:ascii="Times New Roman" w:hAnsi="Times New Roman" w:eastAsia="宋体" w:cs="Times New Roman"/>
          <w:spacing w:val="-4"/>
          <w:szCs w:val="21"/>
        </w:rPr>
        <w:t>各单体设备分项报价应包括的内容， 但不限于此，表中“总价合计”构成主机价格的一部分。</w:t>
      </w:r>
    </w:p>
    <w:p>
      <w:pPr>
        <w:spacing w:before="78" w:line="219" w:lineRule="auto"/>
        <w:ind w:left="431"/>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计算的结果与总价不一致，以单价为准修正总价。</w:t>
      </w:r>
    </w:p>
    <w:p>
      <w:pPr>
        <w:spacing w:before="85" w:line="198" w:lineRule="auto"/>
        <w:ind w:left="432"/>
        <w:rPr>
          <w:rFonts w:hint="default" w:ascii="Times New Roman" w:hAnsi="Times New Roman" w:cs="Times New Roman"/>
        </w:rPr>
      </w:pPr>
      <w:r>
        <w:rPr>
          <w:rFonts w:hint="default" w:ascii="Times New Roman" w:hAnsi="Times New Roman" w:eastAsia="宋体" w:cs="Times New Roman"/>
          <w:spacing w:val="-4"/>
          <w:szCs w:val="21"/>
        </w:rPr>
        <w:t>3.此分项报价，仅是为</w:t>
      </w:r>
      <w:r>
        <w:rPr>
          <w:rFonts w:hint="default" w:ascii="Times New Roman" w:hAnsi="Times New Roman" w:eastAsia="宋体" w:cs="Times New Roman"/>
          <w:spacing w:val="-2"/>
          <w:szCs w:val="21"/>
        </w:rPr>
        <w:t>了方便招标人对投标文件进行分析比较，不作为限制订立合同的条件</w:t>
      </w:r>
      <w:r>
        <w:rPr>
          <w:rFonts w:hint="default" w:ascii="Times New Roman" w:hAnsi="Times New Roman" w:eastAsia="宋体" w:cs="Times New Roman"/>
          <w:spacing w:val="-2"/>
          <w:sz w:val="24"/>
          <w:szCs w:val="24"/>
        </w:rPr>
        <w:t>。</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line="105" w:lineRule="exact"/>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pgSz w:w="16841" w:h="11907" w:orient="landscape"/>
          <w:pgMar w:top="400" w:right="1387" w:bottom="1168" w:left="1473" w:header="0" w:footer="990" w:gutter="0"/>
          <w:cols w:equalWidth="0" w:num="1">
            <w:col w:w="13980"/>
          </w:cols>
        </w:sectPr>
      </w:pPr>
    </w:p>
    <w:p>
      <w:pPr>
        <w:spacing w:before="85" w:line="198" w:lineRule="auto"/>
        <w:ind w:left="432"/>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投标人(章)：</w:t>
      </w:r>
    </w:p>
    <w:p>
      <w:pPr>
        <w:spacing w:line="14"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p>
    <w:p>
      <w:pPr>
        <w:spacing w:before="40" w:line="186" w:lineRule="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授权代表(签字)：</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eastAsia="宋体" w:cs="Times New Roman"/>
          <w:sz w:val="24"/>
          <w:szCs w:val="24"/>
        </w:rPr>
      </w:pPr>
    </w:p>
    <w:p>
      <w:pPr>
        <w:rPr>
          <w:rFonts w:hint="default" w:ascii="Times New Roman" w:hAnsi="Times New Roman" w:cs="Times New Roman"/>
        </w:rPr>
        <w:sectPr>
          <w:type w:val="continuous"/>
          <w:pgSz w:w="16841" w:h="11907"/>
          <w:pgMar w:top="400" w:right="1387" w:bottom="1168" w:left="1473" w:header="0" w:footer="990" w:gutter="0"/>
          <w:cols w:equalWidth="0" w:num="2">
            <w:col w:w="4757" w:space="100"/>
            <w:col w:w="9124"/>
          </w:cols>
        </w:sectPr>
      </w:pPr>
    </w:p>
    <w:p>
      <w:pPr>
        <w:spacing w:before="132" w:line="221" w:lineRule="auto"/>
        <w:ind w:left="310"/>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9-2</w:t>
      </w:r>
    </w:p>
    <w:p>
      <w:pPr>
        <w:spacing w:before="186" w:line="224" w:lineRule="auto"/>
        <w:ind w:left="5342"/>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default" w:ascii="Times New Roman" w:hAnsi="Times New Roman" w:cs="Times New Roman"/>
              </w:rPr>
            </w:pPr>
          </w:p>
          <w:p>
            <w:pPr>
              <w:spacing w:before="68" w:line="222" w:lineRule="auto"/>
              <w:ind w:left="194"/>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default" w:ascii="Times New Roman" w:hAnsi="Times New Roman" w:cs="Times New Roman"/>
              </w:rPr>
            </w:pPr>
          </w:p>
          <w:p>
            <w:pPr>
              <w:spacing w:before="68" w:line="221" w:lineRule="auto"/>
              <w:ind w:left="147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单价(元)（不含税）</w:t>
            </w:r>
          </w:p>
        </w:tc>
        <w:tc>
          <w:tcPr>
            <w:tcW w:w="259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总价(元)（不含税）</w:t>
            </w:r>
          </w:p>
        </w:tc>
        <w:tc>
          <w:tcPr>
            <w:tcW w:w="2164" w:type="dxa"/>
          </w:tcPr>
          <w:p>
            <w:pPr>
              <w:spacing w:before="130" w:line="222" w:lineRule="auto"/>
              <w:ind w:left="770"/>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default" w:ascii="Times New Roman" w:hAnsi="Times New Roman" w:cs="Times New Roman"/>
              </w:rPr>
            </w:pPr>
          </w:p>
        </w:tc>
        <w:tc>
          <w:tcPr>
            <w:tcW w:w="3530" w:type="dxa"/>
            <w:vMerge w:val="continue"/>
            <w:tcBorders>
              <w:top w:val="nil"/>
            </w:tcBorders>
          </w:tcPr>
          <w:p>
            <w:pPr>
              <w:rPr>
                <w:rFonts w:hint="default" w:ascii="Times New Roman" w:hAnsi="Times New Roman" w:cs="Times New Roman"/>
              </w:rPr>
            </w:pPr>
          </w:p>
        </w:tc>
        <w:tc>
          <w:tcPr>
            <w:tcW w:w="2159" w:type="dxa"/>
          </w:tcPr>
          <w:p>
            <w:pPr>
              <w:spacing w:before="160" w:line="186" w:lineRule="auto"/>
              <w:ind w:left="1044"/>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186" w:type="dxa"/>
          </w:tcPr>
          <w:p>
            <w:pPr>
              <w:spacing w:before="161" w:line="185" w:lineRule="auto"/>
              <w:ind w:left="1047"/>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96" w:type="dxa"/>
          </w:tcPr>
          <w:p>
            <w:pPr>
              <w:spacing w:before="126" w:line="223" w:lineRule="auto"/>
              <w:ind w:left="835"/>
              <w:rPr>
                <w:rFonts w:hint="default" w:ascii="Times New Roman" w:hAnsi="Times New Roman" w:eastAsia="宋体" w:cs="Times New Roman"/>
                <w:szCs w:val="21"/>
              </w:rPr>
            </w:pPr>
            <w:r>
              <w:rPr>
                <w:rFonts w:hint="default" w:ascii="Times New Roman" w:hAnsi="Times New Roman" w:eastAsia="宋体" w:cs="Times New Roman"/>
                <w:spacing w:val="-2"/>
                <w:szCs w:val="21"/>
              </w:rPr>
              <w:t>3 (1</w:t>
            </w:r>
            <w:r>
              <w:rPr>
                <w:rFonts w:hint="default" w:ascii="Times New Roman" w:hAnsi="Times New Roman" w:eastAsia="宋体" w:cs="Times New Roman"/>
                <w:spacing w:val="-1"/>
                <w:szCs w:val="21"/>
              </w:rPr>
              <w:t>×2)</w:t>
            </w:r>
          </w:p>
        </w:tc>
        <w:tc>
          <w:tcPr>
            <w:tcW w:w="2164" w:type="dxa"/>
          </w:tcPr>
          <w:p>
            <w:pPr>
              <w:spacing w:before="161" w:line="185" w:lineRule="auto"/>
              <w:ind w:left="1031"/>
              <w:rPr>
                <w:rFonts w:hint="default" w:ascii="Times New Roman" w:hAnsi="Times New Roman" w:eastAsia="宋体" w:cs="Times New Roman"/>
                <w:szCs w:val="21"/>
              </w:rPr>
            </w:pPr>
            <w:r>
              <w:rPr>
                <w:rFonts w:hint="default" w:ascii="Times New Roman" w:hAnsi="Times New Roman" w:eastAsia="宋体" w:cs="Times New Roman"/>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包</w:t>
            </w:r>
            <w:r>
              <w:rPr>
                <w:rFonts w:hint="default" w:ascii="Times New Roman" w:hAnsi="Times New Roman" w:eastAsia="宋体" w:cs="Times New Roman"/>
                <w:spacing w:val="-1"/>
                <w:szCs w:val="21"/>
              </w:rPr>
              <w:t>装费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运</w:t>
            </w:r>
            <w:r>
              <w:rPr>
                <w:rFonts w:hint="default" w:ascii="Times New Roman" w:hAnsi="Times New Roman" w:eastAsia="宋体" w:cs="Times New Roman"/>
                <w:spacing w:val="-1"/>
                <w:szCs w:val="21"/>
              </w:rPr>
              <w:t>输费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restart"/>
            <w:tcBorders>
              <w:bottom w:val="nil"/>
            </w:tcBorders>
          </w:tcPr>
          <w:p>
            <w:pPr>
              <w:spacing w:line="295" w:lineRule="auto"/>
              <w:rPr>
                <w:rFonts w:hint="default" w:ascii="Times New Roman" w:hAnsi="Times New Roman" w:cs="Times New Roman"/>
              </w:rPr>
            </w:pPr>
          </w:p>
          <w:p>
            <w:pPr>
              <w:spacing w:before="68" w:line="300" w:lineRule="auto"/>
              <w:ind w:left="873" w:right="133" w:hanging="734"/>
              <w:rPr>
                <w:rFonts w:hint="default" w:ascii="Times New Roman" w:hAnsi="Times New Roman" w:eastAsia="宋体" w:cs="Times New Roman"/>
                <w:szCs w:val="21"/>
              </w:rPr>
            </w:pPr>
            <w:r>
              <w:rPr>
                <w:rFonts w:hint="default" w:ascii="Times New Roman" w:hAnsi="Times New Roman" w:eastAsia="宋体" w:cs="Times New Roman"/>
                <w:spacing w:val="-1"/>
                <w:szCs w:val="21"/>
              </w:rPr>
              <w:t>运输方式及</w:t>
            </w:r>
            <w:r>
              <w:rPr>
                <w:rFonts w:hint="default" w:ascii="Times New Roman" w:hAnsi="Times New Roman" w:eastAsia="宋体" w:cs="Times New Roman"/>
                <w:szCs w:val="21"/>
              </w:rPr>
              <w:t xml:space="preserve">运输起止 </w:t>
            </w:r>
            <w:r>
              <w:rPr>
                <w:rFonts w:hint="default" w:ascii="Times New Roman" w:hAnsi="Times New Roman" w:eastAsia="宋体" w:cs="Times New Roman"/>
                <w:spacing w:val="-2"/>
                <w:szCs w:val="21"/>
              </w:rPr>
              <w:t>地</w:t>
            </w:r>
            <w:r>
              <w:rPr>
                <w:rFonts w:hint="default" w:ascii="Times New Roman" w:hAnsi="Times New Roman" w:eastAsia="宋体" w:cs="Times New Roman"/>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530" w:type="dxa"/>
          </w:tcPr>
          <w:p>
            <w:pPr>
              <w:spacing w:before="212" w:line="221" w:lineRule="auto"/>
              <w:ind w:left="1241"/>
              <w:rPr>
                <w:rFonts w:hint="default" w:ascii="Times New Roman" w:hAnsi="Times New Roman" w:eastAsia="宋体" w:cs="Times New Roman"/>
                <w:szCs w:val="21"/>
              </w:rPr>
            </w:pPr>
            <w:r>
              <w:rPr>
                <w:rFonts w:hint="default" w:ascii="Times New Roman" w:hAnsi="Times New Roman" w:eastAsia="宋体" w:cs="Times New Roman"/>
                <w:spacing w:val="-1"/>
                <w:szCs w:val="21"/>
              </w:rPr>
              <w:t>运输保险费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continue"/>
            <w:tcBorders>
              <w:top w:val="nil"/>
            </w:tcBorders>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530" w:type="dxa"/>
          </w:tcPr>
          <w:p>
            <w:pPr>
              <w:spacing w:before="210"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装</w:t>
            </w:r>
            <w:r>
              <w:rPr>
                <w:rFonts w:hint="default" w:ascii="Times New Roman" w:hAnsi="Times New Roman" w:eastAsia="宋体" w:cs="Times New Roman"/>
                <w:spacing w:val="-1"/>
                <w:szCs w:val="21"/>
              </w:rPr>
              <w:t>卸费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7"/>
              <w:rPr>
                <w:rFonts w:hint="default" w:ascii="Times New Roman" w:hAnsi="Times New Roman" w:eastAsia="宋体" w:cs="Times New Roman"/>
                <w:szCs w:val="21"/>
              </w:rPr>
            </w:pPr>
            <w:r>
              <w:rPr>
                <w:rFonts w:hint="default" w:ascii="Times New Roman" w:hAnsi="Times New Roman" w:eastAsia="宋体" w:cs="Times New Roman"/>
                <w:spacing w:val="-2"/>
                <w:szCs w:val="21"/>
              </w:rPr>
              <w:t>发生</w:t>
            </w:r>
            <w:r>
              <w:rPr>
                <w:rFonts w:hint="default" w:ascii="Times New Roman" w:hAnsi="Times New Roman" w:eastAsia="宋体" w:cs="Times New Roman"/>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3530" w:type="dxa"/>
          </w:tcPr>
          <w:p>
            <w:pPr>
              <w:spacing w:before="211"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2"/>
                <w:szCs w:val="21"/>
              </w:rPr>
              <w:t>.......</w:t>
            </w:r>
          </w:p>
          <w:p>
            <w:pPr>
              <w:spacing w:before="211" w:line="221" w:lineRule="auto"/>
              <w:rPr>
                <w:rFonts w:hint="default" w:ascii="Times New Roman" w:hAnsi="Times New Roman" w:eastAsia="宋体" w:cs="Times New Roman"/>
                <w:szCs w:val="21"/>
              </w:rPr>
            </w:pPr>
            <w:r>
              <w:rPr>
                <w:rFonts w:hint="default" w:ascii="Times New Roman" w:hAnsi="Times New Roman" w:eastAsia="宋体" w:cs="Times New Roman"/>
                <w:spacing w:val="-2"/>
                <w:szCs w:val="21"/>
              </w:rPr>
              <w:t>以上</w:t>
            </w:r>
            <w:r>
              <w:rPr>
                <w:rFonts w:hint="default" w:ascii="Times New Roman" w:hAnsi="Times New Roman" w:eastAsia="宋体" w:cs="Times New Roman"/>
              </w:rPr>
              <w:t>不足之处请往下添加序号自行补充</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6"/>
              <w:rPr>
                <w:rFonts w:hint="default" w:ascii="Times New Roman" w:hAnsi="Times New Roman" w:eastAsia="宋体" w:cs="Times New Roman"/>
                <w:szCs w:val="21"/>
              </w:rPr>
            </w:pPr>
            <w:r>
              <w:rPr>
                <w:rFonts w:hint="default" w:ascii="Times New Roman" w:hAnsi="Times New Roman" w:eastAsia="宋体" w:cs="Times New Roman"/>
                <w:spacing w:val="-2"/>
                <w:szCs w:val="21"/>
              </w:rPr>
              <w:t>说明</w:t>
            </w:r>
            <w:r>
              <w:rPr>
                <w:rFonts w:hint="default" w:ascii="Times New Roman" w:hAnsi="Times New Roman" w:eastAsia="宋体" w:cs="Times New Roman"/>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760" w:type="dxa"/>
            <w:gridSpan w:val="2"/>
          </w:tcPr>
          <w:p>
            <w:pPr>
              <w:spacing w:before="211" w:line="219" w:lineRule="auto"/>
              <w:jc w:val="left"/>
              <w:rPr>
                <w:rFonts w:hint="default" w:ascii="Times New Roman" w:hAnsi="Times New Roman" w:eastAsia="宋体" w:cs="Times New Roman"/>
                <w:szCs w:val="21"/>
              </w:rPr>
            </w:pPr>
            <w:r>
              <w:rPr>
                <w:rFonts w:hint="default" w:ascii="Times New Roman" w:hAnsi="Times New Roman" w:eastAsia="宋体" w:cs="Times New Roman"/>
                <w:b/>
                <w:bCs/>
                <w:szCs w:val="21"/>
              </w:rPr>
              <w:t>总价合计（不含税）￥    元</w:t>
            </w:r>
          </w:p>
        </w:tc>
      </w:tr>
    </w:tbl>
    <w:p>
      <w:pPr>
        <w:spacing w:before="59" w:line="219" w:lineRule="auto"/>
        <w:ind w:left="211"/>
        <w:rPr>
          <w:rFonts w:hint="default" w:ascii="Times New Roman" w:hAnsi="Times New Roman" w:eastAsia="宋体" w:cs="Times New Roman"/>
          <w:szCs w:val="21"/>
        </w:rPr>
      </w:pPr>
      <w:r>
        <w:rPr>
          <w:rFonts w:hint="default" w:ascii="Times New Roman" w:hAnsi="Times New Roman" w:eastAsia="宋体" w:cs="Times New Roman"/>
          <w:spacing w:val="-10"/>
          <w:szCs w:val="21"/>
        </w:rPr>
        <w:t xml:space="preserve">注： </w:t>
      </w:r>
      <w:r>
        <w:rPr>
          <w:rFonts w:hint="default" w:ascii="Times New Roman" w:hAnsi="Times New Roman" w:eastAsia="宋体" w:cs="Times New Roman"/>
          <w:spacing w:val="-5"/>
          <w:szCs w:val="21"/>
        </w:rPr>
        <w:t>1.投标人需另附页给出价格的详细说明。</w:t>
      </w:r>
    </w:p>
    <w:p>
      <w:pPr>
        <w:spacing w:before="77"/>
        <w:ind w:left="633"/>
        <w:rPr>
          <w:rFonts w:hint="default" w:ascii="Times New Roman" w:hAnsi="Times New Roman" w:eastAsia="宋体" w:cs="Times New Roman"/>
          <w:szCs w:val="21"/>
        </w:rPr>
      </w:pPr>
      <w:r>
        <w:rPr>
          <w:rFonts w:hint="default" w:ascii="Times New Roman" w:hAnsi="Times New Roman" w:eastAsia="宋体" w:cs="Times New Roman"/>
          <w:spacing w:val="-1"/>
          <w:szCs w:val="21"/>
        </w:rPr>
        <w:t>2.如果按单价计算的结果与总价不一致，以单</w:t>
      </w:r>
      <w:r>
        <w:rPr>
          <w:rFonts w:hint="default" w:ascii="Times New Roman" w:hAnsi="Times New Roman" w:eastAsia="宋体" w:cs="Times New Roman"/>
          <w:szCs w:val="21"/>
        </w:rPr>
        <w:t>价为准修正总价。</w:t>
      </w:r>
    </w:p>
    <w:p>
      <w:pPr>
        <w:spacing w:before="64" w:line="198" w:lineRule="auto"/>
        <w:ind w:firstLine="606" w:firstLineChars="3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 授权代表(签字)：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sz w:val="24"/>
          <w:szCs w:val="24"/>
        </w:rPr>
      </w:pPr>
    </w:p>
    <w:p>
      <w:pPr>
        <w:rPr>
          <w:rFonts w:hint="default" w:ascii="Times New Roman" w:hAnsi="Times New Roman" w:cs="Times New Roman"/>
        </w:rPr>
        <w:sectPr>
          <w:footerReference r:id="rId20"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9-3</w:t>
      </w:r>
    </w:p>
    <w:p>
      <w:pPr>
        <w:spacing w:before="104" w:line="224" w:lineRule="auto"/>
        <w:ind w:left="5024"/>
        <w:rPr>
          <w:rFonts w:hint="default" w:ascii="Times New Roman" w:hAnsi="Times New Roman" w:eastAsia="宋体" w:cs="Times New Roman"/>
          <w:sz w:val="31"/>
          <w:szCs w:val="31"/>
        </w:rPr>
      </w:pP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技术服务和培训分项报价</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20" w:lineRule="exact"/>
        <w:rPr>
          <w:rFonts w:hint="default" w:ascii="Times New Roman" w:hAnsi="Times New Roman" w:cs="Times New Roman"/>
        </w:rPr>
      </w:pP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价格(元)（不含税）</w:t>
            </w: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现场安装</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现场指导调试、</w:t>
            </w:r>
            <w:r>
              <w:rPr>
                <w:rFonts w:hint="default" w:ascii="Times New Roman" w:hAnsi="Times New Roman" w:eastAsia="宋体" w:cs="Times New Roman"/>
                <w:szCs w:val="21"/>
              </w:rPr>
              <w:t>试车</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现场技术支持解决技术难题</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995" w:type="dxa"/>
          </w:tcPr>
          <w:p>
            <w:pPr>
              <w:spacing w:before="268"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bidi="ar"/>
              </w:rPr>
              <w:t>企业管理费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zCs w:val="21"/>
                <w:lang w:bidi="ar"/>
              </w:rPr>
              <w:t>检验检测费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pacing w:val="-1"/>
                <w:szCs w:val="21"/>
              </w:rPr>
              <w:t>.......以上不足之处请往下添加序号自行补充</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总价合计列入价格汇总表 9-5</w:t>
            </w:r>
          </w:p>
        </w:tc>
        <w:tc>
          <w:tcPr>
            <w:tcW w:w="1241"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1255"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2699"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default" w:ascii="Times New Roman" w:hAnsi="Times New Roman" w:eastAsia="宋体" w:cs="Times New Roman"/>
          <w:spacing w:val="-8"/>
          <w:szCs w:val="21"/>
        </w:rPr>
      </w:pPr>
      <w:r>
        <w:rPr>
          <w:rFonts w:hint="default" w:ascii="Times New Roman" w:hAnsi="Times New Roman" w:eastAsia="宋体" w:cs="Times New Roman"/>
          <w:spacing w:val="-16"/>
          <w:szCs w:val="21"/>
        </w:rPr>
        <w:t>注</w:t>
      </w:r>
      <w:r>
        <w:rPr>
          <w:rFonts w:hint="default" w:ascii="Times New Roman" w:hAnsi="Times New Roman" w:eastAsia="宋体" w:cs="Times New Roman"/>
          <w:spacing w:val="-8"/>
          <w:szCs w:val="21"/>
        </w:rPr>
        <w:t>：   1.投标人需给出价格的详细说明。</w:t>
      </w:r>
    </w:p>
    <w:p>
      <w:pPr>
        <w:spacing w:before="75" w:line="219" w:lineRule="auto"/>
        <w:ind w:left="409" w:firstLine="396" w:firstLineChars="200"/>
        <w:rPr>
          <w:rFonts w:hint="default" w:ascii="Times New Roman" w:hAnsi="Times New Roman" w:cs="Times New Roman"/>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35" w:line="239" w:lineRule="auto"/>
        <w:ind w:firstLine="824" w:firstLineChars="400"/>
        <w:rPr>
          <w:rFonts w:hint="default" w:ascii="Times New Roman" w:hAnsi="Times New Roman" w:eastAsia="宋体" w:cs="Times New Roman"/>
          <w:szCs w:val="21"/>
        </w:rPr>
      </w:pPr>
      <w:r>
        <w:rPr>
          <w:rFonts w:hint="default" w:ascii="Times New Roman" w:hAnsi="Times New Roman" w:eastAsia="宋体" w:cs="Times New Roman"/>
          <w:spacing w:val="-2"/>
          <w:szCs w:val="21"/>
        </w:rPr>
        <w:t>3.此分项</w:t>
      </w:r>
      <w:r>
        <w:rPr>
          <w:rFonts w:hint="default" w:ascii="Times New Roman" w:hAnsi="Times New Roman" w:eastAsia="宋体" w:cs="Times New Roman"/>
          <w:spacing w:val="-1"/>
          <w:szCs w:val="21"/>
        </w:rPr>
        <w:t>报价，仅是为了方便招标人对投标文件进行比较，不作为限制订立合同的条件。</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rPr>
          <w:rFonts w:hint="default" w:ascii="Times New Roman" w:hAnsi="Times New Roman" w:cs="Times New Roman"/>
        </w:rPr>
      </w:pPr>
    </w:p>
    <w:p>
      <w:pPr>
        <w:pStyle w:val="21"/>
        <w:rPr>
          <w:rFonts w:hint="default" w:ascii="Times New Roman" w:hAnsi="Times New Roman" w:cs="Times New Roman"/>
        </w:rPr>
      </w:pPr>
    </w:p>
    <w:p>
      <w:pPr>
        <w:spacing w:before="35" w:line="239" w:lineRule="auto"/>
        <w:ind w:left="724"/>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年  月  日</w:t>
      </w:r>
    </w:p>
    <w:p>
      <w:pPr>
        <w:spacing w:before="35" w:line="239" w:lineRule="auto"/>
        <w:ind w:left="724"/>
        <w:rPr>
          <w:rFonts w:hint="default" w:ascii="Times New Roman" w:hAnsi="Times New Roman" w:eastAsia="宋体" w:cs="Times New Roman"/>
          <w:spacing w:val="-1"/>
          <w:sz w:val="24"/>
          <w:szCs w:val="24"/>
        </w:rPr>
      </w:pPr>
    </w:p>
    <w:p>
      <w:pPr>
        <w:rPr>
          <w:rFonts w:hint="default" w:ascii="Times New Roman" w:hAnsi="Times New Roman" w:cs="Times New Roman"/>
        </w:rPr>
        <w:sectPr>
          <w:footerReference r:id="rId21"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9-4</w:t>
      </w:r>
    </w:p>
    <w:p>
      <w:pPr>
        <w:spacing w:before="125" w:line="294" w:lineRule="auto"/>
        <w:ind w:left="6150" w:right="1626" w:hanging="4500"/>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5791" w14:cap="flat" w14:cmpd="sng" w14:algn="ctr">
            <w14:solidFill>
              <w14:srgbClr w14:val="000000"/>
            </w14:solidFill>
            <w14:prstDash w14:val="solid"/>
            <w14:miter w14:val="0"/>
          </w14:textOutline>
        </w:rPr>
        <w:t>质保</w:t>
      </w:r>
      <w:r>
        <w:rPr>
          <w:rFonts w:hint="default" w:ascii="Times New Roman" w:hAnsi="Times New Roman" w:eastAsia="宋体" w:cs="Times New Roman"/>
          <w:spacing w:val="12"/>
          <w:sz w:val="24"/>
          <w:szCs w:val="24"/>
          <w14:textOutline w14:w="5791" w14:cap="flat" w14:cmpd="sng" w14:algn="ctr">
            <w14:solidFill>
              <w14:srgbClr w14:val="000000"/>
            </w14:solidFill>
            <w14:prstDash w14:val="solid"/>
            <w14:miter w14:val="0"/>
          </w14:textOutline>
        </w:rPr>
        <w:t>期</w:t>
      </w: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分项报价</w:t>
      </w:r>
      <w:r>
        <w:rPr>
          <w:rFonts w:hint="default" w:ascii="Times New Roman" w:hAnsi="Times New Roman" w:eastAsia="宋体" w:cs="Times New Roman"/>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hint="default" w:ascii="Times New Roman" w:hAnsi="Times New Roman" w:eastAsia="宋体" w:cs="Times New Roman"/>
                <w:szCs w:val="21"/>
              </w:rPr>
            </w:pP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4"/>
                <w:szCs w:val="21"/>
              </w:rPr>
              <w:t xml:space="preserve"> </w:t>
            </w: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备件或</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hint="default" w:ascii="Times New Roman" w:hAnsi="Times New Roman" w:eastAsia="宋体" w:cs="Times New Roman"/>
                <w:szCs w:val="21"/>
              </w:rPr>
            </w:pP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原产地</w:t>
            </w:r>
            <w:r>
              <w:rPr>
                <w:rFonts w:hint="default" w:ascii="Times New Roman" w:hAnsi="Times New Roman" w:eastAsia="宋体" w:cs="Times New Roman"/>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制造商</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hint="default" w:ascii="Times New Roman" w:hAnsi="Times New Roman" w:eastAsia="宋体" w:cs="Times New Roman"/>
                <w:szCs w:val="21"/>
              </w:rPr>
            </w:pPr>
            <w:r>
              <w:rPr>
                <w:rFonts w:hint="default" w:ascii="Times New Roman" w:hAnsi="Times New Roman" w:eastAsia="宋体" w:cs="Times New Roman"/>
                <w:spacing w:val="-16"/>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4×6]</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hint="default" w:ascii="Times New Roman" w:hAnsi="Times New Roman" w:eastAsia="宋体" w:cs="Times New Roman"/>
                <w:szCs w:val="21"/>
              </w:rPr>
            </w:pPr>
            <w:r>
              <w:rPr>
                <w:rFonts w:hint="default" w:ascii="Times New Roman" w:hAnsi="Times New Roman" w:eastAsia="宋体" w:cs="Times New Roman"/>
                <w:spacing w:val="27"/>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hint="default" w:ascii="Times New Roman" w:hAnsi="Times New Roman" w:eastAsia="宋体" w:cs="Times New Roman"/>
                <w:szCs w:val="21"/>
              </w:rPr>
            </w:pPr>
            <w:r>
              <w:rPr>
                <w:rFonts w:hint="default" w:ascii="Times New Roman" w:hAnsi="Times New Roman" w:eastAsia="宋体" w:cs="Times New Roman"/>
                <w:spacing w:val="-3"/>
                <w:position w:val="8"/>
                <w:szCs w:val="21"/>
                <w14:textOutline w14:w="3835" w14:cap="flat" w14:cmpd="sng" w14:algn="ctr">
                  <w14:solidFill>
                    <w14:srgbClr w14:val="000000"/>
                  </w14:solidFill>
                  <w14:prstDash w14:val="solid"/>
                  <w14:miter w14:val="0"/>
                </w14:textOutline>
              </w:rPr>
              <w:t>更</w:t>
            </w: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543" w:type="dxa"/>
            <w:vAlign w:val="center"/>
          </w:tcPr>
          <w:p>
            <w:pPr>
              <w:pStyle w:val="98"/>
              <w:spacing w:before="60" w:after="60"/>
              <w:jc w:val="center"/>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2543" w:type="dxa"/>
            <w:vAlign w:val="center"/>
          </w:tcPr>
          <w:p>
            <w:pPr>
              <w:pStyle w:val="98"/>
              <w:spacing w:before="60" w:after="60"/>
              <w:rPr>
                <w:rFonts w:hint="default" w:ascii="Times New Roman" w:hAnsi="Times New Roman" w:eastAsia="宋体" w:cs="Times New Roman"/>
                <w:szCs w:val="21"/>
                <w:highlight w:val="blue"/>
              </w:rPr>
            </w:pPr>
            <w:r>
              <w:rPr>
                <w:rFonts w:hint="default" w:ascii="Times New Roman" w:hAnsi="Times New Roman" w:eastAsia="宋体" w:cs="Times New Roman"/>
                <w:spacing w:val="-1"/>
                <w:szCs w:val="21"/>
              </w:rPr>
              <w:t>.......以上不足之处请往下添加序号自行补充</w:t>
            </w: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133" w:type="dxa"/>
            <w:gridSpan w:val="3"/>
          </w:tcPr>
          <w:p>
            <w:pPr>
              <w:spacing w:before="207" w:line="219" w:lineRule="auto"/>
              <w:ind w:firstLine="630" w:firstLineChars="300"/>
              <w:rPr>
                <w:rFonts w:hint="default" w:ascii="Times New Roman" w:hAnsi="Times New Roman" w:eastAsia="宋体" w:cs="Times New Roman"/>
                <w:szCs w:val="21"/>
              </w:rPr>
            </w:pPr>
            <w:r>
              <w:rPr>
                <w:rFonts w:hint="default" w:ascii="Times New Roman" w:hAnsi="Times New Roman" w:eastAsia="宋体" w:cs="Times New Roman"/>
                <w:szCs w:val="21"/>
              </w:rPr>
              <w:t>总价合计（不含税）￥    元</w:t>
            </w:r>
          </w:p>
        </w:tc>
      </w:tr>
    </w:tbl>
    <w:p>
      <w:pPr>
        <w:spacing w:before="69" w:line="219" w:lineRule="auto"/>
        <w:rPr>
          <w:rFonts w:hint="default" w:ascii="Times New Roman" w:hAnsi="Times New Roman" w:eastAsia="宋体" w:cs="Times New Roman"/>
          <w:spacing w:val="-3"/>
          <w:szCs w:val="21"/>
        </w:rPr>
      </w:pPr>
    </w:p>
    <w:p>
      <w:pPr>
        <w:spacing w:before="69" w:line="219" w:lineRule="auto"/>
        <w:rPr>
          <w:rFonts w:hint="default" w:ascii="Times New Roman" w:hAnsi="Times New Roman" w:eastAsia="宋体" w:cs="Times New Roman"/>
          <w:szCs w:val="21"/>
        </w:rPr>
      </w:pPr>
      <w:r>
        <w:rPr>
          <w:rFonts w:hint="default" w:ascii="Times New Roman" w:hAnsi="Times New Roman" w:eastAsia="宋体" w:cs="Times New Roman"/>
          <w:spacing w:val="-3"/>
          <w:szCs w:val="21"/>
        </w:rPr>
        <w:t>注：1.本表须详细列出质保期内全部随机备品备件和专用工具等的详细价格</w:t>
      </w:r>
      <w:r>
        <w:rPr>
          <w:rFonts w:hint="default" w:ascii="Times New Roman" w:hAnsi="Times New Roman" w:eastAsia="宋体" w:cs="Times New Roman"/>
          <w:spacing w:val="-1"/>
          <w:szCs w:val="21"/>
        </w:rPr>
        <w:t>。</w:t>
      </w:r>
    </w:p>
    <w:p>
      <w:pPr>
        <w:spacing w:before="75" w:line="219" w:lineRule="auto"/>
        <w:ind w:left="409"/>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87" w:line="198" w:lineRule="auto"/>
        <w:ind w:left="411"/>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rPr>
          <w:rFonts w:hint="default" w:ascii="Times New Roman" w:hAnsi="Times New Roman" w:eastAsia="宋体" w:cs="Times New Roman"/>
          <w:spacing w:val="6"/>
          <w:szCs w:val="21"/>
        </w:rPr>
      </w:pPr>
    </w:p>
    <w:p>
      <w:pPr>
        <w:spacing w:before="87" w:line="198" w:lineRule="auto"/>
        <w:ind w:left="411"/>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r>
        <w:rPr>
          <w:rFonts w:hint="default" w:ascii="Times New Roman" w:hAnsi="Times New Roman" w:eastAsia="宋体" w:cs="Times New Roman"/>
          <w:spacing w:val="-2"/>
          <w:sz w:val="24"/>
          <w:szCs w:val="24"/>
        </w:rPr>
        <w:br w:type="page"/>
      </w:r>
    </w:p>
    <w:p>
      <w:pPr>
        <w:spacing w:before="24" w:line="221" w:lineRule="auto"/>
        <w:ind w:left="211"/>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9-5</w:t>
      </w:r>
    </w:p>
    <w:p>
      <w:pPr>
        <w:spacing w:before="253" w:line="224" w:lineRule="auto"/>
        <w:ind w:left="6488"/>
        <w:rPr>
          <w:rFonts w:hint="default" w:ascii="Times New Roman" w:hAnsi="Times New Roman" w:eastAsia="宋体" w:cs="Times New Roman"/>
          <w:sz w:val="31"/>
          <w:szCs w:val="31"/>
        </w:rPr>
      </w:pP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价</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127" w:lineRule="exact"/>
        <w:rPr>
          <w:rFonts w:hint="default" w:ascii="Times New Roman" w:hAnsi="Times New Roman" w:cs="Times New Roman"/>
        </w:rPr>
      </w:pPr>
    </w:p>
    <w:tbl>
      <w:tblPr>
        <w:tblStyle w:val="99"/>
        <w:tblW w:w="0" w:type="auto"/>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default" w:ascii="Times New Roman" w:hAnsi="Times New Roman" w:eastAsia="宋体" w:cs="Times New Roman"/>
                <w:szCs w:val="21"/>
              </w:rPr>
            </w:pPr>
            <w:r>
              <w:rPr>
                <w:rFonts w:hint="default" w:ascii="Times New Roman" w:hAnsi="Times New Roman" w:eastAsia="宋体" w:cs="Times New Roman"/>
                <w:spacing w:val="-2"/>
                <w:szCs w:val="21"/>
              </w:rPr>
              <w:t>序</w:t>
            </w:r>
            <w:r>
              <w:rPr>
                <w:rFonts w:hint="default" w:ascii="Times New Roman" w:hAnsi="Times New Roman" w:eastAsia="宋体" w:cs="Times New Roman"/>
                <w:spacing w:val="-1"/>
                <w:szCs w:val="21"/>
              </w:rPr>
              <w:t>号</w:t>
            </w:r>
          </w:p>
        </w:tc>
        <w:tc>
          <w:tcPr>
            <w:tcW w:w="5765" w:type="dxa"/>
          </w:tcPr>
          <w:p>
            <w:pPr>
              <w:spacing w:before="276" w:line="221" w:lineRule="auto"/>
              <w:ind w:left="2544"/>
              <w:rPr>
                <w:rFonts w:hint="default" w:ascii="Times New Roman" w:hAnsi="Times New Roman" w:eastAsia="宋体" w:cs="Times New Roman"/>
                <w:szCs w:val="21"/>
              </w:rPr>
            </w:pPr>
            <w:r>
              <w:rPr>
                <w:rFonts w:hint="default" w:ascii="Times New Roman" w:hAnsi="Times New Roman" w:eastAsia="宋体" w:cs="Times New Roman"/>
                <w:spacing w:val="-6"/>
                <w:szCs w:val="21"/>
              </w:rPr>
              <w:t>内</w:t>
            </w:r>
            <w:r>
              <w:rPr>
                <w:rFonts w:hint="default" w:ascii="Times New Roman" w:hAnsi="Times New Roman" w:eastAsia="宋体" w:cs="Times New Roman"/>
                <w:spacing w:val="-4"/>
                <w:szCs w:val="21"/>
              </w:rPr>
              <w:t xml:space="preserve">   容</w:t>
            </w:r>
          </w:p>
        </w:tc>
        <w:tc>
          <w:tcPr>
            <w:tcW w:w="3354" w:type="dxa"/>
          </w:tcPr>
          <w:p>
            <w:pPr>
              <w:spacing w:before="276" w:line="219"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8"/>
                <w:szCs w:val="21"/>
              </w:rPr>
              <w:t>总</w:t>
            </w:r>
            <w:r>
              <w:rPr>
                <w:rFonts w:hint="default" w:ascii="Times New Roman" w:hAnsi="Times New Roman" w:eastAsia="宋体" w:cs="Times New Roman"/>
                <w:spacing w:val="14"/>
                <w:szCs w:val="21"/>
              </w:rPr>
              <w:t>价(元)</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default" w:ascii="Times New Roman" w:hAnsi="Times New Roman" w:eastAsia="宋体" w:cs="Times New Roman"/>
                <w:szCs w:val="21"/>
              </w:rPr>
            </w:pPr>
            <w:r>
              <w:rPr>
                <w:rFonts w:hint="default" w:ascii="Times New Roman" w:hAnsi="Times New Roman" w:eastAsia="宋体" w:cs="Times New Roman"/>
                <w:spacing w:val="-1"/>
                <w:szCs w:val="21"/>
              </w:rPr>
              <w:t>备</w:t>
            </w:r>
            <w:r>
              <w:rPr>
                <w:rFonts w:hint="default" w:ascii="Times New Roman" w:hAnsi="Times New Roman" w:eastAsia="宋体" w:cs="Times New Roman"/>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765" w:type="dxa"/>
          </w:tcPr>
          <w:p>
            <w:pPr>
              <w:spacing w:before="27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7"/>
                <w:szCs w:val="21"/>
              </w:rPr>
              <w:t>表</w:t>
            </w:r>
            <w:r>
              <w:rPr>
                <w:rFonts w:hint="default" w:ascii="Times New Roman" w:hAnsi="Times New Roman" w:eastAsia="宋体" w:cs="Times New Roman"/>
                <w:spacing w:val="-11"/>
                <w:szCs w:val="21"/>
              </w:rPr>
              <w:t xml:space="preserve"> 9-</w:t>
            </w:r>
            <w:r>
              <w:rPr>
                <w:rFonts w:hint="default" w:ascii="Times New Roman" w:hAnsi="Times New Roman" w:eastAsia="Times New Roman" w:cs="Times New Roman"/>
                <w:spacing w:val="-11"/>
                <w:szCs w:val="21"/>
              </w:rPr>
              <w:t xml:space="preserve"> 1 </w:t>
            </w:r>
            <w:r>
              <w:rPr>
                <w:rFonts w:hint="default" w:ascii="Times New Roman" w:hAnsi="Times New Roman" w:eastAsia="宋体" w:cs="Times New Roman"/>
                <w:spacing w:val="-11"/>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765" w:type="dxa"/>
          </w:tcPr>
          <w:p>
            <w:pPr>
              <w:spacing w:before="263"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2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default" w:ascii="Times New Roman" w:hAnsi="Times New Roman" w:cs="Times New Roman"/>
              </w:rPr>
            </w:pPr>
          </w:p>
          <w:p>
            <w:pPr>
              <w:spacing w:before="68" w:line="183" w:lineRule="auto"/>
              <w:ind w:left="49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765" w:type="dxa"/>
          </w:tcPr>
          <w:p>
            <w:pPr>
              <w:spacing w:before="274"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-3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765" w:type="dxa"/>
          </w:tcPr>
          <w:p>
            <w:pPr>
              <w:spacing w:before="26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-4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 （税率：</w:t>
            </w:r>
            <w:r>
              <w:rPr>
                <w:rFonts w:hint="default" w:ascii="Times New Roman" w:hAnsi="Times New Roman" w:eastAsia="宋体" w:cs="Times New Roman"/>
                <w:spacing w:val="-1"/>
                <w:szCs w:val="21"/>
                <w:u w:val="single"/>
                <w14:textOutline w14:w="3835" w14:cap="flat" w14:cmpd="sng" w14:algn="ctr">
                  <w14:solidFill>
                    <w14:srgbClr w14:val="000000"/>
                  </w14:solidFill>
                  <w14:prstDash w14:val="solid"/>
                  <w14:miter w14:val="0"/>
                </w14:textOutline>
              </w:rPr>
              <w:t xml:space="preserve">   </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r>
    </w:tbl>
    <w:p>
      <w:pPr>
        <w:spacing w:line="291" w:lineRule="auto"/>
        <w:rPr>
          <w:rFonts w:hint="default" w:ascii="Times New Roman" w:hAnsi="Times New Roman" w:cs="Times New Roman"/>
        </w:rPr>
      </w:pPr>
    </w:p>
    <w:p>
      <w:pPr>
        <w:spacing w:before="78" w:line="198" w:lineRule="auto"/>
        <w:ind w:left="211" w:firstLine="202" w:firstLineChars="1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注：  1.此表格中的总价合</w:t>
      </w:r>
      <w:r>
        <w:rPr>
          <w:rFonts w:hint="default" w:ascii="Times New Roman" w:hAnsi="Times New Roman" w:eastAsia="宋体" w:cs="Times New Roman"/>
          <w:spacing w:val="-2"/>
          <w:szCs w:val="21"/>
        </w:rPr>
        <w:t>计应与“投标货物数量及价目表”及开标一览表的价格一致</w:t>
      </w:r>
      <w:r>
        <w:rPr>
          <w:rFonts w:hint="default" w:ascii="Times New Roman" w:hAnsi="Times New Roman" w:eastAsia="宋体" w:cs="Times New Roman"/>
          <w:spacing w:val="-2"/>
          <w:sz w:val="24"/>
          <w:szCs w:val="24"/>
        </w:rPr>
        <w:t>。</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2.该明细表所有信息均为必填项，不得删减，价格部分不得合并，可细化可增加。</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3.因填写不规范造成废标及终止招标的，责任由投标人自负。</w:t>
      </w:r>
    </w:p>
    <w:p>
      <w:pPr>
        <w:pStyle w:val="21"/>
        <w:rPr>
          <w:rFonts w:hint="default" w:ascii="Times New Roman" w:hAnsi="Times New Roman" w:cs="Times New Roman"/>
        </w:rPr>
      </w:pPr>
    </w:p>
    <w:p>
      <w:pPr>
        <w:pStyle w:val="21"/>
        <w:rPr>
          <w:rFonts w:hint="default" w:ascii="Times New Roman" w:hAnsi="Times New Roman" w:cs="Times New Roman"/>
        </w:rPr>
      </w:pP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 xml:space="preserve"> 授权代表(签字)：</w:t>
      </w:r>
      <w:r>
        <w:rPr>
          <w:rFonts w:hint="default" w:ascii="Times New Roman" w:hAnsi="Times New Roman" w:eastAsia="宋体" w:cs="Times New Roman"/>
          <w:spacing w:val="-2"/>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p>
    <w:p>
      <w:pPr>
        <w:rPr>
          <w:rFonts w:hint="default" w:ascii="Times New Roman" w:hAnsi="Times New Roman" w:cs="Times New Roman"/>
        </w:rPr>
        <w:sectPr>
          <w:footerReference r:id="rId22" w:type="default"/>
          <w:pgSz w:w="16841" w:h="11907"/>
          <w:pgMar w:top="400" w:right="1699" w:bottom="1168" w:left="1481" w:header="0" w:footer="990" w:gutter="0"/>
          <w:cols w:equalWidth="0" w:num="1">
            <w:col w:w="13660"/>
          </w:cols>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default" w:ascii="Times New Roman" w:hAnsi="Times New Roman" w:eastAsia="宋体" w:cs="Times New Roman"/>
          <w:spacing w:val="-5"/>
          <w:sz w:val="24"/>
          <w:szCs w:val="24"/>
          <w:u w:val="single"/>
          <w:lang w:val="en-US" w:eastAsia="zh-CN"/>
        </w:rPr>
        <w:t>电器盒自动涂胶工艺开发</w:t>
      </w:r>
      <w:r>
        <w:rPr>
          <w:rFonts w:hint="default" w:ascii="Times New Roman" w:hAnsi="Times New Roman" w:eastAsia="宋体" w:cs="Times New Roman"/>
          <w:spacing w:val="-5"/>
          <w:sz w:val="24"/>
          <w:szCs w:val="24"/>
          <w:u w:val="single"/>
        </w:rPr>
        <w:t xml:space="preserve">项目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99"/>
        <w:tblW w:w="0" w:type="auto"/>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23" w:type="default"/>
          <w:pgSz w:w="11906" w:h="16839"/>
          <w:pgMar w:top="1431" w:right="1417" w:bottom="1179" w:left="1304" w:header="850" w:footer="992" w:gutter="0"/>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1"/>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项目名称：</w:t>
            </w:r>
            <w:r>
              <w:rPr>
                <w:rFonts w:hint="default" w:ascii="Times New Roman" w:hAnsi="Times New Roman" w:eastAsia="宋体" w:cs="Times New Roman"/>
                <w:b/>
                <w:szCs w:val="20"/>
                <w:lang w:val="en-US" w:eastAsia="zh-CN"/>
              </w:rPr>
              <w:t>电器盒自动涂胶工艺开发</w:t>
            </w:r>
            <w:r>
              <w:rPr>
                <w:rFonts w:hint="default" w:ascii="Times New Roman" w:hAnsi="Times New Roman" w:eastAsia="宋体" w:cs="Times New Roman"/>
                <w:b/>
                <w:szCs w:val="20"/>
              </w:rPr>
              <w:t>项目</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pStyle w:val="4"/>
        <w:jc w:val="left"/>
        <w:rPr>
          <w:rFonts w:hint="default" w:ascii="Times New Roman" w:hAnsi="Times New Roman" w:cs="Times New Roman"/>
          <w:szCs w:val="24"/>
        </w:rPr>
      </w:pPr>
      <w:bookmarkStart w:id="71" w:name="OLE_LINK2"/>
      <w:bookmarkStart w:id="72" w:name="_GoBack"/>
      <w:r>
        <w:rPr>
          <w:rFonts w:hint="default" w:ascii="Times New Roman" w:hAnsi="Times New Roman" w:cs="Times New Roman"/>
          <w:color w:val="000000"/>
          <w:szCs w:val="24"/>
        </w:rPr>
        <w:t xml:space="preserve">附件14 </w:t>
      </w:r>
      <w:r>
        <w:rPr>
          <w:rFonts w:hint="default" w:ascii="Times New Roman" w:hAnsi="Times New Roman" w:cs="Times New Roman"/>
          <w:szCs w:val="24"/>
        </w:rPr>
        <w:t>技术标评审表（100分）</w:t>
      </w:r>
    </w:p>
    <w:p>
      <w:pPr>
        <w:rPr>
          <w:rFonts w:hint="default" w:ascii="Times New Roman" w:hAnsi="Times New Roman" w:cs="Times New Roman"/>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评审</w:t>
            </w:r>
          </w:p>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内容</w:t>
            </w:r>
          </w:p>
        </w:tc>
        <w:tc>
          <w:tcPr>
            <w:tcW w:w="427"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序号</w:t>
            </w:r>
          </w:p>
        </w:tc>
        <w:tc>
          <w:tcPr>
            <w:tcW w:w="1260"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   容</w:t>
            </w:r>
          </w:p>
        </w:tc>
        <w:tc>
          <w:tcPr>
            <w:tcW w:w="748"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标准分</w:t>
            </w:r>
          </w:p>
        </w:tc>
        <w:tc>
          <w:tcPr>
            <w:tcW w:w="6023"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产品技术</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highlight w:val="none"/>
              </w:rPr>
              <w:t>投标文件中技术参数符合招标文件的要求赋</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答疑</w:t>
            </w:r>
          </w:p>
        </w:tc>
        <w:tc>
          <w:tcPr>
            <w:tcW w:w="427" w:type="dxa"/>
            <w:vAlign w:val="center"/>
          </w:tcPr>
          <w:p>
            <w:pPr>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p>
        </w:tc>
        <w:tc>
          <w:tcPr>
            <w:tcW w:w="1260" w:type="dxa"/>
            <w:vAlign w:val="center"/>
          </w:tcPr>
          <w:p>
            <w:pPr>
              <w:spacing w:line="420" w:lineRule="exact"/>
              <w:rPr>
                <w:rFonts w:hint="default" w:ascii="Times New Roman" w:hAnsi="Times New Roman" w:eastAsia="宋体" w:cs="Times New Roman"/>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default" w:ascii="Times New Roman" w:hAnsi="Times New Roman" w:eastAsia="宋体" w:cs="Times New Roman"/>
                <w:color w:val="000000"/>
                <w:sz w:val="24"/>
                <w:szCs w:val="24"/>
                <w:lang w:val="en-US" w:eastAsia="zh-CN"/>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实施计划</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1260" w:type="dxa"/>
            <w:vAlign w:val="center"/>
          </w:tcPr>
          <w:p>
            <w:pPr>
              <w:spacing w:line="420" w:lineRule="exact"/>
              <w:rPr>
                <w:rFonts w:hint="default" w:ascii="Times New Roman" w:hAnsi="Times New Roman" w:eastAsia="宋体" w:cs="Times New Roman"/>
                <w:sz w:val="24"/>
                <w:szCs w:val="24"/>
                <w:lang w:val="en-US" w:eastAsia="zh-CN"/>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业绩</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4</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bCs/>
                <w:sz w:val="24"/>
                <w:szCs w:val="24"/>
                <w:highlight w:val="none"/>
              </w:rPr>
              <w:t>技术偏离</w:t>
            </w:r>
          </w:p>
        </w:tc>
        <w:tc>
          <w:tcPr>
            <w:tcW w:w="748" w:type="dxa"/>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highlight w:val="none"/>
              </w:rPr>
              <w:t>12</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服务</w:t>
            </w: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5</w:t>
            </w:r>
          </w:p>
        </w:tc>
        <w:tc>
          <w:tcPr>
            <w:tcW w:w="1260" w:type="dxa"/>
            <w:shd w:val="clear" w:color="auto" w:fill="auto"/>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业绩</w:t>
            </w:r>
          </w:p>
        </w:tc>
        <w:tc>
          <w:tcPr>
            <w:tcW w:w="748" w:type="dxa"/>
            <w:shd w:val="clear" w:color="auto" w:fill="auto"/>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10</w:t>
            </w:r>
          </w:p>
        </w:tc>
        <w:tc>
          <w:tcPr>
            <w:tcW w:w="6023" w:type="dxa"/>
            <w:shd w:val="clear" w:color="auto" w:fill="auto"/>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w:t>
            </w:r>
          </w:p>
        </w:tc>
        <w:tc>
          <w:tcPr>
            <w:tcW w:w="1260" w:type="dxa"/>
            <w:vAlign w:val="center"/>
          </w:tcPr>
          <w:p>
            <w:pPr>
              <w:spacing w:line="360" w:lineRule="auto"/>
              <w:rPr>
                <w:rFonts w:hint="default" w:ascii="Times New Roman" w:hAnsi="Times New Roman" w:eastAsia="宋体" w:cs="Times New Roman"/>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专业技术力量</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6</w:t>
            </w:r>
          </w:p>
        </w:tc>
        <w:tc>
          <w:tcPr>
            <w:tcW w:w="6023" w:type="dxa"/>
            <w:shd w:val="clear" w:color="auto" w:fill="auto"/>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售后服务</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6023"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rPr>
          <w:rFonts w:hint="default" w:ascii="Times New Roman" w:hAnsi="Times New Roman" w:cs="Times New Roman"/>
          <w:szCs w:val="24"/>
        </w:rPr>
      </w:pPr>
    </w:p>
    <w:p>
      <w:pPr>
        <w:rPr>
          <w:rFonts w:hint="default" w:ascii="Times New Roman" w:hAnsi="Times New Roman" w:cs="Times New Roman"/>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bookmarkEnd w:id="72"/>
    </w:p>
    <w:bookmarkEnd w:id="71"/>
    <w:p>
      <w:pPr>
        <w:rPr>
          <w:rFonts w:hint="default" w:ascii="Times New Roman" w:hAnsi="Times New Roman" w:cs="Times New Roman"/>
          <w:szCs w:val="24"/>
        </w:rPr>
      </w:pPr>
    </w:p>
    <w:p>
      <w:pPr>
        <w:pStyle w:val="21"/>
        <w:rPr>
          <w:rFonts w:hint="default" w:ascii="Times New Roman" w:hAnsi="Times New Roman" w:cs="Times New Roman"/>
        </w:rPr>
      </w:pPr>
    </w:p>
    <w:p>
      <w:pPr>
        <w:pStyle w:val="21"/>
        <w:rPr>
          <w:rFonts w:hint="default" w:ascii="Times New Roman" w:hAnsi="Times New Roman" w:cs="Times New Roman"/>
        </w:rPr>
      </w:pPr>
    </w:p>
    <w:p>
      <w:pPr>
        <w:rPr>
          <w:rFonts w:hint="default" w:ascii="Times New Roman" w:hAnsi="Times New Roman" w:cs="Times New Roman"/>
        </w:rPr>
        <w:sectPr>
          <w:headerReference r:id="rId25" w:type="first"/>
          <w:footerReference r:id="rId27" w:type="first"/>
          <w:headerReference r:id="rId24" w:type="default"/>
          <w:footerReference r:id="rId26" w:type="default"/>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附件15 SRM非生产供应商注册操作手册</w:t>
      </w:r>
    </w:p>
    <w:p>
      <w:pPr>
        <w:pStyle w:val="21"/>
        <w:rPr>
          <w:rFonts w:hint="default" w:ascii="Times New Roman" w:hAnsi="Times New Roman" w:eastAsia="宋体" w:cs="Times New Roman"/>
        </w:rPr>
      </w:pP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浏览器中输入地址;</w:t>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\l "/login" \t "dlt" </w:instrText>
      </w:r>
      <w:r>
        <w:rPr>
          <w:rFonts w:hint="default" w:ascii="Times New Roman" w:hAnsi="Times New Roman" w:cs="Times New Roman"/>
        </w:rPr>
        <w:fldChar w:fldCharType="separate"/>
      </w:r>
      <w:r>
        <w:rPr>
          <w:rFonts w:hint="default" w:ascii="Times New Roman" w:hAnsi="Times New Roman" w:eastAsia="宋体" w:cs="Times New Roman"/>
          <w:sz w:val="24"/>
          <w:szCs w:val="24"/>
        </w:rPr>
        <w:t>http://ecaitong.sinotruk.com:8012/#/login</w:t>
      </w:r>
      <w:r>
        <w:rPr>
          <w:rFonts w:hint="default" w:ascii="Times New Roman" w:hAnsi="Times New Roman" w:eastAsia="宋体" w:cs="Times New Roman"/>
          <w:sz w:val="24"/>
          <w:szCs w:val="24"/>
        </w:rPr>
        <w:fldChar w:fldCharType="end"/>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1.点击立即注册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933065"/>
            <wp:effectExtent l="0" t="0" r="12065" b="63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a:stretch>
                      <a:fillRect/>
                    </a:stretch>
                  </pic:blipFill>
                  <pic:spPr>
                    <a:xfrm>
                      <a:off x="0" y="0"/>
                      <a:ext cx="5760085" cy="293337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2.填写手机号码（没有注册过的）</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766695"/>
            <wp:effectExtent l="0" t="0" r="12065" b="1460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34"/>
                    <a:stretch>
                      <a:fillRect/>
                    </a:stretch>
                  </pic:blipFill>
                  <pic:spPr>
                    <a:xfrm>
                      <a:off x="0" y="0"/>
                      <a:ext cx="5760085" cy="276670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3.注册成功登录这个手机号码的账号进入系统，点击供应商注册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69565"/>
            <wp:effectExtent l="0" t="0" r="12065" b="698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35"/>
                    <a:stretch>
                      <a:fillRect/>
                    </a:stretch>
                  </pic:blipFill>
                  <pic:spPr>
                    <a:xfrm>
                      <a:off x="0" y="0"/>
                      <a:ext cx="5760085" cy="2870054"/>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4.点击新增</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53055"/>
            <wp:effectExtent l="0" t="0" r="12065" b="444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53375"/>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5</w:t>
      </w:r>
      <w:r>
        <w:rPr>
          <w:rFonts w:hint="default" w:ascii="Times New Roman" w:hAnsi="Times New Roman" w:eastAsia="宋体" w:cs="Times New Roman"/>
          <w:color w:val="000000"/>
          <w:sz w:val="24"/>
          <w:szCs w:val="28"/>
        </w:rPr>
        <w:t>.按要求填写所有信息，注意非生产类要填写合作单位，最后提交审批</w:t>
      </w:r>
    </w:p>
    <w:p>
      <w:pPr>
        <w:rPr>
          <w:rFonts w:hint="default" w:ascii="Times New Roman" w:hAnsi="Times New Roman" w:eastAsia="宋体" w:cs="Times New Roman"/>
        </w:rPr>
      </w:pPr>
      <w:r>
        <w:rPr>
          <w:rFonts w:hint="default" w:ascii="Times New Roman" w:hAnsi="Times New Roman" w:cs="Times New Roman"/>
        </w:rPr>
        <w:t>审批通过后，注意记录本单位的“供应商代码”，代码用于登录系统后应标。登录信息如下：</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pStyle w:val="21"/>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0" distR="0">
            <wp:extent cx="5760085" cy="2809875"/>
            <wp:effectExtent l="0" t="0" r="12065" b="952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10122"/>
                    </a:xfrm>
                    <a:prstGeom prst="rect">
                      <a:avLst/>
                    </a:prstGeom>
                  </pic:spPr>
                </pic:pic>
              </a:graphicData>
            </a:graphic>
          </wp:inline>
        </w:drawing>
      </w:r>
    </w:p>
    <w:p>
      <w:pPr>
        <w:pStyle w:val="21"/>
        <w:rPr>
          <w:rFonts w:hint="default" w:ascii="Times New Roman" w:hAnsi="Times New Roman" w:cs="Times New Roman"/>
        </w:rPr>
      </w:pPr>
      <w:r>
        <w:rPr>
          <w:rFonts w:hint="default" w:ascii="Times New Roman" w:hAnsi="Times New Roman" w:cs="Times New Roman"/>
        </w:rPr>
        <w:drawing>
          <wp:inline distT="0" distB="0" distL="0" distR="0">
            <wp:extent cx="5760085" cy="2820035"/>
            <wp:effectExtent l="0" t="0" r="12065" b="1841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8"/>
                    <a:stretch>
                      <a:fillRect/>
                    </a:stretch>
                  </pic:blipFill>
                  <pic:spPr>
                    <a:xfrm>
                      <a:off x="0" y="0"/>
                      <a:ext cx="5760085" cy="2820042"/>
                    </a:xfrm>
                    <a:prstGeom prst="rect">
                      <a:avLst/>
                    </a:prstGeom>
                  </pic:spPr>
                </pic:pic>
              </a:graphicData>
            </a:graphic>
          </wp:inline>
        </w:drawing>
      </w:r>
    </w:p>
    <w:p>
      <w:pPr>
        <w:pStyle w:val="21"/>
        <w:rPr>
          <w:rFonts w:hint="default" w:ascii="Times New Roman" w:hAnsi="Times New Roman" w:cs="Times New Roman"/>
        </w:rPr>
      </w:pP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注：</w:t>
      </w: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1.“项目名称”和“采购形式编号”见投标须知前附表1.1；</w:t>
      </w:r>
    </w:p>
    <w:p>
      <w:pPr>
        <w:pStyle w:val="21"/>
        <w:rPr>
          <w:rFonts w:hint="default" w:ascii="Times New Roman" w:hAnsi="Times New Roman" w:cs="Times New Roman"/>
        </w:rPr>
      </w:pPr>
      <w:r>
        <w:rPr>
          <w:rFonts w:hint="default" w:ascii="Times New Roman" w:hAnsi="Times New Roman" w:eastAsia="宋体" w:cs="Times New Roman"/>
          <w:b/>
          <w:bCs/>
          <w:color w:val="000000"/>
          <w:sz w:val="24"/>
          <w:szCs w:val="28"/>
          <w:highlight w:val="yellow"/>
        </w:rPr>
        <w:t>2.配套能力“供货类别”填“工艺设备”，业务主管部门为“工艺</w:t>
      </w:r>
      <w:r>
        <w:rPr>
          <w:rFonts w:hint="default" w:ascii="Times New Roman" w:hAnsi="Times New Roman" w:eastAsia="宋体" w:cs="Times New Roman"/>
          <w:b/>
          <w:bCs/>
          <w:color w:val="000000"/>
          <w:sz w:val="24"/>
          <w:szCs w:val="28"/>
          <w:highlight w:val="yellow"/>
          <w:lang w:val="en-US" w:eastAsia="zh-CN"/>
        </w:rPr>
        <w:t>工匠</w:t>
      </w:r>
      <w:r>
        <w:rPr>
          <w:rFonts w:hint="default" w:ascii="Times New Roman" w:hAnsi="Times New Roman" w:eastAsia="宋体" w:cs="Times New Roman"/>
          <w:b/>
          <w:bCs/>
          <w:color w:val="000000"/>
          <w:sz w:val="24"/>
          <w:szCs w:val="28"/>
          <w:highlight w:val="yellow"/>
        </w:rPr>
        <w:t>研究院”。</w:t>
      </w:r>
    </w:p>
    <w:p>
      <w:pPr>
        <w:pStyle w:val="21"/>
        <w:rPr>
          <w:rFonts w:hint="default" w:ascii="Times New Roman" w:hAnsi="Times New Roman" w:cs="Times New Roman"/>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color w:val="000000"/>
          <w:sz w:val="24"/>
          <w:szCs w:val="24"/>
        </w:rPr>
      </w:pPr>
      <w:r>
        <w:rPr>
          <w:rFonts w:hint="default" w:ascii="Times New Roman" w:hAnsi="Times New Roman" w:eastAsia="宋体" w:cs="Times New Roman"/>
          <w:b/>
          <w:bCs/>
          <w:color w:val="000000"/>
          <w:sz w:val="24"/>
          <w:szCs w:val="24"/>
        </w:rPr>
        <w:t xml:space="preserve">附件16 </w:t>
      </w:r>
      <w:r>
        <w:rPr>
          <w:rFonts w:hint="default" w:ascii="Times New Roman" w:hAnsi="Times New Roman" w:eastAsia="宋体" w:cs="Times New Roman"/>
          <w:b/>
          <w:color w:val="000000"/>
          <w:sz w:val="24"/>
          <w:szCs w:val="24"/>
        </w:rPr>
        <w:t>SRM系统供应商用户手册</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系统网址：</w:t>
      </w: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\t "dlt" </w:instrText>
      </w:r>
      <w:r>
        <w:rPr>
          <w:rFonts w:hint="default" w:ascii="Times New Roman" w:hAnsi="Times New Roman" w:cs="Times New Roman"/>
        </w:rPr>
        <w:fldChar w:fldCharType="separate"/>
      </w:r>
      <w:r>
        <w:rPr>
          <w:rStyle w:val="48"/>
          <w:rFonts w:hint="default" w:ascii="Times New Roman" w:hAnsi="Times New Roman" w:eastAsia="宋体" w:cs="Times New Roman"/>
          <w:sz w:val="24"/>
          <w:szCs w:val="24"/>
        </w:rPr>
        <w:t>http://ecaitong.sinotruk.com:8012/</w:t>
      </w:r>
      <w:r>
        <w:rPr>
          <w:rStyle w:val="48"/>
          <w:rFonts w:hint="default" w:ascii="Times New Roman" w:hAnsi="Times New Roman" w:eastAsia="宋体" w:cs="Times New Roman"/>
          <w:sz w:val="24"/>
          <w:szCs w:val="24"/>
        </w:rPr>
        <w:fldChar w:fldCharType="end"/>
      </w:r>
      <w:r>
        <w:rPr>
          <w:rStyle w:val="48"/>
          <w:rFonts w:hint="default" w:ascii="Times New Roman" w:hAnsi="Times New Roman" w:eastAsia="宋体" w:cs="Times New Roman"/>
          <w:sz w:val="24"/>
          <w:szCs w:val="24"/>
        </w:rPr>
        <w:t>（以下内容可能非最新版本，仅供参考，请登录系统网址后，点检查看最新版供应商手册）</w:t>
      </w:r>
    </w:p>
    <w:p>
      <w:pPr>
        <w:spacing w:line="360" w:lineRule="auto"/>
        <w:rPr>
          <w:rFonts w:hint="default" w:ascii="Times New Roman" w:hAnsi="Times New Roman" w:eastAsia="宋体" w:cs="Times New Roman"/>
          <w:sz w:val="24"/>
          <w:szCs w:val="24"/>
        </w:rPr>
      </w:pP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0"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OTiIxexAgAAWwUAAA4AAABkcnMvZTJvRG9jLnhtbK1U&#10;zY7TMBC+I/EOlu9smjah22rTVdWqCGnFVloQZ9dxGkv+w3abLjdOHHiEfQFegCs8DT+PwdjO/oLE&#10;HrgkM57xNzOfZ+b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OTiIx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default" w:ascii="Times New Roman" w:hAnsi="Times New Roman" w:cs="Times New Roman"/>
        </w:rPr>
        <w:drawing>
          <wp:inline distT="0" distB="0" distL="114300" distR="114300">
            <wp:extent cx="4067175" cy="4876800"/>
            <wp:effectExtent l="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4067175" cy="4876800"/>
                    </a:xfrm>
                    <a:prstGeom prst="rect">
                      <a:avLst/>
                    </a:prstGeom>
                    <a:noFill/>
                    <a:ln>
                      <a:noFill/>
                    </a:ln>
                  </pic:spPr>
                </pic:pic>
              </a:graphicData>
            </a:graphic>
          </wp:inline>
        </w:drawing>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r>
        <w:rPr>
          <w:rFonts w:hint="default" w:ascii="Times New Roman" w:hAnsi="Times New Roman" w:eastAsia="宋体" w:cs="Times New Roman"/>
          <w:color w:val="FF0000"/>
          <w:sz w:val="24"/>
          <w:szCs w:val="24"/>
        </w:rPr>
        <w:t>注意：注册完毕后，用户名不要用手机号登录</w:t>
      </w:r>
      <w:r>
        <w:rPr>
          <w:rFonts w:hint="default" w:ascii="Times New Roman" w:hAnsi="Times New Roman" w:eastAsia="宋体" w:cs="Times New Roman"/>
          <w:color w:val="000000"/>
          <w:sz w:val="24"/>
          <w:szCs w:val="24"/>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1.供应商应标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路径：招投标中心-非生产类招投标-供应商应标</w:t>
      </w:r>
    </w:p>
    <w:p>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点击应标，上传文件之后点击提交。</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2269490"/>
            <wp:effectExtent l="0" t="0" r="12065" b="165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rPr>
          <w:rFonts w:hint="default" w:ascii="Times New Roman" w:hAnsi="Times New Roman" w:cs="Times New Roman"/>
        </w:rPr>
      </w:pP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2.供应商投标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路径：招投标中心-非生产类招投标-供应商投标</w:t>
      </w:r>
    </w:p>
    <w:p>
      <w:pP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760085" cy="2125345"/>
            <wp:effectExtent l="0" t="0" r="12065" b="8255"/>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点击投标按钮，进入详情页，输入投标报价并上传相应的附件。</w:t>
      </w:r>
    </w:p>
    <w:p>
      <w:pPr>
        <w:rPr>
          <w:rFonts w:hint="default" w:ascii="Times New Roman" w:hAnsi="Times New Roman" w:cs="Times New Roman"/>
          <w:b/>
          <w:bCs/>
          <w:highlight w:val="yellow"/>
        </w:rPr>
      </w:pPr>
      <w:r>
        <w:rPr>
          <w:rFonts w:hint="default" w:ascii="Times New Roman" w:hAnsi="Times New Roman" w:eastAsia="宋体" w:cs="Times New Roman"/>
          <w:b/>
          <w:bCs/>
          <w:color w:val="000000"/>
          <w:sz w:val="24"/>
          <w:szCs w:val="28"/>
          <w:highlight w:val="yellow"/>
        </w:rPr>
        <w:t>注意：系统内的投标报价单位为“万元”，如开标现场发现填错报价，即直接淘汰。</w:t>
      </w:r>
    </w:p>
    <w:p>
      <w:pPr>
        <w:pStyle w:val="21"/>
        <w:rPr>
          <w:rFonts w:hint="default" w:ascii="Times New Roman" w:hAnsi="Times New Roman" w:cs="Times New Roman"/>
        </w:rPr>
      </w:pP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668905"/>
            <wp:effectExtent l="0" t="0" r="15240" b="1714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点击编辑按钮进入系统，编辑技术标澄清函最后填写授权代表姓名及电话。</w:t>
      </w:r>
    </w:p>
    <w:p>
      <w:pPr>
        <w:spacing w:line="360" w:lineRule="auto"/>
        <w:rPr>
          <w:rFonts w:hint="default" w:ascii="Times New Roman" w:hAnsi="Times New Roman" w:eastAsia="Arial" w:cs="Times New Roman"/>
          <w:color w:val="000000"/>
          <w:sz w:val="28"/>
        </w:rPr>
      </w:pPr>
      <w:r>
        <w:rPr>
          <w:rFonts w:hint="default" w:ascii="Times New Roman" w:hAnsi="Times New Roman" w:eastAsia="宋体" w:cs="Times New Roman"/>
          <w:color w:val="000000"/>
          <w:sz w:val="24"/>
          <w:szCs w:val="24"/>
        </w:rPr>
        <w:t>开标之后所有投标的供应商都可编辑提交，技术标入围之后 都不可编辑</w:t>
      </w:r>
      <w:r>
        <w:rPr>
          <w:rFonts w:hint="default" w:ascii="Times New Roman" w:hAnsi="Times New Roman" w:eastAsia="Arial" w:cs="Times New Roman"/>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点击报价按钮进入报价详情界面，请在此轮报价起止时间内报价，否则无法报价。</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544445"/>
            <wp:effectExtent l="0" t="0" r="1524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6.供应商查看中标通知</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路径：招投标中心-非生产类招投标-中标项目</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点击查看进入查看中标项目详情</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1956435"/>
            <wp:effectExtent l="0" t="0" r="12065" b="571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21"/>
        <w:rPr>
          <w:rFonts w:hint="default" w:ascii="Times New Roman" w:hAnsi="Times New Roman" w:eastAsia="宋体" w:cs="Times New Roman"/>
          <w:b/>
          <w:color w:val="000000"/>
          <w:sz w:val="24"/>
          <w:szCs w:val="24"/>
        </w:rPr>
      </w:pPr>
    </w:p>
    <w:p>
      <w:pPr>
        <w:pStyle w:val="21"/>
        <w:rPr>
          <w:rFonts w:hint="default" w:ascii="Times New Roman" w:hAnsi="Times New Roman" w:eastAsia="宋体" w:cs="Times New Roman"/>
          <w:b/>
          <w:color w:val="000000"/>
          <w:sz w:val="24"/>
          <w:szCs w:val="24"/>
        </w:rPr>
      </w:pPr>
    </w:p>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ordia New">
    <w:altName w:val="宋体"/>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roaAtAgAAWA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NVrSjRTqPjp+7fT&#10;j1+nn1/JOH8TFWqtnyFwYxEauremQ98M5x6HkXhXORW/oETgh77Hi76iC4THS9PJdJrDxeEbNsDP&#10;Hq5b58M7YRSJRkEdCph0ZYdbH/rQISRm02bdSJmKKDVpweLlqzxduHgALjVyRBL9Y6MVum13ZrY1&#10;5RHEnOmbw1u+bpD8lvlwzxy6AQ/GvIQ7LJU0SGLOFiW1cV/+dR7jUSR4KWnRXQXVGCZK5HuN4gEw&#10;DIYbjO1g6L26MWjXMebQ8mTiggtyMCtn1GcM0TLmgItpjkwFDYN5E/oOxxBysVymILSbZeFWbyy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xroaA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89kvg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7gnsuAgAAWA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GO4J7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JSbUtAgAAW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wJSbU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7J3YvAgAAWA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qrsnd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E7IuAgAAVw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E6vKNFMoeLnH9/P&#10;P3+dH76RN2+jQLX1M8RtLSJD8840aJvh3OMw8m4Kp+IXjAj8kPd0kVc0gfB4aTqZTlO4OHzDBvjJ&#10;43XrfHgvjCLRyKhD/VpZ2XHjQxc6hMRs2qwrKdsaSk3qjF6/vkr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uhOyLgIAAFc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- 165 -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Ofww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7F28103"/>
    <w:multiLevelType w:val="singleLevel"/>
    <w:tmpl w:val="D7F28103"/>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F3E999E"/>
    <w:multiLevelType w:val="singleLevel"/>
    <w:tmpl w:val="EF3E999E"/>
    <w:lvl w:ilvl="0" w:tentative="0">
      <w:start w:val="1"/>
      <w:numFmt w:val="decimal"/>
      <w:suff w:val="nothing"/>
      <w:lvlText w:val="（%1）"/>
      <w:lvlJc w:val="left"/>
    </w:lvl>
  </w:abstractNum>
  <w:abstractNum w:abstractNumId="4">
    <w:nsid w:val="FCD2E2C1"/>
    <w:multiLevelType w:val="singleLevel"/>
    <w:tmpl w:val="FCD2E2C1"/>
    <w:lvl w:ilvl="0" w:tentative="0">
      <w:start w:val="1"/>
      <w:numFmt w:val="decimal"/>
      <w:suff w:val="nothing"/>
      <w:lvlText w:val="（%1）"/>
      <w:lvlJc w:val="left"/>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860A2DD"/>
    <w:multiLevelType w:val="singleLevel"/>
    <w:tmpl w:val="2860A2DD"/>
    <w:lvl w:ilvl="0" w:tentative="0">
      <w:start w:val="1"/>
      <w:numFmt w:val="decimal"/>
      <w:suff w:val="nothing"/>
      <w:lvlText w:val="（%1）"/>
      <w:lvlJc w:val="left"/>
    </w:lvl>
  </w:abstractNum>
  <w:abstractNum w:abstractNumId="10">
    <w:nsid w:val="2C10B790"/>
    <w:multiLevelType w:val="singleLevel"/>
    <w:tmpl w:val="2C10B790"/>
    <w:lvl w:ilvl="0" w:tentative="0">
      <w:start w:val="1"/>
      <w:numFmt w:val="decimal"/>
      <w:suff w:val="space"/>
      <w:lvlText w:val="%1."/>
      <w:lvlJc w:val="left"/>
      <w:pPr>
        <w:ind w:left="570"/>
      </w:pPr>
    </w:lvl>
  </w:abstractNum>
  <w:abstractNum w:abstractNumId="1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2">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3606AC2D"/>
    <w:multiLevelType w:val="singleLevel"/>
    <w:tmpl w:val="3606AC2D"/>
    <w:lvl w:ilvl="0" w:tentative="0">
      <w:start w:val="1"/>
      <w:numFmt w:val="decimal"/>
      <w:suff w:val="nothing"/>
      <w:lvlText w:val="（%1）"/>
      <w:lvlJc w:val="left"/>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15"/>
  </w:num>
  <w:num w:numId="2">
    <w:abstractNumId w:val="0"/>
  </w:num>
  <w:num w:numId="3">
    <w:abstractNumId w:val="16"/>
  </w:num>
  <w:num w:numId="4">
    <w:abstractNumId w:val="8"/>
  </w:num>
  <w:num w:numId="5">
    <w:abstractNumId w:val="5"/>
  </w:num>
  <w:num w:numId="6">
    <w:abstractNumId w:val="14"/>
  </w:num>
  <w:num w:numId="7">
    <w:abstractNumId w:val="2"/>
  </w:num>
  <w:num w:numId="8">
    <w:abstractNumId w:val="11"/>
  </w:num>
  <w:num w:numId="9">
    <w:abstractNumId w:val="7"/>
  </w:num>
  <w:num w:numId="10">
    <w:abstractNumId w:val="6"/>
  </w:num>
  <w:num w:numId="11">
    <w:abstractNumId w:val="10"/>
  </w:num>
  <w:num w:numId="12">
    <w:abstractNumId w:val="4"/>
  </w:num>
  <w:num w:numId="13">
    <w:abstractNumId w:val="13"/>
  </w:num>
  <w:num w:numId="14">
    <w:abstractNumId w:val="1"/>
  </w:num>
  <w:num w:numId="15">
    <w:abstractNumId w:val="3"/>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3YTRhZjNkZTk2OTkyNmE0NTRmZGRjNmEyMzgzMWYifQ=="/>
  </w:docVars>
  <w:rsids>
    <w:rsidRoot w:val="00172A27"/>
    <w:rsid w:val="000139F5"/>
    <w:rsid w:val="00022B06"/>
    <w:rsid w:val="00036836"/>
    <w:rsid w:val="0005777A"/>
    <w:rsid w:val="00065382"/>
    <w:rsid w:val="00080223"/>
    <w:rsid w:val="000905E8"/>
    <w:rsid w:val="000A0D64"/>
    <w:rsid w:val="000A5309"/>
    <w:rsid w:val="000D0478"/>
    <w:rsid w:val="000D6A51"/>
    <w:rsid w:val="000F45A3"/>
    <w:rsid w:val="001463D0"/>
    <w:rsid w:val="0019616D"/>
    <w:rsid w:val="001C1EE3"/>
    <w:rsid w:val="001C713C"/>
    <w:rsid w:val="001D75B9"/>
    <w:rsid w:val="001E4177"/>
    <w:rsid w:val="001E46FE"/>
    <w:rsid w:val="002003EC"/>
    <w:rsid w:val="00200F05"/>
    <w:rsid w:val="002055D6"/>
    <w:rsid w:val="002066BD"/>
    <w:rsid w:val="00220056"/>
    <w:rsid w:val="002626ED"/>
    <w:rsid w:val="00265A40"/>
    <w:rsid w:val="00282FDE"/>
    <w:rsid w:val="0029130A"/>
    <w:rsid w:val="002F22F8"/>
    <w:rsid w:val="00330DC1"/>
    <w:rsid w:val="00352400"/>
    <w:rsid w:val="00355676"/>
    <w:rsid w:val="003A4540"/>
    <w:rsid w:val="003B4D7D"/>
    <w:rsid w:val="003E0AB3"/>
    <w:rsid w:val="003F13E6"/>
    <w:rsid w:val="003F5807"/>
    <w:rsid w:val="00401C42"/>
    <w:rsid w:val="004076DE"/>
    <w:rsid w:val="0041656A"/>
    <w:rsid w:val="00460AFB"/>
    <w:rsid w:val="00470130"/>
    <w:rsid w:val="00483B0A"/>
    <w:rsid w:val="00497C8D"/>
    <w:rsid w:val="004B2FFC"/>
    <w:rsid w:val="004B5126"/>
    <w:rsid w:val="004F7838"/>
    <w:rsid w:val="00503391"/>
    <w:rsid w:val="0052238A"/>
    <w:rsid w:val="00523B39"/>
    <w:rsid w:val="00552960"/>
    <w:rsid w:val="0056018A"/>
    <w:rsid w:val="00567344"/>
    <w:rsid w:val="00570D01"/>
    <w:rsid w:val="005829DC"/>
    <w:rsid w:val="00591B40"/>
    <w:rsid w:val="005A0501"/>
    <w:rsid w:val="005C0B4E"/>
    <w:rsid w:val="005C1FD0"/>
    <w:rsid w:val="005C421F"/>
    <w:rsid w:val="005D241C"/>
    <w:rsid w:val="005E7AC5"/>
    <w:rsid w:val="005F16F0"/>
    <w:rsid w:val="00607F72"/>
    <w:rsid w:val="0065185D"/>
    <w:rsid w:val="00680629"/>
    <w:rsid w:val="00686C52"/>
    <w:rsid w:val="006A5961"/>
    <w:rsid w:val="006F1414"/>
    <w:rsid w:val="00726F97"/>
    <w:rsid w:val="007432BF"/>
    <w:rsid w:val="007525BF"/>
    <w:rsid w:val="007800DC"/>
    <w:rsid w:val="007838AA"/>
    <w:rsid w:val="00783D5E"/>
    <w:rsid w:val="00785FD6"/>
    <w:rsid w:val="007B212D"/>
    <w:rsid w:val="007F7530"/>
    <w:rsid w:val="00806A61"/>
    <w:rsid w:val="00824BFD"/>
    <w:rsid w:val="008453B3"/>
    <w:rsid w:val="00852EF4"/>
    <w:rsid w:val="008963D4"/>
    <w:rsid w:val="008D3B56"/>
    <w:rsid w:val="008D5CEF"/>
    <w:rsid w:val="009360F9"/>
    <w:rsid w:val="00964F00"/>
    <w:rsid w:val="009A660F"/>
    <w:rsid w:val="009B2625"/>
    <w:rsid w:val="009B511E"/>
    <w:rsid w:val="009E0F5E"/>
    <w:rsid w:val="00A21EB2"/>
    <w:rsid w:val="00A31561"/>
    <w:rsid w:val="00A31E57"/>
    <w:rsid w:val="00A45D8E"/>
    <w:rsid w:val="00A54E95"/>
    <w:rsid w:val="00A80564"/>
    <w:rsid w:val="00A960B2"/>
    <w:rsid w:val="00AA0664"/>
    <w:rsid w:val="00AE6633"/>
    <w:rsid w:val="00B01FF1"/>
    <w:rsid w:val="00B6248A"/>
    <w:rsid w:val="00B72516"/>
    <w:rsid w:val="00B92BB4"/>
    <w:rsid w:val="00B92C97"/>
    <w:rsid w:val="00BA1DDE"/>
    <w:rsid w:val="00BA3C70"/>
    <w:rsid w:val="00BB4E42"/>
    <w:rsid w:val="00BC6852"/>
    <w:rsid w:val="00BD533C"/>
    <w:rsid w:val="00BF2D90"/>
    <w:rsid w:val="00C01073"/>
    <w:rsid w:val="00C10E94"/>
    <w:rsid w:val="00C562A4"/>
    <w:rsid w:val="00C73C41"/>
    <w:rsid w:val="00C855F6"/>
    <w:rsid w:val="00C92F53"/>
    <w:rsid w:val="00C975BD"/>
    <w:rsid w:val="00CB1585"/>
    <w:rsid w:val="00CC6FB3"/>
    <w:rsid w:val="00CD5223"/>
    <w:rsid w:val="00CE5010"/>
    <w:rsid w:val="00CE6E17"/>
    <w:rsid w:val="00D0528A"/>
    <w:rsid w:val="00D11B37"/>
    <w:rsid w:val="00D17589"/>
    <w:rsid w:val="00D247F6"/>
    <w:rsid w:val="00D32DE2"/>
    <w:rsid w:val="00D408EF"/>
    <w:rsid w:val="00D5145C"/>
    <w:rsid w:val="00D57090"/>
    <w:rsid w:val="00D6345E"/>
    <w:rsid w:val="00D64DAE"/>
    <w:rsid w:val="00D729A1"/>
    <w:rsid w:val="00D823E8"/>
    <w:rsid w:val="00D85BCA"/>
    <w:rsid w:val="00D87066"/>
    <w:rsid w:val="00DA33E5"/>
    <w:rsid w:val="00DB5225"/>
    <w:rsid w:val="00DB6F57"/>
    <w:rsid w:val="00DD1E5E"/>
    <w:rsid w:val="00DE6417"/>
    <w:rsid w:val="00E15B1B"/>
    <w:rsid w:val="00E1627A"/>
    <w:rsid w:val="00E34C35"/>
    <w:rsid w:val="00E650A8"/>
    <w:rsid w:val="00E878B4"/>
    <w:rsid w:val="00EB3D00"/>
    <w:rsid w:val="00F71720"/>
    <w:rsid w:val="00F77216"/>
    <w:rsid w:val="00F822BA"/>
    <w:rsid w:val="00FE040F"/>
    <w:rsid w:val="00FE42B3"/>
    <w:rsid w:val="012D2227"/>
    <w:rsid w:val="0131654C"/>
    <w:rsid w:val="014832F2"/>
    <w:rsid w:val="014D51C1"/>
    <w:rsid w:val="015D5D19"/>
    <w:rsid w:val="019E1409"/>
    <w:rsid w:val="01C43A72"/>
    <w:rsid w:val="01C52478"/>
    <w:rsid w:val="01F60F9C"/>
    <w:rsid w:val="01F83FCB"/>
    <w:rsid w:val="0240504A"/>
    <w:rsid w:val="02637C37"/>
    <w:rsid w:val="027408EE"/>
    <w:rsid w:val="02963F39"/>
    <w:rsid w:val="02AC36F4"/>
    <w:rsid w:val="02BA7274"/>
    <w:rsid w:val="03251978"/>
    <w:rsid w:val="0325718A"/>
    <w:rsid w:val="03545DBF"/>
    <w:rsid w:val="03B87EBC"/>
    <w:rsid w:val="03BA08C7"/>
    <w:rsid w:val="042921B6"/>
    <w:rsid w:val="04516091"/>
    <w:rsid w:val="045F303F"/>
    <w:rsid w:val="046B3792"/>
    <w:rsid w:val="04822175"/>
    <w:rsid w:val="04AD02B8"/>
    <w:rsid w:val="04DF17D4"/>
    <w:rsid w:val="05412745"/>
    <w:rsid w:val="05491761"/>
    <w:rsid w:val="05836025"/>
    <w:rsid w:val="05A351AD"/>
    <w:rsid w:val="05AA653C"/>
    <w:rsid w:val="05C60360"/>
    <w:rsid w:val="05F9748A"/>
    <w:rsid w:val="0624009C"/>
    <w:rsid w:val="06266F78"/>
    <w:rsid w:val="063E7B7A"/>
    <w:rsid w:val="06582413"/>
    <w:rsid w:val="067E33B8"/>
    <w:rsid w:val="06B5788B"/>
    <w:rsid w:val="06CC62CB"/>
    <w:rsid w:val="06D118A6"/>
    <w:rsid w:val="06E415DA"/>
    <w:rsid w:val="06E82FCB"/>
    <w:rsid w:val="06F34B95"/>
    <w:rsid w:val="07102F2D"/>
    <w:rsid w:val="07106873"/>
    <w:rsid w:val="07130289"/>
    <w:rsid w:val="07571DAC"/>
    <w:rsid w:val="07B421C7"/>
    <w:rsid w:val="07BE7CD4"/>
    <w:rsid w:val="07C9369D"/>
    <w:rsid w:val="089D0F6D"/>
    <w:rsid w:val="08E64121"/>
    <w:rsid w:val="08F66888"/>
    <w:rsid w:val="0942017F"/>
    <w:rsid w:val="09A327AF"/>
    <w:rsid w:val="09A3345C"/>
    <w:rsid w:val="09BA1649"/>
    <w:rsid w:val="09BA1FBB"/>
    <w:rsid w:val="09C120A6"/>
    <w:rsid w:val="09CB139F"/>
    <w:rsid w:val="0A0106F5"/>
    <w:rsid w:val="0A112AB7"/>
    <w:rsid w:val="0ACA26AA"/>
    <w:rsid w:val="0AD71BC7"/>
    <w:rsid w:val="0AF420EB"/>
    <w:rsid w:val="0B2B2BF5"/>
    <w:rsid w:val="0B2F3908"/>
    <w:rsid w:val="0B3F6206"/>
    <w:rsid w:val="0BC86BBA"/>
    <w:rsid w:val="0BE12DB6"/>
    <w:rsid w:val="0C365707"/>
    <w:rsid w:val="0C626CE4"/>
    <w:rsid w:val="0C824FFE"/>
    <w:rsid w:val="0D0C2B7B"/>
    <w:rsid w:val="0D3C666E"/>
    <w:rsid w:val="0D9308F8"/>
    <w:rsid w:val="0DA970D9"/>
    <w:rsid w:val="0E1A1D85"/>
    <w:rsid w:val="0E750568"/>
    <w:rsid w:val="0E8E053E"/>
    <w:rsid w:val="0EC25685"/>
    <w:rsid w:val="0F0F5662"/>
    <w:rsid w:val="0F2D7A80"/>
    <w:rsid w:val="0F4277E5"/>
    <w:rsid w:val="0F6628F6"/>
    <w:rsid w:val="0F905369"/>
    <w:rsid w:val="0F942E1C"/>
    <w:rsid w:val="0F9A1B2C"/>
    <w:rsid w:val="0FA75561"/>
    <w:rsid w:val="0FB83603"/>
    <w:rsid w:val="0FCA77F1"/>
    <w:rsid w:val="0FE73C99"/>
    <w:rsid w:val="1001155C"/>
    <w:rsid w:val="10270545"/>
    <w:rsid w:val="103539E9"/>
    <w:rsid w:val="108A1D4B"/>
    <w:rsid w:val="1099001F"/>
    <w:rsid w:val="10A10111"/>
    <w:rsid w:val="10BE093E"/>
    <w:rsid w:val="111B0FE9"/>
    <w:rsid w:val="112729A3"/>
    <w:rsid w:val="115F67A8"/>
    <w:rsid w:val="119A7465"/>
    <w:rsid w:val="11C07DA5"/>
    <w:rsid w:val="11D0338E"/>
    <w:rsid w:val="11F76665"/>
    <w:rsid w:val="12491386"/>
    <w:rsid w:val="129F2533"/>
    <w:rsid w:val="12BE53D5"/>
    <w:rsid w:val="12E60579"/>
    <w:rsid w:val="134F493E"/>
    <w:rsid w:val="13695B36"/>
    <w:rsid w:val="1372609F"/>
    <w:rsid w:val="13BA3B64"/>
    <w:rsid w:val="13C84126"/>
    <w:rsid w:val="13E470BD"/>
    <w:rsid w:val="14333BA0"/>
    <w:rsid w:val="145A6A37"/>
    <w:rsid w:val="1467440F"/>
    <w:rsid w:val="146D0E60"/>
    <w:rsid w:val="147121C4"/>
    <w:rsid w:val="14737A03"/>
    <w:rsid w:val="147831AA"/>
    <w:rsid w:val="14D165BF"/>
    <w:rsid w:val="15433A9B"/>
    <w:rsid w:val="15772139"/>
    <w:rsid w:val="15A71F89"/>
    <w:rsid w:val="15C40C95"/>
    <w:rsid w:val="15DF3F49"/>
    <w:rsid w:val="15FC2F04"/>
    <w:rsid w:val="16181FAC"/>
    <w:rsid w:val="16750AB1"/>
    <w:rsid w:val="168756A0"/>
    <w:rsid w:val="16D276A1"/>
    <w:rsid w:val="16D54788"/>
    <w:rsid w:val="16F94849"/>
    <w:rsid w:val="17045E51"/>
    <w:rsid w:val="171138A9"/>
    <w:rsid w:val="172011D4"/>
    <w:rsid w:val="17252C3B"/>
    <w:rsid w:val="173F0A2E"/>
    <w:rsid w:val="177003A5"/>
    <w:rsid w:val="17770BC2"/>
    <w:rsid w:val="17831FE3"/>
    <w:rsid w:val="17A119AA"/>
    <w:rsid w:val="17F43647"/>
    <w:rsid w:val="18480522"/>
    <w:rsid w:val="18586F2B"/>
    <w:rsid w:val="18CF0690"/>
    <w:rsid w:val="18FF4051"/>
    <w:rsid w:val="18FF46C5"/>
    <w:rsid w:val="194D1260"/>
    <w:rsid w:val="19A766B9"/>
    <w:rsid w:val="19C57049"/>
    <w:rsid w:val="19CE76BA"/>
    <w:rsid w:val="19F26070"/>
    <w:rsid w:val="19FF46E1"/>
    <w:rsid w:val="1A1523CE"/>
    <w:rsid w:val="1AA730BD"/>
    <w:rsid w:val="1AB377E9"/>
    <w:rsid w:val="1AEC27A5"/>
    <w:rsid w:val="1B264783"/>
    <w:rsid w:val="1B333D5D"/>
    <w:rsid w:val="1B587618"/>
    <w:rsid w:val="1B5F19C7"/>
    <w:rsid w:val="1B866CAC"/>
    <w:rsid w:val="1BB17D1D"/>
    <w:rsid w:val="1C1C709B"/>
    <w:rsid w:val="1CA312E3"/>
    <w:rsid w:val="1CF14289"/>
    <w:rsid w:val="1D2149A3"/>
    <w:rsid w:val="1D53605D"/>
    <w:rsid w:val="1D5C514E"/>
    <w:rsid w:val="1D865D14"/>
    <w:rsid w:val="1D8705EC"/>
    <w:rsid w:val="1D941E20"/>
    <w:rsid w:val="1DF934E2"/>
    <w:rsid w:val="1E01086B"/>
    <w:rsid w:val="1E340A18"/>
    <w:rsid w:val="1E43150B"/>
    <w:rsid w:val="1E5E7A6C"/>
    <w:rsid w:val="1E716868"/>
    <w:rsid w:val="1EA93E80"/>
    <w:rsid w:val="1ED33FB6"/>
    <w:rsid w:val="1EE81332"/>
    <w:rsid w:val="1F32415A"/>
    <w:rsid w:val="1F4719E1"/>
    <w:rsid w:val="1F5F72C4"/>
    <w:rsid w:val="1F9574BD"/>
    <w:rsid w:val="1FB9028F"/>
    <w:rsid w:val="1FC55BA1"/>
    <w:rsid w:val="1FDF698A"/>
    <w:rsid w:val="20107567"/>
    <w:rsid w:val="203C5B8B"/>
    <w:rsid w:val="20971BF9"/>
    <w:rsid w:val="20AB56C6"/>
    <w:rsid w:val="20E1116C"/>
    <w:rsid w:val="21104A68"/>
    <w:rsid w:val="21167382"/>
    <w:rsid w:val="21350F58"/>
    <w:rsid w:val="213B4D60"/>
    <w:rsid w:val="213E4E68"/>
    <w:rsid w:val="21602B55"/>
    <w:rsid w:val="2176507C"/>
    <w:rsid w:val="217A5E64"/>
    <w:rsid w:val="217F0425"/>
    <w:rsid w:val="2189415F"/>
    <w:rsid w:val="21BE35AF"/>
    <w:rsid w:val="21C11174"/>
    <w:rsid w:val="22244B28"/>
    <w:rsid w:val="22467FD4"/>
    <w:rsid w:val="229451FD"/>
    <w:rsid w:val="22A12DB6"/>
    <w:rsid w:val="22B151B1"/>
    <w:rsid w:val="22BC5EBB"/>
    <w:rsid w:val="22DE29C3"/>
    <w:rsid w:val="2305495A"/>
    <w:rsid w:val="239614B2"/>
    <w:rsid w:val="23C962E8"/>
    <w:rsid w:val="23FF3096"/>
    <w:rsid w:val="247E4FED"/>
    <w:rsid w:val="24B30BE8"/>
    <w:rsid w:val="24BD18F2"/>
    <w:rsid w:val="24E34060"/>
    <w:rsid w:val="253A0491"/>
    <w:rsid w:val="25956469"/>
    <w:rsid w:val="25DD7C8F"/>
    <w:rsid w:val="25E036B2"/>
    <w:rsid w:val="25E9082A"/>
    <w:rsid w:val="25F42473"/>
    <w:rsid w:val="262B41FE"/>
    <w:rsid w:val="266656E9"/>
    <w:rsid w:val="269A051B"/>
    <w:rsid w:val="26AF2D79"/>
    <w:rsid w:val="26B34B91"/>
    <w:rsid w:val="26B35986"/>
    <w:rsid w:val="26D662FA"/>
    <w:rsid w:val="270D66E8"/>
    <w:rsid w:val="278B0DAB"/>
    <w:rsid w:val="27A64735"/>
    <w:rsid w:val="27CC4DF2"/>
    <w:rsid w:val="27E44804"/>
    <w:rsid w:val="27ED433A"/>
    <w:rsid w:val="27F60D15"/>
    <w:rsid w:val="280646B4"/>
    <w:rsid w:val="281864F2"/>
    <w:rsid w:val="286903EF"/>
    <w:rsid w:val="287F5DD3"/>
    <w:rsid w:val="288047CB"/>
    <w:rsid w:val="289E62FA"/>
    <w:rsid w:val="2916410F"/>
    <w:rsid w:val="291E2CA6"/>
    <w:rsid w:val="29331862"/>
    <w:rsid w:val="29483628"/>
    <w:rsid w:val="295245B5"/>
    <w:rsid w:val="29763DAA"/>
    <w:rsid w:val="299E147F"/>
    <w:rsid w:val="29CF26DC"/>
    <w:rsid w:val="29E51041"/>
    <w:rsid w:val="2A1C5DA0"/>
    <w:rsid w:val="2A1C61F4"/>
    <w:rsid w:val="2A200D39"/>
    <w:rsid w:val="2A507EFF"/>
    <w:rsid w:val="2AB241FF"/>
    <w:rsid w:val="2ABF3E12"/>
    <w:rsid w:val="2ADC05A4"/>
    <w:rsid w:val="2AE6451C"/>
    <w:rsid w:val="2AE97D11"/>
    <w:rsid w:val="2B6F0D7F"/>
    <w:rsid w:val="2B8716BD"/>
    <w:rsid w:val="2C424529"/>
    <w:rsid w:val="2CC846C8"/>
    <w:rsid w:val="2D025012"/>
    <w:rsid w:val="2D265BF9"/>
    <w:rsid w:val="2D4178F0"/>
    <w:rsid w:val="2D4F6EFD"/>
    <w:rsid w:val="2DAE631A"/>
    <w:rsid w:val="2DD877E0"/>
    <w:rsid w:val="2DE616C9"/>
    <w:rsid w:val="2DFC2451"/>
    <w:rsid w:val="2E6E566D"/>
    <w:rsid w:val="2E7F188E"/>
    <w:rsid w:val="2E8B1366"/>
    <w:rsid w:val="2E8C373D"/>
    <w:rsid w:val="2EBC0905"/>
    <w:rsid w:val="2EC73739"/>
    <w:rsid w:val="2EEA5F41"/>
    <w:rsid w:val="2F5C684F"/>
    <w:rsid w:val="2F6B3D97"/>
    <w:rsid w:val="2FFD70E5"/>
    <w:rsid w:val="300B7AE7"/>
    <w:rsid w:val="307401E5"/>
    <w:rsid w:val="307776D1"/>
    <w:rsid w:val="30862574"/>
    <w:rsid w:val="30B631E1"/>
    <w:rsid w:val="30F74B66"/>
    <w:rsid w:val="311933AA"/>
    <w:rsid w:val="317D15BB"/>
    <w:rsid w:val="318F02CA"/>
    <w:rsid w:val="31D07E6C"/>
    <w:rsid w:val="31EF7BED"/>
    <w:rsid w:val="323F65DA"/>
    <w:rsid w:val="324114A8"/>
    <w:rsid w:val="32412074"/>
    <w:rsid w:val="3257632B"/>
    <w:rsid w:val="32BB5035"/>
    <w:rsid w:val="32C65EB4"/>
    <w:rsid w:val="32DE0199"/>
    <w:rsid w:val="32FA790B"/>
    <w:rsid w:val="33041585"/>
    <w:rsid w:val="33154745"/>
    <w:rsid w:val="33373E70"/>
    <w:rsid w:val="335B2774"/>
    <w:rsid w:val="33A4642E"/>
    <w:rsid w:val="33D4039C"/>
    <w:rsid w:val="33D47E05"/>
    <w:rsid w:val="33EB609B"/>
    <w:rsid w:val="3413677D"/>
    <w:rsid w:val="342B544B"/>
    <w:rsid w:val="345C693A"/>
    <w:rsid w:val="349A7C69"/>
    <w:rsid w:val="34C06413"/>
    <w:rsid w:val="34DE1E4F"/>
    <w:rsid w:val="34E42621"/>
    <w:rsid w:val="34F07DB1"/>
    <w:rsid w:val="35142DF9"/>
    <w:rsid w:val="35751D97"/>
    <w:rsid w:val="35B2048C"/>
    <w:rsid w:val="35D354B8"/>
    <w:rsid w:val="35D4025C"/>
    <w:rsid w:val="3619454C"/>
    <w:rsid w:val="362666BC"/>
    <w:rsid w:val="3655124B"/>
    <w:rsid w:val="367B5207"/>
    <w:rsid w:val="368A6B11"/>
    <w:rsid w:val="37085B1F"/>
    <w:rsid w:val="372E04CB"/>
    <w:rsid w:val="375A306E"/>
    <w:rsid w:val="37D52435"/>
    <w:rsid w:val="37E32B09"/>
    <w:rsid w:val="389A4BFD"/>
    <w:rsid w:val="390D33AB"/>
    <w:rsid w:val="391E6D06"/>
    <w:rsid w:val="39665CFB"/>
    <w:rsid w:val="39900E42"/>
    <w:rsid w:val="39A736F9"/>
    <w:rsid w:val="39B67711"/>
    <w:rsid w:val="39F36557"/>
    <w:rsid w:val="3A074847"/>
    <w:rsid w:val="3A7A7584"/>
    <w:rsid w:val="3A942275"/>
    <w:rsid w:val="3AA90FE6"/>
    <w:rsid w:val="3AA9318F"/>
    <w:rsid w:val="3AB62DA0"/>
    <w:rsid w:val="3B7D3FD5"/>
    <w:rsid w:val="3B823DDF"/>
    <w:rsid w:val="3BA40D5C"/>
    <w:rsid w:val="3C096E11"/>
    <w:rsid w:val="3C237ED3"/>
    <w:rsid w:val="3CAA596A"/>
    <w:rsid w:val="3CB1587B"/>
    <w:rsid w:val="3CB735F2"/>
    <w:rsid w:val="3D0F48FB"/>
    <w:rsid w:val="3D186684"/>
    <w:rsid w:val="3D8B2178"/>
    <w:rsid w:val="3D934BE4"/>
    <w:rsid w:val="3DA32BB0"/>
    <w:rsid w:val="3DD115F5"/>
    <w:rsid w:val="3DE435F0"/>
    <w:rsid w:val="3DE5122C"/>
    <w:rsid w:val="3DF37E53"/>
    <w:rsid w:val="3E693B97"/>
    <w:rsid w:val="3E6F6A26"/>
    <w:rsid w:val="3EB81D0D"/>
    <w:rsid w:val="3ED26DE9"/>
    <w:rsid w:val="3EED17D0"/>
    <w:rsid w:val="3F0C0304"/>
    <w:rsid w:val="3F5E56C6"/>
    <w:rsid w:val="3F7D643A"/>
    <w:rsid w:val="3F8D09BA"/>
    <w:rsid w:val="3FEC147E"/>
    <w:rsid w:val="3FF42F44"/>
    <w:rsid w:val="401069C0"/>
    <w:rsid w:val="401B2088"/>
    <w:rsid w:val="40376375"/>
    <w:rsid w:val="406C796F"/>
    <w:rsid w:val="40785745"/>
    <w:rsid w:val="408A104B"/>
    <w:rsid w:val="40CD0825"/>
    <w:rsid w:val="412732B7"/>
    <w:rsid w:val="4127791F"/>
    <w:rsid w:val="41281794"/>
    <w:rsid w:val="413C1FDF"/>
    <w:rsid w:val="41831414"/>
    <w:rsid w:val="419E6E6E"/>
    <w:rsid w:val="41B0259C"/>
    <w:rsid w:val="41BC6F1C"/>
    <w:rsid w:val="41C55588"/>
    <w:rsid w:val="41EF2363"/>
    <w:rsid w:val="41F77860"/>
    <w:rsid w:val="42323A7F"/>
    <w:rsid w:val="424A4B98"/>
    <w:rsid w:val="42581D3A"/>
    <w:rsid w:val="42AC7E17"/>
    <w:rsid w:val="42B07FBC"/>
    <w:rsid w:val="42FE0080"/>
    <w:rsid w:val="431467C7"/>
    <w:rsid w:val="43315D2E"/>
    <w:rsid w:val="43824A1C"/>
    <w:rsid w:val="43885078"/>
    <w:rsid w:val="439350AD"/>
    <w:rsid w:val="43D110E1"/>
    <w:rsid w:val="43E873C9"/>
    <w:rsid w:val="43EB0664"/>
    <w:rsid w:val="441F0BB8"/>
    <w:rsid w:val="44905B1F"/>
    <w:rsid w:val="449614B5"/>
    <w:rsid w:val="451231DA"/>
    <w:rsid w:val="45316885"/>
    <w:rsid w:val="45A95EE9"/>
    <w:rsid w:val="45FB0F21"/>
    <w:rsid w:val="46163826"/>
    <w:rsid w:val="467852BF"/>
    <w:rsid w:val="47082778"/>
    <w:rsid w:val="47200EE3"/>
    <w:rsid w:val="472753AE"/>
    <w:rsid w:val="47435AC2"/>
    <w:rsid w:val="47544B78"/>
    <w:rsid w:val="47587AF7"/>
    <w:rsid w:val="47745A86"/>
    <w:rsid w:val="47E239AC"/>
    <w:rsid w:val="480F4B73"/>
    <w:rsid w:val="485B2112"/>
    <w:rsid w:val="48BD3139"/>
    <w:rsid w:val="48DB38E3"/>
    <w:rsid w:val="48DD0A15"/>
    <w:rsid w:val="49001B5E"/>
    <w:rsid w:val="49376DB0"/>
    <w:rsid w:val="49470F79"/>
    <w:rsid w:val="49804BB7"/>
    <w:rsid w:val="49826DCB"/>
    <w:rsid w:val="499013E7"/>
    <w:rsid w:val="49C8088A"/>
    <w:rsid w:val="4A301C93"/>
    <w:rsid w:val="4A3302AB"/>
    <w:rsid w:val="4AC85D49"/>
    <w:rsid w:val="4AE308A9"/>
    <w:rsid w:val="4B893ACB"/>
    <w:rsid w:val="4B9A1456"/>
    <w:rsid w:val="4BA32C82"/>
    <w:rsid w:val="4BE70627"/>
    <w:rsid w:val="4C0A5AE1"/>
    <w:rsid w:val="4C130AB8"/>
    <w:rsid w:val="4C341C88"/>
    <w:rsid w:val="4C5A284D"/>
    <w:rsid w:val="4C9E5354"/>
    <w:rsid w:val="4CB96B43"/>
    <w:rsid w:val="4CD63947"/>
    <w:rsid w:val="4CFC49F4"/>
    <w:rsid w:val="4D073D73"/>
    <w:rsid w:val="4D1E27BA"/>
    <w:rsid w:val="4D23574A"/>
    <w:rsid w:val="4D4C4DB0"/>
    <w:rsid w:val="4D7322D5"/>
    <w:rsid w:val="4D99279A"/>
    <w:rsid w:val="4DD7034C"/>
    <w:rsid w:val="4DDA43BA"/>
    <w:rsid w:val="4DE312CB"/>
    <w:rsid w:val="4E127DA7"/>
    <w:rsid w:val="4E1F4862"/>
    <w:rsid w:val="4E2E4393"/>
    <w:rsid w:val="4E535EF2"/>
    <w:rsid w:val="4E604FB7"/>
    <w:rsid w:val="4EAA19A9"/>
    <w:rsid w:val="4EFD0A57"/>
    <w:rsid w:val="4F005E52"/>
    <w:rsid w:val="4F08773C"/>
    <w:rsid w:val="4F0C2F31"/>
    <w:rsid w:val="4F31409F"/>
    <w:rsid w:val="4F3933C0"/>
    <w:rsid w:val="4F846A83"/>
    <w:rsid w:val="4FA90297"/>
    <w:rsid w:val="50070E2C"/>
    <w:rsid w:val="504B134F"/>
    <w:rsid w:val="504B57F2"/>
    <w:rsid w:val="507012B1"/>
    <w:rsid w:val="50923421"/>
    <w:rsid w:val="509E3B74"/>
    <w:rsid w:val="50AC0622"/>
    <w:rsid w:val="50C62BC7"/>
    <w:rsid w:val="50E65BBF"/>
    <w:rsid w:val="50ED1473"/>
    <w:rsid w:val="50F72A66"/>
    <w:rsid w:val="511F2F07"/>
    <w:rsid w:val="5123368C"/>
    <w:rsid w:val="5130747C"/>
    <w:rsid w:val="515C765A"/>
    <w:rsid w:val="51905BB3"/>
    <w:rsid w:val="51946FCB"/>
    <w:rsid w:val="51DD796B"/>
    <w:rsid w:val="51DF373B"/>
    <w:rsid w:val="51F43C48"/>
    <w:rsid w:val="520143BB"/>
    <w:rsid w:val="523E560F"/>
    <w:rsid w:val="52405D9F"/>
    <w:rsid w:val="5256023C"/>
    <w:rsid w:val="52EF4CB5"/>
    <w:rsid w:val="52F959F0"/>
    <w:rsid w:val="5302488E"/>
    <w:rsid w:val="53993ED1"/>
    <w:rsid w:val="539A4AC7"/>
    <w:rsid w:val="539C282C"/>
    <w:rsid w:val="53B4545D"/>
    <w:rsid w:val="54672CD7"/>
    <w:rsid w:val="54817A35"/>
    <w:rsid w:val="54A61722"/>
    <w:rsid w:val="54B31FAF"/>
    <w:rsid w:val="55326D63"/>
    <w:rsid w:val="5550794C"/>
    <w:rsid w:val="555D1A10"/>
    <w:rsid w:val="558D1A3C"/>
    <w:rsid w:val="55C3004C"/>
    <w:rsid w:val="56152562"/>
    <w:rsid w:val="56356469"/>
    <w:rsid w:val="56A43CD3"/>
    <w:rsid w:val="56AC4A78"/>
    <w:rsid w:val="56DB16B9"/>
    <w:rsid w:val="570F5142"/>
    <w:rsid w:val="573B2358"/>
    <w:rsid w:val="577A3463"/>
    <w:rsid w:val="57912C64"/>
    <w:rsid w:val="57F967AD"/>
    <w:rsid w:val="58052975"/>
    <w:rsid w:val="58E525CA"/>
    <w:rsid w:val="58F72073"/>
    <w:rsid w:val="59342941"/>
    <w:rsid w:val="593D045A"/>
    <w:rsid w:val="5960739E"/>
    <w:rsid w:val="59896D0A"/>
    <w:rsid w:val="59B72684"/>
    <w:rsid w:val="5A3332EA"/>
    <w:rsid w:val="5A9579AE"/>
    <w:rsid w:val="5AC468CD"/>
    <w:rsid w:val="5B091E9E"/>
    <w:rsid w:val="5B342B9A"/>
    <w:rsid w:val="5B3A6B8F"/>
    <w:rsid w:val="5B630802"/>
    <w:rsid w:val="5B6D6D9D"/>
    <w:rsid w:val="5B807F68"/>
    <w:rsid w:val="5B8D6CAB"/>
    <w:rsid w:val="5BC962AF"/>
    <w:rsid w:val="5BCB2F13"/>
    <w:rsid w:val="5C034D53"/>
    <w:rsid w:val="5C955CAE"/>
    <w:rsid w:val="5CA36CB7"/>
    <w:rsid w:val="5DD61E40"/>
    <w:rsid w:val="5E0F7E5F"/>
    <w:rsid w:val="5E1D6F56"/>
    <w:rsid w:val="5E52187F"/>
    <w:rsid w:val="5E5D38C4"/>
    <w:rsid w:val="5E6A13CD"/>
    <w:rsid w:val="5E705D15"/>
    <w:rsid w:val="5E915B30"/>
    <w:rsid w:val="5E93326C"/>
    <w:rsid w:val="5EE5110F"/>
    <w:rsid w:val="5EF65C61"/>
    <w:rsid w:val="5EFB4BA4"/>
    <w:rsid w:val="5F132B6E"/>
    <w:rsid w:val="5F4533A9"/>
    <w:rsid w:val="5F5F46B5"/>
    <w:rsid w:val="5F946B1F"/>
    <w:rsid w:val="5FA12D39"/>
    <w:rsid w:val="5FBA3CC0"/>
    <w:rsid w:val="5FD90D61"/>
    <w:rsid w:val="60177697"/>
    <w:rsid w:val="602329DB"/>
    <w:rsid w:val="604554A1"/>
    <w:rsid w:val="607777D6"/>
    <w:rsid w:val="60897AFF"/>
    <w:rsid w:val="60BC76A1"/>
    <w:rsid w:val="60E045AE"/>
    <w:rsid w:val="610B7637"/>
    <w:rsid w:val="615F5624"/>
    <w:rsid w:val="61D215CF"/>
    <w:rsid w:val="62546789"/>
    <w:rsid w:val="625C563D"/>
    <w:rsid w:val="626A1704"/>
    <w:rsid w:val="62B362C8"/>
    <w:rsid w:val="62B44BDC"/>
    <w:rsid w:val="62C1330E"/>
    <w:rsid w:val="62E53885"/>
    <w:rsid w:val="630409AF"/>
    <w:rsid w:val="631A1780"/>
    <w:rsid w:val="6342085E"/>
    <w:rsid w:val="6351468A"/>
    <w:rsid w:val="63631E53"/>
    <w:rsid w:val="636F415C"/>
    <w:rsid w:val="636F70AC"/>
    <w:rsid w:val="643942A8"/>
    <w:rsid w:val="64433865"/>
    <w:rsid w:val="646E3CD1"/>
    <w:rsid w:val="64786E14"/>
    <w:rsid w:val="64917820"/>
    <w:rsid w:val="64AA1CC5"/>
    <w:rsid w:val="64E439F1"/>
    <w:rsid w:val="64F35401"/>
    <w:rsid w:val="6516236A"/>
    <w:rsid w:val="65165F77"/>
    <w:rsid w:val="65463A24"/>
    <w:rsid w:val="656B2909"/>
    <w:rsid w:val="65A3045D"/>
    <w:rsid w:val="65D97752"/>
    <w:rsid w:val="65E25E59"/>
    <w:rsid w:val="65F52031"/>
    <w:rsid w:val="66307F76"/>
    <w:rsid w:val="663F4F8F"/>
    <w:rsid w:val="66580EAF"/>
    <w:rsid w:val="66694D0D"/>
    <w:rsid w:val="66A84A98"/>
    <w:rsid w:val="66C00C35"/>
    <w:rsid w:val="66F041A8"/>
    <w:rsid w:val="6721178A"/>
    <w:rsid w:val="6739399A"/>
    <w:rsid w:val="673F39DE"/>
    <w:rsid w:val="67441F09"/>
    <w:rsid w:val="674C5D22"/>
    <w:rsid w:val="67663AF8"/>
    <w:rsid w:val="67762CFD"/>
    <w:rsid w:val="677A678D"/>
    <w:rsid w:val="678B00F9"/>
    <w:rsid w:val="67AA61B4"/>
    <w:rsid w:val="67EA4970"/>
    <w:rsid w:val="68011379"/>
    <w:rsid w:val="68252C37"/>
    <w:rsid w:val="685E210F"/>
    <w:rsid w:val="68817BAC"/>
    <w:rsid w:val="689A5E59"/>
    <w:rsid w:val="68EE72DF"/>
    <w:rsid w:val="69485FEA"/>
    <w:rsid w:val="69677DC0"/>
    <w:rsid w:val="69937EC7"/>
    <w:rsid w:val="69D64558"/>
    <w:rsid w:val="6A042548"/>
    <w:rsid w:val="6A386990"/>
    <w:rsid w:val="6A3D3FA6"/>
    <w:rsid w:val="6A471EFD"/>
    <w:rsid w:val="6A652B72"/>
    <w:rsid w:val="6A761055"/>
    <w:rsid w:val="6A7F7311"/>
    <w:rsid w:val="6AB57116"/>
    <w:rsid w:val="6B17424A"/>
    <w:rsid w:val="6B2218FA"/>
    <w:rsid w:val="6B530A7D"/>
    <w:rsid w:val="6B5E00AD"/>
    <w:rsid w:val="6B691672"/>
    <w:rsid w:val="6B767770"/>
    <w:rsid w:val="6BDB3A77"/>
    <w:rsid w:val="6C1D2246"/>
    <w:rsid w:val="6C4756A6"/>
    <w:rsid w:val="6C4E249B"/>
    <w:rsid w:val="6C5E6A51"/>
    <w:rsid w:val="6C6513C3"/>
    <w:rsid w:val="6C744268"/>
    <w:rsid w:val="6C927BC2"/>
    <w:rsid w:val="6CAB788B"/>
    <w:rsid w:val="6CD62D03"/>
    <w:rsid w:val="6CD97FB6"/>
    <w:rsid w:val="6CED64FE"/>
    <w:rsid w:val="6D2B6338"/>
    <w:rsid w:val="6D390A55"/>
    <w:rsid w:val="6D6F26C8"/>
    <w:rsid w:val="6D930013"/>
    <w:rsid w:val="6DB90EBF"/>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2368E"/>
    <w:rsid w:val="71241A1C"/>
    <w:rsid w:val="712E56F7"/>
    <w:rsid w:val="71691ABB"/>
    <w:rsid w:val="71AE1AEA"/>
    <w:rsid w:val="71CF3B6C"/>
    <w:rsid w:val="71E43913"/>
    <w:rsid w:val="722922C6"/>
    <w:rsid w:val="732D4B5D"/>
    <w:rsid w:val="73393C88"/>
    <w:rsid w:val="73612AB3"/>
    <w:rsid w:val="7362513F"/>
    <w:rsid w:val="73771D49"/>
    <w:rsid w:val="73A1354E"/>
    <w:rsid w:val="73A63AAE"/>
    <w:rsid w:val="747E3B9D"/>
    <w:rsid w:val="74A11E7D"/>
    <w:rsid w:val="750E49A6"/>
    <w:rsid w:val="751A0051"/>
    <w:rsid w:val="753366D1"/>
    <w:rsid w:val="753A180E"/>
    <w:rsid w:val="75590B0A"/>
    <w:rsid w:val="75747DD6"/>
    <w:rsid w:val="7582279F"/>
    <w:rsid w:val="75BB71AF"/>
    <w:rsid w:val="75F01962"/>
    <w:rsid w:val="75F56562"/>
    <w:rsid w:val="7601232C"/>
    <w:rsid w:val="760E19DF"/>
    <w:rsid w:val="763B569F"/>
    <w:rsid w:val="765D721E"/>
    <w:rsid w:val="76676A53"/>
    <w:rsid w:val="76B620A1"/>
    <w:rsid w:val="76B929A5"/>
    <w:rsid w:val="77462524"/>
    <w:rsid w:val="775B548B"/>
    <w:rsid w:val="775C5563"/>
    <w:rsid w:val="779C40BA"/>
    <w:rsid w:val="77A21064"/>
    <w:rsid w:val="77E34EB2"/>
    <w:rsid w:val="780A7F5B"/>
    <w:rsid w:val="781564B8"/>
    <w:rsid w:val="78224ACF"/>
    <w:rsid w:val="786170B2"/>
    <w:rsid w:val="787F1D9C"/>
    <w:rsid w:val="78CD4EB2"/>
    <w:rsid w:val="78CD6DCC"/>
    <w:rsid w:val="78D07CAF"/>
    <w:rsid w:val="78DE12D7"/>
    <w:rsid w:val="791D122B"/>
    <w:rsid w:val="79210683"/>
    <w:rsid w:val="796240DB"/>
    <w:rsid w:val="799002CD"/>
    <w:rsid w:val="799C3465"/>
    <w:rsid w:val="79B14EC4"/>
    <w:rsid w:val="79B46E76"/>
    <w:rsid w:val="79C95D8B"/>
    <w:rsid w:val="79DB4902"/>
    <w:rsid w:val="7A2A6B4A"/>
    <w:rsid w:val="7A666C01"/>
    <w:rsid w:val="7A681070"/>
    <w:rsid w:val="7A860C7C"/>
    <w:rsid w:val="7AB879FE"/>
    <w:rsid w:val="7AD326C6"/>
    <w:rsid w:val="7B167D97"/>
    <w:rsid w:val="7B3264DD"/>
    <w:rsid w:val="7B81188A"/>
    <w:rsid w:val="7B9E2902"/>
    <w:rsid w:val="7BC854E2"/>
    <w:rsid w:val="7BDA6AAF"/>
    <w:rsid w:val="7C0562EC"/>
    <w:rsid w:val="7C127041"/>
    <w:rsid w:val="7C27683F"/>
    <w:rsid w:val="7C376AA7"/>
    <w:rsid w:val="7C7A5E13"/>
    <w:rsid w:val="7C865339"/>
    <w:rsid w:val="7CB14B4D"/>
    <w:rsid w:val="7CD25041"/>
    <w:rsid w:val="7CEF7382"/>
    <w:rsid w:val="7CF26969"/>
    <w:rsid w:val="7D1D2197"/>
    <w:rsid w:val="7D7C230A"/>
    <w:rsid w:val="7D8C7017"/>
    <w:rsid w:val="7DB23041"/>
    <w:rsid w:val="7DF00B14"/>
    <w:rsid w:val="7E3F7F98"/>
    <w:rsid w:val="7E5F7809"/>
    <w:rsid w:val="7E7105DF"/>
    <w:rsid w:val="7EA20594"/>
    <w:rsid w:val="7EB268B9"/>
    <w:rsid w:val="7ED56C53"/>
    <w:rsid w:val="7EEA1BAF"/>
    <w:rsid w:val="7F3A1B4A"/>
    <w:rsid w:val="7F64412A"/>
    <w:rsid w:val="7FEC7BA9"/>
    <w:rsid w:val="9EAD48AE"/>
    <w:rsid w:val="EF5FD2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4"/>
    <w:qFormat/>
    <w:uiPriority w:val="9"/>
    <w:pPr>
      <w:keepNext/>
      <w:keepLines/>
      <w:jc w:val="center"/>
      <w:outlineLvl w:val="0"/>
    </w:pPr>
    <w:rPr>
      <w:b/>
      <w:bCs/>
      <w:kern w:val="44"/>
      <w:sz w:val="36"/>
      <w:szCs w:val="44"/>
    </w:rPr>
  </w:style>
  <w:style w:type="paragraph" w:styleId="4">
    <w:name w:val="heading 2"/>
    <w:basedOn w:val="1"/>
    <w:next w:val="1"/>
    <w:link w:val="1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66"/>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58"/>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after="64" w:line="317" w:lineRule="auto"/>
      <w:outlineLvl w:val="6"/>
    </w:pPr>
    <w:rPr>
      <w:b/>
      <w:sz w:val="24"/>
    </w:rPr>
  </w:style>
  <w:style w:type="paragraph" w:styleId="10">
    <w:name w:val="heading 9"/>
    <w:basedOn w:val="1"/>
    <w:next w:val="1"/>
    <w:semiHidden/>
    <w:unhideWhenUsed/>
    <w:qFormat/>
    <w:uiPriority w:val="9"/>
    <w:pPr>
      <w:keepNext/>
      <w:keepLines/>
      <w:spacing w:before="240" w:after="64" w:line="317"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137"/>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120"/>
    <w:qFormat/>
    <w:uiPriority w:val="99"/>
    <w:pPr>
      <w:jc w:val="left"/>
    </w:pPr>
    <w:rPr>
      <w:rFonts w:hint="eastAsia" w:ascii="等线" w:hAnsi="等线" w:eastAsia="等线" w:cs="Times New Roman"/>
    </w:r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9"/>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148"/>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Plain Text"/>
    <w:basedOn w:val="1"/>
    <w:link w:val="8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112"/>
    <w:qFormat/>
    <w:uiPriority w:val="0"/>
    <w:pPr>
      <w:ind w:left="100" w:leftChars="2500"/>
    </w:pPr>
    <w:rPr>
      <w:sz w:val="24"/>
    </w:rPr>
  </w:style>
  <w:style w:type="paragraph" w:styleId="24">
    <w:name w:val="Body Text Indent 2"/>
    <w:basedOn w:val="1"/>
    <w:link w:val="119"/>
    <w:qFormat/>
    <w:uiPriority w:val="0"/>
    <w:pPr>
      <w:spacing w:after="120" w:line="480" w:lineRule="auto"/>
      <w:ind w:left="420" w:leftChars="200"/>
    </w:pPr>
  </w:style>
  <w:style w:type="paragraph" w:styleId="25">
    <w:name w:val="Balloon Text"/>
    <w:basedOn w:val="1"/>
    <w:link w:val="117"/>
    <w:qFormat/>
    <w:uiPriority w:val="0"/>
    <w:rPr>
      <w:sz w:val="18"/>
    </w:rPr>
  </w:style>
  <w:style w:type="paragraph" w:styleId="26">
    <w:name w:val="footer"/>
    <w:basedOn w:val="1"/>
    <w:link w:val="67"/>
    <w:qFormat/>
    <w:uiPriority w:val="99"/>
    <w:pPr>
      <w:tabs>
        <w:tab w:val="center" w:pos="4153"/>
        <w:tab w:val="right" w:pos="8306"/>
      </w:tabs>
      <w:snapToGrid w:val="0"/>
      <w:jc w:val="left"/>
    </w:pPr>
    <w:rPr>
      <w:sz w:val="18"/>
    </w:rPr>
  </w:style>
  <w:style w:type="paragraph" w:styleId="27">
    <w:name w:val="header"/>
    <w:basedOn w:val="1"/>
    <w:link w:val="9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97"/>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144"/>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60"/>
    <w:qFormat/>
    <w:uiPriority w:val="0"/>
    <w:rPr>
      <w:b/>
    </w:rPr>
  </w:style>
  <w:style w:type="paragraph" w:styleId="39">
    <w:name w:val="Body Text First Indent 2"/>
    <w:basedOn w:val="18"/>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页眉 字符1"/>
    <w:basedOn w:val="42"/>
    <w:semiHidden/>
    <w:qFormat/>
    <w:uiPriority w:val="99"/>
    <w:rPr>
      <w:sz w:val="18"/>
      <w:szCs w:val="18"/>
    </w:rPr>
  </w:style>
  <w:style w:type="character" w:customStyle="1" w:styleId="51">
    <w:name w:val="批注主题 Char"/>
    <w:qFormat/>
    <w:uiPriority w:val="0"/>
    <w:rPr>
      <w:b/>
      <w:kern w:val="2"/>
    </w:rPr>
  </w:style>
  <w:style w:type="character" w:customStyle="1" w:styleId="52">
    <w:name w:val="页眉 字符11"/>
    <w:basedOn w:val="42"/>
    <w:semiHidden/>
    <w:qFormat/>
    <w:uiPriority w:val="99"/>
    <w:rPr>
      <w:rFonts w:cs="Times New Roman"/>
      <w:kern w:val="2"/>
      <w:sz w:val="18"/>
      <w:szCs w:val="18"/>
    </w:rPr>
  </w:style>
  <w:style w:type="character" w:customStyle="1" w:styleId="53">
    <w:name w:val="标书表格 字符"/>
    <w:link w:val="54"/>
    <w:qFormat/>
    <w:locked/>
    <w:uiPriority w:val="0"/>
    <w:rPr>
      <w:rFonts w:ascii="Times New Roman" w:hAnsi="Times New Roman" w:eastAsia="宋体" w:cs="Times New Roman"/>
      <w:b/>
      <w:szCs w:val="20"/>
    </w:rPr>
  </w:style>
  <w:style w:type="paragraph" w:customStyle="1" w:styleId="54">
    <w:name w:val="标书表格"/>
    <w:basedOn w:val="1"/>
    <w:link w:val="53"/>
    <w:qFormat/>
    <w:uiPriority w:val="0"/>
    <w:pPr>
      <w:jc w:val="center"/>
    </w:pPr>
    <w:rPr>
      <w:rFonts w:ascii="Times New Roman" w:hAnsi="Times New Roman" w:eastAsia="宋体" w:cs="Times New Roman"/>
      <w:b/>
      <w:szCs w:val="20"/>
    </w:rPr>
  </w:style>
  <w:style w:type="paragraph" w:customStyle="1" w:styleId="5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56">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5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character" w:customStyle="1" w:styleId="58">
    <w:name w:val="标题 4 字符"/>
    <w:basedOn w:val="42"/>
    <w:link w:val="6"/>
    <w:qFormat/>
    <w:uiPriority w:val="0"/>
    <w:rPr>
      <w:rFonts w:ascii="等线 Light" w:hAnsi="等线 Light" w:eastAsia="等线 Light" w:cs="Times New Roman"/>
      <w:b/>
      <w:bCs/>
      <w:kern w:val="2"/>
      <w:sz w:val="28"/>
      <w:szCs w:val="28"/>
    </w:rPr>
  </w:style>
  <w:style w:type="paragraph" w:customStyle="1" w:styleId="59">
    <w:name w:val="Char Char Char Char Char Char Char"/>
    <w:basedOn w:val="1"/>
    <w:qFormat/>
    <w:uiPriority w:val="0"/>
    <w:rPr>
      <w:rFonts w:ascii="Verdana" w:hAnsi="Verdana" w:eastAsia="宋体" w:cs="Times New Roman"/>
      <w:kern w:val="0"/>
      <w:sz w:val="20"/>
      <w:szCs w:val="20"/>
      <w:lang w:eastAsia="en-US"/>
    </w:rPr>
  </w:style>
  <w:style w:type="character" w:customStyle="1" w:styleId="60">
    <w:name w:val="批注主题 字符"/>
    <w:link w:val="38"/>
    <w:qFormat/>
    <w:locked/>
    <w:uiPriority w:val="0"/>
    <w:rPr>
      <w:b/>
    </w:rPr>
  </w:style>
  <w:style w:type="character" w:customStyle="1" w:styleId="61">
    <w:name w:val="纯文本 字符11"/>
    <w:basedOn w:val="42"/>
    <w:qFormat/>
    <w:uiPriority w:val="0"/>
    <w:rPr>
      <w:rFonts w:hAnsi="Courier New" w:cs="Courier New" w:asciiTheme="minorEastAsia" w:eastAsiaTheme="minorEastAsia"/>
      <w:kern w:val="2"/>
      <w:sz w:val="21"/>
    </w:rPr>
  </w:style>
  <w:style w:type="paragraph" w:customStyle="1" w:styleId="62">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3">
    <w:name w:val="标题 4 字符2"/>
    <w:qFormat/>
    <w:uiPriority w:val="0"/>
    <w:rPr>
      <w:b/>
      <w:bCs/>
      <w:kern w:val="2"/>
      <w:sz w:val="24"/>
      <w:szCs w:val="28"/>
    </w:rPr>
  </w:style>
  <w:style w:type="character" w:customStyle="1" w:styleId="64">
    <w:name w:val="批注框文本 字符1"/>
    <w:basedOn w:val="42"/>
    <w:semiHidden/>
    <w:qFormat/>
    <w:uiPriority w:val="99"/>
    <w:rPr>
      <w:sz w:val="18"/>
      <w:szCs w:val="18"/>
    </w:rPr>
  </w:style>
  <w:style w:type="paragraph" w:customStyle="1" w:styleId="65">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66">
    <w:name w:val="标题 3 字符"/>
    <w:basedOn w:val="42"/>
    <w:link w:val="5"/>
    <w:semiHidden/>
    <w:qFormat/>
    <w:uiPriority w:val="9"/>
    <w:rPr>
      <w:rFonts w:ascii="Calibri" w:hAnsi="Calibri" w:eastAsia="宋体" w:cs="Times New Roman"/>
      <w:b/>
      <w:bCs/>
      <w:sz w:val="32"/>
      <w:szCs w:val="32"/>
    </w:rPr>
  </w:style>
  <w:style w:type="character" w:customStyle="1" w:styleId="67">
    <w:name w:val="页脚 字符"/>
    <w:link w:val="26"/>
    <w:qFormat/>
    <w:locked/>
    <w:uiPriority w:val="99"/>
    <w:rPr>
      <w:sz w:val="18"/>
    </w:rPr>
  </w:style>
  <w:style w:type="paragraph" w:customStyle="1" w:styleId="68">
    <w:name w:val="标书三级标题"/>
    <w:basedOn w:val="5"/>
    <w:next w:val="69"/>
    <w:link w:val="105"/>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69">
    <w:name w:val="标书正文格式"/>
    <w:basedOn w:val="21"/>
    <w:link w:val="125"/>
    <w:qFormat/>
    <w:uiPriority w:val="0"/>
    <w:pPr>
      <w:spacing w:line="360" w:lineRule="auto"/>
      <w:ind w:firstLine="200" w:firstLineChars="200"/>
    </w:pPr>
    <w:rPr>
      <w:rFonts w:hAnsi="宋体"/>
      <w:color w:val="000000"/>
      <w:sz w:val="24"/>
      <w:szCs w:val="24"/>
    </w:rPr>
  </w:style>
  <w:style w:type="character" w:customStyle="1" w:styleId="70">
    <w:name w:val="批注主题 字符11"/>
    <w:basedOn w:val="71"/>
    <w:semiHidden/>
    <w:qFormat/>
    <w:uiPriority w:val="99"/>
    <w:rPr>
      <w:rFonts w:cs="Times New Roman"/>
      <w:b/>
      <w:bCs/>
      <w:kern w:val="2"/>
      <w:sz w:val="21"/>
    </w:rPr>
  </w:style>
  <w:style w:type="character" w:customStyle="1" w:styleId="71">
    <w:name w:val="批注文字 字符11"/>
    <w:basedOn w:val="42"/>
    <w:qFormat/>
    <w:uiPriority w:val="0"/>
    <w:rPr>
      <w:rFonts w:cs="Times New Roman"/>
      <w:kern w:val="2"/>
      <w:sz w:val="21"/>
    </w:rPr>
  </w:style>
  <w:style w:type="table" w:customStyle="1" w:styleId="72">
    <w:name w:val="Rohde &amp; Schwarz - Standard Table"/>
    <w:basedOn w:val="40"/>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73">
    <w:name w:val="1列"/>
    <w:basedOn w:val="1"/>
    <w:qFormat/>
    <w:uiPriority w:val="0"/>
    <w:pPr>
      <w:spacing w:line="360" w:lineRule="auto"/>
      <w:ind w:left="401" w:hanging="401" w:hangingChars="191"/>
    </w:pPr>
    <w:rPr>
      <w:rFonts w:ascii="Calibri" w:hAnsi="Calibri" w:eastAsia="宋体" w:cs="Times New Roman"/>
      <w:szCs w:val="24"/>
    </w:rPr>
  </w:style>
  <w:style w:type="character" w:customStyle="1" w:styleId="74">
    <w:name w:val="Char Char3"/>
    <w:qFormat/>
    <w:uiPriority w:val="0"/>
    <w:rPr>
      <w:rFonts w:ascii="宋体" w:hAnsi="Courier New" w:eastAsia="宋体"/>
      <w:kern w:val="2"/>
      <w:sz w:val="21"/>
      <w:lang w:val="en-US" w:eastAsia="zh-CN"/>
    </w:rPr>
  </w:style>
  <w:style w:type="character" w:customStyle="1" w:styleId="75">
    <w:name w:val="标题 2 字符"/>
    <w:basedOn w:val="42"/>
    <w:link w:val="4"/>
    <w:qFormat/>
    <w:uiPriority w:val="0"/>
    <w:rPr>
      <w:rFonts w:ascii="Arial" w:hAnsi="Arial" w:eastAsia="宋体" w:cs="Times New Roman"/>
      <w:b/>
      <w:bCs/>
      <w:sz w:val="24"/>
      <w:szCs w:val="32"/>
    </w:rPr>
  </w:style>
  <w:style w:type="character" w:customStyle="1" w:styleId="76">
    <w:name w:val="标题 字符11"/>
    <w:basedOn w:val="42"/>
    <w:qFormat/>
    <w:uiPriority w:val="10"/>
    <w:rPr>
      <w:rFonts w:cs="Times New Roman" w:asciiTheme="majorHAnsi" w:hAnsiTheme="majorHAnsi" w:eastAsiaTheme="majorEastAsia"/>
      <w:b/>
      <w:bCs/>
      <w:kern w:val="2"/>
      <w:sz w:val="32"/>
      <w:szCs w:val="32"/>
    </w:rPr>
  </w:style>
  <w:style w:type="paragraph" w:styleId="77">
    <w:name w:val="List Paragraph"/>
    <w:basedOn w:val="1"/>
    <w:qFormat/>
    <w:uiPriority w:val="99"/>
    <w:pPr>
      <w:ind w:firstLine="420" w:firstLineChars="200"/>
    </w:pPr>
  </w:style>
  <w:style w:type="character" w:customStyle="1" w:styleId="78">
    <w:name w:val="正文文本缩进 3 字符1"/>
    <w:basedOn w:val="42"/>
    <w:semiHidden/>
    <w:qFormat/>
    <w:uiPriority w:val="99"/>
    <w:rPr>
      <w:sz w:val="16"/>
      <w:szCs w:val="16"/>
    </w:rPr>
  </w:style>
  <w:style w:type="character" w:customStyle="1" w:styleId="79">
    <w:name w:val="标三级标题 字符"/>
    <w:link w:val="80"/>
    <w:qFormat/>
    <w:locked/>
    <w:uiPriority w:val="0"/>
    <w:rPr>
      <w:b/>
      <w:color w:val="000000"/>
      <w:sz w:val="24"/>
    </w:rPr>
  </w:style>
  <w:style w:type="paragraph" w:customStyle="1" w:styleId="80">
    <w:name w:val="标三级标题"/>
    <w:basedOn w:val="68"/>
    <w:link w:val="79"/>
    <w:qFormat/>
    <w:uiPriority w:val="0"/>
    <w:rPr>
      <w:rFonts w:asciiTheme="minorHAnsi" w:hAnsiTheme="minorHAnsi" w:eastAsiaTheme="minorEastAsia" w:cstheme="minorBidi"/>
      <w:bCs w:val="0"/>
      <w:szCs w:val="22"/>
    </w:rPr>
  </w:style>
  <w:style w:type="character" w:customStyle="1" w:styleId="81">
    <w:name w:val="fontstyle01"/>
    <w:qFormat/>
    <w:uiPriority w:val="0"/>
    <w:rPr>
      <w:rFonts w:hint="eastAsia" w:ascii="宋体" w:hAnsi="宋体" w:eastAsia="宋体"/>
      <w:color w:val="000000"/>
      <w:sz w:val="24"/>
      <w:szCs w:val="24"/>
    </w:rPr>
  </w:style>
  <w:style w:type="character" w:customStyle="1" w:styleId="82">
    <w:name w:val="Classification"/>
    <w:qFormat/>
    <w:uiPriority w:val="99"/>
    <w:rPr>
      <w:rFonts w:ascii="Calibri" w:hAnsi="Calibri" w:eastAsia="宋体" w:cs="Cordia New"/>
      <w:b/>
      <w:bCs/>
      <w:caps/>
      <w:color w:val="000000"/>
      <w:spacing w:val="20"/>
      <w:sz w:val="24"/>
      <w:szCs w:val="24"/>
    </w:rPr>
  </w:style>
  <w:style w:type="character" w:customStyle="1" w:styleId="83">
    <w:name w:val="正文文本缩进 2 字符11"/>
    <w:basedOn w:val="42"/>
    <w:semiHidden/>
    <w:qFormat/>
    <w:uiPriority w:val="99"/>
    <w:rPr>
      <w:rFonts w:cs="Times New Roman"/>
      <w:kern w:val="2"/>
      <w:sz w:val="21"/>
    </w:rPr>
  </w:style>
  <w:style w:type="character" w:customStyle="1" w:styleId="84">
    <w:name w:val="标题 1 字符"/>
    <w:basedOn w:val="42"/>
    <w:link w:val="2"/>
    <w:qFormat/>
    <w:uiPriority w:val="9"/>
    <w:rPr>
      <w:rFonts w:ascii="Calibri" w:hAnsi="Calibri" w:eastAsia="宋体" w:cs="Times New Roman"/>
      <w:b/>
      <w:bCs/>
      <w:kern w:val="44"/>
      <w:sz w:val="36"/>
      <w:szCs w:val="44"/>
    </w:rPr>
  </w:style>
  <w:style w:type="character" w:customStyle="1" w:styleId="85">
    <w:name w:val="纯文本 字符"/>
    <w:link w:val="21"/>
    <w:qFormat/>
    <w:locked/>
    <w:uiPriority w:val="0"/>
    <w:rPr>
      <w:rFonts w:ascii="宋体" w:hAnsi="Courier New"/>
    </w:rPr>
  </w:style>
  <w:style w:type="paragraph" w:customStyle="1" w:styleId="86">
    <w:name w:val="1正文段落"/>
    <w:basedOn w:val="1"/>
    <w:qFormat/>
    <w:uiPriority w:val="0"/>
    <w:pPr>
      <w:spacing w:line="360" w:lineRule="auto"/>
      <w:ind w:firstLine="480" w:firstLineChars="200"/>
      <w:jc w:val="left"/>
    </w:pPr>
    <w:rPr>
      <w:rFonts w:ascii="Times New Roman" w:hAnsi="Times New Roman" w:eastAsia="宋体" w:cs="Times New Roman"/>
      <w:kern w:val="0"/>
      <w:szCs w:val="20"/>
    </w:rPr>
  </w:style>
  <w:style w:type="character" w:customStyle="1" w:styleId="87">
    <w:name w:val="标书二级标题 字符"/>
    <w:link w:val="88"/>
    <w:qFormat/>
    <w:locked/>
    <w:uiPriority w:val="0"/>
    <w:rPr>
      <w:rFonts w:ascii="宋体" w:hAnsi="宋体" w:eastAsia="黑体" w:cs="Times New Roman"/>
      <w:bCs/>
      <w:sz w:val="28"/>
      <w:szCs w:val="30"/>
    </w:rPr>
  </w:style>
  <w:style w:type="paragraph" w:customStyle="1" w:styleId="88">
    <w:name w:val="标书二级标题"/>
    <w:basedOn w:val="4"/>
    <w:link w:val="87"/>
    <w:qFormat/>
    <w:uiPriority w:val="0"/>
    <w:pPr>
      <w:spacing w:line="240" w:lineRule="auto"/>
      <w:jc w:val="left"/>
    </w:pPr>
    <w:rPr>
      <w:rFonts w:ascii="宋体" w:hAnsi="宋体" w:eastAsia="黑体"/>
      <w:b w:val="0"/>
      <w:sz w:val="28"/>
      <w:szCs w:val="30"/>
    </w:rPr>
  </w:style>
  <w:style w:type="character" w:customStyle="1" w:styleId="89">
    <w:name w:val="正文文本 字符"/>
    <w:basedOn w:val="42"/>
    <w:link w:val="17"/>
    <w:qFormat/>
    <w:uiPriority w:val="99"/>
    <w:rPr>
      <w:rFonts w:ascii="Calibri" w:hAnsi="Calibri" w:eastAsia="新宋体" w:cs="Times New Roman"/>
      <w:szCs w:val="21"/>
    </w:rPr>
  </w:style>
  <w:style w:type="character" w:customStyle="1" w:styleId="90">
    <w:name w:val="批注文字 字符"/>
    <w:qFormat/>
    <w:locked/>
    <w:uiPriority w:val="99"/>
  </w:style>
  <w:style w:type="character" w:customStyle="1" w:styleId="91">
    <w:name w:val="页眉 字符"/>
    <w:link w:val="27"/>
    <w:qFormat/>
    <w:locked/>
    <w:uiPriority w:val="0"/>
    <w:rPr>
      <w:sz w:val="18"/>
    </w:rPr>
  </w:style>
  <w:style w:type="paragraph" w:customStyle="1" w:styleId="92">
    <w:name w:val="标正文"/>
    <w:basedOn w:val="69"/>
    <w:link w:val="107"/>
    <w:qFormat/>
    <w:uiPriority w:val="0"/>
    <w:pPr>
      <w:ind w:firstLine="480"/>
    </w:pPr>
    <w:rPr>
      <w:rFonts w:eastAsia="宋体" w:hAnsiTheme="minorHAnsi"/>
      <w:szCs w:val="22"/>
    </w:rPr>
  </w:style>
  <w:style w:type="character" w:customStyle="1" w:styleId="93">
    <w:name w:val="标题 3 字符2"/>
    <w:qFormat/>
    <w:uiPriority w:val="0"/>
    <w:rPr>
      <w:b/>
      <w:kern w:val="2"/>
      <w:sz w:val="24"/>
    </w:rPr>
  </w:style>
  <w:style w:type="character" w:customStyle="1" w:styleId="94">
    <w:name w:val="apple-converted-space"/>
    <w:basedOn w:val="42"/>
    <w:qFormat/>
    <w:uiPriority w:val="0"/>
    <w:rPr>
      <w:rFonts w:cs="Times New Roman"/>
    </w:rPr>
  </w:style>
  <w:style w:type="character" w:customStyle="1" w:styleId="95">
    <w:name w:val="纯文本 字符1"/>
    <w:basedOn w:val="42"/>
    <w:semiHidden/>
    <w:qFormat/>
    <w:uiPriority w:val="99"/>
    <w:rPr>
      <w:rFonts w:hAnsi="Courier New" w:cs="Courier New" w:asciiTheme="minorEastAsia"/>
    </w:rPr>
  </w:style>
  <w:style w:type="paragraph" w:customStyle="1" w:styleId="9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character" w:customStyle="1" w:styleId="97">
    <w:name w:val="正文文本缩进 3 字符"/>
    <w:link w:val="32"/>
    <w:qFormat/>
    <w:locked/>
    <w:uiPriority w:val="0"/>
    <w:rPr>
      <w:sz w:val="16"/>
    </w:rPr>
  </w:style>
  <w:style w:type="paragraph" w:customStyle="1" w:styleId="98">
    <w:name w:val="HR正文表格"/>
    <w:basedOn w:val="1"/>
    <w:qFormat/>
    <w:uiPriority w:val="0"/>
    <w:pPr>
      <w:spacing w:beforeLines="25" w:afterLines="25" w:line="300" w:lineRule="auto"/>
    </w:pPr>
    <w:rPr>
      <w:szCs w:val="24"/>
    </w:rPr>
  </w:style>
  <w:style w:type="table" w:customStyle="1" w:styleId="99">
    <w:name w:val="Table Normal"/>
    <w:semiHidden/>
    <w:unhideWhenUsed/>
    <w:qFormat/>
    <w:uiPriority w:val="0"/>
    <w:tblPr>
      <w:tblCellMar>
        <w:top w:w="0" w:type="dxa"/>
        <w:left w:w="0" w:type="dxa"/>
        <w:bottom w:w="0" w:type="dxa"/>
        <w:right w:w="0" w:type="dxa"/>
      </w:tblCellMar>
    </w:tblPr>
  </w:style>
  <w:style w:type="paragraph" w:customStyle="1" w:styleId="100">
    <w:name w:val="List Paragraph1"/>
    <w:basedOn w:val="1"/>
    <w:qFormat/>
    <w:uiPriority w:val="0"/>
    <w:pPr>
      <w:ind w:firstLine="420" w:firstLineChars="200"/>
    </w:pPr>
    <w:rPr>
      <w:rFonts w:ascii="Calibri" w:hAnsi="Calibri"/>
    </w:rPr>
  </w:style>
  <w:style w:type="character" w:customStyle="1" w:styleId="101">
    <w:name w:val="NormalCharacter"/>
    <w:qFormat/>
    <w:uiPriority w:val="0"/>
  </w:style>
  <w:style w:type="paragraph" w:customStyle="1" w:styleId="10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character" w:customStyle="1" w:styleId="103">
    <w:name w:val="列出段落 字符"/>
    <w:link w:val="104"/>
    <w:qFormat/>
    <w:locked/>
    <w:uiPriority w:val="34"/>
    <w:rPr>
      <w:sz w:val="22"/>
    </w:rPr>
  </w:style>
  <w:style w:type="paragraph" w:customStyle="1" w:styleId="104">
    <w:name w:val="列出段落1"/>
    <w:basedOn w:val="1"/>
    <w:link w:val="103"/>
    <w:qFormat/>
    <w:uiPriority w:val="34"/>
    <w:pPr>
      <w:ind w:firstLine="420" w:firstLineChars="200"/>
    </w:pPr>
    <w:rPr>
      <w:sz w:val="22"/>
    </w:rPr>
  </w:style>
  <w:style w:type="character" w:customStyle="1" w:styleId="105">
    <w:name w:val="标书三级标题 字符"/>
    <w:link w:val="68"/>
    <w:qFormat/>
    <w:locked/>
    <w:uiPriority w:val="0"/>
    <w:rPr>
      <w:rFonts w:ascii="Times New Roman" w:hAnsi="Times New Roman" w:eastAsia="宋体" w:cs="Times New Roman"/>
      <w:b/>
      <w:bCs/>
      <w:color w:val="000000"/>
      <w:sz w:val="24"/>
      <w:szCs w:val="24"/>
    </w:rPr>
  </w:style>
  <w:style w:type="paragraph" w:styleId="106">
    <w:name w:val="No Spacing"/>
    <w:qFormat/>
    <w:uiPriority w:val="1"/>
    <w:rPr>
      <w:rFonts w:ascii="等线" w:hAnsi="等线" w:eastAsia="等线" w:cs="Times New Roman"/>
      <w:sz w:val="21"/>
      <w:szCs w:val="21"/>
      <w:lang w:val="en-US" w:eastAsia="zh-CN" w:bidi="ar-SA"/>
    </w:rPr>
  </w:style>
  <w:style w:type="character" w:customStyle="1" w:styleId="107">
    <w:name w:val="标正文 字符"/>
    <w:link w:val="92"/>
    <w:qFormat/>
    <w:locked/>
    <w:uiPriority w:val="0"/>
    <w:rPr>
      <w:rFonts w:ascii="宋体" w:eastAsia="宋体"/>
      <w:color w:val="000000"/>
      <w:sz w:val="24"/>
    </w:rPr>
  </w:style>
  <w:style w:type="character" w:customStyle="1" w:styleId="108">
    <w:name w:val="页脚 字符11"/>
    <w:basedOn w:val="42"/>
    <w:semiHidden/>
    <w:qFormat/>
    <w:uiPriority w:val="99"/>
    <w:rPr>
      <w:rFonts w:cs="Times New Roman"/>
      <w:kern w:val="2"/>
      <w:sz w:val="18"/>
      <w:szCs w:val="18"/>
    </w:rPr>
  </w:style>
  <w:style w:type="character" w:customStyle="1" w:styleId="109">
    <w:name w:val="Default Char"/>
    <w:link w:val="110"/>
    <w:qFormat/>
    <w:locked/>
    <w:uiPriority w:val="0"/>
    <w:rPr>
      <w:rFonts w:ascii="仿宋_GB2312" w:eastAsia="仿宋_GB2312"/>
      <w:color w:val="000000"/>
      <w:sz w:val="24"/>
    </w:rPr>
  </w:style>
  <w:style w:type="paragraph" w:customStyle="1" w:styleId="110">
    <w:name w:val="Default"/>
    <w:link w:val="10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111">
    <w:name w:val="正文文本缩进 3 字符11"/>
    <w:basedOn w:val="42"/>
    <w:semiHidden/>
    <w:qFormat/>
    <w:uiPriority w:val="99"/>
    <w:rPr>
      <w:rFonts w:cs="Times New Roman"/>
      <w:kern w:val="2"/>
      <w:sz w:val="16"/>
      <w:szCs w:val="16"/>
    </w:rPr>
  </w:style>
  <w:style w:type="character" w:customStyle="1" w:styleId="112">
    <w:name w:val="日期 字符"/>
    <w:link w:val="23"/>
    <w:qFormat/>
    <w:locked/>
    <w:uiPriority w:val="0"/>
    <w:rPr>
      <w:sz w:val="24"/>
    </w:rPr>
  </w:style>
  <w:style w:type="character" w:customStyle="1" w:styleId="113">
    <w:name w:val="文档结构图 字符11"/>
    <w:basedOn w:val="42"/>
    <w:semiHidden/>
    <w:qFormat/>
    <w:uiPriority w:val="99"/>
    <w:rPr>
      <w:rFonts w:ascii="Microsoft YaHei UI" w:eastAsia="Microsoft YaHei UI" w:cs="Times New Roman"/>
      <w:kern w:val="2"/>
      <w:sz w:val="18"/>
      <w:szCs w:val="18"/>
    </w:rPr>
  </w:style>
  <w:style w:type="character" w:customStyle="1" w:styleId="114">
    <w:name w:val="BODY TEXT Char"/>
    <w:qFormat/>
    <w:locked/>
    <w:uiPriority w:val="0"/>
    <w:rPr>
      <w:rFonts w:eastAsia="新宋体"/>
      <w:kern w:val="2"/>
      <w:sz w:val="21"/>
    </w:rPr>
  </w:style>
  <w:style w:type="paragraph" w:customStyle="1" w:styleId="115">
    <w:name w:val="标书一级标题"/>
    <w:basedOn w:val="2"/>
    <w:qFormat/>
    <w:uiPriority w:val="0"/>
    <w:rPr>
      <w:rFonts w:eastAsia="黑体"/>
      <w:b w:val="0"/>
      <w:color w:val="000000"/>
      <w:sz w:val="30"/>
      <w:szCs w:val="24"/>
    </w:rPr>
  </w:style>
  <w:style w:type="paragraph" w:customStyle="1" w:styleId="11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17">
    <w:name w:val="批注框文本 字符"/>
    <w:link w:val="25"/>
    <w:qFormat/>
    <w:locked/>
    <w:uiPriority w:val="0"/>
    <w:rPr>
      <w:sz w:val="18"/>
    </w:rPr>
  </w:style>
  <w:style w:type="paragraph" w:customStyle="1" w:styleId="118">
    <w:name w:val="msolistparagraph"/>
    <w:basedOn w:val="1"/>
    <w:qFormat/>
    <w:uiPriority w:val="0"/>
    <w:pPr>
      <w:widowControl/>
      <w:spacing w:line="300" w:lineRule="auto"/>
      <w:ind w:firstLine="420" w:firstLineChars="200"/>
      <w:jc w:val="left"/>
    </w:pPr>
    <w:rPr>
      <w:kern w:val="0"/>
    </w:rPr>
  </w:style>
  <w:style w:type="character" w:customStyle="1" w:styleId="119">
    <w:name w:val="正文文本缩进 2 字符"/>
    <w:link w:val="24"/>
    <w:qFormat/>
    <w:locked/>
    <w:uiPriority w:val="0"/>
  </w:style>
  <w:style w:type="character" w:customStyle="1" w:styleId="120">
    <w:name w:val="批注文字 字符2"/>
    <w:basedOn w:val="42"/>
    <w:link w:val="15"/>
    <w:qFormat/>
    <w:uiPriority w:val="0"/>
    <w:rPr>
      <w:rFonts w:hint="eastAsia" w:ascii="等线" w:hAnsi="等线" w:eastAsia="等线" w:cs="等线"/>
      <w:kern w:val="2"/>
      <w:sz w:val="21"/>
      <w:szCs w:val="22"/>
    </w:rPr>
  </w:style>
  <w:style w:type="character" w:customStyle="1" w:styleId="121">
    <w:name w:val="日期 字符11"/>
    <w:basedOn w:val="42"/>
    <w:semiHidden/>
    <w:qFormat/>
    <w:uiPriority w:val="99"/>
    <w:rPr>
      <w:rFonts w:cs="Times New Roman"/>
      <w:kern w:val="2"/>
      <w:sz w:val="21"/>
    </w:rPr>
  </w:style>
  <w:style w:type="paragraph" w:customStyle="1" w:styleId="122">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character" w:customStyle="1" w:styleId="125">
    <w:name w:val="标书正文格式 字符"/>
    <w:link w:val="69"/>
    <w:qFormat/>
    <w:locked/>
    <w:uiPriority w:val="0"/>
    <w:rPr>
      <w:rFonts w:ascii="宋体" w:hAnsi="宋体"/>
      <w:color w:val="000000"/>
      <w:sz w:val="24"/>
      <w:szCs w:val="24"/>
    </w:rPr>
  </w:style>
  <w:style w:type="character" w:customStyle="1" w:styleId="126">
    <w:name w:val="页脚 Char"/>
    <w:qFormat/>
    <w:locked/>
    <w:uiPriority w:val="99"/>
    <w:rPr>
      <w:sz w:val="18"/>
    </w:rPr>
  </w:style>
  <w:style w:type="character" w:customStyle="1" w:styleId="127">
    <w:name w:val="日期 字符1"/>
    <w:basedOn w:val="42"/>
    <w:semiHidden/>
    <w:qFormat/>
    <w:uiPriority w:val="99"/>
  </w:style>
  <w:style w:type="paragraph" w:customStyle="1" w:styleId="128">
    <w:name w:val="正文1"/>
    <w:basedOn w:val="1"/>
    <w:qFormat/>
    <w:uiPriority w:val="0"/>
    <w:pPr>
      <w:adjustRightInd w:val="0"/>
      <w:spacing w:line="312" w:lineRule="atLeast"/>
    </w:pPr>
    <w:rPr>
      <w:rFonts w:ascii="楷体_GB2312" w:hAnsi="Calibri" w:eastAsia="楷体_GB2312" w:cs="Times New Roman"/>
      <w:kern w:val="0"/>
      <w:sz w:val="24"/>
      <w:szCs w:val="20"/>
    </w:rPr>
  </w:style>
  <w:style w:type="character" w:customStyle="1" w:styleId="129">
    <w:name w:val="纯文本 Char"/>
    <w:qFormat/>
    <w:uiPriority w:val="0"/>
    <w:rPr>
      <w:rFonts w:ascii="宋体" w:hAnsi="Courier New" w:eastAsia="宋体"/>
      <w:kern w:val="2"/>
      <w:sz w:val="21"/>
      <w:lang w:val="en-US" w:eastAsia="zh-CN"/>
    </w:rPr>
  </w:style>
  <w:style w:type="paragraph" w:customStyle="1" w:styleId="13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31">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32">
    <w:name w:val="ATXT_Bullets Zchn"/>
    <w:link w:val="122"/>
    <w:qFormat/>
    <w:locked/>
    <w:uiPriority w:val="99"/>
    <w:rPr>
      <w:rFonts w:ascii="Arial" w:hAnsi="Arial"/>
      <w:lang w:val="de-AT" w:eastAsia="zh-CN"/>
    </w:rPr>
  </w:style>
  <w:style w:type="character" w:customStyle="1" w:styleId="133">
    <w:name w:val="Char Char5"/>
    <w:qFormat/>
    <w:uiPriority w:val="0"/>
    <w:rPr>
      <w:rFonts w:ascii="宋体" w:hAnsi="Courier New" w:eastAsia="宋体"/>
      <w:kern w:val="2"/>
      <w:sz w:val="21"/>
      <w:lang w:val="en-US" w:eastAsia="zh-CN"/>
    </w:rPr>
  </w:style>
  <w:style w:type="character" w:customStyle="1" w:styleId="134">
    <w:name w:val="标题 字符1"/>
    <w:basedOn w:val="42"/>
    <w:qFormat/>
    <w:uiPriority w:val="10"/>
    <w:rPr>
      <w:rFonts w:asciiTheme="majorHAnsi" w:hAnsiTheme="majorHAnsi" w:eastAsiaTheme="majorEastAsia" w:cstheme="majorBidi"/>
      <w:b/>
      <w:bCs/>
      <w:sz w:val="32"/>
      <w:szCs w:val="32"/>
    </w:rPr>
  </w:style>
  <w:style w:type="paragraph" w:customStyle="1" w:styleId="135">
    <w:name w:val="列出段落2"/>
    <w:basedOn w:val="1"/>
    <w:qFormat/>
    <w:uiPriority w:val="0"/>
    <w:pPr>
      <w:spacing w:line="360" w:lineRule="auto"/>
      <w:ind w:firstLine="420" w:firstLineChars="200"/>
    </w:pPr>
    <w:rPr>
      <w:sz w:val="24"/>
      <w:szCs w:val="24"/>
    </w:rPr>
  </w:style>
  <w:style w:type="character" w:customStyle="1" w:styleId="136">
    <w:name w:val="页脚 字符1"/>
    <w:basedOn w:val="42"/>
    <w:semiHidden/>
    <w:qFormat/>
    <w:uiPriority w:val="99"/>
    <w:rPr>
      <w:sz w:val="18"/>
      <w:szCs w:val="18"/>
    </w:rPr>
  </w:style>
  <w:style w:type="character" w:customStyle="1" w:styleId="137">
    <w:name w:val="文档结构图 字符"/>
    <w:link w:val="13"/>
    <w:qFormat/>
    <w:locked/>
    <w:uiPriority w:val="0"/>
    <w:rPr>
      <w:sz w:val="24"/>
      <w:shd w:val="clear" w:color="auto" w:fill="000080"/>
    </w:rPr>
  </w:style>
  <w:style w:type="character" w:customStyle="1" w:styleId="138">
    <w:name w:val="批注框文本 字符11"/>
    <w:basedOn w:val="42"/>
    <w:semiHidden/>
    <w:qFormat/>
    <w:uiPriority w:val="99"/>
    <w:rPr>
      <w:rFonts w:cs="Times New Roman"/>
      <w:kern w:val="2"/>
      <w:sz w:val="18"/>
      <w:szCs w:val="18"/>
    </w:rPr>
  </w:style>
  <w:style w:type="character" w:customStyle="1" w:styleId="139">
    <w:name w:val="批注文字 Char"/>
    <w:qFormat/>
    <w:uiPriority w:val="0"/>
    <w:rPr>
      <w:kern w:val="2"/>
    </w:rPr>
  </w:style>
  <w:style w:type="character" w:customStyle="1" w:styleId="140">
    <w:name w:val="批注文字 字符1"/>
    <w:basedOn w:val="42"/>
    <w:semiHidden/>
    <w:qFormat/>
    <w:uiPriority w:val="99"/>
  </w:style>
  <w:style w:type="character" w:customStyle="1" w:styleId="141">
    <w:name w:val="批注主题 字符1"/>
    <w:basedOn w:val="140"/>
    <w:semiHidden/>
    <w:qFormat/>
    <w:uiPriority w:val="99"/>
    <w:rPr>
      <w:b/>
      <w:bCs/>
    </w:rPr>
  </w:style>
  <w:style w:type="character" w:customStyle="1" w:styleId="142">
    <w:name w:val="文档结构图 字符1"/>
    <w:basedOn w:val="42"/>
    <w:semiHidden/>
    <w:qFormat/>
    <w:uiPriority w:val="99"/>
    <w:rPr>
      <w:rFonts w:ascii="Microsoft YaHei UI" w:eastAsia="Microsoft YaHei UI"/>
      <w:sz w:val="18"/>
      <w:szCs w:val="18"/>
    </w:rPr>
  </w:style>
  <w:style w:type="character" w:customStyle="1" w:styleId="143">
    <w:name w:val="HTML Markup"/>
    <w:qFormat/>
    <w:uiPriority w:val="0"/>
    <w:rPr>
      <w:vanish/>
      <w:color w:val="FF0000"/>
    </w:rPr>
  </w:style>
  <w:style w:type="character" w:customStyle="1" w:styleId="144">
    <w:name w:val="标题 字符"/>
    <w:link w:val="37"/>
    <w:qFormat/>
    <w:locked/>
    <w:uiPriority w:val="0"/>
    <w:rPr>
      <w:rFonts w:ascii="Arial" w:hAnsi="Arial"/>
      <w:b/>
      <w:sz w:val="32"/>
    </w:rPr>
  </w:style>
  <w:style w:type="character" w:customStyle="1" w:styleId="145">
    <w:name w:val="正文文本缩进 2 字符1"/>
    <w:basedOn w:val="42"/>
    <w:semiHidden/>
    <w:qFormat/>
    <w:uiPriority w:val="99"/>
  </w:style>
  <w:style w:type="paragraph" w:customStyle="1" w:styleId="146">
    <w:name w:val="WPSOffice手动目录 1"/>
    <w:qFormat/>
    <w:uiPriority w:val="0"/>
    <w:rPr>
      <w:rFonts w:ascii="Times New Roman" w:hAnsi="Times New Roman" w:eastAsia="宋体" w:cs="Times New Roman"/>
      <w:lang w:val="en-US" w:eastAsia="zh-CN" w:bidi="ar-SA"/>
    </w:rPr>
  </w:style>
  <w:style w:type="paragraph" w:customStyle="1" w:styleId="147">
    <w:name w:val="Table Paragraph"/>
    <w:basedOn w:val="1"/>
    <w:qFormat/>
    <w:uiPriority w:val="1"/>
    <w:rPr>
      <w:rFonts w:ascii="宋体" w:hAnsi="宋体" w:eastAsia="宋体" w:cs="宋体"/>
    </w:rPr>
  </w:style>
  <w:style w:type="character" w:customStyle="1" w:styleId="148">
    <w:name w:val="正文文本缩进 字符"/>
    <w:basedOn w:val="42"/>
    <w:link w:val="18"/>
    <w:qFormat/>
    <w:uiPriority w:val="99"/>
    <w:rPr>
      <w:rFonts w:ascii="Calibri" w:hAnsi="Calibri" w:eastAsia="宋体" w:cs="Times New Roman"/>
      <w:szCs w:val="20"/>
    </w:rPr>
  </w:style>
  <w:style w:type="paragraph" w:customStyle="1" w:styleId="149">
    <w:name w:val="二级列表 Char"/>
    <w:basedOn w:val="1"/>
    <w:qFormat/>
    <w:uiPriority w:val="0"/>
    <w:rPr>
      <w:rFonts w:ascii="Calibri" w:hAnsi="Calibri" w:eastAsia="宋体" w:cs="Times New Roman"/>
      <w:szCs w:val="20"/>
    </w:rPr>
  </w:style>
  <w:style w:type="paragraph" w:customStyle="1" w:styleId="150">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character" w:customStyle="1" w:styleId="151">
    <w:name w:val="Char Char2"/>
    <w:qFormat/>
    <w:uiPriority w:val="0"/>
    <w:rPr>
      <w:rFonts w:ascii="宋体" w:hAnsi="Courier New"/>
      <w:kern w:val="2"/>
      <w:sz w:val="21"/>
    </w:rPr>
  </w:style>
  <w:style w:type="character" w:customStyle="1" w:styleId="152">
    <w:name w:val="标题 2 Char"/>
    <w:basedOn w:val="42"/>
    <w:link w:val="4"/>
    <w:qFormat/>
    <w:uiPriority w:val="0"/>
    <w:rPr>
      <w:rFonts w:ascii="Cambria" w:hAnsi="Cambria"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header" Target="head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header" Target="header7.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3305</Words>
  <Characters>3713</Characters>
  <Lines>434</Lines>
  <Paragraphs>122</Paragraphs>
  <TotalTime>14</TotalTime>
  <ScaleCrop>false</ScaleCrop>
  <LinksUpToDate>false</LinksUpToDate>
  <CharactersWithSpaces>3855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2024-01-31T16:11:00Z</dcterms:created>
  <dc:creator>admin</dc:creator>
  <cp:lastModifiedBy>李月兵</cp:lastModifiedBy>
  <dcterms:modified xsi:type="dcterms:W3CDTF">2025-04-10T05:31:29Z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3CCF4A88E0754F48AE1C1F58764BFD6B_13</vt:lpwstr>
  </property>
  <property fmtid="{D5CDD505-2E9C-101B-9397-08002B2CF9AE}" pid="4" name="KSOTemplateDocerSaveRecord">
    <vt:lpwstr>eyJoZGlkIjoiZTQ2ODg4YTgwOWIwZDg0ZTZkNDljOGIwNzMzNTIwNTYiLCJ1c2VySWQiOiIyNTc0NTYwNzgifQ==</vt:lpwstr>
  </property>
</Properties>
</file>