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b/>
          <w:bCs/>
          <w:spacing w:val="-8"/>
          <w:sz w:val="48"/>
          <w:szCs w:val="48"/>
        </w:rPr>
        <w:t>商用车耐久试验场地</w:t>
      </w: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default" w:ascii="宋体" w:hAnsi="宋体" w:cs="宋体"/>
          <w:color w:val="000000"/>
          <w:sz w:val="28"/>
          <w:szCs w:val="28"/>
          <w:woUserID w:val="1"/>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商用车耐久试验场地</w:t>
      </w:r>
      <w:r>
        <w:rPr>
          <w:rFonts w:hint="eastAsia" w:ascii="宋体" w:hAnsi="宋体" w:cs="宋体"/>
          <w:color w:val="000000"/>
          <w:sz w:val="24"/>
          <w:szCs w:val="24"/>
          <w:u w:val="single"/>
          <w:lang w:val="en-US" w:eastAsia="zh-CN"/>
        </w:rPr>
        <w:t>招标项目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采购形式编号：CGZX2025030226</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single"/>
          <w:lang w:eastAsia="zh-CN"/>
        </w:rPr>
        <w:t>商用车耐久试验场地</w:t>
      </w:r>
      <w:r>
        <w:rPr>
          <w:rFonts w:hint="eastAsia" w:ascii="宋体" w:hAnsi="宋体" w:cs="宋体"/>
          <w:color w:val="000000"/>
          <w:sz w:val="24"/>
          <w:szCs w:val="24"/>
          <w:u w:val="single"/>
          <w:lang w:val="en-US" w:eastAsia="zh-CN"/>
        </w:rPr>
        <w:t>招标项目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商用车耐久试验场地</w:t>
      </w:r>
      <w:r>
        <w:rPr>
          <w:rFonts w:hint="eastAsia" w:ascii="宋体" w:hAnsi="宋体" w:cs="宋体"/>
          <w:color w:val="000000"/>
          <w:sz w:val="24"/>
          <w:szCs w:val="24"/>
          <w:u w:val="single"/>
          <w:lang w:val="en-US" w:eastAsia="zh-CN"/>
        </w:rPr>
        <w:t>招标项目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距离</w:t>
      </w:r>
      <w:r>
        <w:rPr>
          <w:rFonts w:hint="eastAsia" w:ascii="宋体" w:hAnsi="宋体" w:eastAsia="宋体" w:cs="宋体"/>
          <w:color w:val="000000"/>
          <w:sz w:val="24"/>
          <w:szCs w:val="24"/>
        </w:rPr>
        <w:t>济南市高新区华奥路777号重汽科技中心园区</w:t>
      </w:r>
      <w:r>
        <w:rPr>
          <w:rFonts w:hint="eastAsia" w:hAnsi="宋体" w:cs="宋体"/>
          <w:color w:val="000000"/>
          <w:sz w:val="24"/>
          <w:szCs w:val="24"/>
          <w:lang w:val="en-US" w:eastAsia="zh-CN"/>
        </w:rPr>
        <w:t>行车里程≤200km</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1436"/>
        <w:gridCol w:w="3792"/>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b w:val="0"/>
              </w:rPr>
            </w:pPr>
            <w:r>
              <w:rPr>
                <w:rFonts w:hint="eastAsia"/>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op w:val="single" w:color="auto" w:sz="4" w:space="0"/>
              <w:left w:val="single" w:color="auto" w:sz="4" w:space="0"/>
              <w:bottom w:val="single" w:color="auto" w:sz="4" w:space="0"/>
              <w:right w:val="single" w:color="auto" w:sz="4" w:space="0"/>
            </w:tcBorders>
          </w:tcPr>
          <w:p>
            <w:pPr>
              <w:pStyle w:val="82"/>
              <w:rPr>
                <w:b w:val="0"/>
              </w:rPr>
            </w:pPr>
            <w:r>
              <w:rPr>
                <w:rFonts w:hint="eastAsia"/>
                <w:b w:val="0"/>
              </w:rPr>
              <w:t>项目</w:t>
            </w:r>
          </w:p>
        </w:tc>
        <w:tc>
          <w:tcPr>
            <w:tcW w:w="773" w:type="pct"/>
            <w:tcBorders>
              <w:top w:val="single" w:color="auto" w:sz="4" w:space="0"/>
              <w:left w:val="single" w:color="auto" w:sz="4" w:space="0"/>
              <w:bottom w:val="single" w:color="auto" w:sz="4" w:space="0"/>
              <w:right w:val="single" w:color="auto" w:sz="4" w:space="0"/>
            </w:tcBorders>
          </w:tcPr>
          <w:p>
            <w:pPr>
              <w:pStyle w:val="82"/>
              <w:rPr>
                <w:b w:val="0"/>
              </w:rPr>
            </w:pPr>
            <w:r>
              <w:rPr>
                <w:rFonts w:hint="eastAsia"/>
                <w:b w:val="0"/>
              </w:rPr>
              <w:t>序号</w:t>
            </w:r>
          </w:p>
        </w:tc>
        <w:tc>
          <w:tcPr>
            <w:tcW w:w="2042" w:type="pct"/>
            <w:tcBorders>
              <w:top w:val="single" w:color="auto" w:sz="4" w:space="0"/>
              <w:left w:val="single" w:color="auto" w:sz="4" w:space="0"/>
              <w:bottom w:val="single" w:color="auto" w:sz="4" w:space="0"/>
              <w:right w:val="single" w:color="auto" w:sz="4" w:space="0"/>
            </w:tcBorders>
          </w:tcPr>
          <w:p>
            <w:pPr>
              <w:pStyle w:val="82"/>
              <w:rPr>
                <w:b w:val="0"/>
              </w:rPr>
            </w:pPr>
            <w:r>
              <w:rPr>
                <w:rFonts w:hint="eastAsia"/>
                <w:b w:val="0"/>
              </w:rPr>
              <w:t>节点</w:t>
            </w:r>
          </w:p>
        </w:tc>
        <w:tc>
          <w:tcPr>
            <w:tcW w:w="1409" w:type="pct"/>
            <w:tcBorders>
              <w:top w:val="single" w:color="auto" w:sz="4" w:space="0"/>
              <w:left w:val="single" w:color="auto" w:sz="4" w:space="0"/>
              <w:bottom w:val="single" w:color="auto" w:sz="4" w:space="0"/>
              <w:right w:val="single" w:color="auto" w:sz="4" w:space="0"/>
            </w:tcBorders>
          </w:tcPr>
          <w:p>
            <w:pPr>
              <w:pStyle w:val="82"/>
              <w:rPr>
                <w:b w:val="0"/>
              </w:rPr>
            </w:pPr>
            <w:r>
              <w:rPr>
                <w:rFonts w:hint="eastAsia"/>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73" w:type="pct"/>
            <w:vMerge w:val="restart"/>
            <w:tcBorders>
              <w:top w:val="single" w:color="auto" w:sz="4" w:space="0"/>
              <w:left w:val="single" w:color="auto" w:sz="4" w:space="0"/>
              <w:right w:val="single" w:color="auto" w:sz="4" w:space="0"/>
            </w:tcBorders>
            <w:vAlign w:val="center"/>
          </w:tcPr>
          <w:p>
            <w:pPr>
              <w:pStyle w:val="82"/>
              <w:rPr>
                <w:b w:val="0"/>
              </w:rPr>
            </w:pPr>
            <w:r>
              <w:rPr>
                <w:rFonts w:hint="eastAsia"/>
                <w:b w:val="0"/>
                <w:lang w:eastAsia="zh-CN"/>
              </w:rPr>
              <w:t>商用车耐久试验场地</w:t>
            </w:r>
            <w:r>
              <w:rPr>
                <w:rFonts w:hint="eastAsia"/>
                <w:b w:val="0"/>
                <w:lang w:val="en-US" w:eastAsia="zh-CN"/>
              </w:rPr>
              <w:t>招标项目</w:t>
            </w: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b w:val="0"/>
              </w:rPr>
            </w:pPr>
            <w:r>
              <w:rPr>
                <w:rFonts w:hint="eastAsia"/>
                <w:b w:val="0"/>
              </w:rPr>
              <w:t>1</w:t>
            </w:r>
          </w:p>
        </w:tc>
        <w:tc>
          <w:tcPr>
            <w:tcW w:w="2042" w:type="pct"/>
            <w:tcBorders>
              <w:top w:val="single" w:color="auto" w:sz="4" w:space="0"/>
              <w:left w:val="single" w:color="auto" w:sz="4" w:space="0"/>
              <w:bottom w:val="single" w:color="auto" w:sz="4" w:space="0"/>
              <w:right w:val="single" w:color="auto" w:sz="4" w:space="0"/>
            </w:tcBorders>
            <w:vAlign w:val="bottom"/>
          </w:tcPr>
          <w:p>
            <w:pPr>
              <w:pStyle w:val="82"/>
              <w:rPr>
                <w:rFonts w:hint="eastAsia" w:eastAsiaTheme="minorEastAsia"/>
                <w:b w:val="0"/>
                <w:lang w:val="en-US" w:eastAsia="zh-CN"/>
              </w:rPr>
            </w:pPr>
            <w:r>
              <w:rPr>
                <w:rFonts w:hint="eastAsia"/>
                <w:b w:val="0"/>
              </w:rPr>
              <w:t>合同签订、场地交付使用</w:t>
            </w:r>
            <w:r>
              <w:rPr>
                <w:rFonts w:hint="eastAsia"/>
                <w:b w:val="0"/>
                <w:lang w:val="en-US" w:eastAsia="zh-CN"/>
              </w:rPr>
              <w:t>第一年</w:t>
            </w:r>
          </w:p>
        </w:tc>
        <w:tc>
          <w:tcPr>
            <w:tcW w:w="1409" w:type="pct"/>
            <w:tcBorders>
              <w:top w:val="single" w:color="auto" w:sz="4" w:space="0"/>
              <w:left w:val="single" w:color="auto" w:sz="4" w:space="0"/>
              <w:bottom w:val="single" w:color="auto" w:sz="4" w:space="0"/>
              <w:right w:val="single" w:color="auto" w:sz="4" w:space="0"/>
            </w:tcBorders>
            <w:vAlign w:val="bottom"/>
          </w:tcPr>
          <w:p>
            <w:pPr>
              <w:pStyle w:val="82"/>
              <w:rPr>
                <w:b w:val="0"/>
              </w:rPr>
            </w:pPr>
            <w:r>
              <w:rPr>
                <w:rFonts w:hint="eastAsia"/>
                <w:b w:val="0"/>
                <w:lang w:val="en-US" w:eastAsia="zh-CN"/>
              </w:rPr>
              <w:t>第一年度场地费用的85</w:t>
            </w:r>
            <w:r>
              <w:rPr>
                <w:rFonts w:hint="eastAsia"/>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73" w:type="pct"/>
            <w:vMerge w:val="continue"/>
            <w:tcBorders>
              <w:left w:val="single" w:color="auto" w:sz="4" w:space="0"/>
              <w:right w:val="single" w:color="auto" w:sz="4" w:space="0"/>
            </w:tcBorders>
          </w:tcPr>
          <w:p>
            <w:pPr>
              <w:pStyle w:val="82"/>
              <w:rPr>
                <w:b w:val="0"/>
              </w:rPr>
            </w:pP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b w:val="0"/>
              </w:rPr>
            </w:pPr>
            <w:r>
              <w:rPr>
                <w:b w:val="0"/>
              </w:rPr>
              <w:t>2</w:t>
            </w:r>
          </w:p>
        </w:tc>
        <w:tc>
          <w:tcPr>
            <w:tcW w:w="2042" w:type="pct"/>
            <w:tcBorders>
              <w:top w:val="single" w:color="auto" w:sz="4" w:space="0"/>
              <w:left w:val="single" w:color="auto" w:sz="4" w:space="0"/>
              <w:bottom w:val="single" w:color="auto" w:sz="4" w:space="0"/>
              <w:right w:val="single" w:color="auto" w:sz="4" w:space="0"/>
            </w:tcBorders>
            <w:vAlign w:val="bottom"/>
          </w:tcPr>
          <w:p>
            <w:pPr>
              <w:pStyle w:val="82"/>
              <w:rPr>
                <w:b w:val="0"/>
              </w:rPr>
            </w:pPr>
            <w:r>
              <w:rPr>
                <w:rFonts w:hint="eastAsia"/>
                <w:b w:val="0"/>
                <w:lang w:val="en-US" w:eastAsia="zh-CN"/>
              </w:rPr>
              <w:t>第一年年底付</w:t>
            </w:r>
            <w:r>
              <w:rPr>
                <w:rFonts w:hint="eastAsia"/>
                <w:b w:val="0"/>
              </w:rPr>
              <w:t>合同尾款</w:t>
            </w:r>
          </w:p>
        </w:tc>
        <w:tc>
          <w:tcPr>
            <w:tcW w:w="1409" w:type="pct"/>
            <w:tcBorders>
              <w:top w:val="single" w:color="auto" w:sz="4" w:space="0"/>
              <w:left w:val="single" w:color="auto" w:sz="4" w:space="0"/>
              <w:bottom w:val="single" w:color="auto" w:sz="4" w:space="0"/>
              <w:right w:val="single" w:color="auto" w:sz="4" w:space="0"/>
            </w:tcBorders>
            <w:vAlign w:val="bottom"/>
          </w:tcPr>
          <w:p>
            <w:pPr>
              <w:pStyle w:val="82"/>
              <w:rPr>
                <w:b w:val="0"/>
              </w:rPr>
            </w:pPr>
            <w:r>
              <w:rPr>
                <w:rFonts w:hint="eastAsia"/>
                <w:b w:val="0"/>
                <w:lang w:val="en-US" w:eastAsia="zh-CN"/>
              </w:rPr>
              <w:t>第一年度场地费用的15</w:t>
            </w:r>
            <w:r>
              <w:rPr>
                <w:rFonts w:hint="eastAsia"/>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73" w:type="pct"/>
            <w:vMerge w:val="continue"/>
            <w:tcBorders>
              <w:left w:val="single" w:color="auto" w:sz="4" w:space="0"/>
              <w:right w:val="single" w:color="auto" w:sz="4" w:space="0"/>
            </w:tcBorders>
          </w:tcPr>
          <w:p>
            <w:pPr>
              <w:pStyle w:val="82"/>
              <w:rPr>
                <w:b w:val="0"/>
              </w:rPr>
            </w:pP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rFonts w:hint="eastAsia" w:eastAsiaTheme="minorEastAsia"/>
                <w:b w:val="0"/>
                <w:lang w:val="en-US" w:eastAsia="zh-CN"/>
              </w:rPr>
            </w:pPr>
            <w:r>
              <w:rPr>
                <w:rFonts w:hint="eastAsia"/>
                <w:b w:val="0"/>
                <w:lang w:val="en-US" w:eastAsia="zh-CN"/>
              </w:rPr>
              <w:t>3</w:t>
            </w:r>
          </w:p>
        </w:tc>
        <w:tc>
          <w:tcPr>
            <w:tcW w:w="2042"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default" w:asciiTheme="minorHAnsi" w:hAnsiTheme="minorHAnsi" w:eastAsiaTheme="minorEastAsia" w:cstheme="minorBidi"/>
                <w:b w:val="0"/>
                <w:kern w:val="2"/>
                <w:sz w:val="21"/>
                <w:szCs w:val="22"/>
                <w:lang w:val="en-US" w:eastAsia="zh-CN" w:bidi="ar-SA"/>
              </w:rPr>
            </w:pPr>
            <w:r>
              <w:rPr>
                <w:rFonts w:hint="eastAsia"/>
                <w:b w:val="0"/>
              </w:rPr>
              <w:t>场地交付使用</w:t>
            </w:r>
            <w:r>
              <w:rPr>
                <w:rFonts w:hint="eastAsia"/>
                <w:b w:val="0"/>
                <w:lang w:val="en-US" w:eastAsia="zh-CN"/>
              </w:rPr>
              <w:t>第二年首月</w:t>
            </w:r>
          </w:p>
        </w:tc>
        <w:tc>
          <w:tcPr>
            <w:tcW w:w="1409"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第二年度场地费用的85</w:t>
            </w:r>
            <w:r>
              <w:rPr>
                <w:rFonts w:hint="eastAsia"/>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73" w:type="pct"/>
            <w:vMerge w:val="continue"/>
            <w:tcBorders>
              <w:left w:val="single" w:color="auto" w:sz="4" w:space="0"/>
              <w:right w:val="single" w:color="auto" w:sz="4" w:space="0"/>
            </w:tcBorders>
          </w:tcPr>
          <w:p>
            <w:pPr>
              <w:pStyle w:val="82"/>
              <w:rPr>
                <w:b w:val="0"/>
              </w:rPr>
            </w:pP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rFonts w:hint="eastAsia" w:eastAsiaTheme="minorEastAsia"/>
                <w:b w:val="0"/>
                <w:lang w:val="en-US" w:eastAsia="zh-CN"/>
              </w:rPr>
            </w:pPr>
            <w:r>
              <w:rPr>
                <w:rFonts w:hint="eastAsia"/>
                <w:b w:val="0"/>
                <w:lang w:val="en-US" w:eastAsia="zh-CN"/>
              </w:rPr>
              <w:t>4</w:t>
            </w:r>
          </w:p>
        </w:tc>
        <w:tc>
          <w:tcPr>
            <w:tcW w:w="2042"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第二年年底</w:t>
            </w:r>
            <w:r>
              <w:rPr>
                <w:rFonts w:hint="eastAsia"/>
                <w:b w:val="0"/>
              </w:rPr>
              <w:t>合同尾款</w:t>
            </w:r>
          </w:p>
        </w:tc>
        <w:tc>
          <w:tcPr>
            <w:tcW w:w="1409"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第二年度场地费用的15</w:t>
            </w:r>
            <w:r>
              <w:rPr>
                <w:rFonts w:hint="eastAsia"/>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73" w:type="pct"/>
            <w:vMerge w:val="continue"/>
            <w:tcBorders>
              <w:left w:val="single" w:color="auto" w:sz="4" w:space="0"/>
              <w:right w:val="single" w:color="auto" w:sz="4" w:space="0"/>
            </w:tcBorders>
          </w:tcPr>
          <w:p>
            <w:pPr>
              <w:pStyle w:val="82"/>
              <w:rPr>
                <w:b w:val="0"/>
              </w:rPr>
            </w:pP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rFonts w:hint="eastAsia" w:eastAsiaTheme="minorEastAsia"/>
                <w:b w:val="0"/>
                <w:lang w:val="en-US" w:eastAsia="zh-CN"/>
              </w:rPr>
            </w:pPr>
            <w:r>
              <w:rPr>
                <w:rFonts w:hint="eastAsia"/>
                <w:b w:val="0"/>
                <w:lang w:val="en-US" w:eastAsia="zh-CN"/>
              </w:rPr>
              <w:t>5</w:t>
            </w:r>
          </w:p>
        </w:tc>
        <w:tc>
          <w:tcPr>
            <w:tcW w:w="2042"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rPr>
              <w:t>场地交付使用</w:t>
            </w:r>
            <w:r>
              <w:rPr>
                <w:rFonts w:hint="eastAsia"/>
                <w:b w:val="0"/>
                <w:lang w:val="en-US" w:eastAsia="zh-CN"/>
              </w:rPr>
              <w:t>第三年首月</w:t>
            </w:r>
          </w:p>
        </w:tc>
        <w:tc>
          <w:tcPr>
            <w:tcW w:w="1409"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第三年度场地费用的85</w:t>
            </w:r>
            <w:r>
              <w:rPr>
                <w:rFonts w:hint="eastAsia"/>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73" w:type="pct"/>
            <w:vMerge w:val="continue"/>
            <w:tcBorders>
              <w:left w:val="single" w:color="auto" w:sz="4" w:space="0"/>
              <w:right w:val="single" w:color="auto" w:sz="4" w:space="0"/>
            </w:tcBorders>
          </w:tcPr>
          <w:p>
            <w:pPr>
              <w:pStyle w:val="82"/>
              <w:rPr>
                <w:b w:val="0"/>
              </w:rPr>
            </w:pP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rFonts w:hint="eastAsia" w:eastAsiaTheme="minorEastAsia"/>
                <w:b w:val="0"/>
                <w:lang w:val="en-US" w:eastAsia="zh-CN"/>
              </w:rPr>
            </w:pPr>
            <w:r>
              <w:rPr>
                <w:rFonts w:hint="eastAsia"/>
                <w:b w:val="0"/>
                <w:lang w:val="en-US" w:eastAsia="zh-CN"/>
              </w:rPr>
              <w:t>6</w:t>
            </w:r>
          </w:p>
        </w:tc>
        <w:tc>
          <w:tcPr>
            <w:tcW w:w="2042"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第三年年底</w:t>
            </w:r>
            <w:r>
              <w:rPr>
                <w:rFonts w:hint="eastAsia"/>
                <w:b w:val="0"/>
              </w:rPr>
              <w:t>合同尾款</w:t>
            </w:r>
          </w:p>
        </w:tc>
        <w:tc>
          <w:tcPr>
            <w:tcW w:w="1409"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第三年度场地费用的15</w:t>
            </w:r>
            <w:r>
              <w:rPr>
                <w:rFonts w:hint="eastAsia"/>
                <w:b w:val="0"/>
              </w:rPr>
              <w:t>%</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1000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10</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eastAsia="宋体" w:cs="宋体"/>
          <w:b w:val="0"/>
          <w:bCs/>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21</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三</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23</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23</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庞博</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pangbo</w:t>
      </w:r>
      <w:r>
        <w:rPr>
          <w:rFonts w:hint="eastAsia" w:ascii="宋体" w:hAnsi="宋体" w:eastAsia="宋体" w:cs="宋体"/>
        </w:rPr>
        <w:t xml:space="preserve">@sinotruk.com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w:t>
      </w:r>
      <w:r>
        <w:rPr>
          <w:rFonts w:hint="default" w:hAnsi="宋体" w:cs="宋体"/>
          <w:color w:val="000000"/>
          <w:sz w:val="24"/>
          <w:szCs w:val="24"/>
          <w:highlight w:val="cyan"/>
          <w:woUserID w:val="1"/>
        </w:rPr>
        <w:t>4</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bookmarkStart w:id="23" w:name="_GoBack"/>
      <w:bookmarkEnd w:id="23"/>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212369550"/>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ind w:firstLine="480" w:firstLineChars="200"/>
              <w:jc w:val="left"/>
              <w:rPr>
                <w:rFonts w:hint="eastAsia" w:ascii="宋体" w:hAnsi="宋体" w:eastAsia="宋体" w:cs="宋体"/>
                <w:sz w:val="24"/>
                <w:highlight w:val="yellow"/>
              </w:rPr>
            </w:pPr>
            <w:r>
              <w:rPr>
                <w:rFonts w:hint="eastAsia" w:ascii="仿宋" w:hAnsi="仿宋" w:eastAsia="仿宋" w:cs="仿宋"/>
                <w:color w:val="000000"/>
                <w:sz w:val="24"/>
                <w:szCs w:val="24"/>
              </w:rPr>
              <w:t>场地需</w:t>
            </w:r>
            <w:r>
              <w:rPr>
                <w:rFonts w:hint="eastAsia" w:ascii="仿宋" w:hAnsi="仿宋" w:eastAsia="仿宋" w:cs="仿宋"/>
                <w:color w:val="000000"/>
                <w:sz w:val="24"/>
                <w:szCs w:val="24"/>
                <w:lang w:val="en-US" w:eastAsia="zh-CN"/>
              </w:rPr>
              <w:t>具备</w:t>
            </w:r>
            <w:r>
              <w:rPr>
                <w:rFonts w:hint="eastAsia" w:ascii="仿宋" w:hAnsi="仿宋" w:eastAsia="仿宋" w:cs="仿宋"/>
                <w:color w:val="000000"/>
                <w:sz w:val="24"/>
                <w:szCs w:val="24"/>
              </w:rPr>
              <w:t>相对独立封闭的高速公路系统，单向二车道（不含应急车道），路面为沥青铺装，高速公路等级，且场地中有可供车辆应急掉头使用的路段</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ind w:firstLine="480" w:firstLineChars="200"/>
              <w:jc w:val="left"/>
              <w:rPr>
                <w:rFonts w:hint="eastAsia" w:ascii="宋体" w:hAnsi="宋体" w:eastAsia="宋体" w:cs="宋体"/>
                <w:sz w:val="24"/>
                <w:highlight w:val="yellow"/>
              </w:rPr>
            </w:pPr>
            <w:r>
              <w:rPr>
                <w:rFonts w:hint="eastAsia" w:ascii="仿宋" w:hAnsi="仿宋" w:eastAsia="仿宋" w:cs="仿宋"/>
                <w:color w:val="000000"/>
                <w:sz w:val="24"/>
                <w:szCs w:val="24"/>
              </w:rPr>
              <w:t>路段全线长</w:t>
            </w:r>
            <w:r>
              <w:rPr>
                <w:rFonts w:hint="eastAsia" w:ascii="仿宋" w:hAnsi="仿宋" w:eastAsia="仿宋" w:cs="仿宋"/>
                <w:color w:val="000000"/>
                <w:sz w:val="24"/>
                <w:szCs w:val="24"/>
                <w:lang w:val="en-US" w:eastAsia="zh-CN"/>
              </w:rPr>
              <w:t>需≥</w:t>
            </w:r>
            <w:r>
              <w:rPr>
                <w:rFonts w:hint="eastAsia" w:ascii="仿宋" w:hAnsi="仿宋" w:eastAsia="仿宋" w:cs="仿宋"/>
                <w:color w:val="000000"/>
                <w:sz w:val="24"/>
                <w:szCs w:val="24"/>
              </w:rPr>
              <w:t>2</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km，单向有效行车里程</w:t>
            </w:r>
            <w:r>
              <w:rPr>
                <w:rFonts w:hint="eastAsia" w:ascii="仿宋" w:hAnsi="仿宋" w:eastAsia="仿宋" w:cs="仿宋"/>
                <w:color w:val="000000"/>
                <w:sz w:val="24"/>
                <w:szCs w:val="24"/>
                <w:lang w:val="en-US" w:eastAsia="zh-CN"/>
              </w:rPr>
              <w:t>需≥</w:t>
            </w:r>
            <w:r>
              <w:rPr>
                <w:rFonts w:hint="eastAsia" w:ascii="仿宋" w:hAnsi="仿宋" w:eastAsia="仿宋" w:cs="仿宋"/>
                <w:color w:val="000000"/>
                <w:sz w:val="24"/>
                <w:szCs w:val="24"/>
              </w:rPr>
              <w:t>2</w:t>
            </w:r>
            <w:r>
              <w:rPr>
                <w:rFonts w:hint="eastAsia" w:ascii="仿宋" w:hAnsi="仿宋" w:eastAsia="仿宋" w:cs="仿宋"/>
                <w:color w:val="000000"/>
                <w:sz w:val="24"/>
                <w:szCs w:val="24"/>
                <w:lang w:val="en-US" w:eastAsia="zh-CN"/>
              </w:rPr>
              <w:t>0</w:t>
            </w:r>
            <w:r>
              <w:rPr>
                <w:rFonts w:hint="eastAsia" w:ascii="仿宋" w:hAnsi="仿宋" w:eastAsia="仿宋" w:cs="仿宋"/>
                <w:color w:val="000000"/>
                <w:sz w:val="24"/>
                <w:szCs w:val="24"/>
              </w:rPr>
              <w:t>km，其中</w:t>
            </w:r>
            <w:r>
              <w:rPr>
                <w:rFonts w:hint="eastAsia" w:ascii="仿宋" w:hAnsi="仿宋" w:eastAsia="仿宋" w:cs="仿宋"/>
                <w:color w:val="000000"/>
                <w:sz w:val="24"/>
                <w:szCs w:val="24"/>
                <w:lang w:val="en-US" w:eastAsia="zh-CN"/>
              </w:rPr>
              <w:t>需包含</w:t>
            </w:r>
            <w:r>
              <w:rPr>
                <w:rFonts w:hint="eastAsia" w:ascii="仿宋" w:hAnsi="仿宋" w:eastAsia="仿宋" w:cs="仿宋"/>
                <w:color w:val="000000"/>
                <w:sz w:val="24"/>
                <w:szCs w:val="24"/>
              </w:rPr>
              <w:t>总爬坡里程</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km</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总下坡里程</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9km</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总平路</w:t>
            </w:r>
            <w:r>
              <w:rPr>
                <w:rFonts w:hint="eastAsia" w:ascii="仿宋" w:hAnsi="仿宋" w:eastAsia="仿宋" w:cs="仿宋"/>
                <w:color w:val="000000"/>
                <w:sz w:val="24"/>
                <w:szCs w:val="24"/>
                <w:lang w:val="en-US" w:eastAsia="zh-CN"/>
              </w:rPr>
              <w:t>里程≥</w:t>
            </w:r>
            <w:r>
              <w:rPr>
                <w:rFonts w:hint="eastAsia" w:ascii="仿宋" w:hAnsi="仿宋" w:eastAsia="仿宋" w:cs="仿宋"/>
                <w:color w:val="000000"/>
                <w:sz w:val="24"/>
                <w:szCs w:val="24"/>
              </w:rPr>
              <w:t>5km，路段内</w:t>
            </w:r>
            <w:r>
              <w:rPr>
                <w:rFonts w:hint="eastAsia" w:ascii="仿宋" w:hAnsi="仿宋" w:eastAsia="仿宋" w:cs="仿宋"/>
                <w:color w:val="000000"/>
                <w:sz w:val="24"/>
                <w:szCs w:val="24"/>
                <w:lang w:val="en-US" w:eastAsia="zh-CN"/>
              </w:rPr>
              <w:t>须有</w:t>
            </w:r>
            <w:r>
              <w:rPr>
                <w:rFonts w:hint="eastAsia" w:ascii="仿宋" w:hAnsi="仿宋" w:eastAsia="仿宋" w:cs="仿宋"/>
                <w:color w:val="000000"/>
                <w:sz w:val="24"/>
                <w:szCs w:val="24"/>
              </w:rPr>
              <w:t>隧道</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桥</w:t>
            </w:r>
            <w:r>
              <w:rPr>
                <w:rFonts w:hint="eastAsia" w:ascii="仿宋" w:hAnsi="仿宋" w:eastAsia="仿宋" w:cs="仿宋"/>
                <w:color w:val="000000"/>
                <w:sz w:val="24"/>
                <w:szCs w:val="24"/>
                <w:lang w:val="en-US" w:eastAsia="zh-CN"/>
              </w:rPr>
              <w:t>等场景</w:t>
            </w:r>
            <w:r>
              <w:rPr>
                <w:rFonts w:hint="eastAsia" w:ascii="仿宋" w:hAnsi="仿宋" w:eastAsia="仿宋" w:cs="仿宋"/>
                <w:color w:val="000000"/>
                <w:sz w:val="24"/>
                <w:szCs w:val="24"/>
              </w:rPr>
              <w:t>。路段内</w:t>
            </w:r>
            <w:r>
              <w:rPr>
                <w:rFonts w:hint="eastAsia" w:ascii="仿宋" w:hAnsi="仿宋" w:eastAsia="仿宋" w:cs="仿宋"/>
                <w:color w:val="000000"/>
                <w:sz w:val="24"/>
                <w:szCs w:val="24"/>
                <w:lang w:val="en-US" w:eastAsia="zh-CN"/>
              </w:rPr>
              <w:t>含有</w:t>
            </w:r>
            <w:r>
              <w:rPr>
                <w:rFonts w:hint="eastAsia" w:ascii="仿宋" w:hAnsi="仿宋" w:eastAsia="仿宋" w:cs="仿宋"/>
                <w:color w:val="000000"/>
                <w:sz w:val="24"/>
                <w:szCs w:val="24"/>
              </w:rPr>
              <w:t>纵坡</w:t>
            </w:r>
            <w:r>
              <w:rPr>
                <w:rFonts w:hint="eastAsia" w:ascii="仿宋" w:hAnsi="仿宋" w:eastAsia="仿宋" w:cs="仿宋"/>
                <w:color w:val="000000"/>
                <w:sz w:val="24"/>
                <w:szCs w:val="24"/>
                <w:lang w:val="en-US" w:eastAsia="zh-CN"/>
              </w:rPr>
              <w:t>路段</w:t>
            </w:r>
            <w:r>
              <w:rPr>
                <w:rFonts w:hint="eastAsia" w:ascii="仿宋" w:hAnsi="仿宋" w:eastAsia="仿宋" w:cs="仿宋"/>
                <w:color w:val="000000"/>
                <w:sz w:val="24"/>
                <w:szCs w:val="24"/>
              </w:rPr>
              <w:t>，最大连续坡长</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3km，海拔</w:t>
            </w:r>
            <w:r>
              <w:rPr>
                <w:rFonts w:hint="eastAsia" w:ascii="仿宋" w:hAnsi="仿宋" w:eastAsia="仿宋" w:cs="仿宋"/>
                <w:color w:val="000000"/>
                <w:sz w:val="24"/>
                <w:szCs w:val="24"/>
                <w:lang w:val="en-US" w:eastAsia="zh-CN"/>
              </w:rPr>
              <w:t>最高</w:t>
            </w:r>
            <w:r>
              <w:rPr>
                <w:rFonts w:hint="eastAsia" w:ascii="仿宋" w:hAnsi="仿宋" w:eastAsia="仿宋" w:cs="仿宋"/>
                <w:color w:val="000000"/>
                <w:sz w:val="24"/>
                <w:szCs w:val="24"/>
              </w:rPr>
              <w:t>4</w:t>
            </w:r>
            <w:r>
              <w:rPr>
                <w:rFonts w:hint="eastAsia" w:ascii="仿宋" w:hAnsi="仿宋" w:eastAsia="仿宋" w:cs="仿宋"/>
                <w:color w:val="000000"/>
                <w:sz w:val="24"/>
                <w:szCs w:val="24"/>
                <w:lang w:val="en-US" w:eastAsia="zh-CN"/>
              </w:rPr>
              <w:t>50</w:t>
            </w:r>
            <w:r>
              <w:rPr>
                <w:rFonts w:hint="eastAsia" w:ascii="仿宋" w:hAnsi="仿宋" w:eastAsia="仿宋" w:cs="仿宋"/>
                <w:color w:val="000000"/>
                <w:sz w:val="24"/>
                <w:szCs w:val="24"/>
              </w:rPr>
              <w:t>m，最低</w:t>
            </w:r>
            <w:r>
              <w:rPr>
                <w:rFonts w:hint="eastAsia" w:ascii="仿宋" w:hAnsi="仿宋" w:eastAsia="仿宋" w:cs="仿宋"/>
                <w:color w:val="000000"/>
                <w:sz w:val="24"/>
                <w:szCs w:val="24"/>
                <w:lang w:val="en-US" w:eastAsia="zh-CN"/>
              </w:rPr>
              <w:t>240</w:t>
            </w:r>
            <w:r>
              <w:rPr>
                <w:rFonts w:hint="eastAsia" w:ascii="仿宋" w:hAnsi="仿宋" w:eastAsia="仿宋" w:cs="仿宋"/>
                <w:color w:val="000000"/>
                <w:sz w:val="24"/>
                <w:szCs w:val="24"/>
              </w:rPr>
              <w:t>m</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ind w:firstLine="480" w:firstLineChars="200"/>
              <w:jc w:val="left"/>
              <w:rPr>
                <w:rFonts w:hint="eastAsia" w:ascii="宋体" w:hAnsi="宋体" w:eastAsia="宋体" w:cs="宋体"/>
                <w:sz w:val="24"/>
                <w:highlight w:val="yellow"/>
              </w:rPr>
            </w:pPr>
            <w:r>
              <w:rPr>
                <w:rFonts w:hint="eastAsia" w:ascii="仿宋" w:hAnsi="仿宋" w:eastAsia="仿宋" w:cs="仿宋"/>
                <w:color w:val="000000"/>
                <w:sz w:val="24"/>
                <w:szCs w:val="24"/>
                <w:lang w:val="en-US" w:eastAsia="zh-CN"/>
              </w:rPr>
              <w:t>场地内需配备新能源充电桩，解决我方新能源商用车充电问题。充电桩个数不少于3个，每个充电桩功率不低于360KW，充电电压750V，充电接口符合GB/T 20234.3-2015对充电枪要求。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exact"/>
        </w:trPr>
        <w:tc>
          <w:tcPr>
            <w:tcW w:w="875" w:type="pct"/>
            <w:vAlign w:val="center"/>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ind w:firstLine="480" w:firstLineChars="200"/>
              <w:jc w:val="left"/>
              <w:rPr>
                <w:rFonts w:hint="eastAsia" w:ascii="宋体" w:hAnsi="宋体" w:eastAsia="宋体" w:cs="宋体"/>
                <w:sz w:val="24"/>
                <w:highlight w:val="yellow"/>
              </w:rPr>
            </w:pPr>
            <w:r>
              <w:rPr>
                <w:rFonts w:hint="eastAsia" w:ascii="仿宋" w:hAnsi="仿宋" w:eastAsia="仿宋" w:cs="仿宋"/>
                <w:color w:val="000000"/>
                <w:sz w:val="24"/>
                <w:szCs w:val="24"/>
                <w:lang w:val="en-US" w:eastAsia="zh-CN"/>
              </w:rPr>
              <w:t>场地需提供满足智能驾驶车辆所需的V2X设施设备的能力和条件</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项目名称：商用车耐久试验场地</w:t>
      </w:r>
      <w:r>
        <w:rPr>
          <w:rFonts w:hint="eastAsia" w:eastAsia="宋体" w:cs="宋体"/>
          <w:lang w:val="en-US" w:eastAsia="zh-CN"/>
        </w:rPr>
        <w:t>招标</w:t>
      </w:r>
      <w:r>
        <w:rPr>
          <w:rFonts w:hint="eastAsia" w:ascii="宋体" w:hAnsi="宋体" w:eastAsia="宋体" w:cs="宋体"/>
          <w:lang w:val="en-US" w:eastAsia="zh-CN"/>
        </w:rPr>
        <w:t>项目</w:t>
      </w:r>
    </w:p>
    <w:tbl>
      <w:tblPr>
        <w:tblStyle w:val="32"/>
        <w:tblpPr w:leftFromText="180" w:rightFromText="180" w:vertAnchor="text" w:horzAnchor="page" w:tblpX="1497" w:tblpY="310"/>
        <w:tblOverlap w:val="never"/>
        <w:tblW w:w="48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84"/>
        <w:gridCol w:w="1631"/>
        <w:gridCol w:w="976"/>
        <w:gridCol w:w="1006"/>
        <w:gridCol w:w="1738"/>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trPr>
        <w:tc>
          <w:tcPr>
            <w:tcW w:w="391" w:type="pct"/>
            <w:vAlign w:val="center"/>
          </w:tcPr>
          <w:p>
            <w:pPr>
              <w:pStyle w:val="82"/>
              <w:rPr>
                <w:rFonts w:hint="eastAsia" w:ascii="宋体" w:hAnsi="宋体" w:eastAsia="宋体" w:cs="宋体"/>
              </w:rPr>
            </w:pPr>
            <w:r>
              <w:rPr>
                <w:rFonts w:hint="eastAsia" w:ascii="宋体" w:hAnsi="宋体" w:eastAsia="宋体" w:cs="宋体"/>
              </w:rPr>
              <w:t>序号</w:t>
            </w:r>
          </w:p>
        </w:tc>
        <w:tc>
          <w:tcPr>
            <w:tcW w:w="772" w:type="pct"/>
            <w:vAlign w:val="center"/>
          </w:tcPr>
          <w:p>
            <w:pPr>
              <w:pStyle w:val="82"/>
              <w:rPr>
                <w:rFonts w:hint="eastAsia" w:ascii="宋体" w:hAnsi="宋体" w:eastAsia="宋体" w:cs="宋体"/>
              </w:rPr>
            </w:pPr>
            <w:r>
              <w:rPr>
                <w:rFonts w:hint="eastAsia" w:ascii="宋体" w:hAnsi="宋体" w:eastAsia="宋体" w:cs="宋体"/>
              </w:rPr>
              <w:t>项目名称</w:t>
            </w:r>
          </w:p>
        </w:tc>
        <w:tc>
          <w:tcPr>
            <w:tcW w:w="910"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544"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561"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970"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84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trPr>
        <w:tc>
          <w:tcPr>
            <w:tcW w:w="391" w:type="pct"/>
            <w:vAlign w:val="center"/>
          </w:tcPr>
          <w:p>
            <w:pPr>
              <w:pStyle w:val="82"/>
              <w:rPr>
                <w:rFonts w:hint="eastAsia" w:ascii="宋体" w:hAnsi="宋体" w:eastAsia="宋体" w:cs="宋体"/>
              </w:rPr>
            </w:pPr>
            <w:r>
              <w:rPr>
                <w:rFonts w:hint="eastAsia" w:ascii="宋体" w:hAnsi="宋体" w:eastAsia="宋体" w:cs="宋体"/>
              </w:rPr>
              <w:t>1</w:t>
            </w:r>
          </w:p>
        </w:tc>
        <w:tc>
          <w:tcPr>
            <w:tcW w:w="772" w:type="pct"/>
            <w:vAlign w:val="center"/>
          </w:tcPr>
          <w:p>
            <w:pPr>
              <w:pStyle w:val="82"/>
              <w:rPr>
                <w:rFonts w:hint="eastAsia" w:ascii="宋体" w:hAnsi="宋体" w:cs="宋体" w:eastAsiaTheme="minorEastAsia"/>
                <w:lang w:val="en-US" w:eastAsia="zh-CN"/>
              </w:rPr>
            </w:pPr>
            <w:r>
              <w:rPr>
                <w:rFonts w:hint="eastAsia"/>
                <w:u w:val="single"/>
              </w:rPr>
              <w:t>商用车耐久试验场地</w:t>
            </w:r>
            <w:r>
              <w:rPr>
                <w:rFonts w:hint="eastAsia"/>
                <w:u w:val="single"/>
                <w:lang w:val="en-US" w:eastAsia="zh-CN"/>
              </w:rPr>
              <w:t>项目</w:t>
            </w:r>
          </w:p>
        </w:tc>
        <w:tc>
          <w:tcPr>
            <w:tcW w:w="910" w:type="pct"/>
            <w:vAlign w:val="center"/>
          </w:tcPr>
          <w:p>
            <w:pPr>
              <w:pStyle w:val="82"/>
              <w:rPr>
                <w:rFonts w:hint="eastAsia" w:ascii="宋体" w:hAnsi="宋体" w:eastAsia="宋体" w:cs="宋体"/>
              </w:rPr>
            </w:pPr>
          </w:p>
        </w:tc>
        <w:tc>
          <w:tcPr>
            <w:tcW w:w="544" w:type="pct"/>
            <w:vAlign w:val="center"/>
          </w:tcPr>
          <w:p>
            <w:pPr>
              <w:pStyle w:val="82"/>
              <w:rPr>
                <w:rFonts w:hint="eastAsia" w:ascii="宋体" w:hAnsi="宋体" w:eastAsia="宋体" w:cs="宋体"/>
              </w:rPr>
            </w:pPr>
          </w:p>
        </w:tc>
        <w:tc>
          <w:tcPr>
            <w:tcW w:w="561" w:type="pct"/>
            <w:vAlign w:val="center"/>
          </w:tcPr>
          <w:p>
            <w:pPr>
              <w:pStyle w:val="82"/>
              <w:rPr>
                <w:rFonts w:hint="eastAsia" w:ascii="宋体" w:hAnsi="宋体" w:eastAsia="宋体" w:cs="宋体"/>
              </w:rPr>
            </w:pPr>
          </w:p>
        </w:tc>
        <w:tc>
          <w:tcPr>
            <w:tcW w:w="970" w:type="pct"/>
            <w:vAlign w:val="center"/>
          </w:tcPr>
          <w:p>
            <w:pPr>
              <w:pStyle w:val="82"/>
              <w:rPr>
                <w:rFonts w:hint="eastAsia" w:ascii="宋体" w:hAnsi="宋体" w:eastAsia="宋体" w:cs="宋体"/>
              </w:rPr>
            </w:pPr>
          </w:p>
        </w:tc>
        <w:tc>
          <w:tcPr>
            <w:tcW w:w="849" w:type="pct"/>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lang w:val="en-US" w:eastAsia="zh-CN"/>
        </w:rPr>
      </w:pPr>
      <w:r>
        <w:rPr>
          <w:rFonts w:hint="eastAsia" w:ascii="宋体" w:hAnsi="宋体" w:cs="宋体"/>
          <w:b/>
          <w:bCs/>
          <w:szCs w:val="21"/>
          <w:lang w:val="en-US" w:eastAsia="zh-CN"/>
        </w:rPr>
        <w:t>4、本项目报价上限为3638.470000万元（含税）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项目名称：商用车耐久试验场地</w:t>
      </w:r>
      <w:r>
        <w:rPr>
          <w:rFonts w:hint="eastAsia" w:eastAsia="宋体" w:cs="宋体"/>
          <w:lang w:val="en-US" w:eastAsia="zh-CN"/>
        </w:rPr>
        <w:t>招标</w:t>
      </w:r>
      <w:r>
        <w:rPr>
          <w:rFonts w:hint="eastAsia" w:ascii="宋体" w:hAnsi="宋体" w:eastAsia="宋体" w:cs="宋体"/>
          <w:lang w:val="en-US" w:eastAsia="zh-CN"/>
        </w:rPr>
        <w:t>项目</w:t>
      </w:r>
    </w:p>
    <w:tbl>
      <w:tblPr>
        <w:tblStyle w:val="32"/>
        <w:tblW w:w="9136" w:type="dxa"/>
        <w:tblInd w:w="0" w:type="dxa"/>
        <w:tblLayout w:type="fixed"/>
        <w:tblCellMar>
          <w:top w:w="0" w:type="dxa"/>
          <w:left w:w="108" w:type="dxa"/>
          <w:bottom w:w="0" w:type="dxa"/>
          <w:right w:w="108" w:type="dxa"/>
        </w:tblCellMar>
      </w:tblPr>
      <w:tblGrid>
        <w:gridCol w:w="687"/>
        <w:gridCol w:w="1824"/>
        <w:gridCol w:w="2088"/>
        <w:gridCol w:w="1584"/>
        <w:gridCol w:w="1128"/>
        <w:gridCol w:w="1151"/>
        <w:gridCol w:w="674"/>
      </w:tblGrid>
      <w:tr>
        <w:tblPrEx>
          <w:tblCellMar>
            <w:top w:w="0" w:type="dxa"/>
            <w:left w:w="108" w:type="dxa"/>
            <w:bottom w:w="0" w:type="dxa"/>
            <w:right w:w="108" w:type="dxa"/>
          </w:tblCellMar>
        </w:tblPrEx>
        <w:trPr>
          <w:trHeight w:val="656"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2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服务</w:t>
            </w:r>
            <w:r>
              <w:rPr>
                <w:rFonts w:hint="eastAsia" w:ascii="宋体" w:hAnsi="宋体" w:eastAsia="宋体" w:cs="宋体"/>
                <w:kern w:val="0"/>
                <w:sz w:val="18"/>
                <w:szCs w:val="18"/>
              </w:rPr>
              <w:t>日期</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服务地点</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cs="宋体"/>
                <w:kern w:val="0"/>
                <w:sz w:val="18"/>
                <w:szCs w:val="18"/>
                <w:lang w:val="en-US" w:eastAsia="zh-CN"/>
              </w:rPr>
              <w:t>/年</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31"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第一年度场地费用</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2026.1.1-2026.12.31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rPr>
          <w:trHeight w:val="431"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第二年度场地费用</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2027.1.1-2027.12.31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rPr>
          <w:trHeight w:val="431"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第三年度场地费用</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2028.1.1-2028.12.31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254"/>
        <w:gridCol w:w="3381"/>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6"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8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6"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821" w:type="pct"/>
            <w:tcBorders>
              <w:top w:val="single" w:color="auto" w:sz="4" w:space="0"/>
              <w:left w:val="single" w:color="auto" w:sz="4" w:space="0"/>
              <w:bottom w:val="single" w:color="auto" w:sz="4" w:space="0"/>
              <w:right w:val="single" w:color="auto" w:sz="4" w:space="0"/>
            </w:tcBorders>
            <w:shd w:val="clear" w:color="auto" w:fill="auto"/>
          </w:tcPr>
          <w:p>
            <w:pPr>
              <w:pStyle w:val="82"/>
              <w:rPr>
                <w:rFonts w:hint="eastAsia"/>
              </w:rPr>
            </w:pPr>
            <w:r>
              <w:rPr>
                <w:rFonts w:hint="eastAsia" w:ascii="宋体" w:hAnsi="宋体" w:eastAsia="宋体" w:cs="宋体"/>
                <w:highlight w:val="none"/>
                <w:u w:val="single"/>
              </w:rPr>
              <w:t>半年期商业汇票（包括银行承兑汇票和商业承兑汇票</w:t>
            </w:r>
            <w:r>
              <w:rPr>
                <w:rFonts w:hint="eastAsia" w:ascii="宋体" w:hAnsi="宋体" w:eastAsia="宋体" w:cs="宋体"/>
                <w:highlight w:val="none"/>
                <w:u w:val="single"/>
                <w:lang w:eastAsia="zh-CN"/>
              </w:rPr>
              <w:t>）：</w:t>
            </w:r>
            <w:r>
              <w:rPr>
                <w:rFonts w:hint="eastAsia" w:ascii="宋体" w:hAnsi="宋体" w:eastAsia="宋体" w:cs="宋体"/>
                <w:b w:val="0"/>
                <w:highlight w:val="none"/>
              </w:rPr>
              <w:t>合同签订、场地交付使用</w:t>
            </w:r>
            <w:r>
              <w:rPr>
                <w:rFonts w:hint="eastAsia" w:ascii="宋体" w:hAnsi="宋体" w:eastAsia="宋体" w:cs="宋体"/>
                <w:b w:val="0"/>
                <w:highlight w:val="none"/>
                <w:lang w:val="en-US" w:eastAsia="zh-CN"/>
              </w:rPr>
              <w:t>支付第一年度场地费的85%，第一年年底付剩余15%；</w:t>
            </w:r>
            <w:r>
              <w:rPr>
                <w:rFonts w:hint="eastAsia" w:ascii="宋体" w:hAnsi="宋体" w:eastAsia="宋体" w:cs="宋体"/>
                <w:b w:val="0"/>
                <w:highlight w:val="none"/>
              </w:rPr>
              <w:t>场地交付使用</w:t>
            </w:r>
            <w:r>
              <w:rPr>
                <w:rFonts w:hint="eastAsia" w:ascii="宋体" w:hAnsi="宋体" w:eastAsia="宋体" w:cs="宋体"/>
                <w:b w:val="0"/>
                <w:highlight w:val="none"/>
                <w:lang w:val="en-US" w:eastAsia="zh-CN"/>
              </w:rPr>
              <w:t>第二年首月支付第二年度场地费的85%，第二年年底付剩余15%；</w:t>
            </w:r>
            <w:r>
              <w:rPr>
                <w:rFonts w:hint="eastAsia" w:ascii="宋体" w:hAnsi="宋体" w:eastAsia="宋体" w:cs="宋体"/>
                <w:b w:val="0"/>
                <w:highlight w:val="none"/>
              </w:rPr>
              <w:t>场地交付使用</w:t>
            </w:r>
            <w:r>
              <w:rPr>
                <w:rFonts w:hint="eastAsia" w:ascii="宋体" w:hAnsi="宋体" w:eastAsia="宋体" w:cs="宋体"/>
                <w:b w:val="0"/>
                <w:highlight w:val="none"/>
                <w:lang w:val="en-US" w:eastAsia="zh-CN"/>
              </w:rPr>
              <w:t>第二年首月支付第二年度场地费的85%，第三年年底付剩余15%。</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676"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821" w:type="pct"/>
            <w:tcBorders>
              <w:top w:val="single" w:color="auto" w:sz="4" w:space="0"/>
              <w:left w:val="single" w:color="auto" w:sz="4" w:space="0"/>
              <w:bottom w:val="single" w:color="auto" w:sz="4" w:space="0"/>
              <w:right w:val="single" w:color="auto" w:sz="4" w:space="0"/>
            </w:tcBorders>
            <w:vAlign w:val="center"/>
          </w:tcPr>
          <w:p>
            <w:pPr>
              <w:spacing w:line="420" w:lineRule="exact"/>
              <w:ind w:firstLine="420" w:firstLineChars="200"/>
              <w:rPr>
                <w:rFonts w:hint="eastAsia" w:ascii="宋体" w:hAnsi="宋体" w:eastAsia="宋体" w:cs="宋体"/>
                <w:color w:val="000000"/>
              </w:rPr>
            </w:pPr>
            <w:r>
              <w:rPr>
                <w:rFonts w:hint="eastAsia" w:ascii="宋体" w:hAnsi="宋体" w:eastAsia="宋体" w:cs="宋体"/>
                <w:color w:val="000000"/>
                <w:szCs w:val="21"/>
              </w:rPr>
              <w:t>1、该场地内或周边需提供方便车辆维修的服务站，服务站应提供如下服务（包括但不限于）：车辆总成及重要零部件及的更换、维修、保养工作以及车辆的吊装、载荷的装卸等。</w:t>
            </w:r>
          </w:p>
          <w:p>
            <w:pPr>
              <w:spacing w:line="420" w:lineRule="exact"/>
              <w:ind w:firstLine="420" w:firstLineChars="200"/>
              <w:rPr>
                <w:rFonts w:hint="eastAsia" w:ascii="宋体" w:hAnsi="宋体" w:eastAsia="宋体" w:cs="宋体"/>
                <w:color w:val="000000"/>
              </w:rPr>
            </w:pPr>
            <w:r>
              <w:rPr>
                <w:rFonts w:hint="eastAsia" w:ascii="宋体" w:hAnsi="宋体" w:eastAsia="宋体" w:cs="宋体"/>
                <w:color w:val="000000"/>
                <w:szCs w:val="21"/>
              </w:rPr>
              <w:t>2</w:t>
            </w:r>
            <w:r>
              <w:rPr>
                <w:rFonts w:hint="eastAsia" w:ascii="宋体" w:hAnsi="宋体" w:eastAsia="宋体" w:cs="宋体"/>
                <w:color w:val="000000"/>
              </w:rPr>
              <w:t xml:space="preserve">、场地内或周边应配有加油、加气站点，为试验车辆的加油、加气提供保证。 </w:t>
            </w:r>
          </w:p>
          <w:p>
            <w:pPr>
              <w:spacing w:line="420" w:lineRule="exact"/>
              <w:ind w:firstLine="420" w:firstLineChars="200"/>
              <w:rPr>
                <w:rFonts w:hint="eastAsia" w:ascii="宋体" w:hAnsi="宋体" w:eastAsia="宋体" w:cs="宋体"/>
                <w:color w:val="000000"/>
              </w:rPr>
            </w:pPr>
            <w:r>
              <w:rPr>
                <w:rFonts w:hint="eastAsia" w:ascii="宋体" w:hAnsi="宋体" w:eastAsia="宋体" w:cs="宋体"/>
                <w:color w:val="000000"/>
              </w:rPr>
              <w:t>3、场地停车区域应安排专人看管，加装视频监控系统，保证试验车辆和备件物资安全。</w:t>
            </w:r>
          </w:p>
          <w:p>
            <w:pPr>
              <w:spacing w:line="420" w:lineRule="exact"/>
              <w:ind w:firstLine="420" w:firstLineChars="200"/>
              <w:rPr>
                <w:rFonts w:hint="eastAsia" w:ascii="宋体" w:hAnsi="宋体" w:eastAsia="宋体" w:cs="宋体"/>
                <w:szCs w:val="21"/>
              </w:rPr>
            </w:pPr>
            <w:r>
              <w:rPr>
                <w:rFonts w:hint="eastAsia" w:ascii="宋体" w:hAnsi="宋体" w:eastAsia="宋体" w:cs="宋体"/>
                <w:color w:val="000000"/>
                <w:szCs w:val="21"/>
              </w:rPr>
              <w:t>4、场地管理单位应能保证场地的完好性，在不耽误正常试验进行的情况下进行场地的维修及维护工作。如遇雨雪天气，应做到及时清理路面，保证路面的干燥平整，为车辆的安全驾驶提供保障。</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353881023"/>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highlight w:val="none"/>
              </w:rPr>
            </w:pPr>
            <w:r>
              <w:rPr>
                <w:rFonts w:hint="eastAsia" w:ascii="宋体" w:hAnsi="宋体" w:eastAsia="宋体" w:cs="宋体"/>
                <w:color w:val="000000"/>
                <w:szCs w:val="21"/>
                <w:highlight w:val="none"/>
              </w:rPr>
              <w:t>产品技术</w:t>
            </w:r>
          </w:p>
        </w:tc>
        <w:tc>
          <w:tcPr>
            <w:tcW w:w="875" w:type="dxa"/>
            <w:vAlign w:val="center"/>
          </w:tcPr>
          <w:p>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cs="宋体"/>
                <w:szCs w:val="21"/>
                <w:highlight w:val="none"/>
                <w:lang w:val="en-US" w:eastAsia="zh-CN"/>
              </w:rPr>
              <w:t>4</w:t>
            </w:r>
            <w:r>
              <w:rPr>
                <w:rFonts w:hint="eastAsia" w:ascii="宋体" w:hAnsi="宋体" w:eastAsia="宋体" w:cs="宋体"/>
                <w:szCs w:val="21"/>
                <w:highlight w:val="none"/>
              </w:rPr>
              <w:t>0</w:t>
            </w:r>
          </w:p>
        </w:tc>
        <w:tc>
          <w:tcPr>
            <w:tcW w:w="5604" w:type="dxa"/>
            <w:vAlign w:val="center"/>
          </w:tcPr>
          <w:p>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 xml:space="preserve">以下各项由评标委员会成员独立进行客观、公正的评价打分。 </w:t>
            </w:r>
          </w:p>
          <w:p>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（1）投标文件中技术参数满足招标要求，关键技术资料完整，打分0-</w:t>
            </w:r>
            <w:r>
              <w:rPr>
                <w:rFonts w:hint="eastAsia" w:ascii="宋体" w:hAnsi="宋体" w:cs="宋体"/>
                <w:szCs w:val="21"/>
                <w:highlight w:val="none"/>
                <w:lang w:val="en-US" w:eastAsia="zh-CN"/>
              </w:rPr>
              <w:t>20</w:t>
            </w:r>
            <w:r>
              <w:rPr>
                <w:rFonts w:hint="eastAsia" w:ascii="宋体" w:hAnsi="宋体" w:eastAsia="宋体" w:cs="宋体"/>
                <w:szCs w:val="21"/>
                <w:highlight w:val="none"/>
              </w:rPr>
              <w:t>分。</w:t>
            </w:r>
          </w:p>
          <w:p>
            <w:pPr>
              <w:spacing w:line="360" w:lineRule="auto"/>
              <w:rPr>
                <w:rFonts w:hint="eastAsia" w:ascii="宋体" w:hAnsi="宋体" w:cs="宋体"/>
                <w:szCs w:val="21"/>
                <w:highlight w:val="none"/>
                <w:lang w:val="en-US" w:eastAsia="zh-CN"/>
              </w:rPr>
            </w:pPr>
            <w:r>
              <w:rPr>
                <w:rFonts w:hint="eastAsia" w:ascii="宋体" w:hAnsi="宋体" w:eastAsia="宋体" w:cs="宋体"/>
                <w:szCs w:val="21"/>
                <w:highlight w:val="none"/>
              </w:rPr>
              <w:t>（2</w:t>
            </w:r>
            <w:r>
              <w:rPr>
                <w:rFonts w:hint="eastAsia" w:ascii="宋体" w:hAnsi="宋体" w:cs="宋体"/>
                <w:szCs w:val="21"/>
                <w:highlight w:val="none"/>
                <w:lang w:eastAsia="zh-CN"/>
              </w:rPr>
              <w:t>）</w:t>
            </w:r>
            <w:r>
              <w:rPr>
                <w:rFonts w:hint="eastAsia" w:ascii="宋体" w:hAnsi="宋体" w:cs="宋体"/>
                <w:szCs w:val="21"/>
                <w:highlight w:val="none"/>
                <w:lang w:val="en-US" w:eastAsia="zh-CN"/>
              </w:rPr>
              <w:t>试验场环境较为封闭，降低试验车上路风险，打分0-10分。</w:t>
            </w:r>
          </w:p>
          <w:p>
            <w:pPr>
              <w:pStyle w:val="2"/>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（3）试验场设施完善先进，具备智能网联和新能源测试拓展条件0-10分。</w:t>
            </w:r>
          </w:p>
          <w:p>
            <w:pPr>
              <w:spacing w:line="360" w:lineRule="auto"/>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服务/资质</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1.有完整的服务体系（</w:t>
            </w:r>
            <w:r>
              <w:rPr>
                <w:rFonts w:hint="eastAsia" w:ascii="宋体" w:hAnsi="宋体" w:cs="宋体"/>
                <w:bCs/>
                <w:szCs w:val="21"/>
                <w:lang w:val="en-US" w:eastAsia="zh-CN"/>
              </w:rPr>
              <w:t>12</w:t>
            </w:r>
            <w:r>
              <w:rPr>
                <w:rFonts w:hint="eastAsia" w:ascii="宋体" w:hAnsi="宋体" w:eastAsia="宋体" w:cs="宋体"/>
                <w:bCs/>
                <w:szCs w:val="21"/>
              </w:rPr>
              <w:t>分）</w:t>
            </w:r>
          </w:p>
          <w:p>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8</w:t>
            </w:r>
            <w:r>
              <w:rPr>
                <w:rFonts w:hint="eastAsia" w:ascii="宋体" w:hAnsi="宋体" w:eastAsia="宋体" w:cs="宋体"/>
                <w:bCs/>
                <w:szCs w:val="21"/>
              </w:rPr>
              <w:t>分）</w:t>
            </w:r>
          </w:p>
          <w:p/>
          <w:p>
            <w:pPr>
              <w:spacing w:line="360" w:lineRule="auto"/>
              <w:rPr>
                <w:rFonts w:hint="eastAsia"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4</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2</w:t>
            </w:r>
            <w:r>
              <w:rPr>
                <w:rFonts w:hint="eastAsia" w:ascii="宋体" w:hAnsi="宋体" w:eastAsia="宋体" w:cs="宋体"/>
                <w:bCs/>
                <w:szCs w:val="21"/>
              </w:rPr>
              <w:t>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w:t>
            </w:r>
            <w:r>
              <w:rPr>
                <w:rFonts w:hint="eastAsia" w:ascii="宋体" w:hAnsi="宋体" w:cs="宋体"/>
                <w:bCs/>
                <w:szCs w:val="21"/>
                <w:lang w:val="en-US" w:eastAsia="zh-CN"/>
              </w:rPr>
              <w:t>服务场地</w:t>
            </w:r>
            <w:r>
              <w:rPr>
                <w:rFonts w:hint="eastAsia" w:ascii="宋体" w:hAnsi="宋体" w:eastAsia="宋体" w:cs="宋体"/>
                <w:bCs/>
                <w:szCs w:val="21"/>
              </w:rPr>
              <w:t>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4</w:t>
            </w:r>
            <w:r>
              <w:rPr>
                <w:rFonts w:hint="eastAsia" w:ascii="宋体" w:hAnsi="宋体" w:eastAsia="宋体" w:cs="宋体"/>
                <w:bCs/>
                <w:szCs w:val="21"/>
              </w:rPr>
              <w:t>分，一般偏离每一项扣</w:t>
            </w:r>
            <w:r>
              <w:rPr>
                <w:rFonts w:hint="eastAsia" w:ascii="宋体" w:hAnsi="宋体" w:cs="宋体"/>
                <w:bCs/>
                <w:szCs w:val="21"/>
                <w:lang w:val="en-US" w:eastAsia="zh-CN"/>
              </w:rPr>
              <w:t>2</w:t>
            </w:r>
            <w:r>
              <w:rPr>
                <w:rFonts w:hint="eastAsia" w:ascii="宋体" w:hAnsi="宋体" w:eastAsia="宋体" w:cs="宋体"/>
                <w:bCs/>
                <w:szCs w:val="21"/>
              </w:rPr>
              <w:t>分，最低0分。</w:t>
            </w:r>
          </w:p>
        </w:tc>
      </w:tr>
    </w:tbl>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p>
      <w:pPr>
        <w:pStyle w:val="80"/>
        <w:rPr>
          <w:rFonts w:hint="eastAsia" w:ascii="宋体" w:hAnsi="宋体" w:eastAsia="宋体" w:cs="宋体"/>
          <w:sz w:val="24"/>
          <w:szCs w:val="24"/>
        </w:rPr>
      </w:pPr>
      <w:r>
        <w:rPr>
          <w:rFonts w:hint="eastAsia" w:ascii="宋体" w:hAnsi="宋体" w:eastAsia="宋体" w:cs="宋体"/>
          <w:sz w:val="24"/>
          <w:szCs w:val="24"/>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项目名称：商用车耐久试验场地</w:t>
      </w:r>
      <w:r>
        <w:rPr>
          <w:rFonts w:hint="eastAsia" w:ascii="宋体" w:hAnsi="宋体" w:eastAsia="宋体" w:cs="宋体"/>
          <w:color w:val="000000"/>
          <w:sz w:val="24"/>
          <w:szCs w:val="24"/>
          <w:lang w:val="en-US" w:eastAsia="zh-CN"/>
        </w:rPr>
        <w:t>招标项目</w:t>
      </w:r>
    </w:p>
    <w:p>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highlight w:val="none"/>
          <w:lang w:val="en-US" w:eastAsia="zh-CN"/>
        </w:rPr>
        <w:t>距离</w:t>
      </w:r>
      <w:r>
        <w:rPr>
          <w:rFonts w:hint="eastAsia" w:ascii="宋体" w:hAnsi="宋体" w:eastAsia="宋体" w:cs="宋体"/>
          <w:color w:val="000000"/>
          <w:sz w:val="24"/>
          <w:szCs w:val="24"/>
          <w:highlight w:val="none"/>
        </w:rPr>
        <w:t>济南市高新区华奥路777号</w:t>
      </w:r>
      <w:r>
        <w:rPr>
          <w:rFonts w:hint="eastAsia" w:ascii="宋体" w:hAnsi="宋体" w:eastAsia="宋体" w:cs="宋体"/>
          <w:color w:val="000000"/>
          <w:sz w:val="24"/>
          <w:szCs w:val="24"/>
          <w:highlight w:val="none"/>
          <w:lang w:val="en-US" w:eastAsia="zh-CN"/>
        </w:rPr>
        <w:t>行车距离≤200km符合要求的试验场地</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一、场地要求：</w:t>
      </w:r>
      <w:r>
        <w:rPr>
          <w:rFonts w:hint="eastAsia" w:ascii="宋体" w:hAnsi="宋体" w:eastAsia="宋体" w:cs="宋体"/>
          <w:color w:val="000000"/>
          <w:sz w:val="24"/>
          <w:szCs w:val="24"/>
        </w:rPr>
        <w:t xml:space="preserve"> </w:t>
      </w:r>
    </w:p>
    <w:p>
      <w:pPr>
        <w:spacing w:line="420" w:lineRule="exact"/>
        <w:ind w:firstLine="484" w:firstLineChars="202"/>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场地需</w:t>
      </w:r>
      <w:r>
        <w:rPr>
          <w:rFonts w:hint="eastAsia" w:ascii="宋体" w:hAnsi="宋体" w:eastAsia="宋体" w:cs="宋体"/>
          <w:color w:val="000000"/>
          <w:sz w:val="24"/>
          <w:szCs w:val="24"/>
          <w:lang w:val="en-US" w:eastAsia="zh-CN"/>
        </w:rPr>
        <w:t>具备</w:t>
      </w:r>
      <w:r>
        <w:rPr>
          <w:rFonts w:hint="eastAsia" w:ascii="宋体" w:hAnsi="宋体" w:eastAsia="宋体" w:cs="宋体"/>
          <w:color w:val="000000"/>
          <w:sz w:val="24"/>
          <w:szCs w:val="24"/>
        </w:rPr>
        <w:t>相对独立封闭的高速公路系统，单向二车道（不含应急车道），路面为沥青铺装，高速公路等级，且场地中有可供车辆应急掉头使用的路段。</w:t>
      </w:r>
    </w:p>
    <w:p>
      <w:pPr>
        <w:spacing w:line="420" w:lineRule="exact"/>
        <w:ind w:firstLine="484" w:firstLineChars="202"/>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路段全线长</w:t>
      </w:r>
      <w:r>
        <w:rPr>
          <w:rFonts w:hint="eastAsia" w:ascii="宋体" w:hAnsi="宋体" w:eastAsia="宋体" w:cs="宋体"/>
          <w:color w:val="000000"/>
          <w:sz w:val="24"/>
          <w:szCs w:val="24"/>
          <w:lang w:val="en-US" w:eastAsia="zh-CN"/>
        </w:rPr>
        <w:t>需≥</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km，单向有效行车里程</w:t>
      </w:r>
      <w:r>
        <w:rPr>
          <w:rFonts w:hint="eastAsia" w:ascii="宋体" w:hAnsi="宋体" w:eastAsia="宋体" w:cs="宋体"/>
          <w:color w:val="000000"/>
          <w:sz w:val="24"/>
          <w:szCs w:val="24"/>
          <w:lang w:val="en-US" w:eastAsia="zh-CN"/>
        </w:rPr>
        <w:t>需≥</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km，其中</w:t>
      </w:r>
      <w:r>
        <w:rPr>
          <w:rFonts w:hint="eastAsia" w:ascii="宋体" w:hAnsi="宋体" w:eastAsia="宋体" w:cs="宋体"/>
          <w:color w:val="000000"/>
          <w:sz w:val="24"/>
          <w:szCs w:val="24"/>
          <w:lang w:val="en-US" w:eastAsia="zh-CN"/>
        </w:rPr>
        <w:t>需包含</w:t>
      </w:r>
      <w:r>
        <w:rPr>
          <w:rFonts w:hint="eastAsia" w:ascii="宋体" w:hAnsi="宋体" w:eastAsia="宋体" w:cs="宋体"/>
          <w:color w:val="000000"/>
          <w:sz w:val="24"/>
          <w:szCs w:val="24"/>
        </w:rPr>
        <w:t>总爬坡里程</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km</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总下坡里程</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9km</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总平路</w:t>
      </w:r>
      <w:r>
        <w:rPr>
          <w:rFonts w:hint="eastAsia" w:ascii="宋体" w:hAnsi="宋体" w:eastAsia="宋体" w:cs="宋体"/>
          <w:color w:val="000000"/>
          <w:sz w:val="24"/>
          <w:szCs w:val="24"/>
          <w:lang w:val="en-US" w:eastAsia="zh-CN"/>
        </w:rPr>
        <w:t>里程≥</w:t>
      </w:r>
      <w:r>
        <w:rPr>
          <w:rFonts w:hint="eastAsia" w:ascii="宋体" w:hAnsi="宋体" w:eastAsia="宋体" w:cs="宋体"/>
          <w:color w:val="000000"/>
          <w:sz w:val="24"/>
          <w:szCs w:val="24"/>
        </w:rPr>
        <w:t>5km，路段内</w:t>
      </w:r>
      <w:r>
        <w:rPr>
          <w:rFonts w:hint="eastAsia" w:ascii="宋体" w:hAnsi="宋体" w:eastAsia="宋体" w:cs="宋体"/>
          <w:color w:val="000000"/>
          <w:sz w:val="24"/>
          <w:szCs w:val="24"/>
          <w:lang w:val="en-US" w:eastAsia="zh-CN"/>
        </w:rPr>
        <w:t>须有</w:t>
      </w:r>
      <w:r>
        <w:rPr>
          <w:rFonts w:hint="eastAsia" w:ascii="宋体" w:hAnsi="宋体" w:eastAsia="宋体" w:cs="宋体"/>
          <w:color w:val="000000"/>
          <w:sz w:val="24"/>
          <w:szCs w:val="24"/>
        </w:rPr>
        <w:t>隧道</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桥</w:t>
      </w:r>
      <w:r>
        <w:rPr>
          <w:rFonts w:hint="eastAsia" w:ascii="宋体" w:hAnsi="宋体" w:eastAsia="宋体" w:cs="宋体"/>
          <w:color w:val="000000"/>
          <w:sz w:val="24"/>
          <w:szCs w:val="24"/>
          <w:lang w:val="en-US" w:eastAsia="zh-CN"/>
        </w:rPr>
        <w:t>等场景</w:t>
      </w:r>
      <w:r>
        <w:rPr>
          <w:rFonts w:hint="eastAsia" w:ascii="宋体" w:hAnsi="宋体" w:eastAsia="宋体" w:cs="宋体"/>
          <w:color w:val="000000"/>
          <w:sz w:val="24"/>
          <w:szCs w:val="24"/>
        </w:rPr>
        <w:t>。路段内</w:t>
      </w:r>
      <w:r>
        <w:rPr>
          <w:rFonts w:hint="eastAsia" w:ascii="宋体" w:hAnsi="宋体" w:eastAsia="宋体" w:cs="宋体"/>
          <w:color w:val="000000"/>
          <w:sz w:val="24"/>
          <w:szCs w:val="24"/>
          <w:lang w:val="en-US" w:eastAsia="zh-CN"/>
        </w:rPr>
        <w:t>含有</w:t>
      </w:r>
      <w:r>
        <w:rPr>
          <w:rFonts w:hint="eastAsia" w:ascii="宋体" w:hAnsi="宋体" w:eastAsia="宋体" w:cs="宋体"/>
          <w:color w:val="000000"/>
          <w:sz w:val="24"/>
          <w:szCs w:val="24"/>
        </w:rPr>
        <w:t>纵坡</w:t>
      </w:r>
      <w:r>
        <w:rPr>
          <w:rFonts w:hint="eastAsia" w:ascii="宋体" w:hAnsi="宋体" w:eastAsia="宋体" w:cs="宋体"/>
          <w:color w:val="000000"/>
          <w:sz w:val="24"/>
          <w:szCs w:val="24"/>
          <w:lang w:val="en-US" w:eastAsia="zh-CN"/>
        </w:rPr>
        <w:t>路段</w:t>
      </w:r>
      <w:r>
        <w:rPr>
          <w:rFonts w:hint="eastAsia" w:ascii="宋体" w:hAnsi="宋体" w:eastAsia="宋体" w:cs="宋体"/>
          <w:color w:val="000000"/>
          <w:sz w:val="24"/>
          <w:szCs w:val="24"/>
        </w:rPr>
        <w:t>，最大连续坡长</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3km，海拔</w:t>
      </w:r>
      <w:r>
        <w:rPr>
          <w:rFonts w:hint="eastAsia" w:ascii="宋体" w:hAnsi="宋体" w:eastAsia="宋体" w:cs="宋体"/>
          <w:color w:val="000000"/>
          <w:sz w:val="24"/>
          <w:szCs w:val="24"/>
          <w:lang w:val="en-US" w:eastAsia="zh-CN"/>
        </w:rPr>
        <w:t>最高</w:t>
      </w:r>
      <w:r>
        <w:rPr>
          <w:rFonts w:hint="eastAsia" w:ascii="宋体" w:hAnsi="宋体" w:eastAsia="宋体" w:cs="宋体"/>
          <w:color w:val="000000"/>
          <w:sz w:val="24"/>
          <w:szCs w:val="24"/>
        </w:rPr>
        <w:t>4</w:t>
      </w:r>
      <w:r>
        <w:rPr>
          <w:rFonts w:hint="eastAsia" w:ascii="宋体" w:hAnsi="宋体" w:eastAsia="宋体" w:cs="宋体"/>
          <w:color w:val="000000"/>
          <w:sz w:val="24"/>
          <w:szCs w:val="24"/>
          <w:lang w:val="en-US" w:eastAsia="zh-CN"/>
        </w:rPr>
        <w:t>50</w:t>
      </w:r>
      <w:r>
        <w:rPr>
          <w:rFonts w:hint="eastAsia" w:ascii="宋体" w:hAnsi="宋体" w:eastAsia="宋体" w:cs="宋体"/>
          <w:color w:val="000000"/>
          <w:sz w:val="24"/>
          <w:szCs w:val="24"/>
        </w:rPr>
        <w:t>m，最低</w:t>
      </w:r>
      <w:r>
        <w:rPr>
          <w:rFonts w:hint="eastAsia" w:ascii="宋体" w:hAnsi="宋体" w:eastAsia="宋体" w:cs="宋体"/>
          <w:color w:val="000000"/>
          <w:sz w:val="24"/>
          <w:szCs w:val="24"/>
          <w:lang w:val="en-US" w:eastAsia="zh-CN"/>
        </w:rPr>
        <w:t>240</w:t>
      </w:r>
      <w:r>
        <w:rPr>
          <w:rFonts w:hint="eastAsia" w:ascii="宋体" w:hAnsi="宋体" w:eastAsia="宋体" w:cs="宋体"/>
          <w:color w:val="000000"/>
          <w:sz w:val="24"/>
          <w:szCs w:val="24"/>
        </w:rPr>
        <w:t>m。</w:t>
      </w:r>
    </w:p>
    <w:p>
      <w:pPr>
        <w:spacing w:line="420" w:lineRule="exact"/>
        <w:ind w:firstLine="484" w:firstLineChars="202"/>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3.场地内需配备新能源充电桩，解决我方新能源商用车充电问题。充电桩个数不少于3个，每个充电桩功率不低于360KW，充电电压750V，充电接口符合GB/T 20234.3-2015对充电枪要求。</w:t>
      </w:r>
    </w:p>
    <w:p>
      <w:pPr>
        <w:spacing w:line="420" w:lineRule="exact"/>
        <w:ind w:firstLine="484" w:firstLineChars="202"/>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4.场地需提供满足智能驾驶车辆所需的V2X设施设备的能力和条件。</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二、服务要求：</w:t>
      </w:r>
      <w:r>
        <w:rPr>
          <w:rFonts w:hint="eastAsia" w:ascii="宋体" w:hAnsi="宋体" w:eastAsia="宋体" w:cs="宋体"/>
          <w:color w:val="000000"/>
          <w:sz w:val="24"/>
          <w:szCs w:val="24"/>
        </w:rPr>
        <w:t xml:space="preserve"> </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1、该场地内或周边需</w:t>
      </w:r>
      <w:r>
        <w:rPr>
          <w:rFonts w:hint="eastAsia" w:ascii="宋体" w:hAnsi="宋体" w:eastAsia="宋体" w:cs="宋体"/>
          <w:color w:val="000000"/>
          <w:sz w:val="24"/>
          <w:szCs w:val="24"/>
          <w:lang w:val="en-US" w:eastAsia="zh-CN"/>
        </w:rPr>
        <w:t>配备</w:t>
      </w:r>
      <w:r>
        <w:rPr>
          <w:rFonts w:hint="eastAsia" w:ascii="宋体" w:hAnsi="宋体" w:eastAsia="宋体" w:cs="宋体"/>
          <w:color w:val="000000"/>
          <w:sz w:val="24"/>
          <w:szCs w:val="24"/>
        </w:rPr>
        <w:t>方便车辆维修的服务站，服务站应提供如下服务（包括但不限于）：车辆总成及重要零部件及的更换、维修、保养工作以及车辆的吊装、载荷的装卸等。</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2、场地内或周边应配有加油、加气站点，为试验车辆的加油、加气提供保证。 </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3、场地停车区域应安排专人看管，加装视频监控系统，</w:t>
      </w:r>
      <w:r>
        <w:rPr>
          <w:rFonts w:hint="eastAsia" w:ascii="宋体" w:hAnsi="宋体" w:eastAsia="宋体" w:cs="宋体"/>
          <w:color w:val="000000"/>
          <w:sz w:val="24"/>
          <w:szCs w:val="24"/>
          <w:lang w:val="en-US" w:eastAsia="zh-CN"/>
        </w:rPr>
        <w:t>保证道路及隧道内的照明设施齐全，</w:t>
      </w:r>
      <w:r>
        <w:rPr>
          <w:rFonts w:hint="eastAsia" w:ascii="宋体" w:hAnsi="宋体" w:eastAsia="宋体" w:cs="宋体"/>
          <w:color w:val="000000"/>
          <w:sz w:val="24"/>
          <w:szCs w:val="24"/>
        </w:rPr>
        <w:t>保证试验车辆和备件物资安全。</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4、场地管理单位应能保证场地的完好性，在不耽误正常试验进行的情况下进行场地的维修及维护工作。如遇雨雪天气，应做到及时清理路面，保证路面的干燥平整，为车辆的安全驾驶提供保障。</w:t>
      </w:r>
    </w:p>
    <w:bookmarkEnd w:id="22"/>
    <w:p>
      <w:pPr>
        <w:rPr>
          <w:rFonts w:hint="eastAsia" w:ascii="宋体" w:hAnsi="宋体" w:eastAsia="宋体" w:cs="宋体"/>
          <w:sz w:val="24"/>
          <w:szCs w:val="24"/>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仿宋_GB2312">
    <w:altName w:val="汉仪仿宋KW"/>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auto"/>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51C4DDB"/>
    <w:rsid w:val="05E65E61"/>
    <w:rsid w:val="07E57C0D"/>
    <w:rsid w:val="099C5159"/>
    <w:rsid w:val="118B17C0"/>
    <w:rsid w:val="12DE5A77"/>
    <w:rsid w:val="12E0359D"/>
    <w:rsid w:val="14A15C19"/>
    <w:rsid w:val="17EC378B"/>
    <w:rsid w:val="1CFD02B3"/>
    <w:rsid w:val="20523600"/>
    <w:rsid w:val="2A11760D"/>
    <w:rsid w:val="2AD417E1"/>
    <w:rsid w:val="2EB771D0"/>
    <w:rsid w:val="347E0C7B"/>
    <w:rsid w:val="34F7633C"/>
    <w:rsid w:val="3AED47A1"/>
    <w:rsid w:val="4C3A530E"/>
    <w:rsid w:val="4C552648"/>
    <w:rsid w:val="520D3BC4"/>
    <w:rsid w:val="60AE53F2"/>
    <w:rsid w:val="60EE4022"/>
    <w:rsid w:val="636F4F70"/>
    <w:rsid w:val="64D3442A"/>
    <w:rsid w:val="65AD6236"/>
    <w:rsid w:val="699A3928"/>
    <w:rsid w:val="6DFE0499"/>
    <w:rsid w:val="720E4873"/>
    <w:rsid w:val="77170059"/>
    <w:rsid w:val="77EF6C01"/>
    <w:rsid w:val="79240841"/>
    <w:rsid w:val="7D4635F6"/>
    <w:rsid w:val="DFDBEDF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8"/>
    <w:qFormat/>
    <w:uiPriority w:val="0"/>
    <w:rPr>
      <w:rFonts w:ascii="仿宋_GB2312" w:eastAsia="仿宋_GB2312"/>
      <w:sz w:val="32"/>
      <w:lang w:val="zh-CN" w:eastAsia="zh-CN"/>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833</Words>
  <Characters>899</Characters>
  <Lines>247</Lines>
  <Paragraphs>69</Paragraphs>
  <TotalTime>0</TotalTime>
  <ScaleCrop>false</ScaleCrop>
  <LinksUpToDate>false</LinksUpToDate>
  <CharactersWithSpaces>905</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2025-05-22T10:06:49Z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017DE568BF9340A1B3C83B5F4AC90AA1_13</vt:lpwstr>
  </property>
  <property fmtid="{D5CDD505-2E9C-101B-9397-08002B2CF9AE}" pid="4" name="KSOTemplateDocerSaveRecord">
    <vt:lpwstr>eyJoZGlkIjoiN2ZiZjhjZjUxYjg2N2Y1ZjY0NTc5ZGMxYTcwNjRmNWYiLCJ1c2VySWQiOiIzMDg0MzUwNTAifQ==</vt:lpwstr>
  </property>
</Properties>
</file>