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kern w:val="0"/>
          <w:sz w:val="48"/>
          <w:szCs w:val="48"/>
        </w:rPr>
      </w:pPr>
      <w:r>
        <w:rPr>
          <w:rFonts w:eastAsia="楷体_GB2312"/>
          <w:b/>
          <w:kern w:val="0"/>
          <w:sz w:val="48"/>
          <w:szCs w:val="48"/>
        </w:rPr>
        <w:t>中通客车股份有限公司</w:t>
      </w:r>
    </w:p>
    <w:p>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jc w:val="center"/>
        <w:rPr>
          <w:b/>
          <w:sz w:val="30"/>
        </w:rPr>
      </w:pPr>
      <w:r>
        <w:rPr>
          <w:b/>
          <w:sz w:val="30"/>
        </w:rPr>
        <w:t>（招标编号：</w:t>
      </w:r>
      <w:r>
        <w:rPr>
          <w:b/>
          <w:sz w:val="30"/>
          <w:u w:val="single"/>
        </w:rPr>
        <w:t>ZTZB20250</w:t>
      </w:r>
      <w:r>
        <w:rPr>
          <w:rFonts w:hint="eastAsia"/>
          <w:b/>
          <w:sz w:val="30"/>
          <w:u w:val="single"/>
        </w:rPr>
        <w:t>5</w:t>
      </w:r>
      <w:r>
        <w:rPr>
          <w:rFonts w:hint="eastAsia"/>
          <w:b/>
          <w:sz w:val="30"/>
          <w:u w:val="single"/>
          <w:lang w:val="en-US" w:eastAsia="zh-CN"/>
        </w:rPr>
        <w:t>15</w:t>
      </w:r>
      <w:r>
        <w:rPr>
          <w:b/>
          <w:sz w:val="30"/>
          <w:u w:val="single"/>
        </w:rPr>
        <w:t>-01</w:t>
      </w:r>
      <w:r>
        <w:rPr>
          <w:b/>
          <w:sz w:val="30"/>
        </w:rPr>
        <w:t>）</w:t>
      </w: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before="240" w:beforeLines="100" w:after="240" w:afterLines="100" w:line="480" w:lineRule="auto"/>
        <w:ind w:firstLine="1985" w:firstLineChars="706"/>
        <w:jc w:val="left"/>
        <w:rPr>
          <w:rFonts w:eastAsia="楷体_GB2312"/>
          <w:b/>
          <w:bCs/>
          <w:sz w:val="28"/>
          <w:szCs w:val="28"/>
          <w:u w:val="single"/>
        </w:rPr>
      </w:pPr>
      <w:r>
        <w:rPr>
          <w:rFonts w:eastAsia="楷体_GB2312"/>
          <w:b/>
          <w:bCs/>
          <w:sz w:val="28"/>
          <w:szCs w:val="28"/>
        </w:rPr>
        <w:t>项目名称：</w:t>
      </w:r>
      <w:r>
        <w:rPr>
          <w:rFonts w:eastAsia="楷体_GB2312"/>
          <w:b/>
          <w:bCs/>
          <w:sz w:val="28"/>
          <w:szCs w:val="28"/>
          <w:u w:val="single"/>
        </w:rPr>
        <w:t>中通客车</w:t>
      </w:r>
      <w:r>
        <w:rPr>
          <w:rFonts w:hint="eastAsia" w:eastAsia="楷体_GB2312"/>
          <w:b/>
          <w:bCs/>
          <w:sz w:val="28"/>
          <w:szCs w:val="28"/>
          <w:u w:val="single"/>
        </w:rPr>
        <w:t>焊枪仿型引导工具免示教技术项目</w:t>
      </w:r>
    </w:p>
    <w:p>
      <w:pPr>
        <w:adjustRightInd w:val="0"/>
        <w:snapToGrid w:val="0"/>
        <w:spacing w:before="240" w:beforeLines="100" w:after="240" w:afterLines="100" w:line="480" w:lineRule="auto"/>
        <w:ind w:firstLine="1985" w:firstLineChars="706"/>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pPr>
        <w:tabs>
          <w:tab w:val="left" w:pos="7920"/>
          <w:tab w:val="left" w:pos="8640"/>
          <w:tab w:val="left" w:pos="8820"/>
        </w:tabs>
        <w:adjustRightInd w:val="0"/>
        <w:snapToGrid w:val="0"/>
        <w:spacing w:before="240" w:beforeLines="100" w:after="240" w:afterLines="100" w:line="480" w:lineRule="auto"/>
        <w:ind w:firstLine="1985" w:firstLineChars="706"/>
        <w:jc w:val="left"/>
        <w:rPr>
          <w:rFonts w:eastAsia="楷体_GB2312"/>
          <w:b/>
          <w:bCs/>
          <w:sz w:val="28"/>
          <w:szCs w:val="28"/>
          <w:u w:val="single"/>
        </w:rPr>
      </w:pPr>
      <w:r>
        <w:rPr>
          <w:rFonts w:eastAsia="楷体_GB2312"/>
          <w:b/>
          <w:bCs/>
          <w:sz w:val="28"/>
          <w:szCs w:val="28"/>
        </w:rPr>
        <w:t>日    期：</w:t>
      </w:r>
      <w:r>
        <w:rPr>
          <w:rFonts w:eastAsia="楷体_GB2312"/>
          <w:b/>
          <w:bCs/>
          <w:sz w:val="28"/>
          <w:szCs w:val="28"/>
          <w:u w:val="single"/>
        </w:rPr>
        <w:t>2025年</w:t>
      </w:r>
      <w:r>
        <w:rPr>
          <w:rFonts w:hint="eastAsia" w:eastAsia="楷体_GB2312"/>
          <w:b/>
          <w:bCs/>
          <w:sz w:val="28"/>
          <w:szCs w:val="28"/>
          <w:u w:val="single"/>
        </w:rPr>
        <w:t>5</w:t>
      </w:r>
      <w:r>
        <w:rPr>
          <w:rFonts w:eastAsia="楷体_GB2312"/>
          <w:b/>
          <w:bCs/>
          <w:sz w:val="28"/>
          <w:szCs w:val="28"/>
          <w:u w:val="single"/>
        </w:rPr>
        <w:t>月</w:t>
      </w:r>
      <w:r>
        <w:rPr>
          <w:rFonts w:hint="eastAsia" w:eastAsia="楷体_GB2312"/>
          <w:b/>
          <w:bCs/>
          <w:sz w:val="28"/>
          <w:szCs w:val="28"/>
          <w:u w:val="single"/>
          <w:lang w:val="en-US" w:eastAsia="zh-CN"/>
        </w:rPr>
        <w:t>15</w:t>
      </w:r>
      <w:r>
        <w:rPr>
          <w:rFonts w:eastAsia="楷体_GB2312"/>
          <w:b/>
          <w:bCs/>
          <w:sz w:val="28"/>
          <w:szCs w:val="28"/>
          <w:u w:val="single"/>
        </w:rPr>
        <w:t>日</w:t>
      </w:r>
    </w:p>
    <w:p>
      <w:pPr>
        <w:adjustRightInd w:val="0"/>
        <w:snapToGrid w:val="0"/>
        <w:spacing w:before="240" w:beforeLines="100" w:after="240" w:afterLines="100" w:line="480" w:lineRule="auto"/>
        <w:ind w:firstLine="1985" w:firstLineChars="706"/>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pPr>
        <w:adjustRightInd w:val="0"/>
        <w:snapToGrid w:val="0"/>
        <w:spacing w:after="240" w:afterLines="100" w:line="640" w:lineRule="exact"/>
        <w:jc w:val="center"/>
        <w:rPr>
          <w:sz w:val="36"/>
          <w:szCs w:val="36"/>
        </w:rPr>
      </w:pPr>
      <w:r>
        <w:rPr>
          <w:rFonts w:eastAsia="楷体_GB2312"/>
          <w:b/>
          <w:bCs/>
          <w:sz w:val="28"/>
        </w:rPr>
        <w:br w:type="page"/>
      </w:r>
      <w:r>
        <w:rPr>
          <w:sz w:val="36"/>
          <w:szCs w:val="36"/>
          <w:lang w:val="zh-CN"/>
        </w:rPr>
        <w:t>目  录</w:t>
      </w:r>
    </w:p>
    <w:sdt>
      <w:sdtPr>
        <w:id w:val="703542738"/>
        <w:docPartObj>
          <w:docPartGallery w:val="Table of Contents"/>
          <w:docPartUnique/>
        </w:docPartObj>
      </w:sdtPr>
      <w:sdtEndPr>
        <w:rPr>
          <w:rFonts w:eastAsia="仿宋_GB2312"/>
          <w:color w:val="000000"/>
          <w:szCs w:val="24"/>
        </w:rPr>
      </w:sdtEndPr>
      <w:sdtContent>
        <w:p>
          <w:pPr>
            <w:jc w:val="center"/>
          </w:pPr>
        </w:p>
        <w:p>
          <w:pPr>
            <w:pStyle w:val="37"/>
            <w:tabs>
              <w:tab w:val="right" w:leader="dot" w:pos="9071"/>
            </w:tabs>
            <w:rPr>
              <w:rFonts w:ascii="Times New Roman" w:hAnsi="Times New Roman"/>
              <w:color w:val="000000"/>
            </w:rPr>
          </w:pPr>
          <w:r>
            <w:rPr>
              <w:rFonts w:ascii="Times New Roman" w:hAnsi="Times New Roman" w:eastAsia="仿宋_GB2312"/>
              <w:color w:val="000000"/>
              <w:sz w:val="24"/>
              <w:szCs w:val="24"/>
            </w:rPr>
            <w:fldChar w:fldCharType="begin"/>
          </w:r>
          <w:r>
            <w:rPr>
              <w:rFonts w:ascii="Times New Roman" w:hAnsi="Times New Roman" w:eastAsia="仿宋_GB2312"/>
              <w:color w:val="000000"/>
              <w:sz w:val="24"/>
              <w:szCs w:val="24"/>
            </w:rPr>
            <w:instrText xml:space="preserve">TOC \o "1-9" \h \u </w:instrText>
          </w:r>
          <w:r>
            <w:rPr>
              <w:rFonts w:ascii="Times New Roman" w:hAnsi="Times New Roman" w:eastAsia="仿宋_GB2312"/>
              <w:color w:val="000000"/>
              <w:sz w:val="24"/>
              <w:szCs w:val="24"/>
            </w:rPr>
            <w:fldChar w:fldCharType="separate"/>
          </w:r>
          <w:r>
            <w:fldChar w:fldCharType="begin"/>
          </w:r>
          <w:r>
            <w:instrText xml:space="preserve"> HYPERLINK \l "_Toc1897374846" </w:instrText>
          </w:r>
          <w:r>
            <w:fldChar w:fldCharType="separate"/>
          </w:r>
          <w:r>
            <w:rPr>
              <w:rFonts w:ascii="Times New Roman"/>
              <w:bCs/>
              <w:color w:val="000000"/>
              <w:szCs w:val="30"/>
            </w:rPr>
            <w:t>第一章　投标须知</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_Toc1897374846 \h </w:instrText>
          </w:r>
          <w:r>
            <w:rPr>
              <w:rFonts w:ascii="Times New Roman" w:hAnsi="Times New Roman"/>
              <w:color w:val="000000"/>
            </w:rPr>
            <w:fldChar w:fldCharType="separate"/>
          </w:r>
          <w:r>
            <w:rPr>
              <w:rFonts w:ascii="Times New Roman" w:hAnsi="Times New Roman"/>
              <w:color w:val="000000"/>
            </w:rPr>
            <w:t>3</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"_Toc963987078" </w:instrText>
          </w:r>
          <w:r>
            <w:fldChar w:fldCharType="separate"/>
          </w:r>
          <w:r>
            <w:rPr>
              <w:rFonts w:ascii="Times New Roman" w:hAnsi="Times New Roman"/>
              <w:color w:val="000000"/>
            </w:rPr>
            <w:t>第二章  合同文件格式及条款</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_Toc963987078 \h </w:instrText>
          </w:r>
          <w:r>
            <w:rPr>
              <w:rFonts w:ascii="Times New Roman" w:hAnsi="Times New Roman"/>
              <w:color w:val="000000"/>
            </w:rPr>
            <w:fldChar w:fldCharType="separate"/>
          </w:r>
          <w:r>
            <w:rPr>
              <w:rFonts w:ascii="Times New Roman" w:hAnsi="Times New Roman"/>
              <w:color w:val="000000"/>
            </w:rPr>
            <w:t>9</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"_Toc476826533" </w:instrText>
          </w:r>
          <w:r>
            <w:fldChar w:fldCharType="separate"/>
          </w:r>
          <w:r>
            <w:rPr>
              <w:rFonts w:ascii="Times New Roman" w:hAnsi="Times New Roman"/>
              <w:color w:val="000000"/>
            </w:rPr>
            <w:t>第三章  技术要求</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_Toc476826533 \h </w:instrText>
          </w:r>
          <w:r>
            <w:rPr>
              <w:rFonts w:ascii="Times New Roman" w:hAnsi="Times New Roman"/>
              <w:color w:val="000000"/>
            </w:rPr>
            <w:fldChar w:fldCharType="separate"/>
          </w:r>
          <w:r>
            <w:rPr>
              <w:rFonts w:ascii="Times New Roman" w:hAnsi="Times New Roman"/>
              <w:color w:val="000000"/>
            </w:rPr>
            <w:t>22</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"_Toc1319147445" </w:instrText>
          </w:r>
          <w:r>
            <w:fldChar w:fldCharType="separate"/>
          </w:r>
          <w:r>
            <w:rPr>
              <w:rFonts w:ascii="Times New Roman"/>
              <w:color w:val="000000"/>
              <w:szCs w:val="36"/>
            </w:rPr>
            <w:t>第四章</w:t>
          </w:r>
          <w:r>
            <w:rPr>
              <w:rFonts w:ascii="Times New Roman" w:hAnsi="Times New Roman"/>
              <w:color w:val="000000"/>
              <w:szCs w:val="36"/>
            </w:rPr>
            <w:t xml:space="preserve">  </w:t>
          </w:r>
          <w:r>
            <w:rPr>
              <w:rFonts w:ascii="Times New Roman"/>
              <w:color w:val="000000"/>
              <w:szCs w:val="36"/>
            </w:rPr>
            <w:t>投标文件格式</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_Toc1319147445 \h </w:instrText>
          </w:r>
          <w:r>
            <w:rPr>
              <w:rFonts w:ascii="Times New Roman" w:hAnsi="Times New Roman"/>
              <w:color w:val="000000"/>
            </w:rPr>
            <w:fldChar w:fldCharType="separate"/>
          </w:r>
          <w:r>
            <w:rPr>
              <w:rFonts w:ascii="Times New Roman" w:hAnsi="Times New Roman"/>
              <w:color w:val="000000"/>
            </w:rPr>
            <w:t>35</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"_Toc1857783194" </w:instrText>
          </w:r>
          <w:r>
            <w:fldChar w:fldCharType="separate"/>
          </w:r>
          <w:r>
            <w:rPr>
              <w:rFonts w:ascii="Times New Roman"/>
              <w:color w:val="000000"/>
              <w:szCs w:val="24"/>
            </w:rPr>
            <w:t>附件一</w:t>
          </w:r>
          <w:r>
            <w:rPr>
              <w:rFonts w:ascii="Times New Roman" w:hAnsi="Times New Roman"/>
              <w:color w:val="000000"/>
              <w:szCs w:val="24"/>
            </w:rPr>
            <w:t xml:space="preserve">  </w:t>
          </w:r>
          <w:r>
            <w:rPr>
              <w:rFonts w:ascii="Times New Roman"/>
              <w:color w:val="000000"/>
              <w:szCs w:val="24"/>
            </w:rPr>
            <w:t>法定代表人身份证明书</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_Toc1857783194 \h </w:instrText>
          </w:r>
          <w:r>
            <w:rPr>
              <w:rFonts w:ascii="Times New Roman" w:hAnsi="Times New Roman"/>
              <w:color w:val="000000"/>
            </w:rPr>
            <w:fldChar w:fldCharType="separate"/>
          </w:r>
          <w:r>
            <w:rPr>
              <w:rFonts w:ascii="Times New Roman" w:hAnsi="Times New Roman"/>
              <w:color w:val="000000"/>
            </w:rPr>
            <w:t>44</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"_Toc1428939187" </w:instrText>
          </w:r>
          <w:r>
            <w:fldChar w:fldCharType="separate"/>
          </w:r>
          <w:r>
            <w:rPr>
              <w:rFonts w:ascii="Times New Roman"/>
              <w:color w:val="000000"/>
              <w:szCs w:val="24"/>
            </w:rPr>
            <w:t>附件二</w:t>
          </w:r>
          <w:r>
            <w:rPr>
              <w:rFonts w:ascii="Times New Roman" w:hAnsi="Times New Roman"/>
              <w:color w:val="000000"/>
              <w:szCs w:val="24"/>
            </w:rPr>
            <w:t xml:space="preserve">  </w:t>
          </w:r>
          <w:r>
            <w:rPr>
              <w:rFonts w:ascii="Times New Roman"/>
              <w:color w:val="000000"/>
              <w:szCs w:val="24"/>
            </w:rPr>
            <w:t>法定代表人授权委托书</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_Toc1428939187 \h </w:instrText>
          </w:r>
          <w:r>
            <w:rPr>
              <w:rFonts w:ascii="Times New Roman" w:hAnsi="Times New Roman"/>
              <w:color w:val="000000"/>
            </w:rPr>
            <w:fldChar w:fldCharType="separate"/>
          </w:r>
          <w:r>
            <w:rPr>
              <w:rFonts w:ascii="Times New Roman" w:hAnsi="Times New Roman"/>
              <w:color w:val="000000"/>
            </w:rPr>
            <w:t>45</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"_Toc967755062" </w:instrText>
          </w:r>
          <w:r>
            <w:fldChar w:fldCharType="separate"/>
          </w:r>
          <w:r>
            <w:rPr>
              <w:rFonts w:ascii="Times New Roman"/>
              <w:color w:val="000000"/>
              <w:szCs w:val="24"/>
            </w:rPr>
            <w:t>附件三</w:t>
          </w:r>
          <w:r>
            <w:rPr>
              <w:rFonts w:ascii="Times New Roman" w:hAnsi="Times New Roman"/>
              <w:color w:val="000000"/>
              <w:szCs w:val="24"/>
            </w:rPr>
            <w:t xml:space="preserve">  </w:t>
          </w:r>
          <w:r>
            <w:rPr>
              <w:rFonts w:ascii="Times New Roman"/>
              <w:color w:val="000000"/>
              <w:szCs w:val="24"/>
            </w:rPr>
            <w:t>投标人基本情况表</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_Toc967755062 \h </w:instrText>
          </w:r>
          <w:r>
            <w:rPr>
              <w:rFonts w:ascii="Times New Roman" w:hAnsi="Times New Roman"/>
              <w:color w:val="000000"/>
            </w:rPr>
            <w:fldChar w:fldCharType="separate"/>
          </w:r>
          <w:r>
            <w:rPr>
              <w:rFonts w:ascii="Times New Roman" w:hAnsi="Times New Roman"/>
              <w:color w:val="000000"/>
            </w:rPr>
            <w:t>46</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"_Toc196927574" </w:instrText>
          </w:r>
          <w:r>
            <w:fldChar w:fldCharType="separate"/>
          </w:r>
          <w:r>
            <w:rPr>
              <w:rFonts w:ascii="Times New Roman"/>
              <w:color w:val="000000"/>
              <w:szCs w:val="24"/>
            </w:rPr>
            <w:t>附件四</w:t>
          </w:r>
          <w:r>
            <w:rPr>
              <w:rFonts w:ascii="Times New Roman" w:hAnsi="Times New Roman"/>
              <w:color w:val="000000"/>
              <w:szCs w:val="24"/>
            </w:rPr>
            <w:t xml:space="preserve">  </w:t>
          </w:r>
          <w:r>
            <w:rPr>
              <w:rFonts w:ascii="Times New Roman"/>
              <w:color w:val="000000"/>
              <w:szCs w:val="24"/>
            </w:rPr>
            <w:t>技术要求偏离表</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_Toc196927574 \h </w:instrText>
          </w:r>
          <w:r>
            <w:rPr>
              <w:rFonts w:ascii="Times New Roman" w:hAnsi="Times New Roman"/>
              <w:color w:val="000000"/>
            </w:rPr>
            <w:fldChar w:fldCharType="separate"/>
          </w:r>
          <w:r>
            <w:rPr>
              <w:rFonts w:ascii="Times New Roman" w:hAnsi="Times New Roman"/>
              <w:color w:val="000000"/>
            </w:rPr>
            <w:t>47</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"_Toc451742648" </w:instrText>
          </w:r>
          <w:r>
            <w:fldChar w:fldCharType="separate"/>
          </w:r>
          <w:r>
            <w:rPr>
              <w:rFonts w:ascii="Times New Roman"/>
              <w:color w:val="000000"/>
              <w:szCs w:val="24"/>
            </w:rPr>
            <w:t>附件五</w:t>
          </w:r>
          <w:r>
            <w:rPr>
              <w:rFonts w:ascii="Times New Roman" w:hAnsi="Times New Roman"/>
              <w:color w:val="000000"/>
              <w:szCs w:val="24"/>
            </w:rPr>
            <w:t xml:space="preserve">  </w:t>
          </w:r>
          <w:r>
            <w:rPr>
              <w:rFonts w:ascii="Times New Roman"/>
              <w:color w:val="000000"/>
              <w:szCs w:val="24"/>
            </w:rPr>
            <w:t>经营业绩一览表</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_Toc451742648 \h </w:instrText>
          </w:r>
          <w:r>
            <w:rPr>
              <w:rFonts w:ascii="Times New Roman" w:hAnsi="Times New Roman"/>
              <w:color w:val="000000"/>
            </w:rPr>
            <w:fldChar w:fldCharType="separate"/>
          </w:r>
          <w:r>
            <w:rPr>
              <w:rFonts w:ascii="Times New Roman" w:hAnsi="Times New Roman"/>
              <w:color w:val="000000"/>
            </w:rPr>
            <w:t>48</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"_Toc1795055959" </w:instrText>
          </w:r>
          <w:r>
            <w:fldChar w:fldCharType="separate"/>
          </w:r>
          <w:r>
            <w:rPr>
              <w:rFonts w:ascii="Times New Roman"/>
              <w:color w:val="000000"/>
              <w:szCs w:val="24"/>
            </w:rPr>
            <w:t>附件六</w:t>
          </w:r>
          <w:r>
            <w:rPr>
              <w:rFonts w:ascii="Times New Roman" w:hAnsi="Times New Roman"/>
              <w:color w:val="000000"/>
              <w:szCs w:val="24"/>
            </w:rPr>
            <w:t xml:space="preserve">  </w:t>
          </w:r>
          <w:r>
            <w:rPr>
              <w:rFonts w:ascii="Times New Roman"/>
              <w:color w:val="000000"/>
              <w:szCs w:val="24"/>
            </w:rPr>
            <w:t>服务承诺函</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_Toc1795055959 \h </w:instrText>
          </w:r>
          <w:r>
            <w:rPr>
              <w:rFonts w:ascii="Times New Roman" w:hAnsi="Times New Roman"/>
              <w:color w:val="000000"/>
            </w:rPr>
            <w:fldChar w:fldCharType="separate"/>
          </w:r>
          <w:r>
            <w:rPr>
              <w:rFonts w:ascii="Times New Roman" w:hAnsi="Times New Roman"/>
              <w:color w:val="000000"/>
            </w:rPr>
            <w:t>49</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"_Toc1907364040" </w:instrText>
          </w:r>
          <w:r>
            <w:fldChar w:fldCharType="separate"/>
          </w:r>
          <w:r>
            <w:rPr>
              <w:rFonts w:ascii="Times New Roman"/>
              <w:color w:val="000000"/>
              <w:szCs w:val="24"/>
            </w:rPr>
            <w:t>附件七</w:t>
          </w:r>
          <w:r>
            <w:rPr>
              <w:rFonts w:ascii="Times New Roman" w:hAnsi="Times New Roman"/>
              <w:color w:val="000000"/>
              <w:szCs w:val="24"/>
            </w:rPr>
            <w:t xml:space="preserve">  </w:t>
          </w:r>
          <w:r>
            <w:rPr>
              <w:rFonts w:hint="eastAsia" w:ascii="Times New Roman"/>
              <w:color w:val="000000"/>
              <w:szCs w:val="24"/>
              <w:lang w:eastAsia="zh-CN"/>
            </w:rPr>
            <w:t>焊枪仿型引导工具免示教技术项目</w:t>
          </w:r>
          <w:r>
            <w:rPr>
              <w:rFonts w:ascii="Times New Roman" w:hAnsi="Times New Roman"/>
              <w:color w:val="000000"/>
              <w:szCs w:val="24"/>
            </w:rPr>
            <w:t>----</w:t>
          </w:r>
          <w:r>
            <w:rPr>
              <w:rFonts w:ascii="Times New Roman"/>
              <w:color w:val="000000"/>
              <w:szCs w:val="24"/>
            </w:rPr>
            <w:t>投标函</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_Toc1907364040 \h </w:instrText>
          </w:r>
          <w:r>
            <w:rPr>
              <w:rFonts w:ascii="Times New Roman" w:hAnsi="Times New Roman"/>
              <w:color w:val="000000"/>
            </w:rPr>
            <w:fldChar w:fldCharType="separate"/>
          </w:r>
          <w:r>
            <w:rPr>
              <w:rFonts w:ascii="Times New Roman" w:hAnsi="Times New Roman"/>
              <w:color w:val="000000"/>
            </w:rPr>
            <w:t>50</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"_Toc1552728945" </w:instrText>
          </w:r>
          <w:r>
            <w:fldChar w:fldCharType="separate"/>
          </w:r>
          <w:r>
            <w:rPr>
              <w:rFonts w:ascii="Times New Roman"/>
              <w:color w:val="000000"/>
              <w:szCs w:val="24"/>
            </w:rPr>
            <w:t>附件八</w:t>
          </w:r>
          <w:r>
            <w:rPr>
              <w:rFonts w:ascii="Times New Roman" w:hAnsi="Times New Roman"/>
              <w:color w:val="000000"/>
              <w:szCs w:val="24"/>
            </w:rPr>
            <w:t xml:space="preserve">  </w:t>
          </w:r>
          <w:r>
            <w:rPr>
              <w:rFonts w:hint="eastAsia" w:ascii="Times New Roman"/>
              <w:color w:val="000000"/>
              <w:szCs w:val="24"/>
              <w:lang w:eastAsia="zh-CN"/>
            </w:rPr>
            <w:t>焊枪仿型引导工具免示教技术项目</w:t>
          </w:r>
          <w:r>
            <w:rPr>
              <w:rFonts w:ascii="Times New Roman" w:hAnsi="Times New Roman"/>
              <w:color w:val="000000"/>
              <w:szCs w:val="24"/>
            </w:rPr>
            <w:t>----</w:t>
          </w:r>
          <w:r>
            <w:rPr>
              <w:rFonts w:ascii="Times New Roman"/>
              <w:color w:val="000000"/>
              <w:szCs w:val="24"/>
            </w:rPr>
            <w:t>报价明细</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_Toc1552728945 \h </w:instrText>
          </w:r>
          <w:r>
            <w:rPr>
              <w:rFonts w:ascii="Times New Roman" w:hAnsi="Times New Roman"/>
              <w:color w:val="000000"/>
            </w:rPr>
            <w:fldChar w:fldCharType="separate"/>
          </w:r>
          <w:r>
            <w:rPr>
              <w:rFonts w:ascii="Times New Roman" w:hAnsi="Times New Roman"/>
              <w:color w:val="000000"/>
            </w:rPr>
            <w:t>51</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rPr>
              <w:rFonts w:ascii="Times New Roman" w:hAnsi="Times New Roman"/>
              <w:color w:val="000000"/>
            </w:rPr>
          </w:pPr>
          <w:r>
            <w:fldChar w:fldCharType="begin"/>
          </w:r>
          <w:r>
            <w:instrText xml:space="preserve"> HYPERLINK \l "_Toc1884418416" </w:instrText>
          </w:r>
          <w:r>
            <w:fldChar w:fldCharType="separate"/>
          </w:r>
          <w:r>
            <w:rPr>
              <w:rFonts w:ascii="Times New Roman"/>
              <w:color w:val="000000"/>
              <w:szCs w:val="24"/>
            </w:rPr>
            <w:t>附件九</w:t>
          </w:r>
          <w:r>
            <w:rPr>
              <w:rFonts w:ascii="Times New Roman" w:hAnsi="Times New Roman"/>
              <w:color w:val="000000"/>
              <w:szCs w:val="24"/>
            </w:rPr>
            <w:t xml:space="preserve">  </w:t>
          </w:r>
          <w:r>
            <w:rPr>
              <w:rFonts w:ascii="Times New Roman"/>
              <w:color w:val="000000"/>
              <w:szCs w:val="24"/>
            </w:rPr>
            <w:t>商务条款偏离表</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_Toc1884418416 \h </w:instrText>
          </w:r>
          <w:r>
            <w:rPr>
              <w:rFonts w:ascii="Times New Roman" w:hAnsi="Times New Roman"/>
              <w:color w:val="000000"/>
            </w:rPr>
            <w:fldChar w:fldCharType="separate"/>
          </w:r>
          <w:r>
            <w:rPr>
              <w:rFonts w:ascii="Times New Roman" w:hAnsi="Times New Roman"/>
              <w:color w:val="000000"/>
            </w:rPr>
            <w:t>52</w:t>
          </w:r>
          <w:r>
            <w:rPr>
              <w:rFonts w:ascii="Times New Roman" w:hAnsi="Times New Roman"/>
              <w:color w:val="000000"/>
            </w:rPr>
            <w:fldChar w:fldCharType="end"/>
          </w:r>
          <w:r>
            <w:rPr>
              <w:rFonts w:ascii="Times New Roman" w:hAnsi="Times New Roman"/>
              <w:color w:val="000000"/>
            </w:rPr>
            <w:fldChar w:fldCharType="end"/>
          </w:r>
        </w:p>
        <w:p>
          <w:pPr>
            <w:pStyle w:val="37"/>
            <w:tabs>
              <w:tab w:val="right" w:leader="dot" w:pos="9071"/>
            </w:tabs>
          </w:pPr>
          <w:r>
            <w:fldChar w:fldCharType="begin"/>
          </w:r>
          <w:r>
            <w:instrText xml:space="preserve"> HYPERLINK \l "_Toc1160299566" </w:instrText>
          </w:r>
          <w:r>
            <w:fldChar w:fldCharType="separate"/>
          </w:r>
          <w:r>
            <w:rPr>
              <w:rFonts w:ascii="Times New Roman"/>
              <w:color w:val="000000"/>
              <w:szCs w:val="24"/>
            </w:rPr>
            <w:t>附件十</w:t>
          </w:r>
          <w:r>
            <w:rPr>
              <w:rFonts w:ascii="Times New Roman" w:hAnsi="Times New Roman"/>
              <w:color w:val="000000"/>
              <w:szCs w:val="24"/>
            </w:rPr>
            <w:t xml:space="preserve">  备品备件、易损件、专用耗材清单及价格表</w:t>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 xml:space="preserve"> PAGEREF _Toc1160299566 \h </w:instrText>
          </w:r>
          <w:r>
            <w:rPr>
              <w:rFonts w:ascii="Times New Roman" w:hAnsi="Times New Roman"/>
              <w:color w:val="000000"/>
            </w:rPr>
            <w:fldChar w:fldCharType="separate"/>
          </w:r>
          <w:r>
            <w:rPr>
              <w:rFonts w:ascii="Times New Roman" w:hAnsi="Times New Roman"/>
              <w:color w:val="000000"/>
            </w:rPr>
            <w:t>54</w:t>
          </w:r>
          <w:r>
            <w:rPr>
              <w:rFonts w:ascii="Times New Roman" w:hAnsi="Times New Roman"/>
              <w:color w:val="000000"/>
            </w:rPr>
            <w:fldChar w:fldCharType="end"/>
          </w:r>
          <w:r>
            <w:rPr>
              <w:rFonts w:ascii="Times New Roman" w:hAnsi="Times New Roman"/>
              <w:color w:val="000000"/>
            </w:rPr>
            <w:fldChar w:fldCharType="end"/>
          </w:r>
        </w:p>
        <w:p>
          <w:pPr>
            <w:jc w:val="center"/>
            <w:rPr>
              <w:rFonts w:eastAsia="仿宋_GB2312"/>
              <w:color w:val="FF0000"/>
              <w:szCs w:val="24"/>
            </w:rPr>
          </w:pPr>
          <w:r>
            <w:rPr>
              <w:rFonts w:eastAsia="仿宋_GB2312"/>
              <w:color w:val="000000"/>
              <w:szCs w:val="24"/>
            </w:rPr>
            <w:fldChar w:fldCharType="end"/>
          </w:r>
        </w:p>
      </w:sdtContent>
    </w:sdt>
    <w:p>
      <w:pPr>
        <w:jc w:val="center"/>
        <w:rPr>
          <w:rFonts w:eastAsia="仿宋_GB2312"/>
          <w:szCs w:val="24"/>
        </w:rPr>
      </w:pPr>
    </w:p>
    <w:p>
      <w:pPr>
        <w:jc w:val="center"/>
        <w:rPr>
          <w:rFonts w:eastAsia="仿宋_GB2312"/>
          <w:szCs w:val="24"/>
        </w:rPr>
      </w:pPr>
    </w:p>
    <w:p>
      <w:pPr>
        <w:spacing w:line="300" w:lineRule="auto"/>
        <w:jc w:val="center"/>
      </w:pPr>
    </w:p>
    <w:p>
      <w:pPr>
        <w:widowControl/>
        <w:jc w:val="left"/>
      </w:pPr>
      <w:r>
        <w:br w:type="page"/>
      </w:r>
    </w:p>
    <w:p>
      <w:pPr>
        <w:spacing w:line="300" w:lineRule="auto"/>
        <w:jc w:val="center"/>
        <w:outlineLvl w:val="0"/>
        <w:rPr>
          <w:b/>
          <w:bCs/>
          <w:sz w:val="30"/>
          <w:szCs w:val="30"/>
        </w:rPr>
      </w:pPr>
      <w:bookmarkStart w:id="0" w:name="_Toc1574"/>
      <w:bookmarkStart w:id="1" w:name="_Toc10091"/>
      <w:bookmarkStart w:id="2" w:name="_Toc16962"/>
      <w:bookmarkStart w:id="3" w:name="_Toc11261"/>
      <w:bookmarkStart w:id="4" w:name="_Toc16683"/>
      <w:bookmarkStart w:id="5" w:name="_Toc1897374846"/>
      <w:bookmarkStart w:id="6" w:name="_Toc52742755"/>
      <w:r>
        <w:rPr>
          <w:b/>
          <w:bCs/>
          <w:sz w:val="30"/>
          <w:szCs w:val="30"/>
        </w:rPr>
        <w:t>第一章　投　标　须　知</w:t>
      </w:r>
      <w:bookmarkEnd w:id="0"/>
      <w:bookmarkEnd w:id="1"/>
      <w:bookmarkEnd w:id="2"/>
      <w:bookmarkEnd w:id="3"/>
      <w:bookmarkEnd w:id="4"/>
      <w:bookmarkEnd w:id="5"/>
      <w:bookmarkEnd w:id="6"/>
    </w:p>
    <w:tbl>
      <w:tblPr>
        <w:tblStyle w:val="5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47"/>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序号</w:t>
            </w:r>
          </w:p>
        </w:tc>
        <w:tc>
          <w:tcPr>
            <w:tcW w:w="1347" w:type="dxa"/>
            <w:vAlign w:val="center"/>
          </w:tcPr>
          <w:p>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内　　容</w:t>
            </w:r>
          </w:p>
        </w:tc>
        <w:tc>
          <w:tcPr>
            <w:tcW w:w="7222" w:type="dxa"/>
            <w:vAlign w:val="center"/>
          </w:tcPr>
          <w:p>
            <w:pPr>
              <w:keepNext w:val="0"/>
              <w:keepLines w:val="0"/>
              <w:suppressLineNumbers w:val="0"/>
              <w:spacing w:before="0" w:beforeAutospacing="0" w:after="0" w:afterAutospacing="0"/>
              <w:ind w:left="0" w:right="0"/>
              <w:jc w:val="center"/>
              <w:rPr>
                <w:rFonts w:hint="default" w:eastAsia="黑体"/>
                <w:b/>
                <w:szCs w:val="21"/>
              </w:rPr>
            </w:pPr>
            <w:r>
              <w:rPr>
                <w:rFonts w:hint="default" w:eastAsia="黑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项目名称</w:t>
            </w:r>
          </w:p>
        </w:tc>
        <w:tc>
          <w:tcPr>
            <w:tcW w:w="7222" w:type="dxa"/>
            <w:vAlign w:val="center"/>
          </w:tcPr>
          <w:p>
            <w:pPr>
              <w:keepNext w:val="0"/>
              <w:keepLines w:val="0"/>
              <w:suppressLineNumbers w:val="0"/>
              <w:spacing w:before="0" w:beforeAutospacing="0" w:after="0" w:afterAutospacing="0"/>
              <w:ind w:left="0" w:right="0"/>
              <w:jc w:val="left"/>
              <w:rPr>
                <w:rFonts w:hint="default"/>
                <w:b/>
                <w:szCs w:val="21"/>
              </w:rPr>
            </w:pPr>
            <w:r>
              <w:rPr>
                <w:rFonts w:hint="eastAsia"/>
                <w:b/>
                <w:szCs w:val="21"/>
              </w:rPr>
              <w:t>中通客车焊枪仿型引导工具免示教技术项目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2</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招标单位</w:t>
            </w:r>
          </w:p>
        </w:tc>
        <w:tc>
          <w:tcPr>
            <w:tcW w:w="7222" w:type="dxa"/>
            <w:vAlign w:val="center"/>
          </w:tcPr>
          <w:p>
            <w:pPr>
              <w:keepNext w:val="0"/>
              <w:keepLines w:val="0"/>
              <w:suppressLineNumbers w:val="0"/>
              <w:spacing w:before="0" w:beforeAutospacing="0" w:after="0" w:afterAutospacing="0"/>
              <w:ind w:left="0" w:right="0"/>
              <w:rPr>
                <w:rFonts w:hint="default"/>
                <w:szCs w:val="21"/>
              </w:rPr>
            </w:pPr>
            <w:r>
              <w:rPr>
                <w:rFonts w:hint="default"/>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3</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资格审查</w:t>
            </w:r>
          </w:p>
        </w:tc>
        <w:tc>
          <w:tcPr>
            <w:tcW w:w="7222" w:type="dxa"/>
            <w:vAlign w:val="center"/>
          </w:tcPr>
          <w:p>
            <w:pPr>
              <w:keepNext w:val="0"/>
              <w:keepLines w:val="0"/>
              <w:suppressLineNumbers w:val="0"/>
              <w:spacing w:before="0" w:beforeAutospacing="0" w:after="0" w:afterAutospacing="0"/>
              <w:ind w:left="0" w:right="0"/>
              <w:rPr>
                <w:rFonts w:hint="default"/>
                <w:szCs w:val="21"/>
              </w:rPr>
            </w:pPr>
            <w:r>
              <w:rPr>
                <w:rFonts w:hint="default"/>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4</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招标范围</w:t>
            </w:r>
          </w:p>
        </w:tc>
        <w:tc>
          <w:tcPr>
            <w:tcW w:w="7222" w:type="dxa"/>
            <w:vAlign w:val="center"/>
          </w:tcPr>
          <w:p>
            <w:pPr>
              <w:keepNext w:val="0"/>
              <w:keepLines w:val="0"/>
              <w:suppressLineNumbers w:val="0"/>
              <w:spacing w:before="0" w:beforeAutospacing="0" w:after="0" w:afterAutospacing="0"/>
              <w:ind w:left="843" w:right="0" w:hanging="843" w:hangingChars="400"/>
              <w:rPr>
                <w:rFonts w:hint="default"/>
                <w:szCs w:val="21"/>
              </w:rPr>
            </w:pPr>
            <w:r>
              <w:rPr>
                <w:rFonts w:hint="default"/>
                <w:b/>
                <w:szCs w:val="2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5</w:t>
            </w:r>
          </w:p>
        </w:tc>
        <w:tc>
          <w:tcPr>
            <w:tcW w:w="1347" w:type="dxa"/>
            <w:shd w:val="clear" w:color="auto" w:fill="FFFFFF" w:themeFill="background1"/>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工   期</w:t>
            </w:r>
          </w:p>
        </w:tc>
        <w:tc>
          <w:tcPr>
            <w:tcW w:w="7222" w:type="dxa"/>
            <w:shd w:val="clear" w:color="auto" w:fill="FFFFFF" w:themeFill="background1"/>
            <w:vAlign w:val="center"/>
          </w:tcPr>
          <w:p>
            <w:pPr>
              <w:keepNext w:val="0"/>
              <w:keepLines w:val="0"/>
              <w:suppressLineNumbers w:val="0"/>
              <w:spacing w:before="0" w:beforeAutospacing="0" w:after="0" w:afterAutospacing="0"/>
              <w:ind w:left="0" w:right="0"/>
              <w:rPr>
                <w:rFonts w:hint="default"/>
                <w:szCs w:val="21"/>
              </w:rPr>
            </w:pPr>
            <w:r>
              <w:rPr>
                <w:rFonts w:hint="eastAsia"/>
                <w:szCs w:val="21"/>
                <w:lang w:val="en-US" w:eastAsia="zh-CN"/>
              </w:rPr>
              <w:t>40</w:t>
            </w:r>
            <w:r>
              <w:rPr>
                <w:rFonts w:hint="default"/>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6</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投标有效期</w:t>
            </w:r>
          </w:p>
        </w:tc>
        <w:tc>
          <w:tcPr>
            <w:tcW w:w="7222" w:type="dxa"/>
            <w:vAlign w:val="center"/>
          </w:tcPr>
          <w:p>
            <w:pPr>
              <w:keepNext w:val="0"/>
              <w:keepLines w:val="0"/>
              <w:suppressLineNumbers w:val="0"/>
              <w:spacing w:before="0" w:beforeAutospacing="0" w:after="0" w:afterAutospacing="0"/>
              <w:ind w:left="0" w:right="0"/>
              <w:rPr>
                <w:rFonts w:hint="default"/>
                <w:szCs w:val="21"/>
              </w:rPr>
            </w:pPr>
            <w:r>
              <w:rPr>
                <w:rFonts w:hint="default"/>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7</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资金来源</w:t>
            </w:r>
          </w:p>
        </w:tc>
        <w:tc>
          <w:tcPr>
            <w:tcW w:w="7222" w:type="dxa"/>
            <w:vAlign w:val="center"/>
          </w:tcPr>
          <w:p>
            <w:pPr>
              <w:keepNext w:val="0"/>
              <w:keepLines w:val="0"/>
              <w:suppressLineNumbers w:val="0"/>
              <w:spacing w:before="0" w:beforeAutospacing="0" w:after="0" w:afterAutospacing="0"/>
              <w:ind w:left="0" w:right="0"/>
              <w:rPr>
                <w:rFonts w:hint="default"/>
                <w:szCs w:val="21"/>
              </w:rPr>
            </w:pPr>
            <w:r>
              <w:rPr>
                <w:rFonts w:hint="default"/>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8</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付款方式</w:t>
            </w:r>
          </w:p>
        </w:tc>
        <w:tc>
          <w:tcPr>
            <w:tcW w:w="7222" w:type="dxa"/>
            <w:vAlign w:val="center"/>
          </w:tcPr>
          <w:p>
            <w:pPr>
              <w:keepNext w:val="0"/>
              <w:keepLines w:val="0"/>
              <w:numPr>
                <w:ilvl w:val="0"/>
                <w:numId w:val="1"/>
              </w:numPr>
              <w:suppressLineNumbers w:val="0"/>
              <w:spacing w:before="0" w:beforeAutospacing="0" w:after="0" w:afterAutospacing="0"/>
              <w:ind w:left="0" w:leftChars="0" w:right="0" w:firstLine="0" w:firstLineChars="0"/>
              <w:rPr>
                <w:rFonts w:hint="default"/>
                <w:szCs w:val="21"/>
              </w:rPr>
            </w:pPr>
            <w:r>
              <w:rPr>
                <w:rFonts w:hint="default"/>
                <w:szCs w:val="21"/>
              </w:rPr>
              <w:t>合同签订并生效后，投标方提交金额为合同总价款30%人民币的增值税专用发票（税率13%），经招标方依照财务制度审核无误后</w:t>
            </w:r>
            <w:r>
              <w:rPr>
                <w:rFonts w:hint="default"/>
                <w:szCs w:val="21"/>
                <w:lang w:bidi="ar"/>
              </w:rPr>
              <w:t>30</w:t>
            </w:r>
            <w:r>
              <w:rPr>
                <w:rFonts w:hint="eastAsia"/>
                <w:szCs w:val="21"/>
                <w:lang w:bidi="ar"/>
              </w:rPr>
              <w:t>日内</w:t>
            </w:r>
            <w:r>
              <w:rPr>
                <w:rFonts w:hint="default"/>
                <w:szCs w:val="21"/>
              </w:rPr>
              <w:t>支付，作为合同的预付款。</w:t>
            </w:r>
          </w:p>
          <w:p>
            <w:pPr>
              <w:keepNext w:val="0"/>
              <w:keepLines w:val="0"/>
              <w:numPr>
                <w:ilvl w:val="0"/>
                <w:numId w:val="1"/>
              </w:numPr>
              <w:suppressLineNumbers w:val="0"/>
              <w:spacing w:before="0" w:beforeAutospacing="0" w:after="0" w:afterAutospacing="0"/>
              <w:ind w:left="0" w:leftChars="0" w:right="0" w:firstLine="0" w:firstLineChars="0"/>
              <w:rPr>
                <w:rFonts w:hint="default"/>
                <w:szCs w:val="21"/>
              </w:rPr>
            </w:pPr>
            <w:r>
              <w:rPr>
                <w:rFonts w:hint="default" w:ascii="宋体" w:hAnsi="宋体"/>
                <w:szCs w:val="21"/>
              </w:rPr>
              <w:t>所有设备在投标方现场预验收合格后，</w:t>
            </w:r>
            <w:r>
              <w:rPr>
                <w:rFonts w:hint="eastAsia" w:ascii="宋体" w:hAnsi="宋体"/>
                <w:szCs w:val="21"/>
                <w:lang w:val="en-US" w:eastAsia="zh-CN"/>
              </w:rPr>
              <w:t>设备到达招标方指定位置后，</w:t>
            </w:r>
            <w:r>
              <w:rPr>
                <w:rFonts w:hint="default" w:ascii="宋体" w:hAnsi="宋体"/>
                <w:szCs w:val="21"/>
              </w:rPr>
              <w:t>投标方提交金额为合同总价款30%人民币的增值税专用发票（税率13%），经招标方依照财务制度审核无误后支付。</w:t>
            </w:r>
          </w:p>
          <w:p>
            <w:pPr>
              <w:keepNext w:val="0"/>
              <w:keepLines w:val="0"/>
              <w:numPr>
                <w:ilvl w:val="0"/>
                <w:numId w:val="1"/>
              </w:numPr>
              <w:suppressLineNumbers w:val="0"/>
              <w:spacing w:before="0" w:beforeAutospacing="0" w:after="0" w:afterAutospacing="0"/>
              <w:ind w:left="0" w:leftChars="0" w:right="0" w:firstLine="0" w:firstLineChars="0"/>
              <w:rPr>
                <w:rFonts w:hint="default"/>
                <w:szCs w:val="21"/>
              </w:rPr>
            </w:pPr>
            <w:r>
              <w:rPr>
                <w:rFonts w:hint="eastAsia"/>
                <w:szCs w:val="21"/>
                <w:lang w:val="en-US" w:eastAsia="zh-CN"/>
              </w:rPr>
              <w:t>设备</w:t>
            </w:r>
            <w:r>
              <w:rPr>
                <w:rFonts w:hint="default"/>
                <w:szCs w:val="21"/>
              </w:rPr>
              <w:t>经安装、调试最终验收合格后，投标方开具剩余未开部分的增值税</w:t>
            </w:r>
            <w:r>
              <w:rPr>
                <w:rFonts w:hint="eastAsia"/>
                <w:szCs w:val="21"/>
                <w:lang w:val="en-US" w:eastAsia="zh-CN"/>
              </w:rPr>
              <w:t>专用</w:t>
            </w:r>
            <w:r>
              <w:rPr>
                <w:rFonts w:hint="default"/>
                <w:szCs w:val="21"/>
              </w:rPr>
              <w:t>发票（税率13%），经招标方依照财务制度审核无误后</w:t>
            </w:r>
            <w:r>
              <w:rPr>
                <w:rFonts w:hint="default"/>
                <w:szCs w:val="21"/>
                <w:lang w:bidi="ar"/>
              </w:rPr>
              <w:t>30</w:t>
            </w:r>
            <w:r>
              <w:rPr>
                <w:rFonts w:hint="eastAsia"/>
                <w:szCs w:val="21"/>
                <w:lang w:bidi="ar"/>
              </w:rPr>
              <w:t>日内</w:t>
            </w:r>
            <w:r>
              <w:rPr>
                <w:rFonts w:hint="default"/>
                <w:szCs w:val="21"/>
              </w:rPr>
              <w:t>支付合同价款的</w:t>
            </w:r>
            <w:r>
              <w:rPr>
                <w:rFonts w:hint="eastAsia"/>
                <w:szCs w:val="21"/>
                <w:lang w:val="en-US" w:eastAsia="zh-CN"/>
              </w:rPr>
              <w:t>30</w:t>
            </w:r>
            <w:r>
              <w:rPr>
                <w:rFonts w:hint="default"/>
                <w:szCs w:val="21"/>
              </w:rPr>
              <w:t>%，作为合同的验收款。</w:t>
            </w:r>
          </w:p>
          <w:p>
            <w:pPr>
              <w:keepNext w:val="0"/>
              <w:keepLines w:val="0"/>
              <w:suppressLineNumbers w:val="0"/>
              <w:spacing w:before="0" w:beforeAutospacing="0" w:after="0" w:afterAutospacing="0"/>
              <w:ind w:left="0" w:right="0"/>
              <w:rPr>
                <w:rFonts w:hint="default"/>
                <w:szCs w:val="21"/>
              </w:rPr>
            </w:pPr>
            <w:r>
              <w:rPr>
                <w:rFonts w:hint="eastAsia"/>
                <w:szCs w:val="21"/>
                <w:lang w:val="en-US" w:eastAsia="zh-CN"/>
              </w:rPr>
              <w:t>3</w:t>
            </w:r>
            <w:r>
              <w:rPr>
                <w:rFonts w:hint="default"/>
                <w:szCs w:val="21"/>
              </w:rPr>
              <w:t>、合同总价</w:t>
            </w:r>
            <w:r>
              <w:rPr>
                <w:rFonts w:hint="eastAsia"/>
                <w:szCs w:val="21"/>
              </w:rPr>
              <w:t>款的10%作为合同约定设备的质量保证金，在质保期满后</w:t>
            </w:r>
            <w:r>
              <w:rPr>
                <w:rFonts w:hint="default"/>
                <w:szCs w:val="21"/>
              </w:rPr>
              <w:t>30</w:t>
            </w:r>
            <w:r>
              <w:rPr>
                <w:rFonts w:hint="eastAsia"/>
                <w:szCs w:val="21"/>
              </w:rPr>
              <w:t>日内免息支付。质保期为一年。</w:t>
            </w:r>
          </w:p>
          <w:p>
            <w:pPr>
              <w:keepNext w:val="0"/>
              <w:keepLines w:val="0"/>
              <w:suppressLineNumbers w:val="0"/>
              <w:spacing w:before="0" w:beforeAutospacing="0" w:after="0" w:afterAutospacing="0"/>
              <w:ind w:left="0" w:right="0"/>
              <w:rPr>
                <w:rFonts w:hint="default"/>
                <w:szCs w:val="21"/>
              </w:rPr>
            </w:pPr>
            <w:r>
              <w:rPr>
                <w:rFonts w:hint="eastAsia"/>
                <w:szCs w:val="21"/>
                <w:lang w:val="en-US" w:eastAsia="zh-CN"/>
              </w:rPr>
              <w:t>4</w:t>
            </w:r>
            <w:r>
              <w:rPr>
                <w:rFonts w:hint="eastAsia"/>
                <w:szCs w:val="21"/>
              </w:rPr>
              <w:t>、付款方式为半年期商业汇票（包括银</w:t>
            </w:r>
            <w:r>
              <w:rPr>
                <w:rFonts w:hint="default"/>
                <w:szCs w:val="21"/>
              </w:rPr>
              <w:t>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9</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0"/>
              </w:rPr>
              <w:t>投标</w:t>
            </w:r>
            <w:r>
              <w:rPr>
                <w:rFonts w:hint="default"/>
                <w:kern w:val="0"/>
                <w:szCs w:val="20"/>
              </w:rPr>
              <w:t>报价</w:t>
            </w:r>
          </w:p>
        </w:tc>
        <w:tc>
          <w:tcPr>
            <w:tcW w:w="7222" w:type="dxa"/>
            <w:vAlign w:val="center"/>
          </w:tcPr>
          <w:p>
            <w:pPr>
              <w:keepNext w:val="0"/>
              <w:keepLines w:val="0"/>
              <w:suppressLineNumbers w:val="0"/>
              <w:spacing w:before="0" w:beforeAutospacing="0" w:after="0" w:afterAutospacing="0"/>
              <w:ind w:left="0" w:right="0"/>
              <w:rPr>
                <w:rFonts w:hint="default"/>
                <w:szCs w:val="21"/>
              </w:rPr>
            </w:pPr>
            <w:r>
              <w:rPr>
                <w:rFonts w:hint="default"/>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10</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资质要求</w:t>
            </w:r>
          </w:p>
        </w:tc>
        <w:tc>
          <w:tcPr>
            <w:tcW w:w="7222" w:type="dxa"/>
            <w:vAlign w:val="center"/>
          </w:tcPr>
          <w:p>
            <w:pPr>
              <w:keepNext w:val="0"/>
              <w:keepLines w:val="0"/>
              <w:numPr>
                <w:ilvl w:val="0"/>
                <w:numId w:val="2"/>
              </w:numPr>
              <w:suppressLineNumbers w:val="0"/>
              <w:spacing w:before="0" w:beforeAutospacing="0" w:after="0" w:afterAutospacing="0"/>
              <w:ind w:left="0" w:right="0"/>
              <w:rPr>
                <w:rFonts w:hint="default"/>
                <w:szCs w:val="21"/>
              </w:rPr>
            </w:pPr>
            <w:r>
              <w:rPr>
                <w:rFonts w:hint="default"/>
                <w:szCs w:val="21"/>
              </w:rPr>
              <w:t>具有工商行政管理颁发的营业执照、税务登记证复印件，并在有效期内。</w:t>
            </w:r>
          </w:p>
          <w:p>
            <w:pPr>
              <w:keepNext w:val="0"/>
              <w:keepLines w:val="0"/>
              <w:numPr>
                <w:ilvl w:val="0"/>
                <w:numId w:val="2"/>
              </w:numPr>
              <w:suppressLineNumbers w:val="0"/>
              <w:spacing w:before="0" w:beforeAutospacing="0" w:after="0" w:afterAutospacing="0"/>
              <w:ind w:left="0" w:right="0"/>
              <w:rPr>
                <w:rFonts w:hint="default"/>
                <w:szCs w:val="21"/>
                <w:highlight w:val="none"/>
              </w:rPr>
            </w:pPr>
            <w:r>
              <w:rPr>
                <w:rFonts w:hint="default"/>
                <w:szCs w:val="21"/>
                <w:highlight w:val="none"/>
              </w:rPr>
              <w:t>近三年的财务</w:t>
            </w:r>
            <w:r>
              <w:rPr>
                <w:rFonts w:hint="eastAsia"/>
                <w:szCs w:val="21"/>
                <w:highlight w:val="none"/>
                <w:lang w:eastAsia="zh-CN"/>
              </w:rPr>
              <w:t>报表</w:t>
            </w:r>
            <w:r>
              <w:rPr>
                <w:rFonts w:hint="default"/>
                <w:szCs w:val="21"/>
                <w:highlight w:val="none"/>
              </w:rPr>
              <w:t>，并加盖公章。</w:t>
            </w:r>
          </w:p>
          <w:p>
            <w:pPr>
              <w:keepNext w:val="0"/>
              <w:keepLines w:val="0"/>
              <w:numPr>
                <w:ilvl w:val="0"/>
                <w:numId w:val="2"/>
              </w:numPr>
              <w:suppressLineNumbers w:val="0"/>
              <w:spacing w:before="0" w:beforeAutospacing="0" w:after="0" w:afterAutospacing="0"/>
              <w:ind w:left="0" w:right="0"/>
              <w:rPr>
                <w:rFonts w:hint="default"/>
                <w:szCs w:val="21"/>
              </w:rPr>
            </w:pPr>
            <w:r>
              <w:rPr>
                <w:rFonts w:hint="default"/>
                <w:szCs w:val="21"/>
              </w:rPr>
              <w:t>企业最近半年完税证明、信用证明材料（中国人民银 行信用代码证+征信报告）。</w:t>
            </w:r>
          </w:p>
          <w:p>
            <w:pPr>
              <w:keepNext w:val="0"/>
              <w:keepLines w:val="0"/>
              <w:numPr>
                <w:ilvl w:val="0"/>
                <w:numId w:val="2"/>
              </w:numPr>
              <w:suppressLineNumbers w:val="0"/>
              <w:spacing w:before="0" w:beforeAutospacing="0" w:after="0" w:afterAutospacing="0"/>
              <w:ind w:left="0" w:right="0"/>
              <w:rPr>
                <w:rFonts w:hint="default"/>
                <w:szCs w:val="21"/>
              </w:rPr>
            </w:pPr>
            <w:r>
              <w:rPr>
                <w:rFonts w:hint="default"/>
                <w:szCs w:val="21"/>
              </w:rPr>
              <w:t>年度纳税信用评价信息（可从电子税务局查询截图， 需加盖公章）；</w:t>
            </w:r>
          </w:p>
          <w:p>
            <w:pPr>
              <w:keepNext w:val="0"/>
              <w:keepLines w:val="0"/>
              <w:numPr>
                <w:ilvl w:val="0"/>
                <w:numId w:val="2"/>
              </w:numPr>
              <w:suppressLineNumbers w:val="0"/>
              <w:spacing w:before="0" w:beforeAutospacing="0" w:after="0" w:afterAutospacing="0"/>
              <w:ind w:left="0" w:right="0"/>
              <w:rPr>
                <w:rFonts w:hint="default"/>
                <w:szCs w:val="21"/>
              </w:rPr>
            </w:pPr>
            <w:r>
              <w:rPr>
                <w:rFonts w:hint="default"/>
                <w:szCs w:val="21"/>
              </w:rPr>
              <w:t>企业对外担保说明（写明贵单位对外有无对外担保和质押业务，需加盖公章）；</w:t>
            </w:r>
          </w:p>
          <w:p>
            <w:pPr>
              <w:keepNext w:val="0"/>
              <w:keepLines w:val="0"/>
              <w:suppressLineNumbers w:val="0"/>
              <w:spacing w:before="0" w:beforeAutospacing="0" w:after="0" w:afterAutospacing="0"/>
              <w:ind w:left="0" w:right="0"/>
              <w:rPr>
                <w:rFonts w:hint="default"/>
                <w:szCs w:val="21"/>
              </w:rPr>
            </w:pPr>
            <w:r>
              <w:rPr>
                <w:rFonts w:hint="eastAsia"/>
                <w:szCs w:val="21"/>
              </w:rPr>
              <w:t>6、</w:t>
            </w:r>
            <w:r>
              <w:rPr>
                <w:rFonts w:hint="default"/>
                <w:szCs w:val="21"/>
              </w:rPr>
              <w:t>技术能力：制造商应具备一定的技术研发能力，能够提供技术支持和售后服务。</w:t>
            </w:r>
          </w:p>
          <w:p>
            <w:pPr>
              <w:keepNext w:val="0"/>
              <w:keepLines w:val="0"/>
              <w:suppressLineNumbers w:val="0"/>
              <w:spacing w:before="0" w:beforeAutospacing="0" w:after="0" w:afterAutospacing="0"/>
              <w:ind w:left="0" w:right="0"/>
              <w:rPr>
                <w:rFonts w:hint="default" w:eastAsia="微软雅黑"/>
                <w:color w:val="171A1D"/>
                <w:sz w:val="22"/>
                <w:szCs w:val="22"/>
                <w:shd w:val="clear" w:color="auto" w:fill="FFFFFF"/>
              </w:rPr>
            </w:pPr>
            <w:r>
              <w:rPr>
                <w:rFonts w:hint="eastAsia" w:eastAsia="微软雅黑"/>
                <w:color w:val="171A1D"/>
                <w:sz w:val="22"/>
                <w:szCs w:val="22"/>
                <w:shd w:val="clear" w:color="auto" w:fill="FFFFFF"/>
              </w:rPr>
              <w:t>7</w:t>
            </w:r>
            <w:r>
              <w:rPr>
                <w:rFonts w:hint="default" w:hAnsi="微软雅黑" w:eastAsia="微软雅黑"/>
                <w:color w:val="171A1D"/>
                <w:sz w:val="22"/>
                <w:szCs w:val="22"/>
                <w:shd w:val="clear" w:color="auto" w:fill="FFFFFF"/>
              </w:rPr>
              <w:t>、安装调试资质</w:t>
            </w:r>
          </w:p>
          <w:p>
            <w:pPr>
              <w:keepNext w:val="0"/>
              <w:keepLines w:val="0"/>
              <w:suppressLineNumbers w:val="0"/>
              <w:spacing w:before="0" w:beforeAutospacing="0" w:after="0" w:afterAutospacing="0"/>
              <w:ind w:left="0" w:right="0"/>
              <w:rPr>
                <w:rFonts w:hint="default"/>
                <w:szCs w:val="21"/>
              </w:rPr>
            </w:pPr>
            <w:r>
              <w:rPr>
                <w:rFonts w:hint="eastAsia"/>
                <w:szCs w:val="21"/>
              </w:rPr>
              <w:t>7</w:t>
            </w:r>
            <w:r>
              <w:rPr>
                <w:rFonts w:hint="default"/>
                <w:szCs w:val="21"/>
              </w:rPr>
              <w:t>.1 专业资质：安装调试单位应具备相应的专业资质证书（如机电设备安装工程专业承包资质），确保其有能力和经验进行设备安装和调试。</w:t>
            </w:r>
          </w:p>
          <w:p>
            <w:pPr>
              <w:keepNext w:val="0"/>
              <w:keepLines w:val="0"/>
              <w:suppressLineNumbers w:val="0"/>
              <w:spacing w:before="0" w:beforeAutospacing="0" w:after="0" w:afterAutospacing="0"/>
              <w:ind w:left="0" w:right="0"/>
              <w:rPr>
                <w:rFonts w:hint="default"/>
                <w:szCs w:val="21"/>
              </w:rPr>
            </w:pPr>
            <w:r>
              <w:rPr>
                <w:rFonts w:hint="eastAsia"/>
                <w:szCs w:val="21"/>
              </w:rPr>
              <w:t>7</w:t>
            </w:r>
            <w:r>
              <w:rPr>
                <w:rFonts w:hint="default"/>
                <w:szCs w:val="21"/>
              </w:rPr>
              <w:t>.</w:t>
            </w:r>
            <w:r>
              <w:rPr>
                <w:rFonts w:hint="eastAsia"/>
                <w:szCs w:val="21"/>
              </w:rPr>
              <w:t>2</w:t>
            </w:r>
            <w:r>
              <w:rPr>
                <w:rFonts w:hint="default"/>
                <w:szCs w:val="21"/>
              </w:rPr>
              <w:t xml:space="preserve"> 施工许可：根据当地法律法规，安装调试单位可能需要申请并获得相关的施工许可。</w:t>
            </w:r>
          </w:p>
          <w:p>
            <w:pPr>
              <w:keepNext w:val="0"/>
              <w:keepLines w:val="0"/>
              <w:suppressLineNumbers w:val="0"/>
              <w:spacing w:before="0" w:beforeAutospacing="0" w:after="0" w:afterAutospacing="0"/>
              <w:ind w:left="0" w:right="0"/>
              <w:rPr>
                <w:rFonts w:hint="default"/>
                <w:szCs w:val="21"/>
              </w:rPr>
            </w:pPr>
            <w:r>
              <w:rPr>
                <w:rFonts w:hint="eastAsia" w:eastAsia="微软雅黑"/>
                <w:color w:val="171A1D"/>
                <w:sz w:val="22"/>
                <w:szCs w:val="22"/>
                <w:shd w:val="clear" w:color="auto" w:fill="FFFFFF"/>
              </w:rPr>
              <w:t>8</w:t>
            </w:r>
            <w:r>
              <w:rPr>
                <w:rFonts w:hint="default" w:hAnsi="微软雅黑" w:eastAsia="微软雅黑"/>
                <w:color w:val="171A1D"/>
                <w:sz w:val="22"/>
                <w:szCs w:val="22"/>
                <w:shd w:val="clear" w:color="auto" w:fill="FFFFFF"/>
              </w:rPr>
              <w:t>、操作人员资质</w:t>
            </w:r>
          </w:p>
          <w:p>
            <w:pPr>
              <w:keepNext w:val="0"/>
              <w:keepLines w:val="0"/>
              <w:suppressLineNumbers w:val="0"/>
              <w:spacing w:before="0" w:beforeAutospacing="0" w:after="0" w:afterAutospacing="0"/>
              <w:ind w:left="0" w:right="0"/>
              <w:rPr>
                <w:rFonts w:hint="default"/>
                <w:szCs w:val="21"/>
              </w:rPr>
            </w:pPr>
            <w:r>
              <w:rPr>
                <w:rFonts w:hint="eastAsia"/>
                <w:szCs w:val="21"/>
              </w:rPr>
              <w:t>8</w:t>
            </w:r>
            <w:r>
              <w:rPr>
                <w:rFonts w:hint="default"/>
                <w:szCs w:val="21"/>
              </w:rPr>
              <w:t>.1 培训与认证：操作人员应接受专业的培训，并获得相应的职业资格证书（如机器人操作员证书等）。</w:t>
            </w:r>
          </w:p>
          <w:p>
            <w:pPr>
              <w:keepNext w:val="0"/>
              <w:keepLines w:val="0"/>
              <w:suppressLineNumbers w:val="0"/>
              <w:spacing w:before="0" w:beforeAutospacing="0" w:after="0" w:afterAutospacing="0"/>
              <w:ind w:left="0" w:right="0"/>
              <w:rPr>
                <w:rFonts w:hint="default"/>
                <w:szCs w:val="21"/>
              </w:rPr>
            </w:pPr>
            <w:r>
              <w:rPr>
                <w:rFonts w:hint="eastAsia"/>
                <w:szCs w:val="21"/>
              </w:rPr>
              <w:t>8</w:t>
            </w:r>
            <w:r>
              <w:rPr>
                <w:rFonts w:hint="default"/>
                <w:szCs w:val="21"/>
              </w:rPr>
              <w:t>.2 定期复训：为确保操作人员的技能始终处于最新水平，企业应定期组织复训，更新他们的知识和技能。</w:t>
            </w:r>
          </w:p>
          <w:p>
            <w:pPr>
              <w:keepNext w:val="0"/>
              <w:keepLines w:val="0"/>
              <w:suppressLineNumbers w:val="0"/>
              <w:spacing w:before="0" w:beforeAutospacing="0" w:after="0" w:afterAutospacing="0"/>
              <w:ind w:left="0" w:right="0"/>
              <w:rPr>
                <w:rFonts w:hint="default"/>
                <w:szCs w:val="21"/>
              </w:rPr>
            </w:pPr>
            <w:r>
              <w:rPr>
                <w:rFonts w:hint="eastAsia"/>
                <w:szCs w:val="21"/>
              </w:rPr>
              <w:t>9、</w:t>
            </w:r>
            <w:r>
              <w:rPr>
                <w:rFonts w:hint="default"/>
                <w:szCs w:val="21"/>
              </w:rPr>
              <w:t xml:space="preserve"> 标准规范遵循：企业应遵循最新的行业标准和技术规范，确保设备性能和工艺流程达到最佳水平。</w:t>
            </w:r>
          </w:p>
          <w:p>
            <w:pPr>
              <w:pStyle w:val="7"/>
              <w:keepNext w:val="0"/>
              <w:keepLines w:val="0"/>
              <w:widowControl/>
              <w:suppressLineNumbers w:val="0"/>
              <w:shd w:val="clear" w:color="auto" w:fill="FFFFFF"/>
              <w:spacing w:before="0" w:beforeAutospacing="0" w:after="0" w:afterAutospacing="0" w:line="23" w:lineRule="atLeast"/>
              <w:ind w:left="0" w:right="0"/>
              <w:rPr>
                <w:rFonts w:hint="default" w:ascii="Times New Roman" w:hAnsi="Times New Roman"/>
                <w:b w:val="0"/>
                <w:szCs w:val="21"/>
              </w:rPr>
            </w:pPr>
            <w:r>
              <w:rPr>
                <w:rFonts w:hint="default" w:ascii="Times New Roman" w:hAnsi="Times New Roman" w:eastAsia="微软雅黑"/>
                <w:b w:val="0"/>
                <w:color w:val="171A1D"/>
                <w:sz w:val="22"/>
                <w:szCs w:val="22"/>
                <w:shd w:val="clear" w:color="auto" w:fill="FFFFFF"/>
                <w:lang w:val="en-US"/>
              </w:rPr>
              <w:t>1</w:t>
            </w:r>
            <w:r>
              <w:rPr>
                <w:rFonts w:hint="eastAsia" w:ascii="Times New Roman" w:hAnsi="Times New Roman" w:eastAsia="微软雅黑"/>
                <w:b w:val="0"/>
                <w:color w:val="171A1D"/>
                <w:sz w:val="22"/>
                <w:szCs w:val="22"/>
                <w:shd w:val="clear" w:color="auto" w:fill="FFFFFF"/>
                <w:lang w:val="en-US"/>
              </w:rPr>
              <w:t>0</w:t>
            </w:r>
            <w:r>
              <w:rPr>
                <w:rFonts w:hint="default" w:ascii="Times New Roman" w:hAnsi="Times New Roman" w:eastAsia="微软雅黑"/>
                <w:b w:val="0"/>
                <w:color w:val="171A1D"/>
                <w:sz w:val="22"/>
                <w:szCs w:val="22"/>
                <w:shd w:val="clear" w:color="auto" w:fill="FFFFFF"/>
                <w:lang w:val="en-US"/>
              </w:rPr>
              <w:t>、</w:t>
            </w:r>
            <w:r>
              <w:rPr>
                <w:rFonts w:hint="default" w:ascii="Times New Roman" w:hAnsi="Times New Roman" w:eastAsia="微软雅黑"/>
                <w:b w:val="0"/>
                <w:color w:val="171A1D"/>
                <w:sz w:val="22"/>
                <w:szCs w:val="22"/>
                <w:shd w:val="clear" w:color="auto" w:fill="FFFFFF"/>
              </w:rPr>
              <w:t>客户支持与服务</w:t>
            </w:r>
          </w:p>
          <w:p>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0</w:t>
            </w:r>
            <w:r>
              <w:rPr>
                <w:rFonts w:hint="default"/>
                <w:szCs w:val="21"/>
              </w:rPr>
              <w:t>.1 售后服务：制造商应提供完善的售后服务，包括设备维护、故障排除、技术支持等，确保设备的长期稳定运行。</w:t>
            </w:r>
          </w:p>
          <w:p>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0</w:t>
            </w:r>
            <w:r>
              <w:rPr>
                <w:rFonts w:hint="default"/>
                <w:szCs w:val="21"/>
              </w:rPr>
              <w:t>.2 备件供应：制造商应保证关键部件的备件供应，以便在设备出现问题时能够迅速修复，减少停机时间。</w:t>
            </w:r>
          </w:p>
          <w:p>
            <w:pPr>
              <w:keepNext w:val="0"/>
              <w:keepLines w:val="0"/>
              <w:suppressLineNumbers w:val="0"/>
              <w:spacing w:before="0" w:beforeAutospacing="0" w:after="0" w:afterAutospacing="0"/>
              <w:ind w:left="0" w:right="0"/>
              <w:rPr>
                <w:rFonts w:hint="eastAsia" w:eastAsia="宋体"/>
                <w:szCs w:val="21"/>
                <w:lang w:eastAsia="zh-CN"/>
              </w:rPr>
            </w:pPr>
            <w:r>
              <w:rPr>
                <w:rFonts w:hint="default"/>
                <w:szCs w:val="21"/>
              </w:rPr>
              <w:t>1</w:t>
            </w:r>
            <w:r>
              <w:rPr>
                <w:rFonts w:hint="eastAsia"/>
                <w:szCs w:val="21"/>
              </w:rPr>
              <w:t>1</w:t>
            </w:r>
            <w:r>
              <w:rPr>
                <w:rFonts w:hint="default"/>
                <w:szCs w:val="21"/>
              </w:rPr>
              <w:t>、投标人必须是在中华人民共和国境内注册的独立法人机构，具有独立承担民事责任能力</w:t>
            </w:r>
            <w:r>
              <w:rPr>
                <w:rFonts w:hint="eastAsia"/>
                <w:szCs w:val="21"/>
                <w:lang w:eastAsia="zh-CN"/>
              </w:rPr>
              <w:t>。</w:t>
            </w:r>
          </w:p>
          <w:p>
            <w:pPr>
              <w:keepNext w:val="0"/>
              <w:keepLines w:val="0"/>
              <w:suppressLineNumbers w:val="0"/>
              <w:spacing w:before="0" w:beforeAutospacing="0" w:after="0" w:afterAutospacing="0"/>
              <w:ind w:left="0" w:right="0"/>
              <w:rPr>
                <w:rFonts w:hint="default"/>
                <w:szCs w:val="21"/>
              </w:rPr>
            </w:pPr>
            <w:r>
              <w:rPr>
                <w:rFonts w:hint="default"/>
                <w:szCs w:val="21"/>
              </w:rPr>
              <w:t>1</w:t>
            </w:r>
            <w:r>
              <w:rPr>
                <w:rFonts w:hint="eastAsia"/>
                <w:szCs w:val="21"/>
              </w:rPr>
              <w:t>2</w:t>
            </w:r>
            <w:r>
              <w:rPr>
                <w:rFonts w:hint="default"/>
                <w:szCs w:val="21"/>
              </w:rPr>
              <w:t>、投标人应遵守《中华人民共和国招标投标法》及有关的国家法律、法规和条例；</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1</w:t>
            </w:r>
            <w:r>
              <w:rPr>
                <w:rFonts w:hint="eastAsia"/>
                <w:szCs w:val="21"/>
              </w:rPr>
              <w:t>3</w:t>
            </w:r>
            <w:r>
              <w:rPr>
                <w:rFonts w:hint="default"/>
                <w:szCs w:val="21"/>
              </w:rPr>
              <w:t>、投标人财务状况良好，经营情况稳定，没有处于被责令停业、财产被接管、冻结或破产状态，具有全面履约的能力，能提供相关信用等级和完税证明。</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1</w:t>
            </w:r>
            <w:r>
              <w:rPr>
                <w:rFonts w:hint="eastAsia"/>
                <w:szCs w:val="21"/>
              </w:rPr>
              <w:t>4</w:t>
            </w:r>
            <w:r>
              <w:rPr>
                <w:rFonts w:hint="default"/>
                <w:szCs w:val="21"/>
              </w:rPr>
              <w:t>、投标人必须具有履行合同所必须的财务、技术能力，具有较强实力和良好信誉；</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1</w:t>
            </w:r>
            <w:r>
              <w:rPr>
                <w:rFonts w:hint="eastAsia"/>
                <w:szCs w:val="21"/>
              </w:rPr>
              <w:t>5</w:t>
            </w:r>
            <w:r>
              <w:rPr>
                <w:rFonts w:hint="default"/>
                <w:szCs w:val="21"/>
              </w:rPr>
              <w:t>、投标人无招标违规、谎报年度报告信息、提供虚假资质资料等行为或其他行政处罚记录；</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1</w:t>
            </w:r>
            <w:r>
              <w:rPr>
                <w:rFonts w:hint="eastAsia"/>
                <w:szCs w:val="21"/>
              </w:rPr>
              <w:t>6</w:t>
            </w:r>
            <w:r>
              <w:rPr>
                <w:rFonts w:hint="default"/>
                <w:szCs w:val="21"/>
              </w:rPr>
              <w:t>、投标人的直接或间接股东、法定代表人、董事、监事、高管非中通员工及其亲属；</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1</w:t>
            </w:r>
            <w:r>
              <w:rPr>
                <w:rFonts w:hint="eastAsia"/>
                <w:szCs w:val="21"/>
              </w:rPr>
              <w:t>7</w:t>
            </w:r>
            <w:r>
              <w:rPr>
                <w:rFonts w:hint="default"/>
                <w:szCs w:val="21"/>
              </w:rPr>
              <w:t>、投标人没有被中通客车列入黑名单；</w:t>
            </w:r>
          </w:p>
          <w:p>
            <w:pPr>
              <w:keepNext w:val="0"/>
              <w:keepLines w:val="0"/>
              <w:widowControl/>
              <w:suppressLineNumbers w:val="0"/>
              <w:adjustRightInd w:val="0"/>
              <w:snapToGrid w:val="0"/>
              <w:spacing w:before="0" w:beforeAutospacing="0" w:after="0" w:afterAutospacing="0"/>
              <w:ind w:left="0" w:right="0"/>
              <w:rPr>
                <w:rFonts w:hint="default"/>
                <w:b/>
                <w:bCs/>
                <w:szCs w:val="21"/>
              </w:rPr>
            </w:pPr>
            <w:r>
              <w:rPr>
                <w:rFonts w:hint="eastAsia"/>
                <w:szCs w:val="21"/>
              </w:rPr>
              <w:t>18</w:t>
            </w:r>
            <w:r>
              <w:rPr>
                <w:rFonts w:hint="default"/>
                <w:szCs w:val="21"/>
              </w:rPr>
              <w:t>、</w:t>
            </w:r>
            <w:r>
              <w:rPr>
                <w:rFonts w:hint="default"/>
                <w:szCs w:val="20"/>
              </w:rPr>
              <w:t>投标人未被法院列为失信被执行人</w:t>
            </w:r>
            <w:r>
              <w:rPr>
                <w:rFonts w:hint="default"/>
                <w:szCs w:val="21"/>
              </w:rPr>
              <w:t>；</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19</w:t>
            </w:r>
            <w:r>
              <w:rPr>
                <w:rFonts w:hint="default"/>
                <w:szCs w:val="21"/>
              </w:rPr>
              <w:t>、项目骨干成员到会参加投标会。中标方不得随意更换项目负责人，若确需更换需征得甲方同意；</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2</w:t>
            </w:r>
            <w:r>
              <w:rPr>
                <w:rFonts w:hint="eastAsia"/>
                <w:szCs w:val="21"/>
              </w:rPr>
              <w:t>0</w:t>
            </w:r>
            <w:r>
              <w:rPr>
                <w:rFonts w:hint="default"/>
                <w:szCs w:val="21"/>
              </w:rPr>
              <w:t>、投标人现场讲技术标人员必须是本项目负责人；</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2</w:t>
            </w:r>
            <w:r>
              <w:rPr>
                <w:rFonts w:hint="eastAsia"/>
                <w:szCs w:val="21"/>
              </w:rPr>
              <w:t>1</w:t>
            </w:r>
            <w:r>
              <w:rPr>
                <w:rFonts w:hint="default"/>
                <w:szCs w:val="21"/>
              </w:rPr>
              <w:t>、投标人须认可招标人的工作指令，包括节、假日能正常开展工作的要求；</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eastAsia"/>
                <w:szCs w:val="21"/>
              </w:rPr>
              <w:t>22、不接受代理商及联合体投标；</w:t>
            </w:r>
          </w:p>
          <w:p>
            <w:pPr>
              <w:keepNext w:val="0"/>
              <w:keepLines w:val="0"/>
              <w:suppressLineNumbers w:val="0"/>
              <w:tabs>
                <w:tab w:val="left" w:pos="1050"/>
                <w:tab w:val="left" w:pos="1470"/>
              </w:tabs>
              <w:spacing w:before="0" w:beforeAutospacing="0" w:after="0" w:afterAutospacing="0"/>
              <w:ind w:left="0" w:right="0"/>
              <w:rPr>
                <w:rFonts w:hint="default"/>
                <w:szCs w:val="21"/>
              </w:rPr>
            </w:pPr>
            <w:r>
              <w:rPr>
                <w:rFonts w:hint="default"/>
                <w:szCs w:val="21"/>
              </w:rPr>
              <w:t>2</w:t>
            </w:r>
            <w:r>
              <w:rPr>
                <w:rFonts w:hint="eastAsia"/>
                <w:szCs w:val="21"/>
              </w:rPr>
              <w:t>3</w:t>
            </w:r>
            <w:r>
              <w:rPr>
                <w:rFonts w:hint="default"/>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11</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招标时间</w:t>
            </w:r>
          </w:p>
          <w:p>
            <w:pPr>
              <w:keepNext w:val="0"/>
              <w:keepLines w:val="0"/>
              <w:suppressLineNumbers w:val="0"/>
              <w:spacing w:before="0" w:beforeAutospacing="0" w:after="0" w:afterAutospacing="0"/>
              <w:ind w:left="0" w:right="0"/>
              <w:jc w:val="center"/>
              <w:rPr>
                <w:rFonts w:hint="default"/>
                <w:szCs w:val="21"/>
              </w:rPr>
            </w:pPr>
            <w:r>
              <w:rPr>
                <w:rFonts w:hint="default"/>
                <w:szCs w:val="21"/>
              </w:rPr>
              <w:t>招标程序</w:t>
            </w:r>
          </w:p>
          <w:p>
            <w:pPr>
              <w:keepNext w:val="0"/>
              <w:keepLines w:val="0"/>
              <w:suppressLineNumbers w:val="0"/>
              <w:spacing w:before="0" w:beforeAutospacing="0" w:after="0" w:afterAutospacing="0"/>
              <w:ind w:left="0" w:right="0"/>
              <w:jc w:val="center"/>
              <w:rPr>
                <w:rFonts w:hint="default"/>
                <w:szCs w:val="21"/>
              </w:rPr>
            </w:pPr>
            <w:r>
              <w:rPr>
                <w:rFonts w:hint="default"/>
                <w:szCs w:val="21"/>
              </w:rPr>
              <w:t>招标地点</w:t>
            </w:r>
          </w:p>
        </w:tc>
        <w:tc>
          <w:tcPr>
            <w:tcW w:w="7222" w:type="dxa"/>
          </w:tcPr>
          <w:p>
            <w:pPr>
              <w:keepNext w:val="0"/>
              <w:keepLines w:val="0"/>
              <w:suppressLineNumbers w:val="0"/>
              <w:spacing w:before="0" w:beforeAutospacing="0" w:after="0" w:afterAutospacing="0"/>
              <w:ind w:left="0" w:right="0"/>
              <w:rPr>
                <w:rFonts w:hint="default"/>
                <w:szCs w:val="21"/>
              </w:rPr>
            </w:pPr>
            <w:r>
              <w:rPr>
                <w:rFonts w:hint="default"/>
                <w:szCs w:val="21"/>
              </w:rPr>
              <w:t>招标时间：2025年</w:t>
            </w:r>
            <w:r>
              <w:rPr>
                <w:rFonts w:hint="eastAsia"/>
                <w:szCs w:val="21"/>
                <w:lang w:val="en-US" w:eastAsia="zh-CN"/>
              </w:rPr>
              <w:t>6月10</w:t>
            </w:r>
            <w:r>
              <w:rPr>
                <w:rFonts w:hint="default"/>
                <w:szCs w:val="21"/>
              </w:rPr>
              <w:t>日上午9点00分。</w:t>
            </w:r>
          </w:p>
          <w:p>
            <w:pPr>
              <w:keepNext w:val="0"/>
              <w:keepLines w:val="0"/>
              <w:suppressLineNumbers w:val="0"/>
              <w:spacing w:before="0" w:beforeAutospacing="0" w:after="0" w:afterAutospacing="0"/>
              <w:ind w:left="0" w:right="0" w:firstLine="624" w:firstLineChars="296"/>
              <w:rPr>
                <w:rFonts w:hint="default"/>
                <w:b/>
                <w:szCs w:val="21"/>
              </w:rPr>
            </w:pPr>
            <w:r>
              <w:rPr>
                <w:rFonts w:hint="default"/>
                <w:b/>
                <w:szCs w:val="21"/>
              </w:rPr>
              <w:t xml:space="preserve">时间              地点                  会议内容 </w:t>
            </w:r>
          </w:p>
          <w:p>
            <w:pPr>
              <w:keepNext w:val="0"/>
              <w:keepLines w:val="0"/>
              <w:suppressLineNumbers w:val="0"/>
              <w:spacing w:before="0" w:beforeAutospacing="0" w:after="0" w:afterAutospacing="0"/>
              <w:ind w:left="0" w:right="0"/>
              <w:rPr>
                <w:rFonts w:hint="default"/>
                <w:szCs w:val="21"/>
              </w:rPr>
            </w:pPr>
            <w:r>
              <w:rPr>
                <w:rFonts w:hint="default"/>
                <w:szCs w:val="21"/>
              </w:rPr>
              <w:t xml:space="preserve">上午 9时00分    </w:t>
            </w:r>
            <w:r>
              <w:rPr>
                <w:rFonts w:hint="eastAsia"/>
                <w:szCs w:val="21"/>
              </w:rPr>
              <w:t>办公楼10</w:t>
            </w:r>
            <w:r>
              <w:rPr>
                <w:rFonts w:hint="eastAsia"/>
                <w:szCs w:val="21"/>
                <w:lang w:val="en-US" w:eastAsia="zh-CN"/>
              </w:rPr>
              <w:t>6</w:t>
            </w:r>
            <w:r>
              <w:rPr>
                <w:rFonts w:hint="default"/>
                <w:szCs w:val="21"/>
              </w:rPr>
              <w:t>会议室       投标单位投递标书</w:t>
            </w:r>
          </w:p>
          <w:p>
            <w:pPr>
              <w:keepNext w:val="0"/>
              <w:keepLines w:val="0"/>
              <w:suppressLineNumbers w:val="0"/>
              <w:spacing w:before="0" w:beforeAutospacing="0" w:after="0" w:afterAutospacing="0"/>
              <w:ind w:left="0" w:right="0" w:firstLine="522" w:firstLineChars="249"/>
              <w:rPr>
                <w:rFonts w:hint="default"/>
                <w:szCs w:val="21"/>
              </w:rPr>
            </w:pPr>
            <w:r>
              <w:rPr>
                <w:rFonts w:hint="default"/>
                <w:szCs w:val="21"/>
              </w:rPr>
              <w:t xml:space="preserve">9时10分    </w:t>
            </w:r>
            <w:r>
              <w:rPr>
                <w:rFonts w:hint="eastAsia"/>
                <w:szCs w:val="21"/>
              </w:rPr>
              <w:t>办公楼10</w:t>
            </w:r>
            <w:r>
              <w:rPr>
                <w:rFonts w:hint="eastAsia"/>
                <w:szCs w:val="21"/>
                <w:lang w:val="en-US" w:eastAsia="zh-CN"/>
              </w:rPr>
              <w:t>6</w:t>
            </w:r>
            <w:r>
              <w:rPr>
                <w:rFonts w:hint="default"/>
                <w:szCs w:val="21"/>
              </w:rPr>
              <w:t>会议室        评委审阅标书</w:t>
            </w:r>
          </w:p>
          <w:p>
            <w:pPr>
              <w:keepNext w:val="0"/>
              <w:keepLines w:val="0"/>
              <w:suppressLineNumbers w:val="0"/>
              <w:spacing w:before="0" w:beforeAutospacing="0" w:after="0" w:afterAutospacing="0"/>
              <w:ind w:left="0" w:right="0" w:firstLine="522" w:firstLineChars="249"/>
              <w:rPr>
                <w:rFonts w:hint="default"/>
                <w:szCs w:val="21"/>
              </w:rPr>
            </w:pPr>
            <w:r>
              <w:rPr>
                <w:rFonts w:hint="default"/>
                <w:szCs w:val="21"/>
              </w:rPr>
              <w:t xml:space="preserve">10时30分   </w:t>
            </w:r>
            <w:r>
              <w:rPr>
                <w:rFonts w:hint="eastAsia"/>
                <w:szCs w:val="21"/>
              </w:rPr>
              <w:t>办公楼10</w:t>
            </w:r>
            <w:r>
              <w:rPr>
                <w:rFonts w:hint="eastAsia"/>
                <w:szCs w:val="21"/>
                <w:lang w:val="en-US" w:eastAsia="zh-CN"/>
              </w:rPr>
              <w:t>6</w:t>
            </w:r>
            <w:r>
              <w:rPr>
                <w:rFonts w:hint="default"/>
                <w:szCs w:val="21"/>
              </w:rPr>
              <w:t>会议室        评标、定标</w:t>
            </w:r>
          </w:p>
          <w:p>
            <w:pPr>
              <w:keepNext w:val="0"/>
              <w:keepLines w:val="0"/>
              <w:suppressLineNumbers w:val="0"/>
              <w:spacing w:before="0" w:beforeAutospacing="0" w:after="0" w:afterAutospacing="0"/>
              <w:ind w:left="0" w:right="0"/>
              <w:rPr>
                <w:rFonts w:hint="default"/>
                <w:szCs w:val="21"/>
              </w:rPr>
            </w:pPr>
            <w:r>
              <w:rPr>
                <w:rFonts w:hint="default"/>
                <w:szCs w:val="21"/>
              </w:rPr>
              <w:t>具体时间节点安排根据现场招标进度进行调整。</w:t>
            </w:r>
          </w:p>
          <w:p>
            <w:pPr>
              <w:keepNext w:val="0"/>
              <w:keepLines w:val="0"/>
              <w:suppressLineNumbers w:val="0"/>
              <w:spacing w:before="0" w:beforeAutospacing="0" w:after="0" w:afterAutospacing="0"/>
              <w:ind w:left="0" w:right="0"/>
              <w:rPr>
                <w:rFonts w:hint="default"/>
                <w:szCs w:val="21"/>
              </w:rPr>
            </w:pPr>
            <w:r>
              <w:rPr>
                <w:rFonts w:hint="default"/>
                <w:szCs w:val="21"/>
              </w:rPr>
              <w:t>地点：山东省聊城市经济开发区黄河路261号中通客车股份有限公司。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6"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12</w:t>
            </w:r>
          </w:p>
        </w:tc>
        <w:tc>
          <w:tcPr>
            <w:tcW w:w="1347" w:type="dxa"/>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投标文件份数</w:t>
            </w:r>
          </w:p>
        </w:tc>
        <w:tc>
          <w:tcPr>
            <w:tcW w:w="7222" w:type="dxa"/>
            <w:vAlign w:val="center"/>
          </w:tcPr>
          <w:p>
            <w:pPr>
              <w:keepNext w:val="0"/>
              <w:keepLines w:val="0"/>
              <w:suppressLineNumbers w:val="0"/>
              <w:spacing w:before="0" w:beforeAutospacing="0" w:after="0" w:afterAutospacing="0"/>
              <w:ind w:left="0" w:right="0"/>
              <w:rPr>
                <w:rFonts w:hint="default"/>
                <w:szCs w:val="21"/>
              </w:rPr>
            </w:pPr>
            <w:r>
              <w:rPr>
                <w:rFonts w:hint="default"/>
                <w:szCs w:val="21"/>
              </w:rPr>
              <w:t>1、投标文件的密封及标记</w:t>
            </w:r>
          </w:p>
          <w:p>
            <w:pPr>
              <w:keepNext w:val="0"/>
              <w:keepLines w:val="0"/>
              <w:suppressLineNumbers w:val="0"/>
              <w:spacing w:before="0" w:beforeAutospacing="0" w:after="0" w:afterAutospacing="0"/>
              <w:ind w:left="0" w:right="0"/>
              <w:rPr>
                <w:rFonts w:hint="default"/>
                <w:szCs w:val="21"/>
              </w:rPr>
            </w:pPr>
            <w:r>
              <w:rPr>
                <w:rFonts w:hint="default"/>
                <w:szCs w:val="21"/>
              </w:rPr>
              <w:t>1.1投标文件应按以下方法分别装袋密封：</w:t>
            </w:r>
            <w:r>
              <w:rPr>
                <w:rFonts w:hint="default"/>
                <w:b/>
                <w:szCs w:val="21"/>
              </w:rPr>
              <w:t>商务文件（含正本1份、副本3份）密封袋（U盘含商务、资质资格电子文件）、企业资质资格证明（含正本1份、副本</w:t>
            </w:r>
            <w:r>
              <w:rPr>
                <w:rFonts w:hint="eastAsia"/>
                <w:b/>
                <w:szCs w:val="21"/>
              </w:rPr>
              <w:t>3</w:t>
            </w:r>
            <w:r>
              <w:rPr>
                <w:rFonts w:hint="default"/>
                <w:b/>
                <w:szCs w:val="21"/>
              </w:rPr>
              <w:t>份）密封袋、技术文件（含正本1份、副本3份）密封袋（U盘含技术电子文件），</w:t>
            </w:r>
            <w:r>
              <w:rPr>
                <w:rFonts w:hint="default"/>
                <w:szCs w:val="21"/>
              </w:rPr>
              <w:t>如一个袋装不下可扩展，密封袋封口处应有投标人公章。封皮上写明招标项目名称、投标人名称、地址、电话、授权人等相关信息。</w:t>
            </w:r>
          </w:p>
          <w:p>
            <w:pPr>
              <w:keepNext w:val="0"/>
              <w:keepLines w:val="0"/>
              <w:suppressLineNumbers w:val="0"/>
              <w:spacing w:before="0" w:beforeAutospacing="0" w:after="0" w:afterAutospacing="0"/>
              <w:ind w:left="0" w:right="0"/>
              <w:rPr>
                <w:rFonts w:hint="default"/>
                <w:szCs w:val="21"/>
              </w:rPr>
            </w:pPr>
            <w:r>
              <w:rPr>
                <w:rFonts w:hint="default"/>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13</w:t>
            </w: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投标保证金</w:t>
            </w:r>
          </w:p>
        </w:tc>
        <w:tc>
          <w:tcPr>
            <w:tcW w:w="7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54"/>
              </w:tabs>
              <w:spacing w:before="0" w:beforeAutospacing="0" w:after="0" w:afterAutospacing="0"/>
              <w:ind w:left="0" w:right="0"/>
              <w:rPr>
                <w:rFonts w:hint="default"/>
                <w:color w:val="000000"/>
                <w:szCs w:val="21"/>
              </w:rPr>
            </w:pPr>
            <w:r>
              <w:rPr>
                <w:rFonts w:hint="default"/>
                <w:color w:val="000000"/>
                <w:szCs w:val="21"/>
              </w:rPr>
              <w:t>投标保证金：</w:t>
            </w:r>
          </w:p>
          <w:p>
            <w:pPr>
              <w:keepNext w:val="0"/>
              <w:keepLines w:val="0"/>
              <w:suppressLineNumbers w:val="0"/>
              <w:tabs>
                <w:tab w:val="left" w:pos="454"/>
              </w:tabs>
              <w:spacing w:before="0" w:beforeAutospacing="0" w:after="0" w:afterAutospacing="0"/>
              <w:ind w:left="0" w:right="0"/>
              <w:rPr>
                <w:rFonts w:hint="eastAsia" w:eastAsia="宋体"/>
                <w:color w:val="000000"/>
                <w:szCs w:val="21"/>
                <w:lang w:eastAsia="zh-CN"/>
              </w:rPr>
            </w:pPr>
            <w:r>
              <w:rPr>
                <w:rFonts w:hint="default"/>
                <w:color w:val="000000"/>
                <w:szCs w:val="21"/>
              </w:rPr>
              <w:t>1、投标保证金支付方式：电汇（需从投标人基本账户转出）</w:t>
            </w:r>
            <w:r>
              <w:rPr>
                <w:rFonts w:hint="eastAsia"/>
                <w:color w:val="000000"/>
                <w:szCs w:val="21"/>
                <w:lang w:eastAsia="zh-CN"/>
              </w:rPr>
              <w:t>。</w:t>
            </w:r>
          </w:p>
          <w:p>
            <w:pPr>
              <w:keepNext w:val="0"/>
              <w:keepLines w:val="0"/>
              <w:suppressLineNumbers w:val="0"/>
              <w:tabs>
                <w:tab w:val="left" w:pos="454"/>
              </w:tabs>
              <w:spacing w:before="0" w:beforeAutospacing="0" w:after="0" w:afterAutospacing="0"/>
              <w:ind w:left="0" w:right="0"/>
              <w:rPr>
                <w:rFonts w:hint="default"/>
                <w:color w:val="000000"/>
                <w:szCs w:val="21"/>
              </w:rPr>
            </w:pPr>
            <w:r>
              <w:rPr>
                <w:rFonts w:hint="default"/>
                <w:color w:val="000000"/>
                <w:szCs w:val="21"/>
              </w:rPr>
              <w:t>2、投标保证金的金额：本项目招标要求投标人提交投标保证金</w:t>
            </w:r>
            <w:r>
              <w:rPr>
                <w:rFonts w:hint="default"/>
                <w:szCs w:val="21"/>
              </w:rPr>
              <w:t>：</w:t>
            </w:r>
            <w:r>
              <w:rPr>
                <w:rFonts w:hint="default"/>
                <w:b/>
                <w:bCs/>
                <w:szCs w:val="21"/>
                <w:u w:val="single"/>
              </w:rPr>
              <w:t>2万元</w:t>
            </w:r>
            <w:r>
              <w:rPr>
                <w:rFonts w:hint="default"/>
                <w:szCs w:val="21"/>
              </w:rPr>
              <w:t>。</w:t>
            </w:r>
          </w:p>
          <w:p>
            <w:pPr>
              <w:keepNext w:val="0"/>
              <w:keepLines w:val="0"/>
              <w:suppressLineNumbers w:val="0"/>
              <w:tabs>
                <w:tab w:val="left" w:pos="454"/>
              </w:tabs>
              <w:spacing w:before="0" w:beforeAutospacing="0" w:after="0" w:afterAutospacing="0"/>
              <w:ind w:left="0" w:right="0"/>
              <w:rPr>
                <w:rFonts w:hint="default"/>
                <w:color w:val="000000"/>
                <w:szCs w:val="21"/>
              </w:rPr>
            </w:pPr>
            <w:r>
              <w:rPr>
                <w:rFonts w:hint="default"/>
                <w:color w:val="000000"/>
                <w:szCs w:val="21"/>
              </w:rPr>
              <w:t>3、投标保证金到账时间</w:t>
            </w:r>
            <w:r>
              <w:rPr>
                <w:rFonts w:hint="default" w:eastAsia="黑体"/>
                <w:b/>
                <w:bCs/>
                <w:color w:val="000000"/>
                <w:szCs w:val="21"/>
                <w:highlight w:val="none"/>
                <w:u w:val="single"/>
              </w:rPr>
              <w:t>于</w:t>
            </w:r>
            <w:r>
              <w:rPr>
                <w:rFonts w:hint="default" w:eastAsia="黑体"/>
                <w:b/>
                <w:bCs/>
                <w:szCs w:val="21"/>
                <w:highlight w:val="none"/>
                <w:u w:val="single"/>
              </w:rPr>
              <w:t>2025年</w:t>
            </w:r>
            <w:r>
              <w:rPr>
                <w:rFonts w:hint="eastAsia" w:eastAsia="黑体"/>
                <w:b/>
                <w:bCs/>
                <w:szCs w:val="21"/>
                <w:highlight w:val="none"/>
                <w:u w:val="single"/>
                <w:lang w:val="en-US" w:eastAsia="zh-CN"/>
              </w:rPr>
              <w:t>6</w:t>
            </w:r>
            <w:r>
              <w:rPr>
                <w:rFonts w:hint="default" w:eastAsia="黑体"/>
                <w:b/>
                <w:bCs/>
                <w:szCs w:val="21"/>
                <w:highlight w:val="none"/>
                <w:u w:val="single"/>
              </w:rPr>
              <w:t>月</w:t>
            </w:r>
            <w:r>
              <w:rPr>
                <w:rFonts w:hint="eastAsia" w:eastAsia="黑体"/>
                <w:b/>
                <w:bCs/>
                <w:szCs w:val="21"/>
                <w:highlight w:val="none"/>
                <w:u w:val="single"/>
                <w:lang w:val="en-US" w:eastAsia="zh-CN"/>
              </w:rPr>
              <w:t>6</w:t>
            </w:r>
            <w:r>
              <w:rPr>
                <w:rFonts w:hint="default" w:eastAsia="黑体"/>
                <w:b/>
                <w:bCs/>
                <w:szCs w:val="21"/>
                <w:u w:val="single"/>
              </w:rPr>
              <w:t>日12:00时前汇入</w:t>
            </w:r>
            <w:r>
              <w:rPr>
                <w:rFonts w:hint="default" w:eastAsia="黑体"/>
                <w:b/>
                <w:bCs/>
                <w:color w:val="000000"/>
                <w:szCs w:val="21"/>
                <w:u w:val="single"/>
              </w:rPr>
              <w:t>招标人账户，</w:t>
            </w:r>
            <w:r>
              <w:rPr>
                <w:rFonts w:hint="default"/>
                <w:b/>
                <w:color w:val="000000"/>
                <w:szCs w:val="21"/>
                <w:u w:val="single"/>
              </w:rPr>
              <w:t>是否到账以招标人到银行查实的回单为准。</w:t>
            </w:r>
          </w:p>
          <w:p>
            <w:pPr>
              <w:keepNext w:val="0"/>
              <w:keepLines w:val="0"/>
              <w:suppressLineNumbers w:val="0"/>
              <w:tabs>
                <w:tab w:val="left" w:pos="454"/>
              </w:tabs>
              <w:spacing w:before="0" w:beforeAutospacing="0" w:after="0" w:afterAutospacing="0"/>
              <w:ind w:left="0" w:right="0"/>
              <w:rPr>
                <w:rFonts w:hint="default"/>
                <w:color w:val="000000"/>
                <w:szCs w:val="21"/>
              </w:rPr>
            </w:pPr>
            <w:r>
              <w:rPr>
                <w:rFonts w:hint="default"/>
                <w:color w:val="000000"/>
                <w:szCs w:val="21"/>
              </w:rPr>
              <w:t xml:space="preserve">开户名称：中通客车股份有限公司 </w:t>
            </w:r>
          </w:p>
          <w:p>
            <w:pPr>
              <w:keepNext w:val="0"/>
              <w:keepLines w:val="0"/>
              <w:suppressLineNumbers w:val="0"/>
              <w:tabs>
                <w:tab w:val="left" w:pos="454"/>
              </w:tabs>
              <w:spacing w:before="0" w:beforeAutospacing="0" w:after="0" w:afterAutospacing="0"/>
              <w:ind w:left="0" w:right="0"/>
              <w:rPr>
                <w:rFonts w:hint="default"/>
                <w:color w:val="000000"/>
                <w:szCs w:val="21"/>
              </w:rPr>
            </w:pPr>
            <w:r>
              <w:rPr>
                <w:rFonts w:hint="default"/>
                <w:color w:val="000000"/>
                <w:szCs w:val="21"/>
              </w:rPr>
              <w:t>开户行：聊城市工行振兴路支行</w:t>
            </w:r>
          </w:p>
          <w:p>
            <w:pPr>
              <w:keepNext w:val="0"/>
              <w:keepLines w:val="0"/>
              <w:suppressLineNumbers w:val="0"/>
              <w:tabs>
                <w:tab w:val="left" w:pos="454"/>
              </w:tabs>
              <w:spacing w:before="0" w:beforeAutospacing="0" w:after="0" w:afterAutospacing="0"/>
              <w:ind w:left="0" w:right="0"/>
              <w:rPr>
                <w:rFonts w:hint="default"/>
                <w:color w:val="000000"/>
                <w:szCs w:val="21"/>
              </w:rPr>
            </w:pPr>
            <w:r>
              <w:rPr>
                <w:rFonts w:hint="default"/>
                <w:color w:val="000000"/>
                <w:szCs w:val="21"/>
              </w:rPr>
              <w:t>帐  号：1611002309022106210</w:t>
            </w:r>
          </w:p>
          <w:p>
            <w:pPr>
              <w:keepNext w:val="0"/>
              <w:keepLines w:val="0"/>
              <w:suppressLineNumbers w:val="0"/>
              <w:tabs>
                <w:tab w:val="left" w:pos="454"/>
              </w:tabs>
              <w:spacing w:before="0" w:beforeAutospacing="0" w:after="0" w:afterAutospacing="0"/>
              <w:ind w:left="0" w:right="0"/>
              <w:rPr>
                <w:rFonts w:hint="default"/>
                <w:color w:val="000000"/>
                <w:szCs w:val="21"/>
              </w:rPr>
            </w:pPr>
            <w:r>
              <w:rPr>
                <w:rFonts w:hint="default"/>
                <w:color w:val="000000"/>
                <w:szCs w:val="21"/>
              </w:rPr>
              <w:t>税  号：91370000163080447D</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eastAsia="黑体"/>
                <w:b/>
                <w:bCs/>
                <w:color w:val="000000"/>
                <w:szCs w:val="21"/>
                <w:u w:val="single"/>
              </w:rPr>
              <w:t>投标人须在付款凭证备注栏中注明是“</w:t>
            </w:r>
            <w:r>
              <w:rPr>
                <w:rFonts w:hint="eastAsia" w:eastAsia="黑体"/>
                <w:b/>
                <w:bCs/>
                <w:color w:val="000000"/>
                <w:szCs w:val="21"/>
                <w:u w:val="single"/>
              </w:rPr>
              <w:t>中通客车焊枪仿型引导工具免示教技术项目</w:t>
            </w:r>
            <w:r>
              <w:rPr>
                <w:rFonts w:hint="default" w:eastAsia="黑体"/>
                <w:b/>
                <w:bCs/>
                <w:color w:val="000000"/>
                <w:szCs w:val="21"/>
                <w:u w:val="single"/>
              </w:rPr>
              <w:t>投标保证金</w:t>
            </w:r>
            <w:r>
              <w:rPr>
                <w:rFonts w:hint="default"/>
                <w:color w:val="000000"/>
                <w:szCs w:val="21"/>
              </w:rPr>
              <w:t>”。</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4、缴纳投标保证金的有效收据（原件）应在递交投标文件时出示。</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5、投标保证金的退还</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发出中标通知后30个工作日内，招标人向落标人不计息退还投标保证金；招标人向中标人在签订合同后30个工作日内不计息退还投标保证金。</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发生以下情况时，招标人有权没收投标保证金：</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5.1截至开标前3天，供应商无正当理由、未以书面形式递交说明而在投标截止日不来投标的；</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5.2供应商递送文件后，无正当理由放弃投标的；</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5.3自中标（成交）通知书发出之日起30日内，中标（成交）供应商无正当理由不签订合同的；</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5.4投标过程中被查实有串标、围标、陪标等违规违纪行为的；</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5.5供应商有违约违规行为或被投诉、举报的，在调查处理期间，保证金暂不退还，待调查处理结束后按有关规定处理。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14</w:t>
            </w: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履约保证金</w:t>
            </w:r>
          </w:p>
        </w:tc>
        <w:tc>
          <w:tcPr>
            <w:tcW w:w="7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default"/>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联系方式</w:t>
            </w:r>
          </w:p>
        </w:tc>
        <w:tc>
          <w:tcPr>
            <w:tcW w:w="7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eastAsia"/>
                <w:color w:val="000000"/>
                <w:szCs w:val="21"/>
                <w:lang w:val="en-US" w:eastAsia="zh-CN"/>
              </w:rPr>
              <w:t>商务联系人</w:t>
            </w:r>
            <w:r>
              <w:rPr>
                <w:rFonts w:hint="default"/>
                <w:color w:val="000000"/>
                <w:szCs w:val="21"/>
              </w:rPr>
              <w:t>：臧立岳18863597326</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技术联系人：赵子龙15763559900/0635-8325091</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网    址：http：//www.zhongtong.com</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监察部：0635-832</w:t>
            </w:r>
            <w:r>
              <w:rPr>
                <w:rFonts w:hint="eastAsia"/>
                <w:color w:val="000000"/>
                <w:szCs w:val="21"/>
                <w:lang w:val="en-US" w:eastAsia="zh-CN"/>
              </w:rPr>
              <w:t>91</w:t>
            </w:r>
            <w:r>
              <w:rPr>
                <w:rFonts w:hint="default"/>
                <w:color w:val="000000"/>
                <w:szCs w:val="21"/>
              </w:rPr>
              <w:t>00</w:t>
            </w:r>
          </w:p>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电子邮箱：</w:t>
            </w:r>
            <w:r>
              <w:rPr>
                <w:rFonts w:hint="eastAsia"/>
                <w:color w:val="000000"/>
                <w:szCs w:val="21"/>
              </w:rPr>
              <w:t>ztkc</w:t>
            </w:r>
            <w:r>
              <w:rPr>
                <w:rFonts w:hint="eastAsia"/>
                <w:color w:val="000000"/>
                <w:szCs w:val="21"/>
                <w:lang w:val="en-US" w:eastAsia="zh-CN"/>
              </w:rPr>
              <w:t>jwjbx</w:t>
            </w:r>
            <w:r>
              <w:rPr>
                <w:rFonts w:hint="eastAsia"/>
                <w:color w:val="000000"/>
                <w:szCs w:val="21"/>
              </w:rPr>
              <w:t>@</w:t>
            </w:r>
            <w:r>
              <w:rPr>
                <w:rFonts w:hint="eastAsia"/>
                <w:color w:val="000000"/>
                <w:szCs w:val="21"/>
                <w:lang w:val="en-US" w:eastAsia="zh-CN"/>
              </w:rPr>
              <w:t>163</w:t>
            </w:r>
            <w:r>
              <w:rPr>
                <w:rFonts w:hint="eastAsia"/>
                <w:color w:val="000000"/>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16</w:t>
            </w: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合同签订</w:t>
            </w:r>
          </w:p>
        </w:tc>
        <w:tc>
          <w:tcPr>
            <w:tcW w:w="7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454"/>
                <w:tab w:val="left" w:pos="2433"/>
              </w:tabs>
              <w:spacing w:before="0" w:beforeAutospacing="0" w:after="0" w:afterAutospacing="0"/>
              <w:ind w:left="0" w:right="0"/>
              <w:rPr>
                <w:rFonts w:hint="default"/>
                <w:color w:val="000000"/>
                <w:szCs w:val="21"/>
              </w:rPr>
            </w:pPr>
            <w:r>
              <w:rPr>
                <w:rFonts w:hint="default"/>
                <w:color w:val="000000"/>
                <w:szCs w:val="21"/>
              </w:rPr>
              <w:t>中标单位中标后依据澄清函及招标文件</w:t>
            </w:r>
            <w:r>
              <w:rPr>
                <w:rFonts w:hint="eastAsia"/>
                <w:szCs w:val="20"/>
                <w:lang w:val="en-US" w:eastAsia="zh-CN"/>
              </w:rPr>
              <w:t>十五</w:t>
            </w:r>
            <w:r>
              <w:rPr>
                <w:rFonts w:hint="default"/>
                <w:szCs w:val="20"/>
              </w:rPr>
              <w:t>个工作日之内</w:t>
            </w:r>
            <w:r>
              <w:rPr>
                <w:rFonts w:hint="default"/>
                <w:color w:val="000000"/>
                <w:szCs w:val="21"/>
              </w:rPr>
              <w:t>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17</w:t>
            </w:r>
          </w:p>
        </w:tc>
        <w:tc>
          <w:tcPr>
            <w:tcW w:w="13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Cs w:val="21"/>
              </w:rPr>
            </w:pPr>
            <w:r>
              <w:rPr>
                <w:rFonts w:hint="default"/>
                <w:szCs w:val="21"/>
              </w:rPr>
              <w:t>投标报价一览表</w:t>
            </w:r>
          </w:p>
        </w:tc>
        <w:tc>
          <w:tcPr>
            <w:tcW w:w="72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szCs w:val="21"/>
              </w:rPr>
            </w:pPr>
            <w:r>
              <w:rPr>
                <w:rFonts w:hint="default"/>
                <w:szCs w:val="21"/>
              </w:rPr>
              <w:t>严禁更改“投标报价一览表”格式，并且需要完整填写所要求的内容，内容填写不完整视为不合格。</w:t>
            </w:r>
          </w:p>
        </w:tc>
      </w:tr>
    </w:tbl>
    <w:p>
      <w:bookmarkStart w:id="7" w:name="_Toc26098"/>
      <w:bookmarkStart w:id="8" w:name="_Toc1227056734"/>
      <w:bookmarkStart w:id="9" w:name="_Toc813325082"/>
      <w:bookmarkStart w:id="10" w:name="_Toc20099"/>
      <w:bookmarkStart w:id="11" w:name="_Toc19764"/>
      <w:r>
        <w:br w:type="page"/>
      </w:r>
    </w:p>
    <w:p>
      <w:pPr>
        <w:pStyle w:val="3"/>
        <w:spacing w:line="300" w:lineRule="auto"/>
        <w:jc w:val="center"/>
        <w:rPr>
          <w:rFonts w:ascii="Times New Roman"/>
        </w:rPr>
      </w:pPr>
      <w:r>
        <w:rPr>
          <w:rFonts w:ascii="Times New Roman"/>
        </w:rPr>
        <w:t>一、总   则</w:t>
      </w:r>
      <w:bookmarkEnd w:id="7"/>
      <w:bookmarkEnd w:id="8"/>
      <w:bookmarkEnd w:id="9"/>
      <w:bookmarkEnd w:id="10"/>
      <w:bookmarkEnd w:id="11"/>
    </w:p>
    <w:p>
      <w:pPr>
        <w:spacing w:line="300" w:lineRule="auto"/>
        <w:ind w:firstLine="390" w:firstLineChars="186"/>
        <w:rPr>
          <w:szCs w:val="21"/>
        </w:rPr>
      </w:pPr>
      <w:r>
        <w:rPr>
          <w:szCs w:val="21"/>
        </w:rPr>
        <w:t>1、项目说明除投标须知表规定外：</w:t>
      </w:r>
    </w:p>
    <w:p>
      <w:pPr>
        <w:spacing w:line="300" w:lineRule="auto"/>
        <w:ind w:firstLine="390" w:firstLineChars="186"/>
        <w:rPr>
          <w:szCs w:val="21"/>
        </w:rPr>
      </w:pPr>
      <w:r>
        <w:rPr>
          <w:szCs w:val="21"/>
        </w:rPr>
        <w:t>1.1 投标依据：招标文件、技术要求及采购单位提出的其它变更内容。</w:t>
      </w:r>
    </w:p>
    <w:p>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szCs w:val="21"/>
        </w:rPr>
      </w:pPr>
      <w:r>
        <w:rPr>
          <w:szCs w:val="21"/>
        </w:rPr>
        <w:t>2、投标人资质与合格条件的要求：</w:t>
      </w:r>
    </w:p>
    <w:p>
      <w:pPr>
        <w:spacing w:line="300" w:lineRule="auto"/>
        <w:ind w:firstLine="390" w:firstLineChars="186"/>
        <w:rPr>
          <w:szCs w:val="21"/>
        </w:rPr>
      </w:pPr>
      <w:r>
        <w:rPr>
          <w:szCs w:val="21"/>
        </w:rPr>
        <w:t>2.1 投标人资质见投标须知表。</w:t>
      </w:r>
    </w:p>
    <w:p>
      <w:pPr>
        <w:spacing w:line="300" w:lineRule="auto"/>
        <w:ind w:firstLine="390" w:firstLineChars="186"/>
        <w:rPr>
          <w:szCs w:val="21"/>
        </w:rPr>
      </w:pPr>
      <w:r>
        <w:rPr>
          <w:szCs w:val="21"/>
        </w:rPr>
        <w:t>2.2 投标人必须具有独立法人资格和相应资质，见投标须知表。</w:t>
      </w:r>
    </w:p>
    <w:p>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szCs w:val="21"/>
        </w:rPr>
      </w:pPr>
      <w:r>
        <w:rPr>
          <w:szCs w:val="21"/>
        </w:rPr>
        <w:t xml:space="preserve">3、投标费用  </w:t>
      </w:r>
    </w:p>
    <w:p>
      <w:pPr>
        <w:spacing w:line="300" w:lineRule="auto"/>
        <w:ind w:firstLine="390" w:firstLineChars="186"/>
        <w:rPr>
          <w:szCs w:val="21"/>
        </w:rPr>
      </w:pPr>
      <w:r>
        <w:rPr>
          <w:szCs w:val="21"/>
        </w:rPr>
        <w:t xml:space="preserve">  投标人应承担其编制投标文件与递交投标文件所涉及的一切费用。不管投标结果如何，招标人对上述费用不负任何责任。</w:t>
      </w:r>
    </w:p>
    <w:p>
      <w:pPr>
        <w:pStyle w:val="3"/>
        <w:spacing w:line="300" w:lineRule="auto"/>
        <w:jc w:val="center"/>
        <w:rPr>
          <w:rFonts w:ascii="Times New Roman"/>
        </w:rPr>
      </w:pPr>
      <w:bookmarkStart w:id="12" w:name="_Toc7120"/>
      <w:bookmarkStart w:id="13" w:name="_Toc8324"/>
      <w:bookmarkStart w:id="14" w:name="_Toc2004353168"/>
      <w:bookmarkStart w:id="15" w:name="_Toc2029762170"/>
      <w:bookmarkStart w:id="16" w:name="_Toc27712"/>
      <w:r>
        <w:rPr>
          <w:rFonts w:ascii="Times New Roman"/>
        </w:rPr>
        <w:t>二、 招标文件</w:t>
      </w:r>
      <w:bookmarkEnd w:id="12"/>
      <w:bookmarkEnd w:id="13"/>
      <w:bookmarkEnd w:id="14"/>
      <w:bookmarkEnd w:id="15"/>
      <w:bookmarkEnd w:id="16"/>
    </w:p>
    <w:p>
      <w:pPr>
        <w:spacing w:line="300" w:lineRule="auto"/>
        <w:ind w:firstLine="390" w:firstLineChars="186"/>
        <w:rPr>
          <w:szCs w:val="21"/>
        </w:rPr>
      </w:pPr>
      <w:r>
        <w:rPr>
          <w:szCs w:val="21"/>
        </w:rPr>
        <w:t>4、招标文件的组成</w:t>
      </w:r>
    </w:p>
    <w:p>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pPr>
        <w:spacing w:line="300" w:lineRule="auto"/>
        <w:ind w:firstLine="390" w:firstLineChars="186"/>
        <w:rPr>
          <w:szCs w:val="21"/>
        </w:rPr>
      </w:pPr>
      <w:r>
        <w:rPr>
          <w:szCs w:val="21"/>
        </w:rPr>
        <w:t>第一章 投标须知</w:t>
      </w:r>
    </w:p>
    <w:p>
      <w:pPr>
        <w:spacing w:line="300" w:lineRule="auto"/>
        <w:ind w:firstLine="390" w:firstLineChars="186"/>
        <w:rPr>
          <w:szCs w:val="21"/>
        </w:rPr>
      </w:pPr>
      <w:r>
        <w:rPr>
          <w:szCs w:val="21"/>
        </w:rPr>
        <w:t>第二章 合同文件格式及条款</w:t>
      </w:r>
    </w:p>
    <w:p>
      <w:pPr>
        <w:spacing w:line="300" w:lineRule="auto"/>
        <w:ind w:firstLine="390" w:firstLineChars="186"/>
        <w:rPr>
          <w:szCs w:val="21"/>
        </w:rPr>
      </w:pPr>
      <w:r>
        <w:rPr>
          <w:szCs w:val="21"/>
        </w:rPr>
        <w:t>第三章 技术要求</w:t>
      </w:r>
    </w:p>
    <w:p>
      <w:pPr>
        <w:spacing w:line="300" w:lineRule="auto"/>
        <w:ind w:firstLine="390" w:firstLineChars="186"/>
        <w:rPr>
          <w:szCs w:val="21"/>
        </w:rPr>
      </w:pPr>
      <w:r>
        <w:rPr>
          <w:szCs w:val="21"/>
        </w:rPr>
        <w:t>第四章 投标文件投标函部分格式</w:t>
      </w:r>
    </w:p>
    <w:p>
      <w:pPr>
        <w:spacing w:line="300" w:lineRule="auto"/>
        <w:ind w:firstLine="390" w:firstLineChars="186"/>
        <w:rPr>
          <w:szCs w:val="21"/>
        </w:rPr>
      </w:pPr>
      <w:r>
        <w:rPr>
          <w:szCs w:val="21"/>
        </w:rPr>
        <w:t>第五章  投标文件商务部分格式</w:t>
      </w:r>
    </w:p>
    <w:p>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szCs w:val="21"/>
        </w:rPr>
      </w:pPr>
      <w:r>
        <w:rPr>
          <w:szCs w:val="21"/>
        </w:rPr>
        <w:t>5、招标文件的解释</w:t>
      </w:r>
    </w:p>
    <w:p>
      <w:pPr>
        <w:spacing w:line="300" w:lineRule="auto"/>
        <w:ind w:firstLine="390" w:firstLineChars="186"/>
        <w:rPr>
          <w:szCs w:val="21"/>
          <w:highlight w:val="none"/>
        </w:rPr>
      </w:pPr>
      <w:r>
        <w:rPr>
          <w:szCs w:val="21"/>
        </w:rPr>
        <w:t>5.1投标人应仔细阅读和检</w:t>
      </w:r>
      <w:r>
        <w:rPr>
          <w:szCs w:val="21"/>
          <w:highlight w:val="none"/>
        </w:rPr>
        <w:t>查招标文件的全部内容。如发现缺页或附件不全，应及时向招标人提出，以便补齐。如有疑问，请在2025年</w:t>
      </w:r>
      <w:r>
        <w:rPr>
          <w:rFonts w:hint="eastAsia"/>
          <w:szCs w:val="21"/>
          <w:highlight w:val="none"/>
        </w:rPr>
        <w:t>5</w:t>
      </w:r>
      <w:r>
        <w:rPr>
          <w:szCs w:val="21"/>
          <w:highlight w:val="none"/>
        </w:rPr>
        <w:t>月</w:t>
      </w:r>
      <w:r>
        <w:rPr>
          <w:rFonts w:hint="eastAsia"/>
          <w:szCs w:val="21"/>
          <w:highlight w:val="none"/>
        </w:rPr>
        <w:t>2</w:t>
      </w:r>
      <w:r>
        <w:rPr>
          <w:rFonts w:hint="eastAsia"/>
          <w:szCs w:val="21"/>
          <w:highlight w:val="none"/>
          <w:lang w:val="en-US" w:eastAsia="zh-CN"/>
        </w:rPr>
        <w:t>9</w:t>
      </w:r>
      <w:r>
        <w:rPr>
          <w:szCs w:val="21"/>
          <w:highlight w:val="none"/>
        </w:rPr>
        <w:t>日17：00前向招标人以书面形式提出，超过此时间规定，招标人不再受理投标疑问。</w:t>
      </w:r>
    </w:p>
    <w:p>
      <w:pPr>
        <w:spacing w:line="300" w:lineRule="auto"/>
        <w:ind w:firstLine="390" w:firstLineChars="186"/>
        <w:rPr>
          <w:szCs w:val="21"/>
        </w:rPr>
      </w:pPr>
      <w:r>
        <w:rPr>
          <w:szCs w:val="21"/>
          <w:highlight w:val="none"/>
        </w:rPr>
        <w:t>5.2招标文件的澄清在2025年</w:t>
      </w:r>
      <w:r>
        <w:rPr>
          <w:rFonts w:hint="eastAsia"/>
          <w:szCs w:val="21"/>
          <w:highlight w:val="none"/>
        </w:rPr>
        <w:t>5</w:t>
      </w:r>
      <w:r>
        <w:rPr>
          <w:szCs w:val="21"/>
          <w:highlight w:val="none"/>
        </w:rPr>
        <w:t>月</w:t>
      </w:r>
      <w:r>
        <w:rPr>
          <w:rFonts w:hint="eastAsia"/>
          <w:szCs w:val="21"/>
          <w:highlight w:val="none"/>
          <w:lang w:val="en-US" w:eastAsia="zh-CN"/>
        </w:rPr>
        <w:t>30</w:t>
      </w:r>
      <w:r>
        <w:rPr>
          <w:szCs w:val="21"/>
          <w:highlight w:val="none"/>
        </w:rPr>
        <w:t>日17：00</w:t>
      </w:r>
      <w:r>
        <w:rPr>
          <w:szCs w:val="21"/>
        </w:rPr>
        <w:t>前由招标人以书面形式回复（通过电子邮件形式发出）。收到澄清的投标人以书面形式进行确认，并发出确认书。</w:t>
      </w:r>
    </w:p>
    <w:p>
      <w:pPr>
        <w:pStyle w:val="3"/>
        <w:spacing w:line="300" w:lineRule="auto"/>
        <w:jc w:val="center"/>
        <w:rPr>
          <w:rFonts w:ascii="Times New Roman"/>
        </w:rPr>
      </w:pPr>
      <w:bookmarkStart w:id="17" w:name="_Toc1356240050"/>
      <w:bookmarkStart w:id="18" w:name="_Toc2113011908"/>
      <w:bookmarkStart w:id="19" w:name="_Toc3716"/>
      <w:bookmarkStart w:id="20" w:name="_Toc119"/>
      <w:bookmarkStart w:id="21" w:name="_Toc14104"/>
      <w:r>
        <w:rPr>
          <w:rFonts w:ascii="Times New Roman"/>
        </w:rPr>
        <w:t>三、 投标报价及付款方式</w:t>
      </w:r>
      <w:bookmarkEnd w:id="17"/>
      <w:bookmarkEnd w:id="18"/>
      <w:bookmarkEnd w:id="19"/>
      <w:bookmarkEnd w:id="20"/>
      <w:bookmarkEnd w:id="21"/>
    </w:p>
    <w:p>
      <w:pPr>
        <w:spacing w:line="300" w:lineRule="auto"/>
        <w:ind w:firstLine="390" w:firstLineChars="186"/>
        <w:rPr>
          <w:szCs w:val="21"/>
        </w:rPr>
      </w:pPr>
      <w:r>
        <w:rPr>
          <w:szCs w:val="21"/>
        </w:rPr>
        <w:t>6、投标报价及付款方式</w:t>
      </w:r>
    </w:p>
    <w:p>
      <w:pPr>
        <w:spacing w:line="300" w:lineRule="auto"/>
        <w:ind w:firstLine="390" w:firstLineChars="186"/>
        <w:rPr>
          <w:szCs w:val="21"/>
        </w:rPr>
      </w:pPr>
      <w:r>
        <w:rPr>
          <w:szCs w:val="21"/>
        </w:rPr>
        <w:t>6.1投标报价：</w:t>
      </w:r>
    </w:p>
    <w:p>
      <w:pPr>
        <w:spacing w:line="300" w:lineRule="auto"/>
        <w:ind w:firstLine="390" w:firstLineChars="186"/>
        <w:rPr>
          <w:szCs w:val="21"/>
        </w:rPr>
      </w:pPr>
      <w:r>
        <w:rPr>
          <w:szCs w:val="21"/>
        </w:rPr>
        <w:t>明细报价：原材料费用、管理费用、人工费用、税金、运费等一切与该采购项目相关的费用。</w:t>
      </w:r>
    </w:p>
    <w:p>
      <w:pPr>
        <w:spacing w:line="300" w:lineRule="auto"/>
        <w:ind w:firstLine="390" w:firstLineChars="186"/>
        <w:rPr>
          <w:szCs w:val="21"/>
        </w:rPr>
      </w:pPr>
      <w:r>
        <w:rPr>
          <w:szCs w:val="21"/>
        </w:rPr>
        <w:t>6.2付款方式：详见投标须知表</w:t>
      </w:r>
    </w:p>
    <w:p>
      <w:pPr>
        <w:pStyle w:val="3"/>
        <w:spacing w:line="300" w:lineRule="auto"/>
        <w:jc w:val="center"/>
        <w:rPr>
          <w:rFonts w:ascii="Times New Roman"/>
        </w:rPr>
      </w:pPr>
      <w:bookmarkStart w:id="22" w:name="_Toc25605"/>
      <w:bookmarkStart w:id="23" w:name="_Toc734619683"/>
      <w:bookmarkStart w:id="24" w:name="_Toc14429"/>
      <w:bookmarkStart w:id="25" w:name="_Toc27468"/>
      <w:bookmarkStart w:id="26" w:name="_Toc737821252"/>
      <w:r>
        <w:rPr>
          <w:rFonts w:ascii="Times New Roman"/>
        </w:rPr>
        <w:t>四、 投标文件</w:t>
      </w:r>
      <w:bookmarkEnd w:id="22"/>
      <w:bookmarkEnd w:id="23"/>
      <w:bookmarkEnd w:id="24"/>
      <w:bookmarkEnd w:id="25"/>
      <w:bookmarkEnd w:id="26"/>
    </w:p>
    <w:p>
      <w:pPr>
        <w:spacing w:line="300" w:lineRule="auto"/>
        <w:ind w:firstLine="390" w:firstLineChars="186"/>
        <w:rPr>
          <w:szCs w:val="21"/>
        </w:rPr>
      </w:pPr>
      <w:r>
        <w:rPr>
          <w:szCs w:val="21"/>
        </w:rPr>
        <w:t>7、投标文件的语言及文字</w:t>
      </w:r>
    </w:p>
    <w:p>
      <w:pPr>
        <w:spacing w:line="300" w:lineRule="auto"/>
        <w:ind w:firstLine="390" w:firstLineChars="186"/>
        <w:rPr>
          <w:szCs w:val="21"/>
        </w:rPr>
      </w:pPr>
      <w:r>
        <w:rPr>
          <w:szCs w:val="21"/>
        </w:rPr>
        <w:t xml:space="preserve">投标文件及投标人与招标人之间凡与投标有关的来往通知、函件和文件，以及业务洽商等均使用汉语及中文。 </w:t>
      </w:r>
    </w:p>
    <w:p>
      <w:pPr>
        <w:spacing w:line="300" w:lineRule="auto"/>
        <w:ind w:firstLine="390" w:firstLineChars="186"/>
        <w:rPr>
          <w:szCs w:val="21"/>
        </w:rPr>
      </w:pPr>
      <w:r>
        <w:rPr>
          <w:szCs w:val="21"/>
        </w:rPr>
        <w:t>8、投标文件由</w:t>
      </w:r>
      <w:r>
        <w:rPr>
          <w:b/>
          <w:szCs w:val="21"/>
        </w:rPr>
        <w:t>资质部分、技术部分</w:t>
      </w:r>
      <w:r>
        <w:rPr>
          <w:szCs w:val="21"/>
        </w:rPr>
        <w:t>、</w:t>
      </w:r>
      <w:r>
        <w:rPr>
          <w:b/>
          <w:szCs w:val="21"/>
        </w:rPr>
        <w:t>商务部分</w:t>
      </w:r>
      <w:r>
        <w:rPr>
          <w:szCs w:val="21"/>
        </w:rPr>
        <w:t>共三部分组成。</w:t>
      </w:r>
    </w:p>
    <w:p>
      <w:pPr>
        <w:spacing w:line="300" w:lineRule="auto"/>
        <w:ind w:firstLine="390" w:firstLineChars="186"/>
        <w:rPr>
          <w:szCs w:val="21"/>
        </w:rPr>
      </w:pPr>
      <w:r>
        <w:rPr>
          <w:szCs w:val="21"/>
        </w:rPr>
        <w:t>8.1</w:t>
      </w:r>
      <w:r>
        <w:rPr>
          <w:b/>
          <w:szCs w:val="21"/>
        </w:rPr>
        <w:t>资质、资格证明文件</w:t>
      </w:r>
      <w:r>
        <w:rPr>
          <w:szCs w:val="21"/>
        </w:rPr>
        <w:t>包括：</w:t>
      </w:r>
    </w:p>
    <w:p>
      <w:pPr>
        <w:spacing w:line="300" w:lineRule="auto"/>
        <w:ind w:firstLine="390" w:firstLineChars="186"/>
        <w:rPr>
          <w:szCs w:val="21"/>
        </w:rPr>
      </w:pPr>
      <w:r>
        <w:rPr>
          <w:szCs w:val="21"/>
        </w:rPr>
        <w:t>8.1.1营业执照（复印件加盖公章），注册地不在中国境内的投标人提供同等法律效力的其他文件；</w:t>
      </w:r>
    </w:p>
    <w:p>
      <w:pPr>
        <w:spacing w:line="300" w:lineRule="auto"/>
        <w:ind w:firstLine="390" w:firstLineChars="186"/>
        <w:rPr>
          <w:szCs w:val="21"/>
        </w:rPr>
      </w:pPr>
      <w:r>
        <w:rPr>
          <w:szCs w:val="21"/>
        </w:rPr>
        <w:t>8.1.2法定代表人身份证明书（原件）、法定代表人授权委托书（原件），注册地不在中国境内的投标人提供同等法律效力的其他文件；</w:t>
      </w:r>
    </w:p>
    <w:p>
      <w:pPr>
        <w:spacing w:line="300" w:lineRule="auto"/>
        <w:ind w:firstLine="390" w:firstLineChars="186"/>
        <w:rPr>
          <w:szCs w:val="21"/>
        </w:rPr>
      </w:pPr>
      <w:r>
        <w:rPr>
          <w:szCs w:val="21"/>
        </w:rPr>
        <w:t>8.1.3企业最近半年完税证明、信用证明材料（中国人民银行信用代码证+征信报告）；</w:t>
      </w:r>
    </w:p>
    <w:p>
      <w:pPr>
        <w:spacing w:line="300" w:lineRule="auto"/>
        <w:ind w:firstLine="390" w:firstLineChars="186"/>
        <w:rPr>
          <w:szCs w:val="21"/>
        </w:rPr>
      </w:pPr>
      <w:r>
        <w:rPr>
          <w:szCs w:val="21"/>
        </w:rPr>
        <w:t>8.1.4年度纳税信用评价信息（可从电子税务局查询截图，需加盖公章）；</w:t>
      </w:r>
    </w:p>
    <w:p>
      <w:pPr>
        <w:spacing w:line="300" w:lineRule="auto"/>
        <w:ind w:firstLine="390" w:firstLineChars="186"/>
        <w:rPr>
          <w:szCs w:val="21"/>
        </w:rPr>
      </w:pPr>
      <w:r>
        <w:rPr>
          <w:szCs w:val="21"/>
        </w:rPr>
        <w:t>8.1.5近三年的财务</w:t>
      </w:r>
      <w:r>
        <w:rPr>
          <w:rFonts w:hint="eastAsia"/>
          <w:szCs w:val="21"/>
          <w:lang w:eastAsia="zh-CN"/>
        </w:rPr>
        <w:t>报表</w:t>
      </w:r>
      <w:r>
        <w:rPr>
          <w:szCs w:val="21"/>
        </w:rPr>
        <w:t>，并加盖公章；</w:t>
      </w:r>
    </w:p>
    <w:p>
      <w:pPr>
        <w:spacing w:line="300" w:lineRule="auto"/>
        <w:ind w:firstLine="390" w:firstLineChars="186"/>
        <w:rPr>
          <w:szCs w:val="21"/>
        </w:rPr>
      </w:pPr>
      <w:r>
        <w:rPr>
          <w:szCs w:val="21"/>
        </w:rPr>
        <w:t>8.1.6在以往的招投标活动中无违法、违规、违纪、违约行为的承诺函；</w:t>
      </w:r>
    </w:p>
    <w:p>
      <w:pPr>
        <w:spacing w:line="300" w:lineRule="auto"/>
        <w:ind w:firstLine="390" w:firstLineChars="186"/>
        <w:rPr>
          <w:szCs w:val="21"/>
        </w:rPr>
      </w:pPr>
      <w:r>
        <w:rPr>
          <w:szCs w:val="21"/>
        </w:rPr>
        <w:t>8.1.7企业对外担保说明（说明贵单位对外有无对外担保和质押业务，需加盖公章）；</w:t>
      </w:r>
    </w:p>
    <w:p>
      <w:pPr>
        <w:spacing w:line="300" w:lineRule="auto"/>
        <w:ind w:firstLine="390" w:firstLineChars="186"/>
        <w:rPr>
          <w:rFonts w:hint="eastAsia" w:eastAsia="宋体"/>
          <w:szCs w:val="21"/>
          <w:lang w:val="en-US" w:eastAsia="zh-CN"/>
        </w:rPr>
      </w:pPr>
      <w:r>
        <w:rPr>
          <w:szCs w:val="21"/>
        </w:rPr>
        <w:t>8.1.8</w:t>
      </w:r>
      <w:r>
        <w:rPr>
          <w:rFonts w:hint="eastAsia"/>
          <w:szCs w:val="21"/>
          <w:lang w:val="en-US" w:eastAsia="zh-CN"/>
        </w:rPr>
        <w:t>投标保证金回执函；</w:t>
      </w:r>
    </w:p>
    <w:p>
      <w:pPr>
        <w:spacing w:line="300" w:lineRule="auto"/>
        <w:ind w:firstLine="390" w:firstLineChars="186"/>
        <w:rPr>
          <w:szCs w:val="21"/>
        </w:rPr>
      </w:pPr>
      <w:r>
        <w:rPr>
          <w:szCs w:val="21"/>
        </w:rPr>
        <w:t>8.1.9投标方基本情况表；</w:t>
      </w:r>
    </w:p>
    <w:p>
      <w:pPr>
        <w:spacing w:line="300" w:lineRule="auto"/>
        <w:ind w:firstLine="390" w:firstLineChars="186"/>
        <w:rPr>
          <w:szCs w:val="21"/>
        </w:rPr>
      </w:pPr>
      <w:r>
        <w:rPr>
          <w:szCs w:val="21"/>
        </w:rPr>
        <w:t>8.1.10产品鉴定证书（如果有）；</w:t>
      </w:r>
    </w:p>
    <w:p>
      <w:pPr>
        <w:spacing w:line="300" w:lineRule="auto"/>
        <w:ind w:firstLine="390" w:firstLineChars="186"/>
        <w:rPr>
          <w:szCs w:val="21"/>
        </w:rPr>
      </w:pPr>
      <w:r>
        <w:rPr>
          <w:szCs w:val="21"/>
        </w:rPr>
        <w:t>8.1.11质量体系认证证书（如果有）；</w:t>
      </w:r>
    </w:p>
    <w:p>
      <w:pPr>
        <w:spacing w:line="300" w:lineRule="auto"/>
        <w:ind w:firstLine="390" w:firstLineChars="186"/>
        <w:rPr>
          <w:szCs w:val="21"/>
        </w:rPr>
      </w:pPr>
      <w:r>
        <w:rPr>
          <w:rFonts w:hint="eastAsia"/>
          <w:szCs w:val="21"/>
          <w:lang w:val="en-US" w:eastAsia="zh-CN"/>
        </w:rPr>
        <w:t>8.1.12</w:t>
      </w:r>
      <w:r>
        <w:rPr>
          <w:szCs w:val="21"/>
        </w:rPr>
        <w:t>投标人认为对其投标有利的其他资料。</w:t>
      </w:r>
    </w:p>
    <w:p>
      <w:pPr>
        <w:spacing w:line="300" w:lineRule="auto"/>
        <w:ind w:firstLine="390" w:firstLineChars="186"/>
        <w:rPr>
          <w:szCs w:val="21"/>
        </w:rPr>
      </w:pPr>
      <w:r>
        <w:rPr>
          <w:szCs w:val="21"/>
        </w:rPr>
        <w:t>前</w:t>
      </w:r>
      <w:r>
        <w:rPr>
          <w:rFonts w:hint="eastAsia"/>
          <w:szCs w:val="21"/>
          <w:lang w:val="en-US" w:eastAsia="zh-CN"/>
        </w:rPr>
        <w:t>8</w:t>
      </w:r>
      <w:r>
        <w:rPr>
          <w:szCs w:val="21"/>
        </w:rPr>
        <w:t>项文件必须提供，未提供者直接视为资质、资格审查未通过，无法继续参与投标！</w:t>
      </w:r>
    </w:p>
    <w:p>
      <w:pPr>
        <w:spacing w:line="300" w:lineRule="auto"/>
        <w:ind w:firstLine="392" w:firstLineChars="186"/>
        <w:rPr>
          <w:szCs w:val="21"/>
        </w:rPr>
      </w:pPr>
      <w:r>
        <w:rPr>
          <w:b/>
          <w:szCs w:val="21"/>
        </w:rPr>
        <w:t>8.2技术标文件</w:t>
      </w:r>
      <w:r>
        <w:rPr>
          <w:szCs w:val="21"/>
        </w:rPr>
        <w:t>主要包括下列内容：</w:t>
      </w:r>
    </w:p>
    <w:p>
      <w:pPr>
        <w:spacing w:line="300" w:lineRule="auto"/>
        <w:ind w:firstLine="390" w:firstLineChars="186"/>
        <w:rPr>
          <w:szCs w:val="21"/>
        </w:rPr>
      </w:pPr>
      <w:r>
        <w:rPr>
          <w:szCs w:val="21"/>
        </w:rPr>
        <w:t>8.</w:t>
      </w:r>
      <w:r>
        <w:rPr>
          <w:rFonts w:hint="eastAsia"/>
          <w:szCs w:val="21"/>
        </w:rPr>
        <w:t>2</w:t>
      </w:r>
      <w:r>
        <w:rPr>
          <w:szCs w:val="21"/>
        </w:rPr>
        <w:t>.1企业综合实力：企业体系认证、年度营收、知识产权等客观评价内容；</w:t>
      </w:r>
    </w:p>
    <w:p>
      <w:pPr>
        <w:spacing w:line="300" w:lineRule="auto"/>
        <w:ind w:firstLine="390" w:firstLineChars="186"/>
        <w:rPr>
          <w:szCs w:val="21"/>
        </w:rPr>
      </w:pPr>
      <w:r>
        <w:rPr>
          <w:szCs w:val="21"/>
        </w:rPr>
        <w:t>8.</w:t>
      </w:r>
      <w:r>
        <w:rPr>
          <w:rFonts w:hint="eastAsia"/>
          <w:szCs w:val="21"/>
        </w:rPr>
        <w:t>2</w:t>
      </w:r>
      <w:r>
        <w:rPr>
          <w:szCs w:val="21"/>
        </w:rPr>
        <w:t>.</w:t>
      </w:r>
      <w:r>
        <w:rPr>
          <w:rFonts w:hint="eastAsia"/>
          <w:szCs w:val="21"/>
        </w:rPr>
        <w:t>2经营业绩一览表[近三年（2022年1月1日至今）类似项目业绩及合同明细加盖公章（须有客户联系方式及联系人以供招标方核实确认）] ；</w:t>
      </w:r>
    </w:p>
    <w:p>
      <w:pPr>
        <w:spacing w:line="300" w:lineRule="auto"/>
        <w:ind w:firstLine="390" w:firstLineChars="186"/>
      </w:pPr>
      <w:r>
        <w:rPr>
          <w:szCs w:val="21"/>
        </w:rPr>
        <w:t>8.</w:t>
      </w:r>
      <w:r>
        <w:rPr>
          <w:rFonts w:hint="eastAsia"/>
          <w:szCs w:val="21"/>
        </w:rPr>
        <w:t>2</w:t>
      </w:r>
      <w:r>
        <w:rPr>
          <w:szCs w:val="21"/>
        </w:rPr>
        <w:t>.</w:t>
      </w:r>
      <w:r>
        <w:rPr>
          <w:rFonts w:hint="eastAsia"/>
          <w:szCs w:val="21"/>
        </w:rPr>
        <w:t>3</w:t>
      </w:r>
      <w:r>
        <w:rPr>
          <w:szCs w:val="21"/>
        </w:rPr>
        <w:t>技术方案及质量保证措施：依据项目技术要求做出实质性解决方案，技术方案响应程度、配置信息、设计图纸及能耗等内容；</w:t>
      </w:r>
    </w:p>
    <w:p>
      <w:pPr>
        <w:spacing w:line="300" w:lineRule="auto"/>
        <w:ind w:firstLine="390" w:firstLineChars="186"/>
        <w:rPr>
          <w:szCs w:val="21"/>
        </w:rPr>
      </w:pPr>
      <w:r>
        <w:rPr>
          <w:rFonts w:hint="eastAsia"/>
          <w:szCs w:val="21"/>
        </w:rPr>
        <w:t>8</w:t>
      </w:r>
      <w:r>
        <w:rPr>
          <w:rFonts w:hint="eastAsia"/>
          <w:color w:val="000000"/>
          <w:szCs w:val="21"/>
        </w:rPr>
        <w:t>.2.4</w:t>
      </w:r>
      <w:r>
        <w:rPr>
          <w:color w:val="000000"/>
          <w:szCs w:val="21"/>
        </w:rPr>
        <w:t>产品质量及保证措施；</w:t>
      </w:r>
    </w:p>
    <w:p>
      <w:pPr>
        <w:spacing w:line="300" w:lineRule="auto"/>
        <w:ind w:firstLine="390" w:firstLineChars="186"/>
        <w:rPr>
          <w:szCs w:val="21"/>
        </w:rPr>
      </w:pPr>
      <w:r>
        <w:rPr>
          <w:szCs w:val="21"/>
        </w:rPr>
        <w:t>8.</w:t>
      </w:r>
      <w:r>
        <w:rPr>
          <w:rFonts w:hint="eastAsia"/>
          <w:szCs w:val="21"/>
        </w:rPr>
        <w:t>2</w:t>
      </w:r>
      <w:r>
        <w:rPr>
          <w:szCs w:val="21"/>
        </w:rPr>
        <w:t>.5项目实施计划；</w:t>
      </w:r>
    </w:p>
    <w:p>
      <w:pPr>
        <w:spacing w:line="300" w:lineRule="auto"/>
        <w:ind w:firstLine="390" w:firstLineChars="186"/>
        <w:rPr>
          <w:szCs w:val="21"/>
        </w:rPr>
      </w:pPr>
      <w:r>
        <w:rPr>
          <w:szCs w:val="21"/>
        </w:rPr>
        <w:t>8.2.6质保期及</w:t>
      </w:r>
      <w:r>
        <w:rPr>
          <w:rFonts w:hint="eastAsia"/>
          <w:szCs w:val="21"/>
        </w:rPr>
        <w:t>服务承诺函；</w:t>
      </w:r>
    </w:p>
    <w:p>
      <w:pPr>
        <w:spacing w:line="300" w:lineRule="auto"/>
        <w:ind w:firstLine="390" w:firstLineChars="186"/>
        <w:rPr>
          <w:szCs w:val="21"/>
        </w:rPr>
      </w:pPr>
      <w:r>
        <w:rPr>
          <w:szCs w:val="21"/>
        </w:rPr>
        <w:t>8.2.7供货周期承诺</w:t>
      </w:r>
      <w:r>
        <w:rPr>
          <w:rFonts w:hint="eastAsia"/>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00" w:lineRule="auto"/>
        <w:ind w:firstLine="392" w:firstLineChars="186"/>
        <w:rPr>
          <w:szCs w:val="21"/>
        </w:rPr>
      </w:pPr>
      <w:r>
        <w:rPr>
          <w:b/>
          <w:szCs w:val="21"/>
        </w:rPr>
        <w:t>8.3商务标文件</w:t>
      </w:r>
      <w:r>
        <w:rPr>
          <w:szCs w:val="21"/>
        </w:rPr>
        <w:t>主要包括下列内容：</w:t>
      </w:r>
    </w:p>
    <w:p>
      <w:pPr>
        <w:spacing w:line="300" w:lineRule="auto"/>
        <w:ind w:firstLine="390" w:firstLineChars="186"/>
        <w:rPr>
          <w:szCs w:val="21"/>
        </w:rPr>
      </w:pPr>
      <w:r>
        <w:rPr>
          <w:szCs w:val="21"/>
        </w:rPr>
        <w:t>8.3.1</w:t>
      </w:r>
      <w:r>
        <w:rPr>
          <w:rFonts w:hint="eastAsia"/>
          <w:szCs w:val="21"/>
          <w:lang w:eastAsia="zh-CN"/>
        </w:rPr>
        <w:t>焊枪仿型引导工具免示教技术项目</w:t>
      </w:r>
      <w:r>
        <w:rPr>
          <w:szCs w:val="21"/>
        </w:rPr>
        <w:t>---投标函</w:t>
      </w:r>
    </w:p>
    <w:p>
      <w:pPr>
        <w:spacing w:line="300" w:lineRule="auto"/>
        <w:ind w:firstLine="390" w:firstLineChars="186"/>
        <w:rPr>
          <w:szCs w:val="21"/>
        </w:rPr>
      </w:pPr>
      <w:r>
        <w:rPr>
          <w:szCs w:val="21"/>
        </w:rPr>
        <w:t>8.3.2</w:t>
      </w:r>
      <w:r>
        <w:rPr>
          <w:rFonts w:hint="eastAsia"/>
          <w:szCs w:val="21"/>
          <w:lang w:eastAsia="zh-CN"/>
        </w:rPr>
        <w:t>焊枪仿型引导工具免示教技术项目</w:t>
      </w:r>
      <w:r>
        <w:rPr>
          <w:szCs w:val="21"/>
        </w:rPr>
        <w:t>---报价明细</w:t>
      </w:r>
    </w:p>
    <w:p>
      <w:pPr>
        <w:spacing w:line="300" w:lineRule="auto"/>
        <w:ind w:firstLine="390" w:firstLineChars="186"/>
        <w:rPr>
          <w:szCs w:val="21"/>
        </w:rPr>
      </w:pPr>
      <w:r>
        <w:rPr>
          <w:szCs w:val="21"/>
        </w:rPr>
        <w:t>8.3.3备品备件、易损件、专用耗材清单及价格表</w:t>
      </w:r>
    </w:p>
    <w:p>
      <w:pPr>
        <w:spacing w:line="300" w:lineRule="auto"/>
        <w:ind w:firstLine="390" w:firstLineChars="186"/>
        <w:rPr>
          <w:szCs w:val="21"/>
        </w:rPr>
      </w:pPr>
      <w:r>
        <w:rPr>
          <w:szCs w:val="21"/>
        </w:rPr>
        <w:t>8.3.4商务条款偏离表</w:t>
      </w:r>
    </w:p>
    <w:p>
      <w:pPr>
        <w:spacing w:line="300" w:lineRule="auto"/>
        <w:ind w:firstLine="390" w:firstLineChars="186"/>
        <w:rPr>
          <w:szCs w:val="21"/>
        </w:rPr>
      </w:pPr>
      <w:r>
        <w:rPr>
          <w:szCs w:val="21"/>
        </w:rPr>
        <w:t>9、投标有效期</w:t>
      </w:r>
    </w:p>
    <w:p>
      <w:pPr>
        <w:spacing w:line="300" w:lineRule="auto"/>
        <w:ind w:firstLine="810" w:firstLineChars="386"/>
        <w:rPr>
          <w:szCs w:val="21"/>
        </w:rPr>
      </w:pPr>
      <w:r>
        <w:rPr>
          <w:szCs w:val="21"/>
        </w:rPr>
        <w:t>投标文件在须知表规定的投标截止日期之后的投标须知表所列的日历日内有效。</w:t>
      </w:r>
    </w:p>
    <w:p>
      <w:pPr>
        <w:spacing w:line="300" w:lineRule="auto"/>
        <w:ind w:firstLine="390" w:firstLineChars="186"/>
        <w:rPr>
          <w:szCs w:val="21"/>
        </w:rPr>
      </w:pPr>
      <w:r>
        <w:rPr>
          <w:szCs w:val="21"/>
        </w:rPr>
        <w:t>10、投标文件的份数和签署</w:t>
      </w:r>
    </w:p>
    <w:p>
      <w:pPr>
        <w:spacing w:line="300" w:lineRule="auto"/>
        <w:ind w:firstLine="390" w:firstLineChars="186"/>
        <w:rPr>
          <w:szCs w:val="21"/>
        </w:rPr>
      </w:pPr>
      <w:r>
        <w:rPr>
          <w:szCs w:val="21"/>
        </w:rPr>
        <w:t>10.1投标人按本投标须知表的规定，编制一份投标文件“正本”和投标须知表所述份数的“副本”，并明确标明“正本”和“副本”。投标文件正本和副本不一致之处，以正本为准。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szCs w:val="21"/>
        </w:rPr>
      </w:pPr>
      <w:r>
        <w:rPr>
          <w:szCs w:val="21"/>
        </w:rPr>
        <w:t>10.2投标文件正本与副本均应使用不能擦去的墨水书写或打印，并加盖法人单位公章和法定代表人（或代理人）印鉴。</w:t>
      </w:r>
    </w:p>
    <w:p>
      <w:pPr>
        <w:spacing w:line="300" w:lineRule="auto"/>
        <w:ind w:firstLine="390" w:firstLineChars="186"/>
        <w:rPr>
          <w:szCs w:val="21"/>
        </w:rPr>
      </w:pPr>
      <w:r>
        <w:rPr>
          <w:szCs w:val="21"/>
        </w:rPr>
        <w:t>10.3全套投标文件应无涂改和行间插字，除非这些删改是因为招标文件的修改而发生的，或者是投标人造成的必须修改的错误。但修改处应加盖法人单位公章和法定代表人（或代理人）印鉴。</w:t>
      </w:r>
    </w:p>
    <w:p>
      <w:pPr>
        <w:pStyle w:val="3"/>
        <w:spacing w:line="300" w:lineRule="auto"/>
        <w:jc w:val="center"/>
        <w:rPr>
          <w:rFonts w:ascii="Times New Roman"/>
        </w:rPr>
      </w:pPr>
      <w:bookmarkStart w:id="27" w:name="_Toc14421"/>
      <w:bookmarkStart w:id="28" w:name="_Toc9505"/>
      <w:bookmarkStart w:id="29" w:name="_Toc54951786"/>
      <w:bookmarkStart w:id="30" w:name="_Toc25782"/>
      <w:bookmarkStart w:id="31" w:name="_Toc2103518565"/>
      <w:r>
        <w:rPr>
          <w:rFonts w:ascii="Times New Roman"/>
        </w:rPr>
        <w:t>五、投标文件的递交</w:t>
      </w:r>
      <w:bookmarkEnd w:id="27"/>
      <w:bookmarkEnd w:id="28"/>
      <w:bookmarkEnd w:id="29"/>
      <w:bookmarkEnd w:id="30"/>
      <w:bookmarkEnd w:id="31"/>
    </w:p>
    <w:p>
      <w:pPr>
        <w:spacing w:line="360" w:lineRule="auto"/>
        <w:ind w:firstLine="392" w:firstLineChars="186"/>
        <w:rPr>
          <w:b/>
          <w:szCs w:val="21"/>
        </w:rPr>
      </w:pPr>
      <w:bookmarkStart w:id="32" w:name="_Toc31381"/>
      <w:bookmarkStart w:id="33" w:name="_Toc29082"/>
      <w:r>
        <w:rPr>
          <w:b/>
          <w:szCs w:val="21"/>
        </w:rPr>
        <w:t>11、投标文件的提交</w:t>
      </w:r>
    </w:p>
    <w:p>
      <w:pPr>
        <w:spacing w:line="300" w:lineRule="auto"/>
        <w:ind w:firstLine="390" w:firstLineChars="186"/>
        <w:rPr>
          <w:szCs w:val="21"/>
        </w:rPr>
      </w:pPr>
      <w:r>
        <w:rPr>
          <w:szCs w:val="21"/>
        </w:rPr>
        <w:t>11.1  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szCs w:val="21"/>
        </w:rPr>
      </w:pPr>
      <w:r>
        <w:rPr>
          <w:szCs w:val="21"/>
        </w:rPr>
        <w:t>11.2  投标文件正本与副本均应使用不能擦去的墨水书写或打印，并加盖法人单位公章和法定代表人（或代理人）印鉴。</w:t>
      </w:r>
    </w:p>
    <w:p>
      <w:pPr>
        <w:spacing w:line="300" w:lineRule="auto"/>
        <w:ind w:firstLine="390" w:firstLineChars="186"/>
        <w:rPr>
          <w:szCs w:val="21"/>
        </w:rPr>
      </w:pPr>
      <w:r>
        <w:rPr>
          <w:szCs w:val="21"/>
        </w:rPr>
        <w:t>11.3  全套投标文件应无涂改和行间插字,除非这些删改是因为招标文件的修改而发生的，或者是投标人造成的必须修改的错误。但修改处应加盖法人单位公章和法定代表人（或代理人）印鉴。</w:t>
      </w:r>
    </w:p>
    <w:p>
      <w:pPr>
        <w:spacing w:line="300" w:lineRule="auto"/>
        <w:ind w:firstLine="390" w:firstLineChars="186"/>
        <w:rPr>
          <w:szCs w:val="21"/>
        </w:rPr>
      </w:pPr>
      <w:r>
        <w:rPr>
          <w:szCs w:val="21"/>
        </w:rPr>
        <w:t>11.4要求带U盘，投标文件电子版（盖章扫描）。</w:t>
      </w:r>
    </w:p>
    <w:p>
      <w:pPr>
        <w:spacing w:line="300" w:lineRule="auto"/>
        <w:jc w:val="center"/>
        <w:rPr>
          <w:iCs/>
          <w:sz w:val="28"/>
        </w:rPr>
      </w:pPr>
      <w:r>
        <w:rPr>
          <w:iCs/>
          <w:sz w:val="28"/>
        </w:rPr>
        <w:t>六、评标</w:t>
      </w:r>
      <w:bookmarkEnd w:id="32"/>
      <w:bookmarkEnd w:id="33"/>
    </w:p>
    <w:p>
      <w:pPr>
        <w:spacing w:line="300" w:lineRule="auto"/>
        <w:ind w:firstLine="390" w:firstLineChars="186"/>
        <w:rPr>
          <w:szCs w:val="21"/>
        </w:rPr>
      </w:pPr>
      <w:r>
        <w:rPr>
          <w:szCs w:val="21"/>
        </w:rPr>
        <w:t>12、评标</w:t>
      </w:r>
    </w:p>
    <w:p>
      <w:pPr>
        <w:spacing w:line="300" w:lineRule="auto"/>
        <w:ind w:firstLine="390" w:firstLineChars="186"/>
        <w:rPr>
          <w:szCs w:val="21"/>
        </w:rPr>
      </w:pPr>
      <w:r>
        <w:rPr>
          <w:szCs w:val="21"/>
        </w:rPr>
        <w:t>12.1 评标过程及内容的保密：</w:t>
      </w:r>
    </w:p>
    <w:p>
      <w:pPr>
        <w:spacing w:line="300" w:lineRule="auto"/>
        <w:ind w:firstLine="390" w:firstLineChars="186"/>
        <w:rPr>
          <w:szCs w:val="21"/>
        </w:rPr>
      </w:pPr>
      <w:r>
        <w:rPr>
          <w:szCs w:val="21"/>
        </w:rPr>
        <w:t>12.1.1 标书投递后，直到宣布中标单位为止，凡属于审查、报价和比较投标的所有资料，有关授予合同的信息，都不应向投标人或与评标无关的其他人泄露。</w:t>
      </w:r>
    </w:p>
    <w:p>
      <w:pPr>
        <w:spacing w:line="300" w:lineRule="auto"/>
        <w:ind w:firstLine="390" w:firstLineChars="186"/>
        <w:rPr>
          <w:szCs w:val="21"/>
        </w:rPr>
      </w:pPr>
      <w:r>
        <w:rPr>
          <w:szCs w:val="21"/>
        </w:rPr>
        <w:t>12.1.2 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rPr>
          <w:szCs w:val="21"/>
        </w:rPr>
      </w:pPr>
      <w:r>
        <w:rPr>
          <w:szCs w:val="21"/>
        </w:rPr>
        <w:t>12.2 评标的基本标准和方法</w:t>
      </w:r>
    </w:p>
    <w:p>
      <w:pPr>
        <w:spacing w:line="300" w:lineRule="auto"/>
        <w:ind w:firstLine="390" w:firstLineChars="186"/>
        <w:rPr>
          <w:rFonts w:hint="eastAsia" w:eastAsia="宋体"/>
          <w:szCs w:val="21"/>
          <w:lang w:val="en-US" w:eastAsia="zh-CN"/>
        </w:rPr>
      </w:pPr>
      <w:r>
        <w:rPr>
          <w:szCs w:val="21"/>
        </w:rPr>
        <w:t>12.2.1技术标评审环节，专家组根据评标办法对技术标进行评分，专家组需统一入围供方技术标准、明确重要技术配置、同水平品牌，并推荐技术</w:t>
      </w:r>
      <w:r>
        <w:rPr>
          <w:rFonts w:hint="eastAsia"/>
          <w:szCs w:val="21"/>
          <w:lang w:val="en-US" w:eastAsia="zh-CN"/>
        </w:rPr>
        <w:t>评分</w:t>
      </w:r>
      <w:r>
        <w:rPr>
          <w:rFonts w:hint="eastAsia"/>
          <w:szCs w:val="21"/>
          <w:highlight w:val="none"/>
          <w:lang w:val="en-US" w:eastAsia="zh-CN"/>
        </w:rPr>
        <w:t>21</w:t>
      </w:r>
      <w:r>
        <w:rPr>
          <w:szCs w:val="21"/>
        </w:rPr>
        <w:t>分以上</w:t>
      </w:r>
      <w:r>
        <w:rPr>
          <w:rFonts w:hint="eastAsia"/>
          <w:szCs w:val="21"/>
          <w:lang w:eastAsia="zh-CN"/>
        </w:rPr>
        <w:t>（技术满分</w:t>
      </w:r>
      <w:r>
        <w:rPr>
          <w:rFonts w:hint="eastAsia"/>
          <w:szCs w:val="21"/>
          <w:lang w:val="en-US" w:eastAsia="zh-CN"/>
        </w:rPr>
        <w:t>30分</w:t>
      </w:r>
      <w:r>
        <w:rPr>
          <w:rFonts w:hint="eastAsia"/>
          <w:szCs w:val="21"/>
          <w:lang w:eastAsia="zh-CN"/>
        </w:rPr>
        <w:t>）</w:t>
      </w:r>
      <w:r>
        <w:rPr>
          <w:szCs w:val="21"/>
        </w:rPr>
        <w:t>的投标人入围商务标，技术入围投标人不足三家时，则按废标处理，招标人有权重新组织招标。通过技术标评审的投标单位进入商务标评审。</w:t>
      </w:r>
      <w:r>
        <w:rPr>
          <w:rFonts w:hint="eastAsia"/>
          <w:szCs w:val="21"/>
          <w:lang w:val="en-US" w:eastAsia="zh-CN"/>
        </w:rPr>
        <w:t>技术评分带入商务标。</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宋体" w:hAnsi="宋体" w:eastAsia="宋体" w:cs="宋体"/>
          <w:kern w:val="2"/>
          <w:sz w:val="21"/>
          <w:szCs w:val="21"/>
          <w:lang w:val="en-US" w:eastAsia="zh-CN" w:bidi="ar"/>
        </w:rPr>
      </w:pPr>
      <w:r>
        <w:rPr>
          <w:rFonts w:hint="default" w:ascii="Times New Roman" w:hAnsi="Times New Roman" w:eastAsia="宋体" w:cs="Times New Roman"/>
          <w:kern w:val="2"/>
          <w:sz w:val="21"/>
          <w:szCs w:val="21"/>
          <w:lang w:val="en-US" w:eastAsia="zh-CN" w:bidi="ar"/>
        </w:rPr>
        <w:t>1</w:t>
      </w:r>
      <w:r>
        <w:rPr>
          <w:rFonts w:hint="default" w:eastAsia="宋体" w:cs="Times New Roman"/>
          <w:kern w:val="2"/>
          <w:sz w:val="21"/>
          <w:szCs w:val="21"/>
          <w:lang w:eastAsia="zh-CN" w:bidi="ar"/>
        </w:rPr>
        <w:t>2</w:t>
      </w:r>
      <w:r>
        <w:rPr>
          <w:rFonts w:hint="default" w:ascii="Times New Roman" w:hAnsi="Times New Roman" w:eastAsia="宋体" w:cs="Times New Roman"/>
          <w:kern w:val="2"/>
          <w:sz w:val="21"/>
          <w:szCs w:val="21"/>
          <w:lang w:val="en-US" w:eastAsia="zh-CN" w:bidi="ar"/>
        </w:rPr>
        <w:t>.2.2</w:t>
      </w:r>
      <w:r>
        <w:rPr>
          <w:rFonts w:hint="eastAsia" w:ascii="宋体" w:hAnsi="宋体" w:eastAsia="宋体" w:cs="宋体"/>
          <w:kern w:val="2"/>
          <w:sz w:val="21"/>
          <w:szCs w:val="21"/>
          <w:lang w:val="en-US" w:eastAsia="zh-CN" w:bidi="ar"/>
        </w:rPr>
        <w:t>商务评标采用</w:t>
      </w:r>
      <w:r>
        <w:rPr>
          <w:rFonts w:hint="eastAsia" w:ascii="宋体" w:hAnsi="宋体" w:eastAsia="宋体" w:cs="宋体"/>
          <w:b/>
          <w:bCs/>
          <w:kern w:val="2"/>
          <w:sz w:val="21"/>
          <w:szCs w:val="21"/>
          <w:lang w:val="en-US" w:eastAsia="zh-CN" w:bidi="ar"/>
        </w:rPr>
        <w:t>综合评标法</w:t>
      </w:r>
      <w:r>
        <w:rPr>
          <w:rFonts w:hint="eastAsia" w:ascii="宋体" w:hAnsi="宋体" w:eastAsia="宋体" w:cs="宋体"/>
          <w:kern w:val="2"/>
          <w:sz w:val="21"/>
          <w:szCs w:val="21"/>
          <w:lang w:val="en-US" w:eastAsia="zh-CN" w:bidi="ar"/>
        </w:rPr>
        <w:t>，满分</w:t>
      </w:r>
      <w:r>
        <w:rPr>
          <w:rFonts w:hint="eastAsia"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分（技术</w:t>
      </w:r>
      <w:r>
        <w:rPr>
          <w:rFonts w:hint="default" w:ascii="Times New Roman" w:hAnsi="Times New Roman" w:eastAsia="宋体" w:cs="Times New Roman"/>
          <w:kern w:val="2"/>
          <w:sz w:val="21"/>
          <w:szCs w:val="21"/>
          <w:lang w:val="en-US" w:eastAsia="zh-CN" w:bidi="ar"/>
        </w:rPr>
        <w:t>30</w:t>
      </w:r>
      <w:r>
        <w:rPr>
          <w:rFonts w:hint="eastAsia" w:ascii="宋体" w:hAnsi="宋体" w:eastAsia="宋体" w:cs="宋体"/>
          <w:kern w:val="2"/>
          <w:sz w:val="21"/>
          <w:szCs w:val="21"/>
          <w:lang w:val="en-US" w:eastAsia="zh-CN" w:bidi="ar"/>
        </w:rPr>
        <w:t>分，商务</w:t>
      </w:r>
      <w:r>
        <w:rPr>
          <w:rFonts w:hint="default" w:ascii="Times New Roman" w:hAnsi="Times New Roman" w:eastAsia="宋体" w:cs="Times New Roman"/>
          <w:kern w:val="2"/>
          <w:sz w:val="21"/>
          <w:szCs w:val="21"/>
          <w:lang w:val="en-US" w:eastAsia="zh-CN" w:bidi="ar"/>
        </w:rPr>
        <w:t>70</w:t>
      </w:r>
      <w:r>
        <w:rPr>
          <w:rFonts w:hint="eastAsia" w:ascii="宋体" w:hAnsi="宋体" w:eastAsia="宋体" w:cs="宋体"/>
          <w:kern w:val="2"/>
          <w:sz w:val="21"/>
          <w:szCs w:val="21"/>
          <w:lang w:val="en-US" w:eastAsia="zh-CN" w:bidi="ar"/>
        </w:rPr>
        <w:t>分）。</w:t>
      </w:r>
      <w:r>
        <w:rPr>
          <w:rFonts w:hint="eastAsia" w:ascii="宋体" w:hAnsi="宋体" w:eastAsia="宋体" w:cs="宋体"/>
          <w:b/>
          <w:bCs/>
          <w:kern w:val="2"/>
          <w:sz w:val="21"/>
          <w:szCs w:val="21"/>
          <w:lang w:val="en-US" w:eastAsia="zh-CN" w:bidi="ar"/>
        </w:rPr>
        <w:t>商务标得分</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宋体"/>
          <w:b/>
          <w:bCs/>
          <w:kern w:val="2"/>
          <w:sz w:val="21"/>
          <w:szCs w:val="21"/>
          <w:lang w:val="en-US" w:eastAsia="zh-CN" w:bidi="ar"/>
        </w:rPr>
        <w:t>当前轮次最低价</w:t>
      </w:r>
      <w:r>
        <w:rPr>
          <w:rFonts w:hint="default" w:ascii="Times New Roman" w:hAnsi="Times New Roman" w:eastAsia="宋体" w:cs="Times New Roman"/>
          <w:b/>
          <w:bCs/>
          <w:kern w:val="2"/>
          <w:sz w:val="21"/>
          <w:szCs w:val="21"/>
          <w:lang w:val="en-US" w:eastAsia="zh-CN" w:bidi="ar"/>
        </w:rPr>
        <w:t>/</w:t>
      </w:r>
      <w:r>
        <w:rPr>
          <w:rFonts w:hint="eastAsia" w:ascii="宋体" w:hAnsi="宋体" w:eastAsia="宋体" w:cs="宋体"/>
          <w:b/>
          <w:bCs/>
          <w:kern w:val="2"/>
          <w:sz w:val="21"/>
          <w:szCs w:val="21"/>
          <w:lang w:val="en-US" w:eastAsia="zh-CN" w:bidi="ar"/>
        </w:rPr>
        <w:t>供方投标价</w:t>
      </w:r>
      <w:r>
        <w:rPr>
          <w:rFonts w:hint="eastAsia" w:ascii="Times New Roman" w:hAnsi="Times New Roman" w:eastAsia="宋体" w:cs="Times New Roman"/>
          <w:b/>
          <w:bCs/>
          <w:kern w:val="2"/>
          <w:sz w:val="21"/>
          <w:szCs w:val="21"/>
          <w:lang w:val="en-US" w:eastAsia="zh-CN" w:bidi="ar"/>
        </w:rPr>
        <w:t>×商务标总分</w:t>
      </w:r>
      <w:r>
        <w:rPr>
          <w:rFonts w:hint="eastAsia" w:ascii="宋体" w:hAnsi="宋体" w:eastAsia="宋体" w:cs="宋体"/>
          <w:kern w:val="2"/>
          <w:sz w:val="21"/>
          <w:szCs w:val="21"/>
          <w:lang w:val="en-US" w:eastAsia="zh-CN" w:bidi="ar"/>
        </w:rPr>
        <w:t>。</w:t>
      </w:r>
    </w:p>
    <w:p>
      <w:pPr>
        <w:pStyle w:val="2"/>
        <w:ind w:firstLine="420"/>
        <w:rPr>
          <w:rFonts w:hint="eastAsia" w:ascii="宋体" w:hAnsi="宋体" w:cs="宋体"/>
          <w:b/>
          <w:bCs/>
          <w:kern w:val="2"/>
          <w:sz w:val="21"/>
          <w:szCs w:val="21"/>
          <w:lang w:val="en-US" w:eastAsia="zh-CN" w:bidi="ar"/>
        </w:rPr>
      </w:pPr>
      <w:r>
        <w:rPr>
          <w:rFonts w:hint="eastAsia" w:ascii="宋体" w:hAnsi="宋体" w:cs="宋体"/>
          <w:b/>
          <w:bCs/>
          <w:kern w:val="2"/>
          <w:sz w:val="21"/>
          <w:szCs w:val="21"/>
          <w:lang w:val="en-US" w:eastAsia="zh-CN" w:bidi="ar"/>
        </w:rPr>
        <w:t>总得分=技术标得分+商务标得分，以每轮次总得分高者判定入围/预中标。</w:t>
      </w:r>
    </w:p>
    <w:p>
      <w:pPr>
        <w:pStyle w:val="2"/>
        <w:ind w:firstLine="420"/>
        <w:rPr>
          <w:rFonts w:hint="default" w:ascii="宋体" w:hAnsi="宋体" w:eastAsia="宋体" w:cs="宋体"/>
          <w:kern w:val="2"/>
          <w:sz w:val="21"/>
          <w:szCs w:val="21"/>
          <w:lang w:eastAsia="zh-CN" w:bidi="ar"/>
        </w:rPr>
      </w:pPr>
      <w:r>
        <w:rPr>
          <w:rFonts w:hint="eastAsia" w:ascii="宋体" w:hAnsi="宋体" w:cs="宋体"/>
          <w:kern w:val="2"/>
          <w:sz w:val="21"/>
          <w:szCs w:val="21"/>
          <w:lang w:val="en-US" w:eastAsia="zh-CN" w:bidi="ar"/>
        </w:rPr>
        <w:t>注：1、</w:t>
      </w:r>
      <w:r>
        <w:rPr>
          <w:rFonts w:hint="default" w:ascii="宋体" w:hAnsi="宋体" w:eastAsia="宋体" w:cs="宋体"/>
          <w:kern w:val="2"/>
          <w:sz w:val="21"/>
          <w:szCs w:val="21"/>
          <w:lang w:eastAsia="zh-CN" w:bidi="ar"/>
        </w:rPr>
        <w:t>商务标得分、技术标得分及总得分均</w:t>
      </w:r>
      <w:r>
        <w:rPr>
          <w:rFonts w:hint="default" w:ascii="宋体" w:hAnsi="宋体" w:cs="宋体"/>
          <w:kern w:val="2"/>
          <w:sz w:val="21"/>
          <w:szCs w:val="21"/>
          <w:lang w:eastAsia="zh-CN" w:bidi="ar"/>
        </w:rPr>
        <w:t>小数点后四舍五入</w:t>
      </w:r>
      <w:r>
        <w:rPr>
          <w:rFonts w:hint="default" w:ascii="宋体" w:hAnsi="宋体" w:eastAsia="宋体" w:cs="宋体"/>
          <w:kern w:val="2"/>
          <w:sz w:val="21"/>
          <w:szCs w:val="21"/>
          <w:lang w:eastAsia="zh-CN" w:bidi="ar"/>
        </w:rPr>
        <w:t>保留两位小数。</w:t>
      </w:r>
    </w:p>
    <w:p>
      <w:pPr>
        <w:keepNext w:val="0"/>
        <w:keepLines w:val="0"/>
        <w:widowControl w:val="0"/>
        <w:suppressLineNumbers w:val="0"/>
        <w:spacing w:before="0" w:beforeAutospacing="0" w:after="0" w:afterAutospacing="0" w:line="300" w:lineRule="auto"/>
        <w:ind w:left="378" w:leftChars="180" w:right="0" w:firstLine="459" w:firstLineChars="219"/>
        <w:jc w:val="both"/>
        <w:rPr>
          <w:rFonts w:hint="eastAsia" w:ascii="宋体" w:hAnsi="宋体" w:eastAsia="宋体" w:cs="宋体"/>
          <w:sz w:val="21"/>
          <w:szCs w:val="21"/>
        </w:rPr>
      </w:pPr>
      <w:r>
        <w:rPr>
          <w:rFonts w:hint="eastAsia" w:ascii="宋体" w:hAnsi="宋体" w:cs="宋体"/>
          <w:kern w:val="2"/>
          <w:sz w:val="21"/>
          <w:szCs w:val="21"/>
          <w:lang w:val="en-US" w:eastAsia="zh-CN" w:bidi="ar"/>
        </w:rPr>
        <w:t>2、</w:t>
      </w:r>
      <w:r>
        <w:rPr>
          <w:rFonts w:hint="default" w:ascii="宋体" w:hAnsi="宋体" w:eastAsia="宋体" w:cs="宋体"/>
          <w:kern w:val="2"/>
          <w:sz w:val="21"/>
          <w:szCs w:val="21"/>
          <w:lang w:eastAsia="zh-CN" w:bidi="ar"/>
        </w:rPr>
        <w:t>如在</w:t>
      </w:r>
      <w:r>
        <w:rPr>
          <w:rFonts w:hint="default" w:ascii="宋体" w:hAnsi="宋体" w:cs="宋体"/>
          <w:kern w:val="2"/>
          <w:sz w:val="21"/>
          <w:szCs w:val="21"/>
          <w:lang w:eastAsia="zh-CN" w:bidi="ar"/>
        </w:rPr>
        <w:t>商务</w:t>
      </w:r>
      <w:r>
        <w:rPr>
          <w:rFonts w:hint="default" w:ascii="宋体" w:hAnsi="宋体" w:eastAsia="宋体" w:cs="宋体"/>
          <w:kern w:val="2"/>
          <w:sz w:val="21"/>
          <w:szCs w:val="21"/>
          <w:lang w:eastAsia="zh-CN" w:bidi="ar"/>
        </w:rPr>
        <w:t>淘汰阶段，有两个投标方总得分相同，则商务报价更低者入围；如两个投标方技术</w:t>
      </w:r>
      <w:r>
        <w:rPr>
          <w:rFonts w:hint="default" w:ascii="宋体" w:hAnsi="宋体" w:cs="宋体"/>
          <w:kern w:val="2"/>
          <w:sz w:val="21"/>
          <w:szCs w:val="21"/>
          <w:lang w:eastAsia="zh-CN" w:bidi="ar"/>
        </w:rPr>
        <w:t>标得分</w:t>
      </w:r>
      <w:r>
        <w:rPr>
          <w:rFonts w:hint="default" w:ascii="宋体" w:hAnsi="宋体" w:eastAsia="宋体" w:cs="宋体"/>
          <w:kern w:val="2"/>
          <w:sz w:val="21"/>
          <w:szCs w:val="21"/>
          <w:lang w:eastAsia="zh-CN" w:bidi="ar"/>
        </w:rPr>
        <w:t>、商务</w:t>
      </w:r>
      <w:r>
        <w:rPr>
          <w:rFonts w:hint="default" w:ascii="宋体" w:hAnsi="宋体" w:cs="宋体"/>
          <w:kern w:val="2"/>
          <w:sz w:val="21"/>
          <w:szCs w:val="21"/>
          <w:lang w:eastAsia="zh-CN" w:bidi="ar"/>
        </w:rPr>
        <w:t>标得分</w:t>
      </w:r>
      <w:r>
        <w:rPr>
          <w:rFonts w:hint="default" w:ascii="宋体" w:hAnsi="宋体" w:eastAsia="宋体" w:cs="宋体"/>
          <w:kern w:val="2"/>
          <w:sz w:val="21"/>
          <w:szCs w:val="21"/>
          <w:lang w:eastAsia="zh-CN" w:bidi="ar"/>
        </w:rPr>
        <w:t>均相同，则共同进入下一轮。</w:t>
      </w:r>
    </w:p>
    <w:p>
      <w:pPr>
        <w:spacing w:line="300" w:lineRule="auto"/>
        <w:ind w:firstLine="390" w:firstLineChars="186"/>
        <w:rPr>
          <w:szCs w:val="21"/>
        </w:rPr>
      </w:pPr>
      <w:r>
        <w:rPr>
          <w:szCs w:val="21"/>
        </w:rPr>
        <w:t>12.2.3技术评分准则（</w:t>
      </w:r>
      <w:r>
        <w:rPr>
          <w:rFonts w:hint="eastAsia"/>
          <w:szCs w:val="21"/>
          <w:highlight w:val="none"/>
          <w:lang w:val="en-US" w:eastAsia="zh-CN"/>
        </w:rPr>
        <w:t>30</w:t>
      </w:r>
      <w:r>
        <w:rPr>
          <w:szCs w:val="21"/>
          <w:highlight w:val="none"/>
        </w:rPr>
        <w:t>分</w:t>
      </w:r>
      <w:r>
        <w:rPr>
          <w:szCs w:val="21"/>
        </w:rPr>
        <w:t>）</w:t>
      </w:r>
    </w:p>
    <w:tbl>
      <w:tblPr>
        <w:tblStyle w:val="50"/>
        <w:tblW w:w="9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1145"/>
        <w:gridCol w:w="1473"/>
        <w:gridCol w:w="4547"/>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序号</w:t>
            </w:r>
          </w:p>
        </w:tc>
        <w:tc>
          <w:tcPr>
            <w:tcW w:w="1145"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评审项目</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项目内容</w:t>
            </w:r>
          </w:p>
        </w:tc>
        <w:tc>
          <w:tcPr>
            <w:tcW w:w="4547"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评分标准</w:t>
            </w:r>
          </w:p>
        </w:tc>
        <w:tc>
          <w:tcPr>
            <w:tcW w:w="1174"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restart"/>
            <w:vAlign w:val="center"/>
          </w:tcPr>
          <w:p>
            <w:pPr>
              <w:keepNext w:val="0"/>
              <w:keepLines w:val="0"/>
              <w:suppressLineNumbers w:val="0"/>
              <w:spacing w:before="0" w:beforeAutospacing="0" w:after="0" w:afterAutospacing="0"/>
              <w:ind w:left="0" w:right="0"/>
              <w:jc w:val="center"/>
              <w:rPr>
                <w:rFonts w:hint="eastAsia" w:eastAsia="宋体"/>
                <w:color w:val="000000"/>
                <w:szCs w:val="21"/>
                <w:lang w:val="en-US" w:eastAsia="zh-CN"/>
              </w:rPr>
            </w:pPr>
            <w:r>
              <w:rPr>
                <w:rFonts w:hint="eastAsia"/>
                <w:color w:val="000000"/>
                <w:szCs w:val="21"/>
                <w:lang w:val="en-US" w:eastAsia="zh-CN"/>
              </w:rPr>
              <w:t>1</w:t>
            </w:r>
          </w:p>
        </w:tc>
        <w:tc>
          <w:tcPr>
            <w:tcW w:w="1145" w:type="dxa"/>
            <w:vMerge w:val="restart"/>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default"/>
                <w:color w:val="000000"/>
                <w:szCs w:val="21"/>
              </w:rPr>
              <w:t>企业综合实力（</w:t>
            </w:r>
            <w:r>
              <w:rPr>
                <w:rFonts w:hint="eastAsia"/>
                <w:color w:val="000000"/>
                <w:szCs w:val="21"/>
                <w:lang w:val="en-US" w:eastAsia="zh-CN"/>
              </w:rPr>
              <w:t>3</w:t>
            </w:r>
            <w:r>
              <w:rPr>
                <w:rFonts w:hint="default"/>
                <w:color w:val="000000"/>
                <w:szCs w:val="21"/>
              </w:rPr>
              <w:t>分</w:t>
            </w:r>
            <w:r>
              <w:rPr>
                <w:rFonts w:hint="eastAsia"/>
                <w:color w:val="000000"/>
                <w:szCs w:val="21"/>
                <w:lang w:eastAsia="zh-CN"/>
              </w:rPr>
              <w:t>）</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财务报表评价</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提供近三年财务审计报告或财务报表，资产负债率60%及以下的得</w:t>
            </w:r>
            <w:r>
              <w:rPr>
                <w:rFonts w:hint="eastAsia"/>
                <w:color w:val="000000"/>
                <w:szCs w:val="21"/>
                <w:lang w:val="en-US" w:eastAsia="zh-CN"/>
              </w:rPr>
              <w:t>0.6</w:t>
            </w:r>
            <w:r>
              <w:rPr>
                <w:rFonts w:hint="default"/>
                <w:color w:val="000000"/>
                <w:szCs w:val="21"/>
              </w:rPr>
              <w:t>分，资产负债率60%-70%的得</w:t>
            </w:r>
            <w:r>
              <w:rPr>
                <w:rFonts w:hint="eastAsia"/>
                <w:color w:val="000000"/>
                <w:szCs w:val="21"/>
                <w:lang w:val="en-US" w:eastAsia="zh-CN"/>
              </w:rPr>
              <w:t>0.3</w:t>
            </w:r>
            <w:r>
              <w:rPr>
                <w:rFonts w:hint="default"/>
                <w:color w:val="000000"/>
                <w:szCs w:val="21"/>
              </w:rPr>
              <w:t>分，高于70%的得0分；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企业营收评价</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三年平均营业收入列参标企业前1/3得</w:t>
            </w:r>
            <w:r>
              <w:rPr>
                <w:rFonts w:hint="eastAsia"/>
                <w:color w:val="000000"/>
                <w:szCs w:val="21"/>
                <w:lang w:val="en-US" w:eastAsia="zh-CN"/>
              </w:rPr>
              <w:t>0.9</w:t>
            </w:r>
            <w:r>
              <w:rPr>
                <w:rFonts w:hint="default"/>
                <w:color w:val="000000"/>
                <w:szCs w:val="21"/>
              </w:rPr>
              <w:t>分，中间1/3得</w:t>
            </w:r>
            <w:r>
              <w:rPr>
                <w:rFonts w:hint="eastAsia"/>
                <w:color w:val="000000"/>
                <w:szCs w:val="21"/>
                <w:lang w:val="en-US" w:eastAsia="zh-CN"/>
              </w:rPr>
              <w:t>0.6</w:t>
            </w:r>
            <w:r>
              <w:rPr>
                <w:rFonts w:hint="default"/>
                <w:color w:val="000000"/>
                <w:szCs w:val="21"/>
              </w:rPr>
              <w:t>分，最后1/3得</w:t>
            </w:r>
            <w:r>
              <w:rPr>
                <w:rFonts w:hint="eastAsia"/>
                <w:color w:val="000000"/>
                <w:szCs w:val="21"/>
                <w:lang w:val="en-US" w:eastAsia="zh-CN"/>
              </w:rPr>
              <w:t>0.3</w:t>
            </w:r>
            <w:r>
              <w:rPr>
                <w:rFonts w:hint="default"/>
                <w:color w:val="000000"/>
                <w:szCs w:val="21"/>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知识产权</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拥有自主知识产权（与招标项目相关，且为发明专利）的核心技术专利（</w:t>
            </w:r>
            <w:r>
              <w:rPr>
                <w:rFonts w:hint="default"/>
                <w:b/>
                <w:color w:val="000000"/>
                <w:szCs w:val="21"/>
                <w:u w:val="single"/>
              </w:rPr>
              <w:t>提供证明文件</w:t>
            </w:r>
            <w:r>
              <w:rPr>
                <w:rFonts w:hint="default"/>
                <w:color w:val="000000"/>
                <w:szCs w:val="21"/>
              </w:rPr>
              <w:t>）、论文，每项得</w:t>
            </w:r>
            <w:r>
              <w:rPr>
                <w:rFonts w:hint="eastAsia"/>
                <w:color w:val="000000"/>
                <w:szCs w:val="21"/>
                <w:lang w:val="en-US" w:eastAsia="zh-CN"/>
              </w:rPr>
              <w:t>0.3</w:t>
            </w:r>
            <w:r>
              <w:rPr>
                <w:rFonts w:hint="default"/>
                <w:color w:val="000000"/>
                <w:szCs w:val="21"/>
              </w:rPr>
              <w:t>分，累计不超过</w:t>
            </w:r>
            <w:r>
              <w:rPr>
                <w:rFonts w:hint="eastAsia"/>
                <w:color w:val="000000"/>
                <w:szCs w:val="21"/>
                <w:lang w:val="en-US" w:eastAsia="zh-CN"/>
              </w:rPr>
              <w:t>1.5</w:t>
            </w:r>
            <w:r>
              <w:rPr>
                <w:rFonts w:hint="default"/>
                <w:color w:val="000000"/>
                <w:szCs w:val="21"/>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2</w:t>
            </w:r>
          </w:p>
        </w:tc>
        <w:tc>
          <w:tcPr>
            <w:tcW w:w="1145"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业绩（</w:t>
            </w:r>
            <w:r>
              <w:rPr>
                <w:rFonts w:hint="eastAsia"/>
                <w:color w:val="000000"/>
                <w:szCs w:val="21"/>
                <w:lang w:val="en-US" w:eastAsia="zh-CN"/>
              </w:rPr>
              <w:t>4.2</w:t>
            </w:r>
            <w:r>
              <w:rPr>
                <w:rFonts w:hint="default"/>
                <w:color w:val="000000"/>
                <w:szCs w:val="21"/>
              </w:rPr>
              <w:t>分）</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业绩</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kern w:val="0"/>
                <w:szCs w:val="21"/>
              </w:rPr>
              <w:t>近三年每承担一</w:t>
            </w:r>
            <w:r>
              <w:rPr>
                <w:rFonts w:hint="default"/>
                <w:color w:val="000000"/>
                <w:kern w:val="0"/>
                <w:szCs w:val="21"/>
                <w:highlight w:val="none"/>
              </w:rPr>
              <w:t>个合同金额不低于</w:t>
            </w:r>
            <w:r>
              <w:rPr>
                <w:rFonts w:hint="eastAsia"/>
                <w:color w:val="000000"/>
                <w:kern w:val="0"/>
                <w:szCs w:val="21"/>
                <w:highlight w:val="none"/>
              </w:rPr>
              <w:t>50</w:t>
            </w:r>
            <w:r>
              <w:rPr>
                <w:rFonts w:hint="default"/>
                <w:color w:val="000000"/>
                <w:kern w:val="0"/>
                <w:szCs w:val="21"/>
                <w:highlight w:val="none"/>
              </w:rPr>
              <w:t>万元机器人焊接</w:t>
            </w:r>
            <w:r>
              <w:rPr>
                <w:rFonts w:hint="eastAsia"/>
                <w:color w:val="000000"/>
                <w:kern w:val="0"/>
                <w:szCs w:val="21"/>
                <w:highlight w:val="none"/>
              </w:rPr>
              <w:t>（快速编程或免示教）</w:t>
            </w:r>
            <w:r>
              <w:rPr>
                <w:rFonts w:hint="default"/>
                <w:color w:val="000000"/>
                <w:kern w:val="0"/>
                <w:szCs w:val="21"/>
                <w:highlight w:val="none"/>
              </w:rPr>
              <w:t>项目类似的业绩得</w:t>
            </w:r>
            <w:r>
              <w:rPr>
                <w:rFonts w:hint="eastAsia"/>
                <w:color w:val="000000"/>
                <w:kern w:val="0"/>
                <w:szCs w:val="21"/>
                <w:highlight w:val="none"/>
                <w:lang w:val="en-US" w:eastAsia="zh-CN"/>
              </w:rPr>
              <w:t>0.9</w:t>
            </w:r>
            <w:r>
              <w:rPr>
                <w:rFonts w:hint="default"/>
                <w:color w:val="000000"/>
                <w:kern w:val="0"/>
                <w:szCs w:val="21"/>
                <w:highlight w:val="none"/>
              </w:rPr>
              <w:t>分，最高</w:t>
            </w:r>
            <w:r>
              <w:rPr>
                <w:rFonts w:hint="eastAsia"/>
                <w:color w:val="000000"/>
                <w:kern w:val="0"/>
                <w:szCs w:val="21"/>
                <w:highlight w:val="none"/>
                <w:lang w:val="en-US" w:eastAsia="zh-CN"/>
              </w:rPr>
              <w:t>4.2</w:t>
            </w:r>
            <w:r>
              <w:rPr>
                <w:rFonts w:hint="default"/>
                <w:color w:val="000000"/>
                <w:kern w:val="0"/>
                <w:szCs w:val="21"/>
                <w:highlight w:val="none"/>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restart"/>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3</w:t>
            </w:r>
          </w:p>
        </w:tc>
        <w:tc>
          <w:tcPr>
            <w:tcW w:w="1145" w:type="dxa"/>
            <w:vMerge w:val="restart"/>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技术方案部分（</w:t>
            </w:r>
            <w:r>
              <w:rPr>
                <w:rFonts w:hint="eastAsia"/>
                <w:color w:val="000000"/>
                <w:szCs w:val="21"/>
                <w:lang w:val="en-US" w:eastAsia="zh-CN"/>
              </w:rPr>
              <w:t>15</w:t>
            </w:r>
            <w:r>
              <w:rPr>
                <w:rFonts w:hint="default"/>
                <w:color w:val="000000"/>
                <w:szCs w:val="21"/>
              </w:rPr>
              <w:t>分）</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技术方案相应程度</w:t>
            </w:r>
          </w:p>
        </w:tc>
        <w:tc>
          <w:tcPr>
            <w:tcW w:w="4547" w:type="dxa"/>
            <w:vAlign w:val="center"/>
          </w:tcPr>
          <w:p>
            <w:pPr>
              <w:pStyle w:val="344"/>
              <w:keepNext w:val="0"/>
              <w:keepLines w:val="0"/>
              <w:suppressLineNumbers w:val="0"/>
              <w:ind w:left="0" w:right="0"/>
              <w:jc w:val="both"/>
              <w:rPr>
                <w:rFonts w:hint="default" w:ascii="Times New Roman" w:hAnsi="Times New Roman"/>
                <w:color w:val="000000"/>
                <w:kern w:val="2"/>
                <w:sz w:val="21"/>
                <w:szCs w:val="21"/>
              </w:rPr>
            </w:pPr>
            <w:r>
              <w:rPr>
                <w:rFonts w:hint="default" w:ascii="Times New Roman" w:hAnsi="Times New Roman"/>
                <w:color w:val="000000"/>
                <w:kern w:val="2"/>
                <w:sz w:val="21"/>
                <w:szCs w:val="21"/>
              </w:rPr>
              <w:t>满足标书基本技术要求得</w:t>
            </w:r>
            <w:r>
              <w:rPr>
                <w:rFonts w:hint="eastAsia" w:ascii="Times New Roman" w:hAnsi="Times New Roman"/>
                <w:color w:val="000000"/>
                <w:kern w:val="2"/>
                <w:sz w:val="21"/>
                <w:szCs w:val="21"/>
                <w:lang w:val="en-US" w:eastAsia="zh-CN"/>
              </w:rPr>
              <w:t>6</w:t>
            </w:r>
            <w:r>
              <w:rPr>
                <w:rFonts w:hint="default" w:ascii="Times New Roman" w:hAnsi="Times New Roman"/>
                <w:color w:val="000000"/>
                <w:kern w:val="2"/>
                <w:sz w:val="21"/>
                <w:szCs w:val="21"/>
              </w:rPr>
              <w:t>分，</w:t>
            </w:r>
            <w:r>
              <w:rPr>
                <w:rFonts w:hint="default" w:ascii="Times New Roman" w:hAnsi="Times New Roman"/>
                <w:color w:val="000000"/>
                <w:sz w:val="21"/>
                <w:szCs w:val="21"/>
              </w:rPr>
              <w:t>存在一项负偏离、漏项或一处不合理方案的扣</w:t>
            </w:r>
            <w:r>
              <w:rPr>
                <w:rFonts w:hint="eastAsia" w:ascii="Times New Roman" w:hAnsi="Times New Roman"/>
                <w:color w:val="000000"/>
                <w:sz w:val="21"/>
                <w:szCs w:val="21"/>
                <w:lang w:val="en-US" w:eastAsia="zh-CN"/>
              </w:rPr>
              <w:t>0.6</w:t>
            </w:r>
            <w:r>
              <w:rPr>
                <w:rFonts w:hint="default" w:ascii="Times New Roman" w:hAnsi="Times New Roman"/>
                <w:color w:val="000000"/>
                <w:sz w:val="21"/>
                <w:szCs w:val="21"/>
              </w:rPr>
              <w:t>分，扣完为止</w:t>
            </w:r>
            <w:r>
              <w:rPr>
                <w:rFonts w:hint="default" w:ascii="Times New Roman" w:hAnsi="Times New Roman"/>
                <w:color w:val="000000"/>
                <w:kern w:val="2"/>
                <w:sz w:val="21"/>
                <w:szCs w:val="21"/>
              </w:rPr>
              <w:t>；</w:t>
            </w:r>
          </w:p>
        </w:tc>
        <w:tc>
          <w:tcPr>
            <w:tcW w:w="1174" w:type="dxa"/>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产品配置信息</w:t>
            </w:r>
          </w:p>
        </w:tc>
        <w:tc>
          <w:tcPr>
            <w:tcW w:w="4547" w:type="dxa"/>
            <w:vAlign w:val="center"/>
          </w:tcPr>
          <w:p>
            <w:pPr>
              <w:pStyle w:val="344"/>
              <w:keepNext w:val="0"/>
              <w:keepLines w:val="0"/>
              <w:suppressLineNumbers w:val="0"/>
              <w:ind w:left="0" w:right="0"/>
              <w:jc w:val="both"/>
              <w:rPr>
                <w:rFonts w:hint="default" w:ascii="Times New Roman" w:hAnsi="Times New Roman"/>
                <w:color w:val="000000"/>
                <w:kern w:val="2"/>
                <w:sz w:val="21"/>
                <w:szCs w:val="21"/>
              </w:rPr>
            </w:pPr>
            <w:r>
              <w:rPr>
                <w:rFonts w:hint="default" w:ascii="Times New Roman" w:hAnsi="Times New Roman"/>
                <w:color w:val="000000"/>
                <w:kern w:val="2"/>
                <w:sz w:val="21"/>
                <w:szCs w:val="21"/>
              </w:rPr>
              <w:t>产品关键配</w:t>
            </w:r>
            <w:r>
              <w:rPr>
                <w:rFonts w:hint="default" w:ascii="Times New Roman" w:hAnsi="Times New Roman"/>
                <w:color w:val="000000"/>
                <w:kern w:val="2"/>
                <w:sz w:val="21"/>
                <w:szCs w:val="21"/>
                <w:highlight w:val="none"/>
              </w:rPr>
              <w:t>置不满足标书要求的，每项扣</w:t>
            </w:r>
            <w:r>
              <w:rPr>
                <w:rFonts w:hint="eastAsia" w:ascii="Times New Roman" w:hAnsi="Times New Roman"/>
                <w:color w:val="000000"/>
                <w:kern w:val="2"/>
                <w:sz w:val="21"/>
                <w:szCs w:val="21"/>
                <w:highlight w:val="none"/>
                <w:lang w:val="en-US" w:eastAsia="zh-CN"/>
              </w:rPr>
              <w:t>0.9</w:t>
            </w:r>
            <w:r>
              <w:rPr>
                <w:rFonts w:hint="default" w:ascii="Times New Roman" w:hAnsi="Times New Roman"/>
                <w:color w:val="000000"/>
                <w:kern w:val="2"/>
                <w:sz w:val="21"/>
                <w:szCs w:val="21"/>
                <w:highlight w:val="none"/>
              </w:rPr>
              <w:t>分，累计不超过</w:t>
            </w:r>
            <w:r>
              <w:rPr>
                <w:rFonts w:hint="eastAsia" w:ascii="Times New Roman" w:hAnsi="Times New Roman"/>
                <w:color w:val="000000"/>
                <w:kern w:val="2"/>
                <w:sz w:val="21"/>
                <w:szCs w:val="21"/>
                <w:highlight w:val="none"/>
                <w:lang w:val="en-US" w:eastAsia="zh-CN"/>
              </w:rPr>
              <w:t>2.7</w:t>
            </w:r>
            <w:r>
              <w:rPr>
                <w:rFonts w:hint="default" w:ascii="Times New Roman" w:hAnsi="Times New Roman"/>
                <w:color w:val="000000"/>
                <w:kern w:val="2"/>
                <w:sz w:val="21"/>
                <w:szCs w:val="21"/>
                <w:highlight w:val="none"/>
              </w:rPr>
              <w:t>分；产品关键配置优于标书要求的每项得</w:t>
            </w:r>
            <w:r>
              <w:rPr>
                <w:rFonts w:hint="eastAsia" w:ascii="Times New Roman" w:hAnsi="Times New Roman"/>
                <w:color w:val="000000"/>
                <w:kern w:val="2"/>
                <w:sz w:val="21"/>
                <w:szCs w:val="21"/>
                <w:highlight w:val="none"/>
                <w:lang w:val="en-US" w:eastAsia="zh-CN"/>
              </w:rPr>
              <w:t>0.3</w:t>
            </w:r>
            <w:r>
              <w:rPr>
                <w:rFonts w:hint="default" w:ascii="Times New Roman" w:hAnsi="Times New Roman"/>
                <w:color w:val="000000"/>
                <w:kern w:val="2"/>
                <w:sz w:val="21"/>
                <w:szCs w:val="21"/>
                <w:highlight w:val="none"/>
              </w:rPr>
              <w:t>分，累计不超过</w:t>
            </w:r>
            <w:r>
              <w:rPr>
                <w:rFonts w:hint="eastAsia" w:ascii="Times New Roman" w:hAnsi="Times New Roman"/>
                <w:color w:val="000000"/>
                <w:kern w:val="2"/>
                <w:sz w:val="21"/>
                <w:szCs w:val="21"/>
                <w:highlight w:val="none"/>
                <w:lang w:val="en-US" w:eastAsia="zh-CN"/>
              </w:rPr>
              <w:t>0.9</w:t>
            </w:r>
            <w:r>
              <w:rPr>
                <w:rFonts w:hint="default" w:ascii="Times New Roman" w:hAnsi="Times New Roman"/>
                <w:color w:val="000000"/>
                <w:kern w:val="2"/>
                <w:sz w:val="21"/>
                <w:szCs w:val="21"/>
                <w:highlight w:val="none"/>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设计优化</w:t>
            </w:r>
          </w:p>
        </w:tc>
        <w:tc>
          <w:tcPr>
            <w:tcW w:w="4547" w:type="dxa"/>
            <w:vAlign w:val="center"/>
          </w:tcPr>
          <w:p>
            <w:pPr>
              <w:pStyle w:val="344"/>
              <w:keepNext w:val="0"/>
              <w:keepLines w:val="0"/>
              <w:suppressLineNumbers w:val="0"/>
              <w:ind w:left="0" w:right="0"/>
              <w:jc w:val="both"/>
              <w:rPr>
                <w:rFonts w:hint="default" w:ascii="Times New Roman" w:hAnsi="Times New Roman"/>
                <w:color w:val="000000"/>
                <w:kern w:val="2"/>
                <w:sz w:val="21"/>
                <w:szCs w:val="21"/>
              </w:rPr>
            </w:pPr>
            <w:r>
              <w:rPr>
                <w:rFonts w:hint="default" w:ascii="Times New Roman" w:hAnsi="Times New Roman"/>
                <w:color w:val="000000"/>
                <w:kern w:val="2"/>
                <w:sz w:val="21"/>
                <w:szCs w:val="21"/>
              </w:rPr>
              <w:t>提出优化设计，并经招标小组论证为可行并采纳的，每项加</w:t>
            </w:r>
            <w:r>
              <w:rPr>
                <w:rFonts w:hint="eastAsia" w:ascii="Times New Roman" w:hAnsi="Times New Roman"/>
                <w:color w:val="000000"/>
                <w:kern w:val="2"/>
                <w:sz w:val="21"/>
                <w:szCs w:val="21"/>
                <w:lang w:val="en-US" w:eastAsia="zh-CN"/>
              </w:rPr>
              <w:t>0.6</w:t>
            </w:r>
            <w:r>
              <w:rPr>
                <w:rFonts w:hint="default" w:ascii="Times New Roman" w:hAnsi="Times New Roman"/>
                <w:color w:val="000000"/>
                <w:kern w:val="2"/>
                <w:sz w:val="21"/>
                <w:szCs w:val="21"/>
              </w:rPr>
              <w:t>分，累计不超过</w:t>
            </w:r>
            <w:r>
              <w:rPr>
                <w:rFonts w:hint="eastAsia" w:ascii="Times New Roman" w:hAnsi="Times New Roman"/>
                <w:color w:val="000000"/>
                <w:kern w:val="2"/>
                <w:sz w:val="21"/>
                <w:szCs w:val="21"/>
                <w:lang w:val="en-US" w:eastAsia="zh-CN"/>
              </w:rPr>
              <w:t>1.8</w:t>
            </w:r>
            <w:r>
              <w:rPr>
                <w:rFonts w:hint="default" w:ascii="Times New Roman" w:hAnsi="Times New Roman"/>
                <w:color w:val="000000"/>
                <w:kern w:val="2"/>
                <w:sz w:val="21"/>
                <w:szCs w:val="21"/>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能耗要求</w:t>
            </w:r>
          </w:p>
        </w:tc>
        <w:tc>
          <w:tcPr>
            <w:tcW w:w="4547" w:type="dxa"/>
            <w:vAlign w:val="center"/>
          </w:tcPr>
          <w:p>
            <w:pPr>
              <w:pStyle w:val="344"/>
              <w:keepNext w:val="0"/>
              <w:keepLines w:val="0"/>
              <w:suppressLineNumbers w:val="0"/>
              <w:ind w:left="0" w:right="0"/>
              <w:jc w:val="both"/>
              <w:rPr>
                <w:rFonts w:hint="default" w:ascii="Times New Roman" w:hAnsi="Times New Roman"/>
                <w:color w:val="000000"/>
                <w:kern w:val="2"/>
                <w:sz w:val="21"/>
                <w:szCs w:val="21"/>
              </w:rPr>
            </w:pPr>
            <w:r>
              <w:rPr>
                <w:rFonts w:hint="default" w:ascii="Times New Roman" w:hAnsi="Times New Roman"/>
                <w:color w:val="000000"/>
                <w:kern w:val="2"/>
                <w:sz w:val="21"/>
                <w:szCs w:val="21"/>
              </w:rPr>
              <w:t>采用列入《国家高能耗产品淘汰目录》部件的每项扣</w:t>
            </w:r>
            <w:r>
              <w:rPr>
                <w:rFonts w:hint="eastAsia" w:ascii="Times New Roman" w:hAnsi="Times New Roman"/>
                <w:color w:val="000000"/>
                <w:kern w:val="2"/>
                <w:sz w:val="21"/>
                <w:szCs w:val="21"/>
                <w:lang w:val="en-US" w:eastAsia="zh-CN"/>
              </w:rPr>
              <w:t>0.3</w:t>
            </w:r>
            <w:r>
              <w:rPr>
                <w:rFonts w:hint="default" w:ascii="Times New Roman" w:hAnsi="Times New Roman"/>
                <w:color w:val="000000"/>
                <w:kern w:val="2"/>
                <w:sz w:val="21"/>
                <w:szCs w:val="21"/>
              </w:rPr>
              <w:t>分，累计不超过</w:t>
            </w:r>
            <w:r>
              <w:rPr>
                <w:rFonts w:hint="eastAsia" w:ascii="Times New Roman" w:hAnsi="Times New Roman"/>
                <w:color w:val="000000"/>
                <w:kern w:val="2"/>
                <w:sz w:val="21"/>
                <w:szCs w:val="21"/>
                <w:lang w:val="en-US" w:eastAsia="zh-CN"/>
              </w:rPr>
              <w:t>1.2</w:t>
            </w:r>
            <w:r>
              <w:rPr>
                <w:rFonts w:hint="default" w:ascii="Times New Roman" w:hAnsi="Times New Roman"/>
                <w:color w:val="000000"/>
                <w:kern w:val="2"/>
                <w:sz w:val="21"/>
                <w:szCs w:val="21"/>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设计制造合理性</w:t>
            </w:r>
          </w:p>
        </w:tc>
        <w:tc>
          <w:tcPr>
            <w:tcW w:w="4547" w:type="dxa"/>
            <w:vAlign w:val="center"/>
          </w:tcPr>
          <w:p>
            <w:pPr>
              <w:pStyle w:val="344"/>
              <w:keepNext w:val="0"/>
              <w:keepLines w:val="0"/>
              <w:suppressLineNumbers w:val="0"/>
              <w:ind w:left="0" w:right="0"/>
              <w:jc w:val="both"/>
              <w:rPr>
                <w:rFonts w:hint="default" w:ascii="Times New Roman" w:hAnsi="Times New Roman"/>
                <w:color w:val="000000"/>
                <w:kern w:val="2"/>
                <w:sz w:val="21"/>
                <w:szCs w:val="21"/>
              </w:rPr>
            </w:pPr>
            <w:r>
              <w:rPr>
                <w:rFonts w:hint="default" w:ascii="Times New Roman" w:hAnsi="Times New Roman"/>
                <w:color w:val="000000"/>
                <w:kern w:val="2"/>
                <w:sz w:val="21"/>
                <w:szCs w:val="21"/>
              </w:rPr>
              <w:t>设备制作安装考虑到便于故障诊断及维修便利性的每项得</w:t>
            </w:r>
            <w:r>
              <w:rPr>
                <w:rFonts w:hint="eastAsia" w:ascii="Times New Roman" w:hAnsi="Times New Roman"/>
                <w:color w:val="000000"/>
                <w:kern w:val="2"/>
                <w:sz w:val="21"/>
                <w:szCs w:val="21"/>
                <w:lang w:val="en-US" w:eastAsia="zh-CN"/>
              </w:rPr>
              <w:t>0.6</w:t>
            </w:r>
            <w:r>
              <w:rPr>
                <w:rFonts w:hint="default" w:ascii="Times New Roman" w:hAnsi="Times New Roman"/>
                <w:color w:val="000000"/>
                <w:kern w:val="2"/>
                <w:sz w:val="21"/>
                <w:szCs w:val="21"/>
              </w:rPr>
              <w:t>分，累计不超过</w:t>
            </w:r>
            <w:r>
              <w:rPr>
                <w:rFonts w:hint="eastAsia" w:ascii="Times New Roman" w:hAnsi="Times New Roman"/>
                <w:color w:val="000000"/>
                <w:kern w:val="2"/>
                <w:sz w:val="21"/>
                <w:szCs w:val="21"/>
                <w:lang w:val="en-US" w:eastAsia="zh-CN"/>
              </w:rPr>
              <w:t>1.2</w:t>
            </w:r>
            <w:r>
              <w:rPr>
                <w:rFonts w:hint="default" w:ascii="Times New Roman" w:hAnsi="Times New Roman"/>
                <w:color w:val="000000"/>
                <w:kern w:val="2"/>
                <w:sz w:val="21"/>
                <w:szCs w:val="21"/>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hAnsi="宋体"/>
                <w:color w:val="000000"/>
                <w:szCs w:val="21"/>
              </w:rPr>
              <w:t>设备原理图示、三维模拟图示</w:t>
            </w:r>
          </w:p>
        </w:tc>
        <w:tc>
          <w:tcPr>
            <w:tcW w:w="4547" w:type="dxa"/>
            <w:vAlign w:val="center"/>
          </w:tcPr>
          <w:p>
            <w:pPr>
              <w:pStyle w:val="344"/>
              <w:keepNext w:val="0"/>
              <w:keepLines w:val="0"/>
              <w:suppressLineNumbers w:val="0"/>
              <w:ind w:left="0" w:right="0"/>
              <w:jc w:val="both"/>
              <w:rPr>
                <w:rFonts w:hint="eastAsia" w:ascii="Times New Roman" w:hAnsi="Times New Roman" w:eastAsia="宋体"/>
                <w:color w:val="000000"/>
                <w:kern w:val="2"/>
                <w:sz w:val="21"/>
                <w:szCs w:val="21"/>
                <w:lang w:eastAsia="zh-CN"/>
              </w:rPr>
            </w:pPr>
            <w:r>
              <w:rPr>
                <w:rFonts w:hint="default" w:ascii="Times New Roman" w:hAnsi="Times New Roman"/>
                <w:color w:val="000000"/>
                <w:kern w:val="2"/>
                <w:sz w:val="21"/>
                <w:szCs w:val="21"/>
              </w:rPr>
              <w:t>提供设备系统原理图、三维模拟动作且有助于评委了解系统关键参数的每项加</w:t>
            </w:r>
            <w:r>
              <w:rPr>
                <w:rFonts w:hint="eastAsia" w:ascii="Times New Roman" w:hAnsi="Times New Roman"/>
                <w:color w:val="000000"/>
                <w:kern w:val="2"/>
                <w:sz w:val="21"/>
                <w:szCs w:val="21"/>
                <w:lang w:val="en-US" w:eastAsia="zh-CN"/>
              </w:rPr>
              <w:t>0.6</w:t>
            </w:r>
            <w:r>
              <w:rPr>
                <w:rFonts w:hint="default" w:ascii="Times New Roman" w:hAnsi="Times New Roman"/>
                <w:color w:val="000000"/>
                <w:kern w:val="2"/>
                <w:sz w:val="21"/>
                <w:szCs w:val="21"/>
              </w:rPr>
              <w:t>分，累计不超过</w:t>
            </w:r>
            <w:r>
              <w:rPr>
                <w:rFonts w:hint="eastAsia" w:ascii="Times New Roman" w:hAnsi="Times New Roman"/>
                <w:color w:val="000000"/>
                <w:kern w:val="2"/>
                <w:sz w:val="21"/>
                <w:szCs w:val="21"/>
                <w:lang w:val="en-US" w:eastAsia="zh-CN"/>
              </w:rPr>
              <w:t>1.2</w:t>
            </w:r>
            <w:r>
              <w:rPr>
                <w:rFonts w:hint="default" w:ascii="Times New Roman" w:hAnsi="Times New Roman"/>
                <w:color w:val="000000"/>
                <w:kern w:val="2"/>
                <w:sz w:val="21"/>
                <w:szCs w:val="21"/>
              </w:rPr>
              <w:t>分</w:t>
            </w:r>
            <w:r>
              <w:rPr>
                <w:rFonts w:hint="eastAsia" w:ascii="Times New Roman" w:hAnsi="Times New Roman"/>
                <w:color w:val="000000"/>
                <w:kern w:val="2"/>
                <w:sz w:val="21"/>
                <w:szCs w:val="21"/>
                <w:lang w:eastAsia="zh-CN"/>
              </w:rPr>
              <w:t>。</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4</w:t>
            </w:r>
          </w:p>
        </w:tc>
        <w:tc>
          <w:tcPr>
            <w:tcW w:w="1145"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产品质量及保证措施（</w:t>
            </w:r>
            <w:r>
              <w:rPr>
                <w:rFonts w:hint="eastAsia"/>
                <w:color w:val="000000"/>
                <w:szCs w:val="21"/>
                <w:lang w:val="en-US" w:eastAsia="zh-CN"/>
              </w:rPr>
              <w:t>1.8</w:t>
            </w:r>
            <w:r>
              <w:rPr>
                <w:rFonts w:hint="default"/>
                <w:color w:val="000000"/>
                <w:szCs w:val="21"/>
              </w:rPr>
              <w:t>分）</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质量保证措施</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提供的产品质量、性能稳定可靠，且有完善的生产保证措施及质量保证体系，视情况优得</w:t>
            </w:r>
            <w:r>
              <w:rPr>
                <w:rFonts w:hint="eastAsia"/>
                <w:color w:val="000000"/>
                <w:szCs w:val="21"/>
                <w:lang w:val="en-US" w:eastAsia="zh-CN"/>
              </w:rPr>
              <w:t>1.8</w:t>
            </w:r>
            <w:r>
              <w:rPr>
                <w:rFonts w:hint="default"/>
                <w:color w:val="000000"/>
                <w:szCs w:val="21"/>
              </w:rPr>
              <w:t>分，良得</w:t>
            </w:r>
            <w:r>
              <w:rPr>
                <w:rFonts w:hint="eastAsia"/>
                <w:color w:val="000000"/>
                <w:szCs w:val="21"/>
                <w:lang w:val="en-US" w:eastAsia="zh-CN"/>
              </w:rPr>
              <w:t>0.9</w:t>
            </w:r>
            <w:r>
              <w:rPr>
                <w:rFonts w:hint="default"/>
                <w:color w:val="000000"/>
                <w:szCs w:val="21"/>
              </w:rPr>
              <w:t>分，一般得</w:t>
            </w:r>
            <w:r>
              <w:rPr>
                <w:rFonts w:hint="eastAsia"/>
                <w:color w:val="000000"/>
                <w:szCs w:val="21"/>
                <w:lang w:val="en-US" w:eastAsia="zh-CN"/>
              </w:rPr>
              <w:t>0.3</w:t>
            </w:r>
            <w:r>
              <w:rPr>
                <w:rFonts w:hint="default"/>
                <w:color w:val="000000"/>
                <w:szCs w:val="21"/>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5</w:t>
            </w:r>
          </w:p>
        </w:tc>
        <w:tc>
          <w:tcPr>
            <w:tcW w:w="1145"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项目实施计划（</w:t>
            </w:r>
            <w:r>
              <w:rPr>
                <w:rFonts w:hint="eastAsia"/>
                <w:color w:val="000000"/>
                <w:szCs w:val="21"/>
                <w:lang w:val="en-US" w:eastAsia="zh-CN"/>
              </w:rPr>
              <w:t>3</w:t>
            </w:r>
            <w:r>
              <w:rPr>
                <w:rFonts w:hint="default"/>
                <w:color w:val="000000"/>
                <w:szCs w:val="21"/>
              </w:rPr>
              <w:t>分）</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项目实施计划</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具有良好的项目管理体系，针对项目本身的特点制定详细切实可行的实施计划。根据项目实施计划，从优到劣进行综合评审排序，视情况优得</w:t>
            </w:r>
            <w:r>
              <w:rPr>
                <w:rFonts w:hint="eastAsia"/>
                <w:color w:val="000000"/>
                <w:szCs w:val="21"/>
                <w:lang w:val="en-US" w:eastAsia="zh-CN"/>
              </w:rPr>
              <w:t>3</w:t>
            </w:r>
            <w:r>
              <w:rPr>
                <w:rFonts w:hint="default"/>
                <w:color w:val="000000"/>
                <w:szCs w:val="21"/>
              </w:rPr>
              <w:t>分，良得</w:t>
            </w:r>
            <w:r>
              <w:rPr>
                <w:rFonts w:hint="eastAsia"/>
                <w:color w:val="000000"/>
                <w:szCs w:val="21"/>
                <w:lang w:val="en-US" w:eastAsia="zh-CN"/>
              </w:rPr>
              <w:t>1.2</w:t>
            </w:r>
            <w:r>
              <w:rPr>
                <w:rFonts w:hint="default"/>
                <w:color w:val="000000"/>
                <w:szCs w:val="21"/>
              </w:rPr>
              <w:t>-</w:t>
            </w:r>
            <w:r>
              <w:rPr>
                <w:rFonts w:hint="eastAsia"/>
                <w:color w:val="000000"/>
                <w:szCs w:val="21"/>
                <w:lang w:val="en-US" w:eastAsia="zh-CN"/>
              </w:rPr>
              <w:t>2.1</w:t>
            </w:r>
            <w:r>
              <w:rPr>
                <w:rFonts w:hint="default"/>
                <w:color w:val="000000"/>
                <w:szCs w:val="21"/>
              </w:rPr>
              <w:t>分，一般得0-</w:t>
            </w:r>
            <w:r>
              <w:rPr>
                <w:rFonts w:hint="eastAsia"/>
                <w:color w:val="000000"/>
                <w:szCs w:val="21"/>
                <w:lang w:val="en-US" w:eastAsia="zh-CN"/>
              </w:rPr>
              <w:t>0.9</w:t>
            </w:r>
            <w:r>
              <w:rPr>
                <w:rFonts w:hint="default"/>
                <w:color w:val="000000"/>
                <w:szCs w:val="21"/>
              </w:rPr>
              <w:t>分。</w:t>
            </w:r>
          </w:p>
        </w:tc>
        <w:tc>
          <w:tcPr>
            <w:tcW w:w="1174" w:type="dxa"/>
            <w:vAlign w:val="center"/>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restart"/>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6</w:t>
            </w:r>
          </w:p>
        </w:tc>
        <w:tc>
          <w:tcPr>
            <w:tcW w:w="1145" w:type="dxa"/>
            <w:vMerge w:val="restart"/>
            <w:vAlign w:val="center"/>
          </w:tcPr>
          <w:p>
            <w:pPr>
              <w:keepNext w:val="0"/>
              <w:keepLines w:val="0"/>
              <w:suppressLineNumbers w:val="0"/>
              <w:spacing w:before="0" w:beforeAutospacing="0" w:after="0" w:afterAutospacing="0"/>
              <w:ind w:left="0" w:right="0"/>
              <w:jc w:val="center"/>
              <w:rPr>
                <w:rFonts w:hint="default"/>
                <w:color w:val="000000"/>
                <w:kern w:val="0"/>
                <w:szCs w:val="21"/>
              </w:rPr>
            </w:pPr>
            <w:r>
              <w:rPr>
                <w:rFonts w:hint="default"/>
                <w:color w:val="000000"/>
                <w:szCs w:val="21"/>
              </w:rPr>
              <w:t>质保期及售后服务（</w:t>
            </w:r>
            <w:r>
              <w:rPr>
                <w:rFonts w:hint="eastAsia"/>
                <w:color w:val="000000"/>
                <w:szCs w:val="21"/>
                <w:lang w:val="en-US" w:eastAsia="zh-CN"/>
              </w:rPr>
              <w:t>1.2</w:t>
            </w:r>
            <w:r>
              <w:rPr>
                <w:rFonts w:hint="default"/>
                <w:color w:val="000000"/>
                <w:szCs w:val="21"/>
              </w:rPr>
              <w:t>分）</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质保期</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优于招标文件中质保期（12个月），每延长一年得</w:t>
            </w:r>
            <w:r>
              <w:rPr>
                <w:rFonts w:hint="eastAsia"/>
                <w:color w:val="000000"/>
                <w:szCs w:val="21"/>
                <w:lang w:val="en-US" w:eastAsia="zh-CN"/>
              </w:rPr>
              <w:t>0.3</w:t>
            </w:r>
            <w:r>
              <w:rPr>
                <w:rFonts w:hint="default"/>
                <w:color w:val="000000"/>
                <w:szCs w:val="21"/>
              </w:rPr>
              <w:t>分，累计不超过</w:t>
            </w:r>
            <w:r>
              <w:rPr>
                <w:rFonts w:hint="eastAsia"/>
                <w:color w:val="000000"/>
                <w:szCs w:val="21"/>
                <w:lang w:val="en-US" w:eastAsia="zh-CN"/>
              </w:rPr>
              <w:t>0.6</w:t>
            </w:r>
            <w:r>
              <w:rPr>
                <w:rFonts w:hint="default"/>
                <w:color w:val="000000"/>
                <w:szCs w:val="21"/>
              </w:rPr>
              <w:t>分 ；</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145" w:type="dxa"/>
            <w:vMerge w:val="continue"/>
            <w:vAlign w:val="center"/>
          </w:tcPr>
          <w:p>
            <w:pPr>
              <w:keepNext w:val="0"/>
              <w:keepLines w:val="0"/>
              <w:suppressLineNumbers w:val="0"/>
              <w:spacing w:before="0" w:beforeAutospacing="0" w:after="0" w:afterAutospacing="0"/>
              <w:ind w:left="0" w:right="0"/>
              <w:jc w:val="center"/>
              <w:rPr>
                <w:rFonts w:hint="default"/>
                <w:color w:val="000000"/>
                <w:szCs w:val="21"/>
              </w:rPr>
            </w:pP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售后服务</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保修期外维修承诺仅收取材料成本的得</w:t>
            </w:r>
            <w:r>
              <w:rPr>
                <w:rFonts w:hint="eastAsia"/>
                <w:color w:val="000000"/>
                <w:szCs w:val="21"/>
                <w:lang w:val="en-US" w:eastAsia="zh-CN"/>
              </w:rPr>
              <w:t>0.6</w:t>
            </w:r>
            <w:r>
              <w:rPr>
                <w:rFonts w:hint="default"/>
                <w:color w:val="000000"/>
                <w:szCs w:val="21"/>
              </w:rPr>
              <w:t>分；承诺收取材料成本和差旅费的得</w:t>
            </w:r>
            <w:r>
              <w:rPr>
                <w:rFonts w:hint="eastAsia"/>
                <w:color w:val="000000"/>
                <w:szCs w:val="21"/>
                <w:lang w:val="en-US" w:eastAsia="zh-CN"/>
              </w:rPr>
              <w:t>0.3</w:t>
            </w:r>
            <w:r>
              <w:rPr>
                <w:rFonts w:hint="default"/>
                <w:color w:val="000000"/>
                <w:szCs w:val="21"/>
              </w:rPr>
              <w:t>分；承诺收取材料成本、差旅费、工时费的得0分。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7</w:t>
            </w:r>
          </w:p>
        </w:tc>
        <w:tc>
          <w:tcPr>
            <w:tcW w:w="1145"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供货周期（</w:t>
            </w:r>
            <w:r>
              <w:rPr>
                <w:rFonts w:hint="eastAsia"/>
                <w:color w:val="000000"/>
                <w:szCs w:val="21"/>
                <w:lang w:val="en-US" w:eastAsia="zh-CN"/>
              </w:rPr>
              <w:t>1.8</w:t>
            </w:r>
            <w:r>
              <w:rPr>
                <w:rFonts w:hint="default"/>
                <w:color w:val="000000"/>
                <w:szCs w:val="21"/>
              </w:rPr>
              <w:t>分）</w:t>
            </w:r>
          </w:p>
        </w:tc>
        <w:tc>
          <w:tcPr>
            <w:tcW w:w="1473" w:type="dxa"/>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供货周期</w:t>
            </w:r>
          </w:p>
        </w:tc>
        <w:tc>
          <w:tcPr>
            <w:tcW w:w="4547" w:type="dxa"/>
            <w:vAlign w:val="center"/>
          </w:tcPr>
          <w:p>
            <w:pPr>
              <w:keepNext w:val="0"/>
              <w:keepLines w:val="0"/>
              <w:suppressLineNumbers w:val="0"/>
              <w:spacing w:before="0" w:beforeAutospacing="0" w:after="0" w:afterAutospacing="0"/>
              <w:ind w:left="0" w:right="0"/>
              <w:rPr>
                <w:rFonts w:hint="default"/>
                <w:color w:val="000000"/>
                <w:szCs w:val="21"/>
              </w:rPr>
            </w:pPr>
            <w:r>
              <w:rPr>
                <w:rFonts w:hint="default"/>
                <w:color w:val="000000"/>
                <w:szCs w:val="21"/>
              </w:rPr>
              <w:t>有详细可行的行动计划能保证项目进度，成立专项小组且职责明确，全流程项目人员经验丰富，有风险管理措施；加工、制作方案合理、完善、切实可行，安全、工期合理可行能确保安全，视情况优得</w:t>
            </w:r>
            <w:r>
              <w:rPr>
                <w:rFonts w:hint="eastAsia"/>
                <w:color w:val="000000"/>
                <w:szCs w:val="21"/>
                <w:lang w:val="en-US" w:eastAsia="zh-CN"/>
              </w:rPr>
              <w:t>1.8</w:t>
            </w:r>
            <w:r>
              <w:rPr>
                <w:rFonts w:hint="default"/>
                <w:color w:val="000000"/>
                <w:szCs w:val="21"/>
              </w:rPr>
              <w:t>分，良得</w:t>
            </w:r>
            <w:r>
              <w:rPr>
                <w:rFonts w:hint="eastAsia"/>
                <w:color w:val="000000"/>
                <w:szCs w:val="21"/>
                <w:lang w:val="en-US" w:eastAsia="zh-CN"/>
              </w:rPr>
              <w:t>1.2</w:t>
            </w:r>
            <w:r>
              <w:rPr>
                <w:rFonts w:hint="default"/>
                <w:color w:val="000000"/>
                <w:szCs w:val="21"/>
              </w:rPr>
              <w:t>分，一般得</w:t>
            </w:r>
            <w:r>
              <w:rPr>
                <w:rFonts w:hint="eastAsia"/>
                <w:color w:val="000000"/>
                <w:szCs w:val="21"/>
                <w:lang w:val="en-US" w:eastAsia="zh-CN"/>
              </w:rPr>
              <w:t>0.6</w:t>
            </w:r>
            <w:r>
              <w:rPr>
                <w:rFonts w:hint="default"/>
                <w:color w:val="000000"/>
                <w:szCs w:val="21"/>
              </w:rPr>
              <w:t>分。</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7837" w:type="dxa"/>
            <w:gridSpan w:val="4"/>
            <w:vAlign w:val="center"/>
          </w:tcPr>
          <w:p>
            <w:pPr>
              <w:keepNext w:val="0"/>
              <w:keepLines w:val="0"/>
              <w:suppressLineNumbers w:val="0"/>
              <w:spacing w:before="0" w:beforeAutospacing="0" w:after="0" w:afterAutospacing="0"/>
              <w:ind w:left="0" w:right="0"/>
              <w:jc w:val="center"/>
              <w:rPr>
                <w:rFonts w:hint="default"/>
                <w:color w:val="000000"/>
                <w:szCs w:val="21"/>
              </w:rPr>
            </w:pPr>
            <w:r>
              <w:rPr>
                <w:rFonts w:hint="default"/>
                <w:color w:val="000000"/>
                <w:szCs w:val="21"/>
              </w:rPr>
              <w:t>合计</w:t>
            </w:r>
          </w:p>
        </w:tc>
        <w:tc>
          <w:tcPr>
            <w:tcW w:w="1174" w:type="dxa"/>
            <w:vAlign w:val="center"/>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11" w:type="dxa"/>
            <w:gridSpan w:val="5"/>
            <w:vAlign w:val="center"/>
          </w:tcPr>
          <w:p>
            <w:pPr>
              <w:keepNext w:val="0"/>
              <w:keepLines w:val="0"/>
              <w:suppressLineNumbers w:val="0"/>
              <w:spacing w:before="0" w:beforeAutospacing="0" w:after="0" w:afterAutospacing="0"/>
              <w:ind w:left="0" w:right="0"/>
              <w:rPr>
                <w:rFonts w:hint="default"/>
                <w:color w:val="000000"/>
                <w:kern w:val="0"/>
                <w:szCs w:val="21"/>
              </w:rPr>
            </w:pPr>
            <w:r>
              <w:rPr>
                <w:rFonts w:hint="default"/>
                <w:b/>
                <w:color w:val="000000"/>
                <w:kern w:val="0"/>
                <w:szCs w:val="21"/>
              </w:rPr>
              <w:t>备注：</w:t>
            </w:r>
            <w:r>
              <w:rPr>
                <w:rFonts w:hint="default"/>
                <w:color w:val="000000"/>
                <w:kern w:val="0"/>
                <w:szCs w:val="21"/>
              </w:rPr>
              <w:t>1、投标人技术标评分为所有评委打分的算术平均值，小数点后按四舍五入保留两位小数。</w:t>
            </w:r>
          </w:p>
          <w:p>
            <w:pPr>
              <w:keepNext w:val="0"/>
              <w:keepLines w:val="0"/>
              <w:suppressLineNumbers w:val="0"/>
              <w:spacing w:before="0" w:beforeAutospacing="0" w:after="0" w:afterAutospacing="0" w:line="300" w:lineRule="exact"/>
              <w:ind w:left="0" w:right="0"/>
              <w:rPr>
                <w:rFonts w:hint="default"/>
                <w:color w:val="000000"/>
                <w:szCs w:val="21"/>
              </w:rPr>
            </w:pPr>
            <w:r>
              <w:rPr>
                <w:rFonts w:hint="default"/>
                <w:color w:val="000000"/>
                <w:szCs w:val="21"/>
              </w:rPr>
              <w:t>2、投标方需确保所提供证明性材料不含任何虚假信息，一经查实，永久性取消中通客车招标项目投标资格。中标单位取消中标资格并扣除投标保证金。</w:t>
            </w:r>
          </w:p>
        </w:tc>
      </w:tr>
    </w:tbl>
    <w:p>
      <w:pPr>
        <w:spacing w:line="300" w:lineRule="auto"/>
        <w:ind w:firstLine="390" w:firstLineChars="186"/>
        <w:rPr>
          <w:szCs w:val="21"/>
        </w:rPr>
      </w:pPr>
      <w:r>
        <w:rPr>
          <w:szCs w:val="21"/>
        </w:rPr>
        <w:t>12.2.4 根据招标文件规定的工期和质量，能保证达到要求者为有效标函，达不到要求者为废标。</w:t>
      </w:r>
    </w:p>
    <w:p>
      <w:pPr>
        <w:spacing w:line="300" w:lineRule="auto"/>
        <w:ind w:firstLine="390" w:firstLineChars="186"/>
        <w:rPr>
          <w:szCs w:val="21"/>
        </w:rPr>
      </w:pPr>
      <w:r>
        <w:rPr>
          <w:szCs w:val="21"/>
        </w:rPr>
        <w:t>12.3 评标过程保密</w:t>
      </w:r>
    </w:p>
    <w:p>
      <w:pPr>
        <w:spacing w:line="300" w:lineRule="auto"/>
        <w:ind w:firstLine="390" w:firstLineChars="186"/>
        <w:rPr>
          <w:szCs w:val="21"/>
        </w:rPr>
      </w:pPr>
      <w:r>
        <w:rPr>
          <w:szCs w:val="21"/>
        </w:rPr>
        <w:t>12.3.1 开标之后，直到授予投标方合同止，凡是属于审查、澄清、评价和比较投标的有关资料以及授标意向等，均不得向投标人或其他无关的人员透露。</w:t>
      </w:r>
    </w:p>
    <w:p>
      <w:pPr>
        <w:spacing w:line="300" w:lineRule="auto"/>
        <w:ind w:firstLine="390" w:firstLineChars="186"/>
        <w:rPr>
          <w:szCs w:val="21"/>
        </w:rPr>
      </w:pPr>
      <w:r>
        <w:rPr>
          <w:szCs w:val="21"/>
        </w:rPr>
        <w:t>12.3.2 在评标期间，投标人企图影响招标人的任何活动将导致投标被拒绝，并承担相应的法律责任。</w:t>
      </w:r>
    </w:p>
    <w:p>
      <w:pPr>
        <w:spacing w:line="300" w:lineRule="auto"/>
        <w:ind w:firstLine="390" w:firstLineChars="186"/>
        <w:rPr>
          <w:szCs w:val="21"/>
        </w:rPr>
      </w:pPr>
      <w:r>
        <w:rPr>
          <w:szCs w:val="21"/>
        </w:rPr>
        <w:t>12.3.3 中标人确定后，招标人不对未中标人就评标过程以及未能中标原因、中标结果作出任何解释。未中标人不得向评标委员会组成人员或其他有关人员索问评标过程的情况和材料。</w:t>
      </w:r>
    </w:p>
    <w:p>
      <w:pPr>
        <w:spacing w:line="300" w:lineRule="auto"/>
        <w:ind w:firstLine="390" w:firstLineChars="186"/>
        <w:rPr>
          <w:szCs w:val="21"/>
        </w:rPr>
      </w:pPr>
      <w:r>
        <w:rPr>
          <w:szCs w:val="21"/>
        </w:rPr>
        <w:t>12.4评标委员会经评审，认为所有投标都不符合招标文件的要求的，可以否决所有投标，招标人将重新招标。</w:t>
      </w:r>
    </w:p>
    <w:p>
      <w:pPr>
        <w:spacing w:line="300" w:lineRule="auto"/>
        <w:ind w:firstLine="390" w:firstLineChars="186"/>
        <w:rPr>
          <w:szCs w:val="21"/>
        </w:rPr>
      </w:pPr>
      <w:r>
        <w:rPr>
          <w:szCs w:val="21"/>
        </w:rPr>
        <w:t>12.5 在招标中，出现下列情形之一，</w:t>
      </w:r>
      <w:r>
        <w:t>招标人有权否决所有投标人的投标，并终止招标</w:t>
      </w:r>
      <w:r>
        <w:rPr>
          <w:szCs w:val="21"/>
        </w:rPr>
        <w:t>：</w:t>
      </w:r>
    </w:p>
    <w:p>
      <w:pPr>
        <w:spacing w:line="300" w:lineRule="auto"/>
        <w:ind w:firstLine="390" w:firstLineChars="186"/>
      </w:pPr>
      <w:r>
        <w:t>（1）符合条件的投标人或者对招标文件做实质响应的投标人不足三家的；</w:t>
      </w:r>
    </w:p>
    <w:p>
      <w:pPr>
        <w:spacing w:line="300" w:lineRule="auto"/>
        <w:ind w:firstLine="390" w:firstLineChars="186"/>
      </w:pPr>
      <w:r>
        <w:t>（2）出现影响采购公正的违法、违规行为的；</w:t>
      </w:r>
    </w:p>
    <w:p>
      <w:pPr>
        <w:spacing w:line="300" w:lineRule="auto"/>
        <w:ind w:firstLine="390" w:firstLineChars="186"/>
      </w:pPr>
      <w:r>
        <w:t>（3）因重大变故，采购任务取消的；</w:t>
      </w:r>
    </w:p>
    <w:p>
      <w:pPr>
        <w:spacing w:line="300" w:lineRule="auto"/>
        <w:ind w:firstLine="390" w:firstLineChars="186"/>
      </w:pPr>
      <w:r>
        <w:t>（4）评标委员会经评审，认为所有投标都不符合招标文件要求的；</w:t>
      </w:r>
    </w:p>
    <w:p>
      <w:pPr>
        <w:spacing w:line="300" w:lineRule="auto"/>
        <w:ind w:firstLine="390" w:firstLineChars="186"/>
      </w:pPr>
      <w:r>
        <w:t>（5）招标人认为其他应终止招标的情形；</w:t>
      </w:r>
    </w:p>
    <w:p>
      <w:pPr>
        <w:spacing w:line="300" w:lineRule="auto"/>
        <w:ind w:firstLine="390" w:firstLineChars="186"/>
      </w:pPr>
      <w:r>
        <w:t>（6）投标人承诺并同意因招标人公司政策变化引起的随时终止项目的情形，并自行承担由此带来的一切损失。</w:t>
      </w:r>
    </w:p>
    <w:p>
      <w:pPr>
        <w:spacing w:line="300" w:lineRule="auto"/>
        <w:ind w:firstLine="424" w:firstLineChars="202"/>
      </w:pPr>
      <w:r>
        <w:rPr>
          <w:szCs w:val="21"/>
        </w:rPr>
        <w:t>12.6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pPr>
      <w:r>
        <w:t>（1）投标人提供的有关资格、资质证明文件不合格、不真实或提供虚假投标材料；</w:t>
      </w:r>
    </w:p>
    <w:p>
      <w:pPr>
        <w:spacing w:line="300" w:lineRule="auto"/>
        <w:ind w:firstLine="424" w:firstLineChars="202"/>
      </w:pPr>
      <w:r>
        <w:t>（2）投标人在报价有效期内撤回投标；</w:t>
      </w:r>
    </w:p>
    <w:p>
      <w:pPr>
        <w:spacing w:line="300" w:lineRule="auto"/>
        <w:ind w:firstLine="424" w:firstLineChars="202"/>
      </w:pPr>
      <w:r>
        <w:t>（3）在整个评标过程中，投标人有企图影响评标结果公正性的任何活动；</w:t>
      </w:r>
    </w:p>
    <w:p>
      <w:pPr>
        <w:spacing w:line="300" w:lineRule="auto"/>
        <w:ind w:firstLine="424" w:firstLineChars="202"/>
      </w:pPr>
      <w:r>
        <w:t>（4）投标人以任何方式诋毁其他投标人；</w:t>
      </w:r>
    </w:p>
    <w:p>
      <w:pPr>
        <w:spacing w:line="300" w:lineRule="auto"/>
        <w:ind w:firstLine="424" w:firstLineChars="202"/>
      </w:pPr>
      <w:r>
        <w:t>（5）投标人串通投标；</w:t>
      </w:r>
    </w:p>
    <w:p>
      <w:pPr>
        <w:spacing w:line="300" w:lineRule="auto"/>
        <w:ind w:firstLine="424" w:firstLineChars="202"/>
      </w:pPr>
      <w:r>
        <w:t>（6）以他人名义投标或者以其他方式弄虚作假，骗取中标的；</w:t>
      </w:r>
    </w:p>
    <w:p>
      <w:pPr>
        <w:spacing w:line="300" w:lineRule="auto"/>
        <w:ind w:firstLine="424" w:firstLineChars="202"/>
      </w:pPr>
      <w:r>
        <w:t>（7）中标人不按规定签订合同；</w:t>
      </w:r>
    </w:p>
    <w:p>
      <w:pPr>
        <w:spacing w:line="300" w:lineRule="auto"/>
        <w:ind w:firstLine="424" w:firstLineChars="202"/>
      </w:pPr>
      <w:r>
        <w:t>（8）不同投标单位负责人为同一人或存在管理关系的；</w:t>
      </w:r>
    </w:p>
    <w:p>
      <w:pPr>
        <w:spacing w:line="300" w:lineRule="auto"/>
        <w:ind w:firstLine="424" w:firstLineChars="202"/>
      </w:pPr>
      <w:r>
        <w:t>（9）投标人被举报、检举，并经招标方查实无误的；</w:t>
      </w:r>
    </w:p>
    <w:p>
      <w:pPr>
        <w:spacing w:line="300" w:lineRule="auto"/>
        <w:ind w:firstLine="424" w:firstLineChars="202"/>
      </w:pPr>
      <w:r>
        <w:t>（10）技术标出现报价的；</w:t>
      </w:r>
    </w:p>
    <w:p>
      <w:pPr>
        <w:spacing w:line="300" w:lineRule="auto"/>
        <w:ind w:firstLine="424" w:firstLineChars="202"/>
      </w:pPr>
      <w:r>
        <w:t>（11）不同投标人投标文件异常一致或报价程差异性变化；</w:t>
      </w:r>
    </w:p>
    <w:p>
      <w:pPr>
        <w:spacing w:line="300" w:lineRule="auto"/>
        <w:ind w:firstLine="424" w:firstLineChars="202"/>
        <w:rPr>
          <w:szCs w:val="21"/>
        </w:rPr>
      </w:pPr>
      <w:r>
        <w:t>（12）法律、法规规定的其他情况。</w:t>
      </w:r>
    </w:p>
    <w:p>
      <w:pPr>
        <w:spacing w:line="300" w:lineRule="auto"/>
        <w:ind w:firstLine="390" w:firstLineChars="186"/>
        <w:rPr>
          <w:szCs w:val="21"/>
        </w:rPr>
      </w:pPr>
      <w:r>
        <w:rPr>
          <w:szCs w:val="21"/>
        </w:rPr>
        <w:t>13、投标文件的澄清</w:t>
      </w:r>
    </w:p>
    <w:p>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szCs w:val="21"/>
        </w:rPr>
      </w:pPr>
      <w:r>
        <w:rPr>
          <w:szCs w:val="21"/>
        </w:rPr>
        <w:t>14、投标文件的符合性鉴定</w:t>
      </w:r>
    </w:p>
    <w:p>
      <w:pPr>
        <w:spacing w:line="300" w:lineRule="auto"/>
        <w:ind w:firstLine="390" w:firstLineChars="186"/>
        <w:rPr>
          <w:szCs w:val="21"/>
        </w:rPr>
      </w:pPr>
      <w:r>
        <w:rPr>
          <w:szCs w:val="21"/>
        </w:rPr>
        <w:t>14.1 在详细评标之前，评标委员会和评标领导小组将首先审定每份投标文件是否在实质上响应了招标文件的要求。</w:t>
      </w:r>
    </w:p>
    <w:p>
      <w:pPr>
        <w:spacing w:line="300" w:lineRule="auto"/>
        <w:ind w:firstLine="390" w:firstLineChars="186"/>
        <w:rPr>
          <w:szCs w:val="21"/>
        </w:rPr>
      </w:pPr>
      <w:r>
        <w:rPr>
          <w:szCs w:val="21"/>
        </w:rPr>
        <w:t>14.2 就本条款而言，实质上响应要求的投标文件，应该与招标文件的所有规定要求、条件、条款和规范相符，无显著差异或保留。</w:t>
      </w:r>
    </w:p>
    <w:p>
      <w:pPr>
        <w:spacing w:line="300" w:lineRule="auto"/>
        <w:ind w:firstLine="390" w:firstLineChars="186"/>
        <w:rPr>
          <w:szCs w:val="21"/>
        </w:rPr>
      </w:pPr>
      <w:r>
        <w:rPr>
          <w:szCs w:val="21"/>
        </w:rPr>
        <w:t>14.3如果投标文件实质上不响应招标文件的要求，招标人将予以拒绝，并且不允许通过修正或撤消其不符合要求的差异或保留，使之成为具有响应性的投标。</w:t>
      </w:r>
    </w:p>
    <w:p>
      <w:pPr>
        <w:spacing w:line="300" w:lineRule="auto"/>
        <w:ind w:firstLine="390" w:firstLineChars="186"/>
        <w:rPr>
          <w:szCs w:val="21"/>
        </w:rPr>
      </w:pPr>
      <w:r>
        <w:rPr>
          <w:szCs w:val="21"/>
        </w:rPr>
        <w:t>15、错误的修正</w:t>
      </w:r>
    </w:p>
    <w:p>
      <w:pPr>
        <w:spacing w:line="300" w:lineRule="auto"/>
        <w:ind w:firstLine="390" w:firstLineChars="186"/>
        <w:rPr>
          <w:szCs w:val="21"/>
        </w:rPr>
      </w:pPr>
      <w:r>
        <w:rPr>
          <w:szCs w:val="21"/>
        </w:rPr>
        <w:t>如果大写金额与小写金额不符，则以大写金额为准；</w:t>
      </w:r>
    </w:p>
    <w:p>
      <w:pPr>
        <w:spacing w:line="300" w:lineRule="auto"/>
        <w:ind w:firstLine="390" w:firstLineChars="186"/>
        <w:rPr>
          <w:szCs w:val="21"/>
        </w:rPr>
      </w:pPr>
      <w:r>
        <w:rPr>
          <w:szCs w:val="21"/>
        </w:rPr>
        <w:t>15.1当单价与数量的乘积与总价之间不一致时，以标出的单价乘以数量为准。除非评标委员会认为有明显的小数点错位，此时应以标出的合价为准，并修改单价。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szCs w:val="21"/>
        </w:rPr>
      </w:pPr>
      <w:r>
        <w:rPr>
          <w:szCs w:val="21"/>
        </w:rPr>
        <w:t>15.2按上述修改错误的方法，调整投标书的投标报价。经投标人确认同意后，调整后的报价对投标人起约束作用。如果投标人不接受修改后的投标报价则其投标将被拒绝，其投标保证金将被没收。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szCs w:val="21"/>
        </w:rPr>
      </w:pPr>
      <w:r>
        <w:rPr>
          <w:szCs w:val="21"/>
        </w:rPr>
        <w:t>16、投标文件的评价与比较</w:t>
      </w:r>
    </w:p>
    <w:p>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pPr>
        <w:pStyle w:val="3"/>
        <w:spacing w:line="300" w:lineRule="auto"/>
        <w:jc w:val="center"/>
        <w:rPr>
          <w:rFonts w:ascii="Times New Roman"/>
        </w:rPr>
      </w:pPr>
      <w:bookmarkStart w:id="34" w:name="_Toc187560705"/>
      <w:bookmarkStart w:id="35" w:name="_Toc740583791"/>
      <w:bookmarkStart w:id="36" w:name="_Toc23436"/>
      <w:bookmarkStart w:id="37" w:name="_Toc17711"/>
      <w:bookmarkStart w:id="38" w:name="_Toc32743"/>
      <w:r>
        <w:rPr>
          <w:rFonts w:ascii="Times New Roman"/>
        </w:rPr>
        <w:t>七、授予合同</w:t>
      </w:r>
      <w:bookmarkEnd w:id="34"/>
      <w:bookmarkEnd w:id="35"/>
      <w:bookmarkEnd w:id="36"/>
      <w:bookmarkEnd w:id="37"/>
      <w:bookmarkEnd w:id="38"/>
    </w:p>
    <w:p>
      <w:pPr>
        <w:spacing w:line="300" w:lineRule="auto"/>
        <w:ind w:firstLine="390" w:firstLineChars="186"/>
        <w:rPr>
          <w:szCs w:val="21"/>
        </w:rPr>
      </w:pPr>
      <w:r>
        <w:rPr>
          <w:szCs w:val="21"/>
        </w:rPr>
        <w:t>17、中标</w:t>
      </w:r>
    </w:p>
    <w:p>
      <w:pPr>
        <w:spacing w:line="300" w:lineRule="auto"/>
        <w:ind w:firstLine="390" w:firstLineChars="186"/>
        <w:rPr>
          <w:szCs w:val="21"/>
        </w:rPr>
      </w:pPr>
      <w:r>
        <w:rPr>
          <w:szCs w:val="21"/>
        </w:rPr>
        <w:t>如无特殊情况，现场宣布中标单位；现场宣布中标的不再另行通知中标结果。</w:t>
      </w:r>
    </w:p>
    <w:p>
      <w:pPr>
        <w:spacing w:line="300" w:lineRule="auto"/>
        <w:ind w:firstLine="390" w:firstLineChars="186"/>
        <w:rPr>
          <w:szCs w:val="21"/>
        </w:rPr>
      </w:pPr>
      <w:r>
        <w:rPr>
          <w:szCs w:val="21"/>
        </w:rPr>
        <w:t>18、合同协议书的签署</w:t>
      </w:r>
    </w:p>
    <w:p>
      <w:pPr>
        <w:spacing w:line="300" w:lineRule="auto"/>
        <w:ind w:firstLine="390" w:firstLineChars="186"/>
        <w:rPr>
          <w:szCs w:val="21"/>
        </w:rPr>
      </w:pPr>
      <w:r>
        <w:rPr>
          <w:szCs w:val="21"/>
        </w:rPr>
        <w:t>中标单位应于</w:t>
      </w:r>
      <w:r>
        <w:t>宣布中标之日起</w:t>
      </w:r>
      <w:r>
        <w:rPr>
          <w:rFonts w:hint="eastAsia"/>
          <w:lang w:val="en-US" w:eastAsia="zh-CN"/>
        </w:rPr>
        <w:t>十五</w:t>
      </w:r>
      <w:r>
        <w:t>个工作日之内</w:t>
      </w:r>
      <w:r>
        <w:rPr>
          <w:szCs w:val="21"/>
        </w:rPr>
        <w:t>与招标人签订相关的协议及合同，如因为中标方不能按要求及时签订相关协议及合同的没收其投标保证金。</w:t>
      </w:r>
    </w:p>
    <w:p>
      <w:pPr>
        <w:pStyle w:val="3"/>
        <w:spacing w:line="300" w:lineRule="auto"/>
        <w:jc w:val="center"/>
        <w:rPr>
          <w:rFonts w:ascii="Times New Roman"/>
        </w:rPr>
      </w:pPr>
      <w:bookmarkStart w:id="39" w:name="_Toc1117368637"/>
      <w:bookmarkStart w:id="40" w:name="_Toc5666"/>
      <w:bookmarkStart w:id="41" w:name="_Toc2926"/>
      <w:bookmarkStart w:id="42" w:name="_Toc31607"/>
      <w:bookmarkStart w:id="43" w:name="_Toc1919885403"/>
      <w:r>
        <w:rPr>
          <w:rFonts w:ascii="Times New Roman"/>
        </w:rPr>
        <w:t>八、瑕疵处理原则</w:t>
      </w:r>
      <w:bookmarkEnd w:id="39"/>
      <w:bookmarkEnd w:id="40"/>
      <w:bookmarkEnd w:id="41"/>
      <w:bookmarkEnd w:id="42"/>
      <w:bookmarkEnd w:id="43"/>
    </w:p>
    <w:p>
      <w:pPr>
        <w:spacing w:line="300" w:lineRule="auto"/>
        <w:ind w:firstLine="390" w:firstLineChars="186"/>
        <w:rPr>
          <w:szCs w:val="21"/>
        </w:rPr>
      </w:pPr>
      <w:r>
        <w:rPr>
          <w:szCs w:val="21"/>
        </w:rPr>
        <w:t>19、中标人瑕疵滞后发现的处理原则</w:t>
      </w:r>
    </w:p>
    <w:p>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3"/>
        <w:spacing w:line="300" w:lineRule="auto"/>
        <w:jc w:val="center"/>
        <w:rPr>
          <w:rFonts w:ascii="Times New Roman"/>
        </w:rPr>
      </w:pPr>
      <w:bookmarkStart w:id="44" w:name="_Toc2462"/>
      <w:bookmarkStart w:id="45" w:name="_Toc2026104570"/>
      <w:bookmarkStart w:id="46" w:name="_Toc30760"/>
      <w:bookmarkStart w:id="47" w:name="_Toc1222517259"/>
      <w:bookmarkStart w:id="48" w:name="_Toc29328"/>
      <w:r>
        <w:rPr>
          <w:rFonts w:ascii="Times New Roman"/>
        </w:rPr>
        <w:t>九、解释权</w:t>
      </w:r>
      <w:bookmarkEnd w:id="44"/>
      <w:bookmarkEnd w:id="45"/>
      <w:bookmarkEnd w:id="46"/>
      <w:bookmarkEnd w:id="47"/>
      <w:bookmarkEnd w:id="48"/>
    </w:p>
    <w:p>
      <w:pPr>
        <w:pStyle w:val="48"/>
        <w:spacing w:before="0" w:after="0" w:line="300" w:lineRule="auto"/>
        <w:ind w:firstLine="424" w:firstLineChars="202"/>
        <w:jc w:val="left"/>
        <w:outlineLvl w:val="9"/>
        <w:rPr>
          <w:rFonts w:ascii="Times New Roman" w:hAnsi="Times New Roman"/>
          <w:b w:val="0"/>
          <w:bCs w:val="0"/>
          <w:sz w:val="21"/>
          <w:szCs w:val="21"/>
        </w:rPr>
      </w:pPr>
      <w:bookmarkStart w:id="49" w:name="_Toc7259"/>
      <w:bookmarkStart w:id="50" w:name="_Toc21088"/>
      <w:bookmarkStart w:id="51" w:name="_Toc172268101"/>
      <w:bookmarkStart w:id="52" w:name="_Toc621181417"/>
      <w:r>
        <w:rPr>
          <w:rFonts w:ascii="Times New Roman" w:hAnsi="Times New Roman"/>
          <w:b w:val="0"/>
          <w:bCs w:val="0"/>
          <w:sz w:val="21"/>
          <w:szCs w:val="21"/>
        </w:rPr>
        <w:t>20、解释权</w:t>
      </w:r>
      <w:bookmarkEnd w:id="49"/>
      <w:bookmarkEnd w:id="50"/>
      <w:bookmarkEnd w:id="51"/>
      <w:bookmarkEnd w:id="52"/>
    </w:p>
    <w:p>
      <w:pPr>
        <w:pStyle w:val="48"/>
        <w:spacing w:before="0" w:after="0" w:line="300" w:lineRule="auto"/>
        <w:ind w:firstLine="424" w:firstLineChars="202"/>
        <w:jc w:val="left"/>
        <w:outlineLvl w:val="9"/>
        <w:rPr>
          <w:rFonts w:ascii="Times New Roman" w:hAnsi="Times New Roman"/>
          <w:b w:val="0"/>
          <w:bCs w:val="0"/>
        </w:rPr>
      </w:pPr>
      <w:bookmarkStart w:id="53" w:name="_Toc10155"/>
      <w:bookmarkStart w:id="54" w:name="_Toc19556"/>
      <w:bookmarkStart w:id="55" w:name="_Toc1558490833"/>
      <w:bookmarkStart w:id="56" w:name="_Toc1675558589"/>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rPr>
          <w:rFonts w:ascii="Times New Roman" w:hAnsi="Times New Roman"/>
        </w:rPr>
        <w:br w:type="page"/>
      </w:r>
      <w:bookmarkEnd w:id="53"/>
      <w:bookmarkEnd w:id="54"/>
      <w:bookmarkEnd w:id="55"/>
      <w:bookmarkEnd w:id="56"/>
    </w:p>
    <w:p>
      <w:pPr>
        <w:pStyle w:val="48"/>
        <w:spacing w:line="300" w:lineRule="auto"/>
        <w:rPr>
          <w:rFonts w:ascii="Times New Roman" w:hAnsi="Times New Roman"/>
        </w:rPr>
      </w:pPr>
      <w:bookmarkStart w:id="57" w:name="_Toc399559523"/>
      <w:bookmarkStart w:id="58" w:name="_Toc4371"/>
      <w:bookmarkStart w:id="59" w:name="_Toc963987078"/>
      <w:bookmarkStart w:id="60" w:name="_Toc25592"/>
      <w:bookmarkStart w:id="61" w:name="_Toc11334"/>
      <w:bookmarkStart w:id="62" w:name="_Toc9306"/>
      <w:bookmarkStart w:id="63" w:name="_Toc3460"/>
      <w:r>
        <w:rPr>
          <w:rFonts w:ascii="Times New Roman" w:hAnsi="Times New Roman"/>
        </w:rPr>
        <w:t>第二章 合同文件格式及条款</w:t>
      </w:r>
      <w:bookmarkEnd w:id="57"/>
      <w:bookmarkEnd w:id="58"/>
      <w:bookmarkEnd w:id="59"/>
      <w:bookmarkEnd w:id="60"/>
      <w:bookmarkEnd w:id="61"/>
      <w:bookmarkEnd w:id="62"/>
      <w:bookmarkEnd w:id="63"/>
    </w:p>
    <w:p>
      <w:pPr>
        <w:tabs>
          <w:tab w:val="left" w:pos="2160"/>
          <w:tab w:val="center" w:pos="4802"/>
        </w:tabs>
        <w:spacing w:line="300" w:lineRule="auto"/>
        <w:jc w:val="center"/>
        <w:rPr>
          <w:rFonts w:eastAsia="黑体"/>
          <w:b/>
          <w:sz w:val="36"/>
          <w:szCs w:val="36"/>
        </w:rPr>
      </w:pPr>
      <w:bookmarkStart w:id="64" w:name="_Toc14071"/>
      <w:r>
        <w:rPr>
          <w:rFonts w:eastAsia="黑体"/>
          <w:b/>
          <w:sz w:val="36"/>
          <w:szCs w:val="36"/>
        </w:rPr>
        <w:t>以最终签署版合同版本为准</w:t>
      </w:r>
      <w:bookmarkEnd w:id="64"/>
    </w:p>
    <w:p>
      <w:pPr>
        <w:wordWrap w:val="0"/>
        <w:jc w:val="right"/>
        <w:rPr>
          <w:sz w:val="24"/>
        </w:rPr>
      </w:pPr>
    </w:p>
    <w:p>
      <w:pPr>
        <w:ind w:right="1449" w:rightChars="690"/>
        <w:jc w:val="right"/>
        <w:rPr>
          <w:sz w:val="24"/>
        </w:rPr>
      </w:pPr>
      <w:r>
        <w:rPr>
          <w:sz w:val="24"/>
        </w:rPr>
        <w:t xml:space="preserve">合同登记编号：         </w:t>
      </w:r>
    </w:p>
    <w:p>
      <w:pPr>
        <w:ind w:right="-189" w:rightChars="-90"/>
        <w:rPr>
          <w:rFonts w:eastAsia="楷体_GB2312"/>
          <w:b/>
          <w:sz w:val="24"/>
        </w:rPr>
      </w:pPr>
      <w:bookmarkStart w:id="65" w:name="_Toc283814116"/>
    </w:p>
    <w:p>
      <w:pPr>
        <w:adjustRightInd w:val="0"/>
        <w:snapToGrid w:val="0"/>
        <w:spacing w:line="360" w:lineRule="auto"/>
        <w:jc w:val="left"/>
        <w:rPr>
          <w:sz w:val="20"/>
        </w:rPr>
      </w:pPr>
    </w:p>
    <w:p>
      <w:pPr>
        <w:wordWrap w:val="0"/>
        <w:adjustRightInd w:val="0"/>
        <w:snapToGrid w:val="0"/>
        <w:spacing w:line="360" w:lineRule="auto"/>
        <w:jc w:val="right"/>
        <w:rPr>
          <w:rFonts w:eastAsia="方正小标宋简体"/>
          <w:sz w:val="24"/>
          <w:szCs w:val="24"/>
        </w:rPr>
      </w:pPr>
    </w:p>
    <w:p>
      <w:pPr>
        <w:adjustRightInd w:val="0"/>
        <w:snapToGrid w:val="0"/>
        <w:spacing w:line="360" w:lineRule="auto"/>
        <w:jc w:val="left"/>
        <w:rPr>
          <w:sz w:val="20"/>
        </w:rPr>
      </w:pPr>
    </w:p>
    <w:p>
      <w:pPr>
        <w:adjustRightInd w:val="0"/>
        <w:snapToGrid w:val="0"/>
        <w:spacing w:line="360" w:lineRule="auto"/>
        <w:jc w:val="center"/>
        <w:rPr>
          <w:rFonts w:eastAsia="方正小标宋简体"/>
          <w:bCs/>
          <w:sz w:val="52"/>
          <w:szCs w:val="36"/>
        </w:rPr>
      </w:pPr>
    </w:p>
    <w:p>
      <w:pPr>
        <w:adjustRightInd w:val="0"/>
        <w:snapToGrid w:val="0"/>
        <w:spacing w:line="360" w:lineRule="auto"/>
        <w:jc w:val="center"/>
        <w:rPr>
          <w:rFonts w:eastAsia="方正小标宋简体"/>
          <w:sz w:val="52"/>
          <w:szCs w:val="36"/>
        </w:rPr>
      </w:pPr>
      <w:bookmarkStart w:id="66" w:name="_Toc8184"/>
      <w:r>
        <w:rPr>
          <w:rFonts w:eastAsia="方正小标宋简体"/>
          <w:bCs/>
          <w:sz w:val="52"/>
          <w:szCs w:val="36"/>
        </w:rPr>
        <w:t>设备采购合同</w:t>
      </w:r>
      <w:bookmarkEnd w:id="66"/>
    </w:p>
    <w:p>
      <w:pPr>
        <w:adjustRightInd w:val="0"/>
        <w:snapToGrid w:val="0"/>
        <w:spacing w:line="360" w:lineRule="auto"/>
        <w:jc w:val="left"/>
        <w:rPr>
          <w:b/>
          <w:sz w:val="36"/>
          <w:szCs w:val="36"/>
        </w:rPr>
      </w:pPr>
    </w:p>
    <w:p>
      <w:pPr>
        <w:adjustRightInd w:val="0"/>
        <w:snapToGrid w:val="0"/>
        <w:spacing w:line="360" w:lineRule="auto"/>
        <w:jc w:val="left"/>
        <w:rPr>
          <w:b/>
          <w:sz w:val="36"/>
          <w:szCs w:val="36"/>
        </w:rPr>
      </w:pPr>
    </w:p>
    <w:p>
      <w:pPr>
        <w:adjustRightInd w:val="0"/>
        <w:snapToGrid w:val="0"/>
        <w:spacing w:line="360" w:lineRule="auto"/>
        <w:jc w:val="left"/>
        <w:rPr>
          <w:b/>
          <w:sz w:val="36"/>
          <w:szCs w:val="36"/>
        </w:rPr>
      </w:pPr>
    </w:p>
    <w:p>
      <w:pPr>
        <w:adjustRightInd w:val="0"/>
        <w:snapToGrid w:val="0"/>
        <w:spacing w:line="360" w:lineRule="auto"/>
        <w:jc w:val="left"/>
        <w:rPr>
          <w:b/>
          <w:sz w:val="36"/>
          <w:szCs w:val="36"/>
        </w:rPr>
      </w:pPr>
    </w:p>
    <w:p>
      <w:pPr>
        <w:adjustRightInd w:val="0"/>
        <w:snapToGrid w:val="0"/>
        <w:spacing w:line="360" w:lineRule="auto"/>
        <w:jc w:val="left"/>
        <w:rPr>
          <w:b/>
          <w:sz w:val="36"/>
          <w:szCs w:val="36"/>
        </w:rPr>
      </w:pPr>
    </w:p>
    <w:p>
      <w:pPr>
        <w:adjustRightInd w:val="0"/>
        <w:snapToGrid w:val="0"/>
        <w:spacing w:line="360" w:lineRule="auto"/>
        <w:jc w:val="left"/>
        <w:rPr>
          <w:b/>
          <w:sz w:val="36"/>
          <w:szCs w:val="36"/>
        </w:rPr>
      </w:pPr>
    </w:p>
    <w:p>
      <w:pPr>
        <w:adjustRightInd w:val="0"/>
        <w:snapToGrid w:val="0"/>
        <w:spacing w:line="360" w:lineRule="auto"/>
        <w:jc w:val="left"/>
        <w:rPr>
          <w:b/>
          <w:sz w:val="36"/>
          <w:szCs w:val="36"/>
        </w:rPr>
      </w:pPr>
    </w:p>
    <w:p>
      <w:pPr>
        <w:adjustRightInd w:val="0"/>
        <w:snapToGrid w:val="0"/>
        <w:spacing w:line="360" w:lineRule="auto"/>
        <w:ind w:firstLine="2107" w:firstLineChars="878"/>
        <w:jc w:val="left"/>
        <w:rPr>
          <w:rFonts w:hint="eastAsia" w:eastAsia="方正小标宋简体"/>
          <w:sz w:val="24"/>
          <w:szCs w:val="24"/>
          <w:lang w:eastAsia="zh-CN"/>
        </w:rPr>
      </w:pPr>
      <w:bookmarkStart w:id="67" w:name="_Toc3885"/>
      <w:r>
        <w:rPr>
          <w:rFonts w:eastAsia="方正小标宋简体"/>
          <w:sz w:val="24"/>
          <w:szCs w:val="24"/>
        </w:rPr>
        <w:t>甲  方：</w:t>
      </w:r>
      <w:bookmarkEnd w:id="67"/>
      <w:r>
        <w:rPr>
          <w:rFonts w:hint="eastAsia" w:eastAsia="方正小标宋简体"/>
          <w:sz w:val="24"/>
          <w:szCs w:val="24"/>
          <w:lang w:val="en-US" w:eastAsia="zh-CN"/>
        </w:rPr>
        <w:t>中通客车股份有限公司</w:t>
      </w:r>
    </w:p>
    <w:p>
      <w:pPr>
        <w:adjustRightInd w:val="0"/>
        <w:snapToGrid w:val="0"/>
        <w:spacing w:line="360" w:lineRule="auto"/>
        <w:ind w:firstLine="2107" w:firstLineChars="878"/>
        <w:jc w:val="left"/>
        <w:rPr>
          <w:rFonts w:eastAsia="方正小标宋简体"/>
          <w:sz w:val="24"/>
          <w:szCs w:val="24"/>
        </w:rPr>
      </w:pPr>
      <w:bookmarkStart w:id="68" w:name="_Toc12949"/>
      <w:r>
        <w:rPr>
          <w:rFonts w:eastAsia="方正小标宋简体"/>
          <w:sz w:val="24"/>
          <w:szCs w:val="24"/>
        </w:rPr>
        <w:t>乙  方：</w:t>
      </w:r>
      <w:bookmarkEnd w:id="68"/>
    </w:p>
    <w:p>
      <w:pPr>
        <w:adjustRightInd w:val="0"/>
        <w:snapToGrid w:val="0"/>
        <w:spacing w:line="360" w:lineRule="auto"/>
        <w:ind w:firstLine="1906" w:firstLineChars="678"/>
        <w:jc w:val="left"/>
        <w:rPr>
          <w:b/>
          <w:sz w:val="28"/>
          <w:szCs w:val="36"/>
        </w:rPr>
      </w:pPr>
    </w:p>
    <w:p/>
    <w:p>
      <w:pPr>
        <w:spacing w:line="360" w:lineRule="auto"/>
        <w:ind w:right="480"/>
        <w:rPr>
          <w:bCs/>
          <w:sz w:val="24"/>
          <w:u w:val="single"/>
        </w:rPr>
      </w:pPr>
    </w:p>
    <w:p>
      <w:pPr>
        <w:spacing w:line="360" w:lineRule="auto"/>
        <w:rPr>
          <w:bCs/>
          <w:sz w:val="22"/>
          <w:szCs w:val="22"/>
        </w:rPr>
        <w:sectPr>
          <w:headerReference r:id="rId3" w:type="default"/>
          <w:footerReference r:id="rId4" w:type="default"/>
          <w:pgSz w:w="11907" w:h="16840"/>
          <w:pgMar w:top="1304" w:right="1418" w:bottom="1304" w:left="1418" w:header="724" w:footer="851" w:gutter="0"/>
          <w:cols w:space="720" w:num="1"/>
          <w:docGrid w:linePitch="290" w:charSpace="-3931"/>
        </w:sectPr>
      </w:pPr>
    </w:p>
    <w:p>
      <w:pPr>
        <w:spacing w:line="360" w:lineRule="auto"/>
        <w:rPr>
          <w:rFonts w:hint="eastAsia" w:eastAsia="仿宋_GB2312"/>
          <w:bCs/>
          <w:sz w:val="24"/>
          <w:szCs w:val="24"/>
          <w:lang w:val="en-US" w:eastAsia="zh-CN"/>
        </w:rPr>
      </w:pPr>
      <w:r>
        <w:rPr>
          <w:rFonts w:eastAsia="仿宋_GB2312"/>
          <w:bCs/>
          <w:sz w:val="24"/>
          <w:szCs w:val="24"/>
        </w:rPr>
        <w:t xml:space="preserve">    甲方（买方）：</w:t>
      </w:r>
      <w:r>
        <w:rPr>
          <w:rFonts w:hint="eastAsia" w:eastAsia="仿宋_GB2312"/>
          <w:bCs/>
          <w:sz w:val="24"/>
          <w:szCs w:val="24"/>
          <w:lang w:val="en-US" w:eastAsia="zh-CN"/>
        </w:rPr>
        <w:t>中通客车股份有限公司</w:t>
      </w:r>
    </w:p>
    <w:p>
      <w:pPr>
        <w:spacing w:line="360" w:lineRule="auto"/>
        <w:ind w:right="-189" w:rightChars="-90" w:firstLine="120" w:firstLineChars="50"/>
        <w:jc w:val="left"/>
        <w:rPr>
          <w:rFonts w:eastAsia="仿宋_GB2312"/>
          <w:b/>
          <w:bCs/>
          <w:sz w:val="24"/>
          <w:szCs w:val="24"/>
          <w:u w:val="single"/>
        </w:rPr>
      </w:pPr>
      <w:r>
        <w:rPr>
          <w:rFonts w:eastAsia="仿宋_GB2312"/>
          <w:bCs/>
          <w:sz w:val="24"/>
          <w:szCs w:val="24"/>
        </w:rPr>
        <w:t xml:space="preserve">   乙方（卖方）：</w:t>
      </w:r>
    </w:p>
    <w:p>
      <w:pPr>
        <w:spacing w:line="360" w:lineRule="auto"/>
        <w:ind w:firstLine="480" w:firstLineChars="200"/>
        <w:rPr>
          <w:rFonts w:eastAsia="仿宋_GB2312"/>
          <w:sz w:val="24"/>
          <w:szCs w:val="24"/>
        </w:rPr>
      </w:pPr>
      <w:r>
        <w:rPr>
          <w:rFonts w:eastAsia="仿宋_GB2312"/>
          <w:sz w:val="24"/>
          <w:szCs w:val="24"/>
        </w:rPr>
        <w:t>本设备采购合同由甲乙双方于山东省聊城市签订。</w:t>
      </w:r>
    </w:p>
    <w:p>
      <w:pPr>
        <w:spacing w:line="300" w:lineRule="auto"/>
        <w:ind w:firstLine="480" w:firstLineChars="200"/>
        <w:jc w:val="left"/>
        <w:rPr>
          <w:rFonts w:eastAsia="仿宋_GB2312"/>
          <w:sz w:val="24"/>
          <w:szCs w:val="24"/>
        </w:rPr>
      </w:pPr>
      <w:r>
        <w:rPr>
          <w:rFonts w:eastAsia="仿宋_GB2312"/>
          <w:sz w:val="24"/>
          <w:szCs w:val="24"/>
        </w:rPr>
        <w:t>鉴于买方向卖方购买</w:t>
      </w:r>
      <w:r>
        <w:rPr>
          <w:rFonts w:hint="eastAsia" w:eastAsia="仿宋_GB2312"/>
          <w:sz w:val="24"/>
          <w:szCs w:val="24"/>
        </w:rPr>
        <w:t>焊枪仿型引导工具免示教技术</w:t>
      </w:r>
      <w:r>
        <w:rPr>
          <w:rFonts w:eastAsia="仿宋_GB2312"/>
          <w:sz w:val="24"/>
          <w:szCs w:val="24"/>
        </w:rPr>
        <w:t>项目：</w:t>
      </w:r>
      <w:r>
        <w:rPr>
          <w:rFonts w:hint="eastAsia" w:eastAsia="仿宋_GB2312"/>
          <w:sz w:val="24"/>
          <w:szCs w:val="24"/>
          <w:highlight w:val="none"/>
        </w:rPr>
        <w:t>6套智能无代码编程视觉传感系统、6套传感器支架及防护装置、6套智能无代码编程控制器、6套无代码编程系统标定工具模块、6套无线触控式焊枪仿型引导工具、6台移动滑台、6套工控机系统，</w:t>
      </w:r>
      <w:r>
        <w:rPr>
          <w:rFonts w:eastAsia="仿宋_GB2312"/>
          <w:sz w:val="24"/>
          <w:szCs w:val="24"/>
        </w:rPr>
        <w:t>就该设备的设计、制造、运输、定点卸货、安装（或指导安装）、调试、验收、培训及售后服务等有关问题，以上所列内容经甲乙双方协商自愿达成本合同：</w:t>
      </w:r>
    </w:p>
    <w:p>
      <w:pPr>
        <w:pStyle w:val="3"/>
        <w:tabs>
          <w:tab w:val="right" w:leader="dot" w:pos="9061"/>
        </w:tabs>
        <w:spacing w:before="312" w:beforeLines="100"/>
        <w:ind w:left="0" w:firstLine="529" w:firstLineChars="189"/>
        <w:jc w:val="both"/>
        <w:rPr>
          <w:rFonts w:ascii="Times New Roman" w:eastAsia="黑体"/>
          <w:szCs w:val="28"/>
        </w:rPr>
      </w:pPr>
      <w:bookmarkStart w:id="69" w:name="_Toc17619"/>
      <w:bookmarkStart w:id="70" w:name="_Toc3452"/>
      <w:bookmarkStart w:id="71" w:name="_Toc11823"/>
      <w:bookmarkStart w:id="72" w:name="_Toc1404902461"/>
      <w:bookmarkStart w:id="73" w:name="_Toc16330018"/>
      <w:bookmarkStart w:id="74" w:name="_Toc11930"/>
      <w:bookmarkStart w:id="75" w:name="_Toc1103686678"/>
      <w:bookmarkStart w:id="76" w:name="_Toc22112"/>
      <w:r>
        <w:rPr>
          <w:rFonts w:ascii="Times New Roman" w:eastAsia="黑体"/>
          <w:szCs w:val="28"/>
        </w:rPr>
        <w:t>1 合同设备</w:t>
      </w:r>
      <w:bookmarkEnd w:id="69"/>
      <w:bookmarkEnd w:id="70"/>
      <w:bookmarkEnd w:id="71"/>
      <w:bookmarkEnd w:id="72"/>
      <w:bookmarkEnd w:id="73"/>
      <w:bookmarkEnd w:id="74"/>
      <w:bookmarkEnd w:id="75"/>
      <w:bookmarkEnd w:id="76"/>
    </w:p>
    <w:p>
      <w:pPr>
        <w:spacing w:line="360" w:lineRule="auto"/>
        <w:ind w:firstLine="453" w:firstLineChars="189"/>
        <w:rPr>
          <w:rFonts w:hint="eastAsia" w:eastAsia="仿宋_GB2312"/>
          <w:sz w:val="24"/>
          <w:szCs w:val="24"/>
          <w:lang w:eastAsia="zh-CN"/>
        </w:rPr>
      </w:pPr>
      <w:r>
        <w:rPr>
          <w:rFonts w:eastAsia="仿宋_GB2312"/>
          <w:sz w:val="24"/>
          <w:szCs w:val="24"/>
        </w:rPr>
        <w:t>1.1甲方向乙方购买的设备信息见附件一：《设备清单明细表》</w:t>
      </w:r>
      <w:r>
        <w:rPr>
          <w:rFonts w:hint="eastAsia" w:eastAsia="仿宋_GB2312"/>
          <w:sz w:val="24"/>
          <w:szCs w:val="24"/>
          <w:lang w:eastAsia="zh-CN"/>
        </w:rPr>
        <w:t>。</w:t>
      </w:r>
    </w:p>
    <w:p>
      <w:pPr>
        <w:spacing w:line="360" w:lineRule="auto"/>
        <w:ind w:firstLine="453" w:firstLineChars="189"/>
        <w:rPr>
          <w:rFonts w:eastAsia="仿宋_GB2312"/>
          <w:sz w:val="24"/>
          <w:szCs w:val="24"/>
        </w:rPr>
      </w:pPr>
      <w:bookmarkStart w:id="77" w:name="_Toc32510"/>
      <w:bookmarkStart w:id="78" w:name="_Toc22800"/>
      <w:bookmarkStart w:id="79" w:name="_Toc29026"/>
      <w:r>
        <w:rPr>
          <w:rFonts w:eastAsia="仿宋_GB2312"/>
          <w:sz w:val="24"/>
          <w:szCs w:val="24"/>
        </w:rPr>
        <w:t>1.2技术规格和标准</w:t>
      </w:r>
    </w:p>
    <w:p>
      <w:pPr>
        <w:spacing w:line="360" w:lineRule="auto"/>
        <w:ind w:firstLine="453" w:firstLineChars="189"/>
        <w:rPr>
          <w:rFonts w:eastAsia="仿宋_GB2312"/>
          <w:sz w:val="24"/>
          <w:szCs w:val="24"/>
        </w:rPr>
      </w:pPr>
      <w:r>
        <w:rPr>
          <w:rFonts w:eastAsia="仿宋_GB2312"/>
          <w:sz w:val="24"/>
          <w:szCs w:val="24"/>
        </w:rPr>
        <w:t>1.2.1本合同约定设备的技术规格详见附件二《技术协议书》。</w:t>
      </w:r>
    </w:p>
    <w:p>
      <w:pPr>
        <w:spacing w:line="360" w:lineRule="auto"/>
        <w:ind w:firstLine="453" w:firstLineChars="189"/>
        <w:rPr>
          <w:rFonts w:eastAsia="仿宋_GB2312"/>
          <w:sz w:val="24"/>
          <w:szCs w:val="24"/>
        </w:rPr>
      </w:pPr>
      <w:r>
        <w:rPr>
          <w:rFonts w:eastAsia="仿宋_GB2312"/>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甲方招标文件及乙方一切书面承诺中要求的技术标准。</w:t>
      </w:r>
    </w:p>
    <w:p>
      <w:pPr>
        <w:spacing w:line="360" w:lineRule="auto"/>
        <w:ind w:firstLine="453" w:firstLineChars="189"/>
        <w:rPr>
          <w:rFonts w:eastAsia="仿宋_GB2312"/>
          <w:sz w:val="24"/>
          <w:szCs w:val="24"/>
        </w:rPr>
      </w:pPr>
      <w:r>
        <w:rPr>
          <w:rFonts w:eastAsia="仿宋_GB2312"/>
          <w:sz w:val="24"/>
          <w:szCs w:val="24"/>
        </w:rPr>
        <w:t>1.3在设备所有权转移到甲方之前，有关设备的保险由乙方负责办理并承担保险费用。</w:t>
      </w:r>
    </w:p>
    <w:p>
      <w:pPr>
        <w:pStyle w:val="3"/>
        <w:tabs>
          <w:tab w:val="right" w:leader="dot" w:pos="9061"/>
        </w:tabs>
        <w:spacing w:before="312" w:beforeLines="100"/>
        <w:ind w:left="0" w:firstLine="529" w:firstLineChars="189"/>
        <w:jc w:val="both"/>
        <w:rPr>
          <w:rFonts w:ascii="Times New Roman" w:eastAsia="黑体"/>
          <w:szCs w:val="28"/>
        </w:rPr>
      </w:pPr>
      <w:bookmarkStart w:id="80" w:name="_Toc810"/>
      <w:bookmarkStart w:id="81" w:name="_Toc917016273"/>
      <w:bookmarkStart w:id="82" w:name="_Toc740822573"/>
      <w:bookmarkStart w:id="83" w:name="_Toc4341"/>
      <w:bookmarkStart w:id="84" w:name="_Toc16330019"/>
      <w:r>
        <w:rPr>
          <w:rFonts w:ascii="Times New Roman" w:eastAsia="黑体"/>
          <w:szCs w:val="28"/>
        </w:rPr>
        <w:t>2 包装</w:t>
      </w:r>
      <w:bookmarkEnd w:id="77"/>
      <w:bookmarkEnd w:id="78"/>
      <w:bookmarkEnd w:id="79"/>
      <w:bookmarkEnd w:id="80"/>
      <w:bookmarkEnd w:id="81"/>
      <w:bookmarkEnd w:id="82"/>
      <w:bookmarkEnd w:id="83"/>
      <w:bookmarkEnd w:id="84"/>
    </w:p>
    <w:p>
      <w:pPr>
        <w:spacing w:line="360" w:lineRule="auto"/>
        <w:ind w:firstLine="453" w:firstLineChars="189"/>
        <w:rPr>
          <w:rFonts w:eastAsia="仿宋_GB2312"/>
          <w:sz w:val="24"/>
          <w:szCs w:val="24"/>
        </w:rPr>
      </w:pPr>
      <w:r>
        <w:rPr>
          <w:rFonts w:eastAsia="仿宋_GB2312"/>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eastAsia="仿宋_GB2312"/>
          <w:sz w:val="24"/>
          <w:szCs w:val="24"/>
        </w:rPr>
      </w:pPr>
      <w:r>
        <w:rPr>
          <w:rFonts w:eastAsia="仿宋_GB2312"/>
          <w:sz w:val="24"/>
          <w:szCs w:val="24"/>
        </w:rPr>
        <w:t>2.2每件包装应附有详细的装箱单和质量证书各两套，一套在包装箱里，一套在包装箱外。</w:t>
      </w:r>
    </w:p>
    <w:p>
      <w:pPr>
        <w:pStyle w:val="3"/>
        <w:tabs>
          <w:tab w:val="right" w:leader="dot" w:pos="9061"/>
        </w:tabs>
        <w:spacing w:before="312" w:beforeLines="100"/>
        <w:ind w:left="0" w:firstLine="529" w:firstLineChars="189"/>
        <w:jc w:val="both"/>
        <w:rPr>
          <w:rFonts w:ascii="Times New Roman" w:eastAsia="黑体"/>
          <w:szCs w:val="28"/>
        </w:rPr>
      </w:pPr>
      <w:bookmarkStart w:id="85" w:name="_Toc27453"/>
      <w:bookmarkStart w:id="86" w:name="_Toc8828"/>
      <w:bookmarkStart w:id="87" w:name="_Toc2833"/>
      <w:bookmarkStart w:id="88" w:name="_Toc538741819"/>
      <w:bookmarkStart w:id="89" w:name="_Toc1796091264"/>
      <w:bookmarkStart w:id="90" w:name="_Toc16330020"/>
      <w:bookmarkStart w:id="91" w:name="_Toc29850"/>
      <w:bookmarkStart w:id="92" w:name="_Toc27144"/>
      <w:r>
        <w:rPr>
          <w:rFonts w:ascii="Times New Roman" w:eastAsia="黑体"/>
          <w:szCs w:val="28"/>
        </w:rPr>
        <w:t>3 运输标记</w:t>
      </w:r>
      <w:bookmarkEnd w:id="85"/>
      <w:bookmarkEnd w:id="86"/>
      <w:bookmarkEnd w:id="87"/>
      <w:bookmarkEnd w:id="88"/>
      <w:bookmarkEnd w:id="89"/>
      <w:bookmarkEnd w:id="90"/>
      <w:bookmarkEnd w:id="91"/>
      <w:bookmarkEnd w:id="92"/>
    </w:p>
    <w:p>
      <w:pPr>
        <w:spacing w:line="360" w:lineRule="auto"/>
        <w:ind w:firstLine="453" w:firstLineChars="189"/>
        <w:rPr>
          <w:rFonts w:eastAsia="仿宋_GB2312"/>
          <w:sz w:val="24"/>
          <w:szCs w:val="24"/>
        </w:rPr>
      </w:pPr>
      <w:r>
        <w:rPr>
          <w:rFonts w:eastAsia="仿宋_GB2312"/>
          <w:sz w:val="24"/>
          <w:szCs w:val="24"/>
        </w:rPr>
        <w:t>3.1乙方应在每一包装箱邻近的四个侧面用不易褪色的油漆以醒目的中文印刷字体标明以下各项：</w:t>
      </w:r>
    </w:p>
    <w:p>
      <w:pPr>
        <w:spacing w:line="360" w:lineRule="auto"/>
        <w:ind w:firstLine="453" w:firstLineChars="189"/>
        <w:rPr>
          <w:rFonts w:eastAsia="仿宋_GB2312"/>
          <w:sz w:val="24"/>
          <w:szCs w:val="24"/>
        </w:rPr>
      </w:pPr>
      <w:r>
        <w:rPr>
          <w:rFonts w:eastAsia="仿宋_GB2312"/>
          <w:sz w:val="24"/>
          <w:szCs w:val="24"/>
        </w:rPr>
        <w:t>3.1.1收货人</w:t>
      </w:r>
    </w:p>
    <w:p>
      <w:pPr>
        <w:spacing w:line="360" w:lineRule="auto"/>
        <w:ind w:firstLine="453" w:firstLineChars="189"/>
        <w:rPr>
          <w:rFonts w:eastAsia="仿宋_GB2312"/>
          <w:sz w:val="24"/>
          <w:szCs w:val="24"/>
        </w:rPr>
      </w:pPr>
      <w:r>
        <w:rPr>
          <w:rFonts w:eastAsia="仿宋_GB2312"/>
          <w:sz w:val="24"/>
          <w:szCs w:val="24"/>
        </w:rPr>
        <w:t>3.1.2合同号</w:t>
      </w:r>
    </w:p>
    <w:p>
      <w:pPr>
        <w:spacing w:line="360" w:lineRule="auto"/>
        <w:ind w:firstLine="453" w:firstLineChars="189"/>
        <w:rPr>
          <w:rFonts w:eastAsia="仿宋_GB2312"/>
          <w:sz w:val="24"/>
          <w:szCs w:val="24"/>
        </w:rPr>
      </w:pPr>
      <w:r>
        <w:rPr>
          <w:rFonts w:eastAsia="仿宋_GB2312"/>
          <w:sz w:val="24"/>
          <w:szCs w:val="24"/>
        </w:rPr>
        <w:t>3.1.3发货标记（唛头）</w:t>
      </w:r>
    </w:p>
    <w:p>
      <w:pPr>
        <w:spacing w:line="360" w:lineRule="auto"/>
        <w:ind w:firstLine="453" w:firstLineChars="189"/>
        <w:rPr>
          <w:rFonts w:eastAsia="仿宋_GB2312"/>
          <w:sz w:val="24"/>
          <w:szCs w:val="24"/>
        </w:rPr>
      </w:pPr>
      <w:r>
        <w:rPr>
          <w:rFonts w:eastAsia="仿宋_GB2312"/>
          <w:sz w:val="24"/>
          <w:szCs w:val="24"/>
        </w:rPr>
        <w:t>3.1.4设备的名称、品目号、箱号</w:t>
      </w:r>
    </w:p>
    <w:p>
      <w:pPr>
        <w:spacing w:line="360" w:lineRule="auto"/>
        <w:ind w:firstLine="453" w:firstLineChars="189"/>
        <w:rPr>
          <w:rFonts w:eastAsia="仿宋_GB2312"/>
          <w:sz w:val="24"/>
          <w:szCs w:val="24"/>
        </w:rPr>
      </w:pPr>
      <w:r>
        <w:rPr>
          <w:rFonts w:eastAsia="仿宋_GB2312"/>
          <w:sz w:val="24"/>
          <w:szCs w:val="24"/>
        </w:rPr>
        <w:t>3.1.5毛重/净重（公斤）</w:t>
      </w:r>
    </w:p>
    <w:p>
      <w:pPr>
        <w:spacing w:line="360" w:lineRule="auto"/>
        <w:ind w:firstLine="453" w:firstLineChars="189"/>
        <w:rPr>
          <w:rFonts w:eastAsia="仿宋_GB2312"/>
          <w:sz w:val="24"/>
          <w:szCs w:val="24"/>
        </w:rPr>
      </w:pPr>
      <w:r>
        <w:rPr>
          <w:rFonts w:eastAsia="仿宋_GB2312"/>
          <w:sz w:val="24"/>
          <w:szCs w:val="24"/>
        </w:rPr>
        <w:t>3.1.6尺寸（长×宽×高，以厘米计）</w:t>
      </w:r>
    </w:p>
    <w:p>
      <w:pPr>
        <w:spacing w:line="360" w:lineRule="auto"/>
        <w:ind w:firstLine="453" w:firstLineChars="189"/>
        <w:rPr>
          <w:rFonts w:eastAsia="仿宋_GB2312"/>
          <w:sz w:val="24"/>
          <w:szCs w:val="24"/>
        </w:rPr>
      </w:pPr>
      <w:r>
        <w:rPr>
          <w:rFonts w:eastAsia="仿宋_GB2312"/>
          <w:sz w:val="24"/>
          <w:szCs w:val="24"/>
        </w:rPr>
        <w:t>3.2根据设备的特点和运输的不同要求，乙方应在每件包装箱的两侧以国内贸易相宜的运输标志标明“重心”和“吊装点”，并以清晰的字样在包装箱上注明“小心轻放”、“勿倒置”、“防潮”等适当的标志，以方便装卸和搬运。</w:t>
      </w:r>
    </w:p>
    <w:p>
      <w:pPr>
        <w:pStyle w:val="3"/>
        <w:tabs>
          <w:tab w:val="right" w:leader="dot" w:pos="9061"/>
        </w:tabs>
        <w:spacing w:before="312" w:beforeLines="100"/>
        <w:ind w:left="0" w:firstLine="529" w:firstLineChars="189"/>
        <w:jc w:val="both"/>
        <w:rPr>
          <w:rFonts w:ascii="Times New Roman" w:eastAsia="黑体"/>
          <w:szCs w:val="28"/>
        </w:rPr>
      </w:pPr>
      <w:bookmarkStart w:id="93" w:name="_Toc23315606"/>
      <w:bookmarkStart w:id="94" w:name="_Toc486628028"/>
      <w:bookmarkStart w:id="95" w:name="_Toc22253"/>
      <w:bookmarkStart w:id="96" w:name="_Toc16133"/>
      <w:bookmarkStart w:id="97" w:name="_Toc16330021"/>
      <w:bookmarkStart w:id="98" w:name="_Toc10630"/>
      <w:bookmarkStart w:id="99" w:name="_Toc32363"/>
      <w:bookmarkStart w:id="100" w:name="_Toc7431"/>
      <w:r>
        <w:rPr>
          <w:rFonts w:ascii="Times New Roman" w:eastAsia="黑体"/>
          <w:szCs w:val="28"/>
        </w:rPr>
        <w:t>4 检验</w:t>
      </w:r>
      <w:bookmarkEnd w:id="93"/>
      <w:bookmarkEnd w:id="94"/>
      <w:bookmarkEnd w:id="95"/>
      <w:bookmarkEnd w:id="96"/>
      <w:bookmarkEnd w:id="97"/>
      <w:bookmarkEnd w:id="98"/>
      <w:bookmarkEnd w:id="99"/>
      <w:bookmarkEnd w:id="100"/>
    </w:p>
    <w:p>
      <w:pPr>
        <w:spacing w:line="360" w:lineRule="auto"/>
        <w:ind w:firstLine="453" w:firstLineChars="189"/>
        <w:rPr>
          <w:rFonts w:eastAsia="仿宋_GB2312"/>
          <w:sz w:val="24"/>
          <w:szCs w:val="24"/>
        </w:rPr>
      </w:pPr>
      <w:r>
        <w:rPr>
          <w:rFonts w:eastAsia="仿宋_GB2312"/>
          <w:sz w:val="24"/>
          <w:szCs w:val="24"/>
        </w:rPr>
        <w:t>4.1乙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甲方按照《技术协议书》和相关标准进行检验，检验合格后，买方签署最终验收报告。</w:t>
      </w:r>
    </w:p>
    <w:p>
      <w:pPr>
        <w:spacing w:line="360" w:lineRule="auto"/>
        <w:ind w:firstLine="453" w:firstLineChars="189"/>
        <w:rPr>
          <w:rFonts w:eastAsia="仿宋_GB2312"/>
          <w:sz w:val="24"/>
          <w:szCs w:val="24"/>
        </w:rPr>
      </w:pPr>
      <w:r>
        <w:rPr>
          <w:rFonts w:eastAsia="仿宋_GB2312"/>
          <w:sz w:val="24"/>
          <w:szCs w:val="24"/>
        </w:rPr>
        <w:t>4.2国家强制检验检测的设备，需要经过国家有关部门进行检验检测，乙方保证提供的设备通过其检验并承担费用。</w:t>
      </w:r>
    </w:p>
    <w:p>
      <w:pPr>
        <w:pStyle w:val="3"/>
        <w:tabs>
          <w:tab w:val="right" w:leader="dot" w:pos="9061"/>
        </w:tabs>
        <w:spacing w:before="312" w:beforeLines="100"/>
        <w:ind w:left="0" w:firstLine="529" w:firstLineChars="189"/>
        <w:jc w:val="both"/>
        <w:rPr>
          <w:rFonts w:ascii="Times New Roman" w:eastAsia="黑体"/>
          <w:szCs w:val="28"/>
        </w:rPr>
      </w:pPr>
      <w:bookmarkStart w:id="101" w:name="_Toc11217"/>
      <w:bookmarkStart w:id="102" w:name="_Toc16330022"/>
      <w:bookmarkStart w:id="103" w:name="_Toc31771"/>
      <w:bookmarkStart w:id="104" w:name="_Toc24467"/>
      <w:bookmarkStart w:id="105" w:name="_Toc783898746"/>
      <w:bookmarkStart w:id="106" w:name="_Toc1170287109"/>
      <w:bookmarkStart w:id="107" w:name="_Toc19850"/>
      <w:bookmarkStart w:id="108" w:name="_Toc16860"/>
      <w:r>
        <w:rPr>
          <w:rFonts w:ascii="Times New Roman" w:eastAsia="黑体"/>
          <w:szCs w:val="28"/>
        </w:rPr>
        <w:t>5 权利担保</w:t>
      </w:r>
      <w:bookmarkEnd w:id="101"/>
      <w:bookmarkEnd w:id="102"/>
      <w:bookmarkEnd w:id="103"/>
      <w:bookmarkEnd w:id="104"/>
      <w:bookmarkEnd w:id="105"/>
      <w:bookmarkEnd w:id="106"/>
      <w:bookmarkEnd w:id="107"/>
      <w:bookmarkEnd w:id="108"/>
    </w:p>
    <w:p>
      <w:pPr>
        <w:spacing w:line="360" w:lineRule="auto"/>
        <w:ind w:firstLine="453" w:firstLineChars="189"/>
        <w:rPr>
          <w:rFonts w:eastAsia="仿宋_GB2312"/>
          <w:sz w:val="24"/>
          <w:szCs w:val="24"/>
        </w:rPr>
      </w:pPr>
      <w:r>
        <w:rPr>
          <w:rFonts w:eastAsia="仿宋_GB2312"/>
          <w:sz w:val="24"/>
          <w:szCs w:val="24"/>
        </w:rPr>
        <w:t>5.1乙方所交付的设备，必须是第三方不能提出任何权利或要求的设备，乙方应担保设备不存在订立本合同时不为甲方所知的第三方的权利（包括但不限于抵押权、留置权等）或行政、司法查封。</w:t>
      </w:r>
    </w:p>
    <w:p>
      <w:pPr>
        <w:spacing w:line="360" w:lineRule="auto"/>
        <w:ind w:firstLine="453" w:firstLineChars="189"/>
        <w:rPr>
          <w:rFonts w:eastAsia="仿宋_GB2312"/>
          <w:sz w:val="24"/>
          <w:szCs w:val="24"/>
        </w:rPr>
      </w:pPr>
      <w:r>
        <w:rPr>
          <w:rFonts w:eastAsia="仿宋_GB2312"/>
          <w:sz w:val="24"/>
          <w:szCs w:val="24"/>
        </w:rPr>
        <w:t>5.2乙方应保证第三方对其提交的设备不得以侵权或其他类似理由提出合法要求，如侵犯知识产权等。</w:t>
      </w:r>
    </w:p>
    <w:p>
      <w:pPr>
        <w:spacing w:line="360" w:lineRule="auto"/>
        <w:ind w:firstLine="453" w:firstLineChars="189"/>
        <w:rPr>
          <w:rFonts w:eastAsia="仿宋_GB2312"/>
          <w:sz w:val="24"/>
          <w:szCs w:val="24"/>
        </w:rPr>
      </w:pPr>
      <w:r>
        <w:rPr>
          <w:rFonts w:eastAsia="仿宋_GB2312"/>
          <w:sz w:val="24"/>
          <w:szCs w:val="24"/>
        </w:rPr>
        <w:t>5.3任何第三方如果提出侵权指控，乙方应与第三方交涉，并承担由此引起的一切法律责任和费用以及给甲方所造成的损失。</w:t>
      </w:r>
    </w:p>
    <w:p>
      <w:pPr>
        <w:spacing w:line="360" w:lineRule="auto"/>
        <w:ind w:firstLine="453" w:firstLineChars="189"/>
        <w:rPr>
          <w:rFonts w:eastAsia="仿宋_GB2312"/>
          <w:sz w:val="24"/>
          <w:szCs w:val="24"/>
        </w:rPr>
      </w:pPr>
      <w:r>
        <w:rPr>
          <w:rFonts w:eastAsia="仿宋_GB2312"/>
          <w:sz w:val="24"/>
          <w:szCs w:val="24"/>
        </w:rPr>
        <w:t>5.4甲方应在已知道第三方的权利或要求后的一段合理时间内，将此权利或要求的性质通知卖方。</w:t>
      </w:r>
    </w:p>
    <w:p>
      <w:pPr>
        <w:spacing w:line="360" w:lineRule="auto"/>
        <w:ind w:firstLine="453" w:firstLineChars="189"/>
        <w:rPr>
          <w:rFonts w:eastAsia="仿宋_GB2312"/>
          <w:sz w:val="24"/>
          <w:szCs w:val="24"/>
        </w:rPr>
      </w:pPr>
      <w:r>
        <w:rPr>
          <w:rFonts w:eastAsia="仿宋_GB2312"/>
          <w:sz w:val="24"/>
          <w:szCs w:val="24"/>
        </w:rPr>
        <w:t>5.5如乙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甲方、甲方母公司或母公司其他关联方所有。</w:t>
      </w:r>
    </w:p>
    <w:p>
      <w:pPr>
        <w:pStyle w:val="3"/>
        <w:tabs>
          <w:tab w:val="right" w:leader="dot" w:pos="9061"/>
        </w:tabs>
        <w:spacing w:before="312" w:beforeLines="100"/>
        <w:ind w:left="0" w:firstLine="529" w:firstLineChars="189"/>
        <w:jc w:val="both"/>
        <w:rPr>
          <w:rFonts w:ascii="Times New Roman" w:eastAsia="黑体"/>
          <w:szCs w:val="28"/>
        </w:rPr>
      </w:pPr>
      <w:bookmarkStart w:id="109" w:name="_Toc16330023"/>
      <w:bookmarkStart w:id="110" w:name="_Toc14809"/>
      <w:bookmarkStart w:id="111" w:name="_Toc27500"/>
      <w:bookmarkStart w:id="112" w:name="_Toc24135"/>
      <w:bookmarkStart w:id="113" w:name="_Toc11759"/>
      <w:bookmarkStart w:id="114" w:name="_Toc20737"/>
      <w:bookmarkStart w:id="115" w:name="_Toc310385597"/>
      <w:bookmarkStart w:id="116" w:name="_Toc827300897"/>
      <w:r>
        <w:rPr>
          <w:rFonts w:ascii="Times New Roman" w:eastAsia="黑体"/>
          <w:szCs w:val="28"/>
        </w:rPr>
        <w:t>6 交货</w:t>
      </w:r>
      <w:bookmarkEnd w:id="109"/>
      <w:bookmarkEnd w:id="110"/>
      <w:bookmarkEnd w:id="111"/>
      <w:bookmarkEnd w:id="112"/>
      <w:bookmarkEnd w:id="113"/>
      <w:bookmarkEnd w:id="114"/>
      <w:bookmarkEnd w:id="115"/>
      <w:bookmarkEnd w:id="116"/>
    </w:p>
    <w:p>
      <w:pPr>
        <w:spacing w:line="360" w:lineRule="auto"/>
        <w:ind w:firstLine="453" w:firstLineChars="189"/>
        <w:rPr>
          <w:rFonts w:eastAsia="仿宋_GB2312"/>
          <w:sz w:val="24"/>
          <w:szCs w:val="24"/>
        </w:rPr>
      </w:pPr>
      <w:r>
        <w:rPr>
          <w:rFonts w:eastAsia="仿宋_GB2312"/>
          <w:sz w:val="24"/>
          <w:szCs w:val="24"/>
        </w:rPr>
        <w:t>6.1乙方应在本合同规定的到货时间前传真、邮件等给甲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eastAsia="仿宋_GB2312"/>
          <w:sz w:val="24"/>
          <w:szCs w:val="24"/>
        </w:rPr>
      </w:pPr>
      <w:r>
        <w:rPr>
          <w:rFonts w:eastAsia="仿宋_GB2312"/>
          <w:sz w:val="24"/>
          <w:szCs w:val="24"/>
        </w:rPr>
        <w:t>6.2乙方应在设备装运完成后当天以传真、邮件等的形式通知买方合同号、设备名称、数量、毛重、体积（立方米）、发票金额、启运日期、预计到达日期。</w:t>
      </w:r>
    </w:p>
    <w:p>
      <w:pPr>
        <w:spacing w:line="360" w:lineRule="auto"/>
        <w:ind w:firstLine="453" w:firstLineChars="189"/>
        <w:rPr>
          <w:rFonts w:eastAsia="仿宋_GB2312"/>
          <w:sz w:val="24"/>
          <w:szCs w:val="24"/>
        </w:rPr>
      </w:pPr>
      <w:r>
        <w:rPr>
          <w:rFonts w:eastAsia="仿宋_GB2312"/>
          <w:sz w:val="24"/>
          <w:szCs w:val="24"/>
        </w:rPr>
        <w:t>6.3技术资料：签订本合同后，乙方应按买方要求免费提供给甲方包括但不限于：设备总装图、安装尺寸图、设备基础图、操作手册、使用说明、维修指南、服务手册等甲方所需要的、与执行本合同有关的各类资料，如上述资料未按甲方要求交付的，甲方有权拒绝对合同设备验收（包括预验收和最终验收），并且乙方应赔偿因此给买方造成的一切损失。</w:t>
      </w:r>
    </w:p>
    <w:p>
      <w:pPr>
        <w:spacing w:line="360" w:lineRule="auto"/>
        <w:ind w:firstLine="453" w:firstLineChars="189"/>
        <w:rPr>
          <w:rFonts w:eastAsia="仿宋_GB2312"/>
          <w:i/>
          <w:iCs/>
          <w:sz w:val="24"/>
          <w:szCs w:val="24"/>
          <w:u w:val="double"/>
        </w:rPr>
      </w:pPr>
      <w:r>
        <w:rPr>
          <w:rFonts w:eastAsia="仿宋_GB2312"/>
          <w:sz w:val="24"/>
          <w:szCs w:val="24"/>
        </w:rPr>
        <w:t>6.4交货方式</w:t>
      </w:r>
      <w:r>
        <w:rPr>
          <w:rFonts w:eastAsia="仿宋_GB2312"/>
          <w:bCs/>
          <w:sz w:val="24"/>
          <w:szCs w:val="24"/>
        </w:rPr>
        <w:t>：</w:t>
      </w:r>
      <w:r>
        <w:rPr>
          <w:rFonts w:eastAsia="仿宋_GB2312"/>
          <w:sz w:val="24"/>
          <w:szCs w:val="24"/>
        </w:rPr>
        <w:t>交钥匙方式</w:t>
      </w:r>
    </w:p>
    <w:p>
      <w:pPr>
        <w:spacing w:line="360" w:lineRule="auto"/>
        <w:ind w:firstLine="453" w:firstLineChars="189"/>
        <w:rPr>
          <w:rFonts w:eastAsia="仿宋_GB2312"/>
          <w:sz w:val="24"/>
          <w:szCs w:val="24"/>
        </w:rPr>
      </w:pPr>
      <w:r>
        <w:rPr>
          <w:rFonts w:eastAsia="仿宋_GB2312"/>
          <w:sz w:val="24"/>
          <w:szCs w:val="24"/>
        </w:rPr>
        <w:t>交钥匙方式：乙方负责合同设备的设计、制造、运输、定点卸货、安装（含设备基础制作）、调试、培训及售后服务等所有内容，直至甲方验收合格并交付使用。</w:t>
      </w:r>
    </w:p>
    <w:p>
      <w:pPr>
        <w:spacing w:line="360" w:lineRule="auto"/>
        <w:ind w:firstLine="453" w:firstLineChars="189"/>
        <w:rPr>
          <w:rFonts w:eastAsia="仿宋_GB2312"/>
          <w:sz w:val="24"/>
          <w:szCs w:val="24"/>
        </w:rPr>
      </w:pPr>
      <w:r>
        <w:rPr>
          <w:rFonts w:eastAsia="仿宋_GB2312"/>
          <w:sz w:val="24"/>
          <w:szCs w:val="24"/>
        </w:rPr>
        <w:t>6.5交货地点：山东聊城中通客车制焊车间</w:t>
      </w:r>
    </w:p>
    <w:p>
      <w:pPr>
        <w:spacing w:line="360" w:lineRule="auto"/>
        <w:ind w:firstLine="453" w:firstLineChars="189"/>
        <w:rPr>
          <w:rFonts w:eastAsia="仿宋_GB2312"/>
          <w:sz w:val="24"/>
          <w:szCs w:val="24"/>
          <w:highlight w:val="green"/>
        </w:rPr>
      </w:pPr>
      <w:r>
        <w:rPr>
          <w:rFonts w:eastAsia="仿宋_GB2312"/>
          <w:sz w:val="24"/>
          <w:szCs w:val="24"/>
        </w:rPr>
        <w:t>6.6到货时间：</w:t>
      </w:r>
      <w:r>
        <w:rPr>
          <w:rFonts w:hint="eastAsia" w:ascii="仿宋_GB2312" w:eastAsia="仿宋_GB2312"/>
          <w:sz w:val="24"/>
        </w:rPr>
        <w:t>合同签订后</w:t>
      </w:r>
      <w:r>
        <w:rPr>
          <w:rFonts w:hint="eastAsia" w:ascii="仿宋_GB2312" w:eastAsia="仿宋_GB2312"/>
          <w:sz w:val="24"/>
          <w:highlight w:val="none"/>
          <w:u w:val="single"/>
        </w:rPr>
        <w:t>20个</w:t>
      </w:r>
      <w:r>
        <w:rPr>
          <w:rFonts w:hint="eastAsia" w:ascii="仿宋_GB2312" w:eastAsia="仿宋_GB2312"/>
          <w:sz w:val="24"/>
          <w:u w:val="single"/>
        </w:rPr>
        <w:t>日历日</w:t>
      </w:r>
      <w:r>
        <w:rPr>
          <w:rFonts w:hint="eastAsia" w:ascii="仿宋_GB2312" w:eastAsia="仿宋_GB2312"/>
          <w:sz w:val="24"/>
        </w:rPr>
        <w:t>之内</w:t>
      </w:r>
    </w:p>
    <w:p>
      <w:pPr>
        <w:spacing w:line="360" w:lineRule="auto"/>
        <w:ind w:firstLine="453" w:firstLineChars="189"/>
        <w:rPr>
          <w:rFonts w:eastAsia="仿宋_GB2312"/>
          <w:sz w:val="24"/>
          <w:szCs w:val="24"/>
        </w:rPr>
      </w:pPr>
      <w:r>
        <w:rPr>
          <w:rFonts w:eastAsia="仿宋_GB2312"/>
          <w:sz w:val="24"/>
          <w:szCs w:val="24"/>
        </w:rPr>
        <w:t>6.7到货后，甲乙双方代表办理移交手续，此时的移交不代表乙方合同设备所有权的转移，合同设备的保管责任仍然由乙方承担。移交内容包括：合同设备、硬件、软件、图纸、资料、质量证明文件等。</w:t>
      </w:r>
    </w:p>
    <w:p>
      <w:pPr>
        <w:spacing w:line="360" w:lineRule="auto"/>
        <w:ind w:firstLine="453" w:firstLineChars="189"/>
        <w:rPr>
          <w:rFonts w:eastAsia="仿宋_GB2312"/>
          <w:sz w:val="24"/>
          <w:szCs w:val="24"/>
        </w:rPr>
      </w:pPr>
      <w:r>
        <w:rPr>
          <w:rFonts w:eastAsia="仿宋_GB2312"/>
          <w:sz w:val="24"/>
          <w:szCs w:val="24"/>
        </w:rPr>
        <w:t>6.8乙方在交付设备前需通知买方。</w:t>
      </w:r>
    </w:p>
    <w:p>
      <w:pPr>
        <w:spacing w:line="360" w:lineRule="auto"/>
        <w:ind w:firstLine="453" w:firstLineChars="189"/>
        <w:rPr>
          <w:rFonts w:eastAsia="仿宋_GB2312"/>
          <w:sz w:val="24"/>
          <w:szCs w:val="24"/>
        </w:rPr>
      </w:pPr>
      <w:r>
        <w:rPr>
          <w:rFonts w:eastAsia="仿宋_GB2312"/>
          <w:sz w:val="24"/>
          <w:szCs w:val="24"/>
        </w:rPr>
        <w:t>6.9风险的转移：</w:t>
      </w:r>
    </w:p>
    <w:p>
      <w:pPr>
        <w:spacing w:line="360" w:lineRule="auto"/>
        <w:ind w:firstLine="453" w:firstLineChars="189"/>
        <w:rPr>
          <w:rFonts w:eastAsiaTheme="minorEastAsia"/>
          <w:sz w:val="20"/>
        </w:rPr>
      </w:pPr>
      <w:r>
        <w:rPr>
          <w:rFonts w:eastAsia="仿宋_GB2312"/>
          <w:sz w:val="24"/>
          <w:szCs w:val="24"/>
        </w:rPr>
        <w:t>设备最终验收合格后，设备所有权由乙方转移至甲方。如果在对该设备进行最终验收之前，乙方被解散、破产、收购等，其接收方应无条件承担该合同的所有责任和义务，且乙方应自出现上述事项之日起一个月内书面通知甲方，如甲方没有在一个月内收到明确责任义务的书面通知，则该设备所有权自动由乙方转移至甲方，余款作为该设备的后续质量维护费用，甲方无须再支付给乙方。在设备所有权转移之前，设备毁损、灭失等风险由乙方承担。</w:t>
      </w:r>
    </w:p>
    <w:p>
      <w:pPr>
        <w:pStyle w:val="3"/>
        <w:tabs>
          <w:tab w:val="right" w:leader="dot" w:pos="9061"/>
        </w:tabs>
        <w:spacing w:before="312" w:beforeLines="100"/>
        <w:ind w:left="0" w:firstLine="529" w:firstLineChars="189"/>
        <w:jc w:val="both"/>
        <w:rPr>
          <w:rFonts w:ascii="Times New Roman" w:eastAsia="黑体"/>
          <w:szCs w:val="28"/>
        </w:rPr>
      </w:pPr>
      <w:bookmarkStart w:id="117" w:name="_Toc30862"/>
      <w:bookmarkStart w:id="118" w:name="_Toc2984"/>
      <w:bookmarkStart w:id="119" w:name="_Toc8477"/>
      <w:bookmarkStart w:id="120" w:name="_Toc25510"/>
      <w:bookmarkStart w:id="121" w:name="_Toc447679232"/>
      <w:bookmarkStart w:id="122" w:name="_Toc8024"/>
      <w:bookmarkStart w:id="123" w:name="_Toc16330024"/>
      <w:bookmarkStart w:id="124" w:name="_Toc1710436466"/>
      <w:r>
        <w:rPr>
          <w:rFonts w:ascii="Times New Roman" w:eastAsia="黑体"/>
          <w:szCs w:val="28"/>
        </w:rPr>
        <w:t>7 安装、调试</w:t>
      </w:r>
      <w:bookmarkEnd w:id="117"/>
      <w:bookmarkEnd w:id="118"/>
      <w:bookmarkEnd w:id="119"/>
      <w:bookmarkEnd w:id="120"/>
      <w:bookmarkEnd w:id="121"/>
      <w:bookmarkEnd w:id="122"/>
      <w:bookmarkEnd w:id="123"/>
      <w:bookmarkEnd w:id="124"/>
    </w:p>
    <w:p>
      <w:pPr>
        <w:pStyle w:val="22"/>
        <w:spacing w:line="360" w:lineRule="auto"/>
        <w:ind w:firstLine="453" w:firstLineChars="189"/>
        <w:rPr>
          <w:rFonts w:eastAsia="仿宋_GB2312"/>
          <w:sz w:val="24"/>
          <w:szCs w:val="24"/>
        </w:rPr>
      </w:pPr>
      <w:r>
        <w:rPr>
          <w:rFonts w:eastAsia="仿宋_GB2312"/>
          <w:sz w:val="24"/>
          <w:szCs w:val="24"/>
        </w:rPr>
        <w:t xml:space="preserve">7.1 </w:t>
      </w:r>
      <w:r>
        <w:rPr>
          <w:rFonts w:ascii="仿宋_GB2312" w:eastAsia="仿宋_GB2312"/>
          <w:sz w:val="24"/>
        </w:rPr>
        <w:t>乙方须在到货后</w:t>
      </w:r>
      <w:r>
        <w:rPr>
          <w:rFonts w:eastAsia="仿宋_GB2312"/>
          <w:sz w:val="24"/>
          <w:highlight w:val="none"/>
          <w:u w:val="single"/>
        </w:rPr>
        <w:t xml:space="preserve"> </w:t>
      </w:r>
      <w:r>
        <w:rPr>
          <w:rFonts w:hint="eastAsia" w:eastAsia="仿宋_GB2312"/>
          <w:sz w:val="24"/>
          <w:highlight w:val="none"/>
          <w:u w:val="single"/>
        </w:rPr>
        <w:t>20个日</w:t>
      </w:r>
      <w:r>
        <w:rPr>
          <w:rFonts w:hint="eastAsia" w:eastAsia="仿宋_GB2312"/>
          <w:sz w:val="24"/>
          <w:u w:val="single"/>
        </w:rPr>
        <w:t>历</w:t>
      </w:r>
      <w:r>
        <w:rPr>
          <w:rFonts w:ascii="仿宋_GB2312" w:eastAsia="仿宋_GB2312"/>
          <w:sz w:val="24"/>
        </w:rPr>
        <w:t>日内安装调试完成。</w:t>
      </w:r>
    </w:p>
    <w:p>
      <w:pPr>
        <w:spacing w:line="360" w:lineRule="auto"/>
        <w:ind w:firstLine="453" w:firstLineChars="189"/>
        <w:rPr>
          <w:rFonts w:eastAsia="仿宋_GB2312"/>
          <w:sz w:val="24"/>
          <w:szCs w:val="24"/>
        </w:rPr>
      </w:pPr>
      <w:r>
        <w:rPr>
          <w:rFonts w:eastAsia="仿宋_GB2312"/>
          <w:sz w:val="24"/>
          <w:szCs w:val="24"/>
        </w:rPr>
        <w:t>7.2乙方应自带用以安装、调试过程中所需的各种工具、仪器、仪表及易损件。在安装、调试过程中，乙方应自负其工作人员的食宿、交通等费用。</w:t>
      </w:r>
    </w:p>
    <w:p>
      <w:pPr>
        <w:spacing w:line="360" w:lineRule="auto"/>
        <w:ind w:firstLine="453" w:firstLineChars="189"/>
        <w:rPr>
          <w:rFonts w:eastAsia="仿宋_GB2312"/>
          <w:sz w:val="24"/>
          <w:szCs w:val="24"/>
        </w:rPr>
      </w:pPr>
      <w:r>
        <w:rPr>
          <w:rFonts w:eastAsia="仿宋_GB2312"/>
          <w:sz w:val="24"/>
          <w:szCs w:val="24"/>
        </w:rPr>
        <w:t>7.3在安装、调试过程中，安装场地及施工人员安全，由乙方负责。由于安装、调试等原因造成甲方或他人人身损害或财产损失的，由乙方承担赔偿责任。</w:t>
      </w:r>
    </w:p>
    <w:p>
      <w:pPr>
        <w:spacing w:line="360" w:lineRule="auto"/>
        <w:ind w:firstLine="453" w:firstLineChars="189"/>
        <w:rPr>
          <w:rFonts w:eastAsia="仿宋_GB2312"/>
          <w:sz w:val="24"/>
          <w:szCs w:val="24"/>
        </w:rPr>
      </w:pPr>
      <w:r>
        <w:rPr>
          <w:rFonts w:eastAsia="仿宋_GB2312"/>
          <w:sz w:val="24"/>
          <w:szCs w:val="24"/>
        </w:rPr>
        <w:t>7.4乙方须对安装、调试过程中造成的甲方或他人人身损害或财产损失承担赔偿责任。</w:t>
      </w:r>
    </w:p>
    <w:p>
      <w:pPr>
        <w:spacing w:line="360" w:lineRule="auto"/>
        <w:ind w:firstLine="453" w:firstLineChars="189"/>
        <w:rPr>
          <w:rFonts w:eastAsia="仿宋_GB2312"/>
          <w:sz w:val="24"/>
          <w:szCs w:val="24"/>
        </w:rPr>
      </w:pPr>
      <w:r>
        <w:rPr>
          <w:rFonts w:eastAsia="仿宋_GB2312"/>
          <w:sz w:val="24"/>
          <w:szCs w:val="24"/>
        </w:rPr>
        <w:t>7.5 若设备安装、调试过程中需使用甲方产品的，甲方提供调试所用产品数量【5】件，超出此数量部分由乙方提供，由此产生的相关费用由乙方承担。</w:t>
      </w:r>
    </w:p>
    <w:p>
      <w:pPr>
        <w:pStyle w:val="3"/>
        <w:tabs>
          <w:tab w:val="right" w:leader="dot" w:pos="9061"/>
        </w:tabs>
        <w:spacing w:before="312" w:beforeLines="100"/>
        <w:ind w:left="0" w:firstLine="529" w:firstLineChars="189"/>
        <w:jc w:val="both"/>
        <w:rPr>
          <w:rFonts w:ascii="Times New Roman" w:eastAsia="黑体"/>
          <w:szCs w:val="28"/>
        </w:rPr>
      </w:pPr>
      <w:bookmarkStart w:id="125" w:name="_Toc14098"/>
      <w:bookmarkStart w:id="126" w:name="_Toc1100986297"/>
      <w:bookmarkStart w:id="127" w:name="_Toc23122"/>
      <w:bookmarkStart w:id="128" w:name="_Toc16330025"/>
      <w:bookmarkStart w:id="129" w:name="_Toc1427"/>
      <w:bookmarkStart w:id="130" w:name="_Toc6350"/>
      <w:bookmarkStart w:id="131" w:name="_Toc14260"/>
      <w:bookmarkStart w:id="132" w:name="_Toc1283684439"/>
      <w:r>
        <w:rPr>
          <w:rFonts w:ascii="Times New Roman" w:eastAsia="黑体"/>
          <w:szCs w:val="28"/>
        </w:rPr>
        <w:t>8 价款与支付</w:t>
      </w:r>
      <w:bookmarkEnd w:id="125"/>
      <w:bookmarkEnd w:id="126"/>
      <w:bookmarkEnd w:id="127"/>
      <w:bookmarkEnd w:id="128"/>
      <w:bookmarkEnd w:id="129"/>
      <w:bookmarkEnd w:id="130"/>
      <w:bookmarkEnd w:id="131"/>
      <w:bookmarkEnd w:id="132"/>
    </w:p>
    <w:p>
      <w:pPr>
        <w:spacing w:line="360" w:lineRule="auto"/>
        <w:ind w:firstLine="453" w:firstLineChars="189"/>
        <w:rPr>
          <w:rFonts w:eastAsia="仿宋_GB2312"/>
          <w:sz w:val="24"/>
          <w:szCs w:val="24"/>
        </w:rPr>
      </w:pPr>
      <w:r>
        <w:rPr>
          <w:rFonts w:eastAsia="仿宋_GB2312"/>
          <w:sz w:val="24"/>
          <w:szCs w:val="24"/>
        </w:rPr>
        <w:t>8.1本合同不含税总价为人民币¥  元（大写：），增值税税率</w:t>
      </w:r>
      <w:r>
        <w:rPr>
          <w:rFonts w:eastAsia="仿宋_GB2312"/>
          <w:sz w:val="24"/>
          <w:szCs w:val="24"/>
          <w:u w:val="single"/>
        </w:rPr>
        <w:t>【13】</w:t>
      </w:r>
      <w:r>
        <w:rPr>
          <w:rFonts w:eastAsia="仿宋_GB2312"/>
          <w:sz w:val="24"/>
          <w:szCs w:val="24"/>
        </w:rPr>
        <w:t>%，税额¥  元，含税总价¥  元人民币（大写：  ），如国家出台新政策对增值税率进行了调整，则不含税价款不变，本合同含税总价在不含税价基础上根据国家最新税法进行相应的调整。</w:t>
      </w:r>
    </w:p>
    <w:p>
      <w:pPr>
        <w:spacing w:line="360" w:lineRule="auto"/>
        <w:ind w:firstLine="453" w:firstLineChars="189"/>
        <w:rPr>
          <w:rFonts w:eastAsia="仿宋_GB2312"/>
          <w:sz w:val="24"/>
          <w:szCs w:val="24"/>
        </w:rPr>
      </w:pPr>
      <w:r>
        <w:rPr>
          <w:rFonts w:eastAsia="仿宋_GB2312"/>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eastAsia="仿宋_GB2312"/>
          <w:sz w:val="24"/>
          <w:szCs w:val="24"/>
        </w:rPr>
      </w:pPr>
      <w:r>
        <w:rPr>
          <w:rFonts w:eastAsia="仿宋_GB2312"/>
          <w:sz w:val="24"/>
          <w:szCs w:val="24"/>
        </w:rPr>
        <w:t>8.2合同价款的结算方式：半年期商业汇票（包括银行承兑汇票和商业承兑汇票）</w:t>
      </w:r>
    </w:p>
    <w:p>
      <w:pPr>
        <w:spacing w:line="360" w:lineRule="auto"/>
        <w:ind w:firstLine="453" w:firstLineChars="189"/>
        <w:rPr>
          <w:rFonts w:eastAsia="仿宋_GB2312"/>
          <w:sz w:val="24"/>
          <w:szCs w:val="24"/>
        </w:rPr>
      </w:pPr>
      <w:r>
        <w:rPr>
          <w:rFonts w:eastAsia="仿宋_GB2312"/>
          <w:sz w:val="24"/>
          <w:szCs w:val="24"/>
        </w:rPr>
        <w:t>8.3合同价款的支付：</w:t>
      </w:r>
    </w:p>
    <w:p>
      <w:pPr>
        <w:spacing w:line="360" w:lineRule="auto"/>
        <w:ind w:firstLine="453" w:firstLineChars="189"/>
        <w:rPr>
          <w:rFonts w:eastAsia="仿宋_GB2312"/>
          <w:sz w:val="24"/>
          <w:szCs w:val="24"/>
        </w:rPr>
      </w:pPr>
      <w:r>
        <w:rPr>
          <w:rFonts w:eastAsia="仿宋_GB2312"/>
          <w:sz w:val="24"/>
          <w:szCs w:val="24"/>
        </w:rPr>
        <w:t>8.3.1合同签订并生效后，乙方提交金额为合同总价款30%人民币的增值税专用发票（税率13%），经甲方依照财务制度审核无误后【30】日内支付，作为合同的预付款。</w:t>
      </w:r>
    </w:p>
    <w:p>
      <w:pPr>
        <w:spacing w:line="360" w:lineRule="auto"/>
        <w:ind w:firstLine="453" w:firstLineChars="189"/>
        <w:rPr>
          <w:rFonts w:hint="default" w:eastAsia="仿宋_GB2312"/>
          <w:sz w:val="24"/>
          <w:szCs w:val="24"/>
        </w:rPr>
      </w:pPr>
      <w:r>
        <w:rPr>
          <w:rFonts w:eastAsia="仿宋_GB2312"/>
          <w:sz w:val="24"/>
          <w:szCs w:val="24"/>
        </w:rPr>
        <w:t>8.3.2</w:t>
      </w:r>
      <w:r>
        <w:rPr>
          <w:rFonts w:hint="default" w:eastAsia="仿宋_GB2312"/>
          <w:sz w:val="24"/>
          <w:szCs w:val="24"/>
        </w:rPr>
        <w:t>所有设备在</w:t>
      </w:r>
      <w:r>
        <w:rPr>
          <w:rFonts w:hint="eastAsia" w:eastAsia="仿宋_GB2312"/>
          <w:sz w:val="24"/>
          <w:szCs w:val="24"/>
          <w:lang w:val="en-US" w:eastAsia="zh-CN"/>
        </w:rPr>
        <w:t>乙方</w:t>
      </w:r>
      <w:r>
        <w:rPr>
          <w:rFonts w:hint="default" w:eastAsia="仿宋_GB2312"/>
          <w:sz w:val="24"/>
          <w:szCs w:val="24"/>
        </w:rPr>
        <w:t>现场预验收合格后，</w:t>
      </w:r>
      <w:r>
        <w:rPr>
          <w:rFonts w:hint="eastAsia" w:eastAsia="仿宋_GB2312"/>
          <w:sz w:val="24"/>
          <w:szCs w:val="24"/>
          <w:lang w:val="en-US" w:eastAsia="zh-CN"/>
        </w:rPr>
        <w:t>设备到达甲方指定位置后，乙方</w:t>
      </w:r>
      <w:r>
        <w:rPr>
          <w:rFonts w:hint="default" w:eastAsia="仿宋_GB2312"/>
          <w:sz w:val="24"/>
          <w:szCs w:val="24"/>
        </w:rPr>
        <w:t>提交金额为合同总价款30%人民币的增值税专用发票（税率13%），经</w:t>
      </w:r>
      <w:r>
        <w:rPr>
          <w:rFonts w:hint="eastAsia" w:eastAsia="仿宋_GB2312"/>
          <w:sz w:val="24"/>
          <w:szCs w:val="24"/>
          <w:lang w:val="en-US" w:eastAsia="zh-CN"/>
        </w:rPr>
        <w:t>甲方</w:t>
      </w:r>
      <w:r>
        <w:rPr>
          <w:rFonts w:hint="default" w:eastAsia="仿宋_GB2312"/>
          <w:sz w:val="24"/>
          <w:szCs w:val="24"/>
        </w:rPr>
        <w:t>依照财务制度审核无误后</w:t>
      </w:r>
      <w:r>
        <w:rPr>
          <w:rFonts w:eastAsia="仿宋_GB2312"/>
          <w:sz w:val="24"/>
          <w:szCs w:val="24"/>
        </w:rPr>
        <w:t>【30】日内</w:t>
      </w:r>
      <w:r>
        <w:rPr>
          <w:rFonts w:hint="default" w:eastAsia="仿宋_GB2312"/>
          <w:sz w:val="24"/>
          <w:szCs w:val="24"/>
        </w:rPr>
        <w:t>支付。</w:t>
      </w:r>
    </w:p>
    <w:p>
      <w:pPr>
        <w:spacing w:line="360" w:lineRule="auto"/>
        <w:ind w:firstLine="453" w:firstLineChars="189"/>
        <w:rPr>
          <w:rFonts w:eastAsia="仿宋_GB2312"/>
          <w:sz w:val="24"/>
          <w:szCs w:val="24"/>
        </w:rPr>
      </w:pPr>
      <w:r>
        <w:rPr>
          <w:rFonts w:eastAsia="仿宋_GB2312"/>
          <w:sz w:val="24"/>
          <w:szCs w:val="24"/>
        </w:rPr>
        <w:t>8.3.3设备在甲方现场经安装、调试最终验收合格后，乙方开具剩余未开部分的全额增值税发票，经甲方依照财务制度审核无误后【30】日内支付合同价款的30%，作为合同的验收款。</w:t>
      </w:r>
    </w:p>
    <w:p>
      <w:pPr>
        <w:spacing w:line="360" w:lineRule="auto"/>
        <w:ind w:firstLine="453" w:firstLineChars="189"/>
        <w:rPr>
          <w:rFonts w:eastAsia="仿宋_GB2312"/>
          <w:sz w:val="24"/>
          <w:szCs w:val="24"/>
        </w:rPr>
      </w:pPr>
      <w:r>
        <w:rPr>
          <w:rFonts w:eastAsia="仿宋_GB2312"/>
          <w:sz w:val="24"/>
          <w:szCs w:val="24"/>
        </w:rPr>
        <w:t>8.3.4合同总价款的10%作为合同约定设备的质量保证金，在质保期满后【30】日内免息支付。</w:t>
      </w:r>
    </w:p>
    <w:p>
      <w:pPr>
        <w:pStyle w:val="3"/>
        <w:tabs>
          <w:tab w:val="right" w:leader="dot" w:pos="9061"/>
        </w:tabs>
        <w:spacing w:before="312" w:beforeLines="100"/>
        <w:ind w:left="0" w:firstLine="529" w:firstLineChars="189"/>
        <w:jc w:val="both"/>
        <w:rPr>
          <w:rFonts w:ascii="Times New Roman" w:eastAsia="黑体"/>
          <w:szCs w:val="28"/>
        </w:rPr>
      </w:pPr>
      <w:bookmarkStart w:id="133" w:name="_Toc451355724"/>
      <w:bookmarkStart w:id="134" w:name="_Toc12358"/>
      <w:bookmarkStart w:id="135" w:name="_Toc25708"/>
      <w:bookmarkStart w:id="136" w:name="_Toc2986"/>
      <w:bookmarkStart w:id="137" w:name="_Toc89362457"/>
      <w:bookmarkStart w:id="138" w:name="_Toc16330026"/>
      <w:bookmarkStart w:id="139" w:name="_Toc6726"/>
      <w:bookmarkStart w:id="140" w:name="_Toc24085"/>
      <w:r>
        <w:rPr>
          <w:rFonts w:ascii="Times New Roman" w:eastAsia="黑体"/>
          <w:szCs w:val="28"/>
        </w:rPr>
        <w:t>9 质量保证及售后服务</w:t>
      </w:r>
      <w:bookmarkEnd w:id="133"/>
      <w:bookmarkEnd w:id="134"/>
      <w:bookmarkEnd w:id="135"/>
      <w:bookmarkEnd w:id="136"/>
      <w:bookmarkEnd w:id="137"/>
      <w:bookmarkEnd w:id="138"/>
      <w:bookmarkEnd w:id="139"/>
      <w:bookmarkEnd w:id="140"/>
    </w:p>
    <w:p>
      <w:pPr>
        <w:spacing w:line="360" w:lineRule="auto"/>
        <w:ind w:firstLine="453" w:firstLineChars="189"/>
        <w:rPr>
          <w:rFonts w:eastAsia="仿宋_GB2312"/>
          <w:sz w:val="24"/>
          <w:szCs w:val="24"/>
        </w:rPr>
      </w:pPr>
      <w:r>
        <w:rPr>
          <w:rFonts w:eastAsia="仿宋_GB2312"/>
          <w:sz w:val="24"/>
          <w:szCs w:val="24"/>
        </w:rPr>
        <w:t>9.1乙方保证其提供的合同设备是全新的、未使用的、未经改装的、包装完好的、原厂正品，采用最佳材料和一流工艺的，并在各个方面符合本合同规定的质量、规格和性能要求。乙方保证其合同设备经过正确安装、合理操作和维护保养，在合同设备寿命期内运转良好。</w:t>
      </w:r>
    </w:p>
    <w:p>
      <w:pPr>
        <w:spacing w:line="360" w:lineRule="auto"/>
        <w:ind w:firstLine="453" w:firstLineChars="189"/>
        <w:rPr>
          <w:rFonts w:eastAsia="仿宋_GB2312"/>
          <w:sz w:val="24"/>
          <w:szCs w:val="24"/>
        </w:rPr>
      </w:pPr>
      <w:r>
        <w:rPr>
          <w:rFonts w:eastAsia="仿宋_GB2312"/>
          <w:sz w:val="24"/>
          <w:szCs w:val="24"/>
        </w:rPr>
        <w:t>9.2乙方承诺其提供的设备不存在任何产品缺陷，否则因乙方提供的设备存在产品缺陷而给甲方造成的一切后果和损失由乙方承担。</w:t>
      </w:r>
    </w:p>
    <w:p>
      <w:pPr>
        <w:spacing w:line="360" w:lineRule="auto"/>
        <w:ind w:firstLine="453" w:firstLineChars="189"/>
        <w:rPr>
          <w:rFonts w:eastAsia="仿宋_GB2312"/>
          <w:sz w:val="24"/>
          <w:szCs w:val="24"/>
        </w:rPr>
      </w:pPr>
      <w:r>
        <w:rPr>
          <w:rFonts w:eastAsia="仿宋_GB2312"/>
          <w:sz w:val="24"/>
          <w:szCs w:val="24"/>
        </w:rPr>
        <w:t>9.3乙方承诺因其提供的设备存在瑕疵或产品缺陷而导致第三方向甲方主张权利或提起诉讼的，乙方应积极配合买方进行解决或应诉，因此而发生的一切费用（包括但不限于诉讼费、仲裁费、律师费、交通费、通讯费、住宿费、餐饮费、调查取证费等）由乙方承担。</w:t>
      </w:r>
    </w:p>
    <w:p>
      <w:pPr>
        <w:spacing w:line="360" w:lineRule="auto"/>
        <w:ind w:firstLine="453" w:firstLineChars="189"/>
        <w:rPr>
          <w:rFonts w:eastAsia="仿宋_GB2312"/>
          <w:sz w:val="24"/>
          <w:szCs w:val="24"/>
        </w:rPr>
      </w:pPr>
      <w:r>
        <w:rPr>
          <w:rFonts w:eastAsia="仿宋_GB2312"/>
          <w:sz w:val="24"/>
          <w:szCs w:val="24"/>
        </w:rPr>
        <w:t>9.4本合同约定设备的质量保证期：自最终验收报告签署之日（以签署日期最晚者为准）起</w:t>
      </w:r>
      <w:r>
        <w:rPr>
          <w:rFonts w:eastAsia="仿宋_GB2312"/>
          <w:sz w:val="24"/>
          <w:szCs w:val="24"/>
          <w:u w:val="single"/>
        </w:rPr>
        <w:t>1</w:t>
      </w:r>
      <w:r>
        <w:rPr>
          <w:rFonts w:eastAsia="仿宋_GB2312"/>
          <w:b/>
          <w:bCs/>
          <w:sz w:val="24"/>
          <w:szCs w:val="24"/>
        </w:rPr>
        <w:t>年</w:t>
      </w:r>
      <w:r>
        <w:rPr>
          <w:rFonts w:eastAsia="仿宋_GB2312"/>
          <w:sz w:val="24"/>
          <w:szCs w:val="24"/>
        </w:rPr>
        <w:t>。</w:t>
      </w:r>
    </w:p>
    <w:p>
      <w:pPr>
        <w:spacing w:line="360" w:lineRule="auto"/>
        <w:ind w:firstLine="453" w:firstLineChars="189"/>
        <w:rPr>
          <w:rFonts w:eastAsia="仿宋_GB2312"/>
          <w:sz w:val="24"/>
          <w:szCs w:val="24"/>
        </w:rPr>
      </w:pPr>
      <w:r>
        <w:rPr>
          <w:rFonts w:eastAsia="仿宋_GB2312"/>
          <w:sz w:val="24"/>
          <w:szCs w:val="24"/>
        </w:rPr>
        <w:t>9.5合同约定的设备在质量保证期届满前，如有质量问题，乙方应在收到甲方或设备使用单位通知后2小时内做出回复，如需到现场解决问题，乙方应派工作人员在24小时内到达设备使用现场，并按甲方要求的时间免费修复、更换相关部件，将设备修复完成。</w:t>
      </w:r>
    </w:p>
    <w:p>
      <w:pPr>
        <w:spacing w:line="360" w:lineRule="auto"/>
        <w:ind w:firstLine="453" w:firstLineChars="189"/>
        <w:rPr>
          <w:rFonts w:eastAsia="仿宋_GB2312"/>
          <w:sz w:val="24"/>
          <w:szCs w:val="24"/>
        </w:rPr>
      </w:pPr>
      <w:r>
        <w:rPr>
          <w:rFonts w:eastAsia="仿宋_GB2312"/>
          <w:sz w:val="24"/>
          <w:szCs w:val="24"/>
        </w:rPr>
        <w:t>9.6乙方负责在甲方指定的地点免费为甲方培训操作及维修人员，培训内容包括：基本原理、操作使用、安全操作注意事项以及维修保养等内容。</w:t>
      </w:r>
    </w:p>
    <w:p>
      <w:pPr>
        <w:spacing w:line="360" w:lineRule="auto"/>
        <w:ind w:firstLine="453" w:firstLineChars="189"/>
        <w:rPr>
          <w:rFonts w:eastAsia="仿宋_GB2312"/>
          <w:sz w:val="24"/>
          <w:szCs w:val="24"/>
        </w:rPr>
      </w:pPr>
      <w:r>
        <w:rPr>
          <w:rFonts w:eastAsia="仿宋_GB2312"/>
          <w:sz w:val="24"/>
          <w:szCs w:val="24"/>
        </w:rPr>
        <w:t>9.7质量保证期满后，乙方保证向买方提供及时的、质优的、价格优惠的技术服务和备品备件供应。</w:t>
      </w:r>
    </w:p>
    <w:p>
      <w:pPr>
        <w:spacing w:line="360" w:lineRule="auto"/>
        <w:ind w:firstLine="453" w:firstLineChars="189"/>
        <w:rPr>
          <w:rFonts w:eastAsia="仿宋_GB2312"/>
          <w:sz w:val="24"/>
          <w:szCs w:val="24"/>
        </w:rPr>
      </w:pPr>
      <w:r>
        <w:rPr>
          <w:rFonts w:eastAsia="仿宋_GB2312"/>
          <w:sz w:val="24"/>
          <w:szCs w:val="24"/>
        </w:rPr>
        <w:t>9.8质量保证期满后，如出现质量问题，乙方也应及时修复和更换，且只收取成本费，费用由甲方承担，乙方对设备质量问题所负的责任直到设备使用寿命周期结束。</w:t>
      </w:r>
    </w:p>
    <w:p>
      <w:pPr>
        <w:pStyle w:val="3"/>
        <w:tabs>
          <w:tab w:val="right" w:leader="dot" w:pos="9061"/>
        </w:tabs>
        <w:spacing w:before="312" w:beforeLines="100"/>
        <w:ind w:left="0" w:firstLine="529" w:firstLineChars="189"/>
        <w:jc w:val="both"/>
        <w:rPr>
          <w:rFonts w:ascii="Times New Roman" w:eastAsia="黑体"/>
          <w:szCs w:val="28"/>
        </w:rPr>
      </w:pPr>
      <w:bookmarkStart w:id="141" w:name="_Toc26167"/>
      <w:bookmarkStart w:id="142" w:name="_Toc16330027"/>
      <w:bookmarkStart w:id="143" w:name="_Toc12927"/>
      <w:bookmarkStart w:id="144" w:name="_Toc28641"/>
      <w:bookmarkStart w:id="145" w:name="_Toc1352219698"/>
      <w:bookmarkStart w:id="146" w:name="_Toc15570"/>
      <w:bookmarkStart w:id="147" w:name="_Toc1400419174"/>
      <w:bookmarkStart w:id="148" w:name="_Toc10359"/>
      <w:bookmarkStart w:id="149" w:name="_Toc28449"/>
      <w:r>
        <w:rPr>
          <w:rFonts w:ascii="Times New Roman" w:eastAsia="黑体"/>
          <w:szCs w:val="28"/>
        </w:rPr>
        <w:t>10法定责任</w:t>
      </w:r>
      <w:bookmarkEnd w:id="141"/>
      <w:bookmarkEnd w:id="142"/>
      <w:bookmarkEnd w:id="143"/>
      <w:bookmarkEnd w:id="144"/>
      <w:bookmarkEnd w:id="145"/>
      <w:bookmarkEnd w:id="146"/>
      <w:bookmarkEnd w:id="147"/>
      <w:bookmarkEnd w:id="148"/>
      <w:bookmarkEnd w:id="149"/>
    </w:p>
    <w:p>
      <w:pPr>
        <w:spacing w:line="360" w:lineRule="auto"/>
        <w:ind w:firstLine="453" w:firstLineChars="189"/>
        <w:rPr>
          <w:rFonts w:eastAsia="仿宋_GB2312"/>
          <w:sz w:val="24"/>
          <w:szCs w:val="24"/>
        </w:rPr>
      </w:pPr>
      <w:r>
        <w:rPr>
          <w:rFonts w:eastAsia="仿宋_GB2312"/>
          <w:sz w:val="24"/>
          <w:szCs w:val="24"/>
        </w:rPr>
        <w:t>10.1乙方需遵从国家有关的法律、法规，缴纳有关的法定费用和税项。若乙方未按期交纳法定费用、税项，则乙方须补偿买方由此造成的所有费用及损失。</w:t>
      </w:r>
    </w:p>
    <w:p>
      <w:pPr>
        <w:spacing w:line="360" w:lineRule="auto"/>
        <w:ind w:firstLine="453" w:firstLineChars="189"/>
        <w:rPr>
          <w:rFonts w:eastAsia="仿宋_GB2312"/>
          <w:sz w:val="24"/>
          <w:szCs w:val="24"/>
        </w:rPr>
      </w:pPr>
      <w:r>
        <w:rPr>
          <w:rFonts w:eastAsia="仿宋_GB2312"/>
          <w:sz w:val="24"/>
          <w:szCs w:val="24"/>
        </w:rPr>
        <w:t>10.2除非本合同中另有规定或甲方同意，乙方不得全部或部分转让本合同项下的权利义务。</w:t>
      </w:r>
    </w:p>
    <w:p>
      <w:pPr>
        <w:spacing w:line="360" w:lineRule="auto"/>
        <w:ind w:firstLine="453" w:firstLineChars="189"/>
        <w:rPr>
          <w:rFonts w:eastAsia="仿宋_GB2312"/>
          <w:sz w:val="24"/>
          <w:szCs w:val="24"/>
        </w:rPr>
      </w:pPr>
      <w:r>
        <w:rPr>
          <w:rFonts w:eastAsia="仿宋_GB2312"/>
          <w:sz w:val="24"/>
          <w:szCs w:val="24"/>
        </w:rPr>
        <w:t>10.3甲乙双方同意在履行本合同期间双方之间交换、披露、传递或通信的所有工业和商业信息，任何附加文件或相关文件，应该被视为商业秘密，双方应该按照此处规定仅用于本合同的签订和履行。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eastAsiaTheme="minorEastAsia"/>
          <w:sz w:val="20"/>
        </w:rPr>
      </w:pPr>
      <w:r>
        <w:rPr>
          <w:rFonts w:eastAsia="仿宋_GB2312"/>
          <w:sz w:val="24"/>
          <w:szCs w:val="24"/>
        </w:rPr>
        <w:t>10.4除对方预先书面同意外，任何一方在本合同签订和履行期间或本合同终止后不得向第三方披露在本合同履行过程中知悉的与对方有关的任何商业秘密。</w:t>
      </w:r>
    </w:p>
    <w:p>
      <w:pPr>
        <w:pStyle w:val="3"/>
        <w:tabs>
          <w:tab w:val="right" w:leader="dot" w:pos="9061"/>
        </w:tabs>
        <w:spacing w:before="312" w:beforeLines="100"/>
        <w:ind w:left="0" w:firstLine="529" w:firstLineChars="189"/>
        <w:jc w:val="both"/>
        <w:rPr>
          <w:rFonts w:ascii="Times New Roman" w:eastAsia="黑体"/>
          <w:szCs w:val="28"/>
        </w:rPr>
      </w:pPr>
      <w:bookmarkStart w:id="150" w:name="_Toc30381"/>
      <w:bookmarkStart w:id="151" w:name="_Toc1736855973"/>
      <w:bookmarkStart w:id="152" w:name="_Toc16330028"/>
      <w:bookmarkStart w:id="153" w:name="_Toc27314"/>
      <w:bookmarkStart w:id="154" w:name="_Toc9708"/>
      <w:bookmarkStart w:id="155" w:name="_Toc9721"/>
      <w:bookmarkStart w:id="156" w:name="_Toc24601"/>
      <w:bookmarkStart w:id="157" w:name="_Toc571496389"/>
      <w:r>
        <w:rPr>
          <w:rFonts w:ascii="Times New Roman" w:eastAsia="黑体"/>
          <w:szCs w:val="28"/>
        </w:rPr>
        <w:t>11 违约责任</w:t>
      </w:r>
      <w:bookmarkEnd w:id="150"/>
      <w:bookmarkEnd w:id="151"/>
      <w:bookmarkEnd w:id="152"/>
      <w:bookmarkEnd w:id="153"/>
      <w:bookmarkEnd w:id="154"/>
      <w:bookmarkEnd w:id="155"/>
      <w:bookmarkEnd w:id="156"/>
      <w:bookmarkEnd w:id="157"/>
    </w:p>
    <w:p>
      <w:pPr>
        <w:spacing w:line="360" w:lineRule="auto"/>
        <w:ind w:firstLine="453" w:firstLineChars="189"/>
        <w:rPr>
          <w:rFonts w:eastAsia="仿宋_GB2312"/>
          <w:sz w:val="24"/>
          <w:szCs w:val="24"/>
        </w:rPr>
      </w:pPr>
      <w:r>
        <w:rPr>
          <w:rFonts w:eastAsia="仿宋_GB2312"/>
          <w:sz w:val="24"/>
          <w:szCs w:val="24"/>
        </w:rPr>
        <w:t>11.1乙方应承担提供的设备与本合同约定不符的一切责任，甲方有权在检验、安装、调试、验收测试期限内、质量保证期内等任何时间提出索赔，甲方有权按下述一种或多种方法要求乙方赔偿：</w:t>
      </w:r>
    </w:p>
    <w:p>
      <w:pPr>
        <w:spacing w:line="360" w:lineRule="auto"/>
        <w:ind w:firstLine="453" w:firstLineChars="189"/>
        <w:rPr>
          <w:rFonts w:eastAsia="仿宋_GB2312"/>
          <w:sz w:val="24"/>
          <w:szCs w:val="24"/>
        </w:rPr>
      </w:pPr>
      <w:r>
        <w:rPr>
          <w:rFonts w:eastAsia="仿宋_GB2312"/>
          <w:sz w:val="24"/>
          <w:szCs w:val="24"/>
        </w:rPr>
        <w:t>11.1.1乙方同意甲方拒收设备并把被与拒收设备等值的价款在甲方要求的时间内以本合同规定的货币付给甲方，乙方承担因此而发生的一切损失和费用，包括但不限于同期银行贷款利息、银行费用、运输和保险费、检验费、仓储和装卸费以及为保管和保护被拒绝设备所需要的其他必需的费用，并赔偿因此给甲方造成的损失。</w:t>
      </w:r>
    </w:p>
    <w:p>
      <w:pPr>
        <w:spacing w:line="360" w:lineRule="auto"/>
        <w:ind w:firstLine="453" w:firstLineChars="189"/>
        <w:rPr>
          <w:rFonts w:eastAsia="仿宋_GB2312"/>
          <w:sz w:val="24"/>
          <w:szCs w:val="24"/>
        </w:rPr>
      </w:pPr>
      <w:r>
        <w:rPr>
          <w:rFonts w:eastAsia="仿宋_GB2312"/>
          <w:sz w:val="24"/>
          <w:szCs w:val="24"/>
        </w:rPr>
        <w:t>11.1.2根据设备的瑕疵和受损程度以及甲方遭受损失的金额，经甲方同意降低设备价格。</w:t>
      </w:r>
    </w:p>
    <w:p>
      <w:pPr>
        <w:spacing w:line="360" w:lineRule="auto"/>
        <w:ind w:firstLine="453" w:firstLineChars="189"/>
        <w:rPr>
          <w:rFonts w:eastAsia="仿宋_GB2312"/>
          <w:sz w:val="24"/>
          <w:szCs w:val="24"/>
        </w:rPr>
      </w:pPr>
      <w:r>
        <w:rPr>
          <w:rFonts w:eastAsia="仿宋_GB2312"/>
          <w:sz w:val="24"/>
          <w:szCs w:val="24"/>
        </w:rPr>
        <w:t>11.1.3更换有缺陷的零件、部件、设备或修理缺陷部分，以达到本合同规定的规格、质量和性能，乙方承担一切费用和风险并负担买方遭受的一切损失，同时卖方应相应延长被修理或更换设备的质量保证期。</w:t>
      </w:r>
    </w:p>
    <w:p>
      <w:pPr>
        <w:spacing w:line="360" w:lineRule="auto"/>
        <w:ind w:firstLine="453" w:firstLineChars="189"/>
        <w:rPr>
          <w:rFonts w:eastAsia="仿宋_GB2312"/>
          <w:sz w:val="24"/>
          <w:szCs w:val="24"/>
        </w:rPr>
      </w:pPr>
      <w:r>
        <w:rPr>
          <w:rFonts w:eastAsia="仿宋_GB2312"/>
          <w:sz w:val="24"/>
          <w:szCs w:val="24"/>
        </w:rPr>
        <w:t>11.2如果甲方就乙方的设备质量问题提出索赔通知后 10 日内乙方未能予以答复，该索赔视为已被乙方接受。若乙方未能在甲方提出索赔通知后 10 日内或甲方同意的更长一些的时间内，按甲方同意的上述任何一种方式处理索赔事宜，甲方将从货款中扣回索赔金额，同时保留进一步要求赔偿的权利。</w:t>
      </w:r>
    </w:p>
    <w:p>
      <w:pPr>
        <w:spacing w:line="360" w:lineRule="auto"/>
        <w:ind w:firstLine="453" w:firstLineChars="189"/>
        <w:rPr>
          <w:rFonts w:eastAsia="仿宋_GB2312"/>
          <w:sz w:val="24"/>
          <w:szCs w:val="24"/>
        </w:rPr>
      </w:pPr>
      <w:r>
        <w:rPr>
          <w:rFonts w:eastAsia="仿宋_GB2312"/>
          <w:sz w:val="24"/>
          <w:szCs w:val="24"/>
        </w:rPr>
        <w:t>11.3如果乙方未能按期到货，乙方应向买方支付违约金，违约金比率为每迟交壹日，按合同总价的10‰计算，如违约金金额超过合同总价款的 20 %，甲方有权就乙方违约而解除本合同，且乙方仍须支付上述违约金，并赔偿由此给甲方造成的一切损失。</w:t>
      </w:r>
      <w:r>
        <w:rPr>
          <w:rFonts w:eastAsia="仿宋_GB2312"/>
          <w:sz w:val="24"/>
          <w:szCs w:val="24"/>
        </w:rPr>
        <w:br w:type="textWrapping"/>
      </w:r>
      <w:r>
        <w:rPr>
          <w:rFonts w:eastAsia="仿宋_GB2312"/>
          <w:sz w:val="24"/>
          <w:szCs w:val="24"/>
        </w:rPr>
        <w:t xml:space="preserve">   11.4如乙方未按7.1条履行义务，从逾期之日起乙方每天按合同总价款的 10 ‰支付给甲方违约金，如违约金金额超过合同总价款的 20 %或者设备未能通过最终验收，甲方有权就乙方违约而解除本合同，且乙方仍须支付上述违约金，并返还甲方支付的设备款，并赔偿由此给甲方造成的一切损失。</w:t>
      </w:r>
    </w:p>
    <w:p>
      <w:pPr>
        <w:spacing w:line="360" w:lineRule="auto"/>
        <w:ind w:firstLine="453" w:firstLineChars="189"/>
        <w:rPr>
          <w:rFonts w:eastAsia="仿宋_GB2312"/>
          <w:sz w:val="24"/>
          <w:szCs w:val="24"/>
        </w:rPr>
      </w:pPr>
      <w:r>
        <w:rPr>
          <w:rFonts w:eastAsia="仿宋_GB2312"/>
          <w:sz w:val="24"/>
          <w:szCs w:val="24"/>
        </w:rPr>
        <w:t>11.5甲方延期付款时（有正当拒付理由者除外），每日按延付金额的 万分之五 向乙方偿付延期付款违约金，但违约金总额不超过延付金额的 50 ‰。</w:t>
      </w:r>
    </w:p>
    <w:p>
      <w:pPr>
        <w:spacing w:line="360" w:lineRule="auto"/>
        <w:ind w:firstLine="453" w:firstLineChars="189"/>
        <w:rPr>
          <w:rFonts w:eastAsia="仿宋_GB2312"/>
          <w:sz w:val="24"/>
          <w:szCs w:val="24"/>
        </w:rPr>
      </w:pPr>
      <w:r>
        <w:rPr>
          <w:rFonts w:eastAsia="仿宋_GB2312"/>
          <w:sz w:val="24"/>
          <w:szCs w:val="24"/>
        </w:rPr>
        <w:t>11.6如乙方违反9.5条，则甲方有权视情况扣除部分或全部质量保证金作为乙方的违约金，并且乙方应赔偿因此给甲方造成的一切损失。乙方不能及时到现场履行质量维修义务，每延迟一天应承担合同价款20‰的违约金（合同额不足10万元按照2000元/天计取），且不免除维修的责任。违约金在质保金中扣除。</w:t>
      </w:r>
    </w:p>
    <w:p>
      <w:pPr>
        <w:spacing w:line="360" w:lineRule="auto"/>
        <w:ind w:firstLine="453" w:firstLineChars="189"/>
        <w:rPr>
          <w:rFonts w:eastAsia="仿宋_GB2312"/>
          <w:sz w:val="24"/>
          <w:szCs w:val="24"/>
        </w:rPr>
      </w:pPr>
      <w:r>
        <w:rPr>
          <w:rFonts w:eastAsia="仿宋_GB2312"/>
          <w:sz w:val="24"/>
          <w:szCs w:val="24"/>
        </w:rPr>
        <w:t>11.7因发票违规给甲方造成的增值税、所得税等损失，由乙方承担相关责任，包括但不限于税款、滞纳金、罚款及其它相关损失。</w:t>
      </w:r>
    </w:p>
    <w:p>
      <w:pPr>
        <w:spacing w:line="360" w:lineRule="auto"/>
        <w:ind w:firstLine="453" w:firstLineChars="189"/>
        <w:rPr>
          <w:rFonts w:eastAsiaTheme="minorEastAsia"/>
          <w:sz w:val="20"/>
        </w:rPr>
      </w:pPr>
      <w:r>
        <w:rPr>
          <w:rFonts w:eastAsia="仿宋_GB2312"/>
          <w:sz w:val="24"/>
          <w:szCs w:val="24"/>
        </w:rPr>
        <w:t>11.8如果乙方违反本合同其他约定（包括本合同及所有附件）应赔偿因此给甲方造成的一切损失。</w:t>
      </w:r>
    </w:p>
    <w:p>
      <w:pPr>
        <w:pStyle w:val="3"/>
        <w:tabs>
          <w:tab w:val="right" w:leader="dot" w:pos="9061"/>
        </w:tabs>
        <w:spacing w:before="312" w:beforeLines="100"/>
        <w:ind w:left="0" w:firstLine="529" w:firstLineChars="189"/>
        <w:jc w:val="both"/>
        <w:rPr>
          <w:rFonts w:ascii="Times New Roman" w:eastAsia="黑体"/>
          <w:szCs w:val="28"/>
        </w:rPr>
      </w:pPr>
      <w:bookmarkStart w:id="158" w:name="_Toc31554"/>
      <w:bookmarkStart w:id="159" w:name="_Toc1463455449"/>
      <w:bookmarkStart w:id="160" w:name="_Toc1827"/>
      <w:bookmarkStart w:id="161" w:name="_Toc9172"/>
      <w:bookmarkStart w:id="162" w:name="_Toc18667"/>
      <w:bookmarkStart w:id="163" w:name="_Toc16330029"/>
      <w:bookmarkStart w:id="164" w:name="_Toc30090"/>
      <w:bookmarkStart w:id="165" w:name="_Toc1491926822"/>
      <w:r>
        <w:rPr>
          <w:rFonts w:ascii="Times New Roman" w:eastAsia="黑体"/>
          <w:szCs w:val="28"/>
        </w:rPr>
        <w:t>12 合同的终止与解除</w:t>
      </w:r>
      <w:bookmarkEnd w:id="158"/>
      <w:bookmarkEnd w:id="159"/>
      <w:bookmarkEnd w:id="160"/>
      <w:bookmarkEnd w:id="161"/>
      <w:bookmarkEnd w:id="162"/>
      <w:bookmarkEnd w:id="163"/>
      <w:bookmarkEnd w:id="164"/>
      <w:bookmarkEnd w:id="165"/>
    </w:p>
    <w:p>
      <w:pPr>
        <w:spacing w:line="360" w:lineRule="auto"/>
        <w:ind w:firstLine="453" w:firstLineChars="189"/>
        <w:rPr>
          <w:rFonts w:eastAsia="仿宋_GB2312"/>
          <w:sz w:val="24"/>
          <w:szCs w:val="24"/>
        </w:rPr>
      </w:pPr>
      <w:r>
        <w:rPr>
          <w:rFonts w:eastAsia="仿宋_GB2312"/>
          <w:sz w:val="24"/>
          <w:szCs w:val="24"/>
        </w:rPr>
        <w:t>12.1本合同订立后，乙方由于履行义务的能力或信用有严重缺陷，甲方可以终止履行本合同，要求乙方返还已支付的款项并不承担违约责任。</w:t>
      </w:r>
    </w:p>
    <w:p>
      <w:pPr>
        <w:spacing w:line="360" w:lineRule="auto"/>
        <w:ind w:firstLine="453" w:firstLineChars="189"/>
        <w:rPr>
          <w:rFonts w:eastAsia="仿宋_GB2312"/>
          <w:sz w:val="24"/>
          <w:szCs w:val="24"/>
        </w:rPr>
      </w:pPr>
      <w:r>
        <w:rPr>
          <w:rFonts w:eastAsia="仿宋_GB2312"/>
          <w:sz w:val="24"/>
          <w:szCs w:val="24"/>
        </w:rPr>
        <w:t>12.2经双方协商一致，可以解除本合同。</w:t>
      </w:r>
    </w:p>
    <w:p>
      <w:pPr>
        <w:spacing w:line="360" w:lineRule="auto"/>
        <w:ind w:left="397" w:leftChars="189"/>
        <w:rPr>
          <w:rFonts w:eastAsia="仿宋_GB2312"/>
          <w:sz w:val="24"/>
          <w:szCs w:val="24"/>
        </w:rPr>
      </w:pPr>
      <w:r>
        <w:rPr>
          <w:rFonts w:eastAsia="仿宋_GB2312"/>
          <w:sz w:val="24"/>
          <w:szCs w:val="24"/>
        </w:rPr>
        <w:t>12.3有下列情形之一的，甲方可以解除本合同：</w:t>
      </w:r>
      <w:r>
        <w:rPr>
          <w:rFonts w:eastAsia="仿宋_GB2312"/>
          <w:sz w:val="24"/>
          <w:szCs w:val="24"/>
        </w:rPr>
        <w:br w:type="textWrapping"/>
      </w:r>
      <w:r>
        <w:rPr>
          <w:rFonts w:eastAsia="仿宋_GB2312"/>
          <w:sz w:val="24"/>
          <w:szCs w:val="24"/>
        </w:rPr>
        <w:t>12.3.1乙方明确表示或者以自己的行为表明不履行主要义务的；</w:t>
      </w:r>
      <w:r>
        <w:rPr>
          <w:rFonts w:eastAsia="仿宋_GB2312"/>
          <w:sz w:val="24"/>
          <w:szCs w:val="24"/>
        </w:rPr>
        <w:br w:type="textWrapping"/>
      </w:r>
      <w:r>
        <w:rPr>
          <w:rFonts w:eastAsia="仿宋_GB2312"/>
          <w:sz w:val="24"/>
          <w:szCs w:val="24"/>
        </w:rPr>
        <w:t>12.3.2乙方所提交的设备不符合本合同的规定；</w:t>
      </w:r>
      <w:r>
        <w:rPr>
          <w:rFonts w:eastAsia="仿宋_GB2312"/>
          <w:sz w:val="24"/>
          <w:szCs w:val="24"/>
        </w:rPr>
        <w:br w:type="textWrapping"/>
      </w:r>
      <w:r>
        <w:rPr>
          <w:rFonts w:eastAsia="仿宋_GB2312"/>
          <w:sz w:val="24"/>
          <w:szCs w:val="24"/>
        </w:rPr>
        <w:t>12.3.3乙方发生本合同约定的解除情形的；</w:t>
      </w:r>
      <w:r>
        <w:rPr>
          <w:rFonts w:eastAsia="仿宋_GB2312"/>
          <w:sz w:val="24"/>
          <w:szCs w:val="24"/>
        </w:rPr>
        <w:br w:type="textWrapping"/>
      </w:r>
      <w:r>
        <w:rPr>
          <w:rFonts w:eastAsia="仿宋_GB2312"/>
          <w:sz w:val="24"/>
          <w:szCs w:val="24"/>
        </w:rPr>
        <w:t>12.3.4按照本合同第11.3条或第11.4条的规定，达到违约金的最高限额；</w:t>
      </w:r>
    </w:p>
    <w:p>
      <w:pPr>
        <w:spacing w:line="360" w:lineRule="auto"/>
        <w:ind w:firstLine="453" w:firstLineChars="189"/>
        <w:rPr>
          <w:rFonts w:eastAsia="仿宋_GB2312"/>
          <w:sz w:val="24"/>
          <w:szCs w:val="24"/>
        </w:rPr>
      </w:pPr>
      <w:r>
        <w:rPr>
          <w:rFonts w:eastAsia="仿宋_GB2312"/>
          <w:sz w:val="24"/>
          <w:szCs w:val="24"/>
        </w:rPr>
        <w:t>12.3.5乙方分批交付设备的，乙方对其中一批设备不交付或者交付不符合约定，致使该批设备不能实现本合同目的的，甲方可以就该批设备解除合同。</w:t>
      </w:r>
    </w:p>
    <w:p>
      <w:pPr>
        <w:spacing w:line="360" w:lineRule="auto"/>
        <w:ind w:firstLine="453" w:firstLineChars="189"/>
        <w:rPr>
          <w:rFonts w:eastAsia="仿宋_GB2312"/>
          <w:sz w:val="24"/>
          <w:szCs w:val="24"/>
        </w:rPr>
      </w:pPr>
      <w:r>
        <w:rPr>
          <w:rFonts w:eastAsia="仿宋_GB2312"/>
          <w:sz w:val="24"/>
          <w:szCs w:val="24"/>
        </w:rPr>
        <w:t>12.5乙方不交付其中一批设备或者交付不符合约定，致使今后其他各批设备的交付不能实现本合同目的的，甲方可以就该批以及今后其他各批设备解除合同。</w:t>
      </w:r>
    </w:p>
    <w:p>
      <w:pPr>
        <w:spacing w:line="360" w:lineRule="auto"/>
        <w:ind w:firstLine="453" w:firstLineChars="189"/>
        <w:rPr>
          <w:rFonts w:eastAsia="仿宋_GB2312"/>
          <w:sz w:val="24"/>
          <w:szCs w:val="24"/>
        </w:rPr>
      </w:pPr>
      <w:r>
        <w:rPr>
          <w:rFonts w:eastAsia="仿宋_GB2312"/>
          <w:sz w:val="24"/>
          <w:szCs w:val="24"/>
        </w:rPr>
        <w:t>12.6甲方如果就其中一批设备解除合同，该批设备与其他各批设备相互依存的，可以就已经交付和未交付的各批设备解除合同。</w:t>
      </w:r>
    </w:p>
    <w:p>
      <w:pPr>
        <w:spacing w:line="360" w:lineRule="auto"/>
        <w:ind w:firstLine="453" w:firstLineChars="189"/>
        <w:rPr>
          <w:rFonts w:eastAsiaTheme="minorEastAsia"/>
          <w:sz w:val="20"/>
        </w:rPr>
      </w:pPr>
      <w:r>
        <w:rPr>
          <w:rFonts w:eastAsia="仿宋_GB2312"/>
          <w:sz w:val="24"/>
          <w:szCs w:val="24"/>
        </w:rPr>
        <w:t>12.7因为乙方违约导致买方解除合同的，乙方应赔偿买方因此所遭受的一切损失。</w:t>
      </w:r>
    </w:p>
    <w:p>
      <w:pPr>
        <w:pStyle w:val="3"/>
        <w:tabs>
          <w:tab w:val="right" w:leader="dot" w:pos="9061"/>
        </w:tabs>
        <w:spacing w:before="312" w:beforeLines="100"/>
        <w:ind w:left="0" w:firstLine="529" w:firstLineChars="189"/>
        <w:jc w:val="both"/>
        <w:rPr>
          <w:rFonts w:ascii="Times New Roman" w:eastAsia="黑体"/>
          <w:szCs w:val="28"/>
        </w:rPr>
      </w:pPr>
      <w:bookmarkStart w:id="166" w:name="_Toc2069"/>
      <w:bookmarkStart w:id="167" w:name="_Toc26971"/>
      <w:bookmarkStart w:id="168" w:name="_Toc8620"/>
      <w:bookmarkStart w:id="169" w:name="_Toc31945"/>
      <w:bookmarkStart w:id="170" w:name="_Toc723306811"/>
      <w:bookmarkStart w:id="171" w:name="_Toc16330030"/>
      <w:bookmarkStart w:id="172" w:name="_Toc13671"/>
      <w:bookmarkStart w:id="173" w:name="_Toc463763095"/>
      <w:r>
        <w:rPr>
          <w:rFonts w:ascii="Times New Roman" w:eastAsia="黑体"/>
          <w:szCs w:val="28"/>
        </w:rPr>
        <w:t>13 不可抗力</w:t>
      </w:r>
      <w:bookmarkEnd w:id="166"/>
      <w:bookmarkEnd w:id="167"/>
      <w:bookmarkEnd w:id="168"/>
      <w:bookmarkEnd w:id="169"/>
      <w:bookmarkEnd w:id="170"/>
      <w:bookmarkEnd w:id="171"/>
      <w:bookmarkEnd w:id="172"/>
      <w:bookmarkEnd w:id="173"/>
    </w:p>
    <w:p>
      <w:pPr>
        <w:spacing w:line="360" w:lineRule="auto"/>
        <w:ind w:firstLine="453" w:firstLineChars="189"/>
        <w:rPr>
          <w:rFonts w:eastAsia="仿宋_GB2312"/>
          <w:sz w:val="24"/>
          <w:szCs w:val="24"/>
        </w:rPr>
      </w:pPr>
      <w:r>
        <w:rPr>
          <w:rFonts w:eastAsia="仿宋_GB2312"/>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eastAsia="仿宋_GB2312"/>
          <w:sz w:val="24"/>
          <w:szCs w:val="24"/>
        </w:rPr>
      </w:pPr>
      <w:r>
        <w:rPr>
          <w:rFonts w:eastAsia="仿宋_GB2312"/>
          <w:sz w:val="24"/>
          <w:szCs w:val="24"/>
        </w:rPr>
        <w:t>13.2各方应该通过协商决定是否终止本合同，或推迟全部或部分本合同的履行或免除对方全部或部分相关履行义务。</w:t>
      </w:r>
    </w:p>
    <w:p>
      <w:pPr>
        <w:pStyle w:val="3"/>
        <w:tabs>
          <w:tab w:val="right" w:leader="dot" w:pos="9061"/>
        </w:tabs>
        <w:spacing w:before="312" w:beforeLines="100"/>
        <w:ind w:left="0" w:firstLine="529" w:firstLineChars="189"/>
        <w:jc w:val="both"/>
        <w:rPr>
          <w:rFonts w:ascii="Times New Roman" w:eastAsia="黑体"/>
          <w:szCs w:val="28"/>
        </w:rPr>
      </w:pPr>
      <w:bookmarkStart w:id="174" w:name="_Toc734820262"/>
      <w:bookmarkStart w:id="175" w:name="_Toc622907522"/>
      <w:bookmarkStart w:id="176" w:name="_Toc637"/>
      <w:bookmarkStart w:id="177" w:name="_Toc27116"/>
      <w:bookmarkStart w:id="178" w:name="_Toc16330031"/>
      <w:bookmarkStart w:id="179" w:name="_Toc31243"/>
      <w:bookmarkStart w:id="180" w:name="_Toc30389"/>
      <w:bookmarkStart w:id="181" w:name="_Toc11140"/>
      <w:r>
        <w:rPr>
          <w:rFonts w:ascii="Times New Roman" w:eastAsia="黑体"/>
          <w:szCs w:val="28"/>
        </w:rPr>
        <w:t>14 通讯</w:t>
      </w:r>
      <w:bookmarkEnd w:id="174"/>
      <w:bookmarkEnd w:id="175"/>
      <w:bookmarkEnd w:id="176"/>
      <w:bookmarkEnd w:id="177"/>
      <w:bookmarkEnd w:id="178"/>
      <w:bookmarkEnd w:id="179"/>
      <w:bookmarkEnd w:id="180"/>
      <w:bookmarkEnd w:id="181"/>
    </w:p>
    <w:p>
      <w:pPr>
        <w:spacing w:line="360" w:lineRule="auto"/>
        <w:ind w:firstLine="453" w:firstLineChars="189"/>
        <w:rPr>
          <w:rFonts w:eastAsia="仿宋_GB2312"/>
          <w:sz w:val="24"/>
          <w:szCs w:val="24"/>
        </w:rPr>
      </w:pPr>
      <w:r>
        <w:rPr>
          <w:rFonts w:eastAsia="仿宋_GB2312"/>
          <w:sz w:val="24"/>
          <w:szCs w:val="24"/>
        </w:rPr>
        <w:t>14.1通讯地址：</w:t>
      </w:r>
    </w:p>
    <w:p>
      <w:pPr>
        <w:spacing w:line="360" w:lineRule="auto"/>
        <w:ind w:firstLine="453" w:firstLineChars="189"/>
        <w:rPr>
          <w:rFonts w:eastAsia="仿宋_GB2312"/>
          <w:sz w:val="24"/>
          <w:szCs w:val="24"/>
        </w:rPr>
      </w:pPr>
      <w:r>
        <w:rPr>
          <w:rFonts w:eastAsia="仿宋_GB2312"/>
          <w:sz w:val="24"/>
          <w:szCs w:val="24"/>
        </w:rPr>
        <w:t>本合同下的任何通讯按照本合同双方提供的信息，以书信、传真、电子通讯方式或电话作出。</w:t>
      </w:r>
    </w:p>
    <w:p>
      <w:pPr>
        <w:spacing w:line="360" w:lineRule="auto"/>
        <w:ind w:firstLine="453" w:firstLineChars="189"/>
        <w:rPr>
          <w:rFonts w:eastAsia="仿宋_GB2312"/>
          <w:sz w:val="24"/>
          <w:szCs w:val="24"/>
        </w:rPr>
      </w:pPr>
      <w:r>
        <w:rPr>
          <w:rFonts w:eastAsia="仿宋_GB2312"/>
          <w:sz w:val="24"/>
          <w:szCs w:val="24"/>
        </w:rPr>
        <w:t>14.2生效</w:t>
      </w:r>
    </w:p>
    <w:p>
      <w:pPr>
        <w:spacing w:line="360" w:lineRule="auto"/>
        <w:ind w:firstLine="453" w:firstLineChars="189"/>
        <w:rPr>
          <w:rFonts w:eastAsia="仿宋_GB2312"/>
          <w:sz w:val="24"/>
          <w:szCs w:val="24"/>
        </w:rPr>
      </w:pPr>
      <w:r>
        <w:rPr>
          <w:rFonts w:eastAsia="仿宋_GB2312"/>
          <w:sz w:val="24"/>
          <w:szCs w:val="24"/>
        </w:rPr>
        <w:t>14.2.1书信。书信为送达时生效；</w:t>
      </w:r>
    </w:p>
    <w:p>
      <w:pPr>
        <w:spacing w:line="360" w:lineRule="auto"/>
        <w:ind w:firstLine="453" w:firstLineChars="189"/>
        <w:rPr>
          <w:rFonts w:eastAsia="仿宋_GB2312"/>
          <w:sz w:val="24"/>
          <w:szCs w:val="24"/>
        </w:rPr>
      </w:pPr>
      <w:r>
        <w:rPr>
          <w:rFonts w:eastAsia="仿宋_GB2312"/>
          <w:sz w:val="24"/>
          <w:szCs w:val="24"/>
        </w:rPr>
        <w:t>14.2.2传真。发送人取得成功传输的信息时生效；</w:t>
      </w:r>
    </w:p>
    <w:p>
      <w:pPr>
        <w:spacing w:line="360" w:lineRule="auto"/>
        <w:ind w:firstLine="453" w:firstLineChars="189"/>
        <w:rPr>
          <w:rFonts w:eastAsia="仿宋_GB2312"/>
          <w:sz w:val="24"/>
          <w:szCs w:val="24"/>
        </w:rPr>
      </w:pPr>
      <w:r>
        <w:rPr>
          <w:rFonts w:eastAsia="仿宋_GB2312"/>
          <w:sz w:val="24"/>
          <w:szCs w:val="24"/>
        </w:rPr>
        <w:t>14.2.3电子邮件。电子邮件于发送之时生效，前提是寄件者于该邮件发送后24小时内没有收到发送失败通知；</w:t>
      </w:r>
    </w:p>
    <w:p>
      <w:pPr>
        <w:spacing w:line="360" w:lineRule="auto"/>
        <w:ind w:firstLine="453" w:firstLineChars="189"/>
        <w:rPr>
          <w:rFonts w:eastAsia="仿宋_GB2312"/>
          <w:sz w:val="24"/>
          <w:szCs w:val="24"/>
        </w:rPr>
      </w:pPr>
      <w:r>
        <w:rPr>
          <w:rFonts w:eastAsia="仿宋_GB2312"/>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eastAsia="仿宋_GB2312"/>
          <w:sz w:val="24"/>
          <w:szCs w:val="24"/>
        </w:rPr>
      </w:pPr>
      <w:r>
        <w:rPr>
          <w:rFonts w:eastAsia="仿宋_GB2312"/>
          <w:sz w:val="24"/>
          <w:szCs w:val="24"/>
        </w:rPr>
        <w:t>14.3书面法律证据。根据本合同以书信、传真或电子邮件方式送达任何订约方的任何通讯，将作为书面法律证据。</w:t>
      </w:r>
    </w:p>
    <w:p>
      <w:pPr>
        <w:pStyle w:val="3"/>
        <w:tabs>
          <w:tab w:val="right" w:leader="dot" w:pos="9061"/>
        </w:tabs>
        <w:spacing w:before="312" w:beforeLines="100"/>
        <w:jc w:val="both"/>
        <w:rPr>
          <w:rFonts w:ascii="Times New Roman" w:eastAsia="黑体"/>
          <w:szCs w:val="28"/>
        </w:rPr>
      </w:pPr>
      <w:bookmarkStart w:id="182" w:name="_Toc10967"/>
      <w:bookmarkStart w:id="183" w:name="_Toc16330032"/>
      <w:bookmarkStart w:id="184" w:name="_Toc9915"/>
      <w:bookmarkStart w:id="185" w:name="_Toc11290"/>
      <w:bookmarkStart w:id="186" w:name="_Toc1207529550"/>
      <w:bookmarkStart w:id="187" w:name="_Toc21411"/>
      <w:bookmarkStart w:id="188" w:name="_Toc1730213552"/>
      <w:bookmarkStart w:id="189" w:name="_Toc12984"/>
      <w:r>
        <w:rPr>
          <w:rFonts w:ascii="Times New Roman" w:eastAsia="黑体"/>
          <w:szCs w:val="28"/>
        </w:rPr>
        <w:t>15 适用法律及争议解决</w:t>
      </w:r>
      <w:bookmarkEnd w:id="182"/>
      <w:bookmarkEnd w:id="183"/>
      <w:bookmarkEnd w:id="184"/>
      <w:bookmarkEnd w:id="185"/>
      <w:bookmarkEnd w:id="186"/>
      <w:bookmarkEnd w:id="187"/>
      <w:bookmarkEnd w:id="188"/>
      <w:bookmarkEnd w:id="189"/>
    </w:p>
    <w:p>
      <w:pPr>
        <w:spacing w:line="360" w:lineRule="auto"/>
        <w:ind w:firstLine="453" w:firstLineChars="189"/>
        <w:rPr>
          <w:rFonts w:eastAsia="仿宋_GB2312"/>
          <w:sz w:val="24"/>
          <w:szCs w:val="24"/>
        </w:rPr>
      </w:pPr>
      <w:r>
        <w:rPr>
          <w:rFonts w:eastAsia="仿宋_GB2312"/>
          <w:sz w:val="24"/>
          <w:szCs w:val="24"/>
        </w:rPr>
        <w:t>15.1本合同条款的效力和解释适用中华人民共和国法律。</w:t>
      </w:r>
    </w:p>
    <w:p>
      <w:pPr>
        <w:spacing w:line="360" w:lineRule="auto"/>
        <w:ind w:firstLine="453" w:firstLineChars="189"/>
        <w:rPr>
          <w:rFonts w:eastAsia="仿宋_GB2312"/>
          <w:sz w:val="24"/>
          <w:szCs w:val="24"/>
        </w:rPr>
      </w:pPr>
      <w:r>
        <w:rPr>
          <w:rFonts w:eastAsia="仿宋_GB2312"/>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3"/>
        <w:tabs>
          <w:tab w:val="right" w:leader="dot" w:pos="9061"/>
        </w:tabs>
        <w:spacing w:before="312" w:beforeLines="100"/>
        <w:ind w:left="0" w:firstLine="529" w:firstLineChars="189"/>
        <w:jc w:val="both"/>
        <w:rPr>
          <w:rFonts w:ascii="Times New Roman" w:eastAsia="黑体"/>
          <w:szCs w:val="28"/>
        </w:rPr>
      </w:pPr>
      <w:bookmarkStart w:id="190" w:name="_Toc23597"/>
      <w:bookmarkStart w:id="191" w:name="_Toc18207"/>
      <w:bookmarkStart w:id="192" w:name="_Toc23906"/>
      <w:bookmarkStart w:id="193" w:name="_Toc55425047"/>
      <w:bookmarkStart w:id="194" w:name="_Toc16330033"/>
      <w:bookmarkStart w:id="195" w:name="_Toc17519"/>
      <w:bookmarkStart w:id="196" w:name="_Toc23765"/>
      <w:bookmarkStart w:id="197" w:name="_Toc738071532"/>
      <w:r>
        <w:rPr>
          <w:rFonts w:ascii="Times New Roman" w:eastAsia="黑体"/>
          <w:szCs w:val="28"/>
        </w:rPr>
        <w:t>16 附件</w:t>
      </w:r>
      <w:bookmarkEnd w:id="190"/>
      <w:bookmarkEnd w:id="191"/>
      <w:bookmarkEnd w:id="192"/>
      <w:bookmarkEnd w:id="193"/>
      <w:bookmarkEnd w:id="194"/>
      <w:bookmarkEnd w:id="195"/>
      <w:bookmarkEnd w:id="196"/>
      <w:bookmarkEnd w:id="197"/>
    </w:p>
    <w:p>
      <w:pPr>
        <w:spacing w:line="360" w:lineRule="auto"/>
        <w:ind w:firstLine="453" w:firstLineChars="189"/>
        <w:rPr>
          <w:rFonts w:eastAsia="仿宋_GB2312"/>
          <w:sz w:val="24"/>
          <w:szCs w:val="24"/>
        </w:rPr>
      </w:pPr>
      <w:r>
        <w:rPr>
          <w:rFonts w:eastAsia="仿宋_GB2312"/>
          <w:sz w:val="24"/>
          <w:szCs w:val="24"/>
        </w:rPr>
        <w:t>本合同及其附件构成双方关于本合同标的之全部协议，包括但不限于下列文件：</w:t>
      </w:r>
    </w:p>
    <w:p>
      <w:pPr>
        <w:spacing w:line="360" w:lineRule="auto"/>
        <w:ind w:firstLine="453" w:firstLineChars="189"/>
        <w:rPr>
          <w:rFonts w:eastAsia="仿宋_GB2312"/>
          <w:sz w:val="24"/>
          <w:szCs w:val="24"/>
        </w:rPr>
      </w:pPr>
      <w:r>
        <w:rPr>
          <w:rFonts w:eastAsia="仿宋_GB2312"/>
          <w:sz w:val="24"/>
          <w:szCs w:val="24"/>
        </w:rPr>
        <w:t>16.1技术协议书；</w:t>
      </w:r>
    </w:p>
    <w:p>
      <w:pPr>
        <w:spacing w:line="360" w:lineRule="auto"/>
        <w:ind w:firstLine="453" w:firstLineChars="189"/>
        <w:rPr>
          <w:rFonts w:eastAsia="仿宋_GB2312"/>
          <w:sz w:val="24"/>
          <w:szCs w:val="24"/>
        </w:rPr>
      </w:pPr>
      <w:r>
        <w:rPr>
          <w:rFonts w:eastAsia="仿宋_GB2312"/>
          <w:sz w:val="24"/>
          <w:szCs w:val="24"/>
        </w:rPr>
        <w:t>16.2合同设备一览表；</w:t>
      </w:r>
    </w:p>
    <w:p>
      <w:pPr>
        <w:spacing w:line="360" w:lineRule="auto"/>
        <w:ind w:firstLine="453" w:firstLineChars="189"/>
        <w:rPr>
          <w:rFonts w:eastAsia="仿宋_GB2312"/>
          <w:sz w:val="24"/>
          <w:szCs w:val="24"/>
        </w:rPr>
      </w:pPr>
      <w:r>
        <w:rPr>
          <w:rFonts w:eastAsia="仿宋_GB2312"/>
          <w:sz w:val="24"/>
          <w:szCs w:val="24"/>
        </w:rPr>
        <w:t>16.3乙方中标的设备投标书以及一切书面承诺；</w:t>
      </w:r>
    </w:p>
    <w:p>
      <w:pPr>
        <w:spacing w:line="360" w:lineRule="auto"/>
        <w:ind w:firstLine="453" w:firstLineChars="189"/>
        <w:rPr>
          <w:rFonts w:eastAsia="仿宋_GB2312"/>
          <w:sz w:val="24"/>
          <w:szCs w:val="24"/>
        </w:rPr>
      </w:pPr>
      <w:r>
        <w:rPr>
          <w:rFonts w:eastAsia="仿宋_GB2312"/>
          <w:sz w:val="24"/>
          <w:szCs w:val="24"/>
        </w:rPr>
        <w:t>16.4招标文件。</w:t>
      </w:r>
    </w:p>
    <w:p>
      <w:pPr>
        <w:spacing w:line="360" w:lineRule="auto"/>
        <w:ind w:firstLine="453" w:firstLineChars="189"/>
        <w:rPr>
          <w:rFonts w:eastAsia="仿宋_GB2312"/>
          <w:sz w:val="24"/>
          <w:szCs w:val="24"/>
        </w:rPr>
      </w:pPr>
      <w:r>
        <w:rPr>
          <w:rFonts w:eastAsia="仿宋_GB2312"/>
          <w:sz w:val="24"/>
          <w:szCs w:val="24"/>
        </w:rPr>
        <w:t>上述附件内容与本合同约定有冲突的，以本合同约定为准。</w:t>
      </w:r>
    </w:p>
    <w:p>
      <w:pPr>
        <w:pStyle w:val="3"/>
        <w:tabs>
          <w:tab w:val="right" w:leader="dot" w:pos="9061"/>
        </w:tabs>
        <w:spacing w:before="312" w:beforeLines="100"/>
        <w:ind w:left="0" w:firstLine="529" w:firstLineChars="189"/>
        <w:jc w:val="both"/>
        <w:rPr>
          <w:rFonts w:ascii="Times New Roman" w:eastAsia="黑体"/>
          <w:szCs w:val="28"/>
        </w:rPr>
      </w:pPr>
      <w:bookmarkStart w:id="198" w:name="_Toc17656"/>
      <w:bookmarkStart w:id="199" w:name="_Toc1523179714"/>
      <w:bookmarkStart w:id="200" w:name="_Toc5442"/>
      <w:bookmarkStart w:id="201" w:name="_Toc30748"/>
      <w:bookmarkStart w:id="202" w:name="_Toc27202"/>
      <w:bookmarkStart w:id="203" w:name="_Toc16330034"/>
      <w:bookmarkStart w:id="204" w:name="_Toc356616425"/>
      <w:bookmarkStart w:id="205" w:name="_Toc31331"/>
      <w:r>
        <w:rPr>
          <w:rFonts w:ascii="Times New Roman" w:eastAsia="黑体"/>
          <w:szCs w:val="28"/>
        </w:rPr>
        <w:t>17 其他规定</w:t>
      </w:r>
      <w:bookmarkEnd w:id="198"/>
      <w:bookmarkEnd w:id="199"/>
      <w:bookmarkEnd w:id="200"/>
      <w:bookmarkEnd w:id="201"/>
      <w:bookmarkEnd w:id="202"/>
      <w:bookmarkEnd w:id="203"/>
      <w:bookmarkEnd w:id="204"/>
      <w:bookmarkEnd w:id="205"/>
    </w:p>
    <w:p>
      <w:pPr>
        <w:spacing w:line="360" w:lineRule="auto"/>
        <w:ind w:firstLine="453" w:firstLineChars="189"/>
        <w:rPr>
          <w:rFonts w:eastAsia="仿宋_GB2312"/>
          <w:sz w:val="24"/>
          <w:szCs w:val="24"/>
        </w:rPr>
      </w:pPr>
      <w:r>
        <w:rPr>
          <w:rFonts w:eastAsia="仿宋_GB2312"/>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eastAsia="仿宋_GB2312"/>
          <w:sz w:val="24"/>
          <w:szCs w:val="24"/>
        </w:rPr>
      </w:pPr>
      <w:r>
        <w:rPr>
          <w:rFonts w:eastAsia="仿宋_GB2312"/>
          <w:sz w:val="24"/>
          <w:szCs w:val="24"/>
        </w:rPr>
        <w:t>17.2如果本合同的任何条款和条件在任何时间成为非法、无效或不可强制执行的，则其他条款不应受其影响。</w:t>
      </w:r>
    </w:p>
    <w:p>
      <w:pPr>
        <w:spacing w:line="360" w:lineRule="auto"/>
        <w:ind w:firstLine="453" w:firstLineChars="189"/>
        <w:rPr>
          <w:rFonts w:eastAsia="仿宋_GB2312"/>
          <w:sz w:val="24"/>
          <w:szCs w:val="24"/>
        </w:rPr>
      </w:pPr>
      <w:r>
        <w:rPr>
          <w:rFonts w:eastAsia="仿宋_GB2312"/>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eastAsia="仿宋_GB2312"/>
          <w:sz w:val="24"/>
          <w:szCs w:val="24"/>
        </w:rPr>
      </w:pPr>
      <w:bookmarkStart w:id="206" w:name="_Toc16330035"/>
      <w:bookmarkStart w:id="207" w:name="_Toc29136"/>
      <w:bookmarkStart w:id="208" w:name="_Toc19077"/>
      <w:bookmarkStart w:id="209" w:name="_Toc17952"/>
      <w:r>
        <w:rPr>
          <w:rFonts w:eastAsia="仿宋_GB2312"/>
          <w:sz w:val="24"/>
          <w:szCs w:val="24"/>
        </w:rPr>
        <w:t>17.4监造，在合同设备的制造过程中，甲方有权派出代表对合同设备制造过程中的关键工序进行质量监督，乙方有配合买方监造的义务。</w:t>
      </w:r>
    </w:p>
    <w:p>
      <w:pPr>
        <w:spacing w:line="360" w:lineRule="auto"/>
        <w:ind w:firstLine="453" w:firstLineChars="189"/>
        <w:rPr>
          <w:rFonts w:eastAsia="仿宋_GB2312"/>
          <w:sz w:val="24"/>
          <w:szCs w:val="24"/>
        </w:rPr>
      </w:pPr>
      <w:r>
        <w:rPr>
          <w:rFonts w:eastAsia="仿宋_GB2312"/>
          <w:sz w:val="24"/>
          <w:szCs w:val="24"/>
        </w:rPr>
        <w:t>17.5非因买方原因，乙方不能向其分包商或外购材料设备供货商及时付款等原因造成了分包商或外购材料设备供货商对甲方发生了围堵上访、法律诉讼等不利的影响，乙方须承担违约责任及对甲方造成的一切损失，同时甲方有权直接向分包商或其外购材料设备供货商直接付款，该笔款项将直接从乙方的合同款项中扣除。</w:t>
      </w:r>
    </w:p>
    <w:p>
      <w:pPr>
        <w:pStyle w:val="3"/>
        <w:tabs>
          <w:tab w:val="right" w:leader="dot" w:pos="9061"/>
        </w:tabs>
        <w:spacing w:before="312" w:beforeLines="100"/>
        <w:ind w:left="0" w:firstLine="529" w:firstLineChars="189"/>
        <w:jc w:val="both"/>
        <w:rPr>
          <w:rFonts w:ascii="Times New Roman" w:eastAsia="黑体"/>
          <w:szCs w:val="28"/>
        </w:rPr>
      </w:pPr>
      <w:bookmarkStart w:id="210" w:name="_Toc12270"/>
      <w:bookmarkStart w:id="211" w:name="_Toc23826"/>
      <w:bookmarkStart w:id="212" w:name="_Toc456042868"/>
      <w:bookmarkStart w:id="213" w:name="_Toc1810985099"/>
      <w:r>
        <w:rPr>
          <w:rFonts w:ascii="Times New Roman" w:eastAsia="黑体"/>
          <w:szCs w:val="28"/>
        </w:rPr>
        <w:t>18 签署事项</w:t>
      </w:r>
      <w:bookmarkEnd w:id="206"/>
      <w:bookmarkEnd w:id="207"/>
      <w:bookmarkEnd w:id="208"/>
      <w:bookmarkEnd w:id="209"/>
      <w:bookmarkEnd w:id="210"/>
      <w:bookmarkEnd w:id="211"/>
      <w:bookmarkEnd w:id="212"/>
      <w:bookmarkEnd w:id="213"/>
    </w:p>
    <w:p>
      <w:pPr>
        <w:spacing w:line="360" w:lineRule="auto"/>
        <w:ind w:firstLine="453" w:firstLineChars="189"/>
        <w:rPr>
          <w:rFonts w:eastAsia="仿宋_GB2312"/>
          <w:sz w:val="24"/>
          <w:szCs w:val="24"/>
        </w:rPr>
      </w:pPr>
      <w:r>
        <w:rPr>
          <w:rFonts w:eastAsia="仿宋_GB2312"/>
          <w:sz w:val="24"/>
          <w:szCs w:val="24"/>
        </w:rPr>
        <w:t>本合同一式</w:t>
      </w:r>
      <w:r>
        <w:rPr>
          <w:rFonts w:hint="eastAsia" w:eastAsia="仿宋_GB2312"/>
          <w:sz w:val="24"/>
          <w:szCs w:val="24"/>
        </w:rPr>
        <w:t>伍</w:t>
      </w:r>
      <w:r>
        <w:rPr>
          <w:rFonts w:eastAsia="仿宋_GB2312"/>
          <w:sz w:val="24"/>
          <w:szCs w:val="24"/>
        </w:rPr>
        <w:t>份，甲方持</w:t>
      </w:r>
      <w:r>
        <w:rPr>
          <w:rFonts w:hint="eastAsia" w:eastAsia="仿宋_GB2312"/>
          <w:sz w:val="24"/>
          <w:szCs w:val="24"/>
        </w:rPr>
        <w:t>肆</w:t>
      </w:r>
      <w:r>
        <w:rPr>
          <w:rFonts w:eastAsia="仿宋_GB2312"/>
          <w:sz w:val="24"/>
          <w:szCs w:val="24"/>
        </w:rPr>
        <w:t>份，乙方持</w:t>
      </w:r>
      <w:r>
        <w:rPr>
          <w:rFonts w:hint="eastAsia" w:eastAsia="仿宋_GB2312"/>
          <w:sz w:val="24"/>
          <w:szCs w:val="24"/>
        </w:rPr>
        <w:t>壹</w:t>
      </w:r>
      <w:r>
        <w:rPr>
          <w:rFonts w:eastAsia="仿宋_GB2312"/>
          <w:sz w:val="24"/>
          <w:szCs w:val="24"/>
        </w:rPr>
        <w:t>份；本合同经双方签署后生效。</w:t>
      </w:r>
    </w:p>
    <w:p>
      <w:pPr>
        <w:spacing w:line="360" w:lineRule="auto"/>
        <w:ind w:firstLine="455" w:firstLineChars="189"/>
        <w:rPr>
          <w:rFonts w:eastAsia="仿宋_GB2312"/>
          <w:b/>
          <w:sz w:val="24"/>
          <w:szCs w:val="24"/>
        </w:rPr>
      </w:pPr>
      <w:r>
        <w:rPr>
          <w:rFonts w:eastAsia="仿宋_GB2312"/>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eastAsia="仿宋_GB2312"/>
          <w:b/>
          <w:sz w:val="24"/>
          <w:szCs w:val="24"/>
        </w:rPr>
        <w:br w:type="textWrapping"/>
      </w:r>
      <w:r>
        <w:rPr>
          <w:rFonts w:eastAsia="仿宋_GB2312"/>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53" w:firstLineChars="189"/>
        <w:rPr>
          <w:rFonts w:eastAsia="仿宋_GB2312"/>
          <w:sz w:val="24"/>
          <w:szCs w:val="24"/>
        </w:rPr>
      </w:pPr>
      <w:r>
        <w:rPr>
          <w:rFonts w:eastAsia="仿宋_GB2312"/>
          <w:sz w:val="24"/>
          <w:szCs w:val="24"/>
        </w:rPr>
        <w:t>（以下无正文）</w:t>
      </w:r>
    </w:p>
    <w:p>
      <w:pPr>
        <w:spacing w:line="360" w:lineRule="auto"/>
        <w:ind w:firstLine="400" w:firstLineChars="200"/>
        <w:rPr>
          <w:rFonts w:eastAsiaTheme="minorEastAsia"/>
          <w:sz w:val="20"/>
        </w:rPr>
      </w:pPr>
    </w:p>
    <w:p>
      <w:pPr>
        <w:spacing w:line="360" w:lineRule="auto"/>
        <w:rPr>
          <w:sz w:val="24"/>
        </w:rPr>
      </w:pPr>
      <w:r>
        <w:rPr>
          <w:sz w:val="24"/>
        </w:rPr>
        <w:t>甲    方：</w:t>
      </w:r>
      <w:r>
        <w:rPr>
          <w:sz w:val="24"/>
          <w:u w:val="single"/>
        </w:rPr>
        <w:t>中通客车股份有限公司</w:t>
      </w:r>
    </w:p>
    <w:p>
      <w:pPr>
        <w:spacing w:line="360" w:lineRule="auto"/>
        <w:rPr>
          <w:sz w:val="24"/>
          <w:u w:val="single"/>
        </w:rPr>
      </w:pPr>
      <w:r>
        <w:rPr>
          <w:sz w:val="24"/>
        </w:rPr>
        <w:t>住 所 地：</w:t>
      </w:r>
      <w:r>
        <w:rPr>
          <w:sz w:val="24"/>
          <w:u w:val="single"/>
        </w:rPr>
        <w:t>山东省聊城市经济开发区黄河路261号</w:t>
      </w:r>
    </w:p>
    <w:p>
      <w:pPr>
        <w:spacing w:line="360" w:lineRule="auto"/>
        <w:rPr>
          <w:sz w:val="24"/>
        </w:rPr>
      </w:pPr>
      <w:r>
        <w:rPr>
          <w:sz w:val="24"/>
        </w:rPr>
        <w:t>甲方账号：1611002309022106210</w:t>
      </w:r>
    </w:p>
    <w:p>
      <w:pPr>
        <w:spacing w:line="360" w:lineRule="auto"/>
        <w:rPr>
          <w:sz w:val="24"/>
        </w:rPr>
      </w:pPr>
      <w:r>
        <w:rPr>
          <w:sz w:val="24"/>
        </w:rPr>
        <w:t>纳税人识别号：91370000163080447D</w:t>
      </w:r>
    </w:p>
    <w:p>
      <w:pPr>
        <w:spacing w:line="360" w:lineRule="auto"/>
        <w:rPr>
          <w:sz w:val="24"/>
          <w:u w:val="single"/>
        </w:rPr>
      </w:pPr>
      <w:r>
        <w:rPr>
          <w:sz w:val="24"/>
        </w:rPr>
        <w:t>电    话：</w:t>
      </w:r>
      <w:r>
        <w:rPr>
          <w:sz w:val="24"/>
          <w:u w:val="single"/>
        </w:rPr>
        <w:t>0635-8322537</w:t>
      </w:r>
    </w:p>
    <w:p>
      <w:pPr>
        <w:spacing w:line="360" w:lineRule="auto"/>
        <w:rPr>
          <w:sz w:val="24"/>
          <w:u w:val="single"/>
        </w:rPr>
      </w:pPr>
      <w:r>
        <w:rPr>
          <w:sz w:val="24"/>
        </w:rPr>
        <w:t>授权代表：</w:t>
      </w:r>
    </w:p>
    <w:p>
      <w:pPr>
        <w:spacing w:line="360" w:lineRule="auto"/>
        <w:rPr>
          <w:sz w:val="24"/>
        </w:rPr>
      </w:pPr>
      <w:r>
        <w:rPr>
          <w:sz w:val="24"/>
        </w:rPr>
        <w:t>盖    章：</w:t>
      </w:r>
    </w:p>
    <w:p>
      <w:pPr>
        <w:spacing w:line="360" w:lineRule="auto"/>
        <w:rPr>
          <w:sz w:val="24"/>
          <w:u w:val="single"/>
        </w:rPr>
      </w:pPr>
      <w:r>
        <w:rPr>
          <w:sz w:val="24"/>
        </w:rPr>
        <w:t>签订时间：</w:t>
      </w:r>
      <w:r>
        <w:rPr>
          <w:sz w:val="24"/>
          <w:u w:val="single"/>
        </w:rPr>
        <w:t xml:space="preserve">         年       月       日</w:t>
      </w:r>
    </w:p>
    <w:p>
      <w:pPr>
        <w:spacing w:line="360" w:lineRule="auto"/>
        <w:rPr>
          <w:sz w:val="24"/>
          <w:u w:val="single"/>
        </w:rPr>
      </w:pPr>
      <w:r>
        <w:rPr>
          <w:rFonts w:hint="eastAsia" w:cs="宋体"/>
          <w:sz w:val="24"/>
        </w:rPr>
        <w:t>乙    方：</w:t>
      </w:r>
    </w:p>
    <w:p>
      <w:pPr>
        <w:spacing w:line="360" w:lineRule="auto"/>
        <w:rPr>
          <w:rFonts w:cs="宋体"/>
          <w:sz w:val="24"/>
        </w:rPr>
      </w:pPr>
      <w:r>
        <w:rPr>
          <w:rFonts w:hint="eastAsia" w:cs="宋体"/>
          <w:sz w:val="24"/>
        </w:rPr>
        <w:t>住 所 地：</w:t>
      </w:r>
    </w:p>
    <w:p>
      <w:pPr>
        <w:spacing w:line="360" w:lineRule="auto"/>
        <w:rPr>
          <w:rFonts w:cs="宋体"/>
          <w:sz w:val="24"/>
        </w:rPr>
      </w:pPr>
      <w:r>
        <w:rPr>
          <w:rFonts w:hint="eastAsia" w:cs="宋体"/>
          <w:sz w:val="24"/>
        </w:rPr>
        <w:t>乙方帐号：</w:t>
      </w:r>
    </w:p>
    <w:p>
      <w:pPr>
        <w:spacing w:line="360" w:lineRule="auto"/>
        <w:rPr>
          <w:rFonts w:cs="宋体"/>
          <w:sz w:val="24"/>
        </w:rPr>
      </w:pPr>
      <w:r>
        <w:rPr>
          <w:rFonts w:hint="eastAsia" w:cs="宋体"/>
          <w:sz w:val="24"/>
        </w:rPr>
        <w:t>纳税人识别号：</w:t>
      </w:r>
    </w:p>
    <w:p>
      <w:pPr>
        <w:spacing w:line="360" w:lineRule="auto"/>
        <w:rPr>
          <w:sz w:val="24"/>
          <w:u w:val="single"/>
        </w:rPr>
      </w:pPr>
      <w:r>
        <w:rPr>
          <w:rFonts w:hint="eastAsia" w:cs="宋体"/>
          <w:sz w:val="24"/>
        </w:rPr>
        <w:t>开 户 行：</w:t>
      </w:r>
    </w:p>
    <w:p>
      <w:pPr>
        <w:spacing w:line="360" w:lineRule="auto"/>
        <w:rPr>
          <w:sz w:val="24"/>
          <w:u w:val="single"/>
        </w:rPr>
      </w:pPr>
      <w:r>
        <w:rPr>
          <w:rFonts w:hint="eastAsia" w:cs="宋体"/>
          <w:sz w:val="24"/>
        </w:rPr>
        <w:t>电    话：</w:t>
      </w:r>
    </w:p>
    <w:p>
      <w:pPr>
        <w:spacing w:line="360" w:lineRule="auto"/>
        <w:rPr>
          <w:sz w:val="24"/>
          <w:u w:val="single"/>
        </w:rPr>
      </w:pPr>
      <w:r>
        <w:rPr>
          <w:rFonts w:hint="eastAsia" w:cs="宋体"/>
          <w:sz w:val="24"/>
        </w:rPr>
        <w:t>授权代表：</w:t>
      </w:r>
    </w:p>
    <w:p>
      <w:pPr>
        <w:spacing w:line="360" w:lineRule="auto"/>
        <w:rPr>
          <w:sz w:val="24"/>
        </w:rPr>
      </w:pPr>
      <w:r>
        <w:rPr>
          <w:rFonts w:hint="eastAsia" w:cs="宋体"/>
          <w:sz w:val="24"/>
        </w:rPr>
        <w:t>盖    章：</w:t>
      </w:r>
    </w:p>
    <w:p>
      <w:pPr>
        <w:spacing w:line="360" w:lineRule="auto"/>
        <w:rPr>
          <w:sz w:val="24"/>
        </w:rPr>
      </w:pPr>
      <w:r>
        <w:rPr>
          <w:rFonts w:hint="eastAsia" w:cs="宋体"/>
          <w:sz w:val="24"/>
        </w:rPr>
        <w:t>签订时间：</w:t>
      </w:r>
      <w:r>
        <w:rPr>
          <w:sz w:val="24"/>
          <w:u w:val="single"/>
        </w:rPr>
        <w:t xml:space="preserve">         年       月       日</w:t>
      </w:r>
    </w:p>
    <w:p>
      <w:pPr>
        <w:widowControl/>
        <w:jc w:val="left"/>
        <w:rPr>
          <w:rFonts w:hint="eastAsia" w:ascii="黑体" w:hAnsi="黑体" w:eastAsia="黑体" w:cstheme="minorEastAsia"/>
          <w:sz w:val="24"/>
          <w:szCs w:val="24"/>
          <w:highlight w:val="red"/>
        </w:rPr>
      </w:pPr>
      <w:bookmarkStart w:id="214" w:name="_Toc24307"/>
      <w:bookmarkStart w:id="215" w:name="_Toc1342896447"/>
      <w:bookmarkStart w:id="216" w:name="_Toc1499365956"/>
      <w:bookmarkStart w:id="217" w:name="_Toc11004"/>
      <w:bookmarkStart w:id="218" w:name="_Toc21321"/>
      <w:r>
        <w:rPr>
          <w:rFonts w:ascii="黑体" w:hAnsi="黑体" w:eastAsia="黑体" w:cstheme="minorEastAsia"/>
          <w:sz w:val="24"/>
          <w:szCs w:val="24"/>
        </w:rPr>
        <w:t>附件一：设备清单明细表</w:t>
      </w:r>
      <w:bookmarkEnd w:id="214"/>
      <w:bookmarkEnd w:id="215"/>
      <w:bookmarkEnd w:id="216"/>
      <w:bookmarkEnd w:id="217"/>
      <w:bookmarkEnd w:id="218"/>
    </w:p>
    <w:tbl>
      <w:tblPr>
        <w:tblStyle w:val="50"/>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44"/>
        <w:gridCol w:w="3030"/>
        <w:gridCol w:w="751"/>
        <w:gridCol w:w="750"/>
        <w:gridCol w:w="815"/>
        <w:gridCol w:w="87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53" w:type="dxa"/>
            <w:vAlign w:val="center"/>
          </w:tcPr>
          <w:p>
            <w:pPr>
              <w:pStyle w:val="39"/>
              <w:keepNext w:val="0"/>
              <w:keepLines w:val="0"/>
              <w:suppressLineNumbers w:val="0"/>
              <w:spacing w:before="0" w:beforeAutospacing="0" w:afterAutospacing="0"/>
              <w:ind w:left="0" w:right="0" w:firstLine="0" w:firstLineChars="0"/>
              <w:jc w:val="center"/>
              <w:rPr>
                <w:rFonts w:hint="default" w:eastAsia="仿宋_GB2312"/>
                <w:sz w:val="24"/>
                <w:szCs w:val="24"/>
              </w:rPr>
            </w:pPr>
            <w:r>
              <w:rPr>
                <w:rFonts w:hint="default" w:eastAsia="仿宋_GB2312"/>
                <w:sz w:val="24"/>
                <w:szCs w:val="24"/>
              </w:rPr>
              <w:t>序号</w:t>
            </w:r>
          </w:p>
        </w:tc>
        <w:tc>
          <w:tcPr>
            <w:tcW w:w="1444"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default" w:eastAsia="仿宋_GB2312"/>
                <w:sz w:val="24"/>
                <w:szCs w:val="24"/>
              </w:rPr>
              <w:t>产品及部件名称</w:t>
            </w:r>
          </w:p>
        </w:tc>
        <w:tc>
          <w:tcPr>
            <w:tcW w:w="3030" w:type="dxa"/>
            <w:vAlign w:val="center"/>
          </w:tcPr>
          <w:p>
            <w:pPr>
              <w:pStyle w:val="39"/>
              <w:keepNext w:val="0"/>
              <w:keepLines w:val="0"/>
              <w:suppressLineNumbers w:val="0"/>
              <w:spacing w:before="0" w:beforeAutospacing="0" w:afterAutospacing="0"/>
              <w:ind w:left="0" w:right="0" w:firstLine="0" w:firstLineChars="0"/>
              <w:jc w:val="center"/>
              <w:rPr>
                <w:rFonts w:hint="default" w:eastAsia="仿宋_GB2312"/>
                <w:sz w:val="24"/>
                <w:szCs w:val="24"/>
              </w:rPr>
            </w:pPr>
            <w:r>
              <w:rPr>
                <w:rFonts w:hint="default" w:eastAsia="仿宋_GB2312"/>
                <w:sz w:val="24"/>
                <w:szCs w:val="24"/>
              </w:rPr>
              <w:t>规格型号及技术参数</w:t>
            </w:r>
          </w:p>
        </w:tc>
        <w:tc>
          <w:tcPr>
            <w:tcW w:w="751" w:type="dxa"/>
            <w:vAlign w:val="center"/>
          </w:tcPr>
          <w:p>
            <w:pPr>
              <w:pStyle w:val="39"/>
              <w:keepNext w:val="0"/>
              <w:keepLines w:val="0"/>
              <w:suppressLineNumbers w:val="0"/>
              <w:spacing w:before="0" w:beforeAutospacing="0" w:afterAutospacing="0"/>
              <w:ind w:left="0" w:right="0" w:firstLine="0" w:firstLineChars="0"/>
              <w:jc w:val="center"/>
              <w:rPr>
                <w:rFonts w:hint="default" w:eastAsia="仿宋_GB2312"/>
                <w:sz w:val="24"/>
                <w:szCs w:val="24"/>
              </w:rPr>
            </w:pPr>
            <w:r>
              <w:rPr>
                <w:rFonts w:hint="default" w:eastAsia="仿宋_GB2312"/>
                <w:sz w:val="24"/>
                <w:szCs w:val="24"/>
              </w:rPr>
              <w:t>单位</w:t>
            </w:r>
          </w:p>
        </w:tc>
        <w:tc>
          <w:tcPr>
            <w:tcW w:w="750" w:type="dxa"/>
            <w:vAlign w:val="center"/>
          </w:tcPr>
          <w:p>
            <w:pPr>
              <w:pStyle w:val="39"/>
              <w:keepNext w:val="0"/>
              <w:keepLines w:val="0"/>
              <w:suppressLineNumbers w:val="0"/>
              <w:spacing w:before="0" w:beforeAutospacing="0" w:afterAutospacing="0"/>
              <w:ind w:left="0" w:right="0" w:firstLine="0" w:firstLineChars="0"/>
              <w:jc w:val="center"/>
              <w:rPr>
                <w:rFonts w:hint="default" w:eastAsia="仿宋_GB2312"/>
                <w:sz w:val="24"/>
                <w:szCs w:val="24"/>
              </w:rPr>
            </w:pPr>
            <w:r>
              <w:rPr>
                <w:rFonts w:hint="eastAsia" w:eastAsia="仿宋_GB2312"/>
                <w:sz w:val="24"/>
                <w:szCs w:val="24"/>
              </w:rPr>
              <w:t>单台</w:t>
            </w:r>
            <w:r>
              <w:rPr>
                <w:rFonts w:hint="default" w:eastAsia="仿宋_GB2312"/>
                <w:sz w:val="24"/>
                <w:szCs w:val="24"/>
              </w:rPr>
              <w:t>数量</w:t>
            </w:r>
          </w:p>
        </w:tc>
        <w:tc>
          <w:tcPr>
            <w:tcW w:w="815" w:type="dxa"/>
            <w:vAlign w:val="center"/>
          </w:tcPr>
          <w:p>
            <w:pPr>
              <w:pStyle w:val="39"/>
              <w:keepNext w:val="0"/>
              <w:keepLines w:val="0"/>
              <w:suppressLineNumbers w:val="0"/>
              <w:spacing w:before="0" w:beforeAutospacing="0" w:afterAutospacing="0"/>
              <w:ind w:left="0" w:right="0" w:firstLine="0" w:firstLineChars="0"/>
              <w:jc w:val="center"/>
              <w:rPr>
                <w:rFonts w:hint="default" w:eastAsia="仿宋_GB2312"/>
                <w:sz w:val="24"/>
                <w:szCs w:val="24"/>
              </w:rPr>
            </w:pPr>
            <w:r>
              <w:rPr>
                <w:rFonts w:hint="eastAsia" w:eastAsia="仿宋_GB2312"/>
                <w:sz w:val="24"/>
                <w:szCs w:val="24"/>
              </w:rPr>
              <w:t>总量</w:t>
            </w:r>
          </w:p>
        </w:tc>
        <w:tc>
          <w:tcPr>
            <w:tcW w:w="874" w:type="dxa"/>
            <w:vAlign w:val="center"/>
          </w:tcPr>
          <w:p>
            <w:pPr>
              <w:pStyle w:val="39"/>
              <w:keepNext w:val="0"/>
              <w:keepLines w:val="0"/>
              <w:suppressLineNumbers w:val="0"/>
              <w:spacing w:before="0" w:beforeAutospacing="0" w:afterAutospacing="0"/>
              <w:ind w:left="0" w:right="0" w:firstLine="0" w:firstLineChars="0"/>
              <w:jc w:val="center"/>
              <w:rPr>
                <w:rFonts w:hint="default" w:eastAsia="仿宋_GB2312"/>
                <w:sz w:val="24"/>
                <w:szCs w:val="24"/>
              </w:rPr>
            </w:pPr>
            <w:r>
              <w:rPr>
                <w:rFonts w:hint="default" w:eastAsia="仿宋_GB2312"/>
                <w:sz w:val="24"/>
                <w:szCs w:val="24"/>
              </w:rPr>
              <w:t>总价(元)</w:t>
            </w:r>
          </w:p>
        </w:tc>
        <w:tc>
          <w:tcPr>
            <w:tcW w:w="1186"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default" w:eastAsia="仿宋_GB2312"/>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53"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1444"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智能无代码编程视觉传感系统</w:t>
            </w:r>
          </w:p>
        </w:tc>
        <w:tc>
          <w:tcPr>
            <w:tcW w:w="303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视觉传感空间分辨率达到0.1mm</w:t>
            </w:r>
          </w:p>
        </w:tc>
        <w:tc>
          <w:tcPr>
            <w:tcW w:w="751"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750"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81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highlight w:val="none"/>
              </w:rPr>
            </w:pPr>
          </w:p>
        </w:tc>
        <w:tc>
          <w:tcPr>
            <w:tcW w:w="1186" w:type="dxa"/>
            <w:vAlign w:val="center"/>
          </w:tcPr>
          <w:p>
            <w:pPr>
              <w:keepNext w:val="0"/>
              <w:keepLines w:val="0"/>
              <w:suppressLineNumbers w:val="0"/>
              <w:spacing w:before="0" w:beforeAutospacing="0" w:after="0" w:afterAutospacing="0"/>
              <w:ind w:left="0" w:right="0"/>
              <w:jc w:val="center"/>
              <w:rPr>
                <w:rFonts w:hint="default" w:eastAsia="仿宋_GB2312"/>
                <w:sz w:val="24"/>
                <w:szCs w:val="24"/>
                <w:highlight w:val="none"/>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3"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2</w:t>
            </w:r>
          </w:p>
        </w:tc>
        <w:tc>
          <w:tcPr>
            <w:tcW w:w="1444"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传感器支架及防护装置</w:t>
            </w:r>
          </w:p>
        </w:tc>
        <w:tc>
          <w:tcPr>
            <w:tcW w:w="303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IP防护等级不低于IP65</w:t>
            </w:r>
          </w:p>
        </w:tc>
        <w:tc>
          <w:tcPr>
            <w:tcW w:w="751"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750"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81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rPr>
            </w:pPr>
          </w:p>
        </w:tc>
        <w:tc>
          <w:tcPr>
            <w:tcW w:w="118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3"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3</w:t>
            </w:r>
          </w:p>
        </w:tc>
        <w:tc>
          <w:tcPr>
            <w:tcW w:w="1444"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智能无代码编程控制器</w:t>
            </w:r>
          </w:p>
        </w:tc>
        <w:tc>
          <w:tcPr>
            <w:tcW w:w="303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可通过触控UI实现工艺参数的选择和示教点的删减修改</w:t>
            </w:r>
          </w:p>
        </w:tc>
        <w:tc>
          <w:tcPr>
            <w:tcW w:w="751"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台</w:t>
            </w:r>
          </w:p>
        </w:tc>
        <w:tc>
          <w:tcPr>
            <w:tcW w:w="750"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81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rPr>
            </w:pPr>
          </w:p>
        </w:tc>
        <w:tc>
          <w:tcPr>
            <w:tcW w:w="118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3"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bookmarkStart w:id="219" w:name="_Toc16330037"/>
            <w:bookmarkStart w:id="220" w:name="_Toc3778"/>
            <w:bookmarkStart w:id="221" w:name="_Toc5379"/>
            <w:bookmarkStart w:id="222" w:name="_Toc24623"/>
            <w:bookmarkStart w:id="223" w:name="_Toc25120"/>
            <w:r>
              <w:rPr>
                <w:rFonts w:hint="eastAsia" w:eastAsia="仿宋_GB2312"/>
                <w:sz w:val="24"/>
                <w:szCs w:val="24"/>
              </w:rPr>
              <w:t>4</w:t>
            </w:r>
          </w:p>
        </w:tc>
        <w:tc>
          <w:tcPr>
            <w:tcW w:w="1444"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u w:val="single"/>
              </w:rPr>
            </w:pPr>
            <w:r>
              <w:rPr>
                <w:rFonts w:hint="eastAsia" w:eastAsia="仿宋_GB2312"/>
                <w:sz w:val="24"/>
                <w:szCs w:val="24"/>
              </w:rPr>
              <w:t>无代码编程系统标定工具模块</w:t>
            </w:r>
          </w:p>
        </w:tc>
        <w:tc>
          <w:tcPr>
            <w:tcW w:w="303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基于预设规则或AI算法自动完成设备校准</w:t>
            </w:r>
          </w:p>
        </w:tc>
        <w:tc>
          <w:tcPr>
            <w:tcW w:w="751"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个</w:t>
            </w:r>
          </w:p>
        </w:tc>
        <w:tc>
          <w:tcPr>
            <w:tcW w:w="750"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81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highlight w:val="none"/>
              </w:rPr>
            </w:pPr>
          </w:p>
        </w:tc>
        <w:tc>
          <w:tcPr>
            <w:tcW w:w="1186" w:type="dxa"/>
            <w:vAlign w:val="center"/>
          </w:tcPr>
          <w:p>
            <w:pPr>
              <w:keepNext w:val="0"/>
              <w:keepLines w:val="0"/>
              <w:suppressLineNumbers w:val="0"/>
              <w:spacing w:before="0" w:beforeAutospacing="0" w:after="0" w:afterAutospacing="0"/>
              <w:ind w:left="0" w:right="0"/>
              <w:jc w:val="center"/>
              <w:rPr>
                <w:rFonts w:hint="default" w:eastAsia="仿宋_GB2312"/>
                <w:sz w:val="24"/>
                <w:szCs w:val="24"/>
                <w:highlight w:val="none"/>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53"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5</w:t>
            </w:r>
          </w:p>
        </w:tc>
        <w:tc>
          <w:tcPr>
            <w:tcW w:w="1444"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sz w:val="24"/>
                <w:szCs w:val="24"/>
                <w:u w:val="single"/>
              </w:rPr>
            </w:pPr>
            <w:r>
              <w:rPr>
                <w:rFonts w:hint="eastAsia" w:eastAsia="仿宋_GB2312"/>
                <w:sz w:val="24"/>
                <w:szCs w:val="24"/>
              </w:rPr>
              <w:t>无线触控式焊枪仿型引导工具</w:t>
            </w:r>
          </w:p>
        </w:tc>
        <w:tc>
          <w:tcPr>
            <w:tcW w:w="303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与焊枪模型一致，具有良好的人机工程，重量≤0.5kg</w:t>
            </w:r>
          </w:p>
        </w:tc>
        <w:tc>
          <w:tcPr>
            <w:tcW w:w="751"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750"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81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rPr>
            </w:pPr>
          </w:p>
        </w:tc>
        <w:tc>
          <w:tcPr>
            <w:tcW w:w="118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3"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1444"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移动滑台驱动设备</w:t>
            </w:r>
          </w:p>
        </w:tc>
        <w:tc>
          <w:tcPr>
            <w:tcW w:w="303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color w:val="000000"/>
                <w:kern w:val="0"/>
                <w:sz w:val="24"/>
                <w:szCs w:val="24"/>
                <w:highlight w:val="none"/>
              </w:rPr>
              <w:t>定位精度为</w:t>
            </w:r>
            <w:r>
              <w:rPr>
                <w:rFonts w:hint="default" w:eastAsia="仿宋_GB2312"/>
                <w:color w:val="000000"/>
                <w:kern w:val="0"/>
                <w:sz w:val="24"/>
                <w:szCs w:val="24"/>
                <w:highlight w:val="none"/>
              </w:rPr>
              <w:t>±0.</w:t>
            </w:r>
            <w:r>
              <w:rPr>
                <w:rFonts w:hint="eastAsia" w:eastAsia="仿宋_GB2312"/>
                <w:color w:val="000000"/>
                <w:kern w:val="0"/>
                <w:sz w:val="24"/>
                <w:szCs w:val="24"/>
                <w:highlight w:val="none"/>
              </w:rPr>
              <w:t>2</w:t>
            </w:r>
            <w:r>
              <w:rPr>
                <w:rFonts w:hint="default" w:eastAsia="仿宋_GB2312"/>
                <w:color w:val="000000"/>
                <w:kern w:val="0"/>
                <w:sz w:val="24"/>
                <w:szCs w:val="24"/>
                <w:highlight w:val="none"/>
              </w:rPr>
              <w:t xml:space="preserve"> mm</w:t>
            </w:r>
          </w:p>
        </w:tc>
        <w:tc>
          <w:tcPr>
            <w:tcW w:w="751"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台</w:t>
            </w:r>
          </w:p>
        </w:tc>
        <w:tc>
          <w:tcPr>
            <w:tcW w:w="750"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81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rPr>
            </w:pPr>
          </w:p>
        </w:tc>
        <w:tc>
          <w:tcPr>
            <w:tcW w:w="1186" w:type="dxa"/>
            <w:vAlign w:val="center"/>
          </w:tcPr>
          <w:p>
            <w:pPr>
              <w:keepNext w:val="0"/>
              <w:keepLines w:val="0"/>
              <w:suppressLineNumbers w:val="0"/>
              <w:spacing w:before="0" w:beforeAutospacing="0" w:after="0" w:afterAutospacing="0"/>
              <w:ind w:left="0" w:right="0"/>
              <w:jc w:val="center"/>
              <w:rPr>
                <w:rFonts w:hint="eastAsia" w:eastAsia="仿宋_GB2312"/>
                <w:sz w:val="24"/>
                <w:szCs w:val="24"/>
                <w:lang w:val="en-US" w:eastAsia="zh-CN"/>
              </w:rPr>
            </w:pPr>
            <w:r>
              <w:rPr>
                <w:rFonts w:hint="eastAsia" w:eastAsia="仿宋_GB2312"/>
                <w:bCs/>
                <w:color w:val="000000"/>
                <w:kern w:val="0"/>
                <w:sz w:val="24"/>
                <w:szCs w:val="24"/>
              </w:rPr>
              <w:t>松下、西门子、安川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53"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7</w:t>
            </w:r>
          </w:p>
        </w:tc>
        <w:tc>
          <w:tcPr>
            <w:tcW w:w="1444"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工控机系统</w:t>
            </w:r>
          </w:p>
        </w:tc>
        <w:tc>
          <w:tcPr>
            <w:tcW w:w="303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支持7×24小时不间断运行，硬件设计具备抗干扰、抗振动、防尘防潮能力</w:t>
            </w:r>
          </w:p>
        </w:tc>
        <w:tc>
          <w:tcPr>
            <w:tcW w:w="751"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750"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1</w:t>
            </w:r>
          </w:p>
        </w:tc>
        <w:tc>
          <w:tcPr>
            <w:tcW w:w="81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rPr>
            </w:pPr>
          </w:p>
        </w:tc>
        <w:tc>
          <w:tcPr>
            <w:tcW w:w="118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rPr>
              <w:t>研华、华北工控、汇川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878" w:type="dxa"/>
            <w:gridSpan w:val="4"/>
            <w:vAlign w:val="center"/>
          </w:tcPr>
          <w:p>
            <w:pPr>
              <w:pStyle w:val="39"/>
              <w:keepNext w:val="0"/>
              <w:keepLines w:val="0"/>
              <w:suppressLineNumbers w:val="0"/>
              <w:spacing w:before="0" w:beforeAutospacing="0" w:afterAutospacing="0"/>
              <w:ind w:left="480" w:right="0" w:hanging="480"/>
              <w:jc w:val="center"/>
              <w:rPr>
                <w:rFonts w:hint="eastAsia" w:eastAsia="仿宋_GB2312"/>
                <w:sz w:val="24"/>
                <w:szCs w:val="24"/>
                <w:lang w:val="en-US" w:eastAsia="zh-CN"/>
              </w:rPr>
            </w:pPr>
            <w:r>
              <w:rPr>
                <w:rFonts w:hint="eastAsia" w:eastAsia="仿宋_GB2312"/>
                <w:sz w:val="24"/>
                <w:szCs w:val="24"/>
                <w:lang w:val="en-US" w:eastAsia="zh-CN"/>
              </w:rPr>
              <w:t>合计</w:t>
            </w:r>
          </w:p>
        </w:tc>
        <w:tc>
          <w:tcPr>
            <w:tcW w:w="750" w:type="dxa"/>
            <w:vAlign w:val="center"/>
          </w:tcPr>
          <w:p>
            <w:pPr>
              <w:pStyle w:val="39"/>
              <w:keepNext w:val="0"/>
              <w:keepLines w:val="0"/>
              <w:suppressLineNumbers w:val="0"/>
              <w:spacing w:before="0" w:beforeAutospacing="0" w:afterAutospacing="0"/>
              <w:ind w:left="480" w:right="0" w:hanging="480"/>
              <w:jc w:val="center"/>
              <w:rPr>
                <w:rFonts w:hint="eastAsia" w:eastAsia="仿宋_GB2312"/>
                <w:sz w:val="24"/>
                <w:szCs w:val="24"/>
              </w:rPr>
            </w:pPr>
          </w:p>
        </w:tc>
        <w:tc>
          <w:tcPr>
            <w:tcW w:w="815" w:type="dxa"/>
            <w:vAlign w:val="center"/>
          </w:tcPr>
          <w:p>
            <w:pPr>
              <w:pStyle w:val="39"/>
              <w:keepNext w:val="0"/>
              <w:keepLines w:val="0"/>
              <w:suppressLineNumbers w:val="0"/>
              <w:spacing w:before="0" w:beforeAutospacing="0" w:afterAutospacing="0"/>
              <w:ind w:left="480" w:right="0" w:hanging="480"/>
              <w:jc w:val="center"/>
              <w:rPr>
                <w:rFonts w:hint="eastAsia" w:eastAsia="仿宋_GB2312"/>
                <w:sz w:val="24"/>
                <w:szCs w:val="24"/>
              </w:rPr>
            </w:pPr>
          </w:p>
        </w:tc>
        <w:tc>
          <w:tcPr>
            <w:tcW w:w="874" w:type="dxa"/>
          </w:tcPr>
          <w:p>
            <w:pPr>
              <w:pStyle w:val="39"/>
              <w:keepNext w:val="0"/>
              <w:keepLines w:val="0"/>
              <w:suppressLineNumbers w:val="0"/>
              <w:spacing w:before="0" w:beforeAutospacing="0" w:afterAutospacing="0"/>
              <w:ind w:left="400" w:right="0" w:hanging="400"/>
              <w:jc w:val="center"/>
              <w:rPr>
                <w:rFonts w:hint="default" w:eastAsia="仿宋"/>
                <w:color w:val="000000"/>
                <w:kern w:val="0"/>
                <w:sz w:val="20"/>
                <w:szCs w:val="20"/>
              </w:rPr>
            </w:pPr>
          </w:p>
        </w:tc>
        <w:tc>
          <w:tcPr>
            <w:tcW w:w="1186" w:type="dxa"/>
            <w:vAlign w:val="center"/>
          </w:tcPr>
          <w:p>
            <w:pPr>
              <w:keepNext w:val="0"/>
              <w:keepLines w:val="0"/>
              <w:suppressLineNumbers w:val="0"/>
              <w:spacing w:before="0" w:beforeAutospacing="0" w:after="0" w:afterAutospacing="0"/>
              <w:ind w:left="0" w:right="0"/>
              <w:jc w:val="center"/>
              <w:rPr>
                <w:rFonts w:hint="eastAsia" w:eastAsia="仿宋_GB2312"/>
                <w:sz w:val="24"/>
                <w:szCs w:val="24"/>
              </w:rPr>
            </w:pPr>
          </w:p>
        </w:tc>
      </w:tr>
    </w:tbl>
    <w:p>
      <w:pPr>
        <w:tabs>
          <w:tab w:val="right" w:leader="dot" w:pos="9061"/>
        </w:tabs>
        <w:spacing w:line="360" w:lineRule="auto"/>
        <w:rPr>
          <w:rFonts w:eastAsia="黑体"/>
          <w:sz w:val="24"/>
          <w:szCs w:val="24"/>
        </w:rPr>
      </w:pPr>
      <w:r>
        <w:rPr>
          <w:rFonts w:eastAsia="黑体"/>
          <w:sz w:val="24"/>
          <w:szCs w:val="24"/>
        </w:rPr>
        <w:t>附件二：备品备件、易损件和专用耗材价格表</w:t>
      </w:r>
    </w:p>
    <w:tbl>
      <w:tblPr>
        <w:tblStyle w:val="5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837"/>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default" w:eastAsia="仿宋_GB2312"/>
                <w:b/>
                <w:sz w:val="24"/>
                <w:szCs w:val="24"/>
              </w:rPr>
            </w:pPr>
            <w:r>
              <w:rPr>
                <w:rFonts w:hint="default" w:eastAsia="仿宋_GB2312"/>
                <w:b/>
                <w:sz w:val="24"/>
                <w:szCs w:val="24"/>
              </w:rPr>
              <w:t>序号</w:t>
            </w:r>
          </w:p>
        </w:tc>
        <w:tc>
          <w:tcPr>
            <w:tcW w:w="283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default" w:eastAsia="仿宋_GB2312"/>
                <w:b/>
                <w:sz w:val="24"/>
                <w:szCs w:val="24"/>
              </w:rPr>
            </w:pPr>
            <w:r>
              <w:rPr>
                <w:rFonts w:hint="default"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default" w:eastAsia="仿宋_GB2312"/>
                <w:b/>
                <w:sz w:val="24"/>
                <w:szCs w:val="24"/>
              </w:rPr>
            </w:pPr>
            <w:r>
              <w:rPr>
                <w:rFonts w:hint="default" w:eastAsia="仿宋_GB2312"/>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default" w:eastAsia="仿宋_GB2312"/>
                <w:b/>
                <w:sz w:val="24"/>
                <w:szCs w:val="24"/>
              </w:rPr>
            </w:pPr>
            <w:r>
              <w:rPr>
                <w:rFonts w:hint="default" w:eastAsia="仿宋_GB2312"/>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default" w:eastAsia="仿宋_GB2312"/>
                <w:b/>
                <w:sz w:val="24"/>
                <w:szCs w:val="24"/>
              </w:rPr>
            </w:pPr>
            <w:r>
              <w:rPr>
                <w:rFonts w:hint="default" w:eastAsia="仿宋_GB2312"/>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default" w:eastAsia="仿宋_GB2312"/>
                <w:b/>
                <w:sz w:val="24"/>
                <w:szCs w:val="24"/>
              </w:rPr>
            </w:pPr>
            <w:r>
              <w:rPr>
                <w:rFonts w:hint="default" w:eastAsia="仿宋_GB2312"/>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default" w:eastAsia="仿宋_GB2312"/>
                <w:b/>
                <w:sz w:val="24"/>
                <w:szCs w:val="24"/>
              </w:rPr>
            </w:pPr>
            <w:r>
              <w:rPr>
                <w:rFonts w:hint="default"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default" w:eastAsia="仿宋_GB2312"/>
                <w:sz w:val="24"/>
                <w:szCs w:val="24"/>
              </w:rPr>
              <w:t>1</w:t>
            </w:r>
          </w:p>
        </w:tc>
        <w:tc>
          <w:tcPr>
            <w:tcW w:w="283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default" w:eastAsia="仿宋_GB2312"/>
                <w:sz w:val="24"/>
                <w:szCs w:val="24"/>
              </w:rPr>
              <w:t>2</w:t>
            </w:r>
          </w:p>
        </w:tc>
        <w:tc>
          <w:tcPr>
            <w:tcW w:w="283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default" w:eastAsia="仿宋_GB2312"/>
                <w:sz w:val="24"/>
                <w:szCs w:val="24"/>
              </w:rPr>
              <w:t>…</w:t>
            </w:r>
          </w:p>
        </w:tc>
        <w:tc>
          <w:tcPr>
            <w:tcW w:w="283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529" w:type="dxa"/>
            <w:gridSpan w:val="3"/>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default" w:eastAsia="仿宋_GB2312"/>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szCs w:val="24"/>
              </w:rPr>
            </w:pPr>
          </w:p>
        </w:tc>
      </w:tr>
    </w:tbl>
    <w:p>
      <w:pPr>
        <w:pStyle w:val="31"/>
        <w:rPr>
          <w:rFonts w:eastAsia="仿宋_GB2312"/>
          <w:szCs w:val="24"/>
        </w:rPr>
      </w:pPr>
      <w:r>
        <w:rPr>
          <w:rFonts w:eastAsia="仿宋_GB2312"/>
          <w:b/>
          <w:szCs w:val="24"/>
        </w:rPr>
        <w:t>注：</w:t>
      </w:r>
      <w:r>
        <w:rPr>
          <w:rFonts w:hint="eastAsia" w:ascii="仿宋_GB2312" w:eastAsia="仿宋_GB2312"/>
          <w:kern w:val="2"/>
          <w:szCs w:val="24"/>
          <w:lang w:bidi="ar"/>
        </w:rPr>
        <w:t>1、此处约定卖方需免费提供的备品备件、易损件和专用耗材数量，是买方为保证设备完成终验收之后正常运行两个月所自备自用的备品备件、易损件和专用耗材。</w:t>
      </w:r>
    </w:p>
    <w:p>
      <w:pPr>
        <w:pStyle w:val="31"/>
        <w:rPr>
          <w:rFonts w:eastAsiaTheme="minorEastAsia"/>
          <w:sz w:val="20"/>
        </w:rPr>
      </w:pPr>
      <w:r>
        <w:rPr>
          <w:rFonts w:eastAsia="仿宋_GB2312"/>
          <w:szCs w:val="24"/>
        </w:rPr>
        <w:t xml:space="preserve">    2、建议更换周期：卖方充分考虑买方现场施工环境给出的时间区间。</w:t>
      </w:r>
    </w:p>
    <w:p>
      <w:pPr>
        <w:tabs>
          <w:tab w:val="right" w:leader="dot" w:pos="9061"/>
        </w:tabs>
        <w:spacing w:line="360" w:lineRule="auto"/>
        <w:rPr>
          <w:rFonts w:hint="eastAsia" w:ascii="黑体" w:hAnsi="黑体" w:eastAsia="黑体" w:cstheme="minorEastAsia"/>
          <w:sz w:val="24"/>
          <w:szCs w:val="24"/>
        </w:rPr>
      </w:pPr>
      <w:r>
        <w:rPr>
          <w:rFonts w:hint="eastAsia" w:ascii="黑体" w:hAnsi="黑体" w:eastAsia="黑体" w:cstheme="minorEastAsia"/>
          <w:sz w:val="24"/>
          <w:szCs w:val="24"/>
        </w:rPr>
        <w:t>附件三：技术资料范围</w:t>
      </w:r>
    </w:p>
    <w:tbl>
      <w:tblPr>
        <w:tblStyle w:val="5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5"/>
        <w:gridCol w:w="2484"/>
        <w:gridCol w:w="1870"/>
        <w:gridCol w:w="73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2" w:type="dxa"/>
            <w:vAlign w:val="center"/>
          </w:tcPr>
          <w:p>
            <w:pPr>
              <w:pStyle w:val="39"/>
              <w:keepNext w:val="0"/>
              <w:keepLines w:val="0"/>
              <w:suppressLineNumbers w:val="0"/>
              <w:spacing w:before="0" w:beforeAutospacing="0" w:afterAutospacing="0"/>
              <w:ind w:left="482" w:right="0" w:hanging="482"/>
              <w:jc w:val="center"/>
              <w:rPr>
                <w:rFonts w:hint="eastAsia" w:ascii="仿宋_GB2312" w:hAnsi="宋体" w:eastAsia="仿宋_GB2312"/>
                <w:b/>
                <w:sz w:val="24"/>
                <w:szCs w:val="24"/>
              </w:rPr>
            </w:pPr>
            <w:r>
              <w:rPr>
                <w:rFonts w:hint="eastAsia" w:ascii="仿宋_GB2312" w:hAnsi="宋体" w:eastAsia="仿宋_GB2312"/>
                <w:b/>
                <w:sz w:val="24"/>
                <w:szCs w:val="24"/>
              </w:rPr>
              <w:t>序号</w:t>
            </w:r>
          </w:p>
        </w:tc>
        <w:tc>
          <w:tcPr>
            <w:tcW w:w="1215" w:type="dxa"/>
            <w:vAlign w:val="center"/>
          </w:tcPr>
          <w:p>
            <w:pPr>
              <w:pStyle w:val="39"/>
              <w:keepNext w:val="0"/>
              <w:keepLines w:val="0"/>
              <w:suppressLineNumbers w:val="0"/>
              <w:spacing w:before="0" w:beforeAutospacing="0" w:afterAutospacing="0"/>
              <w:ind w:left="402" w:right="0" w:hanging="402" w:firstLineChars="0"/>
              <w:jc w:val="center"/>
              <w:rPr>
                <w:rFonts w:hint="eastAsia" w:ascii="仿宋_GB2312" w:hAnsi="宋体" w:eastAsia="仿宋_GB2312"/>
                <w:b/>
                <w:sz w:val="24"/>
                <w:szCs w:val="24"/>
              </w:rPr>
            </w:pPr>
            <w:r>
              <w:rPr>
                <w:rFonts w:hint="eastAsia" w:ascii="仿宋_GB2312" w:hAnsi="宋体" w:eastAsia="仿宋_GB2312"/>
                <w:b/>
                <w:sz w:val="24"/>
                <w:szCs w:val="24"/>
              </w:rPr>
              <w:t>名称</w:t>
            </w:r>
          </w:p>
        </w:tc>
        <w:tc>
          <w:tcPr>
            <w:tcW w:w="2484" w:type="dxa"/>
            <w:vAlign w:val="center"/>
          </w:tcPr>
          <w:p>
            <w:pPr>
              <w:pStyle w:val="39"/>
              <w:keepNext w:val="0"/>
              <w:keepLines w:val="0"/>
              <w:suppressLineNumbers w:val="0"/>
              <w:spacing w:before="0" w:beforeAutospacing="0" w:afterAutospacing="0"/>
              <w:ind w:left="482" w:right="0" w:hanging="482"/>
              <w:jc w:val="center"/>
              <w:rPr>
                <w:rFonts w:hint="eastAsia" w:ascii="仿宋_GB2312" w:hAnsi="宋体" w:eastAsia="仿宋_GB2312"/>
                <w:b/>
                <w:sz w:val="24"/>
                <w:szCs w:val="24"/>
              </w:rPr>
            </w:pPr>
            <w:r>
              <w:rPr>
                <w:rFonts w:hint="eastAsia" w:ascii="仿宋_GB2312" w:hAnsi="宋体" w:eastAsia="仿宋_GB2312"/>
                <w:b/>
                <w:sz w:val="24"/>
                <w:szCs w:val="24"/>
              </w:rPr>
              <w:t>主要内容</w:t>
            </w:r>
          </w:p>
        </w:tc>
        <w:tc>
          <w:tcPr>
            <w:tcW w:w="1870" w:type="dxa"/>
            <w:vAlign w:val="center"/>
          </w:tcPr>
          <w:p>
            <w:pPr>
              <w:pStyle w:val="39"/>
              <w:keepNext w:val="0"/>
              <w:keepLines w:val="0"/>
              <w:suppressLineNumbers w:val="0"/>
              <w:spacing w:before="0" w:beforeAutospacing="0" w:afterAutospacing="0"/>
              <w:ind w:left="482" w:right="0" w:hanging="482"/>
              <w:jc w:val="center"/>
              <w:rPr>
                <w:rFonts w:hint="eastAsia" w:ascii="仿宋_GB2312" w:hAnsi="宋体" w:eastAsia="仿宋_GB2312"/>
                <w:b/>
                <w:sz w:val="24"/>
                <w:szCs w:val="24"/>
              </w:rPr>
            </w:pPr>
            <w:r>
              <w:rPr>
                <w:rFonts w:hint="eastAsia" w:ascii="仿宋_GB2312" w:hAnsi="宋体" w:eastAsia="仿宋_GB2312"/>
                <w:b/>
                <w:sz w:val="24"/>
                <w:szCs w:val="24"/>
              </w:rPr>
              <w:t>提供形式</w:t>
            </w:r>
          </w:p>
        </w:tc>
        <w:tc>
          <w:tcPr>
            <w:tcW w:w="738" w:type="dxa"/>
            <w:vAlign w:val="center"/>
          </w:tcPr>
          <w:p>
            <w:pPr>
              <w:pStyle w:val="39"/>
              <w:keepNext w:val="0"/>
              <w:keepLines w:val="0"/>
              <w:suppressLineNumbers w:val="0"/>
              <w:spacing w:before="0" w:beforeAutospacing="0" w:afterAutospacing="0"/>
              <w:ind w:left="400" w:right="0" w:hanging="400" w:firstLineChars="0"/>
              <w:jc w:val="center"/>
              <w:rPr>
                <w:rFonts w:hint="eastAsia" w:ascii="仿宋_GB2312" w:hAnsi="宋体" w:eastAsia="仿宋_GB2312"/>
                <w:b/>
                <w:sz w:val="24"/>
                <w:szCs w:val="24"/>
              </w:rPr>
            </w:pPr>
            <w:r>
              <w:rPr>
                <w:rFonts w:hint="eastAsia" w:ascii="仿宋_GB2312" w:hAnsi="宋体" w:eastAsia="仿宋_GB2312"/>
                <w:b/>
                <w:sz w:val="24"/>
                <w:szCs w:val="24"/>
              </w:rPr>
              <w:t>数量</w:t>
            </w:r>
          </w:p>
        </w:tc>
        <w:tc>
          <w:tcPr>
            <w:tcW w:w="2326" w:type="dxa"/>
            <w:vAlign w:val="center"/>
          </w:tcPr>
          <w:p>
            <w:pPr>
              <w:pStyle w:val="39"/>
              <w:keepNext w:val="0"/>
              <w:keepLines w:val="0"/>
              <w:suppressLineNumbers w:val="0"/>
              <w:spacing w:before="0" w:beforeAutospacing="0" w:afterAutospacing="0"/>
              <w:ind w:left="482" w:right="0" w:hanging="482"/>
              <w:jc w:val="center"/>
              <w:rPr>
                <w:rFonts w:hint="eastAsia"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1215"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设备基本信息</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设备名称、型号、规格、技术参数</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1215" w:type="dxa"/>
            <w:vMerge w:val="restart"/>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设计资料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设备设计总图</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1215"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sz w:val="24"/>
                <w:szCs w:val="24"/>
              </w:rPr>
            </w:pP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设备设计规范及标准</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215"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sz w:val="24"/>
                <w:szCs w:val="24"/>
              </w:rPr>
            </w:pP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设备材料清单</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1215" w:type="dxa"/>
            <w:vMerge w:val="restart"/>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电气资料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电气原理图、接线图</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1215"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sz w:val="24"/>
                <w:szCs w:val="24"/>
              </w:rPr>
            </w:pP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电气元件清单</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1215" w:type="dxa"/>
            <w:vMerge w:val="restart"/>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安装资料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设备安装说明书</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1215"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sz w:val="24"/>
                <w:szCs w:val="24"/>
              </w:rPr>
            </w:pP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设备基础图及安装要求、验收标准</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1215"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操作资料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设备安全操作规范</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设备启动、运行、停机操作步骤</w:t>
            </w:r>
            <w:r>
              <w:rPr>
                <w:rFonts w:hint="eastAsia" w:ascii="仿宋_GB2312" w:eastAsia="仿宋_GB2312" w:cs="Calibri"/>
                <w:sz w:val="24"/>
                <w:szCs w:val="24"/>
              </w:rPr>
              <w:t>/</w:t>
            </w:r>
            <w:r>
              <w:rPr>
                <w:rFonts w:hint="eastAsia" w:ascii="仿宋_GB2312" w:hAnsi="宋体" w:eastAsia="仿宋_GB2312"/>
                <w:sz w:val="24"/>
                <w:szCs w:val="24"/>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10</w:t>
            </w:r>
          </w:p>
        </w:tc>
        <w:tc>
          <w:tcPr>
            <w:tcW w:w="1215"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安全、维护资料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安全及维保手册</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设备日常维护内容及周期</w:t>
            </w:r>
            <w:r>
              <w:rPr>
                <w:rFonts w:hint="eastAsia" w:ascii="仿宋_GB2312" w:eastAsia="仿宋_GB2312" w:cs="Calibri"/>
                <w:sz w:val="24"/>
                <w:szCs w:val="24"/>
              </w:rPr>
              <w:t>/</w:t>
            </w:r>
            <w:r>
              <w:rPr>
                <w:rFonts w:hint="eastAsia" w:ascii="仿宋_GB2312" w:hAnsi="宋体" w:eastAsia="仿宋_GB2312"/>
                <w:sz w:val="24"/>
                <w:szCs w:val="24"/>
              </w:rPr>
              <w:t>润滑点及润滑要求</w:t>
            </w:r>
            <w:r>
              <w:rPr>
                <w:rFonts w:hint="eastAsia" w:ascii="仿宋_GB2312" w:eastAsia="仿宋_GB2312" w:cs="Calibri"/>
                <w:sz w:val="24"/>
                <w:szCs w:val="24"/>
              </w:rPr>
              <w:t>/</w:t>
            </w:r>
            <w:r>
              <w:rPr>
                <w:rFonts w:hint="eastAsia" w:ascii="仿宋_GB2312" w:hAnsi="宋体" w:eastAsia="仿宋_GB2312"/>
                <w:sz w:val="24"/>
                <w:szCs w:val="24"/>
              </w:rPr>
              <w:t>维护工具清单</w:t>
            </w:r>
            <w:r>
              <w:rPr>
                <w:rFonts w:hint="eastAsia" w:ascii="仿宋_GB2312" w:eastAsia="仿宋_GB2312" w:cs="Calibri"/>
                <w:sz w:val="24"/>
                <w:szCs w:val="24"/>
              </w:rPr>
              <w:t>/</w:t>
            </w:r>
            <w:r>
              <w:rPr>
                <w:rFonts w:hint="eastAsia" w:ascii="仿宋_GB2312" w:hAnsi="宋体" w:eastAsia="仿宋_GB2312"/>
                <w:sz w:val="24"/>
                <w:szCs w:val="24"/>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11</w:t>
            </w:r>
          </w:p>
        </w:tc>
        <w:tc>
          <w:tcPr>
            <w:tcW w:w="1215"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维修资料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设备故障诊断指南</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设备常见故障及处理方法</w:t>
            </w:r>
            <w:r>
              <w:rPr>
                <w:rFonts w:hint="eastAsia" w:ascii="仿宋_GB2312" w:eastAsia="仿宋_GB2312" w:cs="Calibri"/>
                <w:sz w:val="24"/>
                <w:szCs w:val="24"/>
              </w:rPr>
              <w:t>/</w:t>
            </w:r>
            <w:r>
              <w:rPr>
                <w:rFonts w:hint="eastAsia" w:ascii="仿宋_GB2312" w:hAnsi="宋体" w:eastAsia="仿宋_GB2312"/>
                <w:sz w:val="24"/>
                <w:szCs w:val="24"/>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12</w:t>
            </w:r>
          </w:p>
        </w:tc>
        <w:tc>
          <w:tcPr>
            <w:tcW w:w="1215"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软件资料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设备控制软件使用说明</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13</w:t>
            </w:r>
          </w:p>
        </w:tc>
        <w:tc>
          <w:tcPr>
            <w:tcW w:w="1215" w:type="dxa"/>
            <w:vMerge w:val="restart"/>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测试及验收资料</w:t>
            </w: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设备出厂测试报告</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纸质版/电子版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3/1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2"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14</w:t>
            </w:r>
          </w:p>
        </w:tc>
        <w:tc>
          <w:tcPr>
            <w:tcW w:w="1215"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sz w:val="24"/>
                <w:szCs w:val="24"/>
              </w:rPr>
            </w:pPr>
          </w:p>
        </w:tc>
        <w:tc>
          <w:tcPr>
            <w:tcW w:w="2484" w:type="dxa"/>
            <w:vAlign w:val="center"/>
          </w:tcPr>
          <w:p>
            <w:pPr>
              <w:pStyle w:val="39"/>
              <w:keepNext w:val="0"/>
              <w:keepLines w:val="0"/>
              <w:suppressLineNumbers w:val="0"/>
              <w:spacing w:before="0" w:beforeAutospacing="0" w:afterAutospacing="0"/>
              <w:ind w:left="0" w:right="0" w:firstLine="0" w:firstLineChars="0"/>
              <w:jc w:val="center"/>
              <w:rPr>
                <w:rFonts w:hint="default" w:ascii="仿宋_GB2312" w:eastAsia="仿宋_GB2312"/>
                <w:sz w:val="24"/>
                <w:szCs w:val="24"/>
              </w:rPr>
            </w:pPr>
            <w:r>
              <w:rPr>
                <w:rFonts w:hint="eastAsia" w:ascii="仿宋_GB2312" w:hAnsi="宋体" w:eastAsia="仿宋_GB2312"/>
                <w:sz w:val="24"/>
                <w:szCs w:val="24"/>
              </w:rPr>
              <w:t>设备安装调试报告</w:t>
            </w:r>
          </w:p>
        </w:tc>
        <w:tc>
          <w:tcPr>
            <w:tcW w:w="1870"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电子版</w:t>
            </w:r>
          </w:p>
        </w:tc>
        <w:tc>
          <w:tcPr>
            <w:tcW w:w="738"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2326" w:type="dxa"/>
            <w:vAlign w:val="center"/>
          </w:tcPr>
          <w:p>
            <w:pPr>
              <w:pStyle w:val="39"/>
              <w:keepNext w:val="0"/>
              <w:keepLines w:val="0"/>
              <w:suppressLineNumbers w:val="0"/>
              <w:spacing w:before="0" w:beforeAutospacing="0" w:afterAutospacing="0"/>
              <w:ind w:left="0" w:right="0" w:firstLine="0" w:firstLineChars="0"/>
              <w:jc w:val="center"/>
              <w:rPr>
                <w:rFonts w:hint="eastAsia" w:ascii="仿宋_GB2312" w:hAnsi="宋体" w:eastAsia="仿宋_GB2312"/>
                <w:sz w:val="24"/>
                <w:szCs w:val="24"/>
              </w:rPr>
            </w:pPr>
          </w:p>
        </w:tc>
      </w:tr>
    </w:tbl>
    <w:p>
      <w:pPr>
        <w:rPr>
          <w:rFonts w:ascii="仿宋_GB2312" w:hAnsi="Calibri" w:eastAsia="仿宋_GB2312"/>
          <w:sz w:val="24"/>
          <w:szCs w:val="24"/>
        </w:rPr>
      </w:pPr>
      <w:r>
        <w:rPr>
          <w:rFonts w:hint="eastAsia" w:ascii="仿宋_GB2312" w:hAnsi="宋体" w:eastAsia="仿宋_GB2312"/>
          <w:b/>
          <w:sz w:val="24"/>
          <w:szCs w:val="24"/>
        </w:rPr>
        <w:t>注：</w:t>
      </w:r>
      <w:r>
        <w:rPr>
          <w:rFonts w:hint="eastAsia" w:ascii="仿宋_GB2312" w:eastAsia="仿宋_GB2312"/>
          <w:sz w:val="24"/>
          <w:szCs w:val="24"/>
        </w:rPr>
        <w:t>1</w:t>
      </w:r>
      <w:r>
        <w:rPr>
          <w:rFonts w:hint="eastAsia" w:ascii="仿宋_GB2312" w:hAnsi="宋体" w:eastAsia="仿宋_GB2312"/>
          <w:sz w:val="24"/>
          <w:szCs w:val="24"/>
        </w:rPr>
        <w:t>、资料语言：技术资料应以中文提供。</w:t>
      </w:r>
    </w:p>
    <w:p>
      <w:pPr>
        <w:ind w:firstLine="480" w:firstLineChars="200"/>
        <w:rPr>
          <w:rFonts w:ascii="仿宋_GB2312" w:hAnsi="Calibri"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、资料格式：技术资料电子版应为可编辑或可搜索的格式（如</w:t>
      </w:r>
      <w:r>
        <w:rPr>
          <w:rFonts w:hint="eastAsia" w:ascii="仿宋_GB2312" w:eastAsia="仿宋_GB2312" w:cs="Calibri"/>
          <w:sz w:val="24"/>
          <w:szCs w:val="24"/>
        </w:rPr>
        <w:t>PDF</w:t>
      </w:r>
      <w:r>
        <w:rPr>
          <w:rFonts w:hint="eastAsia" w:ascii="仿宋_GB2312" w:hAnsi="宋体" w:eastAsia="仿宋_GB2312"/>
          <w:sz w:val="24"/>
          <w:szCs w:val="24"/>
        </w:rPr>
        <w:t>、</w:t>
      </w:r>
      <w:r>
        <w:rPr>
          <w:rFonts w:hint="eastAsia" w:ascii="仿宋_GB2312" w:eastAsia="仿宋_GB2312" w:cs="Calibri"/>
          <w:sz w:val="24"/>
          <w:szCs w:val="24"/>
        </w:rPr>
        <w:t>Word</w:t>
      </w:r>
      <w:r>
        <w:rPr>
          <w:rFonts w:hint="eastAsia" w:ascii="仿宋_GB2312" w:hAnsi="宋体" w:eastAsia="仿宋_GB2312"/>
          <w:sz w:val="24"/>
          <w:szCs w:val="24"/>
        </w:rPr>
        <w:t>等）。</w:t>
      </w:r>
    </w:p>
    <w:p>
      <w:pPr>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宋体" w:eastAsia="仿宋_GB2312"/>
          <w:sz w:val="24"/>
          <w:szCs w:val="24"/>
        </w:rPr>
        <w:t>、资料完整性：确保提供的技术资料完整、准确，并与实际设备一致。</w:t>
      </w:r>
    </w:p>
    <w:p>
      <w:pPr>
        <w:ind w:firstLine="480" w:firstLineChars="200"/>
        <w:rPr>
          <w:rFonts w:hint="eastAsia" w:ascii="仿宋_GB2312" w:hAnsi="宋体"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、资料更新：设备升级或改造后，卖方应及时更新技术资料并提供给买方。</w:t>
      </w:r>
    </w:p>
    <w:p>
      <w:pPr>
        <w:spacing w:line="360" w:lineRule="auto"/>
        <w:jc w:val="left"/>
        <w:rPr>
          <w:rFonts w:ascii="黑体" w:hAnsi="黑体" w:eastAsia="黑体" w:cstheme="minorEastAsia"/>
          <w:sz w:val="24"/>
          <w:szCs w:val="24"/>
        </w:rPr>
      </w:pPr>
      <w:r>
        <w:rPr>
          <w:rFonts w:hint="eastAsia" w:ascii="黑体" w:hAnsi="黑体" w:eastAsia="黑体" w:cstheme="minorEastAsia"/>
          <w:sz w:val="24"/>
          <w:szCs w:val="24"/>
        </w:rPr>
        <w:t>附件</w:t>
      </w:r>
      <w:r>
        <w:rPr>
          <w:rFonts w:hint="eastAsia" w:ascii="黑体" w:hAnsi="黑体" w:eastAsia="黑体" w:cstheme="minorEastAsia"/>
          <w:sz w:val="24"/>
          <w:szCs w:val="24"/>
          <w:lang w:val="en-US" w:eastAsia="zh-CN"/>
        </w:rPr>
        <w:t>四</w:t>
      </w:r>
      <w:r>
        <w:rPr>
          <w:rFonts w:hint="eastAsia" w:ascii="黑体" w:hAnsi="黑体" w:eastAsia="黑体" w:cstheme="minorEastAsia"/>
          <w:sz w:val="24"/>
          <w:szCs w:val="24"/>
        </w:rPr>
        <w:t>：</w:t>
      </w:r>
      <w:bookmarkEnd w:id="219"/>
      <w:bookmarkEnd w:id="220"/>
      <w:bookmarkEnd w:id="221"/>
      <w:bookmarkEnd w:id="222"/>
      <w:bookmarkEnd w:id="223"/>
      <w:bookmarkStart w:id="224" w:name="_Toc32694"/>
      <w:bookmarkStart w:id="225" w:name="_Toc5279"/>
      <w:bookmarkStart w:id="226" w:name="_Toc12869"/>
      <w:bookmarkStart w:id="227" w:name="_Toc409359180"/>
      <w:bookmarkStart w:id="228" w:name="_Toc1273070912"/>
      <w:r>
        <w:rPr>
          <w:rFonts w:ascii="黑体" w:hAnsi="黑体" w:eastAsia="黑体" w:cstheme="minorEastAsia"/>
          <w:sz w:val="24"/>
          <w:szCs w:val="24"/>
        </w:rPr>
        <w:t>技术协议书</w:t>
      </w:r>
      <w:bookmarkEnd w:id="65"/>
      <w:bookmarkEnd w:id="224"/>
      <w:bookmarkEnd w:id="225"/>
      <w:bookmarkEnd w:id="226"/>
      <w:bookmarkEnd w:id="227"/>
      <w:bookmarkEnd w:id="228"/>
    </w:p>
    <w:p>
      <w:pPr>
        <w:spacing w:line="360" w:lineRule="auto"/>
        <w:jc w:val="center"/>
        <w:rPr>
          <w:rFonts w:ascii="Times New Roman" w:hAnsi="Times New Roman"/>
        </w:rPr>
      </w:pPr>
      <w:r>
        <w:rPr>
          <w:rFonts w:ascii="Times New Roman" w:hAnsi="Times New Roman"/>
        </w:rPr>
        <w:br w:type="page"/>
      </w:r>
      <w:bookmarkStart w:id="229" w:name="_Toc1683099602"/>
      <w:bookmarkStart w:id="230" w:name="_Toc22125"/>
      <w:bookmarkStart w:id="231" w:name="_Toc21179"/>
      <w:bookmarkStart w:id="232" w:name="_Toc4646"/>
      <w:bookmarkStart w:id="233" w:name="_Toc476826533"/>
      <w:bookmarkStart w:id="234" w:name="_Toc21313"/>
      <w:bookmarkStart w:id="235" w:name="_Toc1171"/>
    </w:p>
    <w:p>
      <w:pPr>
        <w:spacing w:line="360" w:lineRule="auto"/>
        <w:jc w:val="center"/>
        <w:rPr>
          <w:rFonts w:ascii="Times New Roman" w:hAnsi="Times New Roman"/>
        </w:rPr>
      </w:pPr>
      <w:r>
        <w:rPr>
          <w:rFonts w:hint="eastAsia" w:eastAsia="华文楷体"/>
          <w:b/>
          <w:bCs/>
          <w:sz w:val="36"/>
          <w:szCs w:val="36"/>
        </w:rPr>
        <w:t>第三章    技术要求</w:t>
      </w:r>
      <w:bookmarkEnd w:id="229"/>
      <w:bookmarkEnd w:id="230"/>
      <w:bookmarkEnd w:id="231"/>
      <w:bookmarkEnd w:id="232"/>
      <w:bookmarkEnd w:id="233"/>
      <w:bookmarkEnd w:id="234"/>
      <w:bookmarkEnd w:id="235"/>
    </w:p>
    <w:p>
      <w:pPr>
        <w:spacing w:line="720" w:lineRule="auto"/>
        <w:jc w:val="center"/>
        <w:rPr>
          <w:rFonts w:eastAsia="华文楷体"/>
          <w:b/>
          <w:bCs/>
          <w:sz w:val="72"/>
          <w:szCs w:val="30"/>
        </w:rPr>
      </w:pPr>
      <w:bookmarkStart w:id="236" w:name="_Toc19339"/>
    </w:p>
    <w:p>
      <w:pPr>
        <w:spacing w:line="720" w:lineRule="auto"/>
        <w:jc w:val="center"/>
        <w:rPr>
          <w:rFonts w:hint="eastAsia" w:eastAsia="华文楷体"/>
          <w:b/>
          <w:bCs/>
          <w:sz w:val="36"/>
          <w:szCs w:val="36"/>
        </w:rPr>
      </w:pPr>
      <w:r>
        <w:rPr>
          <w:rFonts w:hint="eastAsia" w:eastAsia="华文楷体"/>
          <w:b/>
          <w:bCs/>
          <w:sz w:val="36"/>
          <w:szCs w:val="36"/>
        </w:rPr>
        <w:t>焊枪仿型引导工具免示教技术项目</w:t>
      </w:r>
    </w:p>
    <w:p>
      <w:pPr>
        <w:spacing w:line="720" w:lineRule="auto"/>
        <w:jc w:val="center"/>
        <w:rPr>
          <w:rFonts w:eastAsia="华文楷体"/>
          <w:b/>
          <w:bCs/>
          <w:sz w:val="36"/>
          <w:szCs w:val="36"/>
        </w:rPr>
      </w:pPr>
      <w:r>
        <w:rPr>
          <w:rFonts w:eastAsia="华文楷体"/>
          <w:b/>
          <w:bCs/>
          <w:sz w:val="36"/>
          <w:szCs w:val="36"/>
        </w:rPr>
        <w:t>招标技术要求</w:t>
      </w:r>
      <w:bookmarkEnd w:id="236"/>
    </w:p>
    <w:p>
      <w:pPr>
        <w:spacing w:line="720" w:lineRule="auto"/>
        <w:jc w:val="center"/>
        <w:rPr>
          <w:rFonts w:eastAsia="楷体_GB2312"/>
          <w:sz w:val="32"/>
          <w:szCs w:val="32"/>
        </w:rPr>
      </w:pPr>
    </w:p>
    <w:p>
      <w:pPr>
        <w:spacing w:line="720" w:lineRule="auto"/>
        <w:jc w:val="center"/>
        <w:rPr>
          <w:rFonts w:eastAsia="楷体_GB2312"/>
          <w:sz w:val="84"/>
          <w:szCs w:val="84"/>
        </w:rPr>
      </w:pPr>
    </w:p>
    <w:p>
      <w:pPr>
        <w:spacing w:line="600" w:lineRule="auto"/>
        <w:ind w:firstLine="2974" w:firstLineChars="676"/>
        <w:rPr>
          <w:rFonts w:eastAsia="楷体_GB2312"/>
          <w:sz w:val="36"/>
          <w:szCs w:val="44"/>
          <w:u w:val="single"/>
        </w:rPr>
      </w:pPr>
      <w:bookmarkStart w:id="237" w:name="_Toc21410"/>
      <w:r>
        <w:rPr>
          <w:rFonts w:eastAsia="楷体_GB2312"/>
          <w:sz w:val="44"/>
          <w:szCs w:val="44"/>
        </w:rPr>
        <w:t>编制：</w:t>
      </w:r>
      <w:bookmarkEnd w:id="237"/>
    </w:p>
    <w:p>
      <w:pPr>
        <w:spacing w:line="720" w:lineRule="auto"/>
        <w:ind w:firstLine="2974" w:firstLineChars="676"/>
        <w:rPr>
          <w:rFonts w:eastAsia="楷体_GB2312"/>
          <w:sz w:val="44"/>
          <w:szCs w:val="44"/>
        </w:rPr>
      </w:pPr>
      <w:bookmarkStart w:id="238" w:name="_Toc8315"/>
      <w:r>
        <w:rPr>
          <w:rFonts w:eastAsia="楷体_GB2312"/>
          <w:sz w:val="44"/>
          <w:szCs w:val="44"/>
        </w:rPr>
        <w:t>审核：</w:t>
      </w:r>
      <w:bookmarkEnd w:id="238"/>
    </w:p>
    <w:p>
      <w:pPr>
        <w:spacing w:line="720" w:lineRule="auto"/>
        <w:ind w:firstLine="2974" w:firstLineChars="676"/>
        <w:rPr>
          <w:rFonts w:eastAsia="楷体_GB2312"/>
          <w:sz w:val="44"/>
          <w:szCs w:val="44"/>
        </w:rPr>
      </w:pPr>
      <w:bookmarkStart w:id="239" w:name="_Toc30785"/>
      <w:r>
        <w:rPr>
          <w:rFonts w:eastAsia="楷体_GB2312"/>
          <w:sz w:val="44"/>
          <w:szCs w:val="44"/>
        </w:rPr>
        <w:t>会签：</w:t>
      </w:r>
      <w:bookmarkEnd w:id="239"/>
    </w:p>
    <w:p>
      <w:pPr>
        <w:pStyle w:val="2"/>
        <w:ind w:firstLine="1419" w:firstLineChars="676"/>
      </w:pPr>
    </w:p>
    <w:p>
      <w:pPr>
        <w:spacing w:line="720" w:lineRule="auto"/>
        <w:ind w:firstLine="2974" w:firstLineChars="676"/>
        <w:rPr>
          <w:rFonts w:eastAsia="楷体_GB2312"/>
          <w:sz w:val="44"/>
          <w:szCs w:val="44"/>
        </w:rPr>
      </w:pPr>
      <w:bookmarkStart w:id="240" w:name="_Toc11500"/>
      <w:r>
        <w:rPr>
          <w:rFonts w:eastAsia="楷体_GB2312"/>
          <w:sz w:val="44"/>
          <w:szCs w:val="44"/>
        </w:rPr>
        <w:t>批准：</w:t>
      </w:r>
      <w:bookmarkEnd w:id="240"/>
    </w:p>
    <w:p>
      <w:pPr>
        <w:spacing w:line="480" w:lineRule="exact"/>
        <w:rPr>
          <w:rFonts w:eastAsia="黑体"/>
          <w:sz w:val="44"/>
          <w:szCs w:val="44"/>
        </w:rPr>
      </w:pPr>
    </w:p>
    <w:p>
      <w:pPr>
        <w:spacing w:line="480" w:lineRule="exact"/>
        <w:rPr>
          <w:rFonts w:eastAsia="黑体"/>
          <w:sz w:val="44"/>
          <w:szCs w:val="44"/>
        </w:rPr>
      </w:pPr>
    </w:p>
    <w:p>
      <w:pPr>
        <w:pStyle w:val="2"/>
      </w:pPr>
    </w:p>
    <w:p>
      <w:pPr>
        <w:spacing w:line="720" w:lineRule="auto"/>
        <w:jc w:val="center"/>
        <w:rPr>
          <w:rFonts w:eastAsia="黑体"/>
          <w:sz w:val="32"/>
          <w:szCs w:val="32"/>
        </w:rPr>
      </w:pPr>
      <w:bookmarkStart w:id="241" w:name="_Toc13859"/>
      <w:r>
        <w:rPr>
          <w:rFonts w:eastAsia="黑体"/>
          <w:sz w:val="32"/>
          <w:szCs w:val="32"/>
        </w:rPr>
        <w:t>中通客车股份有限公司</w:t>
      </w:r>
      <w:bookmarkEnd w:id="241"/>
    </w:p>
    <w:p>
      <w:pPr>
        <w:spacing w:line="500" w:lineRule="exact"/>
        <w:jc w:val="center"/>
        <w:rPr>
          <w:rFonts w:eastAsia="黑体"/>
          <w:sz w:val="32"/>
          <w:szCs w:val="32"/>
        </w:rPr>
      </w:pPr>
      <w:bookmarkStart w:id="242" w:name="_Toc21316"/>
      <w:r>
        <w:rPr>
          <w:rFonts w:eastAsia="黑体"/>
          <w:sz w:val="32"/>
          <w:szCs w:val="32"/>
        </w:rPr>
        <w:t>2025年</w:t>
      </w:r>
      <w:r>
        <w:rPr>
          <w:rFonts w:hint="eastAsia" w:eastAsia="黑体"/>
          <w:sz w:val="32"/>
          <w:szCs w:val="32"/>
          <w:lang w:val="en-US" w:eastAsia="zh-CN"/>
        </w:rPr>
        <w:t>5</w:t>
      </w:r>
      <w:r>
        <w:rPr>
          <w:rFonts w:eastAsia="黑体"/>
          <w:sz w:val="32"/>
          <w:szCs w:val="32"/>
        </w:rPr>
        <w:t>月1</w:t>
      </w:r>
      <w:r>
        <w:rPr>
          <w:rFonts w:hint="eastAsia" w:eastAsia="黑体"/>
          <w:sz w:val="32"/>
          <w:szCs w:val="32"/>
          <w:lang w:val="en-US" w:eastAsia="zh-CN"/>
        </w:rPr>
        <w:t>0</w:t>
      </w:r>
      <w:r>
        <w:rPr>
          <w:rFonts w:eastAsia="黑体"/>
          <w:sz w:val="32"/>
          <w:szCs w:val="32"/>
        </w:rPr>
        <w:t>日</w:t>
      </w:r>
      <w:bookmarkEnd w:id="242"/>
    </w:p>
    <w:p>
      <w:pPr>
        <w:pStyle w:val="77"/>
        <w:spacing w:line="240" w:lineRule="auto"/>
        <w:ind w:left="0" w:firstLine="0"/>
        <w:outlineLvl w:val="0"/>
        <w:rPr>
          <w:rFonts w:ascii="Times New Roman" w:hAnsi="Times New Roman" w:eastAsia="仿宋_GB2312" w:cs="Times New Roman"/>
          <w:b/>
          <w:bCs/>
          <w:szCs w:val="24"/>
        </w:rPr>
      </w:pPr>
      <w:bookmarkStart w:id="243" w:name="_Toc14160326"/>
      <w:bookmarkStart w:id="244" w:name="_Toc16923"/>
      <w:bookmarkStart w:id="245" w:name="_Toc1600"/>
      <w:bookmarkStart w:id="246" w:name="_Toc1225174970"/>
      <w:bookmarkStart w:id="247" w:name="_Toc1356235477"/>
      <w:bookmarkStart w:id="248" w:name="_Toc938"/>
    </w:p>
    <w:p>
      <w:pPr>
        <w:rPr>
          <w:rFonts w:ascii="Times New Roman" w:hAnsi="Times New Roman" w:eastAsia="仿宋_GB2312" w:cs="Times New Roman"/>
          <w:b/>
          <w:bCs/>
          <w:szCs w:val="24"/>
        </w:rPr>
      </w:pPr>
      <w:r>
        <w:rPr>
          <w:rFonts w:ascii="Times New Roman" w:hAnsi="Times New Roman" w:eastAsia="仿宋_GB2312" w:cs="Times New Roman"/>
          <w:b/>
          <w:bCs/>
          <w:szCs w:val="24"/>
        </w:rPr>
        <w:br w:type="page"/>
      </w:r>
    </w:p>
    <w:p>
      <w:pPr>
        <w:pStyle w:val="77"/>
        <w:spacing w:line="240" w:lineRule="auto"/>
        <w:ind w:left="0" w:firstLine="0"/>
        <w:outlineLvl w:val="0"/>
        <w:rPr>
          <w:rFonts w:ascii="Times New Roman" w:hAnsi="Times New Roman" w:eastAsia="仿宋_GB2312" w:cs="Times New Roman"/>
          <w:b/>
          <w:bCs/>
          <w:szCs w:val="24"/>
        </w:rPr>
      </w:pPr>
      <w:r>
        <w:rPr>
          <w:rFonts w:ascii="Times New Roman" w:hAnsi="Times New Roman" w:eastAsia="仿宋_GB2312" w:cs="Times New Roman"/>
          <w:b/>
          <w:bCs/>
          <w:szCs w:val="24"/>
        </w:rPr>
        <w:t>一、项目概况</w:t>
      </w:r>
      <w:bookmarkEnd w:id="243"/>
      <w:bookmarkEnd w:id="244"/>
      <w:bookmarkEnd w:id="245"/>
      <w:bookmarkEnd w:id="246"/>
      <w:bookmarkEnd w:id="247"/>
      <w:bookmarkEnd w:id="248"/>
    </w:p>
    <w:p>
      <w:pPr>
        <w:pStyle w:val="76"/>
        <w:ind w:firstLine="1" w:firstLineChars="0"/>
        <w:rPr>
          <w:rFonts w:eastAsia="仿宋_GB2312"/>
          <w:color w:val="000000"/>
          <w:kern w:val="0"/>
          <w:sz w:val="24"/>
          <w:szCs w:val="24"/>
        </w:rPr>
      </w:pPr>
      <w:r>
        <w:rPr>
          <w:rFonts w:eastAsia="仿宋_GB2312"/>
          <w:b/>
          <w:bCs/>
          <w:color w:val="000000"/>
          <w:kern w:val="0"/>
          <w:sz w:val="24"/>
          <w:szCs w:val="24"/>
        </w:rPr>
        <w:t>1.1项目名称：</w:t>
      </w:r>
      <w:r>
        <w:rPr>
          <w:rFonts w:hint="eastAsia" w:eastAsia="仿宋_GB2312"/>
          <w:color w:val="000000"/>
          <w:kern w:val="0"/>
          <w:sz w:val="24"/>
          <w:szCs w:val="24"/>
        </w:rPr>
        <w:t>焊枪仿型引导工具免示教技术</w:t>
      </w:r>
      <w:r>
        <w:rPr>
          <w:rFonts w:eastAsia="仿宋_GB2312"/>
          <w:color w:val="000000"/>
          <w:kern w:val="0"/>
          <w:sz w:val="24"/>
          <w:szCs w:val="24"/>
        </w:rPr>
        <w:t>项目。</w:t>
      </w:r>
    </w:p>
    <w:p>
      <w:pPr>
        <w:pStyle w:val="76"/>
        <w:ind w:firstLine="1" w:firstLineChars="0"/>
        <w:rPr>
          <w:rFonts w:eastAsia="仿宋_GB2312"/>
          <w:color w:val="000000"/>
          <w:kern w:val="0"/>
          <w:sz w:val="24"/>
          <w:szCs w:val="24"/>
        </w:rPr>
      </w:pPr>
      <w:r>
        <w:rPr>
          <w:rFonts w:eastAsia="仿宋_GB2312"/>
          <w:b/>
          <w:bCs/>
          <w:color w:val="000000"/>
          <w:kern w:val="0"/>
          <w:sz w:val="24"/>
          <w:szCs w:val="24"/>
        </w:rPr>
        <w:t>1.2建设地点：</w:t>
      </w:r>
      <w:r>
        <w:rPr>
          <w:rFonts w:eastAsia="仿宋_GB2312"/>
          <w:color w:val="000000"/>
          <w:kern w:val="0"/>
          <w:sz w:val="24"/>
          <w:szCs w:val="24"/>
        </w:rPr>
        <w:t>中通客车</w:t>
      </w:r>
      <w:r>
        <w:rPr>
          <w:rFonts w:hint="eastAsia" w:eastAsia="仿宋_GB2312"/>
          <w:color w:val="000000"/>
          <w:kern w:val="0"/>
          <w:sz w:val="24"/>
          <w:szCs w:val="24"/>
        </w:rPr>
        <w:t>股份有限公司</w:t>
      </w:r>
      <w:r>
        <w:rPr>
          <w:rFonts w:eastAsia="仿宋_GB2312"/>
          <w:color w:val="000000"/>
          <w:kern w:val="0"/>
          <w:sz w:val="24"/>
          <w:szCs w:val="24"/>
        </w:rPr>
        <w:t>制件单元。</w:t>
      </w:r>
    </w:p>
    <w:p>
      <w:pPr>
        <w:pStyle w:val="76"/>
        <w:ind w:firstLine="1" w:firstLineChars="0"/>
        <w:rPr>
          <w:rFonts w:eastAsia="仿宋_GB2312"/>
          <w:color w:val="000000"/>
          <w:kern w:val="0"/>
          <w:sz w:val="24"/>
          <w:szCs w:val="24"/>
        </w:rPr>
      </w:pPr>
      <w:r>
        <w:rPr>
          <w:rFonts w:eastAsia="仿宋_GB2312"/>
          <w:b/>
          <w:bCs/>
          <w:color w:val="000000"/>
          <w:kern w:val="0"/>
          <w:sz w:val="24"/>
          <w:szCs w:val="24"/>
        </w:rPr>
        <w:t>1.3项目产品：</w:t>
      </w:r>
      <w:r>
        <w:rPr>
          <w:rFonts w:hint="eastAsia" w:eastAsia="仿宋_GB2312"/>
          <w:sz w:val="24"/>
          <w:szCs w:val="24"/>
        </w:rPr>
        <w:t>智能无代码编程视觉传感系统</w:t>
      </w:r>
      <w:r>
        <w:rPr>
          <w:rFonts w:eastAsia="仿宋_GB2312"/>
          <w:sz w:val="24"/>
          <w:szCs w:val="24"/>
        </w:rPr>
        <w:t>、</w:t>
      </w:r>
      <w:r>
        <w:rPr>
          <w:rFonts w:hint="eastAsia" w:eastAsia="仿宋_GB2312"/>
          <w:sz w:val="24"/>
          <w:szCs w:val="24"/>
        </w:rPr>
        <w:t>传感器支架及防护装置</w:t>
      </w:r>
      <w:r>
        <w:rPr>
          <w:rFonts w:eastAsia="仿宋_GB2312"/>
          <w:sz w:val="24"/>
          <w:szCs w:val="24"/>
        </w:rPr>
        <w:t>、</w:t>
      </w:r>
      <w:r>
        <w:rPr>
          <w:rFonts w:hint="eastAsia" w:eastAsia="仿宋_GB2312"/>
          <w:sz w:val="24"/>
          <w:szCs w:val="24"/>
        </w:rPr>
        <w:t>智能无代码编程无代码编程系统标定工具模块</w:t>
      </w:r>
      <w:r>
        <w:rPr>
          <w:rFonts w:eastAsia="仿宋_GB2312"/>
          <w:sz w:val="24"/>
          <w:szCs w:val="24"/>
        </w:rPr>
        <w:t>、</w:t>
      </w:r>
      <w:r>
        <w:rPr>
          <w:rFonts w:hint="eastAsia" w:eastAsia="仿宋_GB2312"/>
          <w:sz w:val="24"/>
          <w:szCs w:val="24"/>
        </w:rPr>
        <w:t>无线触控式焊枪仿型引导工具、移动滑台、工控机系统</w:t>
      </w:r>
      <w:r>
        <w:rPr>
          <w:rFonts w:eastAsia="仿宋_GB2312"/>
          <w:sz w:val="24"/>
          <w:szCs w:val="24"/>
        </w:rPr>
        <w:t>。</w:t>
      </w:r>
    </w:p>
    <w:tbl>
      <w:tblPr>
        <w:tblStyle w:val="51"/>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913"/>
        <w:gridCol w:w="2280"/>
        <w:gridCol w:w="768"/>
        <w:gridCol w:w="795"/>
        <w:gridCol w:w="124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b/>
                <w:sz w:val="24"/>
                <w:szCs w:val="24"/>
              </w:rPr>
            </w:pPr>
            <w:r>
              <w:rPr>
                <w:rFonts w:hint="default" w:eastAsia="仿宋_GB2312"/>
                <w:b/>
                <w:sz w:val="24"/>
                <w:szCs w:val="24"/>
              </w:rPr>
              <w:t>序号</w:t>
            </w:r>
          </w:p>
        </w:tc>
        <w:tc>
          <w:tcPr>
            <w:tcW w:w="1913" w:type="dxa"/>
            <w:vAlign w:val="center"/>
          </w:tcPr>
          <w:p>
            <w:pPr>
              <w:keepNext w:val="0"/>
              <w:keepLines w:val="0"/>
              <w:suppressLineNumbers w:val="0"/>
              <w:spacing w:before="0" w:beforeAutospacing="0" w:after="0" w:afterAutospacing="0" w:line="360" w:lineRule="auto"/>
              <w:ind w:left="0" w:right="0"/>
              <w:jc w:val="center"/>
              <w:rPr>
                <w:rFonts w:hint="default" w:eastAsia="仿宋_GB2312"/>
                <w:b/>
                <w:sz w:val="24"/>
                <w:szCs w:val="24"/>
              </w:rPr>
            </w:pPr>
            <w:r>
              <w:rPr>
                <w:rFonts w:hint="default" w:eastAsia="仿宋_GB2312"/>
                <w:b/>
                <w:sz w:val="24"/>
                <w:szCs w:val="24"/>
              </w:rPr>
              <w:t>项目</w:t>
            </w:r>
          </w:p>
        </w:tc>
        <w:tc>
          <w:tcPr>
            <w:tcW w:w="2280" w:type="dxa"/>
            <w:vAlign w:val="center"/>
          </w:tcPr>
          <w:p>
            <w:pPr>
              <w:keepNext w:val="0"/>
              <w:keepLines w:val="0"/>
              <w:suppressLineNumbers w:val="0"/>
              <w:spacing w:before="0" w:beforeAutospacing="0" w:after="0" w:afterAutospacing="0" w:line="360" w:lineRule="auto"/>
              <w:ind w:left="0" w:right="0"/>
              <w:jc w:val="center"/>
              <w:rPr>
                <w:rFonts w:hint="default" w:eastAsia="仿宋_GB2312"/>
                <w:b/>
                <w:sz w:val="24"/>
                <w:szCs w:val="24"/>
              </w:rPr>
            </w:pPr>
            <w:r>
              <w:rPr>
                <w:rFonts w:hint="default" w:eastAsia="仿宋_GB2312"/>
                <w:b/>
                <w:sz w:val="24"/>
                <w:szCs w:val="24"/>
              </w:rPr>
              <w:t>规格型号</w:t>
            </w:r>
          </w:p>
        </w:tc>
        <w:tc>
          <w:tcPr>
            <w:tcW w:w="768" w:type="dxa"/>
            <w:vAlign w:val="center"/>
          </w:tcPr>
          <w:p>
            <w:pPr>
              <w:keepNext w:val="0"/>
              <w:keepLines w:val="0"/>
              <w:suppressLineNumbers w:val="0"/>
              <w:spacing w:before="0" w:beforeAutospacing="0" w:after="0" w:afterAutospacing="0" w:line="360" w:lineRule="auto"/>
              <w:ind w:left="0" w:right="0"/>
              <w:jc w:val="center"/>
              <w:rPr>
                <w:rFonts w:hint="default" w:eastAsia="仿宋_GB2312"/>
                <w:b/>
                <w:sz w:val="24"/>
                <w:szCs w:val="24"/>
              </w:rPr>
            </w:pPr>
            <w:r>
              <w:rPr>
                <w:rFonts w:hint="default" w:eastAsia="仿宋_GB2312"/>
                <w:b/>
                <w:sz w:val="24"/>
                <w:szCs w:val="24"/>
              </w:rPr>
              <w:t>数量</w:t>
            </w:r>
          </w:p>
        </w:tc>
        <w:tc>
          <w:tcPr>
            <w:tcW w:w="795" w:type="dxa"/>
            <w:vAlign w:val="center"/>
          </w:tcPr>
          <w:p>
            <w:pPr>
              <w:keepNext w:val="0"/>
              <w:keepLines w:val="0"/>
              <w:suppressLineNumbers w:val="0"/>
              <w:spacing w:before="0" w:beforeAutospacing="0" w:after="0" w:afterAutospacing="0" w:line="360" w:lineRule="auto"/>
              <w:ind w:left="0" w:right="0"/>
              <w:jc w:val="center"/>
              <w:rPr>
                <w:rFonts w:hint="default" w:eastAsia="仿宋_GB2312"/>
                <w:b/>
                <w:sz w:val="24"/>
                <w:szCs w:val="24"/>
              </w:rPr>
            </w:pPr>
            <w:r>
              <w:rPr>
                <w:rFonts w:hint="default" w:eastAsia="仿宋_GB2312"/>
                <w:b/>
                <w:sz w:val="24"/>
                <w:szCs w:val="24"/>
              </w:rPr>
              <w:t>单位</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b/>
                <w:sz w:val="24"/>
                <w:szCs w:val="24"/>
              </w:rPr>
            </w:pPr>
            <w:r>
              <w:rPr>
                <w:rFonts w:hint="eastAsia" w:eastAsia="仿宋_GB2312"/>
                <w:b/>
                <w:sz w:val="24"/>
                <w:szCs w:val="24"/>
              </w:rPr>
              <w:t>产品配色</w:t>
            </w:r>
          </w:p>
        </w:tc>
        <w:tc>
          <w:tcPr>
            <w:tcW w:w="1656" w:type="dxa"/>
            <w:vAlign w:val="center"/>
          </w:tcPr>
          <w:p>
            <w:pPr>
              <w:keepNext w:val="0"/>
              <w:keepLines w:val="0"/>
              <w:suppressLineNumbers w:val="0"/>
              <w:spacing w:before="0" w:beforeAutospacing="0" w:after="0" w:afterAutospacing="0" w:line="360" w:lineRule="auto"/>
              <w:ind w:left="0" w:right="0"/>
              <w:jc w:val="center"/>
              <w:rPr>
                <w:rFonts w:hint="default" w:eastAsia="仿宋_GB2312"/>
                <w:b/>
                <w:sz w:val="24"/>
                <w:szCs w:val="24"/>
              </w:rPr>
            </w:pPr>
            <w:r>
              <w:rPr>
                <w:rFonts w:hint="default"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1</w:t>
            </w:r>
          </w:p>
        </w:tc>
        <w:tc>
          <w:tcPr>
            <w:tcW w:w="1913"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智能无代码编程视觉传感系统</w:t>
            </w:r>
          </w:p>
        </w:tc>
        <w:tc>
          <w:tcPr>
            <w:tcW w:w="228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视觉传感空间分辨率达到0.1mm</w:t>
            </w:r>
          </w:p>
        </w:tc>
        <w:tc>
          <w:tcPr>
            <w:tcW w:w="768"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79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黑色</w:t>
            </w:r>
          </w:p>
        </w:tc>
        <w:tc>
          <w:tcPr>
            <w:tcW w:w="1656" w:type="dxa"/>
            <w:vAlign w:val="center"/>
          </w:tcPr>
          <w:p>
            <w:pPr>
              <w:keepNext w:val="0"/>
              <w:keepLines w:val="0"/>
              <w:suppressLineNumbers w:val="0"/>
              <w:spacing w:before="0" w:beforeAutospacing="0" w:after="0" w:afterAutospacing="0"/>
              <w:ind w:left="0" w:right="0"/>
              <w:jc w:val="center"/>
              <w:rPr>
                <w:rFonts w:hint="default" w:eastAsia="微软雅黑"/>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2</w:t>
            </w:r>
          </w:p>
        </w:tc>
        <w:tc>
          <w:tcPr>
            <w:tcW w:w="1913"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传感器支架及防护装置</w:t>
            </w:r>
          </w:p>
        </w:tc>
        <w:tc>
          <w:tcPr>
            <w:tcW w:w="228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IP防护等级不低于IP65</w:t>
            </w:r>
          </w:p>
        </w:tc>
        <w:tc>
          <w:tcPr>
            <w:tcW w:w="768"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79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黑色</w:t>
            </w:r>
          </w:p>
        </w:tc>
        <w:tc>
          <w:tcPr>
            <w:tcW w:w="165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3</w:t>
            </w:r>
          </w:p>
        </w:tc>
        <w:tc>
          <w:tcPr>
            <w:tcW w:w="1913"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智能无代码编程控制器</w:t>
            </w:r>
          </w:p>
        </w:tc>
        <w:tc>
          <w:tcPr>
            <w:tcW w:w="228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可通过触控UI实现工艺参数的选择和示教点的删减修改</w:t>
            </w:r>
          </w:p>
        </w:tc>
        <w:tc>
          <w:tcPr>
            <w:tcW w:w="768"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79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台</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黑色</w:t>
            </w:r>
          </w:p>
        </w:tc>
        <w:tc>
          <w:tcPr>
            <w:tcW w:w="165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4</w:t>
            </w:r>
          </w:p>
        </w:tc>
        <w:tc>
          <w:tcPr>
            <w:tcW w:w="1913"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无代码编程系统标定工具模块</w:t>
            </w:r>
          </w:p>
        </w:tc>
        <w:tc>
          <w:tcPr>
            <w:tcW w:w="228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基于预设规则或AI算法自动完成设备校准</w:t>
            </w:r>
          </w:p>
        </w:tc>
        <w:tc>
          <w:tcPr>
            <w:tcW w:w="768"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79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个</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黑色</w:t>
            </w:r>
          </w:p>
        </w:tc>
        <w:tc>
          <w:tcPr>
            <w:tcW w:w="165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5</w:t>
            </w:r>
          </w:p>
        </w:tc>
        <w:tc>
          <w:tcPr>
            <w:tcW w:w="1913"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color w:val="000000"/>
                <w:kern w:val="0"/>
                <w:sz w:val="24"/>
                <w:szCs w:val="24"/>
              </w:rPr>
              <w:t>焊枪仿型引导工具</w:t>
            </w:r>
          </w:p>
        </w:tc>
        <w:tc>
          <w:tcPr>
            <w:tcW w:w="228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与焊枪模型一致，具有良好的人机工程，重量≤0.5kg</w:t>
            </w:r>
          </w:p>
        </w:tc>
        <w:tc>
          <w:tcPr>
            <w:tcW w:w="768"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79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黑色</w:t>
            </w:r>
          </w:p>
        </w:tc>
        <w:tc>
          <w:tcPr>
            <w:tcW w:w="165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highlight w:val="none"/>
              </w:rPr>
              <w:t>海康、思看、国内一线品牌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6</w:t>
            </w:r>
          </w:p>
        </w:tc>
        <w:tc>
          <w:tcPr>
            <w:tcW w:w="1913"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移动滑台</w:t>
            </w:r>
          </w:p>
        </w:tc>
        <w:tc>
          <w:tcPr>
            <w:tcW w:w="228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color w:val="000000"/>
                <w:kern w:val="0"/>
                <w:sz w:val="24"/>
                <w:szCs w:val="24"/>
                <w:highlight w:val="none"/>
              </w:rPr>
              <w:t>定位精度为</w:t>
            </w:r>
            <w:r>
              <w:rPr>
                <w:rFonts w:hint="default" w:eastAsia="仿宋_GB2312"/>
                <w:color w:val="000000"/>
                <w:kern w:val="0"/>
                <w:sz w:val="24"/>
                <w:szCs w:val="24"/>
                <w:highlight w:val="none"/>
              </w:rPr>
              <w:t>±0.</w:t>
            </w:r>
            <w:r>
              <w:rPr>
                <w:rFonts w:hint="eastAsia" w:eastAsia="仿宋_GB2312"/>
                <w:color w:val="000000"/>
                <w:kern w:val="0"/>
                <w:sz w:val="24"/>
                <w:szCs w:val="24"/>
                <w:highlight w:val="none"/>
              </w:rPr>
              <w:t>2</w:t>
            </w:r>
            <w:r>
              <w:rPr>
                <w:rFonts w:hint="default" w:eastAsia="仿宋_GB2312"/>
                <w:color w:val="000000"/>
                <w:kern w:val="0"/>
                <w:sz w:val="24"/>
                <w:szCs w:val="24"/>
                <w:highlight w:val="none"/>
              </w:rPr>
              <w:t xml:space="preserve"> mm</w:t>
            </w:r>
          </w:p>
        </w:tc>
        <w:tc>
          <w:tcPr>
            <w:tcW w:w="768"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79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台</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白色</w:t>
            </w:r>
          </w:p>
        </w:tc>
        <w:tc>
          <w:tcPr>
            <w:tcW w:w="165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bCs/>
                <w:color w:val="000000"/>
                <w:kern w:val="0"/>
                <w:sz w:val="24"/>
                <w:szCs w:val="24"/>
              </w:rPr>
              <w:t>松下、西门子、安川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44"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7</w:t>
            </w:r>
          </w:p>
        </w:tc>
        <w:tc>
          <w:tcPr>
            <w:tcW w:w="1913" w:type="dxa"/>
            <w:vAlign w:val="center"/>
          </w:tcPr>
          <w:p>
            <w:pPr>
              <w:keepNext w:val="0"/>
              <w:keepLines w:val="0"/>
              <w:widowControl/>
              <w:suppressLineNumbers w:val="0"/>
              <w:spacing w:before="0" w:beforeAutospacing="0" w:after="0" w:afterAutospacing="0"/>
              <w:ind w:left="0" w:right="0"/>
              <w:jc w:val="left"/>
              <w:textAlignment w:val="center"/>
              <w:rPr>
                <w:rFonts w:hint="default" w:eastAsia="仿宋_GB2312"/>
                <w:sz w:val="24"/>
                <w:szCs w:val="24"/>
              </w:rPr>
            </w:pPr>
            <w:r>
              <w:rPr>
                <w:rFonts w:hint="eastAsia" w:eastAsia="仿宋_GB2312"/>
                <w:sz w:val="24"/>
                <w:szCs w:val="24"/>
              </w:rPr>
              <w:t>工控机系统</w:t>
            </w:r>
          </w:p>
        </w:tc>
        <w:tc>
          <w:tcPr>
            <w:tcW w:w="2280" w:type="dxa"/>
            <w:vAlign w:val="center"/>
          </w:tcPr>
          <w:p>
            <w:pPr>
              <w:pStyle w:val="39"/>
              <w:keepNext w:val="0"/>
              <w:keepLines w:val="0"/>
              <w:suppressLineNumbers w:val="0"/>
              <w:spacing w:before="0" w:beforeAutospacing="0" w:afterAutospacing="0"/>
              <w:ind w:left="0" w:right="0" w:firstLine="0" w:firstLineChars="0"/>
              <w:jc w:val="left"/>
              <w:rPr>
                <w:rFonts w:hint="default" w:eastAsia="仿宋_GB2312"/>
                <w:sz w:val="24"/>
                <w:szCs w:val="24"/>
              </w:rPr>
            </w:pPr>
            <w:r>
              <w:rPr>
                <w:rFonts w:hint="eastAsia" w:eastAsia="仿宋_GB2312"/>
                <w:sz w:val="24"/>
                <w:szCs w:val="24"/>
              </w:rPr>
              <w:t>支持7×24小时不间断运行，硬件设计具备抗干扰、抗振动、防尘防潮能力</w:t>
            </w:r>
          </w:p>
        </w:tc>
        <w:tc>
          <w:tcPr>
            <w:tcW w:w="768"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6</w:t>
            </w:r>
          </w:p>
        </w:tc>
        <w:tc>
          <w:tcPr>
            <w:tcW w:w="795" w:type="dxa"/>
            <w:vAlign w:val="center"/>
          </w:tcPr>
          <w:p>
            <w:pPr>
              <w:pStyle w:val="39"/>
              <w:keepNext w:val="0"/>
              <w:keepLines w:val="0"/>
              <w:suppressLineNumbers w:val="0"/>
              <w:spacing w:before="0" w:beforeAutospacing="0" w:afterAutospacing="0"/>
              <w:ind w:left="480" w:right="0" w:hanging="480"/>
              <w:jc w:val="center"/>
              <w:rPr>
                <w:rFonts w:hint="default" w:eastAsia="仿宋_GB2312"/>
                <w:sz w:val="24"/>
                <w:szCs w:val="24"/>
              </w:rPr>
            </w:pPr>
            <w:r>
              <w:rPr>
                <w:rFonts w:hint="eastAsia" w:eastAsia="仿宋_GB2312"/>
                <w:sz w:val="24"/>
                <w:szCs w:val="24"/>
              </w:rPr>
              <w:t>套</w:t>
            </w:r>
          </w:p>
        </w:tc>
        <w:tc>
          <w:tcPr>
            <w:tcW w:w="1245"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r>
              <w:rPr>
                <w:rFonts w:hint="eastAsia" w:eastAsia="仿宋_GB2312"/>
                <w:sz w:val="24"/>
                <w:szCs w:val="24"/>
              </w:rPr>
              <w:t>白色</w:t>
            </w:r>
          </w:p>
        </w:tc>
        <w:tc>
          <w:tcPr>
            <w:tcW w:w="1656" w:type="dxa"/>
            <w:vAlign w:val="center"/>
          </w:tcPr>
          <w:p>
            <w:pPr>
              <w:keepNext w:val="0"/>
              <w:keepLines w:val="0"/>
              <w:suppressLineNumbers w:val="0"/>
              <w:spacing w:before="0" w:beforeAutospacing="0" w:after="0" w:afterAutospacing="0"/>
              <w:ind w:left="0" w:right="0"/>
              <w:jc w:val="center"/>
              <w:rPr>
                <w:rFonts w:hint="default" w:eastAsia="仿宋_GB2312"/>
                <w:sz w:val="24"/>
                <w:szCs w:val="24"/>
              </w:rPr>
            </w:pPr>
            <w:r>
              <w:rPr>
                <w:rFonts w:hint="eastAsia" w:eastAsia="仿宋_GB2312"/>
                <w:sz w:val="24"/>
                <w:szCs w:val="24"/>
              </w:rPr>
              <w:t>研祥、华北工控、汇川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37" w:type="dxa"/>
            <w:gridSpan w:val="3"/>
            <w:vAlign w:val="center"/>
          </w:tcPr>
          <w:p>
            <w:pPr>
              <w:pStyle w:val="39"/>
              <w:keepNext w:val="0"/>
              <w:keepLines w:val="0"/>
              <w:suppressLineNumbers w:val="0"/>
              <w:spacing w:before="0" w:beforeAutospacing="0" w:afterAutospacing="0"/>
              <w:ind w:left="0" w:right="0" w:firstLine="0" w:firstLineChars="0"/>
              <w:jc w:val="center"/>
              <w:rPr>
                <w:rFonts w:hint="eastAsia" w:eastAsia="仿宋_GB2312"/>
                <w:sz w:val="24"/>
                <w:szCs w:val="24"/>
                <w:lang w:val="en-US" w:eastAsia="zh-CN"/>
              </w:rPr>
            </w:pPr>
            <w:r>
              <w:rPr>
                <w:rFonts w:hint="eastAsia" w:eastAsia="仿宋_GB2312"/>
                <w:sz w:val="24"/>
                <w:szCs w:val="24"/>
                <w:lang w:val="en-US" w:eastAsia="zh-CN"/>
              </w:rPr>
              <w:t>合计</w:t>
            </w:r>
          </w:p>
        </w:tc>
        <w:tc>
          <w:tcPr>
            <w:tcW w:w="768" w:type="dxa"/>
            <w:vAlign w:val="center"/>
          </w:tcPr>
          <w:p>
            <w:pPr>
              <w:pStyle w:val="39"/>
              <w:keepNext w:val="0"/>
              <w:keepLines w:val="0"/>
              <w:suppressLineNumbers w:val="0"/>
              <w:spacing w:before="0" w:beforeAutospacing="0" w:afterAutospacing="0"/>
              <w:ind w:left="480" w:right="0" w:hanging="480"/>
              <w:jc w:val="center"/>
              <w:rPr>
                <w:rFonts w:hint="eastAsia" w:eastAsia="仿宋_GB2312"/>
                <w:sz w:val="24"/>
                <w:szCs w:val="24"/>
              </w:rPr>
            </w:pPr>
          </w:p>
        </w:tc>
        <w:tc>
          <w:tcPr>
            <w:tcW w:w="795" w:type="dxa"/>
            <w:vAlign w:val="center"/>
          </w:tcPr>
          <w:p>
            <w:pPr>
              <w:pStyle w:val="39"/>
              <w:keepNext w:val="0"/>
              <w:keepLines w:val="0"/>
              <w:suppressLineNumbers w:val="0"/>
              <w:spacing w:before="0" w:beforeAutospacing="0" w:afterAutospacing="0"/>
              <w:ind w:left="480" w:right="0" w:hanging="480"/>
              <w:jc w:val="center"/>
              <w:rPr>
                <w:rFonts w:hint="eastAsia" w:eastAsia="仿宋_GB2312"/>
                <w:sz w:val="24"/>
                <w:szCs w:val="24"/>
              </w:rPr>
            </w:pPr>
          </w:p>
        </w:tc>
        <w:tc>
          <w:tcPr>
            <w:tcW w:w="1245" w:type="dxa"/>
            <w:vAlign w:val="center"/>
          </w:tcPr>
          <w:p>
            <w:pPr>
              <w:keepNext w:val="0"/>
              <w:keepLines w:val="0"/>
              <w:suppressLineNumbers w:val="0"/>
              <w:spacing w:before="0" w:beforeAutospacing="0" w:after="0" w:afterAutospacing="0" w:line="360" w:lineRule="auto"/>
              <w:ind w:left="0" w:right="0"/>
              <w:jc w:val="center"/>
              <w:rPr>
                <w:rFonts w:hint="eastAsia" w:eastAsia="仿宋_GB2312"/>
                <w:sz w:val="24"/>
                <w:szCs w:val="24"/>
              </w:rPr>
            </w:pPr>
          </w:p>
        </w:tc>
        <w:tc>
          <w:tcPr>
            <w:tcW w:w="1656" w:type="dxa"/>
            <w:vAlign w:val="center"/>
          </w:tcPr>
          <w:p>
            <w:pPr>
              <w:keepNext w:val="0"/>
              <w:keepLines w:val="0"/>
              <w:suppressLineNumbers w:val="0"/>
              <w:spacing w:before="0" w:beforeAutospacing="0" w:after="0" w:afterAutospacing="0"/>
              <w:ind w:left="0" w:right="0"/>
              <w:jc w:val="center"/>
              <w:rPr>
                <w:rFonts w:hint="eastAsia" w:eastAsia="仿宋_GB2312"/>
                <w:sz w:val="24"/>
                <w:szCs w:val="24"/>
              </w:rPr>
            </w:pPr>
          </w:p>
        </w:tc>
      </w:tr>
    </w:tbl>
    <w:p>
      <w:pPr>
        <w:pStyle w:val="76"/>
        <w:ind w:firstLine="1" w:firstLineChars="0"/>
        <w:rPr>
          <w:rFonts w:eastAsia="仿宋_GB2312"/>
          <w:b/>
          <w:bCs/>
          <w:color w:val="000000"/>
          <w:kern w:val="0"/>
          <w:sz w:val="24"/>
          <w:szCs w:val="24"/>
        </w:rPr>
      </w:pPr>
    </w:p>
    <w:p>
      <w:pPr>
        <w:pStyle w:val="76"/>
        <w:ind w:firstLine="1" w:firstLineChars="0"/>
        <w:rPr>
          <w:rFonts w:eastAsia="仿宋_GB2312"/>
          <w:b/>
          <w:bCs/>
          <w:color w:val="000000"/>
          <w:kern w:val="0"/>
          <w:sz w:val="24"/>
          <w:szCs w:val="24"/>
        </w:rPr>
      </w:pPr>
      <w:r>
        <w:rPr>
          <w:rFonts w:eastAsia="仿宋_GB2312"/>
          <w:b/>
          <w:bCs/>
          <w:color w:val="000000"/>
          <w:kern w:val="0"/>
          <w:sz w:val="24"/>
          <w:szCs w:val="24"/>
        </w:rPr>
        <w:t>1.4项目简介</w:t>
      </w:r>
    </w:p>
    <w:p>
      <w:pPr>
        <w:pStyle w:val="76"/>
        <w:ind w:firstLine="0" w:firstLineChars="0"/>
        <w:rPr>
          <w:rFonts w:eastAsia="仿宋_GB2312"/>
          <w:color w:val="000000"/>
          <w:kern w:val="0"/>
          <w:sz w:val="24"/>
          <w:szCs w:val="24"/>
        </w:rPr>
      </w:pPr>
      <w:r>
        <w:rPr>
          <w:rFonts w:hint="eastAsia" w:eastAsia="仿宋_GB2312"/>
          <w:color w:val="000000"/>
          <w:kern w:val="0"/>
          <w:sz w:val="24"/>
          <w:szCs w:val="24"/>
        </w:rPr>
        <w:t>通过搭建焊枪仿型引导工具免示教技术，取代人工示教器编程，用于提升编程节拍，适用于全承载车架/分离式车架格栅、组件、厚板件立体结构等全位置焊接</w:t>
      </w:r>
      <w:r>
        <w:rPr>
          <w:rFonts w:eastAsia="仿宋_GB2312"/>
          <w:color w:val="000000"/>
          <w:kern w:val="0"/>
          <w:sz w:val="24"/>
          <w:szCs w:val="24"/>
        </w:rPr>
        <w:t>。</w:t>
      </w:r>
    </w:p>
    <w:p>
      <w:pPr>
        <w:pStyle w:val="76"/>
        <w:ind w:firstLine="1" w:firstLineChars="0"/>
        <w:rPr>
          <w:rFonts w:eastAsia="仿宋_GB2312"/>
          <w:b/>
          <w:bCs/>
          <w:color w:val="000000"/>
          <w:kern w:val="0"/>
          <w:sz w:val="24"/>
          <w:szCs w:val="24"/>
        </w:rPr>
      </w:pPr>
      <w:r>
        <w:rPr>
          <w:rFonts w:eastAsia="仿宋_GB2312"/>
          <w:b/>
          <w:bCs/>
          <w:color w:val="000000"/>
          <w:kern w:val="0"/>
          <w:sz w:val="24"/>
          <w:szCs w:val="24"/>
        </w:rPr>
        <w:t>1.</w:t>
      </w:r>
      <w:r>
        <w:rPr>
          <w:rFonts w:hint="eastAsia" w:eastAsia="仿宋_GB2312"/>
          <w:b/>
          <w:bCs/>
          <w:color w:val="000000"/>
          <w:kern w:val="0"/>
          <w:sz w:val="24"/>
          <w:szCs w:val="24"/>
        </w:rPr>
        <w:t>5</w:t>
      </w:r>
      <w:r>
        <w:rPr>
          <w:rFonts w:eastAsia="仿宋_GB2312"/>
          <w:b/>
          <w:bCs/>
          <w:color w:val="000000"/>
          <w:kern w:val="0"/>
          <w:sz w:val="24"/>
          <w:szCs w:val="24"/>
        </w:rPr>
        <w:t xml:space="preserve">方案布局： </w:t>
      </w:r>
    </w:p>
    <w:p>
      <w:pPr>
        <w:pStyle w:val="76"/>
        <w:ind w:firstLine="480" w:firstLineChars="200"/>
        <w:rPr>
          <w:rFonts w:eastAsia="仿宋_GB2312"/>
          <w:color w:val="000000"/>
          <w:kern w:val="0"/>
          <w:sz w:val="24"/>
          <w:szCs w:val="24"/>
        </w:rPr>
      </w:pPr>
      <w:r>
        <w:rPr>
          <w:rFonts w:hint="eastAsia" w:eastAsia="仿宋_GB2312"/>
          <w:color w:val="000000"/>
          <w:kern w:val="0"/>
          <w:sz w:val="24"/>
          <w:szCs w:val="24"/>
        </w:rPr>
        <w:t>焊枪仿型引导工具免示教相关设备覆盖在机器人</w:t>
      </w:r>
      <w:r>
        <w:rPr>
          <w:rFonts w:eastAsia="仿宋_GB2312"/>
          <w:color w:val="000000"/>
          <w:kern w:val="0"/>
          <w:sz w:val="24"/>
          <w:szCs w:val="24"/>
        </w:rPr>
        <w:t>自动</w:t>
      </w:r>
      <w:r>
        <w:rPr>
          <w:rFonts w:hint="eastAsia" w:eastAsia="仿宋_GB2312"/>
          <w:color w:val="000000"/>
          <w:kern w:val="0"/>
          <w:sz w:val="24"/>
          <w:szCs w:val="24"/>
        </w:rPr>
        <w:t>化</w:t>
      </w:r>
      <w:r>
        <w:rPr>
          <w:rFonts w:eastAsia="仿宋_GB2312"/>
          <w:color w:val="000000"/>
          <w:kern w:val="0"/>
          <w:sz w:val="24"/>
          <w:szCs w:val="24"/>
        </w:rPr>
        <w:t>焊接工作站</w:t>
      </w:r>
      <w:r>
        <w:rPr>
          <w:rFonts w:hint="eastAsia" w:eastAsia="仿宋_GB2312"/>
          <w:color w:val="000000"/>
          <w:kern w:val="0"/>
          <w:sz w:val="24"/>
          <w:szCs w:val="24"/>
        </w:rPr>
        <w:t>，配合</w:t>
      </w:r>
      <w:r>
        <w:rPr>
          <w:rFonts w:eastAsia="仿宋_GB2312"/>
          <w:color w:val="000000"/>
          <w:kern w:val="0"/>
          <w:sz w:val="24"/>
          <w:szCs w:val="24"/>
        </w:rPr>
        <w:t>焊接机器人</w:t>
      </w:r>
      <w:r>
        <w:rPr>
          <w:rFonts w:hint="eastAsia" w:eastAsia="仿宋_GB2312"/>
          <w:color w:val="000000"/>
          <w:kern w:val="0"/>
          <w:sz w:val="24"/>
          <w:szCs w:val="24"/>
        </w:rPr>
        <w:t>、</w:t>
      </w:r>
      <w:r>
        <w:rPr>
          <w:rFonts w:eastAsia="仿宋_GB2312"/>
          <w:color w:val="000000"/>
          <w:kern w:val="0"/>
          <w:sz w:val="24"/>
          <w:szCs w:val="24"/>
        </w:rPr>
        <w:t>伺服变位机</w:t>
      </w:r>
      <w:r>
        <w:rPr>
          <w:rFonts w:hint="eastAsia" w:eastAsia="仿宋_GB2312"/>
          <w:color w:val="000000"/>
          <w:kern w:val="0"/>
          <w:sz w:val="24"/>
          <w:szCs w:val="24"/>
        </w:rPr>
        <w:t>进行同步编程</w:t>
      </w:r>
      <w:r>
        <w:rPr>
          <w:rFonts w:eastAsia="仿宋_GB2312"/>
          <w:color w:val="000000"/>
          <w:kern w:val="0"/>
          <w:sz w:val="24"/>
          <w:szCs w:val="24"/>
        </w:rPr>
        <w:t>。</w:t>
      </w:r>
    </w:p>
    <w:p>
      <w:pPr>
        <w:pStyle w:val="76"/>
        <w:ind w:firstLine="1" w:firstLineChars="0"/>
        <w:rPr>
          <w:rFonts w:eastAsia="仿宋_GB2312"/>
          <w:color w:val="000000"/>
          <w:kern w:val="0"/>
          <w:sz w:val="24"/>
          <w:szCs w:val="24"/>
        </w:rPr>
      </w:pPr>
      <w:r>
        <w:rPr>
          <w:rFonts w:hint="eastAsia" w:eastAsia="仿宋_GB2312"/>
          <w:sz w:val="24"/>
          <w:szCs w:val="24"/>
        </w:rPr>
        <w:t>视觉传感系统：采用可移动滑轨方式进行布局，并与现场操作台无干涉。</w:t>
      </w:r>
    </w:p>
    <w:p>
      <w:pPr>
        <w:pStyle w:val="76"/>
        <w:ind w:firstLine="0" w:firstLineChars="0"/>
        <w:rPr>
          <w:rFonts w:eastAsia="仿宋_GB2312"/>
          <w:color w:val="000000"/>
          <w:kern w:val="0"/>
          <w:sz w:val="24"/>
          <w:szCs w:val="24"/>
        </w:rPr>
      </w:pPr>
      <w:r>
        <w:rPr>
          <w:rFonts w:eastAsia="仿宋_GB2312"/>
          <w:color w:val="000000"/>
          <w:kern w:val="0"/>
          <w:sz w:val="24"/>
          <w:szCs w:val="24"/>
        </w:rPr>
        <w:t>同步控制：</w:t>
      </w:r>
      <w:r>
        <w:rPr>
          <w:rFonts w:hint="eastAsia" w:eastAsia="仿宋_GB2312"/>
          <w:sz w:val="24"/>
          <w:szCs w:val="24"/>
        </w:rPr>
        <w:t>智能无代码编程视觉传感系统、</w:t>
      </w:r>
      <w:r>
        <w:rPr>
          <w:rFonts w:eastAsia="仿宋_GB2312"/>
          <w:color w:val="000000"/>
          <w:kern w:val="0"/>
          <w:sz w:val="24"/>
          <w:szCs w:val="24"/>
        </w:rPr>
        <w:t>翻转机构、焊机和机器人必须通过统一的控制器实现精确同步，避免因动作不协调导致焊接质量问题。</w:t>
      </w:r>
    </w:p>
    <w:p>
      <w:pPr>
        <w:pStyle w:val="76"/>
        <w:ind w:firstLine="0" w:firstLineChars="0"/>
        <w:rPr>
          <w:rFonts w:eastAsia="仿宋_GB2312"/>
          <w:color w:val="000000"/>
          <w:kern w:val="0"/>
          <w:sz w:val="24"/>
          <w:szCs w:val="24"/>
        </w:rPr>
      </w:pPr>
      <w:r>
        <w:rPr>
          <w:rFonts w:eastAsia="仿宋_GB2312"/>
          <w:color w:val="000000"/>
          <w:kern w:val="0"/>
          <w:sz w:val="24"/>
          <w:szCs w:val="24"/>
        </w:rPr>
        <w:t xml:space="preserve">焊接方式：对接、搭接、T型接头等。 </w:t>
      </w:r>
    </w:p>
    <w:p>
      <w:pPr>
        <w:pStyle w:val="76"/>
        <w:ind w:firstLine="0" w:firstLineChars="0"/>
        <w:rPr>
          <w:rFonts w:eastAsia="仿宋_GB2312"/>
          <w:bCs/>
          <w:color w:val="000000"/>
          <w:kern w:val="0"/>
          <w:sz w:val="24"/>
          <w:szCs w:val="24"/>
        </w:rPr>
      </w:pPr>
      <w:r>
        <w:rPr>
          <w:rFonts w:eastAsia="仿宋_GB2312"/>
          <w:bCs/>
          <w:color w:val="000000"/>
          <w:kern w:val="0"/>
          <w:sz w:val="24"/>
          <w:szCs w:val="24"/>
        </w:rPr>
        <w:t>环境温</w:t>
      </w:r>
      <w:r>
        <w:rPr>
          <w:rFonts w:eastAsia="仿宋_GB2312"/>
          <w:color w:val="000000"/>
          <w:kern w:val="0"/>
          <w:sz w:val="24"/>
          <w:szCs w:val="24"/>
        </w:rPr>
        <w:t>度：-1</w:t>
      </w:r>
      <w:r>
        <w:rPr>
          <w:rFonts w:hint="eastAsia" w:eastAsia="仿宋_GB2312"/>
          <w:color w:val="000000"/>
          <w:kern w:val="0"/>
          <w:sz w:val="24"/>
          <w:szCs w:val="24"/>
        </w:rPr>
        <w:t>5</w:t>
      </w:r>
      <w:r>
        <w:rPr>
          <w:rFonts w:eastAsia="仿宋_GB2312"/>
          <w:color w:val="000000"/>
          <w:kern w:val="0"/>
          <w:sz w:val="24"/>
          <w:szCs w:val="24"/>
        </w:rPr>
        <w:sym w:font="Symbol" w:char="F0B0"/>
      </w:r>
      <w:r>
        <w:rPr>
          <w:rFonts w:eastAsia="仿宋_GB2312"/>
          <w:color w:val="000000"/>
          <w:kern w:val="0"/>
          <w:sz w:val="24"/>
          <w:szCs w:val="24"/>
        </w:rPr>
        <w:t>C- 45</w:t>
      </w:r>
      <w:r>
        <w:rPr>
          <w:rFonts w:eastAsia="仿宋_GB2312"/>
          <w:color w:val="000000"/>
          <w:kern w:val="0"/>
          <w:sz w:val="24"/>
          <w:szCs w:val="24"/>
        </w:rPr>
        <w:sym w:font="Symbol" w:char="F0B0"/>
      </w:r>
      <w:r>
        <w:rPr>
          <w:rFonts w:eastAsia="仿宋_GB2312"/>
          <w:color w:val="000000"/>
          <w:kern w:val="0"/>
          <w:sz w:val="24"/>
          <w:szCs w:val="24"/>
        </w:rPr>
        <w:t>C、</w:t>
      </w:r>
      <w:r>
        <w:rPr>
          <w:rFonts w:eastAsia="仿宋_GB2312"/>
          <w:bCs/>
          <w:color w:val="000000"/>
          <w:kern w:val="0"/>
          <w:sz w:val="24"/>
          <w:szCs w:val="24"/>
        </w:rPr>
        <w:t>最大湿度：95%。</w:t>
      </w:r>
    </w:p>
    <w:p>
      <w:pPr>
        <w:pStyle w:val="76"/>
        <w:ind w:firstLine="0" w:firstLineChars="0"/>
        <w:rPr>
          <w:rFonts w:eastAsia="仿宋_GB2312"/>
          <w:bCs/>
          <w:color w:val="000000"/>
          <w:kern w:val="0"/>
          <w:sz w:val="24"/>
          <w:szCs w:val="24"/>
        </w:rPr>
      </w:pPr>
      <w:r>
        <w:rPr>
          <w:rFonts w:eastAsia="仿宋_GB2312"/>
          <w:bCs/>
          <w:color w:val="000000"/>
          <w:kern w:val="0"/>
          <w:sz w:val="24"/>
          <w:szCs w:val="24"/>
        </w:rPr>
        <w:t>防护等级：不低于IP67。</w:t>
      </w:r>
    </w:p>
    <w:p>
      <w:pPr>
        <w:pStyle w:val="76"/>
        <w:ind w:firstLine="1" w:firstLineChars="0"/>
        <w:rPr>
          <w:rFonts w:eastAsia="仿宋_GB2312"/>
          <w:color w:val="000000"/>
          <w:kern w:val="0"/>
          <w:sz w:val="24"/>
          <w:szCs w:val="24"/>
        </w:rPr>
      </w:pPr>
      <w:r>
        <w:rPr>
          <w:rFonts w:eastAsia="仿宋_GB2312"/>
          <w:color w:val="000000"/>
          <w:kern w:val="0"/>
          <w:sz w:val="24"/>
          <w:szCs w:val="24"/>
        </w:rPr>
        <w:t>防震措施：由于制焊车间拥有油压机、冲床等重型设备，需制定防震措施用于保证机器人精度。</w:t>
      </w:r>
    </w:p>
    <w:p>
      <w:pPr>
        <w:pStyle w:val="76"/>
        <w:ind w:firstLine="1" w:firstLineChars="0"/>
        <w:rPr>
          <w:rFonts w:eastAsia="仿宋_GB2312"/>
          <w:b/>
          <w:bCs/>
          <w:color w:val="000000"/>
          <w:kern w:val="0"/>
          <w:sz w:val="24"/>
          <w:szCs w:val="24"/>
        </w:rPr>
      </w:pPr>
      <w:r>
        <w:rPr>
          <w:rFonts w:hint="eastAsia" w:eastAsia="仿宋_GB2312"/>
          <w:b/>
          <w:bCs/>
          <w:color w:val="000000"/>
          <w:kern w:val="0"/>
          <w:sz w:val="24"/>
          <w:szCs w:val="24"/>
        </w:rPr>
        <w:t>1.6技术目标：</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1.6.1编程时间：焊枪仿型引导工具示教技术能极大降低编程工作量，</w:t>
      </w:r>
      <w:r>
        <w:rPr>
          <w:rFonts w:hint="eastAsia" w:eastAsia="仿宋_GB2312"/>
          <w:color w:val="000000"/>
          <w:kern w:val="0"/>
          <w:sz w:val="24"/>
          <w:szCs w:val="24"/>
          <w:highlight w:val="none"/>
        </w:rPr>
        <w:t>平均</w:t>
      </w:r>
      <w:r>
        <w:rPr>
          <w:rFonts w:hint="eastAsia" w:eastAsia="仿宋_GB2312"/>
          <w:color w:val="000000"/>
          <w:kern w:val="0"/>
          <w:sz w:val="24"/>
          <w:szCs w:val="24"/>
        </w:rPr>
        <w:t>单条焊缝编程时间≤20S（包括焊枪仿型引导工具示教、程序上传、精度验证）。</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1.6.2功能要求：</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1.6.2.1编程软件具备账户登录及编程数据记录功能，可以导出编程记录，记录内容包括：编程账户、程序名称、编程时间、程序调用频次等内容，记录存储时间不低于3年。</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1.6.2.2</w:t>
      </w:r>
      <w:r>
        <w:rPr>
          <w:rFonts w:eastAsia="仿宋_GB2312"/>
          <w:color w:val="000000"/>
          <w:kern w:val="0"/>
          <w:sz w:val="24"/>
          <w:szCs w:val="24"/>
        </w:rPr>
        <w:t>相机可识别两侧变位机上焊枪仿型引导工具位置，满足焊枪仿型引导工具可在双变位机上分别进行编程，要求以变位机旋转</w:t>
      </w:r>
      <w:r>
        <w:rPr>
          <w:rFonts w:hint="eastAsia" w:eastAsia="仿宋_GB2312"/>
          <w:color w:val="000000"/>
          <w:kern w:val="0"/>
          <w:sz w:val="24"/>
          <w:szCs w:val="24"/>
        </w:rPr>
        <w:t>45</w:t>
      </w:r>
      <w:r>
        <w:rPr>
          <w:rFonts w:eastAsia="仿宋_GB2312"/>
          <w:color w:val="000000"/>
          <w:kern w:val="0"/>
          <w:sz w:val="24"/>
          <w:szCs w:val="24"/>
        </w:rPr>
        <w:t>度位置进行编程，并以</w:t>
      </w:r>
      <w:r>
        <w:rPr>
          <w:rFonts w:hint="eastAsia" w:eastAsia="仿宋_GB2312"/>
          <w:color w:val="000000"/>
          <w:kern w:val="0"/>
          <w:sz w:val="24"/>
          <w:szCs w:val="24"/>
        </w:rPr>
        <w:t>0</w:t>
      </w:r>
      <w:r>
        <w:rPr>
          <w:rFonts w:eastAsia="仿宋_GB2312"/>
          <w:color w:val="000000"/>
          <w:kern w:val="0"/>
          <w:sz w:val="24"/>
          <w:szCs w:val="24"/>
        </w:rPr>
        <w:t>度位置进行焊接</w:t>
      </w:r>
      <w:r>
        <w:rPr>
          <w:rFonts w:hint="eastAsia" w:eastAsia="仿宋_GB2312"/>
          <w:color w:val="000000"/>
          <w:kern w:val="0"/>
          <w:sz w:val="24"/>
          <w:szCs w:val="24"/>
        </w:rPr>
        <w:t>。</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1.6.2.3每编一步程序，功控机自动生成对应程序，程序编辑完成后，导入示教器内，示教器内所用指令与甲方现用指令一致。</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1.6.2.4焊枪仿型引导工具需适应在各个焊缝位置示教的姿态和角度，保证可见性，可随时选择和更改焊接参数。</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1.6.2.5圆弧焊接等特殊焊接指令程序简单、易操作。</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1.6.3精度要求：</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1.6.3.1具有</w:t>
      </w:r>
      <w:r>
        <w:rPr>
          <w:rFonts w:eastAsia="仿宋_GB2312"/>
          <w:color w:val="000000"/>
          <w:kern w:val="0"/>
          <w:sz w:val="24"/>
          <w:szCs w:val="24"/>
        </w:rPr>
        <w:t>高精度的视觉识别系统</w:t>
      </w:r>
      <w:r>
        <w:rPr>
          <w:rFonts w:hint="eastAsia" w:eastAsia="仿宋_GB2312"/>
          <w:color w:val="000000"/>
          <w:kern w:val="0"/>
          <w:sz w:val="24"/>
          <w:szCs w:val="24"/>
        </w:rPr>
        <w:t>及自动纠偏功能</w:t>
      </w:r>
      <w:r>
        <w:rPr>
          <w:rFonts w:eastAsia="仿宋_GB2312"/>
          <w:color w:val="000000"/>
          <w:kern w:val="0"/>
          <w:sz w:val="24"/>
          <w:szCs w:val="24"/>
        </w:rPr>
        <w:t>，能够自动识别</w:t>
      </w:r>
      <w:r>
        <w:rPr>
          <w:rFonts w:hint="eastAsia" w:eastAsia="仿宋_GB2312"/>
          <w:color w:val="000000"/>
          <w:kern w:val="0"/>
          <w:sz w:val="24"/>
          <w:szCs w:val="24"/>
        </w:rPr>
        <w:t>焊枪仿型引导工具位置、姿态</w:t>
      </w:r>
      <w:r>
        <w:rPr>
          <w:rFonts w:eastAsia="仿宋_GB2312"/>
          <w:color w:val="000000"/>
          <w:kern w:val="0"/>
          <w:sz w:val="24"/>
          <w:szCs w:val="24"/>
        </w:rPr>
        <w:t>等特征，即使在复杂多变的工件表面也能准确无误地定位焊接点</w:t>
      </w:r>
      <w:r>
        <w:rPr>
          <w:rFonts w:hint="eastAsia" w:eastAsia="仿宋_GB2312"/>
          <w:color w:val="000000"/>
          <w:kern w:val="0"/>
          <w:sz w:val="24"/>
          <w:szCs w:val="24"/>
        </w:rPr>
        <w:t>。</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1.6.3.2焊枪仿型引导工具与机器人焊枪偏差不得超过1mm，机器人实际焊接位置与编程点位置不得超过1mm，并能保证同种工件焊接程序能重复利用。</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1.6.4操作要求：</w:t>
      </w:r>
      <w:r>
        <w:rPr>
          <w:rFonts w:eastAsia="仿宋_GB2312"/>
          <w:color w:val="000000"/>
          <w:kern w:val="0"/>
          <w:sz w:val="24"/>
          <w:szCs w:val="24"/>
        </w:rPr>
        <w:t>系统应提供简便的操作界面，允许非专业用户通过简单的设置或指令就能启动和管理焊接任务，减少对技术人员的依赖。</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1.6.5稳定性要求：</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1.6.5.1所生成的焊接程序，不能与周边夹钳、定位块及框架等发生碰撞，机器人之间、机器人与变位机之间不能发生碰撞，格栅、组件、电焊工件一次性焊接合格率达98%以上。</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1.6.5.2单条焊缝发生偏离后，直接调用程序进行标定点微调，保证焊缝一致性。</w:t>
      </w:r>
    </w:p>
    <w:p>
      <w:pPr>
        <w:pStyle w:val="76"/>
        <w:ind w:firstLine="1" w:firstLineChars="0"/>
        <w:rPr>
          <w:rFonts w:eastAsia="仿宋_GB2312"/>
          <w:color w:val="000000"/>
          <w:kern w:val="0"/>
          <w:sz w:val="24"/>
          <w:szCs w:val="24"/>
        </w:rPr>
      </w:pPr>
      <w:r>
        <w:rPr>
          <w:rFonts w:hint="eastAsia" w:eastAsia="仿宋_GB2312"/>
          <w:color w:val="000000"/>
          <w:kern w:val="0"/>
          <w:sz w:val="24"/>
          <w:szCs w:val="24"/>
        </w:rPr>
        <w:t>1.6.6安全要求：</w:t>
      </w:r>
      <w:r>
        <w:rPr>
          <w:rFonts w:eastAsia="仿宋_GB2312"/>
          <w:color w:val="000000"/>
          <w:kern w:val="0"/>
          <w:sz w:val="24"/>
          <w:szCs w:val="24"/>
        </w:rPr>
        <w:t>集成先进的安全监测和防护措施，确保机器人在无人干预下工作时也能遵守安全操作规程，路径规划时能够计算夹具及胎具位置，避免碰撞及意外伤害。</w:t>
      </w:r>
    </w:p>
    <w:p>
      <w:pPr>
        <w:pStyle w:val="76"/>
        <w:ind w:firstLine="1" w:firstLineChars="0"/>
        <w:rPr>
          <w:rFonts w:eastAsia="仿宋_GB2312"/>
          <w:b/>
          <w:bCs/>
          <w:color w:val="000000"/>
          <w:kern w:val="0"/>
          <w:sz w:val="24"/>
          <w:szCs w:val="24"/>
        </w:rPr>
      </w:pPr>
      <w:r>
        <w:rPr>
          <w:rFonts w:eastAsia="仿宋_GB2312"/>
          <w:b/>
          <w:bCs/>
          <w:color w:val="000000"/>
          <w:kern w:val="0"/>
          <w:sz w:val="24"/>
          <w:szCs w:val="24"/>
        </w:rPr>
        <w:t xml:space="preserve">二、项目设计原则 </w:t>
      </w:r>
    </w:p>
    <w:p>
      <w:pPr>
        <w:pStyle w:val="76"/>
        <w:ind w:firstLine="1" w:firstLineChars="0"/>
        <w:rPr>
          <w:rFonts w:eastAsia="仿宋_GB2312"/>
          <w:color w:val="000000"/>
          <w:kern w:val="0"/>
          <w:sz w:val="24"/>
          <w:szCs w:val="24"/>
        </w:rPr>
      </w:pPr>
      <w:r>
        <w:rPr>
          <w:rFonts w:eastAsia="仿宋_GB2312"/>
          <w:color w:val="000000"/>
          <w:kern w:val="0"/>
          <w:sz w:val="24"/>
          <w:szCs w:val="24"/>
        </w:rPr>
        <w:t xml:space="preserve">1本项目为交钥匙工程，该项目所需物料均由投标方负责制作或集成，安装、调试、应用正常及验收合格后方能交付；    </w:t>
      </w:r>
    </w:p>
    <w:p>
      <w:pPr>
        <w:pStyle w:val="76"/>
        <w:ind w:firstLine="1" w:firstLineChars="0"/>
        <w:rPr>
          <w:rFonts w:eastAsia="仿宋_GB2312"/>
          <w:color w:val="000000"/>
          <w:kern w:val="0"/>
          <w:sz w:val="24"/>
          <w:szCs w:val="24"/>
        </w:rPr>
      </w:pPr>
      <w:r>
        <w:rPr>
          <w:rFonts w:eastAsia="仿宋_GB2312"/>
          <w:color w:val="000000"/>
          <w:kern w:val="0"/>
          <w:sz w:val="24"/>
          <w:szCs w:val="24"/>
        </w:rPr>
        <w:t>2.设备设计制造应符合国际工业标准(ISO)和国际电工标准(IEC)。</w:t>
      </w:r>
    </w:p>
    <w:p>
      <w:pPr>
        <w:pStyle w:val="76"/>
        <w:ind w:firstLine="1" w:firstLineChars="0"/>
        <w:rPr>
          <w:rFonts w:eastAsia="仿宋_GB2312"/>
          <w:b/>
          <w:bCs/>
          <w:color w:val="000000"/>
          <w:kern w:val="0"/>
          <w:sz w:val="24"/>
          <w:szCs w:val="24"/>
        </w:rPr>
      </w:pPr>
      <w:r>
        <w:rPr>
          <w:rFonts w:eastAsia="仿宋_GB2312"/>
          <w:b/>
          <w:bCs/>
          <w:color w:val="000000"/>
          <w:kern w:val="0"/>
          <w:sz w:val="24"/>
          <w:szCs w:val="24"/>
        </w:rPr>
        <w:t>3.电机功率≥7.5kW的，必须选用一级能效。</w:t>
      </w:r>
    </w:p>
    <w:p>
      <w:pPr>
        <w:pStyle w:val="76"/>
        <w:ind w:firstLine="1" w:firstLineChars="0"/>
        <w:rPr>
          <w:rFonts w:eastAsia="仿宋_GB2312"/>
          <w:color w:val="000000"/>
          <w:kern w:val="0"/>
          <w:sz w:val="24"/>
          <w:szCs w:val="24"/>
        </w:rPr>
      </w:pPr>
      <w:r>
        <w:rPr>
          <w:rFonts w:eastAsia="仿宋_GB2312"/>
          <w:color w:val="000000"/>
          <w:kern w:val="0"/>
          <w:sz w:val="24"/>
          <w:szCs w:val="24"/>
        </w:rPr>
        <w:t>4.设备必须有足够的强度、刚度、稳定性、安全性及使用寿命，以保证人身和设备的安全；设备所选用的运动部件，必须保证结构紧凑、响应快、可靠性高、运动平滑灵活，效率高，动作范围广泛；机组能够避免线束或电缆与设备本体缠绕、与工件及工装夹具干涉,保证焊接过程设备状态稳定；设备的外形结构应尽量平整光滑，避免尖角及棱边。对加工区易发生伤害的设备，应采取有效的防护措施；设备应具有紧急停车功能。</w:t>
      </w:r>
    </w:p>
    <w:p>
      <w:pPr>
        <w:pStyle w:val="76"/>
        <w:ind w:firstLine="1" w:firstLineChars="0"/>
        <w:rPr>
          <w:rFonts w:eastAsia="仿宋_GB2312"/>
          <w:b/>
          <w:bCs/>
          <w:color w:val="000000"/>
          <w:kern w:val="0"/>
          <w:sz w:val="24"/>
          <w:szCs w:val="24"/>
        </w:rPr>
      </w:pPr>
      <w:r>
        <w:rPr>
          <w:rFonts w:eastAsia="仿宋_GB2312"/>
          <w:b/>
          <w:bCs/>
          <w:color w:val="000000"/>
          <w:kern w:val="0"/>
          <w:sz w:val="24"/>
          <w:szCs w:val="24"/>
        </w:rPr>
        <w:t>5.电器安全防护要求</w:t>
      </w:r>
    </w:p>
    <w:p>
      <w:pPr>
        <w:pStyle w:val="76"/>
        <w:ind w:firstLine="1" w:firstLineChars="0"/>
        <w:rPr>
          <w:rFonts w:eastAsia="仿宋_GB2312"/>
          <w:color w:val="000000"/>
          <w:kern w:val="0"/>
          <w:sz w:val="24"/>
          <w:szCs w:val="24"/>
        </w:rPr>
      </w:pPr>
      <w:r>
        <w:rPr>
          <w:rFonts w:eastAsia="仿宋_GB2312"/>
          <w:color w:val="000000"/>
          <w:kern w:val="0"/>
          <w:sz w:val="24"/>
          <w:szCs w:val="24"/>
        </w:rPr>
        <w:t>5.1金属线槽、桥架及其附件表面应经静电喷粉处理或采用热镀锌板，其规格、型号应符合设计要求并有合格证。</w:t>
      </w:r>
    </w:p>
    <w:p>
      <w:pPr>
        <w:pStyle w:val="76"/>
        <w:ind w:firstLine="1" w:firstLineChars="0"/>
        <w:rPr>
          <w:rFonts w:eastAsia="仿宋_GB2312"/>
          <w:color w:val="000000"/>
          <w:kern w:val="0"/>
          <w:sz w:val="24"/>
          <w:szCs w:val="24"/>
        </w:rPr>
      </w:pPr>
      <w:r>
        <w:rPr>
          <w:rFonts w:eastAsia="仿宋_GB2312"/>
          <w:color w:val="000000"/>
          <w:kern w:val="0"/>
          <w:sz w:val="24"/>
          <w:szCs w:val="24"/>
        </w:rPr>
        <w:t>5.2金属外壳（如控制柜、电机、限位开关）必须接地，控制柜、装配台和门必须直接接地。</w:t>
      </w:r>
    </w:p>
    <w:p>
      <w:pPr>
        <w:pStyle w:val="76"/>
        <w:ind w:firstLine="1" w:firstLineChars="0"/>
        <w:rPr>
          <w:rFonts w:eastAsia="仿宋_GB2312"/>
          <w:color w:val="000000"/>
          <w:kern w:val="0"/>
          <w:sz w:val="24"/>
          <w:szCs w:val="24"/>
        </w:rPr>
      </w:pPr>
      <w:r>
        <w:rPr>
          <w:rFonts w:eastAsia="仿宋_GB2312"/>
          <w:color w:val="000000"/>
          <w:kern w:val="0"/>
          <w:sz w:val="24"/>
          <w:szCs w:val="24"/>
        </w:rPr>
        <w:t>5.3热载保护及安全保护。热载保护：交流驱动装置电路中安装三相热载保护，电机使用的大功率变频器要依据设备要求配有制动单元或制动电阻；安全保护：在所有潮湿环境下的设备要加装漏电保护装置，裸露的带电装置有通电指示灯。</w:t>
      </w:r>
    </w:p>
    <w:p>
      <w:pPr>
        <w:pStyle w:val="76"/>
        <w:ind w:firstLine="1" w:firstLineChars="0"/>
        <w:rPr>
          <w:rFonts w:eastAsia="仿宋_GB2312"/>
          <w:color w:val="000000"/>
          <w:kern w:val="0"/>
          <w:sz w:val="24"/>
          <w:szCs w:val="24"/>
        </w:rPr>
      </w:pPr>
      <w:r>
        <w:rPr>
          <w:rFonts w:eastAsia="仿宋_GB2312"/>
          <w:color w:val="000000"/>
          <w:kern w:val="0"/>
          <w:sz w:val="24"/>
          <w:szCs w:val="24"/>
        </w:rPr>
        <w:t>5.4电气控制系统元件考虑防火、防潮、高温、防腐等特殊环境的要求；电器元件采用灵敏可靠，质量优异，性价比高的产品（电器元件优先选用西门子或施耐德品牌）。</w:t>
      </w:r>
    </w:p>
    <w:p>
      <w:pPr>
        <w:pStyle w:val="76"/>
        <w:ind w:firstLine="1" w:firstLineChars="0"/>
        <w:rPr>
          <w:rFonts w:eastAsia="仿宋_GB2312"/>
          <w:color w:val="000000"/>
          <w:kern w:val="0"/>
          <w:sz w:val="24"/>
          <w:szCs w:val="24"/>
        </w:rPr>
      </w:pPr>
      <w:r>
        <w:rPr>
          <w:rFonts w:hint="eastAsia" w:eastAsia="仿宋_GB2312"/>
          <w:bCs/>
          <w:color w:val="000000"/>
          <w:kern w:val="0"/>
          <w:sz w:val="24"/>
          <w:szCs w:val="24"/>
        </w:rPr>
        <w:t>5.5</w:t>
      </w:r>
      <w:r>
        <w:rPr>
          <w:rFonts w:eastAsia="仿宋_GB2312"/>
          <w:bCs/>
          <w:color w:val="000000"/>
          <w:kern w:val="0"/>
          <w:sz w:val="24"/>
          <w:szCs w:val="24"/>
        </w:rPr>
        <w:t>乙方需将设备所有用电单元集中至一个控制柜，甲方提供一个电源接口进行适配。</w:t>
      </w:r>
    </w:p>
    <w:p>
      <w:pPr>
        <w:pStyle w:val="76"/>
        <w:ind w:firstLine="1" w:firstLineChars="0"/>
        <w:rPr>
          <w:rFonts w:eastAsia="仿宋_GB2312"/>
          <w:b/>
          <w:color w:val="000000"/>
          <w:kern w:val="0"/>
          <w:sz w:val="24"/>
          <w:szCs w:val="24"/>
        </w:rPr>
      </w:pPr>
      <w:r>
        <w:rPr>
          <w:rFonts w:eastAsia="仿宋_GB2312"/>
          <w:b/>
          <w:color w:val="000000"/>
          <w:kern w:val="0"/>
          <w:sz w:val="24"/>
          <w:szCs w:val="24"/>
        </w:rPr>
        <w:t>6、其他</w:t>
      </w:r>
    </w:p>
    <w:p>
      <w:pPr>
        <w:pStyle w:val="76"/>
        <w:ind w:firstLine="0" w:firstLineChars="0"/>
        <w:rPr>
          <w:rFonts w:eastAsia="仿宋_GB2312"/>
          <w:color w:val="000000"/>
          <w:kern w:val="0"/>
          <w:sz w:val="24"/>
          <w:szCs w:val="24"/>
        </w:rPr>
      </w:pPr>
      <w:r>
        <w:rPr>
          <w:rFonts w:eastAsia="仿宋_GB2312"/>
          <w:color w:val="000000"/>
          <w:kern w:val="0"/>
          <w:sz w:val="24"/>
          <w:szCs w:val="24"/>
        </w:rPr>
        <w:t>6.1设备所需要的基建工程由中标方负责。</w:t>
      </w:r>
    </w:p>
    <w:p>
      <w:pPr>
        <w:rPr>
          <w:rFonts w:eastAsia="仿宋_GB2312"/>
          <w:sz w:val="24"/>
          <w:szCs w:val="24"/>
          <w:shd w:val="clear" w:color="auto" w:fill="FFFFFF"/>
        </w:rPr>
      </w:pPr>
      <w:r>
        <w:rPr>
          <w:rFonts w:eastAsia="仿宋_GB2312"/>
          <w:color w:val="000000"/>
          <w:kern w:val="0"/>
          <w:sz w:val="24"/>
          <w:szCs w:val="24"/>
        </w:rPr>
        <w:t>6.2</w:t>
      </w:r>
      <w:r>
        <w:rPr>
          <w:rFonts w:eastAsia="仿宋_GB2312"/>
          <w:sz w:val="24"/>
          <w:szCs w:val="24"/>
          <w:shd w:val="clear" w:color="auto" w:fill="FFFFFF"/>
        </w:rPr>
        <w:t>方案设计要遵循技术先进、功能齐全、性能稳定、节约成本的原则。并综合考虑施工、维护及操作因素，并将为今后的发展、扩建、改造等因素留有扩充的余地。本系统设计内容要系统、完整、全面；设计方案具有科学性、合理性、可操作性。</w:t>
      </w:r>
    </w:p>
    <w:p>
      <w:pPr>
        <w:rPr>
          <w:rFonts w:eastAsia="仿宋_GB2312"/>
          <w:sz w:val="24"/>
          <w:szCs w:val="24"/>
          <w:shd w:val="clear" w:color="auto" w:fill="FFFFFF"/>
        </w:rPr>
      </w:pPr>
      <w:r>
        <w:rPr>
          <w:rFonts w:eastAsia="仿宋_GB2312"/>
          <w:sz w:val="24"/>
          <w:szCs w:val="24"/>
          <w:shd w:val="clear" w:color="auto" w:fill="FFFFFF"/>
        </w:rPr>
        <w:t>6.2.1先进性与适用性</w:t>
      </w:r>
    </w:p>
    <w:p>
      <w:pPr>
        <w:rPr>
          <w:rFonts w:eastAsia="仿宋_GB2312"/>
          <w:sz w:val="24"/>
          <w:szCs w:val="24"/>
          <w:shd w:val="clear" w:color="auto" w:fill="FFFFFF"/>
        </w:rPr>
      </w:pPr>
      <w:r>
        <w:rPr>
          <w:rFonts w:eastAsia="仿宋_GB2312"/>
          <w:sz w:val="24"/>
          <w:szCs w:val="24"/>
          <w:shd w:val="clear" w:color="auto" w:fill="FFFFFF"/>
        </w:rPr>
        <w:t>系统的安装调试、软件编程和操作使用又应简便易行，容易掌握，适合中国国情和本项目的特点。系统要体现当前自动化控制技术的最新发展水平，适应时代发展的要求。同时系统以能给用户提供舒适、安全、方便、快捷为准则，其操作应简便易学。</w:t>
      </w:r>
    </w:p>
    <w:p>
      <w:pPr>
        <w:rPr>
          <w:rFonts w:eastAsia="仿宋_GB2312"/>
          <w:sz w:val="24"/>
          <w:szCs w:val="24"/>
          <w:shd w:val="clear" w:color="auto" w:fill="FFFFFF"/>
        </w:rPr>
      </w:pPr>
      <w:r>
        <w:rPr>
          <w:rFonts w:eastAsia="仿宋_GB2312"/>
          <w:sz w:val="24"/>
          <w:szCs w:val="24"/>
          <w:shd w:val="clear" w:color="auto" w:fill="FFFFFF"/>
        </w:rPr>
        <w:t>6.2.2经济性与实用性</w:t>
      </w:r>
    </w:p>
    <w:p>
      <w:pPr>
        <w:rPr>
          <w:rFonts w:eastAsia="仿宋_GB2312"/>
          <w:sz w:val="24"/>
          <w:szCs w:val="24"/>
          <w:shd w:val="clear" w:color="auto" w:fill="FFFFFF"/>
        </w:rPr>
      </w:pPr>
      <w:r>
        <w:rPr>
          <w:rFonts w:eastAsia="仿宋_GB2312"/>
          <w:sz w:val="24"/>
          <w:szCs w:val="24"/>
          <w:shd w:val="clear" w:color="auto" w:fill="FFFFFF"/>
        </w:rPr>
        <w:t>系统设计要充分考虑用户实际需要，根据用户现场环境，设计选用功能和适合现场情况、符合用户要求的系统解决方案，通过严密、有机的组合，实现最佳的性能价格比，以便节约工程投资，同时保证系统功能实施的需求，经济实用。</w:t>
      </w:r>
    </w:p>
    <w:p>
      <w:pPr>
        <w:rPr>
          <w:rFonts w:eastAsia="仿宋_GB2312"/>
          <w:sz w:val="24"/>
          <w:szCs w:val="24"/>
          <w:shd w:val="clear" w:color="auto" w:fill="FFFFFF"/>
        </w:rPr>
      </w:pPr>
      <w:r>
        <w:rPr>
          <w:rFonts w:eastAsia="仿宋_GB2312"/>
          <w:sz w:val="24"/>
          <w:szCs w:val="24"/>
          <w:shd w:val="clear" w:color="auto" w:fill="FFFFFF"/>
        </w:rPr>
        <w:t>6.2.3可靠性与安全性</w:t>
      </w:r>
    </w:p>
    <w:p>
      <w:pPr>
        <w:pStyle w:val="76"/>
        <w:ind w:firstLine="0" w:firstLineChars="0"/>
        <w:rPr>
          <w:rFonts w:eastAsia="仿宋_GB2312"/>
          <w:sz w:val="24"/>
          <w:szCs w:val="24"/>
          <w:shd w:val="clear" w:color="auto" w:fill="FFFFFF"/>
        </w:rPr>
      </w:pPr>
      <w:r>
        <w:rPr>
          <w:rFonts w:eastAsia="仿宋_GB2312"/>
          <w:sz w:val="24"/>
          <w:szCs w:val="24"/>
          <w:shd w:val="clear" w:color="auto" w:fill="FFFFFF"/>
        </w:rPr>
        <w:t>系统的设计应具有较高的可靠性，在系统故障或事故造成中断后，能确保数据的准确性、完整性和一致性，并具备迅速恢复的功能，同时系统具有一整套完善的安全管理策略，可以保证系统的运行安全。</w:t>
      </w:r>
    </w:p>
    <w:p>
      <w:pPr>
        <w:pStyle w:val="77"/>
        <w:numPr>
          <w:ilvl w:val="0"/>
          <w:numId w:val="3"/>
        </w:numPr>
        <w:outlineLvl w:val="0"/>
        <w:rPr>
          <w:rFonts w:ascii="Times New Roman" w:hAnsi="Times New Roman" w:eastAsia="仿宋_GB2312" w:cs="Times New Roman"/>
          <w:b/>
          <w:bCs/>
          <w:szCs w:val="24"/>
        </w:rPr>
      </w:pPr>
      <w:bookmarkStart w:id="249" w:name="_Toc14679"/>
      <w:bookmarkStart w:id="250" w:name="_Toc1953159935"/>
      <w:bookmarkStart w:id="251" w:name="_Toc31253"/>
      <w:bookmarkStart w:id="252" w:name="_Toc31693"/>
      <w:bookmarkStart w:id="253" w:name="_Toc1979182963"/>
      <w:r>
        <w:rPr>
          <w:rFonts w:ascii="Times New Roman" w:hAnsi="Times New Roman" w:eastAsia="仿宋_GB2312" w:cs="Times New Roman"/>
          <w:b/>
          <w:bCs/>
          <w:szCs w:val="24"/>
        </w:rPr>
        <w:t>设备技术要求</w:t>
      </w:r>
      <w:bookmarkEnd w:id="249"/>
      <w:bookmarkEnd w:id="250"/>
      <w:bookmarkEnd w:id="251"/>
      <w:bookmarkEnd w:id="252"/>
      <w:bookmarkEnd w:id="253"/>
    </w:p>
    <w:p>
      <w:pPr>
        <w:spacing w:line="300" w:lineRule="auto"/>
        <w:rPr>
          <w:rFonts w:eastAsia="仿宋_GB2312"/>
          <w:b/>
          <w:color w:val="000000"/>
          <w:kern w:val="0"/>
          <w:sz w:val="24"/>
          <w:szCs w:val="24"/>
        </w:rPr>
      </w:pPr>
      <w:r>
        <w:rPr>
          <w:rFonts w:eastAsia="仿宋_GB2312"/>
          <w:b/>
          <w:color w:val="000000"/>
          <w:kern w:val="0"/>
          <w:sz w:val="24"/>
          <w:szCs w:val="24"/>
        </w:rPr>
        <w:t>1 视觉传感器开发系统要求</w:t>
      </w:r>
      <w:r>
        <w:rPr>
          <w:rFonts w:hAnsi="宋体"/>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1.1 视觉传感空间分辨率达到0.1mm</w:t>
      </w:r>
      <w:r>
        <w:rPr>
          <w:rFonts w:hint="eastAsia" w:eastAsia="仿宋_GB2312"/>
          <w:bCs/>
          <w:color w:val="000000"/>
          <w:kern w:val="0"/>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1.2 图像分辨率不小于2592×2048pixels</w:t>
      </w:r>
      <w:r>
        <w:rPr>
          <w:rFonts w:hint="eastAsia" w:eastAsia="仿宋_GB2312"/>
          <w:bCs/>
          <w:color w:val="000000"/>
          <w:kern w:val="0"/>
          <w:sz w:val="24"/>
          <w:szCs w:val="24"/>
        </w:rPr>
        <w:t>。</w:t>
      </w:r>
    </w:p>
    <w:p>
      <w:pPr>
        <w:pStyle w:val="76"/>
        <w:ind w:firstLine="1" w:firstLineChars="0"/>
        <w:rPr>
          <w:rFonts w:eastAsia="仿宋_GB2312"/>
          <w:bCs/>
          <w:color w:val="000000"/>
          <w:kern w:val="0"/>
          <w:sz w:val="24"/>
          <w:szCs w:val="24"/>
          <w:highlight w:val="none"/>
        </w:rPr>
      </w:pPr>
      <w:r>
        <w:rPr>
          <w:rFonts w:eastAsia="仿宋_GB2312"/>
          <w:bCs/>
          <w:color w:val="000000"/>
          <w:kern w:val="0"/>
          <w:sz w:val="24"/>
          <w:szCs w:val="24"/>
          <w:highlight w:val="none"/>
        </w:rPr>
        <w:t>1.3 视野范围不小于</w:t>
      </w:r>
      <w:r>
        <w:rPr>
          <w:rFonts w:hint="eastAsia" w:eastAsia="仿宋_GB2312"/>
          <w:bCs/>
          <w:color w:val="000000"/>
          <w:kern w:val="0"/>
          <w:sz w:val="24"/>
          <w:szCs w:val="24"/>
          <w:highlight w:val="none"/>
          <w:lang w:val="en-US" w:eastAsia="zh-CN"/>
        </w:rPr>
        <w:t>3</w:t>
      </w:r>
      <w:r>
        <w:rPr>
          <w:rFonts w:eastAsia="仿宋_GB2312"/>
          <w:bCs/>
          <w:color w:val="000000"/>
          <w:kern w:val="0"/>
          <w:sz w:val="24"/>
          <w:szCs w:val="24"/>
          <w:highlight w:val="none"/>
        </w:rPr>
        <w:t>m×</w:t>
      </w:r>
      <w:r>
        <w:rPr>
          <w:rFonts w:hint="eastAsia" w:eastAsia="仿宋_GB2312"/>
          <w:bCs/>
          <w:color w:val="000000"/>
          <w:kern w:val="0"/>
          <w:sz w:val="24"/>
          <w:szCs w:val="24"/>
          <w:highlight w:val="none"/>
          <w:lang w:val="en-US" w:eastAsia="zh-CN"/>
        </w:rPr>
        <w:t>2.5</w:t>
      </w:r>
      <w:r>
        <w:rPr>
          <w:rFonts w:eastAsia="仿宋_GB2312"/>
          <w:bCs/>
          <w:color w:val="000000"/>
          <w:kern w:val="0"/>
          <w:sz w:val="24"/>
          <w:szCs w:val="24"/>
          <w:highlight w:val="none"/>
        </w:rPr>
        <w:t>m</w:t>
      </w:r>
      <w:r>
        <w:rPr>
          <w:rFonts w:hint="eastAsia" w:eastAsia="仿宋_GB2312"/>
          <w:bCs/>
          <w:color w:val="000000"/>
          <w:kern w:val="0"/>
          <w:sz w:val="24"/>
          <w:szCs w:val="24"/>
          <w:highlight w:val="none"/>
        </w:rPr>
        <w:t>（可以覆盖工作站加工工件）。</w:t>
      </w:r>
    </w:p>
    <w:p>
      <w:pPr>
        <w:pStyle w:val="76"/>
        <w:ind w:firstLine="1" w:firstLineChars="0"/>
        <w:rPr>
          <w:rFonts w:eastAsia="仿宋_GB2312"/>
          <w:bCs/>
          <w:color w:val="000000"/>
          <w:kern w:val="0"/>
          <w:sz w:val="24"/>
          <w:szCs w:val="24"/>
        </w:rPr>
      </w:pPr>
      <w:r>
        <w:rPr>
          <w:rFonts w:eastAsia="仿宋_GB2312"/>
          <w:bCs/>
          <w:color w:val="000000"/>
          <w:kern w:val="0"/>
          <w:sz w:val="24"/>
          <w:szCs w:val="24"/>
        </w:rPr>
        <w:t>1.</w:t>
      </w:r>
      <w:r>
        <w:rPr>
          <w:rFonts w:hint="eastAsia" w:eastAsia="仿宋_GB2312"/>
          <w:bCs/>
          <w:color w:val="000000"/>
          <w:kern w:val="0"/>
          <w:sz w:val="24"/>
          <w:szCs w:val="24"/>
        </w:rPr>
        <w:t>4</w:t>
      </w:r>
      <w:r>
        <w:rPr>
          <w:rFonts w:eastAsia="仿宋_GB2312"/>
          <w:bCs/>
          <w:color w:val="000000"/>
          <w:kern w:val="0"/>
          <w:sz w:val="24"/>
          <w:szCs w:val="24"/>
        </w:rPr>
        <w:t>自动升降高度1.8m～3.3m</w:t>
      </w:r>
      <w:r>
        <w:rPr>
          <w:rFonts w:hint="eastAsia" w:eastAsia="仿宋_GB2312"/>
          <w:bCs/>
          <w:color w:val="000000"/>
          <w:kern w:val="0"/>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1.</w:t>
      </w:r>
      <w:r>
        <w:rPr>
          <w:rFonts w:hint="eastAsia" w:eastAsia="仿宋_GB2312"/>
          <w:bCs/>
          <w:color w:val="000000"/>
          <w:kern w:val="0"/>
          <w:sz w:val="24"/>
          <w:szCs w:val="24"/>
        </w:rPr>
        <w:t>5</w:t>
      </w:r>
      <w:r>
        <w:rPr>
          <w:rFonts w:eastAsia="仿宋_GB2312"/>
          <w:bCs/>
          <w:color w:val="000000"/>
          <w:kern w:val="0"/>
          <w:sz w:val="24"/>
          <w:szCs w:val="24"/>
        </w:rPr>
        <w:t>安装防护罩情况下，IP防护等级不低于IP65(正确安装镜头以及线缆的情况下)</w:t>
      </w:r>
      <w:r>
        <w:rPr>
          <w:rFonts w:hint="eastAsia" w:eastAsia="仿宋_GB2312"/>
          <w:bCs/>
          <w:color w:val="000000"/>
          <w:kern w:val="0"/>
          <w:sz w:val="24"/>
          <w:szCs w:val="24"/>
        </w:rPr>
        <w:t>。</w:t>
      </w:r>
    </w:p>
    <w:p>
      <w:pPr>
        <w:pStyle w:val="76"/>
        <w:ind w:firstLine="1" w:firstLineChars="0"/>
        <w:rPr>
          <w:rFonts w:eastAsia="仿宋_GB2312"/>
          <w:b/>
          <w:color w:val="000000"/>
          <w:kern w:val="0"/>
          <w:sz w:val="24"/>
          <w:szCs w:val="24"/>
        </w:rPr>
      </w:pPr>
      <w:r>
        <w:rPr>
          <w:rFonts w:eastAsia="仿宋_GB2312"/>
          <w:b/>
          <w:color w:val="000000"/>
          <w:kern w:val="0"/>
          <w:sz w:val="24"/>
          <w:szCs w:val="24"/>
        </w:rPr>
        <w:t>2 通讯计算单元：</w:t>
      </w:r>
    </w:p>
    <w:p>
      <w:pPr>
        <w:pStyle w:val="76"/>
        <w:ind w:firstLine="1" w:firstLineChars="0"/>
        <w:rPr>
          <w:rFonts w:eastAsia="仿宋_GB2312"/>
          <w:bCs/>
          <w:color w:val="000000"/>
          <w:kern w:val="0"/>
          <w:sz w:val="24"/>
          <w:szCs w:val="24"/>
        </w:rPr>
      </w:pPr>
      <w:r>
        <w:rPr>
          <w:rFonts w:eastAsia="仿宋_GB2312"/>
          <w:bCs/>
          <w:color w:val="000000"/>
          <w:kern w:val="0"/>
          <w:sz w:val="24"/>
          <w:szCs w:val="24"/>
        </w:rPr>
        <w:t>2.1 通讯计算综合时延低于50ms</w:t>
      </w:r>
      <w:r>
        <w:rPr>
          <w:rFonts w:hint="eastAsia" w:eastAsia="仿宋_GB2312"/>
          <w:bCs/>
          <w:color w:val="000000"/>
          <w:kern w:val="0"/>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2.2 数据存储空间512GB</w:t>
      </w:r>
      <w:r>
        <w:rPr>
          <w:rFonts w:hint="eastAsia" w:eastAsia="仿宋_GB2312"/>
          <w:bCs/>
          <w:color w:val="000000"/>
          <w:kern w:val="0"/>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2.3 6核中央处理器</w:t>
      </w:r>
      <w:r>
        <w:rPr>
          <w:rFonts w:hint="eastAsia" w:eastAsia="仿宋_GB2312"/>
          <w:bCs/>
          <w:color w:val="000000"/>
          <w:kern w:val="0"/>
          <w:sz w:val="24"/>
          <w:szCs w:val="24"/>
        </w:rPr>
        <w:t>（英特尔i7,6核12线程，主频3.2G）。</w:t>
      </w:r>
    </w:p>
    <w:p>
      <w:pPr>
        <w:pStyle w:val="76"/>
        <w:ind w:firstLine="1" w:firstLineChars="0"/>
        <w:rPr>
          <w:rFonts w:eastAsia="仿宋_GB2312"/>
          <w:bCs/>
          <w:color w:val="000000"/>
          <w:kern w:val="0"/>
          <w:sz w:val="24"/>
          <w:szCs w:val="24"/>
        </w:rPr>
      </w:pPr>
      <w:r>
        <w:rPr>
          <w:rFonts w:eastAsia="仿宋_GB2312"/>
          <w:bCs/>
          <w:color w:val="000000"/>
          <w:kern w:val="0"/>
          <w:sz w:val="24"/>
          <w:szCs w:val="24"/>
        </w:rPr>
        <w:t>2.4 轨迹自主规划计算模块</w:t>
      </w:r>
      <w:r>
        <w:rPr>
          <w:rFonts w:hint="eastAsia" w:eastAsia="仿宋_GB2312"/>
          <w:bCs/>
          <w:color w:val="000000"/>
          <w:kern w:val="0"/>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2.5 WIFI 5 (802.11ac 2x2)</w:t>
      </w:r>
      <w:r>
        <w:rPr>
          <w:rFonts w:hint="eastAsia" w:eastAsia="仿宋_GB2312"/>
          <w:bCs/>
          <w:color w:val="000000"/>
          <w:kern w:val="0"/>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2.6 蓝牙5.0通讯模块</w:t>
      </w:r>
      <w:r>
        <w:rPr>
          <w:rFonts w:hint="eastAsia" w:eastAsia="仿宋_GB2312"/>
          <w:bCs/>
          <w:color w:val="000000"/>
          <w:kern w:val="0"/>
          <w:sz w:val="24"/>
          <w:szCs w:val="24"/>
        </w:rPr>
        <w:t>。</w:t>
      </w:r>
    </w:p>
    <w:p>
      <w:pPr>
        <w:pStyle w:val="76"/>
        <w:ind w:firstLine="1" w:firstLineChars="0"/>
        <w:rPr>
          <w:rFonts w:eastAsia="仿宋_GB2312"/>
          <w:b/>
          <w:color w:val="000000"/>
          <w:kern w:val="0"/>
          <w:sz w:val="24"/>
          <w:szCs w:val="24"/>
        </w:rPr>
      </w:pPr>
      <w:r>
        <w:rPr>
          <w:rFonts w:eastAsia="仿宋_GB2312"/>
          <w:b/>
          <w:color w:val="000000"/>
          <w:kern w:val="0"/>
          <w:sz w:val="24"/>
          <w:szCs w:val="24"/>
        </w:rPr>
        <w:t>3</w:t>
      </w:r>
      <w:r>
        <w:rPr>
          <w:rFonts w:hint="eastAsia" w:eastAsia="仿宋_GB2312"/>
          <w:b/>
          <w:color w:val="000000"/>
          <w:kern w:val="0"/>
          <w:sz w:val="24"/>
          <w:szCs w:val="24"/>
        </w:rPr>
        <w:t>智能无代码编程控制器和</w:t>
      </w:r>
      <w:r>
        <w:rPr>
          <w:rFonts w:eastAsia="仿宋_GB2312"/>
          <w:b/>
          <w:color w:val="000000"/>
          <w:kern w:val="0"/>
          <w:sz w:val="24"/>
          <w:szCs w:val="24"/>
        </w:rPr>
        <w:t>无线智能触控式焊枪仿型引导工具</w:t>
      </w:r>
      <w:r>
        <w:rPr>
          <w:rFonts w:hint="eastAsia" w:eastAsia="仿宋_GB2312"/>
          <w:b/>
          <w:color w:val="000000"/>
          <w:kern w:val="0"/>
          <w:sz w:val="24"/>
          <w:szCs w:val="24"/>
        </w:rPr>
        <w:t>要求</w:t>
      </w:r>
      <w:r>
        <w:rPr>
          <w:rFonts w:eastAsia="仿宋_GB2312"/>
          <w:b/>
          <w:color w:val="000000"/>
          <w:kern w:val="0"/>
          <w:sz w:val="24"/>
          <w:szCs w:val="24"/>
        </w:rPr>
        <w:t>：</w:t>
      </w:r>
    </w:p>
    <w:p>
      <w:pPr>
        <w:pStyle w:val="76"/>
        <w:ind w:firstLine="1" w:firstLineChars="0"/>
        <w:rPr>
          <w:rFonts w:eastAsia="仿宋_GB2312"/>
          <w:bCs/>
          <w:color w:val="000000"/>
          <w:kern w:val="0"/>
          <w:sz w:val="24"/>
          <w:szCs w:val="24"/>
        </w:rPr>
      </w:pPr>
      <w:r>
        <w:rPr>
          <w:rFonts w:eastAsia="仿宋_GB2312"/>
          <w:bCs/>
          <w:color w:val="000000"/>
          <w:kern w:val="0"/>
          <w:sz w:val="24"/>
          <w:szCs w:val="24"/>
        </w:rPr>
        <w:t>3.1 可通过触控UI实现工艺参数的选择和示教点的删减修改；</w:t>
      </w:r>
    </w:p>
    <w:p>
      <w:pPr>
        <w:pStyle w:val="76"/>
        <w:ind w:firstLine="1" w:firstLineChars="0"/>
        <w:rPr>
          <w:rFonts w:eastAsia="仿宋_GB2312"/>
          <w:bCs/>
          <w:color w:val="000000"/>
          <w:kern w:val="0"/>
          <w:sz w:val="24"/>
          <w:szCs w:val="24"/>
        </w:rPr>
      </w:pPr>
      <w:r>
        <w:rPr>
          <w:rFonts w:eastAsia="仿宋_GB2312"/>
          <w:bCs/>
          <w:color w:val="000000"/>
          <w:kern w:val="0"/>
          <w:sz w:val="24"/>
          <w:szCs w:val="24"/>
        </w:rPr>
        <w:t xml:space="preserve">3.2 </w:t>
      </w:r>
      <w:r>
        <w:rPr>
          <w:rFonts w:hint="eastAsia" w:eastAsia="仿宋_GB2312"/>
          <w:bCs/>
          <w:color w:val="000000"/>
          <w:kern w:val="0"/>
          <w:sz w:val="24"/>
          <w:szCs w:val="24"/>
        </w:rPr>
        <w:t>智能无代码编程控制器系统具备指示灯，显示可见性，可达性；</w:t>
      </w:r>
    </w:p>
    <w:p>
      <w:pPr>
        <w:pStyle w:val="76"/>
        <w:ind w:firstLine="1" w:firstLineChars="0"/>
        <w:rPr>
          <w:rFonts w:eastAsia="仿宋_GB2312"/>
          <w:bCs/>
          <w:color w:val="000000"/>
          <w:kern w:val="0"/>
          <w:sz w:val="24"/>
          <w:szCs w:val="24"/>
          <w:highlight w:val="none"/>
        </w:rPr>
      </w:pPr>
      <w:r>
        <w:rPr>
          <w:rFonts w:eastAsia="仿宋_GB2312"/>
          <w:bCs/>
          <w:color w:val="000000"/>
          <w:kern w:val="0"/>
          <w:sz w:val="24"/>
          <w:szCs w:val="24"/>
        </w:rPr>
        <w:t xml:space="preserve">3.3 </w:t>
      </w:r>
      <w:r>
        <w:rPr>
          <w:rFonts w:eastAsia="仿宋_GB2312"/>
          <w:bCs/>
          <w:color w:val="000000"/>
          <w:kern w:val="0"/>
          <w:sz w:val="24"/>
          <w:szCs w:val="24"/>
          <w:highlight w:val="none"/>
        </w:rPr>
        <w:t>焊枪仿型引导工具设计需小巧易用，方便操作工握持，具有良好的人机工程，重量≤0.5kg，减轻操作人员体力劳动强度；</w:t>
      </w:r>
    </w:p>
    <w:p>
      <w:pPr>
        <w:pStyle w:val="76"/>
        <w:ind w:firstLine="1" w:firstLineChars="0"/>
        <w:rPr>
          <w:rFonts w:eastAsia="仿宋_GB2312"/>
          <w:bCs/>
          <w:color w:val="000000"/>
          <w:kern w:val="0"/>
          <w:sz w:val="24"/>
          <w:szCs w:val="24"/>
          <w:highlight w:val="none"/>
        </w:rPr>
      </w:pPr>
      <w:r>
        <w:rPr>
          <w:rFonts w:eastAsia="仿宋_GB2312"/>
          <w:bCs/>
          <w:color w:val="000000"/>
          <w:kern w:val="0"/>
          <w:sz w:val="24"/>
          <w:szCs w:val="24"/>
          <w:highlight w:val="none"/>
        </w:rPr>
        <w:t>3.4 焊枪仿型引导工具需适应在各个焊缝位置示教的姿态和角度，保证可见性；</w:t>
      </w:r>
    </w:p>
    <w:p>
      <w:pPr>
        <w:pStyle w:val="76"/>
        <w:ind w:firstLine="1" w:firstLineChars="0"/>
        <w:rPr>
          <w:rFonts w:eastAsia="仿宋_GB2312"/>
          <w:bCs/>
          <w:color w:val="000000"/>
          <w:kern w:val="0"/>
          <w:sz w:val="24"/>
          <w:szCs w:val="24"/>
        </w:rPr>
      </w:pPr>
      <w:r>
        <w:rPr>
          <w:rFonts w:eastAsia="仿宋_GB2312"/>
          <w:bCs/>
          <w:color w:val="000000"/>
          <w:kern w:val="0"/>
          <w:sz w:val="24"/>
          <w:szCs w:val="24"/>
          <w:highlight w:val="none"/>
        </w:rPr>
        <w:t>3.5 焊枪仿型引导工具在正常使用时应不需要校正，如出现意外磕碰、或者更换易损件后应可以在现场快速校正，出现严重的变形无法校准的情况，需提供返厂校准服务</w:t>
      </w:r>
      <w:r>
        <w:rPr>
          <w:rFonts w:eastAsia="仿宋_GB2312"/>
          <w:bCs/>
          <w:color w:val="000000"/>
          <w:kern w:val="0"/>
          <w:sz w:val="24"/>
          <w:szCs w:val="24"/>
        </w:rPr>
        <w:t>；</w:t>
      </w:r>
    </w:p>
    <w:p>
      <w:pPr>
        <w:pStyle w:val="76"/>
        <w:ind w:firstLine="1" w:firstLineChars="0"/>
        <w:rPr>
          <w:rFonts w:eastAsia="仿宋_GB2312"/>
          <w:b/>
          <w:color w:val="000000"/>
          <w:kern w:val="0"/>
          <w:sz w:val="24"/>
          <w:szCs w:val="24"/>
        </w:rPr>
      </w:pPr>
      <w:r>
        <w:rPr>
          <w:rFonts w:hint="eastAsia" w:eastAsia="仿宋_GB2312"/>
          <w:b/>
          <w:color w:val="000000"/>
          <w:kern w:val="0"/>
          <w:sz w:val="24"/>
          <w:szCs w:val="24"/>
        </w:rPr>
        <w:t>4 滑轨系统：</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4</w:t>
      </w:r>
      <w:r>
        <w:rPr>
          <w:rFonts w:eastAsia="仿宋_GB2312"/>
          <w:bCs/>
          <w:color w:val="000000"/>
          <w:kern w:val="0"/>
          <w:sz w:val="24"/>
          <w:szCs w:val="24"/>
        </w:rPr>
        <w:t>.1轨道</w:t>
      </w:r>
      <w:r>
        <w:rPr>
          <w:rFonts w:hint="eastAsia" w:eastAsia="仿宋_GB2312"/>
          <w:bCs/>
          <w:color w:val="000000"/>
          <w:kern w:val="0"/>
          <w:sz w:val="24"/>
          <w:szCs w:val="24"/>
        </w:rPr>
        <w:t>内嵌于地面</w:t>
      </w:r>
      <w:r>
        <w:rPr>
          <w:rFonts w:eastAsia="仿宋_GB2312"/>
          <w:bCs/>
          <w:color w:val="000000"/>
          <w:kern w:val="0"/>
          <w:sz w:val="24"/>
          <w:szCs w:val="24"/>
        </w:rPr>
        <w:t>，结构强度可靠，运行稳定，在厂房地面安装牢固，地脚安装位置需预埋钢板，详细预埋施工图纸需由乙方提供。</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4</w:t>
      </w:r>
      <w:r>
        <w:rPr>
          <w:rFonts w:eastAsia="仿宋_GB2312"/>
          <w:bCs/>
          <w:color w:val="000000"/>
          <w:kern w:val="0"/>
          <w:sz w:val="24"/>
          <w:szCs w:val="24"/>
        </w:rPr>
        <w:t>.</w:t>
      </w:r>
      <w:r>
        <w:rPr>
          <w:rFonts w:hint="eastAsia" w:eastAsia="仿宋_GB2312"/>
          <w:bCs/>
          <w:color w:val="000000"/>
          <w:kern w:val="0"/>
          <w:sz w:val="24"/>
          <w:szCs w:val="24"/>
        </w:rPr>
        <w:t>2</w:t>
      </w:r>
      <w:r>
        <w:rPr>
          <w:rFonts w:eastAsia="仿宋_GB2312"/>
          <w:bCs/>
          <w:color w:val="000000"/>
          <w:kern w:val="0"/>
          <w:sz w:val="24"/>
          <w:szCs w:val="24"/>
        </w:rPr>
        <w:t>整体采用全密封式设计，密封罩拆装方便。</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4</w:t>
      </w:r>
      <w:r>
        <w:rPr>
          <w:rFonts w:eastAsia="仿宋_GB2312"/>
          <w:bCs/>
          <w:color w:val="000000"/>
          <w:kern w:val="0"/>
          <w:sz w:val="24"/>
          <w:szCs w:val="24"/>
        </w:rPr>
        <w:t>.</w:t>
      </w:r>
      <w:r>
        <w:rPr>
          <w:rFonts w:hint="eastAsia" w:eastAsia="仿宋_GB2312"/>
          <w:bCs/>
          <w:color w:val="000000"/>
          <w:kern w:val="0"/>
          <w:sz w:val="24"/>
          <w:szCs w:val="24"/>
        </w:rPr>
        <w:t>3</w:t>
      </w:r>
      <w:r>
        <w:rPr>
          <w:rFonts w:eastAsia="仿宋_GB2312"/>
          <w:bCs/>
          <w:color w:val="000000"/>
          <w:kern w:val="0"/>
          <w:sz w:val="24"/>
          <w:szCs w:val="24"/>
        </w:rPr>
        <w:t>运行稳定可靠，齿轮、齿条需有防尘、防焊渣等防护，配备限位开关和机械限位，操作部位考虑操作安全，防止伤人事件发生。</w:t>
      </w:r>
    </w:p>
    <w:p>
      <w:pPr>
        <w:pStyle w:val="76"/>
        <w:ind w:firstLine="0" w:firstLineChars="0"/>
        <w:rPr>
          <w:rFonts w:eastAsia="仿宋_GB2312"/>
          <w:b/>
          <w:color w:val="000000"/>
          <w:kern w:val="0"/>
          <w:sz w:val="24"/>
          <w:szCs w:val="24"/>
        </w:rPr>
      </w:pPr>
      <w:r>
        <w:rPr>
          <w:rFonts w:hint="eastAsia" w:eastAsia="仿宋_GB2312"/>
          <w:bCs/>
          <w:color w:val="000000"/>
          <w:kern w:val="0"/>
          <w:sz w:val="24"/>
          <w:szCs w:val="24"/>
        </w:rPr>
        <w:t>4</w:t>
      </w:r>
      <w:r>
        <w:rPr>
          <w:rFonts w:eastAsia="仿宋_GB2312"/>
          <w:bCs/>
          <w:color w:val="000000"/>
          <w:kern w:val="0"/>
          <w:sz w:val="24"/>
          <w:szCs w:val="24"/>
        </w:rPr>
        <w:t>.4</w:t>
      </w:r>
      <w:r>
        <w:rPr>
          <w:rFonts w:eastAsia="仿宋_GB2312"/>
          <w:color w:val="000000"/>
          <w:kern w:val="0"/>
          <w:sz w:val="24"/>
          <w:szCs w:val="24"/>
        </w:rPr>
        <w:t>制焊车间拥有油压机、冲床等重型设备，需制定防震措施用于保证机器人重复定位精度。</w:t>
      </w:r>
    </w:p>
    <w:p>
      <w:pPr>
        <w:pStyle w:val="76"/>
        <w:ind w:firstLine="1" w:firstLineChars="0"/>
        <w:rPr>
          <w:rFonts w:eastAsia="仿宋_GB2312"/>
          <w:b/>
          <w:color w:val="000000"/>
          <w:kern w:val="0"/>
          <w:sz w:val="24"/>
          <w:szCs w:val="24"/>
        </w:rPr>
      </w:pPr>
      <w:r>
        <w:rPr>
          <w:rFonts w:hint="eastAsia" w:eastAsia="仿宋_GB2312"/>
          <w:b/>
          <w:color w:val="000000"/>
          <w:kern w:val="0"/>
          <w:sz w:val="24"/>
          <w:szCs w:val="24"/>
        </w:rPr>
        <w:t>5 整体系统要求</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5</w:t>
      </w:r>
      <w:r>
        <w:rPr>
          <w:rFonts w:eastAsia="仿宋_GB2312"/>
          <w:bCs/>
          <w:color w:val="000000"/>
          <w:kern w:val="0"/>
          <w:sz w:val="24"/>
          <w:szCs w:val="24"/>
        </w:rPr>
        <w:t>.1干涉避让：所生成的焊接程序，不能与周边夹钳、定位块及框架等发生碰撞，机器人之间、机器人与变位机之间不能发生碰撞。</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5</w:t>
      </w:r>
      <w:r>
        <w:rPr>
          <w:rFonts w:eastAsia="仿宋_GB2312"/>
          <w:bCs/>
          <w:color w:val="000000"/>
          <w:kern w:val="0"/>
          <w:sz w:val="24"/>
          <w:szCs w:val="24"/>
        </w:rPr>
        <w:t>.2过程控制交互：</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5.2.1</w:t>
      </w:r>
      <w:r>
        <w:rPr>
          <w:rFonts w:eastAsia="仿宋_GB2312"/>
          <w:bCs/>
          <w:color w:val="000000"/>
          <w:kern w:val="0"/>
          <w:sz w:val="24"/>
          <w:szCs w:val="24"/>
        </w:rPr>
        <w:t>对于多机站，干涉区互锁逻辑与现场工作站兼容，自动生成程序的模板中需要做好干涉区交互设置；</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5.2.2</w:t>
      </w:r>
      <w:r>
        <w:rPr>
          <w:rFonts w:eastAsia="仿宋_GB2312"/>
          <w:bCs/>
          <w:color w:val="000000"/>
          <w:kern w:val="0"/>
          <w:sz w:val="24"/>
          <w:szCs w:val="24"/>
        </w:rPr>
        <w:t>机器人与变位机翻转动作交互逻辑跟现场程序兼容，自动生成程序的模板中需要做好干涉区交互设置；针对ABB机器人，输出程序为独立MOD文件，工艺参数定义为局部变量，存在MOD文件本地。程序结构与现有工作站兼容，能够拷贝到其他同类型工作站不报错。程序名字需要与现有设备人工编程名字区分。其它品牌机器人输出程序要求参考ABB机器人方式，确保程序方便存储、修改、拷入拷出。</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5</w:t>
      </w:r>
      <w:r>
        <w:rPr>
          <w:rFonts w:eastAsia="仿宋_GB2312"/>
          <w:bCs/>
          <w:color w:val="000000"/>
          <w:kern w:val="0"/>
          <w:sz w:val="24"/>
          <w:szCs w:val="24"/>
        </w:rPr>
        <w:t>.3 工艺参数交互</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5.3.1</w:t>
      </w:r>
      <w:r>
        <w:rPr>
          <w:rFonts w:eastAsia="仿宋_GB2312"/>
          <w:bCs/>
          <w:color w:val="000000"/>
          <w:kern w:val="0"/>
          <w:sz w:val="24"/>
          <w:szCs w:val="24"/>
        </w:rPr>
        <w:t xml:space="preserve"> 焊接工艺参数设置：在示教过程中快速设置焊接参数、摆动参数（蓝牙模块上不低于5组可选），可以通过</w:t>
      </w:r>
      <w:r>
        <w:rPr>
          <w:rFonts w:hint="eastAsia" w:eastAsia="仿宋_GB2312"/>
          <w:bCs/>
          <w:color w:val="000000"/>
          <w:kern w:val="0"/>
          <w:sz w:val="24"/>
          <w:szCs w:val="24"/>
        </w:rPr>
        <w:t>智能无代码编程控制器</w:t>
      </w:r>
      <w:r>
        <w:rPr>
          <w:rFonts w:eastAsia="仿宋_GB2312"/>
          <w:bCs/>
          <w:color w:val="000000"/>
          <w:kern w:val="0"/>
          <w:sz w:val="24"/>
          <w:szCs w:val="24"/>
        </w:rPr>
        <w:t>配合焊枪仿型引导工具实现，要求方便易操作，单条焊缝参数设置时间不超过5秒；</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5.3.2</w:t>
      </w:r>
      <w:r>
        <w:rPr>
          <w:rFonts w:eastAsia="仿宋_GB2312"/>
          <w:bCs/>
          <w:color w:val="000000"/>
          <w:kern w:val="0"/>
          <w:sz w:val="24"/>
          <w:szCs w:val="24"/>
        </w:rPr>
        <w:t>焊接顺序及程序可读性：操作人员根据现场标示的焊接顺序进行编程示教，生成的每一个焊缝的焊接指令自动加编号注释（如1、2、3……等），焊缝指令编号与示教顺序一一对应，便于后续人工修改调整；新生成的程序工件坐标系与现有旧程序的工件坐标系兼容，确保后续手工局部修正点位时便于人工操作。</w:t>
      </w:r>
    </w:p>
    <w:p>
      <w:pPr>
        <w:pStyle w:val="76"/>
        <w:ind w:firstLine="1" w:firstLineChars="0"/>
        <w:rPr>
          <w:rFonts w:eastAsia="仿宋"/>
          <w:sz w:val="24"/>
          <w:szCs w:val="24"/>
          <w:lang w:bidi="en-US"/>
        </w:rPr>
      </w:pPr>
      <w:r>
        <w:rPr>
          <w:rFonts w:hint="eastAsia" w:eastAsia="仿宋_GB2312"/>
          <w:bCs/>
          <w:color w:val="000000"/>
          <w:kern w:val="0"/>
          <w:sz w:val="24"/>
          <w:szCs w:val="24"/>
        </w:rPr>
        <w:t>5</w:t>
      </w:r>
      <w:r>
        <w:rPr>
          <w:rFonts w:eastAsia="仿宋_GB2312"/>
          <w:bCs/>
          <w:color w:val="000000"/>
          <w:kern w:val="0"/>
          <w:sz w:val="24"/>
          <w:szCs w:val="24"/>
        </w:rPr>
        <w:t>.4 快速精调功能</w:t>
      </w:r>
      <w:r>
        <w:rPr>
          <w:rFonts w:hint="eastAsia" w:eastAsia="仿宋_GB2312"/>
          <w:bCs/>
          <w:color w:val="000000"/>
          <w:kern w:val="0"/>
          <w:sz w:val="24"/>
          <w:szCs w:val="24"/>
        </w:rPr>
        <w:t>：批量修改包角参数。对于批量修改包角参数，通过包角的快速精调功能进行焊缝长度的校准，直观，快捷。可通过工控机或者平板电脑等来实现快速微调功能，可不依赖机器人示教器。</w:t>
      </w:r>
    </w:p>
    <w:p>
      <w:pPr>
        <w:pStyle w:val="76"/>
        <w:ind w:firstLine="1" w:firstLineChars="0"/>
        <w:rPr>
          <w:rFonts w:eastAsia="仿宋_GB2312"/>
          <w:b/>
          <w:color w:val="000000"/>
          <w:kern w:val="0"/>
          <w:sz w:val="24"/>
          <w:szCs w:val="24"/>
        </w:rPr>
      </w:pPr>
      <w:r>
        <w:rPr>
          <w:rFonts w:hint="eastAsia" w:eastAsia="仿宋_GB2312"/>
          <w:b/>
          <w:color w:val="000000"/>
          <w:kern w:val="0"/>
          <w:sz w:val="24"/>
          <w:szCs w:val="24"/>
        </w:rPr>
        <w:t>6程序图纸要求</w:t>
      </w:r>
      <w:r>
        <w:rPr>
          <w:rFonts w:eastAsia="仿宋_GB2312"/>
          <w:b/>
          <w:color w:val="000000"/>
          <w:kern w:val="0"/>
          <w:sz w:val="24"/>
          <w:szCs w:val="24"/>
        </w:rPr>
        <w:t xml:space="preserve">： </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 xml:space="preserve">6.1供方必须提供所有设备程序的源代码，包括但不限于PLC程序、HMI 程序、机器人程序、视觉程序、伺服等。 </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 xml:space="preserve">6.2供方所提供的程序不得设置任何密码、保护等限制手段，PLC不得设置修改下载权限，功能块不得设置密码保护。 </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6.3 HMI界面等需要密码保护的程序，供方必须提供所有级别的用户名、密码。</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 xml:space="preserve">6.4供方需在设备入场前提供设备程序源码，HMI界面各级用户名和密码，并保证与现场程序一致。 </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 xml:space="preserve">6.5供方需在终验收前提供最新的设备程序源码和电气图纸，图纸要求为可编辑原格式（EPLAN、CAD 格式）且与实际接线一致。 </w:t>
      </w:r>
    </w:p>
    <w:p>
      <w:pPr>
        <w:pStyle w:val="76"/>
        <w:ind w:firstLine="1" w:firstLineChars="0"/>
        <w:rPr>
          <w:rFonts w:eastAsia="仿宋_GB2312"/>
          <w:b/>
          <w:color w:val="000000"/>
          <w:kern w:val="0"/>
          <w:sz w:val="24"/>
          <w:szCs w:val="24"/>
        </w:rPr>
      </w:pPr>
      <w:r>
        <w:rPr>
          <w:rFonts w:hint="eastAsia" w:eastAsia="仿宋_GB2312"/>
          <w:b/>
          <w:color w:val="000000"/>
          <w:kern w:val="0"/>
          <w:sz w:val="24"/>
          <w:szCs w:val="24"/>
        </w:rPr>
        <w:t>7接口协议要求</w:t>
      </w:r>
      <w:r>
        <w:rPr>
          <w:rFonts w:eastAsia="仿宋_GB2312"/>
          <w:b/>
          <w:color w:val="000000"/>
          <w:kern w:val="0"/>
          <w:sz w:val="24"/>
          <w:szCs w:val="24"/>
        </w:rPr>
        <w:t>：</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 xml:space="preserve">7.1供方免费开放所有通讯接口，包括但不限于以太网、RS232、RS485、PROFIBUS、PROFINET、MODBUS 等常见接口，以及设备特有的专用接口。 </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 xml:space="preserve">7.2供方免费提供数据交互功能，交互数据包括但不限于实时数据、历史数据、报警信息等。 </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 xml:space="preserve">7.3供方在设备入场前提供接口的技术文档和参数说明，包括但不限于接口协议、通讯速率、数据格式等。 </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7.4设备使用周期内，供方免费派遣技术人员与甲方调试团队共同进行设备通讯接口的调试工作。</w:t>
      </w:r>
    </w:p>
    <w:p>
      <w:pPr>
        <w:pStyle w:val="76"/>
        <w:ind w:firstLine="1" w:firstLineChars="0"/>
        <w:rPr>
          <w:rFonts w:eastAsia="仿宋_GB2312"/>
          <w:b/>
          <w:color w:val="000000"/>
          <w:kern w:val="0"/>
          <w:sz w:val="24"/>
          <w:szCs w:val="24"/>
        </w:rPr>
      </w:pPr>
      <w:r>
        <w:rPr>
          <w:rFonts w:hint="eastAsia" w:eastAsia="仿宋_GB2312"/>
          <w:b/>
          <w:color w:val="000000"/>
          <w:kern w:val="0"/>
          <w:sz w:val="24"/>
          <w:szCs w:val="24"/>
        </w:rPr>
        <w:t>8其他要求：</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8.1适用的机器人品牌：ABB、KUKA、发那科、安川等。</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8.2适应的主要焊枪品牌及规格：福尼斯（ROBACTA 400 360 MB）；</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8.3自动生成的焊接轨迹需避免机器人在焊接时其附带的气管电缆等过度缠绕，确保各个关节无接近极限位置角度，机器人姿态平顺；</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8.4 焊枪仿型引导工具设计需小巧易用，可定制化（与要求焊枪模型一致），方便操作工握持，具有良好的人机工程，重量≤0.5kg，减轻操作人员体力劳动强度；</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能够适应现场使用工况不易损坏，尤其是视觉识别标记点和笔尖设计结构保护方案；</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示教笔及相机系统具备自检功能，用于判断自身功能是否正常；</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无代码编程控制器配备照明灯，对焊缝进行照明；</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8.5 在示教轨迹时能通过无代码编程控制器上的提示灯光等方式区分是否姿态可达，便于操作人员判断当前示教姿态机器人是否可达，相机是否可见，能否示教成功等操作；</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8.6 控制场的盖子拆开后要和底座能连接起来，不容易丢失，且不与变位机旋转时干涉；</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8.7 编程软件具备账户登录及编程数据记录功能，可以导出编程记录，记录内容包括：编程账户、程序名称、编程时间、程序调用频次等内容，记录存储时间不低于3年；</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8.8 提</w:t>
      </w:r>
      <w:r>
        <w:rPr>
          <w:rFonts w:hint="eastAsia" w:eastAsia="仿宋_GB2312"/>
          <w:bCs/>
          <w:color w:val="000000"/>
          <w:kern w:val="0"/>
          <w:sz w:val="24"/>
          <w:szCs w:val="24"/>
          <w:highlight w:val="none"/>
        </w:rPr>
        <w:t>供标定TCP标定尖用于焊枪</w:t>
      </w:r>
      <w:r>
        <w:rPr>
          <w:rFonts w:hint="eastAsia" w:eastAsia="仿宋_GB2312"/>
          <w:bCs/>
          <w:color w:val="000000"/>
          <w:kern w:val="0"/>
          <w:sz w:val="24"/>
          <w:szCs w:val="24"/>
          <w:highlight w:val="none"/>
          <w:lang w:val="en-US" w:eastAsia="zh-CN"/>
        </w:rPr>
        <w:t>TCP</w:t>
      </w:r>
      <w:r>
        <w:rPr>
          <w:rFonts w:hint="eastAsia" w:eastAsia="仿宋_GB2312"/>
          <w:bCs/>
          <w:color w:val="000000"/>
          <w:kern w:val="0"/>
          <w:sz w:val="24"/>
          <w:szCs w:val="24"/>
          <w:highlight w:val="none"/>
        </w:rPr>
        <w:t>校准。</w:t>
      </w:r>
      <w:r>
        <w:rPr>
          <w:rFonts w:hint="eastAsia" w:eastAsia="仿宋_GB2312"/>
          <w:bCs/>
          <w:color w:val="000000"/>
          <w:kern w:val="0"/>
          <w:sz w:val="24"/>
          <w:szCs w:val="24"/>
        </w:rPr>
        <w:t>尖点可手动磁吸在变位机工作台或清枪站上，以此为基准每个标定工作站建立示教TCP用的标准程序，提高TCP校准效率；</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8.9 机器人设备使用过程TCP焊枪发生偏移后，只通过校准焊枪本身TCP的简单校准操作（如6点法）后就可以具备焊枪仿型引导工具编程设备的继续使用。焊枪仿型引导工具编程设备不能因此再进行额外复杂的操作，影响设备使用效率。</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8.10 在使用焊枪仿型引导工具设备前，确定TCP标定点位置并固定，且此后标定基准位置、形状不得发生变化，要求具有相应保护措施，以免日后进行TCP标定产生较大偏差。</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8.11机器人焊枪发生剧烈碰撞导致变形或更换新焊枪后（因焊枪主体结构发生变化或出现明显形变、焊枪仿型引导工具损坏等导致焊枪仿型引导工具需重新定制的情况除外），需要进行焊枪仿型引导工具精度调整，乙方需对现场工作人员进行精度调整培训，发生1mm以上精度偏差需由乙方进行免费调整。</w:t>
      </w:r>
    </w:p>
    <w:p>
      <w:pPr>
        <w:pStyle w:val="76"/>
        <w:ind w:firstLine="1" w:firstLineChars="0"/>
        <w:rPr>
          <w:rFonts w:eastAsia="仿宋_GB2312"/>
          <w:bCs/>
          <w:color w:val="000000"/>
          <w:kern w:val="0"/>
          <w:sz w:val="24"/>
          <w:szCs w:val="24"/>
        </w:rPr>
      </w:pPr>
      <w:r>
        <w:rPr>
          <w:rFonts w:hint="eastAsia" w:eastAsia="仿宋_GB2312"/>
          <w:bCs/>
          <w:color w:val="000000"/>
          <w:kern w:val="0"/>
          <w:sz w:val="24"/>
          <w:szCs w:val="24"/>
        </w:rPr>
        <w:t>8.12 易损配件应便于购买，并且需附带配件明细。</w:t>
      </w:r>
    </w:p>
    <w:p>
      <w:pPr>
        <w:pStyle w:val="76"/>
        <w:ind w:firstLine="1" w:firstLineChars="0"/>
        <w:rPr>
          <w:rFonts w:eastAsia="仿宋_GB2312"/>
          <w:color w:val="000000"/>
          <w:kern w:val="0"/>
          <w:sz w:val="24"/>
          <w:szCs w:val="24"/>
        </w:rPr>
      </w:pPr>
      <w:r>
        <w:rPr>
          <w:rFonts w:hint="eastAsia" w:eastAsia="仿宋_GB2312"/>
          <w:bCs/>
          <w:color w:val="000000"/>
          <w:kern w:val="0"/>
          <w:sz w:val="24"/>
          <w:szCs w:val="24"/>
        </w:rPr>
        <w:t>8.13针对移动滑轨，乙方进行现场布局、图纸设计、提供伺服电气系统（伺服电机品牌：松下、西门子、安川等）及移动滑轨等，机械部分材料由甲方按照乙方的图纸提供及安装。</w:t>
      </w:r>
    </w:p>
    <w:p>
      <w:pPr>
        <w:pStyle w:val="77"/>
        <w:spacing w:line="240" w:lineRule="auto"/>
        <w:outlineLvl w:val="0"/>
        <w:rPr>
          <w:rFonts w:ascii="Times New Roman" w:hAnsi="Times New Roman" w:eastAsia="仿宋_GB2312" w:cs="Times New Roman"/>
          <w:b/>
          <w:bCs/>
          <w:szCs w:val="24"/>
        </w:rPr>
      </w:pPr>
      <w:bookmarkStart w:id="254" w:name="_Toc14160330"/>
      <w:bookmarkStart w:id="255" w:name="_Toc7321"/>
      <w:bookmarkStart w:id="256" w:name="_Toc1190891316"/>
      <w:bookmarkStart w:id="257" w:name="_Toc355160367"/>
      <w:bookmarkStart w:id="258" w:name="_Toc15614"/>
      <w:bookmarkStart w:id="259" w:name="_Toc11239"/>
      <w:r>
        <w:rPr>
          <w:rFonts w:ascii="Times New Roman" w:hAnsi="Times New Roman" w:eastAsia="仿宋_GB2312" w:cs="Times New Roman"/>
          <w:b/>
          <w:bCs/>
          <w:szCs w:val="24"/>
        </w:rPr>
        <w:t>四、供货范围及要求</w:t>
      </w:r>
      <w:bookmarkEnd w:id="254"/>
      <w:bookmarkEnd w:id="255"/>
      <w:bookmarkEnd w:id="256"/>
      <w:bookmarkEnd w:id="257"/>
      <w:bookmarkEnd w:id="258"/>
      <w:bookmarkEnd w:id="259"/>
    </w:p>
    <w:p>
      <w:pPr>
        <w:ind w:firstLine="480" w:firstLineChars="200"/>
        <w:rPr>
          <w:rFonts w:eastAsia="仿宋_GB2312"/>
          <w:sz w:val="24"/>
          <w:szCs w:val="24"/>
        </w:rPr>
      </w:pPr>
      <w:r>
        <w:rPr>
          <w:rFonts w:eastAsia="仿宋_GB2312"/>
          <w:sz w:val="24"/>
          <w:szCs w:val="24"/>
        </w:rPr>
        <w:t>（一）供货地点：中通客车制焊车间制件单元。</w:t>
      </w:r>
    </w:p>
    <w:p>
      <w:pPr>
        <w:ind w:firstLine="480" w:firstLineChars="200"/>
        <w:jc w:val="left"/>
        <w:rPr>
          <w:rFonts w:eastAsia="仿宋_GB2312"/>
          <w:sz w:val="24"/>
          <w:szCs w:val="24"/>
        </w:rPr>
      </w:pPr>
      <w:r>
        <w:rPr>
          <w:rFonts w:eastAsia="仿宋_GB2312"/>
          <w:sz w:val="24"/>
          <w:szCs w:val="24"/>
        </w:rPr>
        <w:t>（二）供货时间：卖方应自合同签定之日起，</w:t>
      </w:r>
      <w:r>
        <w:rPr>
          <w:rFonts w:hint="eastAsia" w:eastAsia="仿宋_GB2312"/>
          <w:sz w:val="24"/>
          <w:szCs w:val="24"/>
          <w:highlight w:val="none"/>
          <w:u w:val="single"/>
        </w:rPr>
        <w:t>20</w:t>
      </w:r>
      <w:r>
        <w:rPr>
          <w:rFonts w:eastAsia="仿宋_GB2312"/>
          <w:sz w:val="24"/>
          <w:szCs w:val="24"/>
          <w:highlight w:val="none"/>
        </w:rPr>
        <w:t>个日历日之内交货至供货地点。</w:t>
      </w:r>
      <w:r>
        <w:rPr>
          <w:rFonts w:hint="eastAsia" w:eastAsia="仿宋_GB2312"/>
          <w:sz w:val="24"/>
          <w:szCs w:val="24"/>
          <w:highlight w:val="none"/>
          <w:u w:val="single"/>
        </w:rPr>
        <w:t>20</w:t>
      </w:r>
      <w:r>
        <w:rPr>
          <w:rFonts w:eastAsia="仿宋_GB2312"/>
          <w:sz w:val="24"/>
          <w:szCs w:val="24"/>
        </w:rPr>
        <w:t>个日历日之内安装调试完毕（投标文件“供货时间”中，应明确说明各阶段工作最终完成时间，因甲方原因造成的工期拖延可根据双方协定时间实施）。</w:t>
      </w:r>
    </w:p>
    <w:p>
      <w:pPr>
        <w:ind w:firstLine="480" w:firstLineChars="200"/>
        <w:jc w:val="left"/>
        <w:rPr>
          <w:rFonts w:eastAsia="仿宋_GB2312"/>
          <w:sz w:val="24"/>
          <w:szCs w:val="24"/>
        </w:rPr>
      </w:pPr>
      <w:r>
        <w:rPr>
          <w:rFonts w:eastAsia="仿宋_GB2312"/>
          <w:sz w:val="24"/>
          <w:szCs w:val="24"/>
        </w:rPr>
        <w:t>（三）质保期：</w:t>
      </w:r>
    </w:p>
    <w:p>
      <w:pPr>
        <w:ind w:firstLine="480" w:firstLineChars="200"/>
        <w:rPr>
          <w:rFonts w:eastAsia="仿宋_GB2312"/>
          <w:sz w:val="24"/>
          <w:szCs w:val="24"/>
        </w:rPr>
      </w:pPr>
      <w:r>
        <w:rPr>
          <w:rFonts w:eastAsia="仿宋_GB2312"/>
          <w:sz w:val="24"/>
          <w:szCs w:val="24"/>
        </w:rPr>
        <w:t>卖方所提供设备涉及的全部供货范围内的设备、材料、资料、技术等，除合同特别约定外，均自设备终验收签字生效之日起，质保期要求为12个月，出现质量问题免费负责更换。</w:t>
      </w:r>
    </w:p>
    <w:p>
      <w:pPr>
        <w:ind w:firstLine="480" w:firstLineChars="200"/>
        <w:rPr>
          <w:rFonts w:eastAsia="仿宋_GB2312"/>
          <w:sz w:val="24"/>
          <w:szCs w:val="24"/>
        </w:rPr>
      </w:pPr>
      <w:r>
        <w:rPr>
          <w:rFonts w:eastAsia="仿宋_GB2312"/>
          <w:sz w:val="24"/>
          <w:szCs w:val="24"/>
        </w:rPr>
        <w:t>对易损耗件、附件，除非投标方文件中另附清单特别说明，否则同样适用于上述质保范围；</w:t>
      </w:r>
    </w:p>
    <w:p>
      <w:pPr>
        <w:ind w:firstLine="480" w:firstLineChars="200"/>
        <w:rPr>
          <w:rFonts w:eastAsia="仿宋_GB2312"/>
          <w:sz w:val="24"/>
          <w:szCs w:val="24"/>
        </w:rPr>
      </w:pPr>
      <w:r>
        <w:rPr>
          <w:rFonts w:eastAsia="仿宋_GB2312"/>
          <w:sz w:val="24"/>
          <w:szCs w:val="24"/>
        </w:rPr>
        <w:t>（四）供货配套性要求</w:t>
      </w:r>
    </w:p>
    <w:p>
      <w:pPr>
        <w:ind w:firstLine="480" w:firstLineChars="200"/>
        <w:rPr>
          <w:rFonts w:eastAsia="仿宋_GB2312"/>
          <w:sz w:val="24"/>
          <w:szCs w:val="24"/>
        </w:rPr>
      </w:pPr>
      <w:r>
        <w:rPr>
          <w:rFonts w:eastAsia="仿宋_GB2312"/>
          <w:sz w:val="24"/>
          <w:szCs w:val="24"/>
        </w:rPr>
        <w:t>1.卖方应提供包括为保证设备正常安装、调试和终验收完成及以前所必需的、非厂房和设备基础之内的整套配件、附件及材料、油料等；</w:t>
      </w:r>
    </w:p>
    <w:p>
      <w:pPr>
        <w:ind w:firstLine="480" w:firstLineChars="200"/>
        <w:rPr>
          <w:rFonts w:eastAsia="仿宋_GB2312"/>
          <w:sz w:val="24"/>
          <w:szCs w:val="24"/>
        </w:rPr>
      </w:pPr>
      <w:r>
        <w:rPr>
          <w:rFonts w:eastAsia="仿宋_GB2312"/>
          <w:sz w:val="24"/>
          <w:szCs w:val="24"/>
        </w:rPr>
        <w:t>2.卖方应提供包括设备正常运行使用所必需的防护设施；</w:t>
      </w:r>
    </w:p>
    <w:p>
      <w:pPr>
        <w:ind w:firstLine="480" w:firstLineChars="200"/>
        <w:rPr>
          <w:rFonts w:eastAsia="仿宋_GB2312"/>
          <w:sz w:val="24"/>
          <w:szCs w:val="24"/>
        </w:rPr>
      </w:pPr>
      <w:r>
        <w:rPr>
          <w:rFonts w:eastAsia="仿宋_GB2312"/>
          <w:sz w:val="24"/>
          <w:szCs w:val="24"/>
        </w:rPr>
        <w:t>3.卖方应提供包括为达到环保、消防和劳动安全卫生等国家法律、法规和标准、规范要求的除尘系统、通风系统以及近距离照明系统等配套的设备、材料等；</w:t>
      </w:r>
    </w:p>
    <w:p>
      <w:pPr>
        <w:ind w:firstLine="480" w:firstLineChars="200"/>
        <w:rPr>
          <w:rFonts w:eastAsia="仿宋_GB2312"/>
          <w:sz w:val="24"/>
          <w:szCs w:val="24"/>
        </w:rPr>
      </w:pPr>
      <w:r>
        <w:rPr>
          <w:rFonts w:eastAsia="仿宋_GB2312"/>
          <w:sz w:val="24"/>
          <w:szCs w:val="24"/>
        </w:rPr>
        <w:t>4.卖方应提供包括为保证设备自身正常运行所必需的、适应使用地点条件的通风、冷却、降温系统等；</w:t>
      </w:r>
    </w:p>
    <w:p>
      <w:pPr>
        <w:ind w:firstLine="480" w:firstLineChars="200"/>
        <w:rPr>
          <w:rFonts w:eastAsia="仿宋_GB2312"/>
          <w:sz w:val="24"/>
          <w:szCs w:val="24"/>
        </w:rPr>
      </w:pPr>
      <w:r>
        <w:rPr>
          <w:rFonts w:eastAsia="仿宋_GB2312"/>
          <w:sz w:val="24"/>
          <w:szCs w:val="24"/>
        </w:rPr>
        <w:t>5.“供货配套性要求”中所要求的设备、材料等，其费用应分类单列，并计入投标总报价之内；</w:t>
      </w:r>
    </w:p>
    <w:p>
      <w:pPr>
        <w:ind w:firstLine="480" w:firstLineChars="200"/>
        <w:rPr>
          <w:rFonts w:eastAsia="仿宋_GB2312"/>
          <w:sz w:val="24"/>
          <w:szCs w:val="24"/>
        </w:rPr>
      </w:pPr>
      <w:r>
        <w:rPr>
          <w:rFonts w:eastAsia="仿宋_GB2312"/>
          <w:sz w:val="24"/>
          <w:szCs w:val="24"/>
        </w:rPr>
        <w:t>6.投标供货范围是否符合“供货配套性要求”条款的规定，卖方必须在投标文件中，予以详细说明。</w:t>
      </w:r>
    </w:p>
    <w:p>
      <w:pPr>
        <w:numPr>
          <w:ilvl w:val="0"/>
          <w:numId w:val="4"/>
        </w:numPr>
        <w:ind w:firstLine="480" w:firstLineChars="200"/>
        <w:rPr>
          <w:rFonts w:eastAsia="仿宋_GB2312"/>
          <w:sz w:val="24"/>
          <w:szCs w:val="24"/>
        </w:rPr>
      </w:pPr>
      <w:r>
        <w:rPr>
          <w:rFonts w:eastAsia="仿宋_GB2312"/>
          <w:sz w:val="24"/>
          <w:szCs w:val="24"/>
        </w:rPr>
        <w:t>备品备件、易损件和专用耗材范围</w:t>
      </w:r>
    </w:p>
    <w:tbl>
      <w:tblPr>
        <w:tblStyle w:val="5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widowControl/>
              <w:suppressLineNumbers w:val="0"/>
              <w:spacing w:before="0" w:beforeAutospacing="0" w:after="0" w:afterAutospacing="0" w:line="240" w:lineRule="atLeast"/>
              <w:ind w:left="0" w:right="0" w:firstLine="0" w:firstLineChars="0"/>
              <w:jc w:val="center"/>
              <w:rPr>
                <w:rFonts w:hint="default" w:eastAsia="仿宋_GB2312"/>
                <w:b/>
                <w:kern w:val="0"/>
                <w:sz w:val="24"/>
                <w:szCs w:val="24"/>
              </w:rPr>
            </w:pPr>
            <w:r>
              <w:rPr>
                <w:rFonts w:hint="eastAsia" w:eastAsia="仿宋_GB2312"/>
                <w:b/>
                <w:kern w:val="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widowControl/>
              <w:suppressLineNumbers w:val="0"/>
              <w:spacing w:before="0" w:beforeAutospacing="0" w:after="0" w:afterAutospacing="0" w:line="240" w:lineRule="atLeast"/>
              <w:ind w:left="0" w:right="0" w:firstLine="0" w:firstLineChars="0"/>
              <w:jc w:val="center"/>
              <w:rPr>
                <w:rFonts w:hint="default" w:eastAsia="仿宋_GB2312"/>
                <w:b/>
                <w:kern w:val="0"/>
                <w:sz w:val="24"/>
                <w:szCs w:val="24"/>
              </w:rPr>
            </w:pPr>
            <w:r>
              <w:rPr>
                <w:rFonts w:hint="eastAsia" w:eastAsia="仿宋_GB2312"/>
                <w:b/>
                <w:kern w:val="0"/>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widowControl/>
              <w:suppressLineNumbers w:val="0"/>
              <w:spacing w:before="0" w:beforeAutospacing="0" w:after="0" w:afterAutospacing="0" w:line="240" w:lineRule="atLeast"/>
              <w:ind w:left="0" w:right="0" w:firstLine="0" w:firstLineChars="0"/>
              <w:jc w:val="center"/>
              <w:rPr>
                <w:rFonts w:hint="default" w:eastAsia="仿宋_GB2312"/>
                <w:b/>
                <w:kern w:val="0"/>
                <w:sz w:val="24"/>
                <w:szCs w:val="24"/>
              </w:rPr>
            </w:pPr>
            <w:r>
              <w:rPr>
                <w:rFonts w:hint="eastAsia" w:eastAsia="仿宋_GB2312"/>
                <w:b/>
                <w:kern w:val="0"/>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widowControl/>
              <w:suppressLineNumbers w:val="0"/>
              <w:spacing w:before="0" w:beforeAutospacing="0" w:after="0" w:afterAutospacing="0" w:line="240" w:lineRule="atLeast"/>
              <w:ind w:left="0" w:right="0" w:firstLine="0" w:firstLineChars="0"/>
              <w:jc w:val="center"/>
              <w:rPr>
                <w:rFonts w:hint="default" w:eastAsia="仿宋_GB2312"/>
                <w:b/>
                <w:kern w:val="0"/>
                <w:sz w:val="24"/>
                <w:szCs w:val="24"/>
              </w:rPr>
            </w:pPr>
            <w:r>
              <w:rPr>
                <w:rFonts w:hint="eastAsia" w:eastAsia="仿宋_GB2312"/>
                <w:b/>
                <w:kern w:val="0"/>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widowControl/>
              <w:suppressLineNumbers w:val="0"/>
              <w:spacing w:before="0" w:beforeAutospacing="0" w:after="0" w:afterAutospacing="0" w:line="240" w:lineRule="atLeast"/>
              <w:ind w:left="0" w:right="0" w:firstLine="0" w:firstLineChars="0"/>
              <w:jc w:val="center"/>
              <w:rPr>
                <w:rFonts w:hint="default" w:eastAsia="仿宋_GB2312"/>
                <w:b/>
                <w:kern w:val="0"/>
                <w:sz w:val="24"/>
                <w:szCs w:val="24"/>
              </w:rPr>
            </w:pPr>
            <w:r>
              <w:rPr>
                <w:rFonts w:hint="eastAsia" w:eastAsia="仿宋_GB2312"/>
                <w:b/>
                <w:kern w:val="0"/>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widowControl/>
              <w:suppressLineNumbers w:val="0"/>
              <w:spacing w:before="0" w:beforeAutospacing="0" w:after="0" w:afterAutospacing="0" w:line="240" w:lineRule="atLeast"/>
              <w:ind w:left="0" w:right="0" w:firstLine="0" w:firstLineChars="0"/>
              <w:jc w:val="center"/>
              <w:rPr>
                <w:rFonts w:hint="default" w:eastAsia="仿宋_GB2312"/>
                <w:b/>
                <w:kern w:val="0"/>
                <w:sz w:val="24"/>
                <w:szCs w:val="24"/>
              </w:rPr>
            </w:pPr>
            <w:r>
              <w:rPr>
                <w:rFonts w:hint="eastAsia" w:eastAsia="仿宋_GB2312"/>
                <w:b/>
                <w:kern w:val="0"/>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widowControl/>
              <w:suppressLineNumbers w:val="0"/>
              <w:spacing w:before="0" w:beforeAutospacing="0" w:after="0" w:afterAutospacing="0" w:line="240" w:lineRule="atLeast"/>
              <w:ind w:left="0" w:right="0" w:firstLine="0" w:firstLineChars="0"/>
              <w:jc w:val="center"/>
              <w:rPr>
                <w:rFonts w:hint="default" w:eastAsia="仿宋_GB2312"/>
                <w:b/>
                <w:kern w:val="0"/>
                <w:sz w:val="24"/>
                <w:szCs w:val="24"/>
              </w:rPr>
            </w:pPr>
            <w:r>
              <w:rPr>
                <w:rFonts w:hint="eastAsia" w:eastAsia="仿宋_GB2312"/>
                <w:b/>
                <w:kern w:val="0"/>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r>
              <w:rPr>
                <w:rFonts w:hint="default"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r>
              <w:rPr>
                <w:rFonts w:hint="default"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r>
              <w:rPr>
                <w:rFonts w:hint="default"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r>
              <w:rPr>
                <w:rFonts w:hint="default" w:eastAsia="仿宋_GB2312"/>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ind w:left="480" w:right="0" w:hanging="480"/>
              <w:jc w:val="center"/>
              <w:rPr>
                <w:rFonts w:hint="default"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szCs w:val="24"/>
              </w:rPr>
            </w:pPr>
          </w:p>
        </w:tc>
      </w:tr>
    </w:tbl>
    <w:p>
      <w:pPr>
        <w:ind w:firstLine="480" w:firstLineChars="200"/>
        <w:rPr>
          <w:rFonts w:eastAsia="仿宋_GB2312"/>
          <w:sz w:val="24"/>
          <w:szCs w:val="24"/>
        </w:rPr>
      </w:pPr>
      <w:r>
        <w:rPr>
          <w:rFonts w:eastAsia="仿宋_GB2312"/>
          <w:sz w:val="24"/>
          <w:szCs w:val="24"/>
        </w:rPr>
        <w:t>1.买方招标文件所指备品备件、易损件和专用耗材，是</w:t>
      </w:r>
      <w:r>
        <w:rPr>
          <w:rFonts w:hint="eastAsia" w:eastAsia="仿宋_GB2312"/>
          <w:sz w:val="24"/>
          <w:szCs w:val="24"/>
          <w:lang w:val="en-US" w:eastAsia="zh-CN"/>
        </w:rPr>
        <w:t>卖方免费提供给</w:t>
      </w:r>
      <w:r>
        <w:rPr>
          <w:rFonts w:eastAsia="仿宋_GB2312"/>
          <w:sz w:val="24"/>
          <w:szCs w:val="24"/>
        </w:rPr>
        <w:t>买方</w:t>
      </w:r>
      <w:r>
        <w:rPr>
          <w:rFonts w:hint="eastAsia" w:eastAsia="仿宋_GB2312"/>
          <w:sz w:val="24"/>
          <w:szCs w:val="24"/>
          <w:lang w:eastAsia="zh-CN"/>
        </w:rPr>
        <w:t>，</w:t>
      </w:r>
      <w:r>
        <w:rPr>
          <w:rFonts w:eastAsia="仿宋_GB2312"/>
          <w:sz w:val="24"/>
          <w:szCs w:val="24"/>
        </w:rPr>
        <w:t>为保证</w:t>
      </w:r>
      <w:r>
        <w:rPr>
          <w:rFonts w:hint="eastAsia" w:eastAsia="仿宋_GB2312"/>
          <w:sz w:val="24"/>
          <w:szCs w:val="24"/>
          <w:lang w:val="en-US" w:eastAsia="zh-CN"/>
        </w:rPr>
        <w:t>买方在</w:t>
      </w:r>
      <w:r>
        <w:rPr>
          <w:rFonts w:eastAsia="仿宋_GB2312"/>
          <w:sz w:val="24"/>
          <w:szCs w:val="24"/>
        </w:rPr>
        <w:t>设备</w:t>
      </w:r>
      <w:r>
        <w:rPr>
          <w:rFonts w:hint="eastAsia" w:eastAsia="仿宋_GB2312"/>
          <w:sz w:val="24"/>
          <w:szCs w:val="24"/>
          <w:lang w:val="en-US" w:eastAsia="zh-CN"/>
        </w:rPr>
        <w:t>终验收</w:t>
      </w:r>
      <w:r>
        <w:rPr>
          <w:rFonts w:eastAsia="仿宋_GB2312"/>
          <w:sz w:val="24"/>
          <w:szCs w:val="24"/>
        </w:rPr>
        <w:t>之后正常运行</w:t>
      </w:r>
      <w:r>
        <w:rPr>
          <w:rFonts w:hint="eastAsia" w:eastAsia="仿宋_GB2312"/>
          <w:sz w:val="24"/>
          <w:szCs w:val="24"/>
          <w:lang w:val="en-US" w:eastAsia="zh-CN"/>
        </w:rPr>
        <w:t>两个月</w:t>
      </w:r>
      <w:r>
        <w:rPr>
          <w:rFonts w:eastAsia="仿宋_GB2312"/>
          <w:sz w:val="24"/>
          <w:szCs w:val="24"/>
        </w:rPr>
        <w:t>所自备自用的备品备件、易损件和专用耗材</w:t>
      </w:r>
      <w:r>
        <w:rPr>
          <w:rFonts w:hint="eastAsia" w:eastAsia="仿宋_GB2312"/>
          <w:sz w:val="24"/>
          <w:szCs w:val="24"/>
          <w:lang w:eastAsia="zh-CN"/>
        </w:rPr>
        <w:t>，</w:t>
      </w:r>
      <w:r>
        <w:rPr>
          <w:rFonts w:hint="eastAsia" w:eastAsia="仿宋_GB2312"/>
          <w:sz w:val="24"/>
          <w:szCs w:val="24"/>
          <w:lang w:val="en-US" w:eastAsia="zh-CN"/>
        </w:rPr>
        <w:t>包</w:t>
      </w:r>
      <w:r>
        <w:rPr>
          <w:rFonts w:eastAsia="仿宋_GB2312"/>
          <w:sz w:val="24"/>
          <w:szCs w:val="24"/>
        </w:rPr>
        <w:t>括名称、型号、规格、单位、数量、生产厂家、单价、总价等条目）；</w:t>
      </w:r>
    </w:p>
    <w:p>
      <w:pPr>
        <w:ind w:firstLine="480" w:firstLineChars="200"/>
        <w:rPr>
          <w:rFonts w:eastAsia="仿宋_GB2312"/>
          <w:sz w:val="24"/>
          <w:szCs w:val="24"/>
        </w:rPr>
      </w:pPr>
      <w:r>
        <w:rPr>
          <w:rFonts w:hint="eastAsia" w:eastAsia="仿宋_GB2312"/>
          <w:sz w:val="24"/>
          <w:szCs w:val="24"/>
          <w:lang w:val="en-US" w:eastAsia="zh-CN"/>
        </w:rPr>
        <w:t>2</w:t>
      </w:r>
      <w:r>
        <w:rPr>
          <w:rFonts w:eastAsia="仿宋_GB2312"/>
          <w:sz w:val="24"/>
          <w:szCs w:val="24"/>
        </w:rPr>
        <w:t>.卖方应提供设备维修所必需的专用工具，并附详细清单（包括名称、型号、规格、单位、数量、生产厂家、单价、总价等条目）；</w:t>
      </w:r>
    </w:p>
    <w:p>
      <w:pPr>
        <w:ind w:firstLine="480" w:firstLineChars="200"/>
        <w:rPr>
          <w:rFonts w:eastAsia="仿宋_GB2312"/>
          <w:sz w:val="24"/>
          <w:szCs w:val="24"/>
        </w:rPr>
      </w:pPr>
      <w:r>
        <w:rPr>
          <w:rFonts w:hint="eastAsia" w:eastAsia="仿宋_GB2312"/>
          <w:sz w:val="24"/>
          <w:szCs w:val="24"/>
          <w:lang w:val="en-US" w:eastAsia="zh-CN"/>
        </w:rPr>
        <w:t>3</w:t>
      </w:r>
      <w:r>
        <w:rPr>
          <w:rFonts w:eastAsia="仿宋_GB2312"/>
          <w:sz w:val="24"/>
          <w:szCs w:val="24"/>
        </w:rPr>
        <w:t>.卖方应提供易损件和专用耗材的制造图纸及其技术要求等资料；</w:t>
      </w:r>
    </w:p>
    <w:p>
      <w:pPr>
        <w:ind w:firstLine="480" w:firstLineChars="200"/>
        <w:rPr>
          <w:rFonts w:eastAsia="仿宋_GB2312"/>
          <w:sz w:val="24"/>
          <w:szCs w:val="24"/>
        </w:rPr>
      </w:pPr>
      <w:r>
        <w:rPr>
          <w:rFonts w:hint="eastAsia" w:eastAsia="仿宋_GB2312"/>
          <w:sz w:val="24"/>
          <w:szCs w:val="24"/>
          <w:lang w:val="en-US" w:eastAsia="zh-CN"/>
        </w:rPr>
        <w:t>4</w:t>
      </w:r>
      <w:r>
        <w:rPr>
          <w:rFonts w:eastAsia="仿宋_GB2312"/>
          <w:sz w:val="24"/>
          <w:szCs w:val="24"/>
        </w:rPr>
        <w:t>.备品备件、易损件和专用耗材，其费用应分类单列，并计入投标总报价之内。</w:t>
      </w:r>
    </w:p>
    <w:p>
      <w:pPr>
        <w:ind w:firstLine="480" w:firstLineChars="200"/>
        <w:rPr>
          <w:rFonts w:eastAsia="仿宋_GB2312"/>
          <w:sz w:val="24"/>
          <w:szCs w:val="24"/>
        </w:rPr>
      </w:pPr>
      <w:r>
        <w:rPr>
          <w:rFonts w:eastAsia="仿宋_GB2312"/>
          <w:sz w:val="24"/>
          <w:szCs w:val="24"/>
        </w:rPr>
        <w:t>（七）技术资料范围</w:t>
      </w:r>
    </w:p>
    <w:p>
      <w:pPr>
        <w:ind w:firstLine="480" w:firstLineChars="200"/>
        <w:rPr>
          <w:rFonts w:eastAsia="仿宋_GB2312"/>
          <w:sz w:val="24"/>
          <w:szCs w:val="24"/>
        </w:rPr>
      </w:pPr>
      <w:r>
        <w:rPr>
          <w:rFonts w:eastAsia="仿宋_GB2312"/>
          <w:sz w:val="24"/>
          <w:szCs w:val="24"/>
        </w:rPr>
        <w:t>1.卖方须负责在</w:t>
      </w:r>
      <w:r>
        <w:rPr>
          <w:rFonts w:eastAsia="仿宋_GB2312"/>
          <w:bCs/>
          <w:sz w:val="24"/>
          <w:szCs w:val="24"/>
        </w:rPr>
        <w:t>合同签订后10日内，提供设备相关的安装、设计资料，并提供电子版资料文件，文件格式为：.doc,.dwg或.dxf；（进口货物、设备应有中外文对照）；并同时提出</w:t>
      </w:r>
      <w:r>
        <w:rPr>
          <w:rFonts w:eastAsia="仿宋_GB2312"/>
          <w:sz w:val="24"/>
          <w:szCs w:val="24"/>
        </w:rPr>
        <w:t>对厂房、基础、公用设施、消防、环保等不超出招标文件、投标文件、答疑文件、技术交流文件、技术协议书和合同等规定的、有特殊要求的解释、说明和要求；</w:t>
      </w:r>
    </w:p>
    <w:p>
      <w:pPr>
        <w:ind w:firstLine="480" w:firstLineChars="200"/>
        <w:rPr>
          <w:rFonts w:eastAsia="仿宋_GB2312"/>
          <w:sz w:val="24"/>
          <w:szCs w:val="24"/>
        </w:rPr>
      </w:pPr>
      <w:r>
        <w:rPr>
          <w:rFonts w:eastAsia="仿宋_GB2312"/>
          <w:sz w:val="24"/>
          <w:szCs w:val="24"/>
        </w:rPr>
        <w:t>2.卖方须负责在预验收前，</w:t>
      </w:r>
      <w:r>
        <w:rPr>
          <w:rFonts w:eastAsia="仿宋_GB2312"/>
          <w:bCs/>
          <w:sz w:val="24"/>
          <w:szCs w:val="24"/>
        </w:rPr>
        <w:t>提供设备各部分的功能描述文件、图片、影像等资料（进口、设备应有中外文对照）；</w:t>
      </w:r>
    </w:p>
    <w:p>
      <w:pPr>
        <w:ind w:firstLine="480" w:firstLineChars="200"/>
        <w:rPr>
          <w:rFonts w:eastAsia="仿宋_GB2312"/>
          <w:sz w:val="24"/>
          <w:szCs w:val="24"/>
        </w:rPr>
      </w:pPr>
      <w:r>
        <w:rPr>
          <w:rFonts w:eastAsia="仿宋_GB2312"/>
          <w:sz w:val="24"/>
          <w:szCs w:val="24"/>
        </w:rPr>
        <w:t>3.卖方须负责在终验收前，提供买方为保证设备正常运行所需后续自制的工装、吊（挂）具明细及其图纸、具体技术要求等资料（如果供货范围包含该部分实物）；</w:t>
      </w:r>
    </w:p>
    <w:p>
      <w:pPr>
        <w:ind w:firstLine="480" w:firstLineChars="200"/>
        <w:rPr>
          <w:rFonts w:eastAsia="仿宋_GB2312"/>
          <w:sz w:val="24"/>
          <w:szCs w:val="24"/>
        </w:rPr>
      </w:pPr>
      <w:r>
        <w:rPr>
          <w:rFonts w:eastAsia="仿宋_GB2312"/>
          <w:sz w:val="24"/>
          <w:szCs w:val="24"/>
        </w:rPr>
        <w:t>4.卖方须负责在终验收前，提供确定的设备的外购件、外协件、电气元件及主要原材料的供货厂家明细表；</w:t>
      </w:r>
    </w:p>
    <w:p>
      <w:pPr>
        <w:ind w:firstLine="480" w:firstLineChars="200"/>
        <w:rPr>
          <w:rFonts w:eastAsia="仿宋_GB2312"/>
          <w:sz w:val="24"/>
          <w:szCs w:val="24"/>
        </w:rPr>
      </w:pPr>
      <w:r>
        <w:rPr>
          <w:rFonts w:eastAsia="仿宋_GB2312"/>
          <w:sz w:val="24"/>
          <w:szCs w:val="24"/>
        </w:rPr>
        <w:t>5.卖方须负责在终验收后的第一笔货款支付日之前，提供包括设备的备品备件、易损件和专用耗材规定的图纸及技术参数、技术要求等资料；</w:t>
      </w:r>
    </w:p>
    <w:p>
      <w:pPr>
        <w:ind w:firstLine="480" w:firstLineChars="200"/>
        <w:rPr>
          <w:rFonts w:eastAsia="仿宋_GB2312"/>
          <w:sz w:val="24"/>
          <w:szCs w:val="24"/>
        </w:rPr>
      </w:pPr>
      <w:r>
        <w:rPr>
          <w:rFonts w:eastAsia="仿宋_GB2312"/>
          <w:sz w:val="24"/>
          <w:szCs w:val="24"/>
        </w:rPr>
        <w:t>6.卖方须负责在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ind w:firstLine="480" w:firstLineChars="200"/>
        <w:rPr>
          <w:rFonts w:eastAsia="仿宋_GB2312"/>
          <w:sz w:val="24"/>
          <w:szCs w:val="24"/>
        </w:rPr>
      </w:pPr>
      <w:r>
        <w:rPr>
          <w:rFonts w:eastAsia="仿宋_GB2312"/>
          <w:sz w:val="24"/>
          <w:szCs w:val="24"/>
        </w:rPr>
        <w:t>7.卖方须负责在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ind w:firstLine="480" w:firstLineChars="200"/>
        <w:rPr>
          <w:rFonts w:eastAsia="仿宋_GB2312"/>
          <w:sz w:val="24"/>
          <w:szCs w:val="24"/>
        </w:rPr>
      </w:pPr>
      <w:r>
        <w:rPr>
          <w:rFonts w:eastAsia="仿宋_GB2312"/>
          <w:sz w:val="24"/>
          <w:szCs w:val="24"/>
        </w:rPr>
        <w:t>8.本“技术资料范围”所列的技术资料、图片、影像等，卖方应各提供5套，其中2套为电子版；每份技术文件应装有目录清单；</w:t>
      </w:r>
    </w:p>
    <w:p>
      <w:pPr>
        <w:ind w:firstLine="480" w:firstLineChars="200"/>
        <w:rPr>
          <w:rFonts w:eastAsia="仿宋_GB2312"/>
          <w:sz w:val="24"/>
          <w:szCs w:val="24"/>
        </w:rPr>
      </w:pPr>
      <w:r>
        <w:rPr>
          <w:rFonts w:eastAsia="仿宋_GB2312"/>
          <w:sz w:val="24"/>
          <w:szCs w:val="24"/>
        </w:rPr>
        <w:t>9.本“技术资料范围”所列要求，如买方认为卖方提供的资料不能满足要求时，有权要求卖方补充或增加。</w:t>
      </w:r>
    </w:p>
    <w:tbl>
      <w:tblPr>
        <w:tblStyle w:val="5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45"/>
        <w:gridCol w:w="2349"/>
        <w:gridCol w:w="1750"/>
        <w:gridCol w:w="85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b/>
                <w:bCs/>
                <w:sz w:val="24"/>
                <w:szCs w:val="24"/>
              </w:rPr>
            </w:pPr>
            <w:r>
              <w:rPr>
                <w:rFonts w:hint="eastAsia" w:eastAsia="仿宋_GB2312"/>
                <w:b/>
                <w:bCs/>
                <w:sz w:val="24"/>
                <w:szCs w:val="24"/>
              </w:rPr>
              <w:t>序号</w:t>
            </w:r>
          </w:p>
        </w:tc>
        <w:tc>
          <w:tcPr>
            <w:tcW w:w="1245"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b/>
                <w:bCs/>
                <w:sz w:val="24"/>
                <w:szCs w:val="24"/>
              </w:rPr>
            </w:pPr>
            <w:r>
              <w:rPr>
                <w:rFonts w:hint="eastAsia" w:eastAsia="仿宋_GB2312"/>
                <w:b/>
                <w:bCs/>
                <w:sz w:val="24"/>
                <w:szCs w:val="24"/>
              </w:rPr>
              <w:t>名称</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b/>
                <w:bCs/>
                <w:sz w:val="24"/>
                <w:szCs w:val="24"/>
              </w:rPr>
            </w:pPr>
            <w:r>
              <w:rPr>
                <w:rFonts w:hint="eastAsia" w:eastAsia="仿宋_GB2312"/>
                <w:b/>
                <w:bCs/>
                <w:sz w:val="24"/>
                <w:szCs w:val="24"/>
              </w:rPr>
              <w:t>主要内容</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b/>
                <w:bCs/>
                <w:sz w:val="24"/>
                <w:szCs w:val="24"/>
              </w:rPr>
            </w:pPr>
            <w:r>
              <w:rPr>
                <w:rFonts w:hint="eastAsia" w:eastAsia="仿宋_GB2312"/>
                <w:b/>
                <w:bCs/>
                <w:sz w:val="24"/>
                <w:szCs w:val="24"/>
              </w:rPr>
              <w:t>提供形式</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b/>
                <w:bCs/>
                <w:sz w:val="24"/>
                <w:szCs w:val="24"/>
              </w:rPr>
            </w:pPr>
            <w:r>
              <w:rPr>
                <w:rFonts w:hint="eastAsia" w:eastAsia="仿宋_GB2312"/>
                <w:b/>
                <w:bCs/>
                <w:sz w:val="24"/>
                <w:szCs w:val="24"/>
              </w:rPr>
              <w:t>数量</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b/>
                <w:bCs/>
                <w:sz w:val="24"/>
                <w:szCs w:val="24"/>
              </w:rPr>
            </w:pPr>
            <w:r>
              <w:rPr>
                <w:rFonts w:hint="eastAsia" w:eastAsia="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1</w:t>
            </w:r>
          </w:p>
        </w:tc>
        <w:tc>
          <w:tcPr>
            <w:tcW w:w="1245"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设备基本信息</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设备名称、型号、规格、技术参数</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2</w:t>
            </w:r>
          </w:p>
        </w:tc>
        <w:tc>
          <w:tcPr>
            <w:tcW w:w="1245" w:type="dxa"/>
            <w:vMerge w:val="restart"/>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设计资料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设备设计总图</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3</w:t>
            </w:r>
          </w:p>
        </w:tc>
        <w:tc>
          <w:tcPr>
            <w:tcW w:w="1245" w:type="dxa"/>
            <w:vMerge w:val="continue"/>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设备设计规范及标准</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4</w:t>
            </w:r>
          </w:p>
        </w:tc>
        <w:tc>
          <w:tcPr>
            <w:tcW w:w="1245" w:type="dxa"/>
            <w:vMerge w:val="continue"/>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设备材料清单</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5</w:t>
            </w:r>
          </w:p>
        </w:tc>
        <w:tc>
          <w:tcPr>
            <w:tcW w:w="1245" w:type="dxa"/>
            <w:vMerge w:val="restart"/>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电气资料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电气原理图、接线图</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6</w:t>
            </w:r>
          </w:p>
        </w:tc>
        <w:tc>
          <w:tcPr>
            <w:tcW w:w="1245" w:type="dxa"/>
            <w:vMerge w:val="continue"/>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电气元件清单</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7</w:t>
            </w:r>
          </w:p>
        </w:tc>
        <w:tc>
          <w:tcPr>
            <w:tcW w:w="1245" w:type="dxa"/>
            <w:vMerge w:val="restart"/>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安装资料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设备安装说明书</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8</w:t>
            </w:r>
          </w:p>
        </w:tc>
        <w:tc>
          <w:tcPr>
            <w:tcW w:w="1245" w:type="dxa"/>
            <w:vMerge w:val="continue"/>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设备基础图及安装要求、验收标准</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9</w:t>
            </w:r>
          </w:p>
        </w:tc>
        <w:tc>
          <w:tcPr>
            <w:tcW w:w="1245"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操作资料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设备安全操作规范</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10</w:t>
            </w:r>
          </w:p>
        </w:tc>
        <w:tc>
          <w:tcPr>
            <w:tcW w:w="1245"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安全、维护资料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安全及维保手册</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11</w:t>
            </w:r>
          </w:p>
        </w:tc>
        <w:tc>
          <w:tcPr>
            <w:tcW w:w="1245"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维修资料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设备故障诊断指南</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12</w:t>
            </w:r>
          </w:p>
        </w:tc>
        <w:tc>
          <w:tcPr>
            <w:tcW w:w="1245"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软件资料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设备控制软件使用说明</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13</w:t>
            </w:r>
          </w:p>
        </w:tc>
        <w:tc>
          <w:tcPr>
            <w:tcW w:w="1245" w:type="dxa"/>
            <w:vMerge w:val="restart"/>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测试及验收资料</w:t>
            </w: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设备出厂测试报告</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纸质版/电子版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3/1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keepNext w:val="0"/>
              <w:keepLines w:val="0"/>
              <w:suppressLineNumbers w:val="0"/>
              <w:adjustRightInd w:val="0"/>
              <w:snapToGrid w:val="0"/>
              <w:spacing w:before="0" w:beforeAutospacing="0" w:after="0" w:afterAutospacing="0"/>
              <w:ind w:left="0" w:leftChars="0" w:right="0" w:firstLine="0" w:firstLineChars="0"/>
              <w:jc w:val="center"/>
              <w:rPr>
                <w:rFonts w:hint="eastAsia" w:eastAsia="仿宋_GB2312"/>
                <w:sz w:val="24"/>
                <w:szCs w:val="24"/>
              </w:rPr>
            </w:pPr>
            <w:r>
              <w:rPr>
                <w:rFonts w:hint="eastAsia" w:eastAsia="仿宋_GB2312"/>
                <w:sz w:val="24"/>
                <w:szCs w:val="24"/>
              </w:rPr>
              <w:t>14</w:t>
            </w:r>
          </w:p>
        </w:tc>
        <w:tc>
          <w:tcPr>
            <w:tcW w:w="1245" w:type="dxa"/>
            <w:vMerge w:val="continue"/>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c>
          <w:tcPr>
            <w:tcW w:w="2349"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设备安装调试报告</w:t>
            </w:r>
          </w:p>
        </w:tc>
        <w:tc>
          <w:tcPr>
            <w:tcW w:w="1750"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电子版</w:t>
            </w:r>
          </w:p>
        </w:tc>
        <w:tc>
          <w:tcPr>
            <w:tcW w:w="858"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r>
              <w:rPr>
                <w:rFonts w:hint="eastAsia" w:eastAsia="仿宋_GB2312"/>
                <w:sz w:val="24"/>
                <w:szCs w:val="24"/>
              </w:rPr>
              <w:t>1</w:t>
            </w:r>
          </w:p>
        </w:tc>
        <w:tc>
          <w:tcPr>
            <w:tcW w:w="2326" w:type="dxa"/>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eastAsia="仿宋_GB2312"/>
                <w:sz w:val="24"/>
                <w:szCs w:val="24"/>
              </w:rPr>
            </w:pPr>
          </w:p>
        </w:tc>
      </w:tr>
    </w:tbl>
    <w:p>
      <w:pPr>
        <w:ind w:firstLine="480" w:firstLineChars="200"/>
        <w:rPr>
          <w:rFonts w:eastAsia="仿宋_GB2312"/>
          <w:sz w:val="24"/>
          <w:szCs w:val="24"/>
        </w:rPr>
      </w:pPr>
      <w:r>
        <w:rPr>
          <w:rFonts w:eastAsia="仿宋_GB2312"/>
          <w:sz w:val="24"/>
          <w:szCs w:val="24"/>
        </w:rPr>
        <w:t>（八）包装及其它</w:t>
      </w:r>
    </w:p>
    <w:p>
      <w:pPr>
        <w:adjustRightInd w:val="0"/>
        <w:snapToGrid w:val="0"/>
        <w:ind w:firstLine="480" w:firstLineChars="200"/>
        <w:rPr>
          <w:rFonts w:eastAsia="仿宋_GB2312"/>
          <w:sz w:val="24"/>
          <w:szCs w:val="24"/>
        </w:rPr>
      </w:pPr>
      <w:r>
        <w:rPr>
          <w:rFonts w:eastAsia="仿宋_GB2312"/>
          <w:sz w:val="24"/>
          <w:szCs w:val="24"/>
        </w:rPr>
        <w:t>1.卖方所提供设备的包装，应遵照国家标准和有关包装的技术条件，或按照最好的商业惯例进行包装。包装应能适应长途海上和内陆运输、多次吊装卸装、卸货以及长期露天堆放要求，还应能防止雨淋、受潮、生锈、腐蚀、受振以及机械和化学因素引起的损坏，应保证自交货日起一年内设备以及相关配套供货范围的完好无损；</w:t>
      </w:r>
    </w:p>
    <w:p>
      <w:pPr>
        <w:adjustRightInd w:val="0"/>
        <w:snapToGrid w:val="0"/>
        <w:ind w:firstLine="480" w:firstLineChars="200"/>
        <w:rPr>
          <w:rFonts w:eastAsia="仿宋_GB2312"/>
          <w:sz w:val="24"/>
          <w:szCs w:val="24"/>
        </w:rPr>
      </w:pPr>
      <w:r>
        <w:rPr>
          <w:rFonts w:eastAsia="仿宋_GB2312"/>
          <w:sz w:val="24"/>
          <w:szCs w:val="24"/>
        </w:rPr>
        <w:t>2.卖方应在运输时对包装件和附件作必要的加固和固定，以防止运输中滚动和冲撞等；</w:t>
      </w:r>
    </w:p>
    <w:p>
      <w:pPr>
        <w:adjustRightInd w:val="0"/>
        <w:snapToGrid w:val="0"/>
        <w:ind w:firstLine="480" w:firstLineChars="200"/>
        <w:rPr>
          <w:rFonts w:eastAsia="仿宋_GB2312"/>
          <w:sz w:val="24"/>
          <w:szCs w:val="24"/>
        </w:rPr>
      </w:pPr>
      <w:r>
        <w:rPr>
          <w:rFonts w:eastAsia="仿宋_GB2312"/>
          <w:sz w:val="24"/>
          <w:szCs w:val="24"/>
        </w:rPr>
        <w:t>3.卖方所提供技术文件、资料，应妥善包装，使其能承受长途运输和大量搬运所有可能带来的损坏，并能防潮、防水、防磁等要求；</w:t>
      </w:r>
    </w:p>
    <w:p>
      <w:pPr>
        <w:adjustRightInd w:val="0"/>
        <w:snapToGrid w:val="0"/>
        <w:ind w:firstLine="480" w:firstLineChars="200"/>
        <w:rPr>
          <w:rFonts w:eastAsia="仿宋_GB2312"/>
          <w:sz w:val="24"/>
          <w:szCs w:val="24"/>
        </w:rPr>
      </w:pPr>
      <w:r>
        <w:rPr>
          <w:rFonts w:eastAsia="仿宋_GB2312"/>
          <w:sz w:val="24"/>
          <w:szCs w:val="24"/>
        </w:rPr>
        <w:t>4.卖方所提供设备的包装，应能防止其一般性被窃或受外力破坏；一般不得采用有大缝隙的板条包装；</w:t>
      </w:r>
    </w:p>
    <w:p>
      <w:pPr>
        <w:adjustRightInd w:val="0"/>
        <w:snapToGrid w:val="0"/>
        <w:ind w:firstLine="480" w:firstLineChars="200"/>
        <w:rPr>
          <w:rFonts w:eastAsia="仿宋_GB2312"/>
          <w:sz w:val="24"/>
          <w:szCs w:val="24"/>
        </w:rPr>
      </w:pPr>
      <w:r>
        <w:rPr>
          <w:rFonts w:eastAsia="仿宋_GB2312"/>
          <w:sz w:val="24"/>
          <w:szCs w:val="24"/>
        </w:rPr>
        <w:t>5.每个包装件应有明显的包装标志，并标明型号和规格、产品标准名称、净重和毛重、卖方（或供货商）厂名和制造日期等相关内容；</w:t>
      </w:r>
    </w:p>
    <w:p>
      <w:pPr>
        <w:adjustRightInd w:val="0"/>
        <w:snapToGrid w:val="0"/>
        <w:ind w:firstLine="480" w:firstLineChars="200"/>
        <w:rPr>
          <w:rFonts w:eastAsia="仿宋_GB2312"/>
          <w:sz w:val="24"/>
          <w:szCs w:val="24"/>
        </w:rPr>
      </w:pPr>
      <w:r>
        <w:rPr>
          <w:rFonts w:eastAsia="仿宋_GB2312"/>
          <w:sz w:val="24"/>
          <w:szCs w:val="24"/>
        </w:rPr>
        <w:t>6.每个附件箱上应标有附件的型号和规格、产品标准名称、套数、净重和毛重、卖方（或供货商）厂名和制造日期等相关内容；</w:t>
      </w:r>
    </w:p>
    <w:p>
      <w:pPr>
        <w:adjustRightInd w:val="0"/>
        <w:snapToGrid w:val="0"/>
        <w:ind w:firstLine="480" w:firstLineChars="200"/>
        <w:rPr>
          <w:rFonts w:eastAsia="仿宋_GB2312"/>
          <w:sz w:val="24"/>
          <w:szCs w:val="24"/>
        </w:rPr>
      </w:pPr>
      <w:r>
        <w:rPr>
          <w:rFonts w:eastAsia="仿宋_GB2312"/>
          <w:sz w:val="24"/>
          <w:szCs w:val="24"/>
        </w:rPr>
        <w:t>7.每个包装件和附件箱侧壁应用中文书写：合同号、装运标志、发货和到货港名称、发货人和收货人名称、设备名称和项目号、箱号和外型尺寸等内容；</w:t>
      </w:r>
    </w:p>
    <w:p>
      <w:pPr>
        <w:adjustRightInd w:val="0"/>
        <w:snapToGrid w:val="0"/>
        <w:ind w:firstLine="480" w:firstLineChars="200"/>
        <w:rPr>
          <w:rFonts w:eastAsia="仿宋_GB2312"/>
          <w:sz w:val="24"/>
          <w:szCs w:val="24"/>
        </w:rPr>
      </w:pPr>
      <w:r>
        <w:rPr>
          <w:rFonts w:eastAsia="仿宋_GB2312"/>
          <w:sz w:val="24"/>
          <w:szCs w:val="24"/>
        </w:rPr>
        <w:t>8.卖方还应按照不同的装运要求在包装件和附件箱上标明“小心轻放”、“箭头向上”、“防潮”、“防磁”、“不准平放”等标志，以及其它适用的国标通用标志；</w:t>
      </w:r>
    </w:p>
    <w:p>
      <w:pPr>
        <w:adjustRightInd w:val="0"/>
        <w:snapToGrid w:val="0"/>
        <w:ind w:firstLine="480" w:firstLineChars="200"/>
        <w:rPr>
          <w:rFonts w:eastAsia="仿宋_GB2312"/>
          <w:sz w:val="24"/>
          <w:szCs w:val="24"/>
        </w:rPr>
      </w:pPr>
      <w:r>
        <w:rPr>
          <w:rFonts w:eastAsia="仿宋_GB2312"/>
          <w:sz w:val="24"/>
          <w:szCs w:val="24"/>
        </w:rPr>
        <w:t>9.包装件和附件箱应连续编号，不应出现重复编号；而且在全部装运过程中，装箱编号的顺序应力求连贯。</w:t>
      </w:r>
    </w:p>
    <w:p>
      <w:pPr>
        <w:pStyle w:val="77"/>
        <w:spacing w:line="240" w:lineRule="auto"/>
        <w:outlineLvl w:val="0"/>
        <w:rPr>
          <w:rFonts w:ascii="Times New Roman" w:hAnsi="Times New Roman" w:eastAsia="仿宋_GB2312" w:cs="Times New Roman"/>
          <w:szCs w:val="24"/>
        </w:rPr>
      </w:pPr>
      <w:bookmarkStart w:id="260" w:name="_Toc19991"/>
      <w:bookmarkStart w:id="261" w:name="_Toc14160331"/>
      <w:bookmarkStart w:id="262" w:name="_Toc10966"/>
      <w:bookmarkStart w:id="263" w:name="_Toc2125428036"/>
      <w:bookmarkStart w:id="264" w:name="_Toc23294"/>
      <w:bookmarkStart w:id="265" w:name="_Toc452880732"/>
      <w:r>
        <w:rPr>
          <w:rFonts w:ascii="Times New Roman" w:hAnsi="Times New Roman" w:eastAsia="仿宋_GB2312" w:cs="Times New Roman"/>
          <w:b/>
          <w:bCs/>
          <w:szCs w:val="24"/>
        </w:rPr>
        <w:t>五、服务范围及要求</w:t>
      </w:r>
      <w:bookmarkEnd w:id="260"/>
      <w:bookmarkEnd w:id="261"/>
      <w:bookmarkEnd w:id="262"/>
      <w:bookmarkEnd w:id="263"/>
      <w:bookmarkEnd w:id="264"/>
      <w:bookmarkEnd w:id="265"/>
    </w:p>
    <w:p>
      <w:pPr>
        <w:adjustRightInd w:val="0"/>
        <w:snapToGrid w:val="0"/>
        <w:ind w:firstLine="480" w:firstLineChars="200"/>
        <w:rPr>
          <w:rFonts w:eastAsia="仿宋_GB2312"/>
          <w:sz w:val="24"/>
          <w:szCs w:val="24"/>
        </w:rPr>
      </w:pPr>
      <w:r>
        <w:rPr>
          <w:rFonts w:eastAsia="仿宋_GB2312"/>
          <w:sz w:val="24"/>
          <w:szCs w:val="24"/>
        </w:rPr>
        <w:t>（一）技术指导和培训服务</w:t>
      </w:r>
    </w:p>
    <w:p>
      <w:pPr>
        <w:adjustRightInd w:val="0"/>
        <w:snapToGrid w:val="0"/>
        <w:ind w:firstLine="480" w:firstLineChars="200"/>
        <w:rPr>
          <w:rFonts w:eastAsia="仿宋_GB2312"/>
          <w:sz w:val="24"/>
          <w:szCs w:val="24"/>
        </w:rPr>
      </w:pPr>
      <w:r>
        <w:rPr>
          <w:rFonts w:eastAsia="仿宋_GB2312"/>
          <w:sz w:val="24"/>
          <w:szCs w:val="24"/>
        </w:rPr>
        <w:t>1.卖方应负责对买方</w:t>
      </w:r>
      <w:r>
        <w:rPr>
          <w:rFonts w:hint="eastAsia" w:eastAsia="仿宋_GB2312"/>
          <w:sz w:val="24"/>
          <w:szCs w:val="24"/>
          <w:u w:val="single"/>
          <w:lang w:val="en-US" w:eastAsia="zh-CN"/>
        </w:rPr>
        <w:t>4</w:t>
      </w:r>
      <w:r>
        <w:rPr>
          <w:rFonts w:eastAsia="仿宋_GB2312"/>
          <w:sz w:val="24"/>
          <w:szCs w:val="24"/>
        </w:rPr>
        <w:t>名工程技术人员和操作人员提供</w:t>
      </w:r>
      <w:r>
        <w:rPr>
          <w:rFonts w:hint="eastAsia" w:eastAsia="仿宋_GB2312"/>
          <w:sz w:val="24"/>
          <w:szCs w:val="24"/>
          <w:u w:val="single"/>
          <w:shd w:val="clear" w:color="auto" w:fill="auto"/>
          <w:lang w:val="en-US" w:eastAsia="zh-CN"/>
        </w:rPr>
        <w:t>7</w:t>
      </w:r>
      <w:r>
        <w:rPr>
          <w:rFonts w:eastAsia="仿宋_GB2312"/>
          <w:sz w:val="24"/>
          <w:szCs w:val="24"/>
        </w:rPr>
        <w:t>个日历日的免费的技术指导和培训，并接受买方有关人员的技术咨询；培训时长以培训效果为准，若培训效果不达标须延长培训时间。</w:t>
      </w:r>
    </w:p>
    <w:p>
      <w:pPr>
        <w:adjustRightInd w:val="0"/>
        <w:snapToGrid w:val="0"/>
        <w:ind w:firstLine="480" w:firstLineChars="200"/>
        <w:rPr>
          <w:rFonts w:eastAsia="仿宋_GB2312"/>
          <w:sz w:val="24"/>
          <w:szCs w:val="24"/>
        </w:rPr>
      </w:pPr>
      <w:r>
        <w:rPr>
          <w:rFonts w:hint="eastAsia" w:eastAsia="仿宋_GB2312"/>
          <w:sz w:val="24"/>
          <w:szCs w:val="24"/>
          <w:lang w:val="en-US" w:eastAsia="zh-CN"/>
        </w:rPr>
        <w:t>2</w:t>
      </w:r>
      <w:r>
        <w:rPr>
          <w:rFonts w:eastAsia="仿宋_GB2312"/>
          <w:sz w:val="24"/>
          <w:szCs w:val="24"/>
        </w:rPr>
        <w:t>.卖方应免费提供一定数量的培训资料；</w:t>
      </w:r>
    </w:p>
    <w:p>
      <w:pPr>
        <w:adjustRightInd w:val="0"/>
        <w:snapToGrid w:val="0"/>
        <w:ind w:firstLine="480" w:firstLineChars="200"/>
        <w:rPr>
          <w:rFonts w:eastAsia="仿宋_GB2312"/>
          <w:sz w:val="24"/>
          <w:szCs w:val="24"/>
        </w:rPr>
      </w:pPr>
      <w:r>
        <w:rPr>
          <w:rFonts w:hint="eastAsia" w:eastAsia="仿宋_GB2312"/>
          <w:sz w:val="24"/>
          <w:szCs w:val="24"/>
          <w:lang w:val="en-US" w:eastAsia="zh-CN"/>
        </w:rPr>
        <w:t>3</w:t>
      </w:r>
      <w:r>
        <w:rPr>
          <w:rFonts w:eastAsia="仿宋_GB2312"/>
          <w:sz w:val="24"/>
          <w:szCs w:val="24"/>
        </w:rPr>
        <w:t>.卖方应按要求，免费积极协助和提供买方和买方所委托的工程设计单位有关人员所需要的、和设备有关的工程设计资料、技术咨询等；</w:t>
      </w:r>
    </w:p>
    <w:p>
      <w:pPr>
        <w:adjustRightInd w:val="0"/>
        <w:snapToGrid w:val="0"/>
        <w:ind w:firstLine="480" w:firstLineChars="200"/>
        <w:rPr>
          <w:rFonts w:eastAsia="仿宋_GB2312"/>
          <w:sz w:val="24"/>
          <w:szCs w:val="24"/>
        </w:rPr>
      </w:pPr>
      <w:r>
        <w:rPr>
          <w:rFonts w:hint="eastAsia" w:eastAsia="仿宋_GB2312"/>
          <w:sz w:val="24"/>
          <w:szCs w:val="24"/>
          <w:lang w:val="en-US" w:eastAsia="zh-CN"/>
        </w:rPr>
        <w:t>4</w:t>
      </w:r>
      <w:r>
        <w:rPr>
          <w:rFonts w:eastAsia="仿宋_GB2312"/>
          <w:sz w:val="24"/>
          <w:szCs w:val="24"/>
        </w:rPr>
        <w:t>.若卖方提供设备的技术质量等，与卖方外购的设备技术质量等有较大或直接关联时，卖方应能得到其外购设备制造厂商（或供应商）的技术支持，并免费为买方提供技术服务（包括设计文件的审查和审定）；</w:t>
      </w:r>
    </w:p>
    <w:p>
      <w:pPr>
        <w:adjustRightInd w:val="0"/>
        <w:snapToGrid w:val="0"/>
        <w:ind w:firstLine="480" w:firstLineChars="200"/>
        <w:rPr>
          <w:rFonts w:eastAsia="仿宋_GB2312"/>
          <w:sz w:val="24"/>
          <w:szCs w:val="24"/>
        </w:rPr>
      </w:pPr>
      <w:r>
        <w:rPr>
          <w:rFonts w:hint="eastAsia" w:eastAsia="仿宋_GB2312"/>
          <w:sz w:val="24"/>
          <w:szCs w:val="24"/>
          <w:lang w:val="en-US" w:eastAsia="zh-CN"/>
        </w:rPr>
        <w:t>5</w:t>
      </w:r>
      <w:r>
        <w:rPr>
          <w:rFonts w:eastAsia="仿宋_GB2312"/>
          <w:sz w:val="24"/>
          <w:szCs w:val="24"/>
        </w:rPr>
        <w:t>.卖方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pPr>
        <w:adjustRightInd w:val="0"/>
        <w:snapToGrid w:val="0"/>
        <w:ind w:firstLine="480" w:firstLineChars="200"/>
        <w:rPr>
          <w:rFonts w:eastAsia="仿宋_GB2312"/>
          <w:sz w:val="24"/>
          <w:szCs w:val="24"/>
        </w:rPr>
      </w:pPr>
      <w:r>
        <w:rPr>
          <w:rFonts w:hint="eastAsia" w:eastAsia="仿宋_GB2312"/>
          <w:sz w:val="24"/>
          <w:szCs w:val="24"/>
          <w:lang w:val="en-US" w:eastAsia="zh-CN"/>
        </w:rPr>
        <w:t>6</w:t>
      </w:r>
      <w:r>
        <w:rPr>
          <w:rFonts w:eastAsia="仿宋_GB2312"/>
          <w:sz w:val="24"/>
          <w:szCs w:val="24"/>
        </w:rPr>
        <w:t>.培训效果达标后方可进行终验收。</w:t>
      </w:r>
    </w:p>
    <w:p>
      <w:pPr>
        <w:adjustRightInd w:val="0"/>
        <w:snapToGrid w:val="0"/>
        <w:ind w:firstLine="480" w:firstLineChars="200"/>
        <w:rPr>
          <w:rFonts w:eastAsia="仿宋_GB2312"/>
          <w:sz w:val="24"/>
          <w:szCs w:val="24"/>
        </w:rPr>
      </w:pPr>
      <w:r>
        <w:rPr>
          <w:rFonts w:eastAsia="仿宋_GB2312"/>
          <w:sz w:val="24"/>
          <w:szCs w:val="24"/>
        </w:rPr>
        <w:t>（二）运输服务</w:t>
      </w:r>
    </w:p>
    <w:p>
      <w:pPr>
        <w:adjustRightInd w:val="0"/>
        <w:snapToGrid w:val="0"/>
        <w:ind w:firstLine="480" w:firstLineChars="200"/>
        <w:rPr>
          <w:rFonts w:eastAsia="仿宋_GB2312"/>
          <w:sz w:val="24"/>
          <w:szCs w:val="24"/>
        </w:rPr>
      </w:pPr>
      <w:r>
        <w:rPr>
          <w:rFonts w:eastAsia="仿宋_GB2312"/>
          <w:sz w:val="24"/>
          <w:szCs w:val="24"/>
        </w:rPr>
        <w:t>1.卖方应负责将设备运到目的地，并必须做到设备在任何运输过程中不受损坏和遗失；</w:t>
      </w:r>
    </w:p>
    <w:p>
      <w:pPr>
        <w:adjustRightInd w:val="0"/>
        <w:snapToGrid w:val="0"/>
        <w:ind w:firstLine="480" w:firstLineChars="200"/>
        <w:rPr>
          <w:rFonts w:eastAsia="仿宋_GB2312"/>
          <w:sz w:val="24"/>
          <w:szCs w:val="24"/>
        </w:rPr>
      </w:pPr>
      <w:r>
        <w:rPr>
          <w:rFonts w:eastAsia="仿宋_GB2312"/>
          <w:sz w:val="24"/>
          <w:szCs w:val="24"/>
        </w:rPr>
        <w:t>2.同批设备和附件应统一编号运输；</w:t>
      </w:r>
    </w:p>
    <w:p>
      <w:pPr>
        <w:adjustRightInd w:val="0"/>
        <w:snapToGrid w:val="0"/>
        <w:ind w:firstLine="480" w:firstLineChars="200"/>
        <w:rPr>
          <w:rFonts w:eastAsia="仿宋_GB2312"/>
          <w:sz w:val="24"/>
          <w:szCs w:val="24"/>
        </w:rPr>
      </w:pPr>
      <w:r>
        <w:rPr>
          <w:rFonts w:eastAsia="仿宋_GB2312"/>
          <w:sz w:val="24"/>
          <w:szCs w:val="24"/>
        </w:rPr>
        <w:t>3.经由铁路、公路运输的包装件尺寸和重量不应超过国家所规定的尺寸限制；</w:t>
      </w:r>
    </w:p>
    <w:p>
      <w:pPr>
        <w:adjustRightInd w:val="0"/>
        <w:snapToGrid w:val="0"/>
        <w:ind w:firstLine="480" w:firstLineChars="200"/>
        <w:rPr>
          <w:rFonts w:eastAsia="仿宋_GB2312"/>
          <w:sz w:val="24"/>
          <w:szCs w:val="24"/>
        </w:rPr>
      </w:pPr>
      <w:r>
        <w:rPr>
          <w:rFonts w:eastAsia="仿宋_GB2312"/>
          <w:sz w:val="24"/>
          <w:szCs w:val="24"/>
        </w:rPr>
        <w:t>4.在每批设备发出后,卖方应立即通知买方；通知中应指明：合同号、货运单号、件数、重量和设备发出日期等相关内容；</w:t>
      </w:r>
    </w:p>
    <w:p>
      <w:pPr>
        <w:adjustRightInd w:val="0"/>
        <w:snapToGrid w:val="0"/>
        <w:ind w:firstLine="480" w:firstLineChars="200"/>
        <w:rPr>
          <w:rFonts w:eastAsia="仿宋_GB2312"/>
          <w:sz w:val="24"/>
          <w:szCs w:val="24"/>
        </w:rPr>
      </w:pPr>
      <w:r>
        <w:rPr>
          <w:rFonts w:eastAsia="仿宋_GB2312"/>
          <w:sz w:val="24"/>
          <w:szCs w:val="24"/>
        </w:rPr>
        <w:t>5.设备运抵买方现场后，卖方应负责设备的卸货、搬运、保管等事宜；或按照合同约定。</w:t>
      </w:r>
    </w:p>
    <w:p>
      <w:pPr>
        <w:adjustRightInd w:val="0"/>
        <w:snapToGrid w:val="0"/>
        <w:ind w:firstLine="480" w:firstLineChars="200"/>
        <w:rPr>
          <w:rFonts w:eastAsia="仿宋_GB2312"/>
          <w:sz w:val="24"/>
          <w:szCs w:val="24"/>
        </w:rPr>
      </w:pPr>
      <w:r>
        <w:rPr>
          <w:rFonts w:eastAsia="仿宋_GB2312"/>
          <w:sz w:val="24"/>
          <w:szCs w:val="24"/>
        </w:rPr>
        <w:t>（三）安装调试服务</w:t>
      </w:r>
    </w:p>
    <w:p>
      <w:pPr>
        <w:adjustRightInd w:val="0"/>
        <w:snapToGrid w:val="0"/>
        <w:ind w:firstLine="480" w:firstLineChars="200"/>
        <w:rPr>
          <w:rFonts w:eastAsia="仿宋_GB2312"/>
          <w:sz w:val="24"/>
          <w:szCs w:val="24"/>
        </w:rPr>
      </w:pPr>
      <w:r>
        <w:rPr>
          <w:rFonts w:eastAsia="仿宋_GB2312"/>
          <w:sz w:val="24"/>
          <w:szCs w:val="24"/>
        </w:rPr>
        <w:t>1.根据设备的要求，调试可分空载和负载两个阶段进行；买方将予以积极配合，协助卖方达到设备的各项技术要求和性能；</w:t>
      </w:r>
    </w:p>
    <w:p>
      <w:pPr>
        <w:adjustRightInd w:val="0"/>
        <w:snapToGrid w:val="0"/>
        <w:ind w:firstLine="480" w:firstLineChars="200"/>
        <w:rPr>
          <w:rFonts w:eastAsia="仿宋_GB2312"/>
          <w:sz w:val="24"/>
          <w:szCs w:val="24"/>
        </w:rPr>
      </w:pPr>
      <w:r>
        <w:rPr>
          <w:rFonts w:eastAsia="仿宋_GB2312"/>
          <w:sz w:val="24"/>
          <w:szCs w:val="24"/>
        </w:rPr>
        <w:t>2.安装调试与验收期间，若卖方提供设备的技术质量等，与卖方外购的设备技术质量等有较大或直接关联时，卖方应能得到其外购设备制造厂商（或供应商）的技术支持，并免费为买方提供安装使用现场的指导与协调；</w:t>
      </w:r>
    </w:p>
    <w:p>
      <w:pPr>
        <w:adjustRightInd w:val="0"/>
        <w:snapToGrid w:val="0"/>
        <w:ind w:firstLine="480" w:firstLineChars="200"/>
        <w:rPr>
          <w:rFonts w:eastAsia="仿宋_GB2312"/>
          <w:sz w:val="24"/>
          <w:szCs w:val="24"/>
        </w:rPr>
      </w:pPr>
      <w:r>
        <w:rPr>
          <w:rFonts w:eastAsia="仿宋_GB2312"/>
          <w:sz w:val="24"/>
          <w:szCs w:val="24"/>
        </w:rPr>
        <w:t>3.卖方应免费负责设备的安装、调试与培训，并接受用户的技术咨询；</w:t>
      </w:r>
    </w:p>
    <w:p>
      <w:pPr>
        <w:adjustRightInd w:val="0"/>
        <w:snapToGrid w:val="0"/>
        <w:ind w:firstLine="480" w:firstLineChars="200"/>
        <w:rPr>
          <w:rFonts w:eastAsia="仿宋_GB2312"/>
          <w:sz w:val="24"/>
          <w:szCs w:val="24"/>
        </w:rPr>
      </w:pPr>
      <w:r>
        <w:rPr>
          <w:rFonts w:eastAsia="仿宋_GB2312"/>
          <w:sz w:val="24"/>
          <w:szCs w:val="24"/>
        </w:rPr>
        <w:t>4.本项目为现有车间的升级改造，现场安装前必须具有明确的作业计划及工作流程，并对现场施工安全、消防等负责。</w:t>
      </w:r>
    </w:p>
    <w:p>
      <w:pPr>
        <w:adjustRightInd w:val="0"/>
        <w:snapToGrid w:val="0"/>
        <w:ind w:firstLine="480" w:firstLineChars="200"/>
        <w:rPr>
          <w:rFonts w:eastAsia="仿宋_GB2312"/>
          <w:sz w:val="24"/>
          <w:szCs w:val="24"/>
        </w:rPr>
      </w:pPr>
      <w:r>
        <w:rPr>
          <w:rFonts w:eastAsia="仿宋_GB2312"/>
          <w:sz w:val="24"/>
          <w:szCs w:val="24"/>
        </w:rPr>
        <w:t>（四）验收服务</w:t>
      </w:r>
    </w:p>
    <w:p>
      <w:pPr>
        <w:adjustRightInd w:val="0"/>
        <w:snapToGrid w:val="0"/>
        <w:ind w:firstLine="480" w:firstLineChars="200"/>
        <w:rPr>
          <w:rFonts w:eastAsia="仿宋_GB2312"/>
          <w:sz w:val="24"/>
          <w:szCs w:val="24"/>
        </w:rPr>
      </w:pPr>
      <w:r>
        <w:rPr>
          <w:rFonts w:eastAsia="仿宋_GB2312"/>
          <w:sz w:val="24"/>
          <w:szCs w:val="24"/>
        </w:rPr>
        <w:t>1.买方提供的技术指导与咨询、在卖方的设备预验收和在买方的设备终验收，应当是完全免费的；</w:t>
      </w:r>
    </w:p>
    <w:p>
      <w:pPr>
        <w:adjustRightInd w:val="0"/>
        <w:snapToGrid w:val="0"/>
        <w:ind w:firstLine="480" w:firstLineChars="200"/>
        <w:rPr>
          <w:rFonts w:eastAsia="仿宋_GB2312"/>
          <w:sz w:val="24"/>
          <w:szCs w:val="24"/>
        </w:rPr>
      </w:pPr>
      <w:r>
        <w:rPr>
          <w:rFonts w:eastAsia="仿宋_GB2312"/>
          <w:sz w:val="24"/>
          <w:szCs w:val="24"/>
        </w:rPr>
        <w:t>2.设备验收时，若卖方提供设备的技术质量等，与卖方外购的设备技术质量等有较大或直接关联时，卖方应能得到其外购设备制造厂商（或供应商）的技术支持，并免费提供其必要的现场指导与协调；</w:t>
      </w:r>
    </w:p>
    <w:p>
      <w:pPr>
        <w:adjustRightInd w:val="0"/>
        <w:snapToGrid w:val="0"/>
        <w:ind w:firstLine="480" w:firstLineChars="200"/>
        <w:rPr>
          <w:rFonts w:eastAsia="仿宋_GB2312"/>
          <w:sz w:val="24"/>
          <w:szCs w:val="24"/>
        </w:rPr>
      </w:pPr>
      <w:r>
        <w:rPr>
          <w:rFonts w:eastAsia="仿宋_GB2312"/>
          <w:sz w:val="24"/>
          <w:szCs w:val="24"/>
        </w:rPr>
        <w:t>3.在卖方所提供设备需要得到买方建设项目所在地政府或行业主管部门的查验、试验、验收时，卖方应当免费协助买方完成所需要的工作、材料和服务等。</w:t>
      </w:r>
    </w:p>
    <w:p>
      <w:pPr>
        <w:tabs>
          <w:tab w:val="left" w:pos="7602"/>
        </w:tabs>
        <w:adjustRightInd w:val="0"/>
        <w:snapToGrid w:val="0"/>
        <w:ind w:left="210" w:leftChars="100" w:firstLine="480" w:firstLineChars="200"/>
        <w:rPr>
          <w:rFonts w:eastAsia="仿宋_GB2312"/>
          <w:sz w:val="24"/>
          <w:szCs w:val="24"/>
        </w:rPr>
      </w:pPr>
      <w:r>
        <w:rPr>
          <w:rFonts w:eastAsia="仿宋_GB2312"/>
          <w:sz w:val="24"/>
          <w:szCs w:val="24"/>
        </w:rPr>
        <w:t>（五）售后服务</w:t>
      </w:r>
      <w:r>
        <w:rPr>
          <w:rFonts w:eastAsia="仿宋_GB2312"/>
          <w:sz w:val="24"/>
          <w:szCs w:val="24"/>
        </w:rPr>
        <w:tab/>
      </w:r>
    </w:p>
    <w:p>
      <w:pPr>
        <w:adjustRightInd w:val="0"/>
        <w:snapToGrid w:val="0"/>
        <w:ind w:firstLine="480" w:firstLineChars="200"/>
        <w:rPr>
          <w:rFonts w:eastAsia="仿宋_GB2312"/>
          <w:sz w:val="24"/>
          <w:szCs w:val="24"/>
        </w:rPr>
      </w:pPr>
      <w:r>
        <w:rPr>
          <w:rFonts w:eastAsia="仿宋_GB2312"/>
          <w:sz w:val="24"/>
          <w:szCs w:val="24"/>
        </w:rPr>
        <w:t>1.在质保期之内，如发现卖方所提供的设备存在问题，需要卖方配合解决时，卖方须在接到通知后</w:t>
      </w:r>
      <w:r>
        <w:rPr>
          <w:rFonts w:eastAsia="仿宋_GB2312"/>
          <w:sz w:val="24"/>
          <w:szCs w:val="24"/>
          <w:u w:val="single"/>
          <w:shd w:val="pct10" w:color="auto" w:fill="FFFFFF"/>
        </w:rPr>
        <w:t xml:space="preserve"> 24 </w:t>
      </w:r>
      <w:r>
        <w:rPr>
          <w:rFonts w:eastAsia="仿宋_GB2312"/>
          <w:sz w:val="24"/>
          <w:szCs w:val="24"/>
        </w:rPr>
        <w:t>小时内派有关人员到达现场，解决问题；</w:t>
      </w:r>
    </w:p>
    <w:p>
      <w:pPr>
        <w:adjustRightInd w:val="0"/>
        <w:snapToGrid w:val="0"/>
        <w:ind w:firstLine="480" w:firstLineChars="200"/>
        <w:rPr>
          <w:rFonts w:eastAsia="仿宋_GB2312"/>
          <w:sz w:val="24"/>
          <w:szCs w:val="24"/>
        </w:rPr>
      </w:pPr>
      <w:r>
        <w:rPr>
          <w:rFonts w:eastAsia="仿宋_GB2312"/>
          <w:sz w:val="24"/>
          <w:szCs w:val="24"/>
        </w:rPr>
        <w:t>2.在质保期之后，如发现卖方所提供的设备存在问题，需要卖方配合解决时，卖方须在接到通知后</w:t>
      </w:r>
      <w:r>
        <w:rPr>
          <w:rFonts w:eastAsia="仿宋_GB2312"/>
          <w:sz w:val="24"/>
          <w:szCs w:val="24"/>
          <w:u w:val="single"/>
          <w:shd w:val="pct10" w:color="auto" w:fill="FFFFFF"/>
        </w:rPr>
        <w:t xml:space="preserve"> 48 </w:t>
      </w:r>
      <w:r>
        <w:rPr>
          <w:rFonts w:eastAsia="仿宋_GB2312"/>
          <w:sz w:val="24"/>
          <w:szCs w:val="24"/>
        </w:rPr>
        <w:t>小时内派有关人员到达现场，协助买方解决问题；</w:t>
      </w:r>
    </w:p>
    <w:p>
      <w:pPr>
        <w:adjustRightInd w:val="0"/>
        <w:snapToGrid w:val="0"/>
        <w:ind w:firstLine="480" w:firstLineChars="200"/>
        <w:rPr>
          <w:rFonts w:eastAsia="仿宋_GB2312"/>
          <w:sz w:val="24"/>
          <w:szCs w:val="24"/>
        </w:rPr>
      </w:pPr>
      <w:r>
        <w:rPr>
          <w:rFonts w:eastAsia="仿宋_GB2312"/>
          <w:sz w:val="24"/>
          <w:szCs w:val="24"/>
        </w:rPr>
        <w:t>3.所有的售后服务均由卖方受理。如果发生问题并且收到报告，应当在2小时内予以答复；</w:t>
      </w:r>
    </w:p>
    <w:p>
      <w:pPr>
        <w:adjustRightInd w:val="0"/>
        <w:snapToGrid w:val="0"/>
        <w:ind w:firstLine="480" w:firstLineChars="200"/>
        <w:rPr>
          <w:rFonts w:eastAsia="仿宋_GB2312"/>
          <w:sz w:val="24"/>
          <w:szCs w:val="24"/>
        </w:rPr>
      </w:pPr>
      <w:r>
        <w:rPr>
          <w:rFonts w:eastAsia="仿宋_GB2312"/>
          <w:sz w:val="24"/>
          <w:szCs w:val="24"/>
        </w:rPr>
        <w:t>4.卖方应为买方提供最佳的服务。</w:t>
      </w:r>
    </w:p>
    <w:p>
      <w:pPr>
        <w:adjustRightInd w:val="0"/>
        <w:snapToGrid w:val="0"/>
        <w:ind w:firstLine="480" w:firstLineChars="200"/>
        <w:rPr>
          <w:rFonts w:eastAsia="仿宋_GB2312"/>
          <w:sz w:val="24"/>
          <w:szCs w:val="24"/>
        </w:rPr>
      </w:pPr>
      <w:r>
        <w:rPr>
          <w:rFonts w:eastAsia="仿宋_GB2312"/>
          <w:sz w:val="24"/>
          <w:szCs w:val="24"/>
        </w:rPr>
        <w:t>5.通过终验收后，为保证生产线的顺利生产，投标方应留专职人员在招标方生产现场进行 1个月的现场服务工作（电气控制、机器人调试、机械）。</w:t>
      </w:r>
    </w:p>
    <w:p>
      <w:pPr>
        <w:adjustRightInd w:val="0"/>
        <w:snapToGrid w:val="0"/>
        <w:ind w:firstLine="480" w:firstLineChars="200"/>
        <w:rPr>
          <w:rFonts w:eastAsia="仿宋_GB2312"/>
          <w:sz w:val="24"/>
          <w:szCs w:val="24"/>
        </w:rPr>
      </w:pPr>
      <w:r>
        <w:rPr>
          <w:rFonts w:eastAsia="仿宋_GB2312"/>
          <w:sz w:val="24"/>
          <w:szCs w:val="24"/>
        </w:rPr>
        <w:t>（六）其它服务</w:t>
      </w:r>
    </w:p>
    <w:p>
      <w:pPr>
        <w:adjustRightInd w:val="0"/>
        <w:snapToGrid w:val="0"/>
        <w:ind w:firstLine="480" w:firstLineChars="200"/>
        <w:rPr>
          <w:rFonts w:eastAsia="仿宋_GB2312"/>
          <w:sz w:val="24"/>
          <w:szCs w:val="24"/>
        </w:rPr>
      </w:pPr>
      <w:r>
        <w:rPr>
          <w:rFonts w:eastAsia="仿宋_GB2312"/>
          <w:sz w:val="24"/>
          <w:szCs w:val="24"/>
        </w:rPr>
        <w:t>1.若卖方所提供设备有需要进口的，卖方一般应自行、自费办理；</w:t>
      </w:r>
    </w:p>
    <w:p>
      <w:pPr>
        <w:adjustRightInd w:val="0"/>
        <w:snapToGrid w:val="0"/>
        <w:ind w:firstLine="480" w:firstLineChars="200"/>
        <w:rPr>
          <w:rFonts w:eastAsia="仿宋_GB2312"/>
          <w:sz w:val="24"/>
          <w:szCs w:val="24"/>
        </w:rPr>
      </w:pPr>
      <w:r>
        <w:rPr>
          <w:rFonts w:eastAsia="仿宋_GB2312"/>
          <w:sz w:val="24"/>
          <w:szCs w:val="24"/>
        </w:rPr>
        <w:t>2.除招标文件、投标文件、答疑文件、技术协议、合同等约定之外，卖方应负责必要的或强制性的设备的检验、试验、化验等直接费用；</w:t>
      </w:r>
    </w:p>
    <w:p>
      <w:pPr>
        <w:ind w:firstLine="480" w:firstLineChars="200"/>
        <w:rPr>
          <w:rFonts w:eastAsia="仿宋_GB2312"/>
          <w:sz w:val="24"/>
          <w:szCs w:val="24"/>
        </w:rPr>
      </w:pPr>
      <w:r>
        <w:rPr>
          <w:rFonts w:eastAsia="仿宋_GB2312"/>
          <w:sz w:val="24"/>
          <w:szCs w:val="24"/>
        </w:rPr>
        <w:t>3.本章节条款所列“免费”，并非指定不可收费，而是指招标文件、投标文件、答疑文件、技术交流文件、技术协议书和合同等范围之外，卖方不可另行收取的费用。</w:t>
      </w:r>
    </w:p>
    <w:p>
      <w:pPr>
        <w:pStyle w:val="77"/>
        <w:spacing w:line="240" w:lineRule="auto"/>
        <w:outlineLvl w:val="0"/>
        <w:rPr>
          <w:rFonts w:ascii="Times New Roman" w:hAnsi="Times New Roman" w:eastAsia="仿宋_GB2312" w:cs="Times New Roman"/>
          <w:b/>
          <w:bCs/>
          <w:szCs w:val="24"/>
        </w:rPr>
      </w:pPr>
      <w:bookmarkStart w:id="266" w:name="_Toc30000"/>
      <w:bookmarkStart w:id="267" w:name="_Toc14160332"/>
      <w:bookmarkStart w:id="268" w:name="_Toc801813029"/>
      <w:bookmarkStart w:id="269" w:name="_Toc17724"/>
      <w:bookmarkStart w:id="270" w:name="_Toc32353"/>
      <w:bookmarkStart w:id="271" w:name="_Toc511922914"/>
      <w:r>
        <w:rPr>
          <w:rFonts w:ascii="Times New Roman" w:hAnsi="Times New Roman" w:eastAsia="仿宋_GB2312" w:cs="Times New Roman"/>
          <w:b/>
          <w:bCs/>
          <w:szCs w:val="24"/>
        </w:rPr>
        <w:t>六、预验收和终验收要求</w:t>
      </w:r>
      <w:bookmarkEnd w:id="266"/>
      <w:bookmarkEnd w:id="267"/>
      <w:bookmarkEnd w:id="268"/>
      <w:bookmarkEnd w:id="269"/>
      <w:bookmarkEnd w:id="270"/>
      <w:bookmarkEnd w:id="271"/>
    </w:p>
    <w:p>
      <w:pPr>
        <w:adjustRightInd w:val="0"/>
        <w:snapToGrid w:val="0"/>
        <w:ind w:firstLine="480" w:firstLineChars="200"/>
        <w:rPr>
          <w:rFonts w:eastAsia="仿宋_GB2312"/>
          <w:sz w:val="24"/>
          <w:szCs w:val="24"/>
        </w:rPr>
      </w:pPr>
      <w:r>
        <w:rPr>
          <w:rFonts w:eastAsia="仿宋_GB2312"/>
          <w:sz w:val="24"/>
          <w:szCs w:val="24"/>
        </w:rPr>
        <w:t>按照参考招标文件、投标文件、答疑文件、技术交流文件等形成并达成一致的技术协议书和合同规定验收。</w:t>
      </w:r>
    </w:p>
    <w:p>
      <w:pPr>
        <w:adjustRightInd w:val="0"/>
        <w:snapToGrid w:val="0"/>
        <w:ind w:firstLine="480" w:firstLineChars="200"/>
        <w:rPr>
          <w:rFonts w:eastAsia="仿宋_GB2312"/>
          <w:sz w:val="24"/>
          <w:szCs w:val="24"/>
        </w:rPr>
      </w:pPr>
      <w:r>
        <w:rPr>
          <w:rFonts w:eastAsia="仿宋_GB2312"/>
          <w:sz w:val="24"/>
          <w:szCs w:val="24"/>
        </w:rPr>
        <w:t>（一）检验</w:t>
      </w:r>
    </w:p>
    <w:p>
      <w:pPr>
        <w:adjustRightInd w:val="0"/>
        <w:snapToGrid w:val="0"/>
        <w:ind w:firstLine="480" w:firstLineChars="200"/>
        <w:rPr>
          <w:rFonts w:eastAsia="仿宋_GB2312"/>
          <w:sz w:val="24"/>
          <w:szCs w:val="24"/>
        </w:rPr>
      </w:pPr>
      <w:r>
        <w:rPr>
          <w:rFonts w:eastAsia="仿宋_GB2312"/>
          <w:sz w:val="24"/>
          <w:szCs w:val="24"/>
        </w:rPr>
        <w:t>国产部分的货物的检验由卖买双方按照合同要求或在制造现场进行。进口部分的货物的检验按照下述要求进行：</w:t>
      </w:r>
    </w:p>
    <w:p>
      <w:pPr>
        <w:adjustRightInd w:val="0"/>
        <w:snapToGrid w:val="0"/>
        <w:ind w:firstLine="480" w:firstLineChars="200"/>
        <w:rPr>
          <w:rFonts w:eastAsia="仿宋_GB2312"/>
          <w:sz w:val="24"/>
          <w:szCs w:val="24"/>
        </w:rPr>
      </w:pPr>
      <w:r>
        <w:rPr>
          <w:rFonts w:eastAsia="仿宋_GB2312"/>
          <w:sz w:val="24"/>
          <w:szCs w:val="24"/>
        </w:rPr>
        <w:t>1.进口部分的货物发货前，卖方应对设备的质量、型号、规格、性能和数量/重量作精密、全面的检验，并出具证明书，证明所供设备符合合同规定；</w:t>
      </w:r>
    </w:p>
    <w:p>
      <w:pPr>
        <w:adjustRightInd w:val="0"/>
        <w:snapToGrid w:val="0"/>
        <w:ind w:firstLine="480" w:firstLineChars="200"/>
        <w:rPr>
          <w:rFonts w:eastAsia="仿宋_GB2312"/>
          <w:sz w:val="24"/>
          <w:szCs w:val="24"/>
        </w:rPr>
      </w:pPr>
      <w:r>
        <w:rPr>
          <w:rFonts w:eastAsia="仿宋_GB2312"/>
          <w:sz w:val="24"/>
          <w:szCs w:val="24"/>
        </w:rPr>
        <w:t>2.卖方应依据合同规定的要求，提供设备的验收标准和装箱单，作为买方检验的依据；</w:t>
      </w:r>
    </w:p>
    <w:p>
      <w:pPr>
        <w:adjustRightInd w:val="0"/>
        <w:snapToGrid w:val="0"/>
        <w:ind w:firstLine="480" w:firstLineChars="200"/>
        <w:rPr>
          <w:rFonts w:eastAsia="仿宋_GB2312"/>
          <w:sz w:val="24"/>
          <w:szCs w:val="24"/>
        </w:rPr>
      </w:pPr>
      <w:r>
        <w:rPr>
          <w:rFonts w:eastAsia="仿宋_GB2312"/>
          <w:sz w:val="24"/>
          <w:szCs w:val="24"/>
        </w:rPr>
        <w:t>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pPr>
        <w:adjustRightInd w:val="0"/>
        <w:snapToGrid w:val="0"/>
        <w:ind w:firstLine="480" w:firstLineChars="200"/>
        <w:rPr>
          <w:rFonts w:eastAsia="仿宋_GB2312"/>
          <w:sz w:val="24"/>
          <w:szCs w:val="24"/>
        </w:rPr>
      </w:pPr>
      <w:r>
        <w:rPr>
          <w:rFonts w:eastAsia="仿宋_GB2312"/>
          <w:sz w:val="24"/>
          <w:szCs w:val="24"/>
        </w:rPr>
        <w:t>（二）验收标准</w:t>
      </w:r>
    </w:p>
    <w:p>
      <w:pPr>
        <w:adjustRightInd w:val="0"/>
        <w:snapToGrid w:val="0"/>
        <w:ind w:firstLine="480" w:firstLineChars="200"/>
        <w:rPr>
          <w:rFonts w:eastAsia="仿宋_GB2312"/>
          <w:sz w:val="24"/>
          <w:szCs w:val="24"/>
        </w:rPr>
      </w:pPr>
      <w:r>
        <w:rPr>
          <w:rFonts w:eastAsia="仿宋_GB2312"/>
          <w:sz w:val="24"/>
          <w:szCs w:val="24"/>
        </w:rPr>
        <w:t>卖方在合同签定之前，提供最终验收标准并得到买方认可。</w:t>
      </w:r>
    </w:p>
    <w:p>
      <w:pPr>
        <w:adjustRightInd w:val="0"/>
        <w:snapToGrid w:val="0"/>
        <w:ind w:firstLine="480" w:firstLineChars="200"/>
        <w:rPr>
          <w:rFonts w:eastAsia="仿宋_GB2312"/>
          <w:sz w:val="24"/>
          <w:szCs w:val="24"/>
        </w:rPr>
      </w:pPr>
      <w:r>
        <w:rPr>
          <w:rFonts w:eastAsia="仿宋_GB2312"/>
          <w:sz w:val="24"/>
          <w:szCs w:val="24"/>
        </w:rPr>
        <w:t>验收一般分预验收和终验收两部分。预验收一般在卖方进行，终验收在安装调试完成后的买方现场进行。但是所有的项目，包括不能预验收的项目和预验收通过的项目都在终验收时重新检验，最终只以终验收为准。</w:t>
      </w:r>
    </w:p>
    <w:p>
      <w:pPr>
        <w:adjustRightInd w:val="0"/>
        <w:snapToGrid w:val="0"/>
        <w:ind w:firstLine="480" w:firstLineChars="200"/>
        <w:rPr>
          <w:rFonts w:eastAsia="仿宋_GB2312"/>
          <w:sz w:val="24"/>
          <w:szCs w:val="24"/>
          <w:highlight w:val="none"/>
        </w:rPr>
      </w:pPr>
      <w:r>
        <w:rPr>
          <w:rFonts w:eastAsia="仿宋_GB2312"/>
          <w:sz w:val="24"/>
          <w:szCs w:val="24"/>
          <w:highlight w:val="none"/>
        </w:rPr>
        <w:t>1.终验收规程：</w:t>
      </w:r>
    </w:p>
    <w:p>
      <w:pPr>
        <w:adjustRightInd w:val="0"/>
        <w:snapToGrid w:val="0"/>
        <w:ind w:firstLine="480" w:firstLineChars="200"/>
        <w:rPr>
          <w:rFonts w:eastAsia="仿宋_GB2312"/>
          <w:sz w:val="24"/>
          <w:szCs w:val="24"/>
          <w:highlight w:val="none"/>
        </w:rPr>
      </w:pPr>
      <w:r>
        <w:rPr>
          <w:rFonts w:eastAsia="仿宋_GB2312"/>
          <w:sz w:val="24"/>
          <w:szCs w:val="24"/>
          <w:highlight w:val="none"/>
        </w:rPr>
        <w:t>1.1</w:t>
      </w:r>
      <w:r>
        <w:rPr>
          <w:rFonts w:hint="eastAsia" w:eastAsia="仿宋_GB2312"/>
          <w:color w:val="000000"/>
          <w:kern w:val="0"/>
          <w:sz w:val="24"/>
          <w:szCs w:val="24"/>
          <w:highlight w:val="none"/>
        </w:rPr>
        <w:t>平均单条焊缝编程时间≤20S（包括焊枪仿型引导工具示教、程序上传、精度验证）</w:t>
      </w:r>
      <w:r>
        <w:rPr>
          <w:rFonts w:eastAsia="仿宋_GB2312"/>
          <w:sz w:val="24"/>
          <w:szCs w:val="24"/>
          <w:highlight w:val="none"/>
        </w:rPr>
        <w:t>；</w:t>
      </w:r>
    </w:p>
    <w:p>
      <w:pPr>
        <w:adjustRightInd w:val="0"/>
        <w:snapToGrid w:val="0"/>
        <w:ind w:firstLine="480" w:firstLineChars="200"/>
        <w:rPr>
          <w:rFonts w:hint="eastAsia" w:eastAsia="仿宋_GB2312"/>
          <w:sz w:val="24"/>
          <w:szCs w:val="24"/>
          <w:highlight w:val="none"/>
          <w:lang w:val="en-US" w:eastAsia="zh-CN"/>
        </w:rPr>
      </w:pPr>
      <w:r>
        <w:rPr>
          <w:rFonts w:hint="eastAsia" w:eastAsia="仿宋_GB2312"/>
          <w:sz w:val="24"/>
          <w:szCs w:val="24"/>
          <w:highlight w:val="none"/>
          <w:lang w:val="en-US" w:eastAsia="zh-CN"/>
        </w:rPr>
        <w:t>1.2</w:t>
      </w:r>
      <w:r>
        <w:rPr>
          <w:rFonts w:hint="eastAsia" w:eastAsia="仿宋_GB2312"/>
          <w:sz w:val="24"/>
          <w:szCs w:val="24"/>
          <w:highlight w:val="none"/>
        </w:rPr>
        <w:t>机器人实际焊接位置与编程点位置不得超过1mm，并能保证同种工件焊接程序能重复利用</w:t>
      </w:r>
    </w:p>
    <w:p>
      <w:pPr>
        <w:adjustRightInd w:val="0"/>
        <w:snapToGrid w:val="0"/>
        <w:ind w:firstLine="480" w:firstLineChars="200"/>
        <w:rPr>
          <w:rFonts w:eastAsia="仿宋_GB2312"/>
          <w:sz w:val="24"/>
          <w:szCs w:val="24"/>
          <w:highlight w:val="none"/>
        </w:rPr>
      </w:pPr>
      <w:r>
        <w:rPr>
          <w:rFonts w:eastAsia="仿宋_GB2312"/>
          <w:sz w:val="24"/>
          <w:szCs w:val="24"/>
          <w:highlight w:val="none"/>
        </w:rPr>
        <w:t>1.</w:t>
      </w:r>
      <w:r>
        <w:rPr>
          <w:rFonts w:hint="eastAsia" w:eastAsia="仿宋_GB2312"/>
          <w:sz w:val="24"/>
          <w:szCs w:val="24"/>
          <w:highlight w:val="none"/>
          <w:lang w:val="en-US" w:eastAsia="zh-CN"/>
        </w:rPr>
        <w:t>3</w:t>
      </w:r>
      <w:r>
        <w:rPr>
          <w:rFonts w:eastAsia="仿宋_GB2312"/>
          <w:sz w:val="24"/>
          <w:szCs w:val="24"/>
          <w:highlight w:val="none"/>
        </w:rPr>
        <w:t xml:space="preserve"> 负荷运行时，设备连续运行</w:t>
      </w:r>
      <w:r>
        <w:rPr>
          <w:rFonts w:eastAsia="仿宋_GB2312"/>
          <w:sz w:val="24"/>
          <w:szCs w:val="24"/>
          <w:highlight w:val="none"/>
          <w:u w:val="single"/>
          <w:shd w:val="pct10" w:color="auto" w:fill="FFFFFF"/>
        </w:rPr>
        <w:t xml:space="preserve"> 10 </w:t>
      </w:r>
      <w:r>
        <w:rPr>
          <w:rFonts w:eastAsia="仿宋_GB2312"/>
          <w:sz w:val="24"/>
          <w:szCs w:val="24"/>
          <w:highlight w:val="none"/>
        </w:rPr>
        <w:t>天，每天运行</w:t>
      </w:r>
      <w:r>
        <w:rPr>
          <w:rFonts w:eastAsia="仿宋_GB2312"/>
          <w:sz w:val="24"/>
          <w:szCs w:val="24"/>
          <w:highlight w:val="none"/>
          <w:u w:val="single"/>
          <w:shd w:val="pct10" w:color="auto" w:fill="FFFFFF"/>
        </w:rPr>
        <w:t xml:space="preserve"> 8 </w:t>
      </w:r>
      <w:r>
        <w:rPr>
          <w:rFonts w:eastAsia="仿宋_GB2312"/>
          <w:sz w:val="24"/>
          <w:szCs w:val="24"/>
          <w:highlight w:val="none"/>
        </w:rPr>
        <w:t>小时，除用户方面因素外，必须达到以下要求：</w:t>
      </w:r>
    </w:p>
    <w:p>
      <w:pPr>
        <w:adjustRightInd w:val="0"/>
        <w:snapToGrid w:val="0"/>
        <w:ind w:firstLine="480" w:firstLineChars="200"/>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.1在整个验收过程中没有维修、更换零部件或元件行为；</w:t>
      </w:r>
    </w:p>
    <w:p>
      <w:pPr>
        <w:adjustRightInd w:val="0"/>
        <w:snapToGrid w:val="0"/>
        <w:ind w:firstLine="480" w:firstLineChars="200"/>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.2所有出现的调整，每次调整时间均不超过</w:t>
      </w:r>
      <w:r>
        <w:rPr>
          <w:rFonts w:eastAsia="仿宋_GB2312"/>
          <w:sz w:val="24"/>
          <w:szCs w:val="24"/>
          <w:u w:val="single"/>
          <w:shd w:val="pct10" w:color="auto" w:fill="FFFFFF"/>
        </w:rPr>
        <w:t xml:space="preserve"> 10 </w:t>
      </w:r>
      <w:r>
        <w:rPr>
          <w:rFonts w:eastAsia="仿宋_GB2312"/>
          <w:sz w:val="24"/>
          <w:szCs w:val="24"/>
        </w:rPr>
        <w:t>分钟；</w:t>
      </w:r>
    </w:p>
    <w:p>
      <w:pPr>
        <w:adjustRightInd w:val="0"/>
        <w:snapToGrid w:val="0"/>
        <w:ind w:firstLine="480" w:firstLineChars="200"/>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.3所有调整时间的总和不超过总运行时间的</w:t>
      </w:r>
      <w:r>
        <w:rPr>
          <w:rFonts w:eastAsia="仿宋_GB2312"/>
          <w:sz w:val="24"/>
          <w:szCs w:val="24"/>
          <w:u w:val="single"/>
          <w:shd w:val="pct10" w:color="auto" w:fill="FFFFFF"/>
        </w:rPr>
        <w:t xml:space="preserve"> 5</w:t>
      </w:r>
      <w:r>
        <w:rPr>
          <w:rFonts w:eastAsia="仿宋_GB2312"/>
          <w:sz w:val="24"/>
          <w:szCs w:val="24"/>
          <w:u w:val="single"/>
        </w:rPr>
        <w:t>%</w:t>
      </w:r>
      <w:r>
        <w:rPr>
          <w:rFonts w:eastAsia="仿宋_GB2312"/>
          <w:sz w:val="24"/>
          <w:szCs w:val="24"/>
        </w:rPr>
        <w:t>；</w:t>
      </w:r>
    </w:p>
    <w:p>
      <w:pPr>
        <w:adjustRightInd w:val="0"/>
        <w:snapToGrid w:val="0"/>
        <w:ind w:firstLine="480" w:firstLineChars="200"/>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.4累计负载运行实际性能（或生产率）达到合同规定；</w:t>
      </w:r>
    </w:p>
    <w:p>
      <w:pPr>
        <w:adjustRightInd w:val="0"/>
        <w:snapToGrid w:val="0"/>
        <w:ind w:firstLine="480" w:firstLineChars="200"/>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.5终验收原则上要求一次完成。若一次验收不成功，最多允许两次；</w:t>
      </w:r>
    </w:p>
    <w:p>
      <w:pPr>
        <w:adjustRightInd w:val="0"/>
        <w:snapToGrid w:val="0"/>
        <w:ind w:firstLine="480" w:firstLineChars="200"/>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.6终验收通过后买卖双方共同签署终验收报告。</w:t>
      </w:r>
    </w:p>
    <w:p>
      <w:pPr>
        <w:adjustRightInd w:val="0"/>
        <w:snapToGrid w:val="0"/>
        <w:ind w:firstLine="480" w:firstLineChars="200"/>
        <w:rPr>
          <w:rFonts w:eastAsia="仿宋_GB2312"/>
          <w:sz w:val="24"/>
          <w:szCs w:val="24"/>
        </w:rPr>
      </w:pPr>
      <w:r>
        <w:rPr>
          <w:rFonts w:eastAsia="仿宋_GB2312"/>
          <w:sz w:val="24"/>
          <w:szCs w:val="24"/>
        </w:rPr>
        <w:t>2.设备验收的一般标准与要求：</w:t>
      </w:r>
    </w:p>
    <w:p>
      <w:pPr>
        <w:adjustRightInd w:val="0"/>
        <w:snapToGrid w:val="0"/>
        <w:ind w:firstLine="480" w:firstLineChars="200"/>
        <w:rPr>
          <w:rFonts w:eastAsia="仿宋_GB2312"/>
          <w:sz w:val="24"/>
          <w:szCs w:val="24"/>
        </w:rPr>
      </w:pPr>
      <w:r>
        <w:rPr>
          <w:rFonts w:eastAsia="仿宋_GB2312"/>
          <w:sz w:val="24"/>
          <w:szCs w:val="24"/>
        </w:rPr>
        <w:t>2.1预验收的一般标准与要求：</w:t>
      </w:r>
    </w:p>
    <w:p>
      <w:pPr>
        <w:adjustRightInd w:val="0"/>
        <w:snapToGrid w:val="0"/>
        <w:ind w:firstLine="480" w:firstLineChars="200"/>
        <w:rPr>
          <w:rFonts w:eastAsia="仿宋_GB2312"/>
          <w:sz w:val="24"/>
          <w:szCs w:val="24"/>
        </w:rPr>
      </w:pPr>
      <w:r>
        <w:rPr>
          <w:rFonts w:eastAsia="仿宋_GB2312"/>
          <w:sz w:val="24"/>
          <w:szCs w:val="24"/>
        </w:rPr>
        <w:t>2.1.1资料齐全性、完整性和有效性。按照“配套供货范围及要求”中“技术资料范围”的规定验收；</w:t>
      </w:r>
    </w:p>
    <w:p>
      <w:pPr>
        <w:adjustRightInd w:val="0"/>
        <w:snapToGrid w:val="0"/>
        <w:ind w:firstLine="480" w:firstLineChars="200"/>
        <w:rPr>
          <w:rFonts w:eastAsia="仿宋_GB2312"/>
          <w:sz w:val="24"/>
          <w:szCs w:val="24"/>
        </w:rPr>
      </w:pPr>
      <w:r>
        <w:rPr>
          <w:rFonts w:eastAsia="仿宋_GB2312"/>
          <w:sz w:val="24"/>
          <w:szCs w:val="24"/>
        </w:rPr>
        <w:t>2.1.2设备应运行灵活、稳定、可靠、安全，无异常声音和非正常振动。设备不允许出现漏水、漏液、漏气（汽）。运动的零部件（如链条、联轴器、离合器等）应动作平稳、没有异常声音，不松动或易于调整；</w:t>
      </w:r>
    </w:p>
    <w:p>
      <w:pPr>
        <w:adjustRightInd w:val="0"/>
        <w:snapToGrid w:val="0"/>
        <w:ind w:firstLine="480" w:firstLineChars="200"/>
        <w:rPr>
          <w:rFonts w:eastAsia="仿宋_GB2312"/>
          <w:sz w:val="24"/>
          <w:szCs w:val="24"/>
        </w:rPr>
      </w:pPr>
      <w:r>
        <w:rPr>
          <w:rFonts w:eastAsia="仿宋_GB2312"/>
          <w:sz w:val="24"/>
          <w:szCs w:val="24"/>
        </w:rPr>
        <w:t>2.1.3设备外观应无损伤，应该涂满同种明亮清晰的油漆（特殊标志除外）。设备应该完整且所有的零部件应该安装牢固，所有的焊缝饱满、无残渣等缺陷；</w:t>
      </w:r>
    </w:p>
    <w:p>
      <w:pPr>
        <w:adjustRightInd w:val="0"/>
        <w:snapToGrid w:val="0"/>
        <w:ind w:firstLine="480" w:firstLineChars="200"/>
        <w:rPr>
          <w:rFonts w:eastAsia="仿宋_GB2312"/>
          <w:sz w:val="24"/>
          <w:szCs w:val="24"/>
        </w:rPr>
      </w:pPr>
      <w:r>
        <w:rPr>
          <w:rFonts w:eastAsia="仿宋_GB2312"/>
          <w:sz w:val="24"/>
          <w:szCs w:val="24"/>
        </w:rPr>
        <w:t>2.1.4所有的管道和电缆线等，应排列有序（正确、牢固、整齐）无皱褶、收缩和裂缝，电缆线在整个长度范围内，所有的接头应完全正确、可靠地连接；</w:t>
      </w:r>
    </w:p>
    <w:p>
      <w:pPr>
        <w:adjustRightInd w:val="0"/>
        <w:snapToGrid w:val="0"/>
        <w:ind w:firstLine="480" w:firstLineChars="200"/>
        <w:rPr>
          <w:rFonts w:eastAsia="仿宋_GB2312"/>
          <w:sz w:val="24"/>
          <w:szCs w:val="24"/>
        </w:rPr>
      </w:pPr>
      <w:r>
        <w:rPr>
          <w:rFonts w:eastAsia="仿宋_GB2312"/>
          <w:sz w:val="24"/>
          <w:szCs w:val="24"/>
        </w:rPr>
        <w:t>2.1.5设备应有完整的标牌，且清晰易见；</w:t>
      </w:r>
    </w:p>
    <w:p>
      <w:pPr>
        <w:adjustRightInd w:val="0"/>
        <w:snapToGrid w:val="0"/>
        <w:ind w:firstLine="480" w:firstLineChars="200"/>
        <w:rPr>
          <w:rFonts w:eastAsia="仿宋_GB2312"/>
          <w:sz w:val="24"/>
          <w:szCs w:val="24"/>
        </w:rPr>
      </w:pPr>
      <w:r>
        <w:rPr>
          <w:rFonts w:eastAsia="仿宋_GB2312"/>
          <w:sz w:val="24"/>
          <w:szCs w:val="24"/>
        </w:rPr>
        <w:t>2.1.6设备的润滑系统工作可靠，润滑点易于到达；</w:t>
      </w:r>
    </w:p>
    <w:p>
      <w:pPr>
        <w:adjustRightInd w:val="0"/>
        <w:snapToGrid w:val="0"/>
        <w:ind w:firstLine="480" w:firstLineChars="200"/>
        <w:rPr>
          <w:rFonts w:eastAsia="仿宋_GB2312"/>
          <w:sz w:val="24"/>
          <w:szCs w:val="24"/>
        </w:rPr>
      </w:pPr>
      <w:r>
        <w:rPr>
          <w:rFonts w:eastAsia="仿宋_GB2312"/>
          <w:sz w:val="24"/>
          <w:szCs w:val="24"/>
        </w:rPr>
        <w:t>2.1.7设备的安全要求符合中国最新的相关法律、法规、标准和规范以及合同要求；</w:t>
      </w:r>
    </w:p>
    <w:p>
      <w:pPr>
        <w:adjustRightInd w:val="0"/>
        <w:snapToGrid w:val="0"/>
        <w:ind w:firstLine="480" w:firstLineChars="200"/>
        <w:rPr>
          <w:rFonts w:eastAsia="仿宋_GB2312"/>
          <w:sz w:val="24"/>
          <w:szCs w:val="24"/>
        </w:rPr>
      </w:pPr>
      <w:r>
        <w:rPr>
          <w:rFonts w:eastAsia="仿宋_GB2312"/>
          <w:sz w:val="24"/>
          <w:szCs w:val="24"/>
        </w:rPr>
        <w:t>2.1.8地线连接和地极符合国际（ISO/IEC）标准规范；</w:t>
      </w:r>
    </w:p>
    <w:p>
      <w:pPr>
        <w:adjustRightInd w:val="0"/>
        <w:snapToGrid w:val="0"/>
        <w:ind w:firstLine="480" w:firstLineChars="200"/>
        <w:rPr>
          <w:rFonts w:eastAsia="仿宋_GB2312"/>
          <w:sz w:val="24"/>
          <w:szCs w:val="24"/>
        </w:rPr>
      </w:pPr>
      <w:r>
        <w:rPr>
          <w:rFonts w:eastAsia="仿宋_GB2312"/>
          <w:sz w:val="24"/>
          <w:szCs w:val="24"/>
        </w:rPr>
        <w:t>2.1.9所有的压力容器应具备合格证（如果有压力容器）。</w:t>
      </w:r>
    </w:p>
    <w:p>
      <w:pPr>
        <w:adjustRightInd w:val="0"/>
        <w:snapToGrid w:val="0"/>
        <w:ind w:firstLine="480" w:firstLineChars="200"/>
        <w:rPr>
          <w:rFonts w:eastAsia="仿宋_GB2312"/>
          <w:sz w:val="24"/>
          <w:szCs w:val="24"/>
        </w:rPr>
      </w:pPr>
      <w:r>
        <w:rPr>
          <w:rFonts w:eastAsia="仿宋_GB2312"/>
          <w:sz w:val="24"/>
          <w:szCs w:val="24"/>
        </w:rPr>
        <w:t>2.2终验收时的一般验收标准与要求：</w:t>
      </w:r>
    </w:p>
    <w:p>
      <w:pPr>
        <w:adjustRightInd w:val="0"/>
        <w:snapToGrid w:val="0"/>
        <w:ind w:firstLine="480" w:firstLineChars="200"/>
        <w:rPr>
          <w:rFonts w:eastAsia="仿宋_GB2312"/>
          <w:sz w:val="24"/>
          <w:szCs w:val="24"/>
        </w:rPr>
      </w:pPr>
      <w:r>
        <w:rPr>
          <w:rFonts w:eastAsia="仿宋_GB2312"/>
          <w:sz w:val="24"/>
          <w:szCs w:val="24"/>
        </w:rPr>
        <w:t>2.2.1资料齐全性、完整性和有效性。按照“配套供货范围及要求”中“技术资料范围”的规定验收；</w:t>
      </w:r>
    </w:p>
    <w:p>
      <w:pPr>
        <w:adjustRightInd w:val="0"/>
        <w:snapToGrid w:val="0"/>
        <w:ind w:firstLine="480" w:firstLineChars="200"/>
        <w:rPr>
          <w:rFonts w:eastAsia="仿宋_GB2312"/>
          <w:sz w:val="24"/>
          <w:szCs w:val="24"/>
        </w:rPr>
      </w:pPr>
      <w:r>
        <w:rPr>
          <w:rFonts w:eastAsia="仿宋_GB2312"/>
          <w:sz w:val="24"/>
          <w:szCs w:val="24"/>
        </w:rPr>
        <w:t>2.2.2设备应运行灵活、稳定、可靠、安全，无异常声音和非正常振动。设备不允许出现漏水、漏液、漏气（汽）。运动的零部件（如链条、联轴器、离合器等）应动作平稳、没有异常声音，不松动或易于调整；</w:t>
      </w:r>
    </w:p>
    <w:p>
      <w:pPr>
        <w:adjustRightInd w:val="0"/>
        <w:snapToGrid w:val="0"/>
        <w:ind w:firstLine="480" w:firstLineChars="200"/>
        <w:rPr>
          <w:rFonts w:eastAsia="仿宋_GB2312"/>
          <w:sz w:val="24"/>
          <w:szCs w:val="24"/>
        </w:rPr>
      </w:pPr>
      <w:r>
        <w:rPr>
          <w:rFonts w:eastAsia="仿宋_GB2312"/>
          <w:sz w:val="24"/>
          <w:szCs w:val="24"/>
        </w:rPr>
        <w:t>2.2.3设备外观应无损伤，应该涂满同种明亮清晰的油漆（特殊标志除外）。设备应该完整且所有的零部件应该安装牢固，所有的焊缝饱满、无残渣等缺陷；</w:t>
      </w:r>
    </w:p>
    <w:p>
      <w:pPr>
        <w:adjustRightInd w:val="0"/>
        <w:snapToGrid w:val="0"/>
        <w:ind w:firstLine="480" w:firstLineChars="200"/>
        <w:rPr>
          <w:rFonts w:eastAsia="仿宋_GB2312"/>
          <w:sz w:val="24"/>
          <w:szCs w:val="24"/>
        </w:rPr>
      </w:pPr>
      <w:r>
        <w:rPr>
          <w:rFonts w:eastAsia="仿宋_GB2312"/>
          <w:sz w:val="24"/>
          <w:szCs w:val="24"/>
        </w:rPr>
        <w:t>2.2.4所有的管道和电缆线等，应排列有序（正确、牢固、整齐）无皱褶、收缩和裂缝，电缆线在整个长度范围内，所有的接头应完全正确地连接；</w:t>
      </w:r>
    </w:p>
    <w:p>
      <w:pPr>
        <w:adjustRightInd w:val="0"/>
        <w:snapToGrid w:val="0"/>
        <w:ind w:firstLine="480" w:firstLineChars="200"/>
        <w:rPr>
          <w:rFonts w:eastAsia="仿宋_GB2312"/>
          <w:sz w:val="24"/>
          <w:szCs w:val="24"/>
        </w:rPr>
      </w:pPr>
      <w:r>
        <w:rPr>
          <w:rFonts w:eastAsia="仿宋_GB2312"/>
          <w:sz w:val="24"/>
          <w:szCs w:val="24"/>
        </w:rPr>
        <w:t>2.2.5设备应有完整的标牌，且清晰易见；</w:t>
      </w:r>
    </w:p>
    <w:p>
      <w:pPr>
        <w:adjustRightInd w:val="0"/>
        <w:snapToGrid w:val="0"/>
        <w:ind w:firstLine="480" w:firstLineChars="200"/>
        <w:rPr>
          <w:rFonts w:eastAsia="仿宋_GB2312"/>
          <w:sz w:val="24"/>
          <w:szCs w:val="24"/>
        </w:rPr>
      </w:pPr>
      <w:r>
        <w:rPr>
          <w:rFonts w:eastAsia="仿宋_GB2312"/>
          <w:sz w:val="24"/>
          <w:szCs w:val="24"/>
        </w:rPr>
        <w:t>2.2.6设备的润滑系统工作可靠，润滑点易于到达；</w:t>
      </w:r>
    </w:p>
    <w:p>
      <w:pPr>
        <w:adjustRightInd w:val="0"/>
        <w:snapToGrid w:val="0"/>
        <w:ind w:firstLine="480" w:firstLineChars="200"/>
        <w:rPr>
          <w:rFonts w:eastAsia="仿宋_GB2312"/>
          <w:sz w:val="24"/>
          <w:szCs w:val="24"/>
        </w:rPr>
      </w:pPr>
      <w:r>
        <w:rPr>
          <w:rFonts w:eastAsia="仿宋_GB2312"/>
          <w:sz w:val="24"/>
          <w:szCs w:val="24"/>
        </w:rPr>
        <w:t>2.2.7设备的安全要求符合中国最新的相关法律、法规、标准和规范以及合同要求；</w:t>
      </w:r>
    </w:p>
    <w:p>
      <w:pPr>
        <w:adjustRightInd w:val="0"/>
        <w:snapToGrid w:val="0"/>
        <w:ind w:firstLine="480" w:firstLineChars="200"/>
        <w:rPr>
          <w:rFonts w:eastAsia="仿宋_GB2312"/>
          <w:sz w:val="24"/>
          <w:szCs w:val="24"/>
        </w:rPr>
      </w:pPr>
      <w:r>
        <w:rPr>
          <w:rFonts w:eastAsia="仿宋_GB2312"/>
          <w:sz w:val="24"/>
          <w:szCs w:val="24"/>
        </w:rPr>
        <w:t>2.2.8地线连接和地极符合国际（ISO/IEC）标准规范；</w:t>
      </w:r>
    </w:p>
    <w:p>
      <w:pPr>
        <w:adjustRightInd w:val="0"/>
        <w:snapToGrid w:val="0"/>
        <w:ind w:firstLine="480" w:firstLineChars="200"/>
        <w:rPr>
          <w:rFonts w:eastAsia="仿宋_GB2312"/>
          <w:sz w:val="24"/>
          <w:szCs w:val="24"/>
        </w:rPr>
      </w:pPr>
      <w:r>
        <w:rPr>
          <w:rFonts w:eastAsia="仿宋_GB2312"/>
          <w:sz w:val="24"/>
          <w:szCs w:val="24"/>
        </w:rPr>
        <w:t>2.2.9所有的压力容器应具备合格证（如果有压力容器）；</w:t>
      </w:r>
    </w:p>
    <w:p>
      <w:pPr>
        <w:adjustRightInd w:val="0"/>
        <w:snapToGrid w:val="0"/>
        <w:ind w:firstLine="480" w:firstLineChars="200"/>
        <w:rPr>
          <w:rFonts w:eastAsia="仿宋_GB2312"/>
          <w:sz w:val="24"/>
          <w:szCs w:val="24"/>
        </w:rPr>
      </w:pPr>
      <w:r>
        <w:rPr>
          <w:rFonts w:eastAsia="仿宋_GB2312"/>
          <w:sz w:val="24"/>
          <w:szCs w:val="24"/>
        </w:rPr>
        <w:t>2.2.10设备正常运行时，噪音不超过等效连续A声级85dB（A）；</w:t>
      </w:r>
    </w:p>
    <w:p>
      <w:pPr>
        <w:adjustRightInd w:val="0"/>
        <w:snapToGrid w:val="0"/>
        <w:ind w:firstLine="480" w:firstLineChars="200"/>
        <w:rPr>
          <w:rFonts w:eastAsia="仿宋_GB2312"/>
          <w:sz w:val="24"/>
          <w:szCs w:val="24"/>
        </w:rPr>
      </w:pPr>
      <w:r>
        <w:rPr>
          <w:rFonts w:eastAsia="仿宋_GB2312"/>
          <w:sz w:val="24"/>
          <w:szCs w:val="24"/>
        </w:rPr>
        <w:t>2.2.11计量仪器、仪表配套合理，采用中国的法定计量单位，计量准确、灵敏可靠。保证设计指标和仪器说明书的参数的实现，要求竣工验收交付一次合格，返修更换校调不超过</w:t>
      </w:r>
      <w:r>
        <w:rPr>
          <w:rFonts w:eastAsia="仿宋_GB2312"/>
          <w:sz w:val="24"/>
          <w:szCs w:val="24"/>
          <w:u w:val="single"/>
          <w:shd w:val="pct10" w:color="auto" w:fill="FFFFFF"/>
        </w:rPr>
        <w:t xml:space="preserve"> 4 </w:t>
      </w:r>
      <w:r>
        <w:rPr>
          <w:rFonts w:eastAsia="仿宋_GB2312"/>
          <w:sz w:val="24"/>
          <w:szCs w:val="24"/>
        </w:rPr>
        <w:t>小时，特殊情况除外；</w:t>
      </w:r>
    </w:p>
    <w:p>
      <w:pPr>
        <w:adjustRightInd w:val="0"/>
        <w:snapToGrid w:val="0"/>
        <w:ind w:firstLine="480" w:firstLineChars="200"/>
        <w:rPr>
          <w:rFonts w:eastAsia="仿宋_GB2312"/>
          <w:sz w:val="24"/>
          <w:szCs w:val="24"/>
        </w:rPr>
      </w:pPr>
      <w:r>
        <w:rPr>
          <w:rFonts w:eastAsia="仿宋_GB2312"/>
          <w:sz w:val="24"/>
          <w:szCs w:val="24"/>
        </w:rPr>
        <w:t>2.2.12设备质量、技术性能等，按照签定的技术协议书和合同规定的终验收标准验收；</w:t>
      </w:r>
    </w:p>
    <w:p>
      <w:pPr>
        <w:adjustRightInd w:val="0"/>
        <w:snapToGrid w:val="0"/>
        <w:ind w:firstLine="480" w:firstLineChars="200"/>
        <w:rPr>
          <w:rFonts w:eastAsia="仿宋_GB2312"/>
          <w:sz w:val="24"/>
          <w:szCs w:val="24"/>
        </w:rPr>
      </w:pPr>
      <w:r>
        <w:rPr>
          <w:rFonts w:eastAsia="仿宋_GB2312"/>
          <w:sz w:val="24"/>
          <w:szCs w:val="24"/>
        </w:rPr>
        <w:t>2.3终验收条件</w:t>
      </w:r>
    </w:p>
    <w:p>
      <w:pPr>
        <w:adjustRightInd w:val="0"/>
        <w:snapToGrid w:val="0"/>
        <w:ind w:firstLine="480" w:firstLineChars="200"/>
        <w:rPr>
          <w:rFonts w:eastAsia="仿宋_GB2312"/>
          <w:sz w:val="24"/>
          <w:szCs w:val="24"/>
        </w:rPr>
      </w:pPr>
      <w:r>
        <w:rPr>
          <w:rFonts w:eastAsia="仿宋_GB2312"/>
          <w:sz w:val="24"/>
          <w:szCs w:val="24"/>
        </w:rPr>
        <w:t>依据招标文件、投标文件、答疑文件、技术交流文件等形成并达成一致的技术协议书和合同规定的终验收条件验收。</w:t>
      </w:r>
    </w:p>
    <w:p>
      <w:pPr>
        <w:adjustRightInd w:val="0"/>
        <w:snapToGrid w:val="0"/>
        <w:ind w:firstLine="480" w:firstLineChars="200"/>
        <w:rPr>
          <w:rFonts w:eastAsia="仿宋_GB2312"/>
          <w:sz w:val="24"/>
          <w:szCs w:val="24"/>
        </w:rPr>
      </w:pPr>
      <w:r>
        <w:rPr>
          <w:rFonts w:eastAsia="仿宋_GB2312"/>
          <w:sz w:val="24"/>
          <w:szCs w:val="24"/>
        </w:rPr>
        <w:t>试运行验收：设备现场安装、调试，生产线全线联动且设备运转良好，满足设计和发标方技术要求；生产节拍满足要求，各工位节拍平衡，问题点都得到最终解决，试生产100</w:t>
      </w:r>
      <w:r>
        <w:rPr>
          <w:rFonts w:hint="eastAsia" w:eastAsia="仿宋_GB2312"/>
          <w:sz w:val="24"/>
          <w:szCs w:val="24"/>
          <w:lang w:val="en-US" w:eastAsia="zh-CN"/>
        </w:rPr>
        <w:t>0</w:t>
      </w:r>
      <w:r>
        <w:rPr>
          <w:rFonts w:eastAsia="仿宋_GB2312"/>
          <w:sz w:val="24"/>
          <w:szCs w:val="24"/>
        </w:rPr>
        <w:t>件，做试运行验收。</w:t>
      </w:r>
    </w:p>
    <w:p>
      <w:pPr>
        <w:adjustRightInd w:val="0"/>
        <w:snapToGrid w:val="0"/>
        <w:ind w:firstLine="480" w:firstLineChars="200"/>
        <w:jc w:val="left"/>
        <w:rPr>
          <w:color w:val="000000"/>
          <w:kern w:val="0"/>
          <w:sz w:val="24"/>
          <w:szCs w:val="24"/>
        </w:rPr>
      </w:pPr>
      <w:r>
        <w:rPr>
          <w:rFonts w:eastAsia="仿宋_GB2312"/>
          <w:sz w:val="24"/>
          <w:szCs w:val="24"/>
        </w:rPr>
        <w:t>终验收：生产线按照生产节拍连续生产3个月，达到设计要求且达到工位平衡作为终验收的前提，终验收前3个月生产线设备开动率满足要求</w:t>
      </w:r>
      <w:r>
        <w:rPr>
          <w:color w:val="000000"/>
          <w:kern w:val="0"/>
          <w:sz w:val="24"/>
          <w:szCs w:val="24"/>
        </w:rPr>
        <w:t>。</w:t>
      </w:r>
    </w:p>
    <w:p>
      <w:pPr>
        <w:adjustRightInd w:val="0"/>
        <w:snapToGrid w:val="0"/>
        <w:ind w:firstLine="420" w:firstLineChars="200"/>
        <w:jc w:val="center"/>
        <w:rPr>
          <w:b/>
          <w:bCs/>
          <w:color w:val="000000"/>
          <w:sz w:val="24"/>
        </w:rPr>
      </w:pPr>
      <w:r>
        <w:br w:type="page"/>
      </w:r>
      <w:bookmarkStart w:id="272" w:name="_Toc1319147445"/>
      <w:bookmarkStart w:id="273" w:name="_Toc1590450839"/>
      <w:bookmarkStart w:id="274" w:name="_Toc29243"/>
      <w:bookmarkStart w:id="275" w:name="_Toc23174"/>
      <w:bookmarkStart w:id="276" w:name="_Toc21082"/>
      <w:bookmarkStart w:id="277" w:name="_Toc26776"/>
      <w:bookmarkStart w:id="278" w:name="_Toc6787"/>
      <w:r>
        <w:rPr>
          <w:b/>
          <w:color w:val="000000"/>
          <w:sz w:val="36"/>
          <w:szCs w:val="36"/>
        </w:rPr>
        <w:t>第四章    投标文件格式</w:t>
      </w:r>
      <w:bookmarkEnd w:id="272"/>
      <w:bookmarkEnd w:id="273"/>
      <w:bookmarkEnd w:id="274"/>
    </w:p>
    <w:p>
      <w:pPr>
        <w:rPr>
          <w:color w:val="000000"/>
        </w:rPr>
      </w:pPr>
    </w:p>
    <w:p>
      <w:pPr>
        <w:spacing w:line="360" w:lineRule="auto"/>
        <w:ind w:firstLine="480" w:firstLineChars="200"/>
        <w:rPr>
          <w:color w:val="000000"/>
          <w:sz w:val="24"/>
        </w:rPr>
      </w:pPr>
      <w:r>
        <w:rPr>
          <w:color w:val="000000"/>
          <w:sz w:val="24"/>
        </w:rPr>
        <w:t>投标人应当使用本册招标文件提供的投标文件格式，表示可以按同样的格式进行扩展。如果投标人未按此格式编制投标文件，由此造成投标内容欠缺或不完整的，有可能被评委视为“未实质性响应招标要求”而被拒绝。</w:t>
      </w:r>
    </w:p>
    <w:p>
      <w:pPr>
        <w:pStyle w:val="25"/>
        <w:tabs>
          <w:tab w:val="left" w:pos="525"/>
        </w:tabs>
        <w:spacing w:after="468" w:afterLines="150" w:line="360" w:lineRule="auto"/>
        <w:rPr>
          <w:color w:val="000000"/>
          <w:sz w:val="24"/>
        </w:rPr>
      </w:pPr>
      <w:r>
        <w:rPr>
          <w:color w:val="000000"/>
          <w:sz w:val="24"/>
        </w:rPr>
        <w:t>为保证投标文件的完整齐全，每份正、副本投标文件，均应包含完整的全套内容。</w:t>
      </w:r>
    </w:p>
    <w:p>
      <w:pPr>
        <w:pStyle w:val="25"/>
        <w:tabs>
          <w:tab w:val="left" w:pos="525"/>
        </w:tabs>
        <w:spacing w:after="468" w:afterLines="150" w:line="360" w:lineRule="auto"/>
        <w:rPr>
          <w:color w:val="000000"/>
          <w:sz w:val="24"/>
        </w:rPr>
      </w:pPr>
    </w:p>
    <w:p>
      <w:pPr>
        <w:pStyle w:val="25"/>
        <w:tabs>
          <w:tab w:val="left" w:pos="525"/>
        </w:tabs>
        <w:spacing w:after="468" w:afterLines="150" w:line="360" w:lineRule="auto"/>
        <w:rPr>
          <w:color w:val="000000"/>
          <w:sz w:val="24"/>
        </w:rPr>
      </w:pPr>
    </w:p>
    <w:p>
      <w:pPr>
        <w:widowControl/>
        <w:jc w:val="left"/>
        <w:rPr>
          <w:bCs/>
          <w:color w:val="000000"/>
          <w:kern w:val="0"/>
          <w:sz w:val="44"/>
          <w:szCs w:val="24"/>
        </w:rPr>
      </w:pPr>
      <w:r>
        <w:rPr>
          <w:bCs/>
          <w:color w:val="000000"/>
          <w:sz w:val="44"/>
        </w:rPr>
        <w:br w:type="page"/>
      </w:r>
    </w:p>
    <w:p>
      <w:pPr>
        <w:pStyle w:val="25"/>
        <w:tabs>
          <w:tab w:val="left" w:pos="525"/>
        </w:tabs>
        <w:spacing w:line="360" w:lineRule="auto"/>
        <w:jc w:val="center"/>
        <w:rPr>
          <w:bCs/>
          <w:color w:val="000000"/>
          <w:sz w:val="44"/>
        </w:rPr>
      </w:pPr>
    </w:p>
    <w:p>
      <w:pPr>
        <w:pStyle w:val="25"/>
        <w:tabs>
          <w:tab w:val="left" w:pos="525"/>
        </w:tabs>
        <w:spacing w:line="360" w:lineRule="auto"/>
        <w:jc w:val="center"/>
        <w:rPr>
          <w:b/>
          <w:bCs/>
          <w:color w:val="000000"/>
          <w:sz w:val="96"/>
          <w:szCs w:val="96"/>
        </w:rPr>
      </w:pPr>
      <w:bookmarkStart w:id="279" w:name="_Toc3961"/>
      <w:r>
        <w:rPr>
          <w:b/>
          <w:bCs/>
          <w:color w:val="000000"/>
          <w:sz w:val="96"/>
          <w:szCs w:val="96"/>
        </w:rPr>
        <w:t>投 标 文 件</w:t>
      </w:r>
      <w:bookmarkEnd w:id="279"/>
    </w:p>
    <w:p>
      <w:pPr>
        <w:pStyle w:val="25"/>
        <w:tabs>
          <w:tab w:val="left" w:pos="525"/>
        </w:tabs>
        <w:spacing w:line="360" w:lineRule="auto"/>
        <w:ind w:firstLine="538"/>
        <w:rPr>
          <w:color w:val="000000"/>
        </w:rPr>
      </w:pPr>
    </w:p>
    <w:p>
      <w:pPr>
        <w:pStyle w:val="25"/>
        <w:tabs>
          <w:tab w:val="left" w:pos="525"/>
        </w:tabs>
        <w:spacing w:line="480" w:lineRule="auto"/>
        <w:jc w:val="center"/>
        <w:rPr>
          <w:color w:val="000000"/>
          <w:sz w:val="72"/>
          <w:szCs w:val="72"/>
        </w:rPr>
      </w:pPr>
      <w:r>
        <w:rPr>
          <w:b/>
          <w:color w:val="000000"/>
          <w:sz w:val="72"/>
          <w:szCs w:val="72"/>
        </w:rPr>
        <w:t>资质、资格证明文件</w:t>
      </w:r>
    </w:p>
    <w:p>
      <w:pPr>
        <w:pStyle w:val="25"/>
        <w:tabs>
          <w:tab w:val="left" w:pos="525"/>
        </w:tabs>
        <w:spacing w:line="360" w:lineRule="auto"/>
        <w:rPr>
          <w:color w:val="000000"/>
        </w:rPr>
      </w:pPr>
    </w:p>
    <w:p>
      <w:pPr>
        <w:tabs>
          <w:tab w:val="left" w:pos="5105"/>
        </w:tabs>
        <w:spacing w:line="480" w:lineRule="auto"/>
        <w:ind w:firstLine="560" w:firstLineChars="200"/>
        <w:rPr>
          <w:color w:val="000000"/>
          <w:sz w:val="28"/>
          <w:szCs w:val="28"/>
        </w:rPr>
      </w:pPr>
      <w:r>
        <w:rPr>
          <w:color w:val="000000"/>
          <w:sz w:val="28"/>
          <w:szCs w:val="28"/>
        </w:rPr>
        <w:t>项目名称：中通客车股份有限公司</w:t>
      </w:r>
    </w:p>
    <w:p>
      <w:pPr>
        <w:tabs>
          <w:tab w:val="left" w:pos="5105"/>
        </w:tabs>
        <w:spacing w:line="480" w:lineRule="auto"/>
        <w:ind w:firstLine="2240" w:firstLineChars="800"/>
        <w:rPr>
          <w:color w:val="000000"/>
          <w:sz w:val="28"/>
          <w:szCs w:val="28"/>
        </w:rPr>
      </w:pPr>
      <w:r>
        <w:rPr>
          <w:rFonts w:hint="eastAsia"/>
          <w:color w:val="000000"/>
          <w:sz w:val="28"/>
          <w:szCs w:val="28"/>
          <w:u w:val="single"/>
        </w:rPr>
        <w:t>焊枪仿型引导工具免示教技术</w:t>
      </w:r>
      <w:r>
        <w:rPr>
          <w:color w:val="000000"/>
          <w:sz w:val="28"/>
          <w:szCs w:val="28"/>
          <w:u w:val="single"/>
        </w:rPr>
        <w:t>项目</w:t>
      </w:r>
    </w:p>
    <w:p>
      <w:pPr>
        <w:pStyle w:val="25"/>
        <w:tabs>
          <w:tab w:val="left" w:pos="525"/>
        </w:tabs>
        <w:spacing w:line="480" w:lineRule="auto"/>
        <w:rPr>
          <w:color w:val="000000"/>
          <w:sz w:val="32"/>
        </w:rPr>
      </w:pPr>
    </w:p>
    <w:p>
      <w:pPr>
        <w:spacing w:before="156" w:beforeLines="50" w:after="156"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156" w:beforeLines="50" w:after="156" w:afterLines="50" w:line="480" w:lineRule="auto"/>
        <w:ind w:firstLine="480" w:firstLineChars="200"/>
        <w:rPr>
          <w:color w:val="000000"/>
          <w:sz w:val="24"/>
          <w:u w:val="single"/>
        </w:rPr>
      </w:pPr>
      <w:r>
        <w:rPr>
          <w:color w:val="000000"/>
          <w:sz w:val="24"/>
        </w:rPr>
        <w:t>法定代表或授权代表：</w:t>
      </w:r>
      <w:r>
        <w:rPr>
          <w:color w:val="000000"/>
          <w:sz w:val="24"/>
          <w:u w:val="single"/>
        </w:rPr>
        <w:tab/>
      </w:r>
      <w:r>
        <w:rPr>
          <w:color w:val="000000"/>
          <w:sz w:val="24"/>
          <w:u w:val="single"/>
        </w:rPr>
        <w:t xml:space="preserve">                                  （姓名、签字）</w:t>
      </w:r>
    </w:p>
    <w:p>
      <w:pPr>
        <w:spacing w:before="156" w:beforeLines="50" w:after="156"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156" w:beforeLines="50" w:after="156"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w:t>
      </w:r>
      <w:r>
        <w:rPr>
          <w:rFonts w:hint="eastAsia"/>
          <w:color w:val="000000"/>
          <w:sz w:val="24"/>
          <w:u w:val="single"/>
          <w:lang w:val="en-US" w:eastAsia="zh-CN"/>
        </w:rPr>
        <w:t xml:space="preserve">      </w:t>
      </w:r>
      <w:r>
        <w:rPr>
          <w:color w:val="000000"/>
          <w:sz w:val="24"/>
        </w:rPr>
        <w:t>月</w:t>
      </w:r>
      <w:r>
        <w:rPr>
          <w:rFonts w:hint="eastAsia"/>
          <w:color w:val="000000"/>
          <w:sz w:val="24"/>
          <w:u w:val="single"/>
          <w:lang w:val="en-US" w:eastAsia="zh-CN"/>
        </w:rPr>
        <w:t xml:space="preserve">      </w:t>
      </w:r>
      <w:r>
        <w:rPr>
          <w:color w:val="000000"/>
          <w:sz w:val="24"/>
        </w:rPr>
        <w:t>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before="312" w:beforeLines="100" w:line="480" w:lineRule="auto"/>
        <w:ind w:firstLine="560" w:firstLineChars="200"/>
        <w:jc w:val="center"/>
        <w:rPr>
          <w:color w:val="000000"/>
          <w:sz w:val="28"/>
          <w:szCs w:val="28"/>
        </w:rPr>
      </w:pPr>
      <w:r>
        <w:rPr>
          <w:color w:val="000000"/>
          <w:sz w:val="28"/>
          <w:szCs w:val="28"/>
        </w:rPr>
        <w:t>投标文件资料目录（资质、资格证明）</w:t>
      </w:r>
    </w:p>
    <w:p>
      <w:pPr>
        <w:spacing w:line="360" w:lineRule="auto"/>
        <w:rPr>
          <w:color w:val="000000"/>
          <w:sz w:val="24"/>
          <w:szCs w:val="24"/>
        </w:rPr>
      </w:pPr>
      <w:r>
        <w:rPr>
          <w:color w:val="000000"/>
          <w:sz w:val="24"/>
          <w:szCs w:val="24"/>
        </w:rPr>
        <w:t>投标人需提供以下资质文件，并对其真实性负责。</w:t>
      </w:r>
    </w:p>
    <w:p>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，注册地不在中国境内的投标人提供同等法律效力的其他文件；</w:t>
      </w:r>
    </w:p>
    <w:p>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企业最近半年完税证明、信用证明材料（中国人民银行信用代码证+征信报告）</w:t>
      </w:r>
      <w:r>
        <w:rPr>
          <w:rFonts w:hint="eastAsia"/>
          <w:color w:val="000000"/>
          <w:sz w:val="24"/>
          <w:szCs w:val="24"/>
        </w:rPr>
        <w:t>；</w:t>
      </w:r>
    </w:p>
    <w:p>
      <w:pPr>
        <w:spacing w:line="360" w:lineRule="auto"/>
        <w:rPr>
          <w:color w:val="000000"/>
          <w:sz w:val="24"/>
          <w:szCs w:val="24"/>
        </w:rPr>
      </w:pPr>
      <w:r>
        <w:rPr>
          <w:color w:val="000000"/>
          <w:sz w:val="24"/>
          <w:szCs w:val="24"/>
        </w:rPr>
        <w:t>4、年度纳税信用评价信息（可从电子税务局查询截图，需加盖公章）；</w:t>
      </w:r>
    </w:p>
    <w:p>
      <w:pPr>
        <w:spacing w:line="360" w:lineRule="auto"/>
        <w:rPr>
          <w:color w:val="000000"/>
          <w:sz w:val="24"/>
          <w:szCs w:val="24"/>
        </w:rPr>
      </w:pPr>
      <w:r>
        <w:rPr>
          <w:color w:val="000000"/>
          <w:sz w:val="24"/>
          <w:szCs w:val="24"/>
        </w:rPr>
        <w:t>5</w:t>
      </w:r>
      <w:r>
        <w:rPr>
          <w:rFonts w:hint="eastAsia"/>
          <w:color w:val="000000"/>
          <w:sz w:val="24"/>
          <w:szCs w:val="24"/>
        </w:rPr>
        <w:t>、经会计师事务所审计且出具无保留意见的近三年的财务审计报告原件，并加盖公章；</w:t>
      </w:r>
    </w:p>
    <w:p>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pPr>
        <w:spacing w:line="360" w:lineRule="auto"/>
        <w:rPr>
          <w:rFonts w:hint="eastAsia" w:eastAsia="宋体"/>
          <w:color w:val="000000"/>
          <w:sz w:val="24"/>
          <w:szCs w:val="24"/>
          <w:lang w:val="en-US" w:eastAsia="zh-CN"/>
        </w:rPr>
      </w:pPr>
      <w:r>
        <w:rPr>
          <w:color w:val="000000"/>
          <w:sz w:val="24"/>
          <w:szCs w:val="24"/>
        </w:rPr>
        <w:t>8</w:t>
      </w:r>
      <w:r>
        <w:rPr>
          <w:rFonts w:hint="eastAsia"/>
          <w:color w:val="000000"/>
          <w:sz w:val="24"/>
          <w:szCs w:val="24"/>
        </w:rPr>
        <w:t>、</w:t>
      </w:r>
      <w:r>
        <w:rPr>
          <w:rFonts w:hint="eastAsia"/>
          <w:color w:val="000000"/>
          <w:sz w:val="24"/>
          <w:szCs w:val="24"/>
          <w:lang w:val="en-US" w:eastAsia="zh-CN"/>
        </w:rPr>
        <w:t>投标保证金回执函；</w:t>
      </w:r>
    </w:p>
    <w:p>
      <w:pPr>
        <w:spacing w:line="360" w:lineRule="auto"/>
        <w:rPr>
          <w:color w:val="000000"/>
          <w:sz w:val="24"/>
          <w:szCs w:val="24"/>
        </w:rPr>
      </w:pPr>
      <w:r>
        <w:rPr>
          <w:rFonts w:hint="eastAsia"/>
          <w:color w:val="000000"/>
          <w:sz w:val="24"/>
          <w:szCs w:val="24"/>
          <w:lang w:val="en-US" w:eastAsia="zh-CN"/>
        </w:rPr>
        <w:t>9、</w:t>
      </w:r>
      <w:r>
        <w:rPr>
          <w:rFonts w:hint="eastAsia"/>
          <w:color w:val="000000"/>
          <w:sz w:val="24"/>
          <w:szCs w:val="24"/>
        </w:rPr>
        <w:t>投标方基本情况表（附件三）；</w:t>
      </w:r>
    </w:p>
    <w:p>
      <w:pPr>
        <w:spacing w:line="360" w:lineRule="auto"/>
        <w:rPr>
          <w:color w:val="000000"/>
          <w:sz w:val="24"/>
          <w:szCs w:val="24"/>
        </w:rPr>
      </w:pPr>
      <w:r>
        <w:rPr>
          <w:rFonts w:hint="eastAsia"/>
          <w:color w:val="000000"/>
          <w:sz w:val="24"/>
          <w:szCs w:val="24"/>
          <w:lang w:val="en-US" w:eastAsia="zh-CN"/>
        </w:rPr>
        <w:t>10</w:t>
      </w:r>
      <w:r>
        <w:rPr>
          <w:rFonts w:hint="eastAsia"/>
          <w:color w:val="000000"/>
          <w:sz w:val="24"/>
          <w:szCs w:val="24"/>
        </w:rPr>
        <w:t>、产品鉴定证书（如果有）；</w:t>
      </w:r>
    </w:p>
    <w:p>
      <w:pPr>
        <w:spacing w:line="360" w:lineRule="auto"/>
        <w:rPr>
          <w:color w:val="000000"/>
          <w:sz w:val="24"/>
          <w:szCs w:val="24"/>
        </w:rPr>
      </w:pPr>
      <w:r>
        <w:rPr>
          <w:rFonts w:hint="eastAsia"/>
          <w:color w:val="000000"/>
          <w:sz w:val="24"/>
          <w:szCs w:val="24"/>
          <w:lang w:val="en-US" w:eastAsia="zh-CN"/>
        </w:rPr>
        <w:t>11</w:t>
      </w:r>
      <w:r>
        <w:rPr>
          <w:rFonts w:hint="eastAsia"/>
          <w:color w:val="000000"/>
          <w:sz w:val="24"/>
          <w:szCs w:val="24"/>
        </w:rPr>
        <w:t>、质量体系认证证书（如果有）；</w:t>
      </w:r>
    </w:p>
    <w:p>
      <w:pPr>
        <w:spacing w:line="360" w:lineRule="auto"/>
        <w:rPr>
          <w:color w:val="000000"/>
          <w:sz w:val="24"/>
          <w:szCs w:val="24"/>
        </w:rPr>
      </w:pPr>
      <w:r>
        <w:rPr>
          <w:color w:val="000000"/>
          <w:sz w:val="24"/>
          <w:szCs w:val="24"/>
        </w:rPr>
        <w:t>1</w:t>
      </w:r>
      <w:r>
        <w:rPr>
          <w:rFonts w:hint="eastAsia"/>
          <w:color w:val="000000"/>
          <w:sz w:val="24"/>
          <w:szCs w:val="24"/>
          <w:lang w:val="en-US" w:eastAsia="zh-CN"/>
        </w:rPr>
        <w:t>2</w:t>
      </w:r>
      <w:r>
        <w:rPr>
          <w:rFonts w:hint="eastAsia"/>
          <w:color w:val="000000"/>
          <w:sz w:val="24"/>
          <w:szCs w:val="24"/>
        </w:rPr>
        <w:t>、投标人认为对其投标有利的其他资料。</w:t>
      </w:r>
    </w:p>
    <w:p>
      <w:pPr>
        <w:spacing w:line="460" w:lineRule="exact"/>
        <w:rPr>
          <w:rFonts w:hint="eastAsia" w:ascii="宋体" w:hAnsi="宋体"/>
          <w:b/>
          <w:bCs/>
          <w:sz w:val="32"/>
          <w:szCs w:val="24"/>
          <w:u w:val="single"/>
        </w:rPr>
      </w:pPr>
      <w:r>
        <w:rPr>
          <w:rFonts w:hint="eastAsia" w:ascii="宋体" w:hAnsi="宋体"/>
          <w:b/>
          <w:bCs/>
          <w:sz w:val="32"/>
          <w:szCs w:val="24"/>
          <w:u w:val="single"/>
        </w:rPr>
        <w:t>前</w:t>
      </w:r>
      <w:r>
        <w:rPr>
          <w:rFonts w:hint="eastAsia" w:ascii="宋体" w:hAnsi="宋体"/>
          <w:b/>
          <w:bCs/>
          <w:sz w:val="32"/>
          <w:szCs w:val="24"/>
          <w:u w:val="single"/>
          <w:lang w:val="en-US" w:eastAsia="zh-CN"/>
        </w:rPr>
        <w:t>8</w:t>
      </w:r>
      <w:r>
        <w:rPr>
          <w:rFonts w:hint="eastAsia" w:ascii="宋体" w:hAnsi="宋体"/>
          <w:b/>
          <w:bCs/>
          <w:sz w:val="32"/>
          <w:szCs w:val="24"/>
          <w:u w:val="single"/>
        </w:rPr>
        <w:t>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25"/>
        <w:tabs>
          <w:tab w:val="left" w:pos="525"/>
        </w:tabs>
        <w:spacing w:line="360" w:lineRule="auto"/>
        <w:jc w:val="center"/>
        <w:rPr>
          <w:bCs/>
          <w:color w:val="000000"/>
          <w:sz w:val="44"/>
        </w:rPr>
      </w:pPr>
    </w:p>
    <w:p>
      <w:pPr>
        <w:pStyle w:val="25"/>
        <w:tabs>
          <w:tab w:val="left" w:pos="525"/>
        </w:tabs>
        <w:spacing w:line="360" w:lineRule="auto"/>
        <w:jc w:val="center"/>
        <w:rPr>
          <w:b/>
          <w:bCs/>
          <w:color w:val="000000"/>
          <w:sz w:val="96"/>
          <w:szCs w:val="96"/>
        </w:rPr>
      </w:pPr>
      <w:bookmarkStart w:id="280" w:name="_Toc14348"/>
      <w:r>
        <w:rPr>
          <w:b/>
          <w:bCs/>
          <w:color w:val="000000"/>
          <w:sz w:val="96"/>
          <w:szCs w:val="96"/>
        </w:rPr>
        <w:t>投 标 文 件</w:t>
      </w:r>
      <w:bookmarkEnd w:id="280"/>
    </w:p>
    <w:p>
      <w:pPr>
        <w:pStyle w:val="25"/>
        <w:tabs>
          <w:tab w:val="left" w:pos="525"/>
        </w:tabs>
        <w:spacing w:line="360" w:lineRule="auto"/>
        <w:ind w:firstLine="538"/>
        <w:rPr>
          <w:color w:val="000000"/>
        </w:rPr>
      </w:pPr>
    </w:p>
    <w:p>
      <w:pPr>
        <w:pStyle w:val="25"/>
        <w:tabs>
          <w:tab w:val="left" w:pos="525"/>
        </w:tabs>
        <w:spacing w:line="480" w:lineRule="auto"/>
        <w:jc w:val="center"/>
        <w:rPr>
          <w:color w:val="000000"/>
          <w:sz w:val="72"/>
          <w:szCs w:val="72"/>
        </w:rPr>
      </w:pPr>
      <w:r>
        <w:rPr>
          <w:b/>
          <w:color w:val="000000"/>
          <w:sz w:val="72"/>
          <w:szCs w:val="72"/>
        </w:rPr>
        <w:t>技术文件</w:t>
      </w:r>
    </w:p>
    <w:p>
      <w:pPr>
        <w:pStyle w:val="25"/>
        <w:tabs>
          <w:tab w:val="left" w:pos="525"/>
        </w:tabs>
        <w:spacing w:line="360" w:lineRule="auto"/>
        <w:rPr>
          <w:color w:val="000000"/>
        </w:rPr>
      </w:pPr>
    </w:p>
    <w:p>
      <w:pPr>
        <w:tabs>
          <w:tab w:val="left" w:pos="5105"/>
        </w:tabs>
        <w:spacing w:line="480" w:lineRule="auto"/>
        <w:rPr>
          <w:color w:val="000000"/>
          <w:sz w:val="28"/>
          <w:szCs w:val="28"/>
        </w:rPr>
      </w:pPr>
      <w:r>
        <w:rPr>
          <w:color w:val="000000"/>
          <w:sz w:val="28"/>
          <w:szCs w:val="28"/>
        </w:rPr>
        <w:t>项目名称：中通客车股份有限公司</w:t>
      </w:r>
    </w:p>
    <w:p>
      <w:pPr>
        <w:tabs>
          <w:tab w:val="left" w:pos="5105"/>
        </w:tabs>
        <w:spacing w:line="480" w:lineRule="auto"/>
        <w:ind w:firstLine="1680" w:firstLineChars="600"/>
        <w:rPr>
          <w:color w:val="000000"/>
          <w:sz w:val="28"/>
          <w:szCs w:val="28"/>
          <w:u w:val="single"/>
        </w:rPr>
      </w:pPr>
      <w:r>
        <w:rPr>
          <w:rFonts w:hint="eastAsia"/>
          <w:color w:val="000000"/>
          <w:sz w:val="28"/>
          <w:szCs w:val="28"/>
          <w:u w:val="single"/>
        </w:rPr>
        <w:t>焊枪仿型引导工具免示教技术</w:t>
      </w:r>
      <w:r>
        <w:rPr>
          <w:color w:val="000000"/>
          <w:sz w:val="28"/>
          <w:szCs w:val="28"/>
          <w:u w:val="single"/>
        </w:rPr>
        <w:t>项目</w:t>
      </w:r>
    </w:p>
    <w:p>
      <w:pPr>
        <w:pStyle w:val="25"/>
        <w:tabs>
          <w:tab w:val="left" w:pos="525"/>
        </w:tabs>
        <w:spacing w:line="480" w:lineRule="auto"/>
        <w:rPr>
          <w:color w:val="000000"/>
          <w:sz w:val="32"/>
        </w:rPr>
      </w:pPr>
    </w:p>
    <w:p>
      <w:pPr>
        <w:spacing w:before="156" w:beforeLines="50" w:after="156"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156" w:beforeLines="50" w:after="156" w:afterLines="50" w:line="480" w:lineRule="auto"/>
        <w:ind w:firstLine="480" w:firstLineChars="200"/>
        <w:rPr>
          <w:color w:val="000000"/>
          <w:sz w:val="24"/>
          <w:u w:val="single"/>
        </w:rPr>
      </w:pPr>
      <w:r>
        <w:rPr>
          <w:color w:val="000000"/>
          <w:sz w:val="24"/>
        </w:rPr>
        <w:t>法定代表或授权代表：</w:t>
      </w:r>
      <w:r>
        <w:rPr>
          <w:color w:val="000000"/>
          <w:sz w:val="24"/>
          <w:u w:val="single"/>
        </w:rPr>
        <w:tab/>
      </w:r>
      <w:r>
        <w:rPr>
          <w:color w:val="000000"/>
          <w:sz w:val="24"/>
          <w:u w:val="single"/>
        </w:rPr>
        <w:t xml:space="preserve">                                  （姓名、签字）</w:t>
      </w:r>
    </w:p>
    <w:p>
      <w:pPr>
        <w:spacing w:before="156" w:beforeLines="50" w:after="156"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156" w:beforeLines="50" w:after="156"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w:t>
      </w:r>
      <w:r>
        <w:rPr>
          <w:rFonts w:hint="eastAsia"/>
          <w:color w:val="000000"/>
          <w:sz w:val="24"/>
          <w:u w:val="single"/>
          <w:lang w:val="en-US" w:eastAsia="zh-CN"/>
        </w:rPr>
        <w:t xml:space="preserve">    </w:t>
      </w:r>
      <w:r>
        <w:rPr>
          <w:color w:val="000000"/>
          <w:sz w:val="24"/>
        </w:rPr>
        <w:t>月</w:t>
      </w:r>
      <w:r>
        <w:rPr>
          <w:rFonts w:hint="eastAsia"/>
          <w:color w:val="000000"/>
          <w:sz w:val="24"/>
          <w:u w:val="single"/>
          <w:lang w:val="en-US" w:eastAsia="zh-CN"/>
        </w:rPr>
        <w:t xml:space="preserve">     </w:t>
      </w:r>
      <w:r>
        <w:rPr>
          <w:color w:val="000000"/>
          <w:sz w:val="24"/>
        </w:rPr>
        <w:t>日</w:t>
      </w:r>
    </w:p>
    <w:p>
      <w:pPr>
        <w:spacing w:before="156" w:beforeLines="50" w:after="156" w:afterLines="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r>
        <w:rPr>
          <w:color w:val="000000"/>
          <w:sz w:val="28"/>
          <w:szCs w:val="28"/>
        </w:rPr>
        <w:t>投标文件资料目录（技术文件）</w:t>
      </w:r>
    </w:p>
    <w:p>
      <w:pPr>
        <w:pStyle w:val="80"/>
        <w:tabs>
          <w:tab w:val="left" w:pos="630"/>
          <w:tab w:val="left" w:pos="1050"/>
          <w:tab w:val="left" w:pos="1243"/>
          <w:tab w:val="left" w:pos="1350"/>
          <w:tab w:val="left" w:pos="1470"/>
          <w:tab w:val="left" w:pos="1997"/>
        </w:tabs>
        <w:spacing w:line="360" w:lineRule="auto"/>
        <w:ind w:firstLine="472" w:firstLineChars="196"/>
        <w:rPr>
          <w:b/>
          <w:bCs/>
          <w:color w:val="000000"/>
          <w:sz w:val="24"/>
          <w:u w:val="single"/>
        </w:rPr>
      </w:pPr>
      <w:r>
        <w:rPr>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pStyle w:val="80"/>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1、企业综合实力：企业体系认证、年度营收、知识产权等客观评价内容；</w:t>
      </w:r>
    </w:p>
    <w:p>
      <w:pPr>
        <w:pStyle w:val="80"/>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2、</w:t>
      </w:r>
      <w:r>
        <w:rPr>
          <w:rFonts w:hint="eastAsia"/>
          <w:color w:val="000000"/>
          <w:sz w:val="24"/>
        </w:rPr>
        <w:t>经营业绩一览表[近三年（2022年1月1日至今）类似项目业绩及合同明细加盖公章（须有客户联系方式及联系人以供招标方核实确认）] ；</w:t>
      </w:r>
      <w:r>
        <w:rPr>
          <w:color w:val="000000"/>
          <w:sz w:val="24"/>
        </w:rPr>
        <w:t>（附件五）</w:t>
      </w:r>
    </w:p>
    <w:p>
      <w:pPr>
        <w:pStyle w:val="80"/>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3、技术方案及质量保证措施：依据项目技术要求做出实质性解决方案，技术方案响应程度、配置信息、设计图纸及能耗等内容；（附件四）</w:t>
      </w:r>
    </w:p>
    <w:p>
      <w:pPr>
        <w:pStyle w:val="80"/>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4、产品质量及保证措施；</w:t>
      </w:r>
    </w:p>
    <w:p>
      <w:pPr>
        <w:pStyle w:val="80"/>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5、项目实施计划；</w:t>
      </w:r>
    </w:p>
    <w:p>
      <w:pPr>
        <w:pStyle w:val="80"/>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6、质保期及</w:t>
      </w:r>
      <w:r>
        <w:rPr>
          <w:rFonts w:hint="eastAsia"/>
          <w:color w:val="000000"/>
          <w:sz w:val="24"/>
        </w:rPr>
        <w:t>服务承诺函；</w:t>
      </w:r>
      <w:r>
        <w:rPr>
          <w:color w:val="000000"/>
          <w:sz w:val="24"/>
        </w:rPr>
        <w:t>（附件六）</w:t>
      </w:r>
    </w:p>
    <w:p>
      <w:pPr>
        <w:pStyle w:val="80"/>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7、供货周期承诺</w:t>
      </w:r>
      <w:r>
        <w:rPr>
          <w:rFonts w:hint="eastAsia"/>
          <w:color w:val="000000"/>
          <w:sz w:val="24"/>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25"/>
        <w:tabs>
          <w:tab w:val="left" w:pos="525"/>
        </w:tabs>
        <w:spacing w:line="360" w:lineRule="auto"/>
        <w:jc w:val="center"/>
        <w:rPr>
          <w:b/>
          <w:bCs/>
          <w:color w:val="000000"/>
          <w:sz w:val="96"/>
          <w:szCs w:val="96"/>
        </w:rPr>
      </w:pPr>
    </w:p>
    <w:p>
      <w:pPr>
        <w:widowControl/>
        <w:jc w:val="left"/>
        <w:rPr>
          <w:b/>
          <w:bCs/>
          <w:color w:val="000000"/>
          <w:sz w:val="96"/>
          <w:szCs w:val="96"/>
        </w:rPr>
      </w:pPr>
      <w:r>
        <w:rPr>
          <w:b/>
          <w:bCs/>
          <w:color w:val="000000"/>
          <w:sz w:val="96"/>
          <w:szCs w:val="96"/>
        </w:rPr>
        <w:br w:type="page"/>
      </w:r>
    </w:p>
    <w:p>
      <w:pPr>
        <w:pStyle w:val="25"/>
        <w:tabs>
          <w:tab w:val="left" w:pos="525"/>
        </w:tabs>
        <w:spacing w:line="360" w:lineRule="auto"/>
        <w:jc w:val="center"/>
        <w:rPr>
          <w:b/>
          <w:bCs/>
          <w:color w:val="000000"/>
          <w:sz w:val="96"/>
          <w:szCs w:val="96"/>
        </w:rPr>
      </w:pPr>
      <w:bookmarkStart w:id="281" w:name="_Toc9619"/>
      <w:r>
        <w:rPr>
          <w:b/>
          <w:bCs/>
          <w:color w:val="000000"/>
          <w:sz w:val="96"/>
          <w:szCs w:val="96"/>
        </w:rPr>
        <w:t>投 标 文 件</w:t>
      </w:r>
      <w:bookmarkEnd w:id="281"/>
    </w:p>
    <w:p>
      <w:pPr>
        <w:pStyle w:val="25"/>
        <w:tabs>
          <w:tab w:val="left" w:pos="525"/>
        </w:tabs>
        <w:spacing w:line="360" w:lineRule="auto"/>
        <w:ind w:firstLine="538"/>
        <w:rPr>
          <w:color w:val="000000"/>
        </w:rPr>
      </w:pPr>
    </w:p>
    <w:p>
      <w:pPr>
        <w:pStyle w:val="25"/>
        <w:tabs>
          <w:tab w:val="left" w:pos="525"/>
        </w:tabs>
        <w:spacing w:line="480" w:lineRule="auto"/>
        <w:jc w:val="center"/>
        <w:rPr>
          <w:color w:val="000000"/>
          <w:sz w:val="72"/>
          <w:szCs w:val="72"/>
        </w:rPr>
      </w:pPr>
      <w:r>
        <w:rPr>
          <w:b/>
          <w:color w:val="000000"/>
          <w:sz w:val="72"/>
          <w:szCs w:val="72"/>
        </w:rPr>
        <w:t>商务部分</w:t>
      </w:r>
    </w:p>
    <w:p>
      <w:pPr>
        <w:pStyle w:val="25"/>
        <w:tabs>
          <w:tab w:val="left" w:pos="525"/>
        </w:tabs>
        <w:spacing w:line="360" w:lineRule="auto"/>
        <w:rPr>
          <w:color w:val="000000"/>
        </w:rPr>
      </w:pPr>
    </w:p>
    <w:p>
      <w:pPr>
        <w:tabs>
          <w:tab w:val="left" w:pos="5105"/>
        </w:tabs>
        <w:spacing w:line="480" w:lineRule="auto"/>
        <w:rPr>
          <w:color w:val="000000"/>
          <w:sz w:val="28"/>
          <w:szCs w:val="28"/>
        </w:rPr>
      </w:pPr>
      <w:r>
        <w:rPr>
          <w:color w:val="000000"/>
          <w:sz w:val="28"/>
          <w:szCs w:val="28"/>
        </w:rPr>
        <w:t>项目名称：中通客车股份有限公司</w:t>
      </w:r>
    </w:p>
    <w:p>
      <w:pPr>
        <w:tabs>
          <w:tab w:val="left" w:pos="5105"/>
        </w:tabs>
        <w:spacing w:line="480" w:lineRule="auto"/>
        <w:ind w:firstLine="1680" w:firstLineChars="600"/>
        <w:rPr>
          <w:bCs/>
          <w:color w:val="000000"/>
          <w:sz w:val="28"/>
          <w:szCs w:val="28"/>
          <w:u w:val="single"/>
        </w:rPr>
      </w:pPr>
      <w:bookmarkStart w:id="282" w:name="_Toc18735"/>
      <w:r>
        <w:rPr>
          <w:rFonts w:hint="eastAsia"/>
          <w:bCs/>
          <w:color w:val="000000"/>
          <w:sz w:val="28"/>
          <w:szCs w:val="28"/>
          <w:u w:val="single"/>
        </w:rPr>
        <w:t>焊枪仿型引导工具免示教技术</w:t>
      </w:r>
      <w:r>
        <w:rPr>
          <w:bCs/>
          <w:color w:val="000000"/>
          <w:sz w:val="28"/>
          <w:szCs w:val="28"/>
          <w:u w:val="single"/>
        </w:rPr>
        <w:t>项目</w:t>
      </w:r>
      <w:bookmarkEnd w:id="282"/>
    </w:p>
    <w:p>
      <w:pPr>
        <w:tabs>
          <w:tab w:val="left" w:pos="5105"/>
        </w:tabs>
        <w:spacing w:line="480" w:lineRule="auto"/>
        <w:rPr>
          <w:color w:val="000000"/>
          <w:spacing w:val="-20"/>
          <w:sz w:val="28"/>
          <w:szCs w:val="28"/>
        </w:rPr>
      </w:pPr>
    </w:p>
    <w:p>
      <w:pPr>
        <w:spacing w:before="156" w:beforeLines="50" w:after="156"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156" w:beforeLines="50" w:after="156" w:afterLines="50" w:line="480" w:lineRule="auto"/>
        <w:ind w:firstLine="480" w:firstLineChars="200"/>
        <w:rPr>
          <w:color w:val="000000"/>
          <w:sz w:val="24"/>
          <w:u w:val="single"/>
        </w:rPr>
      </w:pPr>
      <w:r>
        <w:rPr>
          <w:color w:val="000000"/>
          <w:sz w:val="24"/>
        </w:rPr>
        <w:t>法定代表或授权代表：</w:t>
      </w:r>
      <w:r>
        <w:rPr>
          <w:color w:val="000000"/>
          <w:sz w:val="24"/>
          <w:u w:val="single"/>
        </w:rPr>
        <w:tab/>
      </w:r>
      <w:r>
        <w:rPr>
          <w:color w:val="000000"/>
          <w:sz w:val="24"/>
          <w:u w:val="single"/>
        </w:rPr>
        <w:t xml:space="preserve">                                  （姓名、签字）</w:t>
      </w:r>
    </w:p>
    <w:p>
      <w:pPr>
        <w:spacing w:before="156" w:beforeLines="50" w:after="156"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156" w:beforeLines="50" w:after="156"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w:t>
      </w:r>
      <w:r>
        <w:rPr>
          <w:rFonts w:hint="eastAsia"/>
          <w:color w:val="000000"/>
          <w:sz w:val="24"/>
          <w:u w:val="single"/>
          <w:lang w:val="en-US" w:eastAsia="zh-CN"/>
        </w:rPr>
        <w:t xml:space="preserve">     </w:t>
      </w:r>
      <w:r>
        <w:rPr>
          <w:color w:val="000000"/>
          <w:sz w:val="24"/>
        </w:rPr>
        <w:t>月</w:t>
      </w:r>
      <w:r>
        <w:rPr>
          <w:rFonts w:hint="eastAsia"/>
          <w:color w:val="000000"/>
          <w:sz w:val="24"/>
          <w:u w:val="single"/>
          <w:lang w:val="en-US" w:eastAsia="zh-CN"/>
        </w:rPr>
        <w:t xml:space="preserve">      </w:t>
      </w:r>
      <w:r>
        <w:rPr>
          <w:color w:val="000000"/>
          <w:sz w:val="24"/>
        </w:rPr>
        <w:t>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color w:val="000000"/>
          <w:sz w:val="28"/>
          <w:szCs w:val="28"/>
        </w:rPr>
        <w:br w:type="page"/>
      </w:r>
    </w:p>
    <w:p>
      <w:pPr>
        <w:tabs>
          <w:tab w:val="left" w:pos="1846"/>
        </w:tabs>
        <w:spacing w:line="480" w:lineRule="auto"/>
        <w:ind w:firstLine="560" w:firstLineChars="200"/>
        <w:jc w:val="center"/>
        <w:rPr>
          <w:color w:val="000000"/>
          <w:sz w:val="28"/>
          <w:szCs w:val="28"/>
        </w:rPr>
      </w:pPr>
      <w:bookmarkStart w:id="283" w:name="_Toc29688"/>
      <w:r>
        <w:rPr>
          <w:color w:val="000000"/>
          <w:sz w:val="28"/>
          <w:szCs w:val="28"/>
        </w:rPr>
        <w:t>投标文件资料目录（商务文件）</w:t>
      </w:r>
      <w:bookmarkEnd w:id="283"/>
    </w:p>
    <w:p>
      <w:pPr>
        <w:spacing w:line="360" w:lineRule="auto"/>
        <w:rPr>
          <w:color w:val="000000"/>
          <w:sz w:val="24"/>
        </w:rPr>
      </w:pPr>
      <w:r>
        <w:rPr>
          <w:color w:val="000000"/>
          <w:sz w:val="24"/>
        </w:rPr>
        <w:t>1、投标函：“</w:t>
      </w:r>
      <w:r>
        <w:rPr>
          <w:rFonts w:hint="eastAsia"/>
          <w:color w:val="000000"/>
          <w:sz w:val="24"/>
        </w:rPr>
        <w:t>焊枪仿型引导工具免示教技术</w:t>
      </w:r>
      <w:r>
        <w:rPr>
          <w:color w:val="000000"/>
          <w:sz w:val="24"/>
        </w:rPr>
        <w:t>项目----投标函”（附件七，格式不得自行修改）；</w:t>
      </w:r>
    </w:p>
    <w:p>
      <w:pPr>
        <w:spacing w:line="360" w:lineRule="auto"/>
        <w:rPr>
          <w:color w:val="000000"/>
          <w:sz w:val="24"/>
        </w:rPr>
      </w:pPr>
      <w:r>
        <w:rPr>
          <w:color w:val="000000"/>
          <w:sz w:val="24"/>
        </w:rPr>
        <w:t>2、报价明细： “</w:t>
      </w:r>
      <w:r>
        <w:rPr>
          <w:rFonts w:hint="eastAsia"/>
          <w:color w:val="000000"/>
          <w:sz w:val="24"/>
        </w:rPr>
        <w:t>焊枪仿型引导工具免示教技术</w:t>
      </w:r>
      <w:r>
        <w:rPr>
          <w:color w:val="000000"/>
          <w:sz w:val="24"/>
        </w:rPr>
        <w:t>项目----报价明细”（附件八，格式不得自行修改）</w:t>
      </w:r>
    </w:p>
    <w:p>
      <w:pPr>
        <w:spacing w:line="360" w:lineRule="auto"/>
        <w:rPr>
          <w:color w:val="000000"/>
          <w:sz w:val="24"/>
        </w:rPr>
      </w:pPr>
      <w:r>
        <w:rPr>
          <w:color w:val="000000"/>
          <w:sz w:val="24"/>
        </w:rPr>
        <w:t>3、</w:t>
      </w:r>
      <w:r>
        <w:rPr>
          <w:rFonts w:hint="eastAsia"/>
          <w:color w:val="000000"/>
          <w:sz w:val="24"/>
          <w:szCs w:val="24"/>
        </w:rPr>
        <w:t>备品备件、易损件、专用耗材清单及价格表</w:t>
      </w:r>
      <w:r>
        <w:rPr>
          <w:color w:val="000000"/>
          <w:sz w:val="24"/>
          <w:szCs w:val="24"/>
        </w:rPr>
        <w:t>（附件九）</w:t>
      </w:r>
    </w:p>
    <w:p>
      <w:pPr>
        <w:spacing w:line="360" w:lineRule="auto"/>
        <w:rPr>
          <w:color w:val="000000"/>
          <w:sz w:val="24"/>
        </w:rPr>
      </w:pPr>
      <w:r>
        <w:rPr>
          <w:color w:val="000000"/>
          <w:sz w:val="24"/>
        </w:rPr>
        <w:t>4、商务条款偏离表（附件十）；</w:t>
      </w:r>
    </w:p>
    <w:p>
      <w:pPr>
        <w:spacing w:line="360" w:lineRule="auto"/>
        <w:rPr>
          <w:b/>
          <w:color w:val="000000"/>
          <w:sz w:val="28"/>
          <w:szCs w:val="28"/>
        </w:rPr>
      </w:pPr>
      <w:r>
        <w:rPr>
          <w:color w:val="000000"/>
          <w:sz w:val="24"/>
          <w:szCs w:val="24"/>
        </w:rPr>
        <w:t>4、商务</w:t>
      </w:r>
      <w:r>
        <w:rPr>
          <w:rFonts w:hint="eastAsia"/>
          <w:color w:val="000000"/>
          <w:sz w:val="24"/>
          <w:szCs w:val="24"/>
          <w:lang w:eastAsia="zh-CN"/>
        </w:rPr>
        <w:t>、</w:t>
      </w:r>
      <w:r>
        <w:rPr>
          <w:rFonts w:hint="eastAsia"/>
          <w:color w:val="000000"/>
          <w:sz w:val="24"/>
          <w:szCs w:val="24"/>
          <w:lang w:val="en-US" w:eastAsia="zh-CN"/>
        </w:rPr>
        <w:t>技术、</w:t>
      </w:r>
      <w:r>
        <w:rPr>
          <w:color w:val="000000"/>
          <w:sz w:val="24"/>
          <w:szCs w:val="24"/>
        </w:rPr>
        <w:t>资质、资格证明文</w:t>
      </w:r>
      <w:r>
        <w:rPr>
          <w:color w:val="000000"/>
          <w:sz w:val="24"/>
        </w:rPr>
        <w:t>件电子版（U盘）：一个，</w:t>
      </w:r>
      <w:r>
        <w:rPr>
          <w:b/>
          <w:bCs/>
          <w:color w:val="000000"/>
          <w:sz w:val="24"/>
          <w:u w:val="single"/>
        </w:rPr>
        <w:t>其中“</w:t>
      </w:r>
      <w:r>
        <w:rPr>
          <w:rFonts w:hint="eastAsia"/>
          <w:b/>
          <w:bCs/>
          <w:color w:val="000000"/>
          <w:sz w:val="24"/>
          <w:u w:val="single"/>
        </w:rPr>
        <w:t>焊枪仿型引导工具免示教技术</w:t>
      </w:r>
      <w:r>
        <w:rPr>
          <w:b/>
          <w:bCs/>
          <w:color w:val="000000"/>
          <w:sz w:val="24"/>
          <w:u w:val="single"/>
        </w:rPr>
        <w:t>项目----报价明细”（附件二）</w:t>
      </w:r>
      <w:r>
        <w:rPr>
          <w:b/>
          <w:bCs/>
          <w:snapToGrid w:val="0"/>
          <w:kern w:val="0"/>
          <w:sz w:val="24"/>
          <w:szCs w:val="24"/>
          <w:u w:val="single"/>
        </w:rPr>
        <w:t>需提供EXCEL（可编辑）电子版，“含报价汇总表、报价表（细项格式）”</w:t>
      </w:r>
      <w:r>
        <w:rPr>
          <w:snapToGrid w:val="0"/>
          <w:kern w:val="0"/>
          <w:sz w:val="24"/>
          <w:szCs w:val="24"/>
        </w:rPr>
        <w:t>。</w:t>
      </w:r>
    </w:p>
    <w:p>
      <w:pPr>
        <w:pStyle w:val="25"/>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0"/>
        </w:tabs>
        <w:adjustRightInd w:val="0"/>
        <w:snapToGrid w:val="0"/>
        <w:spacing w:before="50" w:after="50" w:line="480" w:lineRule="auto"/>
        <w:rPr>
          <w:color w:val="000000"/>
          <w:sz w:val="24"/>
        </w:rPr>
      </w:pPr>
    </w:p>
    <w:p>
      <w:pPr>
        <w:tabs>
          <w:tab w:val="left" w:pos="1418"/>
        </w:tabs>
        <w:spacing w:line="480" w:lineRule="auto"/>
        <w:jc w:val="center"/>
        <w:rPr>
          <w:color w:val="000000"/>
          <w:sz w:val="28"/>
          <w:szCs w:val="28"/>
        </w:rPr>
      </w:pPr>
      <w:bookmarkStart w:id="284" w:name="_Toc319913727"/>
      <w:bookmarkStart w:id="285" w:name="_Toc25652"/>
      <w:r>
        <w:rPr>
          <w:color w:val="000000"/>
          <w:sz w:val="28"/>
          <w:szCs w:val="28"/>
        </w:rPr>
        <w:t>投标文件</w:t>
      </w:r>
      <w:bookmarkEnd w:id="284"/>
      <w:r>
        <w:rPr>
          <w:color w:val="000000"/>
          <w:sz w:val="28"/>
          <w:szCs w:val="28"/>
        </w:rPr>
        <w:t>附件格式</w:t>
      </w:r>
      <w:bookmarkEnd w:id="285"/>
    </w:p>
    <w:p>
      <w:pPr>
        <w:spacing w:line="360" w:lineRule="auto"/>
        <w:ind w:firstLine="480" w:firstLineChars="200"/>
        <w:rPr>
          <w:color w:val="000000"/>
          <w:sz w:val="24"/>
        </w:rPr>
      </w:pPr>
    </w:p>
    <w:p>
      <w:pPr>
        <w:spacing w:line="360" w:lineRule="auto"/>
        <w:ind w:firstLine="480" w:firstLineChars="200"/>
        <w:rPr>
          <w:color w:val="000000"/>
          <w:sz w:val="24"/>
        </w:rPr>
      </w:pPr>
      <w:bookmarkStart w:id="286" w:name="_Toc28010"/>
      <w:r>
        <w:rPr>
          <w:color w:val="000000"/>
          <w:sz w:val="24"/>
        </w:rPr>
        <w:t>附件一     法定代表人身份证明书</w:t>
      </w:r>
      <w:bookmarkEnd w:id="286"/>
    </w:p>
    <w:p>
      <w:pPr>
        <w:spacing w:line="360" w:lineRule="auto"/>
        <w:ind w:right="-210" w:rightChars="-100" w:firstLine="480" w:firstLineChars="200"/>
        <w:rPr>
          <w:color w:val="000000"/>
          <w:sz w:val="24"/>
        </w:rPr>
      </w:pPr>
      <w:bookmarkStart w:id="287" w:name="_Toc248"/>
      <w:r>
        <w:rPr>
          <w:color w:val="000000"/>
          <w:sz w:val="24"/>
        </w:rPr>
        <w:t>附件二     法定代表人授权委托书</w:t>
      </w:r>
      <w:bookmarkEnd w:id="287"/>
    </w:p>
    <w:p>
      <w:pPr>
        <w:spacing w:line="360" w:lineRule="auto"/>
        <w:ind w:firstLine="480" w:firstLineChars="200"/>
        <w:rPr>
          <w:color w:val="000000"/>
          <w:sz w:val="24"/>
        </w:rPr>
      </w:pPr>
      <w:bookmarkStart w:id="288" w:name="_Toc16876"/>
      <w:r>
        <w:rPr>
          <w:color w:val="000000"/>
          <w:sz w:val="24"/>
        </w:rPr>
        <w:t>附件三     投标人基本情况表</w:t>
      </w:r>
      <w:bookmarkEnd w:id="288"/>
    </w:p>
    <w:p>
      <w:pPr>
        <w:spacing w:line="360" w:lineRule="auto"/>
        <w:ind w:firstLine="480" w:firstLineChars="200"/>
        <w:rPr>
          <w:sz w:val="24"/>
        </w:rPr>
      </w:pPr>
      <w:bookmarkStart w:id="289" w:name="_Toc12454"/>
      <w:r>
        <w:rPr>
          <w:sz w:val="24"/>
        </w:rPr>
        <w:t>附件四     技术要求偏离表</w:t>
      </w:r>
      <w:bookmarkEnd w:id="289"/>
    </w:p>
    <w:p>
      <w:pPr>
        <w:spacing w:line="360" w:lineRule="auto"/>
        <w:ind w:firstLine="480" w:firstLineChars="200"/>
        <w:rPr>
          <w:sz w:val="24"/>
        </w:rPr>
      </w:pPr>
      <w:bookmarkStart w:id="290" w:name="_Toc8809"/>
      <w:r>
        <w:rPr>
          <w:color w:val="000000"/>
          <w:sz w:val="24"/>
        </w:rPr>
        <w:t>附</w:t>
      </w:r>
      <w:r>
        <w:rPr>
          <w:sz w:val="24"/>
        </w:rPr>
        <w:t>件五     经营业绩一览表</w:t>
      </w:r>
      <w:bookmarkEnd w:id="290"/>
    </w:p>
    <w:p>
      <w:pPr>
        <w:spacing w:line="360" w:lineRule="auto"/>
        <w:ind w:firstLine="480" w:firstLineChars="200"/>
        <w:rPr>
          <w:sz w:val="24"/>
        </w:rPr>
      </w:pPr>
      <w:bookmarkStart w:id="291" w:name="_Toc23355"/>
      <w:r>
        <w:rPr>
          <w:sz w:val="24"/>
        </w:rPr>
        <w:t>附件六     质保期及服务承诺函</w:t>
      </w:r>
      <w:bookmarkEnd w:id="291"/>
    </w:p>
    <w:p>
      <w:pPr>
        <w:spacing w:line="360" w:lineRule="auto"/>
        <w:ind w:firstLine="480" w:firstLineChars="200"/>
        <w:rPr>
          <w:color w:val="000000"/>
          <w:sz w:val="24"/>
        </w:rPr>
      </w:pPr>
      <w:bookmarkStart w:id="292" w:name="_Toc28320"/>
      <w:r>
        <w:rPr>
          <w:color w:val="000000"/>
          <w:sz w:val="24"/>
        </w:rPr>
        <w:t xml:space="preserve">附件七     </w:t>
      </w:r>
      <w:r>
        <w:rPr>
          <w:rFonts w:hint="eastAsia"/>
          <w:color w:val="000000"/>
          <w:sz w:val="24"/>
        </w:rPr>
        <w:t>焊枪仿型引导工具免示教技术</w:t>
      </w:r>
      <w:r>
        <w:rPr>
          <w:color w:val="000000"/>
          <w:sz w:val="24"/>
          <w:szCs w:val="24"/>
        </w:rPr>
        <w:t>项目</w:t>
      </w:r>
      <w:r>
        <w:rPr>
          <w:color w:val="000000"/>
          <w:sz w:val="24"/>
        </w:rPr>
        <w:t>----投标函</w:t>
      </w:r>
      <w:bookmarkEnd w:id="292"/>
    </w:p>
    <w:p>
      <w:pPr>
        <w:spacing w:line="360" w:lineRule="auto"/>
        <w:ind w:firstLine="480" w:firstLineChars="200"/>
        <w:rPr>
          <w:color w:val="000000"/>
          <w:sz w:val="24"/>
        </w:rPr>
      </w:pPr>
      <w:bookmarkStart w:id="293" w:name="_Toc593"/>
      <w:r>
        <w:rPr>
          <w:color w:val="000000"/>
          <w:sz w:val="24"/>
        </w:rPr>
        <w:t xml:space="preserve">附件八     </w:t>
      </w:r>
      <w:r>
        <w:rPr>
          <w:rFonts w:hint="eastAsia"/>
          <w:color w:val="000000"/>
          <w:sz w:val="24"/>
        </w:rPr>
        <w:t>焊枪仿型引导工具免示教技术</w:t>
      </w:r>
      <w:r>
        <w:rPr>
          <w:color w:val="000000"/>
          <w:sz w:val="24"/>
          <w:szCs w:val="24"/>
        </w:rPr>
        <w:t>项目</w:t>
      </w:r>
      <w:r>
        <w:rPr>
          <w:color w:val="000000"/>
          <w:sz w:val="24"/>
        </w:rPr>
        <w:t>----报价明细</w:t>
      </w:r>
      <w:bookmarkEnd w:id="293"/>
    </w:p>
    <w:p>
      <w:pPr>
        <w:spacing w:line="360" w:lineRule="auto"/>
        <w:ind w:firstLine="480" w:firstLineChars="200"/>
        <w:rPr>
          <w:color w:val="000000"/>
          <w:sz w:val="24"/>
        </w:rPr>
      </w:pPr>
      <w:bookmarkStart w:id="294" w:name="_Toc1875"/>
      <w:r>
        <w:rPr>
          <w:color w:val="000000"/>
          <w:sz w:val="24"/>
        </w:rPr>
        <w:t xml:space="preserve">附件九     </w:t>
      </w:r>
      <w:r>
        <w:rPr>
          <w:rFonts w:hint="eastAsia"/>
          <w:color w:val="000000"/>
          <w:sz w:val="24"/>
          <w:szCs w:val="24"/>
        </w:rPr>
        <w:t>备品备件、易损件、专用耗材清单及价格表</w:t>
      </w:r>
    </w:p>
    <w:p>
      <w:pPr>
        <w:spacing w:line="360" w:lineRule="auto"/>
        <w:ind w:firstLine="480" w:firstLineChars="200"/>
        <w:rPr>
          <w:color w:val="000000"/>
          <w:sz w:val="24"/>
        </w:rPr>
      </w:pPr>
      <w:r>
        <w:rPr>
          <w:color w:val="000000"/>
          <w:sz w:val="24"/>
          <w:szCs w:val="24"/>
        </w:rPr>
        <w:t>附件</w:t>
      </w:r>
      <w:r>
        <w:rPr>
          <w:rFonts w:hint="eastAsia"/>
          <w:color w:val="000000"/>
          <w:sz w:val="24"/>
          <w:szCs w:val="24"/>
        </w:rPr>
        <w:t>十</w:t>
      </w:r>
      <w:r>
        <w:rPr>
          <w:color w:val="000000"/>
          <w:sz w:val="24"/>
          <w:szCs w:val="24"/>
        </w:rPr>
        <w:t xml:space="preserve">  </w:t>
      </w:r>
      <w:r>
        <w:rPr>
          <w:b/>
          <w:color w:val="000000"/>
          <w:sz w:val="24"/>
          <w:szCs w:val="24"/>
        </w:rPr>
        <w:t xml:space="preserve">   </w:t>
      </w:r>
      <w:r>
        <w:rPr>
          <w:color w:val="000000"/>
          <w:sz w:val="24"/>
        </w:rPr>
        <w:t>商务条款偏离表</w:t>
      </w:r>
      <w:bookmarkEnd w:id="294"/>
    </w:p>
    <w:p>
      <w:pPr>
        <w:spacing w:line="360" w:lineRule="auto"/>
        <w:ind w:right="-210" w:rightChars="-100"/>
        <w:rPr>
          <w:color w:val="000000"/>
          <w:sz w:val="24"/>
          <w:highlight w:val="yellow"/>
        </w:rPr>
      </w:pPr>
    </w:p>
    <w:p>
      <w:pPr>
        <w:spacing w:line="360" w:lineRule="auto"/>
        <w:ind w:right="-210" w:rightChars="-100" w:firstLine="480" w:firstLineChars="200"/>
        <w:rPr>
          <w:color w:val="000000"/>
          <w:sz w:val="24"/>
        </w:rPr>
      </w:pPr>
    </w:p>
    <w:p>
      <w:pPr>
        <w:snapToGrid w:val="0"/>
        <w:jc w:val="left"/>
        <w:rPr>
          <w:rFonts w:eastAsia="楷体"/>
          <w:b/>
          <w:color w:val="000000"/>
          <w:sz w:val="36"/>
          <w:szCs w:val="36"/>
        </w:rPr>
      </w:pPr>
    </w:p>
    <w:p>
      <w:pPr>
        <w:spacing w:line="360" w:lineRule="auto"/>
        <w:ind w:firstLine="200" w:firstLineChars="200"/>
        <w:jc w:val="left"/>
        <w:rPr>
          <w:color w:val="000000"/>
          <w:sz w:val="10"/>
          <w:u w:val="single"/>
        </w:rPr>
      </w:pPr>
    </w:p>
    <w:p>
      <w:pPr>
        <w:widowControl/>
        <w:jc w:val="left"/>
        <w:rPr>
          <w:b/>
          <w:color w:val="000000"/>
          <w:sz w:val="24"/>
          <w:szCs w:val="24"/>
        </w:rPr>
      </w:pPr>
      <w:bookmarkStart w:id="295" w:name="_Toc319913731"/>
      <w:bookmarkStart w:id="296" w:name="_Toc4731"/>
      <w:r>
        <w:rPr>
          <w:b/>
          <w:color w:val="000000"/>
          <w:sz w:val="24"/>
          <w:szCs w:val="24"/>
        </w:rPr>
        <w:br w:type="page"/>
      </w:r>
    </w:p>
    <w:p>
      <w:pPr>
        <w:spacing w:before="312" w:beforeLines="100" w:after="312" w:afterLines="100" w:line="360" w:lineRule="auto"/>
        <w:outlineLvl w:val="0"/>
        <w:rPr>
          <w:b/>
          <w:color w:val="000000"/>
          <w:sz w:val="24"/>
          <w:szCs w:val="24"/>
        </w:rPr>
      </w:pPr>
      <w:bookmarkStart w:id="297" w:name="_Toc1081631067"/>
      <w:bookmarkStart w:id="298" w:name="_Toc1857783194"/>
      <w:bookmarkStart w:id="299" w:name="_Toc2071"/>
      <w:r>
        <w:rPr>
          <w:b/>
          <w:color w:val="000000"/>
          <w:sz w:val="24"/>
          <w:szCs w:val="24"/>
        </w:rPr>
        <w:t>附件一、法定代表人身份证明书</w:t>
      </w:r>
      <w:bookmarkEnd w:id="297"/>
      <w:bookmarkEnd w:id="298"/>
      <w:bookmarkEnd w:id="299"/>
    </w:p>
    <w:p>
      <w:pPr>
        <w:snapToGrid w:val="0"/>
        <w:jc w:val="left"/>
        <w:rPr>
          <w:b/>
          <w:color w:val="000000"/>
          <w:sz w:val="24"/>
          <w:szCs w:val="24"/>
        </w:rPr>
      </w:pPr>
    </w:p>
    <w:p>
      <w:pPr>
        <w:snapToGrid w:val="0"/>
        <w:jc w:val="center"/>
        <w:rPr>
          <w:rFonts w:eastAsia="楷体"/>
          <w:b/>
          <w:color w:val="000000"/>
          <w:sz w:val="36"/>
          <w:szCs w:val="36"/>
        </w:rPr>
      </w:pPr>
      <w:r>
        <w:rPr>
          <w:rFonts w:eastAsia="楷体"/>
          <w:b/>
          <w:color w:val="000000"/>
          <w:sz w:val="36"/>
          <w:szCs w:val="36"/>
        </w:rPr>
        <w:t>法定代表人身份证明书</w:t>
      </w:r>
    </w:p>
    <w:p>
      <w:pPr>
        <w:snapToGrid w:val="0"/>
        <w:jc w:val="center"/>
        <w:rPr>
          <w:rFonts w:eastAsia="楷体"/>
          <w:b/>
          <w:color w:val="000000"/>
          <w:sz w:val="36"/>
          <w:szCs w:val="36"/>
        </w:rPr>
      </w:pPr>
    </w:p>
    <w:p>
      <w:pPr>
        <w:jc w:val="left"/>
        <w:rPr>
          <w:rFonts w:eastAsia="楷体"/>
          <w:color w:val="000000"/>
          <w:sz w:val="36"/>
          <w:szCs w:val="36"/>
        </w:rPr>
      </w:pPr>
    </w:p>
    <w:p>
      <w:pPr>
        <w:jc w:val="left"/>
        <w:rPr>
          <w:rFonts w:eastAsia="楷体"/>
          <w:color w:val="000000"/>
          <w:sz w:val="28"/>
          <w:szCs w:val="28"/>
        </w:rPr>
      </w:pPr>
      <w:r>
        <w:rPr>
          <w:rFonts w:eastAsia="楷体"/>
          <w:color w:val="000000"/>
          <w:sz w:val="28"/>
          <w:szCs w:val="28"/>
        </w:rPr>
        <w:t>同志，在我单位担任职务，特此证明。</w:t>
      </w: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r>
        <w:rPr>
          <w:rFonts w:eastAsia="楷体"/>
          <w:color w:val="000000"/>
          <w:sz w:val="28"/>
          <w:szCs w:val="28"/>
        </w:rPr>
        <w:t>法定代表人身份证复印件粘贴如下：</w:t>
      </w: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p>
    <w:p>
      <w:pPr>
        <w:jc w:val="left"/>
        <w:rPr>
          <w:rFonts w:eastAsia="楷体"/>
          <w:color w:val="000000"/>
          <w:sz w:val="28"/>
          <w:szCs w:val="28"/>
        </w:rPr>
      </w:pPr>
    </w:p>
    <w:p>
      <w:pPr>
        <w:spacing w:line="360" w:lineRule="exact"/>
        <w:rPr>
          <w:rFonts w:eastAsia="楷体"/>
          <w:color w:val="000000"/>
          <w:sz w:val="28"/>
          <w:szCs w:val="28"/>
        </w:rPr>
      </w:pPr>
      <w:r>
        <w:rPr>
          <w:rFonts w:eastAsia="楷体"/>
          <w:color w:val="000000"/>
          <w:sz w:val="28"/>
          <w:szCs w:val="28"/>
        </w:rPr>
        <w:t xml:space="preserve">投标单位（盖章）：                       </w:t>
      </w:r>
    </w:p>
    <w:p>
      <w:pPr>
        <w:spacing w:line="360" w:lineRule="exact"/>
        <w:rPr>
          <w:rFonts w:eastAsia="楷体"/>
          <w:color w:val="000000"/>
          <w:sz w:val="28"/>
          <w:szCs w:val="28"/>
        </w:rPr>
      </w:pPr>
    </w:p>
    <w:p>
      <w:pPr>
        <w:spacing w:line="360" w:lineRule="exact"/>
        <w:rPr>
          <w:rFonts w:eastAsia="楷体"/>
          <w:color w:val="000000"/>
          <w:sz w:val="28"/>
          <w:szCs w:val="28"/>
        </w:rPr>
      </w:pPr>
      <w:r>
        <w:rPr>
          <w:rFonts w:eastAsia="楷体"/>
          <w:color w:val="000000"/>
          <w:sz w:val="28"/>
          <w:szCs w:val="28"/>
        </w:rPr>
        <w:t xml:space="preserve">法定代表人（签字）：                          </w:t>
      </w:r>
    </w:p>
    <w:p>
      <w:pPr>
        <w:spacing w:line="360" w:lineRule="exact"/>
        <w:rPr>
          <w:rFonts w:eastAsia="楷体"/>
          <w:color w:val="000000"/>
          <w:sz w:val="28"/>
          <w:szCs w:val="28"/>
        </w:rPr>
      </w:pPr>
    </w:p>
    <w:p>
      <w:pPr>
        <w:spacing w:line="360" w:lineRule="exact"/>
        <w:rPr>
          <w:rFonts w:eastAsia="楷体"/>
          <w:color w:val="000000"/>
          <w:sz w:val="28"/>
          <w:szCs w:val="28"/>
        </w:rPr>
      </w:pPr>
      <w:r>
        <w:rPr>
          <w:rFonts w:eastAsia="楷体"/>
          <w:color w:val="000000"/>
          <w:sz w:val="28"/>
          <w:szCs w:val="28"/>
        </w:rPr>
        <w:t>日期：   年  月  日</w:t>
      </w:r>
    </w:p>
    <w:p>
      <w:pPr>
        <w:jc w:val="left"/>
        <w:rPr>
          <w:rFonts w:eastAsia="楷体"/>
          <w:b/>
          <w:color w:val="000000"/>
          <w:sz w:val="28"/>
          <w:szCs w:val="28"/>
        </w:rPr>
      </w:pPr>
    </w:p>
    <w:p>
      <w:pPr>
        <w:spacing w:before="312" w:beforeLines="100" w:after="312" w:afterLines="100" w:line="360" w:lineRule="auto"/>
        <w:rPr>
          <w:rFonts w:eastAsia="楷体"/>
          <w:b/>
          <w:color w:val="000000"/>
          <w:szCs w:val="21"/>
        </w:rPr>
      </w:pPr>
    </w:p>
    <w:p>
      <w:pPr>
        <w:spacing w:before="312" w:beforeLines="100" w:after="312" w:afterLines="100" w:line="360" w:lineRule="auto"/>
        <w:outlineLvl w:val="0"/>
        <w:rPr>
          <w:b/>
          <w:color w:val="000000"/>
          <w:sz w:val="24"/>
          <w:szCs w:val="24"/>
        </w:rPr>
      </w:pPr>
      <w:bookmarkStart w:id="300" w:name="_Toc9272"/>
      <w:bookmarkStart w:id="301" w:name="_Toc1428939187"/>
      <w:bookmarkStart w:id="302" w:name="_Toc1542635602"/>
      <w:r>
        <w:rPr>
          <w:b/>
          <w:color w:val="000000"/>
          <w:sz w:val="24"/>
          <w:szCs w:val="24"/>
        </w:rPr>
        <w:t>附件二、法定代表人授权委托书</w:t>
      </w:r>
      <w:bookmarkEnd w:id="300"/>
      <w:bookmarkEnd w:id="301"/>
      <w:bookmarkEnd w:id="302"/>
    </w:p>
    <w:p>
      <w:pPr>
        <w:snapToGrid w:val="0"/>
        <w:jc w:val="center"/>
        <w:rPr>
          <w:rFonts w:eastAsia="楷体"/>
          <w:b/>
          <w:color w:val="000000"/>
          <w:sz w:val="36"/>
          <w:szCs w:val="36"/>
        </w:rPr>
      </w:pPr>
      <w:r>
        <w:rPr>
          <w:rFonts w:eastAsia="楷体"/>
          <w:b/>
          <w:color w:val="000000"/>
          <w:sz w:val="36"/>
          <w:szCs w:val="36"/>
        </w:rPr>
        <w:t>法定代表人授权委托书</w:t>
      </w:r>
    </w:p>
    <w:p>
      <w:pPr>
        <w:pStyle w:val="247"/>
        <w:ind w:firstLine="643"/>
        <w:jc w:val="center"/>
        <w:rPr>
          <w:rFonts w:eastAsia="楷体"/>
          <w:b/>
          <w:color w:val="000000"/>
          <w:sz w:val="32"/>
        </w:rPr>
      </w:pPr>
    </w:p>
    <w:p>
      <w:pPr>
        <w:pStyle w:val="247"/>
        <w:adjustRightInd w:val="0"/>
        <w:snapToGrid w:val="0"/>
        <w:ind w:firstLine="0" w:firstLineChars="0"/>
        <w:rPr>
          <w:rFonts w:eastAsia="楷体"/>
          <w:color w:val="000000"/>
          <w:sz w:val="28"/>
          <w:szCs w:val="28"/>
        </w:rPr>
      </w:pPr>
      <w:r>
        <w:rPr>
          <w:rFonts w:eastAsia="楷体"/>
          <w:color w:val="000000"/>
          <w:sz w:val="28"/>
          <w:szCs w:val="28"/>
          <w:u w:val="single"/>
        </w:rPr>
        <w:t>中通客车股份有限公司</w:t>
      </w:r>
      <w:r>
        <w:rPr>
          <w:rFonts w:eastAsia="楷体"/>
          <w:color w:val="000000"/>
          <w:sz w:val="28"/>
          <w:szCs w:val="28"/>
        </w:rPr>
        <w:t>：</w:t>
      </w:r>
    </w:p>
    <w:p>
      <w:pPr>
        <w:pStyle w:val="247"/>
        <w:adjustRightInd w:val="0"/>
        <w:snapToGrid w:val="0"/>
        <w:ind w:firstLine="0" w:firstLineChars="0"/>
        <w:rPr>
          <w:rFonts w:eastAsia="楷体"/>
          <w:b/>
          <w:color w:val="000000"/>
          <w:sz w:val="28"/>
          <w:szCs w:val="28"/>
        </w:rPr>
      </w:pPr>
    </w:p>
    <w:p>
      <w:pPr>
        <w:adjustRightInd w:val="0"/>
        <w:snapToGrid w:val="0"/>
        <w:spacing w:line="360" w:lineRule="auto"/>
        <w:ind w:firstLine="733" w:firstLineChars="262"/>
        <w:rPr>
          <w:rFonts w:eastAsia="楷体"/>
          <w:color w:val="000000"/>
          <w:sz w:val="28"/>
          <w:szCs w:val="28"/>
          <w:u w:val="single"/>
        </w:rPr>
      </w:pPr>
      <w:r>
        <w:rPr>
          <w:rFonts w:eastAsia="楷体"/>
          <w:color w:val="000000"/>
          <w:sz w:val="28"/>
          <w:szCs w:val="28"/>
        </w:rPr>
        <w:t>（投标单位全称）法人代表授权（全权代表姓名）为全权代表，参加贵处组织的</w:t>
      </w:r>
      <w:r>
        <w:rPr>
          <w:rFonts w:hint="eastAsia" w:eastAsia="楷体"/>
          <w:color w:val="000000"/>
          <w:sz w:val="28"/>
          <w:szCs w:val="28"/>
          <w:u w:val="single"/>
        </w:rPr>
        <w:t>焊枪仿型引导工具免示教技术</w:t>
      </w:r>
      <w:r>
        <w:rPr>
          <w:rFonts w:eastAsia="楷体"/>
          <w:color w:val="000000"/>
          <w:sz w:val="28"/>
          <w:szCs w:val="28"/>
        </w:rPr>
        <w:t>项目招标活动，全权处理招标活动中的一切事宜，对其在交流、报价、评价中所签署的一切文件和处理与之相关的一切事务，我单位予以承认。</w:t>
      </w:r>
    </w:p>
    <w:p>
      <w:pPr>
        <w:pStyle w:val="247"/>
        <w:adjustRightInd w:val="0"/>
        <w:snapToGrid w:val="0"/>
        <w:ind w:firstLine="560"/>
        <w:rPr>
          <w:rFonts w:eastAsia="楷体"/>
          <w:color w:val="000000"/>
          <w:sz w:val="28"/>
          <w:szCs w:val="28"/>
        </w:rPr>
      </w:pPr>
      <w:r>
        <w:rPr>
          <w:rFonts w:eastAsia="楷体"/>
          <w:color w:val="000000"/>
          <w:sz w:val="28"/>
          <w:szCs w:val="28"/>
        </w:rPr>
        <w:t>　　</w:t>
      </w:r>
    </w:p>
    <w:p>
      <w:pPr>
        <w:pStyle w:val="247"/>
        <w:adjustRightInd w:val="0"/>
        <w:snapToGrid w:val="0"/>
        <w:ind w:firstLine="560"/>
        <w:rPr>
          <w:rFonts w:eastAsia="楷体"/>
          <w:color w:val="000000"/>
          <w:sz w:val="28"/>
          <w:szCs w:val="28"/>
        </w:rPr>
      </w:pPr>
      <w:r>
        <w:rPr>
          <w:rFonts w:eastAsia="楷体"/>
          <w:color w:val="000000"/>
          <w:sz w:val="28"/>
          <w:szCs w:val="28"/>
        </w:rPr>
        <w:t>本授权书于_____年_____月_____日盖章生效，特此声明。</w:t>
      </w:r>
    </w:p>
    <w:p>
      <w:pPr>
        <w:pStyle w:val="247"/>
        <w:adjustRightInd w:val="0"/>
        <w:snapToGrid w:val="0"/>
        <w:ind w:firstLine="560"/>
        <w:rPr>
          <w:rFonts w:eastAsia="楷体"/>
          <w:color w:val="000000"/>
          <w:sz w:val="28"/>
          <w:szCs w:val="28"/>
        </w:rPr>
      </w:pPr>
    </w:p>
    <w:p>
      <w:pPr>
        <w:pStyle w:val="247"/>
        <w:adjustRightInd w:val="0"/>
        <w:snapToGrid w:val="0"/>
        <w:ind w:firstLine="560"/>
        <w:rPr>
          <w:rFonts w:eastAsia="楷体"/>
          <w:color w:val="000000"/>
          <w:sz w:val="28"/>
          <w:szCs w:val="28"/>
        </w:rPr>
      </w:pPr>
      <w:r>
        <w:rPr>
          <w:rFonts w:eastAsia="楷体"/>
          <w:color w:val="000000"/>
          <w:sz w:val="28"/>
          <w:szCs w:val="28"/>
        </w:rPr>
        <w:t>投标单位全称（公章）：</w:t>
      </w:r>
    </w:p>
    <w:p>
      <w:pPr>
        <w:pStyle w:val="247"/>
        <w:adjustRightInd w:val="0"/>
        <w:snapToGrid w:val="0"/>
        <w:ind w:firstLine="560"/>
        <w:rPr>
          <w:rFonts w:eastAsia="楷体"/>
          <w:color w:val="000000"/>
          <w:sz w:val="28"/>
          <w:szCs w:val="28"/>
        </w:rPr>
      </w:pPr>
    </w:p>
    <w:p>
      <w:pPr>
        <w:pStyle w:val="247"/>
        <w:adjustRightInd w:val="0"/>
        <w:snapToGrid w:val="0"/>
        <w:ind w:firstLine="560"/>
        <w:rPr>
          <w:rFonts w:eastAsia="楷体"/>
          <w:color w:val="000000"/>
          <w:sz w:val="28"/>
          <w:szCs w:val="28"/>
        </w:rPr>
      </w:pPr>
      <w:r>
        <w:rPr>
          <w:rFonts w:eastAsia="楷体"/>
          <w:color w:val="000000"/>
          <w:sz w:val="28"/>
          <w:szCs w:val="28"/>
        </w:rPr>
        <w:t>法定代表人签字或盖章：</w:t>
      </w:r>
    </w:p>
    <w:p>
      <w:pPr>
        <w:pStyle w:val="247"/>
        <w:adjustRightInd w:val="0"/>
        <w:snapToGrid w:val="0"/>
        <w:ind w:firstLine="560"/>
        <w:rPr>
          <w:rFonts w:eastAsia="楷体"/>
          <w:color w:val="000000"/>
          <w:sz w:val="28"/>
          <w:szCs w:val="28"/>
        </w:rPr>
      </w:pPr>
    </w:p>
    <w:p>
      <w:pPr>
        <w:pStyle w:val="247"/>
        <w:adjustRightInd w:val="0"/>
        <w:snapToGrid w:val="0"/>
        <w:ind w:firstLine="560"/>
        <w:rPr>
          <w:rFonts w:eastAsia="楷体"/>
          <w:color w:val="000000"/>
          <w:sz w:val="28"/>
          <w:szCs w:val="28"/>
        </w:rPr>
      </w:pPr>
      <w:r>
        <w:rPr>
          <w:rFonts w:eastAsia="楷体"/>
          <w:color w:val="000000"/>
          <w:sz w:val="28"/>
          <w:szCs w:val="28"/>
        </w:rPr>
        <w:t>授权代表人签字或盖章：</w:t>
      </w:r>
    </w:p>
    <w:p>
      <w:pPr>
        <w:ind w:firstLine="560" w:firstLineChars="200"/>
        <w:jc w:val="left"/>
        <w:rPr>
          <w:rFonts w:eastAsia="楷体"/>
          <w:color w:val="000000"/>
          <w:sz w:val="28"/>
          <w:szCs w:val="28"/>
        </w:rPr>
      </w:pPr>
    </w:p>
    <w:p>
      <w:pPr>
        <w:ind w:firstLine="560" w:firstLineChars="200"/>
        <w:jc w:val="left"/>
        <w:rPr>
          <w:rFonts w:eastAsia="楷体"/>
          <w:color w:val="000000"/>
          <w:sz w:val="28"/>
          <w:szCs w:val="28"/>
        </w:rPr>
      </w:pPr>
      <w:r>
        <w:rPr>
          <w:rFonts w:eastAsia="楷体"/>
          <w:color w:val="000000"/>
          <w:sz w:val="28"/>
          <w:szCs w:val="28"/>
        </w:rPr>
        <w:t>授权代理人身份证复印件粘贴如下（并提供身份证原件）：</w:t>
      </w:r>
    </w:p>
    <w:p>
      <w:pPr>
        <w:ind w:firstLine="480" w:firstLineChars="200"/>
        <w:jc w:val="left"/>
        <w:rPr>
          <w:rFonts w:eastAsia="楷体"/>
          <w:color w:val="000000"/>
          <w:sz w:val="24"/>
        </w:rPr>
      </w:pPr>
    </w:p>
    <w:p>
      <w:pPr>
        <w:ind w:firstLine="480" w:firstLineChars="200"/>
        <w:jc w:val="left"/>
        <w:rPr>
          <w:rFonts w:eastAsia="楷体"/>
          <w:color w:val="000000"/>
          <w:sz w:val="24"/>
        </w:rPr>
      </w:pPr>
    </w:p>
    <w:p>
      <w:pPr>
        <w:ind w:firstLine="480" w:firstLineChars="200"/>
        <w:jc w:val="left"/>
        <w:rPr>
          <w:rFonts w:eastAsia="楷体"/>
          <w:color w:val="000000"/>
          <w:sz w:val="24"/>
        </w:rPr>
      </w:pPr>
    </w:p>
    <w:p>
      <w:pPr>
        <w:ind w:firstLine="480" w:firstLineChars="200"/>
        <w:jc w:val="left"/>
        <w:rPr>
          <w:rFonts w:eastAsia="楷体"/>
          <w:color w:val="000000"/>
          <w:sz w:val="24"/>
        </w:rPr>
      </w:pPr>
    </w:p>
    <w:p>
      <w:pPr>
        <w:ind w:firstLine="480" w:firstLineChars="200"/>
        <w:jc w:val="left"/>
        <w:rPr>
          <w:rFonts w:eastAsia="楷体"/>
          <w:color w:val="000000"/>
          <w:sz w:val="24"/>
        </w:rPr>
      </w:pPr>
    </w:p>
    <w:p>
      <w:pPr>
        <w:ind w:firstLine="480" w:firstLineChars="200"/>
        <w:jc w:val="left"/>
        <w:rPr>
          <w:rFonts w:eastAsia="楷体"/>
          <w:color w:val="000000"/>
          <w:sz w:val="24"/>
        </w:rPr>
      </w:pPr>
    </w:p>
    <w:p>
      <w:pPr>
        <w:ind w:firstLine="480" w:firstLineChars="200"/>
        <w:jc w:val="left"/>
        <w:rPr>
          <w:rFonts w:eastAsia="楷体"/>
          <w:color w:val="000000"/>
          <w:sz w:val="24"/>
        </w:rPr>
      </w:pPr>
    </w:p>
    <w:p>
      <w:pPr>
        <w:ind w:firstLine="480" w:firstLineChars="200"/>
        <w:jc w:val="left"/>
        <w:rPr>
          <w:rFonts w:eastAsia="楷体"/>
          <w:color w:val="000000"/>
          <w:sz w:val="24"/>
        </w:rPr>
      </w:pPr>
    </w:p>
    <w:p>
      <w:pPr>
        <w:widowControl/>
        <w:jc w:val="left"/>
        <w:rPr>
          <w:b/>
          <w:color w:val="000000"/>
          <w:sz w:val="24"/>
          <w:szCs w:val="24"/>
        </w:rPr>
      </w:pPr>
      <w:bookmarkStart w:id="303" w:name="_Toc518655806"/>
      <w:bookmarkStart w:id="304" w:name="_Toc353881014"/>
      <w:bookmarkStart w:id="305" w:name="_Toc2129192658"/>
      <w:bookmarkStart w:id="306" w:name="_Toc14032"/>
      <w:bookmarkStart w:id="307" w:name="_Toc424118183"/>
      <w:bookmarkStart w:id="308" w:name="_Toc967755062"/>
      <w:bookmarkStart w:id="309" w:name="_Toc31144"/>
      <w:bookmarkStart w:id="310" w:name="_Toc32246"/>
      <w:bookmarkStart w:id="311" w:name="_Toc75969930"/>
      <w:r>
        <w:rPr>
          <w:b/>
          <w:color w:val="000000"/>
          <w:sz w:val="24"/>
          <w:szCs w:val="24"/>
        </w:rPr>
        <w:br w:type="page"/>
      </w:r>
    </w:p>
    <w:p>
      <w:pPr>
        <w:spacing w:before="312" w:beforeLines="100" w:after="312" w:afterLines="100" w:line="360" w:lineRule="auto"/>
        <w:outlineLvl w:val="0"/>
        <w:rPr>
          <w:b/>
          <w:color w:val="000000"/>
          <w:sz w:val="24"/>
          <w:szCs w:val="24"/>
        </w:rPr>
      </w:pPr>
      <w:r>
        <w:rPr>
          <w:b/>
          <w:color w:val="000000"/>
          <w:sz w:val="24"/>
          <w:szCs w:val="24"/>
        </w:rPr>
        <w:t>附件三、投标人基本情况表</w:t>
      </w:r>
      <w:bookmarkEnd w:id="303"/>
      <w:bookmarkEnd w:id="304"/>
      <w:bookmarkEnd w:id="305"/>
      <w:bookmarkEnd w:id="306"/>
      <w:bookmarkEnd w:id="307"/>
      <w:bookmarkEnd w:id="308"/>
      <w:bookmarkEnd w:id="309"/>
      <w:bookmarkEnd w:id="310"/>
      <w:bookmarkEnd w:id="311"/>
    </w:p>
    <w:p>
      <w:pPr>
        <w:pStyle w:val="2"/>
        <w:spacing w:line="460" w:lineRule="exact"/>
        <w:jc w:val="center"/>
      </w:pPr>
      <w:r>
        <w:rPr>
          <w:b/>
          <w:bCs/>
          <w:sz w:val="32"/>
          <w:szCs w:val="32"/>
        </w:rPr>
        <w:t>投标人基本情况表</w:t>
      </w:r>
    </w:p>
    <w:p>
      <w:pPr>
        <w:rPr>
          <w:sz w:val="24"/>
        </w:rPr>
      </w:pPr>
    </w:p>
    <w:p>
      <w:pPr>
        <w:spacing w:line="60" w:lineRule="exact"/>
        <w:rPr>
          <w:sz w:val="24"/>
        </w:rPr>
      </w:pPr>
    </w:p>
    <w:tbl>
      <w:tblPr>
        <w:tblStyle w:val="50"/>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单位</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名称</w:t>
            </w:r>
          </w:p>
        </w:tc>
        <w:tc>
          <w:tcPr>
            <w:tcW w:w="144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p>
        </w:tc>
        <w:tc>
          <w:tcPr>
            <w:tcW w:w="54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代  号</w:t>
            </w:r>
          </w:p>
        </w:tc>
        <w:tc>
          <w:tcPr>
            <w:tcW w:w="72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p>
        </w:tc>
        <w:tc>
          <w:tcPr>
            <w:tcW w:w="629"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电话</w:t>
            </w:r>
          </w:p>
        </w:tc>
        <w:tc>
          <w:tcPr>
            <w:tcW w:w="712" w:type="dxa"/>
            <w:vAlign w:val="center"/>
          </w:tcPr>
          <w:p>
            <w:pPr>
              <w:keepNext w:val="0"/>
              <w:keepLines w:val="0"/>
              <w:suppressLineNumbers w:val="0"/>
              <w:spacing w:before="0" w:beforeAutospacing="0" w:after="0" w:afterAutospacing="0"/>
              <w:ind w:left="0" w:right="0"/>
              <w:jc w:val="center"/>
              <w:rPr>
                <w:rFonts w:hint="default"/>
                <w:sz w:val="18"/>
                <w:szCs w:val="18"/>
              </w:rPr>
            </w:pPr>
          </w:p>
        </w:tc>
        <w:tc>
          <w:tcPr>
            <w:tcW w:w="639"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主管</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部门</w:t>
            </w:r>
          </w:p>
        </w:tc>
        <w:tc>
          <w:tcPr>
            <w:tcW w:w="90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p>
        </w:tc>
        <w:tc>
          <w:tcPr>
            <w:tcW w:w="1296" w:type="dxa"/>
            <w:gridSpan w:val="4"/>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企业负责人</w:t>
            </w:r>
          </w:p>
        </w:tc>
        <w:tc>
          <w:tcPr>
            <w:tcW w:w="603" w:type="dxa"/>
            <w:vAlign w:val="center"/>
          </w:tcPr>
          <w:p>
            <w:pPr>
              <w:keepNext w:val="0"/>
              <w:keepLines w:val="0"/>
              <w:suppressLineNumbers w:val="0"/>
              <w:spacing w:before="0" w:beforeAutospacing="0" w:after="0" w:afterAutospacing="0"/>
              <w:ind w:left="0" w:right="0"/>
              <w:jc w:val="center"/>
              <w:rPr>
                <w:rFonts w:hint="default"/>
                <w:sz w:val="18"/>
                <w:szCs w:val="18"/>
              </w:rPr>
            </w:pPr>
          </w:p>
        </w:tc>
        <w:tc>
          <w:tcPr>
            <w:tcW w:w="716"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职务</w:t>
            </w:r>
          </w:p>
        </w:tc>
        <w:tc>
          <w:tcPr>
            <w:tcW w:w="607" w:type="dxa"/>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地 址</w:t>
            </w:r>
          </w:p>
        </w:tc>
        <w:tc>
          <w:tcPr>
            <w:tcW w:w="144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p>
        </w:tc>
        <w:tc>
          <w:tcPr>
            <w:tcW w:w="54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邮箱</w:t>
            </w:r>
          </w:p>
        </w:tc>
        <w:tc>
          <w:tcPr>
            <w:tcW w:w="72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p>
        </w:tc>
        <w:tc>
          <w:tcPr>
            <w:tcW w:w="629"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传真</w:t>
            </w:r>
          </w:p>
        </w:tc>
        <w:tc>
          <w:tcPr>
            <w:tcW w:w="712" w:type="dxa"/>
            <w:vAlign w:val="center"/>
          </w:tcPr>
          <w:p>
            <w:pPr>
              <w:keepNext w:val="0"/>
              <w:keepLines w:val="0"/>
              <w:suppressLineNumbers w:val="0"/>
              <w:spacing w:before="0" w:beforeAutospacing="0" w:after="0" w:afterAutospacing="0"/>
              <w:ind w:left="0" w:right="0"/>
              <w:jc w:val="center"/>
              <w:rPr>
                <w:rFonts w:hint="default"/>
                <w:sz w:val="18"/>
                <w:szCs w:val="18"/>
              </w:rPr>
            </w:pPr>
          </w:p>
        </w:tc>
        <w:tc>
          <w:tcPr>
            <w:tcW w:w="639"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经济</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类型</w:t>
            </w:r>
          </w:p>
        </w:tc>
        <w:tc>
          <w:tcPr>
            <w:tcW w:w="90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p>
        </w:tc>
        <w:tc>
          <w:tcPr>
            <w:tcW w:w="1296" w:type="dxa"/>
            <w:gridSpan w:val="4"/>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授权代表</w:t>
            </w:r>
          </w:p>
        </w:tc>
        <w:tc>
          <w:tcPr>
            <w:tcW w:w="603" w:type="dxa"/>
            <w:vAlign w:val="center"/>
          </w:tcPr>
          <w:p>
            <w:pPr>
              <w:keepNext w:val="0"/>
              <w:keepLines w:val="0"/>
              <w:suppressLineNumbers w:val="0"/>
              <w:spacing w:before="0" w:beforeAutospacing="0" w:after="0" w:afterAutospacing="0"/>
              <w:ind w:left="0" w:right="0"/>
              <w:jc w:val="center"/>
              <w:rPr>
                <w:rFonts w:hint="default"/>
                <w:sz w:val="18"/>
                <w:szCs w:val="18"/>
              </w:rPr>
            </w:pPr>
          </w:p>
        </w:tc>
        <w:tc>
          <w:tcPr>
            <w:tcW w:w="716"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职务</w:t>
            </w:r>
          </w:p>
        </w:tc>
        <w:tc>
          <w:tcPr>
            <w:tcW w:w="607" w:type="dxa"/>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一、单</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位简历</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及机构</w:t>
            </w:r>
          </w:p>
        </w:tc>
        <w:tc>
          <w:tcPr>
            <w:tcW w:w="4041" w:type="dxa"/>
            <w:gridSpan w:val="13"/>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p>
          <w:p>
            <w:pPr>
              <w:keepNext w:val="0"/>
              <w:keepLines w:val="0"/>
              <w:suppressLineNumbers w:val="0"/>
              <w:spacing w:before="0" w:beforeAutospacing="0" w:after="0" w:afterAutospacing="0"/>
              <w:ind w:left="0" w:right="0"/>
              <w:jc w:val="center"/>
              <w:rPr>
                <w:rFonts w:hint="default"/>
                <w:sz w:val="18"/>
                <w:szCs w:val="18"/>
              </w:rPr>
            </w:pPr>
          </w:p>
          <w:p>
            <w:pPr>
              <w:pStyle w:val="21"/>
              <w:keepNext w:val="0"/>
              <w:keepLines w:val="0"/>
              <w:suppressLineNumbers w:val="0"/>
              <w:spacing w:before="0" w:beforeAutospacing="0" w:after="0" w:afterAutospacing="0"/>
              <w:ind w:left="0" w:right="0"/>
              <w:jc w:val="center"/>
              <w:rPr>
                <w:rFonts w:hint="default" w:ascii="Times New Roman" w:hAnsi="Times New Roman"/>
                <w:sz w:val="18"/>
                <w:szCs w:val="18"/>
              </w:rPr>
            </w:pPr>
          </w:p>
        </w:tc>
        <w:tc>
          <w:tcPr>
            <w:tcW w:w="639"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单位优</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势及特</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长</w:t>
            </w:r>
          </w:p>
        </w:tc>
        <w:tc>
          <w:tcPr>
            <w:tcW w:w="4122" w:type="dxa"/>
            <w:gridSpan w:val="11"/>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p>
          <w:p>
            <w:pPr>
              <w:keepNext w:val="0"/>
              <w:keepLines w:val="0"/>
              <w:suppressLineNumbers w:val="0"/>
              <w:spacing w:before="0" w:beforeAutospacing="0" w:after="0" w:afterAutospacing="0"/>
              <w:ind w:left="0" w:right="0"/>
              <w:jc w:val="center"/>
              <w:rPr>
                <w:rFonts w:hint="default"/>
                <w:sz w:val="18"/>
                <w:szCs w:val="18"/>
              </w:rPr>
            </w:pPr>
          </w:p>
          <w:p>
            <w:pPr>
              <w:keepNext w:val="0"/>
              <w:keepLines w:val="0"/>
              <w:suppressLineNumbers w:val="0"/>
              <w:spacing w:before="0" w:beforeAutospacing="0" w:after="0" w:afterAutospacing="0"/>
              <w:ind w:left="0" w:right="0"/>
              <w:jc w:val="center"/>
              <w:rPr>
                <w:rFonts w:hint="default"/>
                <w:sz w:val="18"/>
                <w:szCs w:val="18"/>
              </w:rPr>
            </w:pPr>
          </w:p>
          <w:p>
            <w:pPr>
              <w:keepNext w:val="0"/>
              <w:keepLines w:val="0"/>
              <w:suppressLineNumbers w:val="0"/>
              <w:spacing w:before="0" w:beforeAutospacing="0" w:after="0" w:afterAutospacing="0"/>
              <w:ind w:left="0" w:right="0"/>
              <w:jc w:val="center"/>
              <w:rPr>
                <w:rFonts w:hint="default"/>
                <w:sz w:val="18"/>
                <w:szCs w:val="18"/>
              </w:rPr>
            </w:pPr>
          </w:p>
          <w:p>
            <w:pPr>
              <w:keepNext w:val="0"/>
              <w:keepLines w:val="0"/>
              <w:suppressLineNumbers w:val="0"/>
              <w:spacing w:before="0" w:beforeAutospacing="0" w:after="0" w:afterAutospacing="0"/>
              <w:ind w:left="0" w:right="0"/>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keepNext w:val="0"/>
              <w:keepLines w:val="0"/>
              <w:suppressLineNumbers w:val="0"/>
              <w:spacing w:before="0" w:beforeAutospacing="0" w:after="0" w:afterAutospacing="0"/>
              <w:ind w:left="0" w:right="0"/>
              <w:jc w:val="center"/>
              <w:rPr>
                <w:rFonts w:hint="default"/>
                <w:sz w:val="18"/>
                <w:szCs w:val="18"/>
              </w:rPr>
            </w:pP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二、单</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位概况</w:t>
            </w:r>
          </w:p>
        </w:tc>
        <w:tc>
          <w:tcPr>
            <w:tcW w:w="500" w:type="dxa"/>
            <w:vMerge w:val="restart"/>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职工</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总数</w:t>
            </w:r>
          </w:p>
        </w:tc>
        <w:tc>
          <w:tcPr>
            <w:tcW w:w="1303" w:type="dxa"/>
            <w:gridSpan w:val="4"/>
            <w:vMerge w:val="restart"/>
            <w:tcBorders>
              <w:bottom w:val="single" w:color="auto" w:sz="4" w:space="0"/>
            </w:tcBorders>
          </w:tcPr>
          <w:p>
            <w:pPr>
              <w:keepNext w:val="0"/>
              <w:keepLines w:val="0"/>
              <w:suppressLineNumbers w:val="0"/>
              <w:spacing w:before="0" w:beforeAutospacing="0" w:after="0" w:afterAutospacing="0"/>
              <w:ind w:left="0" w:right="0"/>
              <w:rPr>
                <w:rFonts w:hint="default"/>
                <w:position w:val="-28"/>
                <w:sz w:val="18"/>
                <w:szCs w:val="18"/>
              </w:rPr>
            </w:pPr>
            <w:r>
              <w:rPr>
                <w:rFonts w:hint="default"/>
                <w:position w:val="-28"/>
                <w:sz w:val="18"/>
                <w:szCs w:val="18"/>
              </w:rPr>
              <w:t>人</w:t>
            </w:r>
          </w:p>
          <w:p>
            <w:pPr>
              <w:keepNext w:val="0"/>
              <w:keepLines w:val="0"/>
              <w:suppressLineNumbers w:val="0"/>
              <w:spacing w:before="0" w:beforeAutospacing="0" w:after="0" w:afterAutospacing="0"/>
              <w:ind w:left="0" w:right="0"/>
              <w:rPr>
                <w:rFonts w:hint="default"/>
                <w:sz w:val="18"/>
                <w:szCs w:val="18"/>
              </w:rPr>
            </w:pPr>
          </w:p>
        </w:tc>
        <w:tc>
          <w:tcPr>
            <w:tcW w:w="2238" w:type="dxa"/>
            <w:gridSpan w:val="8"/>
            <w:vMerge w:val="restart"/>
            <w:tcBorders>
              <w:bottom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生产工人      人</w:t>
            </w:r>
          </w:p>
          <w:p>
            <w:pPr>
              <w:keepNext w:val="0"/>
              <w:keepLines w:val="0"/>
              <w:suppressLineNumbers w:val="0"/>
              <w:spacing w:before="0" w:beforeAutospacing="0" w:after="0" w:afterAutospacing="0"/>
              <w:ind w:left="0" w:right="0"/>
              <w:rPr>
                <w:rFonts w:hint="default"/>
                <w:sz w:val="18"/>
                <w:szCs w:val="18"/>
              </w:rPr>
            </w:pPr>
            <w:r>
              <w:rPr>
                <w:rFonts w:hint="default"/>
                <w:sz w:val="18"/>
                <w:szCs w:val="18"/>
              </w:rPr>
              <w:t>工程技术人员    人</w:t>
            </w:r>
          </w:p>
        </w:tc>
        <w:tc>
          <w:tcPr>
            <w:tcW w:w="639" w:type="dxa"/>
            <w:gridSpan w:val="2"/>
            <w:vMerge w:val="restart"/>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上一年</w:t>
            </w:r>
          </w:p>
        </w:tc>
        <w:tc>
          <w:tcPr>
            <w:tcW w:w="99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指标名称</w:t>
            </w:r>
          </w:p>
        </w:tc>
        <w:tc>
          <w:tcPr>
            <w:tcW w:w="1028"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计算单位</w:t>
            </w:r>
          </w:p>
        </w:tc>
        <w:tc>
          <w:tcPr>
            <w:tcW w:w="2095"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hint="default"/>
                <w:sz w:val="18"/>
                <w:szCs w:val="18"/>
              </w:rPr>
            </w:pPr>
          </w:p>
        </w:tc>
        <w:tc>
          <w:tcPr>
            <w:tcW w:w="500"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p>
        </w:tc>
        <w:tc>
          <w:tcPr>
            <w:tcW w:w="1303" w:type="dxa"/>
            <w:gridSpan w:val="4"/>
            <w:vMerge w:val="continue"/>
            <w:tcBorders>
              <w:bottom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2238" w:type="dxa"/>
            <w:gridSpan w:val="8"/>
            <w:vMerge w:val="continue"/>
            <w:tcBorders>
              <w:bottom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639" w:type="dxa"/>
            <w:gridSpan w:val="2"/>
            <w:vMerge w:val="continue"/>
            <w:tcBorders>
              <w:bottom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99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工业总产值</w:t>
            </w:r>
          </w:p>
        </w:tc>
        <w:tc>
          <w:tcPr>
            <w:tcW w:w="1028"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万元</w:t>
            </w:r>
          </w:p>
        </w:tc>
        <w:tc>
          <w:tcPr>
            <w:tcW w:w="2095"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hint="default"/>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流动</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资金</w:t>
            </w:r>
          </w:p>
        </w:tc>
        <w:tc>
          <w:tcPr>
            <w:tcW w:w="1303" w:type="dxa"/>
            <w:gridSpan w:val="4"/>
            <w:vMerge w:val="restart"/>
            <w:tcBorders>
              <w:top w:val="single" w:color="auto" w:sz="4" w:space="0"/>
            </w:tcBorders>
          </w:tcPr>
          <w:p>
            <w:pPr>
              <w:keepNext w:val="0"/>
              <w:keepLines w:val="0"/>
              <w:suppressLineNumbers w:val="0"/>
              <w:spacing w:before="0" w:beforeAutospacing="0" w:after="0" w:afterAutospacing="0"/>
              <w:ind w:left="0" w:right="0"/>
              <w:rPr>
                <w:rFonts w:hint="default"/>
                <w:position w:val="-30"/>
                <w:sz w:val="18"/>
                <w:szCs w:val="18"/>
              </w:rPr>
            </w:pPr>
            <w:r>
              <w:rPr>
                <w:rFonts w:hint="default"/>
                <w:position w:val="-30"/>
                <w:sz w:val="18"/>
                <w:szCs w:val="18"/>
              </w:rPr>
              <w:t>万元</w:t>
            </w:r>
          </w:p>
        </w:tc>
        <w:tc>
          <w:tcPr>
            <w:tcW w:w="441" w:type="dxa"/>
            <w:gridSpan w:val="3"/>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资金</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来源</w:t>
            </w: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自有</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资金</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hint="default"/>
                <w:sz w:val="18"/>
                <w:szCs w:val="18"/>
              </w:rPr>
            </w:pPr>
            <w:r>
              <w:rPr>
                <w:rFonts w:hint="default"/>
                <w:sz w:val="18"/>
                <w:szCs w:val="18"/>
              </w:rPr>
              <w:t>万元</w:t>
            </w:r>
          </w:p>
        </w:tc>
        <w:tc>
          <w:tcPr>
            <w:tcW w:w="639" w:type="dxa"/>
            <w:gridSpan w:val="2"/>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主要经</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济指标</w:t>
            </w:r>
          </w:p>
        </w:tc>
        <w:tc>
          <w:tcPr>
            <w:tcW w:w="99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实现利润</w:t>
            </w:r>
          </w:p>
        </w:tc>
        <w:tc>
          <w:tcPr>
            <w:tcW w:w="1028"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万 元</w:t>
            </w:r>
          </w:p>
        </w:tc>
        <w:tc>
          <w:tcPr>
            <w:tcW w:w="2095" w:type="dxa"/>
            <w:gridSpan w:val="5"/>
            <w:tcBorders>
              <w:top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hint="default"/>
                <w:sz w:val="18"/>
                <w:szCs w:val="18"/>
              </w:rPr>
            </w:pPr>
          </w:p>
        </w:tc>
        <w:tc>
          <w:tcPr>
            <w:tcW w:w="500" w:type="dxa"/>
            <w:vMerge w:val="continue"/>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p>
        </w:tc>
        <w:tc>
          <w:tcPr>
            <w:tcW w:w="1303" w:type="dxa"/>
            <w:gridSpan w:val="4"/>
            <w:vMerge w:val="continue"/>
            <w:tcBorders>
              <w:top w:val="single" w:color="auto" w:sz="4" w:space="0"/>
              <w:bottom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441" w:type="dxa"/>
            <w:gridSpan w:val="3"/>
            <w:vMerge w:val="continue"/>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p>
        </w:tc>
        <w:tc>
          <w:tcPr>
            <w:tcW w:w="665" w:type="dxa"/>
            <w:gridSpan w:val="3"/>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银行</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贷款</w:t>
            </w:r>
          </w:p>
        </w:tc>
        <w:tc>
          <w:tcPr>
            <w:tcW w:w="1132"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right"/>
              <w:rPr>
                <w:rFonts w:hint="default"/>
                <w:sz w:val="18"/>
                <w:szCs w:val="18"/>
              </w:rPr>
            </w:pPr>
            <w:r>
              <w:rPr>
                <w:rFonts w:hint="default"/>
                <w:sz w:val="18"/>
                <w:szCs w:val="18"/>
              </w:rPr>
              <w:t>万元</w:t>
            </w:r>
          </w:p>
        </w:tc>
        <w:tc>
          <w:tcPr>
            <w:tcW w:w="639" w:type="dxa"/>
            <w:gridSpan w:val="2"/>
            <w:vMerge w:val="continue"/>
            <w:tcBorders>
              <w:top w:val="single" w:color="auto" w:sz="4" w:space="0"/>
              <w:bottom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613" w:type="dxa"/>
            <w:gridSpan w:val="2"/>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主 要</w:t>
            </w:r>
          </w:p>
          <w:p>
            <w:pPr>
              <w:keepNext w:val="0"/>
              <w:keepLines w:val="0"/>
              <w:suppressLineNumbers w:val="0"/>
              <w:spacing w:before="0" w:beforeAutospacing="0" w:after="0" w:afterAutospacing="0"/>
              <w:ind w:left="0" w:right="0"/>
              <w:jc w:val="center"/>
              <w:rPr>
                <w:rFonts w:hint="default"/>
                <w:sz w:val="18"/>
                <w:szCs w:val="18"/>
              </w:rPr>
            </w:pP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产 品</w:t>
            </w:r>
          </w:p>
        </w:tc>
        <w:tc>
          <w:tcPr>
            <w:tcW w:w="3509" w:type="dxa"/>
            <w:gridSpan w:val="9"/>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hint="default"/>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固定</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资产</w:t>
            </w:r>
          </w:p>
        </w:tc>
        <w:tc>
          <w:tcPr>
            <w:tcW w:w="1303" w:type="dxa"/>
            <w:gridSpan w:val="4"/>
            <w:vMerge w:val="restart"/>
            <w:tcBorders>
              <w:top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原值   万元</w:t>
            </w:r>
          </w:p>
          <w:p>
            <w:pPr>
              <w:keepNext w:val="0"/>
              <w:keepLines w:val="0"/>
              <w:suppressLineNumbers w:val="0"/>
              <w:spacing w:before="0" w:beforeAutospacing="0" w:after="0" w:afterAutospacing="0"/>
              <w:ind w:left="0" w:right="0"/>
              <w:rPr>
                <w:rFonts w:hint="default"/>
                <w:sz w:val="18"/>
                <w:szCs w:val="18"/>
              </w:rPr>
            </w:pPr>
            <w:r>
              <w:rPr>
                <w:rFonts w:hint="default"/>
                <w:sz w:val="18"/>
                <w:szCs w:val="18"/>
              </w:rPr>
              <w:t>净值   万元</w:t>
            </w:r>
          </w:p>
        </w:tc>
        <w:tc>
          <w:tcPr>
            <w:tcW w:w="441" w:type="dxa"/>
            <w:gridSpan w:val="3"/>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资金</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性质</w:t>
            </w: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生产性</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hint="default"/>
                <w:sz w:val="18"/>
                <w:szCs w:val="18"/>
              </w:rPr>
            </w:pPr>
            <w:r>
              <w:rPr>
                <w:rFonts w:hint="default"/>
                <w:sz w:val="18"/>
                <w:szCs w:val="18"/>
              </w:rPr>
              <w:t xml:space="preserve">        万元</w:t>
            </w:r>
          </w:p>
        </w:tc>
        <w:tc>
          <w:tcPr>
            <w:tcW w:w="639" w:type="dxa"/>
            <w:gridSpan w:val="2"/>
            <w:vMerge w:val="restart"/>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613" w:type="dxa"/>
            <w:gridSpan w:val="2"/>
            <w:vMerge w:val="continue"/>
            <w:vAlign w:val="center"/>
          </w:tcPr>
          <w:p>
            <w:pPr>
              <w:keepNext w:val="0"/>
              <w:keepLines w:val="0"/>
              <w:suppressLineNumbers w:val="0"/>
              <w:spacing w:before="0" w:beforeAutospacing="0" w:after="0" w:afterAutospacing="0"/>
              <w:ind w:left="0" w:right="0"/>
              <w:jc w:val="center"/>
              <w:rPr>
                <w:rFonts w:hint="default"/>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hint="default"/>
                <w:sz w:val="18"/>
                <w:szCs w:val="18"/>
              </w:rPr>
            </w:pPr>
          </w:p>
        </w:tc>
        <w:tc>
          <w:tcPr>
            <w:tcW w:w="500" w:type="dxa"/>
            <w:vMerge w:val="continue"/>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p>
        </w:tc>
        <w:tc>
          <w:tcPr>
            <w:tcW w:w="1303" w:type="dxa"/>
            <w:gridSpan w:val="4"/>
            <w:vMerge w:val="continue"/>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441" w:type="dxa"/>
            <w:gridSpan w:val="3"/>
            <w:vMerge w:val="continue"/>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非生</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产性</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hint="default"/>
                <w:sz w:val="18"/>
                <w:szCs w:val="18"/>
              </w:rPr>
            </w:pPr>
            <w:r>
              <w:rPr>
                <w:rFonts w:hint="default"/>
                <w:sz w:val="18"/>
                <w:szCs w:val="18"/>
              </w:rPr>
              <w:t xml:space="preserve"> 万元</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hint="default"/>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hint="default"/>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占地</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面积</w:t>
            </w:r>
          </w:p>
        </w:tc>
        <w:tc>
          <w:tcPr>
            <w:tcW w:w="1303" w:type="dxa"/>
            <w:gridSpan w:val="4"/>
            <w:vMerge w:val="restart"/>
            <w:tcBorders>
              <w:top w:val="single" w:color="auto" w:sz="4" w:space="0"/>
            </w:tcBorders>
            <w:vAlign w:val="center"/>
          </w:tcPr>
          <w:p>
            <w:pPr>
              <w:keepNext w:val="0"/>
              <w:keepLines w:val="0"/>
              <w:suppressLineNumbers w:val="0"/>
              <w:spacing w:before="0" w:beforeAutospacing="0" w:after="0" w:afterAutospacing="0"/>
              <w:ind w:left="0" w:right="0"/>
              <w:jc w:val="right"/>
              <w:rPr>
                <w:rFonts w:hint="default"/>
                <w:sz w:val="18"/>
                <w:szCs w:val="18"/>
              </w:rPr>
            </w:pPr>
            <w:r>
              <w:rPr>
                <w:rFonts w:hint="default"/>
                <w:sz w:val="18"/>
                <w:szCs w:val="18"/>
              </w:rPr>
              <w:t xml:space="preserve">     平方米</w:t>
            </w:r>
          </w:p>
          <w:p>
            <w:pPr>
              <w:keepNext w:val="0"/>
              <w:keepLines w:val="0"/>
              <w:suppressLineNumbers w:val="0"/>
              <w:spacing w:before="0" w:beforeAutospacing="0" w:after="0" w:afterAutospacing="0"/>
              <w:ind w:left="0" w:right="0"/>
              <w:jc w:val="right"/>
              <w:rPr>
                <w:rFonts w:hint="default"/>
                <w:sz w:val="18"/>
                <w:szCs w:val="18"/>
              </w:rPr>
            </w:pPr>
          </w:p>
        </w:tc>
        <w:tc>
          <w:tcPr>
            <w:tcW w:w="2238" w:type="dxa"/>
            <w:gridSpan w:val="8"/>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房屋建筑面积      平方米</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hint="default"/>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jc w:val="center"/>
              <w:rPr>
                <w:rFonts w:hint="default"/>
                <w:sz w:val="18"/>
                <w:szCs w:val="18"/>
              </w:rPr>
            </w:pPr>
          </w:p>
        </w:tc>
        <w:tc>
          <w:tcPr>
            <w:tcW w:w="500" w:type="dxa"/>
            <w:vMerge w:val="continue"/>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1303" w:type="dxa"/>
            <w:gridSpan w:val="4"/>
            <w:vMerge w:val="continue"/>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2238" w:type="dxa"/>
            <w:gridSpan w:val="8"/>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厂房建筑面积      平方米</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hint="default"/>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hint="default"/>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hint="default"/>
                <w:sz w:val="18"/>
                <w:szCs w:val="18"/>
              </w:rPr>
            </w:pPr>
            <w:r>
              <w:rPr>
                <w:rFonts w:hint="default"/>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三、主</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要产品</w:t>
            </w:r>
          </w:p>
          <w:p>
            <w:pPr>
              <w:keepNext w:val="0"/>
              <w:keepLines w:val="0"/>
              <w:suppressLineNumbers w:val="0"/>
              <w:spacing w:before="0" w:beforeAutospacing="0" w:after="0" w:afterAutospacing="0"/>
              <w:ind w:left="0" w:right="0"/>
              <w:rPr>
                <w:rFonts w:hint="default"/>
                <w:sz w:val="18"/>
                <w:szCs w:val="18"/>
              </w:rPr>
            </w:pPr>
            <w:r>
              <w:rPr>
                <w:rFonts w:hint="default"/>
                <w:sz w:val="18"/>
                <w:szCs w:val="18"/>
              </w:rPr>
              <w:t>情况</w:t>
            </w:r>
          </w:p>
        </w:tc>
        <w:tc>
          <w:tcPr>
            <w:tcW w:w="1152"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产品名称</w:t>
            </w:r>
          </w:p>
        </w:tc>
        <w:tc>
          <w:tcPr>
            <w:tcW w:w="351"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型 号</w:t>
            </w:r>
          </w:p>
        </w:tc>
        <w:tc>
          <w:tcPr>
            <w:tcW w:w="678"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上年</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产量</w:t>
            </w:r>
          </w:p>
        </w:tc>
        <w:tc>
          <w:tcPr>
            <w:tcW w:w="570" w:type="dxa"/>
            <w:gridSpan w:val="3"/>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上年</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产值</w:t>
            </w:r>
          </w:p>
        </w:tc>
        <w:tc>
          <w:tcPr>
            <w:tcW w:w="1770" w:type="dxa"/>
            <w:gridSpan w:val="4"/>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产品技术先进水平</w:t>
            </w:r>
          </w:p>
        </w:tc>
        <w:tc>
          <w:tcPr>
            <w:tcW w:w="609"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优质</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品率</w:t>
            </w:r>
          </w:p>
        </w:tc>
        <w:tc>
          <w:tcPr>
            <w:tcW w:w="789" w:type="dxa"/>
            <w:gridSpan w:val="4"/>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一等品率</w:t>
            </w:r>
          </w:p>
        </w:tc>
        <w:tc>
          <w:tcPr>
            <w:tcW w:w="1803" w:type="dxa"/>
            <w:gridSpan w:val="4"/>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曾获何级何种奖励</w:t>
            </w:r>
          </w:p>
        </w:tc>
        <w:tc>
          <w:tcPr>
            <w:tcW w:w="1080" w:type="dxa"/>
            <w:gridSpan w:val="2"/>
            <w:vAlign w:val="center"/>
          </w:tcPr>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主要用户</w:t>
            </w:r>
          </w:p>
          <w:p>
            <w:pPr>
              <w:keepNext w:val="0"/>
              <w:keepLines w:val="0"/>
              <w:suppressLineNumbers w:val="0"/>
              <w:spacing w:before="0" w:beforeAutospacing="0" w:after="0" w:afterAutospacing="0"/>
              <w:ind w:left="0" w:right="0"/>
              <w:jc w:val="center"/>
              <w:rPr>
                <w:rFonts w:hint="default"/>
                <w:sz w:val="18"/>
                <w:szCs w:val="18"/>
              </w:rPr>
            </w:pPr>
            <w:r>
              <w:rPr>
                <w:rFonts w:hint="default"/>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hint="default"/>
                <w:sz w:val="18"/>
                <w:szCs w:val="18"/>
              </w:rPr>
            </w:pPr>
          </w:p>
        </w:tc>
        <w:tc>
          <w:tcPr>
            <w:tcW w:w="1152" w:type="dxa"/>
            <w:gridSpan w:val="2"/>
          </w:tcPr>
          <w:p>
            <w:pPr>
              <w:keepNext w:val="0"/>
              <w:keepLines w:val="0"/>
              <w:suppressLineNumbers w:val="0"/>
              <w:spacing w:before="0" w:beforeAutospacing="0" w:after="0" w:afterAutospacing="0"/>
              <w:ind w:left="0" w:right="0"/>
              <w:rPr>
                <w:rFonts w:hint="default"/>
                <w:sz w:val="18"/>
                <w:szCs w:val="18"/>
              </w:rPr>
            </w:pPr>
          </w:p>
        </w:tc>
        <w:tc>
          <w:tcPr>
            <w:tcW w:w="351" w:type="dxa"/>
            <w:gridSpan w:val="2"/>
          </w:tcPr>
          <w:p>
            <w:pPr>
              <w:keepNext w:val="0"/>
              <w:keepLines w:val="0"/>
              <w:suppressLineNumbers w:val="0"/>
              <w:spacing w:before="0" w:beforeAutospacing="0" w:after="0" w:afterAutospacing="0"/>
              <w:ind w:left="0" w:right="0"/>
              <w:jc w:val="center"/>
              <w:rPr>
                <w:rFonts w:hint="default"/>
                <w:sz w:val="18"/>
                <w:szCs w:val="18"/>
              </w:rPr>
            </w:pPr>
          </w:p>
        </w:tc>
        <w:tc>
          <w:tcPr>
            <w:tcW w:w="678" w:type="dxa"/>
            <w:gridSpan w:val="3"/>
          </w:tcPr>
          <w:p>
            <w:pPr>
              <w:keepNext w:val="0"/>
              <w:keepLines w:val="0"/>
              <w:suppressLineNumbers w:val="0"/>
              <w:spacing w:before="0" w:beforeAutospacing="0" w:after="0" w:afterAutospacing="0"/>
              <w:ind w:left="0" w:right="0"/>
              <w:rPr>
                <w:rFonts w:hint="default"/>
                <w:sz w:val="18"/>
                <w:szCs w:val="18"/>
              </w:rPr>
            </w:pPr>
          </w:p>
        </w:tc>
        <w:tc>
          <w:tcPr>
            <w:tcW w:w="570" w:type="dxa"/>
            <w:gridSpan w:val="3"/>
          </w:tcPr>
          <w:p>
            <w:pPr>
              <w:keepNext w:val="0"/>
              <w:keepLines w:val="0"/>
              <w:suppressLineNumbers w:val="0"/>
              <w:spacing w:before="0" w:beforeAutospacing="0" w:after="0" w:afterAutospacing="0"/>
              <w:ind w:left="0" w:right="0"/>
              <w:rPr>
                <w:rFonts w:hint="default"/>
                <w:sz w:val="18"/>
                <w:szCs w:val="18"/>
              </w:rPr>
            </w:pPr>
          </w:p>
        </w:tc>
        <w:tc>
          <w:tcPr>
            <w:tcW w:w="1770" w:type="dxa"/>
            <w:gridSpan w:val="4"/>
          </w:tcPr>
          <w:p>
            <w:pPr>
              <w:keepNext w:val="0"/>
              <w:keepLines w:val="0"/>
              <w:suppressLineNumbers w:val="0"/>
              <w:spacing w:before="0" w:beforeAutospacing="0" w:after="0" w:afterAutospacing="0"/>
              <w:ind w:left="0" w:right="0"/>
              <w:rPr>
                <w:rFonts w:hint="default"/>
                <w:sz w:val="18"/>
                <w:szCs w:val="18"/>
              </w:rPr>
            </w:pPr>
          </w:p>
        </w:tc>
        <w:tc>
          <w:tcPr>
            <w:tcW w:w="609" w:type="dxa"/>
            <w:gridSpan w:val="2"/>
          </w:tcPr>
          <w:p>
            <w:pPr>
              <w:keepNext w:val="0"/>
              <w:keepLines w:val="0"/>
              <w:suppressLineNumbers w:val="0"/>
              <w:spacing w:before="0" w:beforeAutospacing="0" w:after="0" w:afterAutospacing="0"/>
              <w:ind w:left="0" w:right="0"/>
              <w:rPr>
                <w:rFonts w:hint="default"/>
                <w:sz w:val="18"/>
                <w:szCs w:val="18"/>
              </w:rPr>
            </w:pPr>
          </w:p>
        </w:tc>
        <w:tc>
          <w:tcPr>
            <w:tcW w:w="789" w:type="dxa"/>
            <w:gridSpan w:val="4"/>
          </w:tcPr>
          <w:p>
            <w:pPr>
              <w:keepNext w:val="0"/>
              <w:keepLines w:val="0"/>
              <w:suppressLineNumbers w:val="0"/>
              <w:spacing w:before="0" w:beforeAutospacing="0" w:after="0" w:afterAutospacing="0"/>
              <w:ind w:left="0" w:right="0"/>
              <w:rPr>
                <w:rFonts w:hint="default"/>
                <w:sz w:val="18"/>
                <w:szCs w:val="18"/>
              </w:rPr>
            </w:pPr>
          </w:p>
        </w:tc>
        <w:tc>
          <w:tcPr>
            <w:tcW w:w="1803" w:type="dxa"/>
            <w:gridSpan w:val="4"/>
          </w:tcPr>
          <w:p>
            <w:pPr>
              <w:keepNext w:val="0"/>
              <w:keepLines w:val="0"/>
              <w:suppressLineNumbers w:val="0"/>
              <w:spacing w:before="0" w:beforeAutospacing="0" w:after="0" w:afterAutospacing="0"/>
              <w:ind w:left="0" w:right="0"/>
              <w:rPr>
                <w:rFonts w:hint="default"/>
                <w:sz w:val="18"/>
                <w:szCs w:val="18"/>
              </w:rPr>
            </w:pPr>
          </w:p>
        </w:tc>
        <w:tc>
          <w:tcPr>
            <w:tcW w:w="1080" w:type="dxa"/>
            <w:gridSpan w:val="2"/>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hint="default"/>
                <w:sz w:val="18"/>
                <w:szCs w:val="18"/>
              </w:rPr>
            </w:pPr>
          </w:p>
        </w:tc>
        <w:tc>
          <w:tcPr>
            <w:tcW w:w="1152" w:type="dxa"/>
            <w:gridSpan w:val="2"/>
          </w:tcPr>
          <w:p>
            <w:pPr>
              <w:keepNext w:val="0"/>
              <w:keepLines w:val="0"/>
              <w:suppressLineNumbers w:val="0"/>
              <w:spacing w:before="0" w:beforeAutospacing="0" w:after="0" w:afterAutospacing="0"/>
              <w:ind w:left="0" w:right="0"/>
              <w:rPr>
                <w:rFonts w:hint="default"/>
                <w:sz w:val="18"/>
                <w:szCs w:val="18"/>
              </w:rPr>
            </w:pPr>
          </w:p>
        </w:tc>
        <w:tc>
          <w:tcPr>
            <w:tcW w:w="351" w:type="dxa"/>
            <w:gridSpan w:val="2"/>
          </w:tcPr>
          <w:p>
            <w:pPr>
              <w:keepNext w:val="0"/>
              <w:keepLines w:val="0"/>
              <w:suppressLineNumbers w:val="0"/>
              <w:spacing w:before="0" w:beforeAutospacing="0" w:after="0" w:afterAutospacing="0"/>
              <w:ind w:left="0" w:right="0"/>
              <w:jc w:val="center"/>
              <w:rPr>
                <w:rFonts w:hint="default"/>
                <w:sz w:val="18"/>
                <w:szCs w:val="18"/>
              </w:rPr>
            </w:pPr>
          </w:p>
        </w:tc>
        <w:tc>
          <w:tcPr>
            <w:tcW w:w="678" w:type="dxa"/>
            <w:gridSpan w:val="3"/>
          </w:tcPr>
          <w:p>
            <w:pPr>
              <w:keepNext w:val="0"/>
              <w:keepLines w:val="0"/>
              <w:suppressLineNumbers w:val="0"/>
              <w:spacing w:before="0" w:beforeAutospacing="0" w:after="0" w:afterAutospacing="0"/>
              <w:ind w:left="0" w:right="0"/>
              <w:rPr>
                <w:rFonts w:hint="default"/>
                <w:sz w:val="18"/>
                <w:szCs w:val="18"/>
              </w:rPr>
            </w:pPr>
          </w:p>
        </w:tc>
        <w:tc>
          <w:tcPr>
            <w:tcW w:w="570" w:type="dxa"/>
            <w:gridSpan w:val="3"/>
          </w:tcPr>
          <w:p>
            <w:pPr>
              <w:keepNext w:val="0"/>
              <w:keepLines w:val="0"/>
              <w:suppressLineNumbers w:val="0"/>
              <w:spacing w:before="0" w:beforeAutospacing="0" w:after="0" w:afterAutospacing="0"/>
              <w:ind w:left="0" w:right="0"/>
              <w:rPr>
                <w:rFonts w:hint="default"/>
                <w:sz w:val="18"/>
                <w:szCs w:val="18"/>
              </w:rPr>
            </w:pPr>
          </w:p>
        </w:tc>
        <w:tc>
          <w:tcPr>
            <w:tcW w:w="1770" w:type="dxa"/>
            <w:gridSpan w:val="4"/>
          </w:tcPr>
          <w:p>
            <w:pPr>
              <w:keepNext w:val="0"/>
              <w:keepLines w:val="0"/>
              <w:suppressLineNumbers w:val="0"/>
              <w:spacing w:before="0" w:beforeAutospacing="0" w:after="0" w:afterAutospacing="0"/>
              <w:ind w:left="0" w:right="0"/>
              <w:rPr>
                <w:rFonts w:hint="default"/>
                <w:sz w:val="18"/>
                <w:szCs w:val="18"/>
              </w:rPr>
            </w:pPr>
          </w:p>
        </w:tc>
        <w:tc>
          <w:tcPr>
            <w:tcW w:w="609" w:type="dxa"/>
            <w:gridSpan w:val="2"/>
          </w:tcPr>
          <w:p>
            <w:pPr>
              <w:keepNext w:val="0"/>
              <w:keepLines w:val="0"/>
              <w:suppressLineNumbers w:val="0"/>
              <w:spacing w:before="0" w:beforeAutospacing="0" w:after="0" w:afterAutospacing="0"/>
              <w:ind w:left="0" w:right="0"/>
              <w:rPr>
                <w:rFonts w:hint="default"/>
                <w:sz w:val="18"/>
                <w:szCs w:val="18"/>
              </w:rPr>
            </w:pPr>
          </w:p>
        </w:tc>
        <w:tc>
          <w:tcPr>
            <w:tcW w:w="789" w:type="dxa"/>
            <w:gridSpan w:val="4"/>
          </w:tcPr>
          <w:p>
            <w:pPr>
              <w:keepNext w:val="0"/>
              <w:keepLines w:val="0"/>
              <w:suppressLineNumbers w:val="0"/>
              <w:spacing w:before="0" w:beforeAutospacing="0" w:after="0" w:afterAutospacing="0"/>
              <w:ind w:left="0" w:right="0"/>
              <w:rPr>
                <w:rFonts w:hint="default"/>
                <w:sz w:val="18"/>
                <w:szCs w:val="18"/>
              </w:rPr>
            </w:pPr>
          </w:p>
        </w:tc>
        <w:tc>
          <w:tcPr>
            <w:tcW w:w="1803" w:type="dxa"/>
            <w:gridSpan w:val="4"/>
          </w:tcPr>
          <w:p>
            <w:pPr>
              <w:keepNext w:val="0"/>
              <w:keepLines w:val="0"/>
              <w:suppressLineNumbers w:val="0"/>
              <w:spacing w:before="0" w:beforeAutospacing="0" w:after="0" w:afterAutospacing="0"/>
              <w:ind w:left="0" w:right="0"/>
              <w:rPr>
                <w:rFonts w:hint="default"/>
                <w:sz w:val="18"/>
                <w:szCs w:val="18"/>
              </w:rPr>
            </w:pPr>
          </w:p>
        </w:tc>
        <w:tc>
          <w:tcPr>
            <w:tcW w:w="1080" w:type="dxa"/>
            <w:gridSpan w:val="2"/>
          </w:tcPr>
          <w:p>
            <w:pPr>
              <w:keepNext w:val="0"/>
              <w:keepLines w:val="0"/>
              <w:suppressLineNumbers w:val="0"/>
              <w:spacing w:before="0" w:beforeAutospacing="0" w:after="0" w:afterAutospacing="0"/>
              <w:ind w:left="0" w:right="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hint="default"/>
                <w:sz w:val="18"/>
                <w:szCs w:val="18"/>
              </w:rPr>
            </w:pPr>
          </w:p>
        </w:tc>
        <w:tc>
          <w:tcPr>
            <w:tcW w:w="1152" w:type="dxa"/>
            <w:gridSpan w:val="2"/>
          </w:tcPr>
          <w:p>
            <w:pPr>
              <w:keepNext w:val="0"/>
              <w:keepLines w:val="0"/>
              <w:suppressLineNumbers w:val="0"/>
              <w:spacing w:before="0" w:beforeAutospacing="0" w:after="0" w:afterAutospacing="0"/>
              <w:ind w:left="0" w:right="0"/>
              <w:rPr>
                <w:rFonts w:hint="default"/>
                <w:sz w:val="18"/>
                <w:szCs w:val="18"/>
              </w:rPr>
            </w:pPr>
          </w:p>
        </w:tc>
        <w:tc>
          <w:tcPr>
            <w:tcW w:w="351" w:type="dxa"/>
            <w:gridSpan w:val="2"/>
          </w:tcPr>
          <w:p>
            <w:pPr>
              <w:keepNext w:val="0"/>
              <w:keepLines w:val="0"/>
              <w:suppressLineNumbers w:val="0"/>
              <w:spacing w:before="0" w:beforeAutospacing="0" w:after="0" w:afterAutospacing="0"/>
              <w:ind w:left="0" w:right="0"/>
              <w:jc w:val="center"/>
              <w:rPr>
                <w:rFonts w:hint="default"/>
                <w:sz w:val="18"/>
                <w:szCs w:val="18"/>
              </w:rPr>
            </w:pPr>
          </w:p>
        </w:tc>
        <w:tc>
          <w:tcPr>
            <w:tcW w:w="678" w:type="dxa"/>
            <w:gridSpan w:val="3"/>
          </w:tcPr>
          <w:p>
            <w:pPr>
              <w:keepNext w:val="0"/>
              <w:keepLines w:val="0"/>
              <w:suppressLineNumbers w:val="0"/>
              <w:spacing w:before="0" w:beforeAutospacing="0" w:after="0" w:afterAutospacing="0"/>
              <w:ind w:left="0" w:right="0"/>
              <w:rPr>
                <w:rFonts w:hint="default"/>
                <w:sz w:val="18"/>
                <w:szCs w:val="18"/>
              </w:rPr>
            </w:pPr>
          </w:p>
        </w:tc>
        <w:tc>
          <w:tcPr>
            <w:tcW w:w="570" w:type="dxa"/>
            <w:gridSpan w:val="3"/>
          </w:tcPr>
          <w:p>
            <w:pPr>
              <w:keepNext w:val="0"/>
              <w:keepLines w:val="0"/>
              <w:suppressLineNumbers w:val="0"/>
              <w:spacing w:before="0" w:beforeAutospacing="0" w:after="0" w:afterAutospacing="0"/>
              <w:ind w:left="0" w:right="0"/>
              <w:rPr>
                <w:rFonts w:hint="default"/>
                <w:sz w:val="18"/>
                <w:szCs w:val="18"/>
              </w:rPr>
            </w:pPr>
          </w:p>
        </w:tc>
        <w:tc>
          <w:tcPr>
            <w:tcW w:w="1770" w:type="dxa"/>
            <w:gridSpan w:val="4"/>
          </w:tcPr>
          <w:p>
            <w:pPr>
              <w:keepNext w:val="0"/>
              <w:keepLines w:val="0"/>
              <w:suppressLineNumbers w:val="0"/>
              <w:spacing w:before="0" w:beforeAutospacing="0" w:after="0" w:afterAutospacing="0"/>
              <w:ind w:left="0" w:right="0"/>
              <w:rPr>
                <w:rFonts w:hint="default"/>
                <w:sz w:val="18"/>
                <w:szCs w:val="18"/>
              </w:rPr>
            </w:pPr>
          </w:p>
        </w:tc>
        <w:tc>
          <w:tcPr>
            <w:tcW w:w="609" w:type="dxa"/>
            <w:gridSpan w:val="2"/>
          </w:tcPr>
          <w:p>
            <w:pPr>
              <w:keepNext w:val="0"/>
              <w:keepLines w:val="0"/>
              <w:suppressLineNumbers w:val="0"/>
              <w:spacing w:before="0" w:beforeAutospacing="0" w:after="0" w:afterAutospacing="0"/>
              <w:ind w:left="0" w:right="0"/>
              <w:rPr>
                <w:rFonts w:hint="default"/>
                <w:sz w:val="18"/>
                <w:szCs w:val="18"/>
              </w:rPr>
            </w:pPr>
          </w:p>
        </w:tc>
        <w:tc>
          <w:tcPr>
            <w:tcW w:w="789" w:type="dxa"/>
            <w:gridSpan w:val="4"/>
          </w:tcPr>
          <w:p>
            <w:pPr>
              <w:keepNext w:val="0"/>
              <w:keepLines w:val="0"/>
              <w:suppressLineNumbers w:val="0"/>
              <w:spacing w:before="0" w:beforeAutospacing="0" w:after="0" w:afterAutospacing="0"/>
              <w:ind w:left="0" w:right="0"/>
              <w:rPr>
                <w:rFonts w:hint="default"/>
                <w:sz w:val="18"/>
                <w:szCs w:val="18"/>
              </w:rPr>
            </w:pPr>
          </w:p>
        </w:tc>
        <w:tc>
          <w:tcPr>
            <w:tcW w:w="1803" w:type="dxa"/>
            <w:gridSpan w:val="4"/>
          </w:tcPr>
          <w:p>
            <w:pPr>
              <w:keepNext w:val="0"/>
              <w:keepLines w:val="0"/>
              <w:suppressLineNumbers w:val="0"/>
              <w:spacing w:before="0" w:beforeAutospacing="0" w:after="0" w:afterAutospacing="0"/>
              <w:ind w:left="0" w:right="0"/>
              <w:rPr>
                <w:rFonts w:hint="default"/>
                <w:sz w:val="18"/>
                <w:szCs w:val="18"/>
              </w:rPr>
            </w:pPr>
          </w:p>
        </w:tc>
        <w:tc>
          <w:tcPr>
            <w:tcW w:w="1080" w:type="dxa"/>
            <w:gridSpan w:val="2"/>
          </w:tcPr>
          <w:p>
            <w:pPr>
              <w:keepNext w:val="0"/>
              <w:keepLines w:val="0"/>
              <w:suppressLineNumbers w:val="0"/>
              <w:spacing w:before="0" w:beforeAutospacing="0" w:after="0" w:afterAutospacing="0"/>
              <w:ind w:left="0" w:right="0"/>
              <w:rPr>
                <w:rFonts w:hint="default"/>
                <w:sz w:val="18"/>
                <w:szCs w:val="18"/>
              </w:rPr>
            </w:pPr>
          </w:p>
        </w:tc>
      </w:tr>
    </w:tbl>
    <w:p/>
    <w:p>
      <w:pPr>
        <w:spacing w:line="660" w:lineRule="exact"/>
        <w:rPr>
          <w:sz w:val="24"/>
        </w:rPr>
      </w:pPr>
      <w:r>
        <w:rPr>
          <w:sz w:val="24"/>
        </w:rPr>
        <w:t>投标人：（盖章）</w:t>
      </w:r>
    </w:p>
    <w:p>
      <w:pPr>
        <w:spacing w:line="660" w:lineRule="exact"/>
        <w:rPr>
          <w:sz w:val="24"/>
        </w:rPr>
      </w:pPr>
      <w:r>
        <w:rPr>
          <w:sz w:val="24"/>
        </w:rPr>
        <w:t>法定代表人（委托代理人）：（签字）</w:t>
      </w:r>
    </w:p>
    <w:p>
      <w:pPr>
        <w:spacing w:line="660" w:lineRule="exact"/>
        <w:rPr>
          <w:sz w:val="24"/>
        </w:rPr>
      </w:pPr>
      <w:r>
        <w:rPr>
          <w:sz w:val="24"/>
        </w:rPr>
        <w:t>日期：    年   月   日</w:t>
      </w:r>
    </w:p>
    <w:p>
      <w:pPr>
        <w:spacing w:before="312" w:beforeLines="100" w:after="312" w:afterLines="100" w:line="360" w:lineRule="auto"/>
        <w:outlineLvl w:val="0"/>
        <w:rPr>
          <w:b/>
          <w:color w:val="000000"/>
          <w:sz w:val="24"/>
          <w:szCs w:val="24"/>
        </w:rPr>
      </w:pPr>
      <w:bookmarkStart w:id="312" w:name="_Toc196927574"/>
      <w:bookmarkStart w:id="313" w:name="_Toc29453"/>
      <w:bookmarkStart w:id="314" w:name="_Toc1104946673"/>
      <w:bookmarkStart w:id="315" w:name="_Toc75969936"/>
      <w:bookmarkStart w:id="316" w:name="_Toc353881020"/>
      <w:bookmarkStart w:id="317" w:name="_Toc23672"/>
      <w:bookmarkStart w:id="318" w:name="_Toc23535"/>
      <w:bookmarkStart w:id="319" w:name="_Toc518655812"/>
      <w:bookmarkStart w:id="320" w:name="_Toc424118189"/>
      <w:r>
        <w:rPr>
          <w:b/>
          <w:color w:val="000000"/>
          <w:sz w:val="24"/>
          <w:szCs w:val="24"/>
        </w:rPr>
        <w:t>附件四、技术要求偏离表</w:t>
      </w:r>
      <w:bookmarkEnd w:id="312"/>
      <w:bookmarkEnd w:id="313"/>
      <w:bookmarkEnd w:id="314"/>
    </w:p>
    <w:p>
      <w:pPr>
        <w:jc w:val="center"/>
        <w:rPr>
          <w:b/>
          <w:color w:val="000000"/>
          <w:sz w:val="28"/>
          <w:szCs w:val="28"/>
        </w:rPr>
      </w:pPr>
      <w:r>
        <w:rPr>
          <w:b/>
          <w:color w:val="000000"/>
          <w:sz w:val="28"/>
          <w:szCs w:val="28"/>
        </w:rPr>
        <w:t>技术要求偏离表</w:t>
      </w:r>
    </w:p>
    <w:tbl>
      <w:tblPr>
        <w:tblStyle w:val="50"/>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color w:val="000000"/>
                <w:sz w:val="24"/>
                <w:szCs w:val="20"/>
              </w:rPr>
            </w:pPr>
            <w:r>
              <w:rPr>
                <w:rFonts w:hint="default"/>
                <w:color w:val="000000"/>
                <w:sz w:val="24"/>
                <w:szCs w:val="20"/>
              </w:rPr>
              <w:t>序号</w:t>
            </w:r>
          </w:p>
        </w:tc>
        <w:tc>
          <w:tcPr>
            <w:tcW w:w="1459" w:type="dxa"/>
            <w:vAlign w:val="center"/>
          </w:tcPr>
          <w:p>
            <w:pPr>
              <w:keepNext w:val="0"/>
              <w:keepLines w:val="0"/>
              <w:suppressLineNumbers w:val="0"/>
              <w:spacing w:before="0" w:beforeAutospacing="0" w:after="0" w:afterAutospacing="0"/>
              <w:ind w:left="1" w:leftChars="-3" w:right="0" w:hanging="7" w:hangingChars="3"/>
              <w:jc w:val="center"/>
              <w:rPr>
                <w:rFonts w:hint="default"/>
                <w:color w:val="000000"/>
                <w:sz w:val="24"/>
                <w:szCs w:val="20"/>
              </w:rPr>
            </w:pPr>
            <w:r>
              <w:rPr>
                <w:rFonts w:hint="default"/>
                <w:color w:val="000000"/>
                <w:sz w:val="24"/>
                <w:szCs w:val="20"/>
              </w:rPr>
              <w:t>分项目内容</w:t>
            </w:r>
          </w:p>
        </w:tc>
        <w:tc>
          <w:tcPr>
            <w:tcW w:w="2644" w:type="dxa"/>
            <w:vAlign w:val="center"/>
          </w:tcPr>
          <w:p>
            <w:pPr>
              <w:keepNext w:val="0"/>
              <w:keepLines w:val="0"/>
              <w:suppressLineNumbers w:val="0"/>
              <w:spacing w:before="0" w:beforeAutospacing="0" w:after="0" w:afterAutospacing="0"/>
              <w:ind w:left="0" w:right="0"/>
              <w:jc w:val="center"/>
              <w:rPr>
                <w:rFonts w:hint="default"/>
                <w:color w:val="000000"/>
                <w:sz w:val="24"/>
                <w:szCs w:val="20"/>
              </w:rPr>
            </w:pPr>
            <w:r>
              <w:rPr>
                <w:rFonts w:hint="default"/>
                <w:color w:val="000000"/>
                <w:sz w:val="24"/>
                <w:szCs w:val="20"/>
              </w:rPr>
              <w:t>招标文件技术要求</w:t>
            </w:r>
          </w:p>
        </w:tc>
        <w:tc>
          <w:tcPr>
            <w:tcW w:w="3543" w:type="dxa"/>
            <w:vAlign w:val="center"/>
          </w:tcPr>
          <w:p>
            <w:pPr>
              <w:keepNext w:val="0"/>
              <w:keepLines w:val="0"/>
              <w:suppressLineNumbers w:val="0"/>
              <w:spacing w:before="0" w:beforeAutospacing="0" w:after="0" w:afterAutospacing="0"/>
              <w:ind w:left="0" w:right="0"/>
              <w:jc w:val="center"/>
              <w:rPr>
                <w:rFonts w:hint="default"/>
                <w:color w:val="000000"/>
                <w:sz w:val="24"/>
                <w:szCs w:val="20"/>
              </w:rPr>
            </w:pPr>
            <w:r>
              <w:rPr>
                <w:rFonts w:hint="default"/>
                <w:color w:val="000000"/>
                <w:sz w:val="24"/>
                <w:szCs w:val="20"/>
              </w:rPr>
              <w:t>投标文件对应项技术要求承诺</w:t>
            </w:r>
          </w:p>
        </w:tc>
        <w:tc>
          <w:tcPr>
            <w:tcW w:w="1323" w:type="dxa"/>
            <w:vAlign w:val="center"/>
          </w:tcPr>
          <w:p>
            <w:pPr>
              <w:keepNext w:val="0"/>
              <w:keepLines w:val="0"/>
              <w:suppressLineNumbers w:val="0"/>
              <w:spacing w:before="0" w:beforeAutospacing="0" w:after="0" w:afterAutospacing="0"/>
              <w:ind w:left="0" w:right="0"/>
              <w:jc w:val="center"/>
              <w:rPr>
                <w:rFonts w:hint="default"/>
                <w:color w:val="000000"/>
                <w:sz w:val="24"/>
                <w:szCs w:val="20"/>
              </w:rPr>
            </w:pPr>
            <w:r>
              <w:rPr>
                <w:rFonts w:hint="default"/>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45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2644"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3543"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323" w:type="dxa"/>
          </w:tcPr>
          <w:p>
            <w:pPr>
              <w:keepNext w:val="0"/>
              <w:keepLines w:val="0"/>
              <w:suppressLineNumbers w:val="0"/>
              <w:spacing w:before="0" w:beforeAutospacing="0" w:after="0" w:afterAutospacing="0"/>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45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2644"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3543"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323" w:type="dxa"/>
          </w:tcPr>
          <w:p>
            <w:pPr>
              <w:keepNext w:val="0"/>
              <w:keepLines w:val="0"/>
              <w:suppressLineNumbers w:val="0"/>
              <w:spacing w:before="0" w:beforeAutospacing="0" w:after="0" w:afterAutospacing="0"/>
              <w:ind w:left="0" w:right="0" w:firstLine="48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45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2644"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3543"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323" w:type="dxa"/>
          </w:tcPr>
          <w:p>
            <w:pPr>
              <w:keepNext w:val="0"/>
              <w:keepLines w:val="0"/>
              <w:suppressLineNumbers w:val="0"/>
              <w:spacing w:before="0" w:beforeAutospacing="0" w:after="0" w:afterAutospacing="0"/>
              <w:ind w:left="0" w:right="0" w:firstLine="48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jc w:val="center"/>
        </w:trPr>
        <w:tc>
          <w:tcPr>
            <w:tcW w:w="70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45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2644"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3543"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323" w:type="dxa"/>
          </w:tcPr>
          <w:p>
            <w:pPr>
              <w:keepNext w:val="0"/>
              <w:keepLines w:val="0"/>
              <w:suppressLineNumbers w:val="0"/>
              <w:spacing w:before="0" w:beforeAutospacing="0" w:after="0" w:afterAutospacing="0"/>
              <w:ind w:left="0" w:right="0" w:firstLine="48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45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2644"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3543"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323" w:type="dxa"/>
          </w:tcPr>
          <w:p>
            <w:pPr>
              <w:keepNext w:val="0"/>
              <w:keepLines w:val="0"/>
              <w:suppressLineNumbers w:val="0"/>
              <w:spacing w:before="0" w:beforeAutospacing="0" w:after="0" w:afterAutospacing="0"/>
              <w:ind w:left="0" w:right="0" w:firstLine="48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45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2644"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3543"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323" w:type="dxa"/>
          </w:tcPr>
          <w:p>
            <w:pPr>
              <w:keepNext w:val="0"/>
              <w:keepLines w:val="0"/>
              <w:suppressLineNumbers w:val="0"/>
              <w:spacing w:before="0" w:beforeAutospacing="0" w:after="0" w:afterAutospacing="0"/>
              <w:ind w:left="0" w:right="0" w:firstLine="48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459"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2644"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3543" w:type="dxa"/>
          </w:tcPr>
          <w:p>
            <w:pPr>
              <w:keepNext w:val="0"/>
              <w:keepLines w:val="0"/>
              <w:suppressLineNumbers w:val="0"/>
              <w:spacing w:before="0" w:beforeAutospacing="0" w:after="0" w:afterAutospacing="0"/>
              <w:ind w:left="0" w:right="0" w:firstLine="480"/>
              <w:rPr>
                <w:rFonts w:hint="default"/>
                <w:color w:val="000000"/>
                <w:sz w:val="24"/>
                <w:szCs w:val="20"/>
              </w:rPr>
            </w:pPr>
          </w:p>
        </w:tc>
        <w:tc>
          <w:tcPr>
            <w:tcW w:w="1323" w:type="dxa"/>
          </w:tcPr>
          <w:p>
            <w:pPr>
              <w:keepNext w:val="0"/>
              <w:keepLines w:val="0"/>
              <w:suppressLineNumbers w:val="0"/>
              <w:spacing w:before="0" w:beforeAutospacing="0" w:after="0" w:afterAutospacing="0"/>
              <w:ind w:left="0" w:right="0" w:firstLine="480"/>
              <w:rPr>
                <w:rFonts w:hint="default"/>
                <w:color w:val="000000"/>
                <w:sz w:val="24"/>
                <w:szCs w:val="20"/>
              </w:rPr>
            </w:pPr>
          </w:p>
        </w:tc>
      </w:tr>
    </w:tbl>
    <w:p>
      <w:pPr>
        <w:jc w:val="left"/>
        <w:rPr>
          <w:color w:val="000000"/>
          <w:sz w:val="24"/>
          <w:szCs w:val="22"/>
        </w:rPr>
      </w:pPr>
      <w:r>
        <w:rPr>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szCs w:val="24"/>
        </w:rPr>
      </w:pPr>
    </w:p>
    <w:p>
      <w:pPr>
        <w:spacing w:line="480" w:lineRule="auto"/>
        <w:ind w:firstLine="5368" w:firstLineChars="2228"/>
        <w:rPr>
          <w:b/>
          <w:color w:val="000000"/>
          <w:sz w:val="24"/>
        </w:rPr>
      </w:pPr>
      <w:r>
        <w:rPr>
          <w:b/>
          <w:color w:val="000000"/>
          <w:sz w:val="24"/>
        </w:rPr>
        <w:t>投标单位全称（盖章）：</w:t>
      </w:r>
    </w:p>
    <w:p>
      <w:pPr>
        <w:spacing w:line="480" w:lineRule="auto"/>
        <w:ind w:firstLine="5118" w:firstLineChars="2124"/>
        <w:rPr>
          <w:b/>
          <w:color w:val="000000"/>
          <w:sz w:val="24"/>
        </w:rPr>
      </w:pPr>
      <w:r>
        <w:rPr>
          <w:b/>
          <w:color w:val="000000"/>
          <w:sz w:val="24"/>
        </w:rPr>
        <w:t xml:space="preserve">法定代表或授权代表签字：                         </w:t>
      </w:r>
    </w:p>
    <w:p>
      <w:pPr>
        <w:spacing w:line="480" w:lineRule="auto"/>
        <w:ind w:firstLine="6385" w:firstLineChars="2650"/>
        <w:rPr>
          <w:b/>
          <w:color w:val="000000"/>
          <w:sz w:val="24"/>
        </w:rPr>
      </w:pPr>
      <w:r>
        <w:rPr>
          <w:b/>
          <w:color w:val="000000"/>
          <w:sz w:val="24"/>
        </w:rPr>
        <w:t xml:space="preserve">            年   月   日</w:t>
      </w:r>
    </w:p>
    <w:p>
      <w:pPr>
        <w:spacing w:line="480" w:lineRule="auto"/>
        <w:ind w:firstLine="6385" w:firstLineChars="2650"/>
        <w:rPr>
          <w:b/>
          <w:color w:val="000000"/>
          <w:sz w:val="24"/>
        </w:rPr>
      </w:pPr>
      <w:r>
        <w:rPr>
          <w:b/>
          <w:color w:val="000000"/>
          <w:sz w:val="24"/>
        </w:rPr>
        <w:br w:type="page"/>
      </w:r>
    </w:p>
    <w:p>
      <w:pPr>
        <w:spacing w:before="312" w:beforeLines="100" w:after="312" w:afterLines="100" w:line="360" w:lineRule="auto"/>
        <w:outlineLvl w:val="0"/>
        <w:rPr>
          <w:b/>
          <w:color w:val="000000"/>
          <w:sz w:val="24"/>
          <w:szCs w:val="24"/>
        </w:rPr>
      </w:pPr>
      <w:bookmarkStart w:id="321" w:name="_Toc29747"/>
      <w:bookmarkStart w:id="322" w:name="_Toc179050700"/>
      <w:bookmarkStart w:id="323" w:name="_Toc451742648"/>
      <w:r>
        <w:rPr>
          <w:b/>
          <w:color w:val="000000"/>
          <w:sz w:val="24"/>
          <w:szCs w:val="24"/>
        </w:rPr>
        <w:t>附件五、经营业绩一览表</w:t>
      </w:r>
      <w:bookmarkEnd w:id="315"/>
      <w:bookmarkEnd w:id="316"/>
      <w:bookmarkEnd w:id="317"/>
      <w:bookmarkEnd w:id="318"/>
      <w:bookmarkEnd w:id="319"/>
      <w:bookmarkEnd w:id="320"/>
      <w:bookmarkEnd w:id="321"/>
      <w:bookmarkEnd w:id="322"/>
      <w:bookmarkEnd w:id="323"/>
    </w:p>
    <w:p>
      <w:pPr>
        <w:pStyle w:val="2"/>
        <w:spacing w:line="460" w:lineRule="exact"/>
        <w:jc w:val="center"/>
        <w:rPr>
          <w:b/>
          <w:bCs/>
          <w:sz w:val="32"/>
          <w:szCs w:val="32"/>
        </w:rPr>
      </w:pPr>
      <w:r>
        <w:rPr>
          <w:b/>
          <w:bCs/>
          <w:sz w:val="32"/>
          <w:szCs w:val="32"/>
        </w:rPr>
        <w:t>经营业绩一览表</w:t>
      </w:r>
    </w:p>
    <w:p>
      <w:pPr>
        <w:spacing w:line="520" w:lineRule="exact"/>
        <w:rPr>
          <w:sz w:val="24"/>
          <w:u w:val="single"/>
        </w:rPr>
      </w:pPr>
      <w:r>
        <w:rPr>
          <w:sz w:val="24"/>
        </w:rPr>
        <w:t xml:space="preserve">项目名称：        </w:t>
      </w:r>
    </w:p>
    <w:tbl>
      <w:tblPr>
        <w:tblStyle w:val="50"/>
        <w:tblW w:w="9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pPr>
              <w:pStyle w:val="39"/>
              <w:keepNext w:val="0"/>
              <w:keepLines w:val="0"/>
              <w:suppressLineNumbers w:val="0"/>
              <w:spacing w:before="0" w:beforeAutospacing="0" w:afterAutospacing="0"/>
              <w:ind w:left="482" w:right="0" w:hanging="482"/>
              <w:jc w:val="center"/>
              <w:rPr>
                <w:rFonts w:hint="default"/>
                <w:b/>
                <w:sz w:val="24"/>
                <w:szCs w:val="20"/>
              </w:rPr>
            </w:pPr>
            <w:r>
              <w:rPr>
                <w:rFonts w:hint="default"/>
                <w:b/>
                <w:sz w:val="24"/>
                <w:szCs w:val="20"/>
              </w:rPr>
              <w:t>序号</w:t>
            </w:r>
          </w:p>
        </w:tc>
        <w:tc>
          <w:tcPr>
            <w:tcW w:w="1785" w:type="dxa"/>
            <w:vAlign w:val="center"/>
          </w:tcPr>
          <w:p>
            <w:pPr>
              <w:pStyle w:val="39"/>
              <w:keepNext w:val="0"/>
              <w:keepLines w:val="0"/>
              <w:suppressLineNumbers w:val="0"/>
              <w:spacing w:before="0" w:beforeAutospacing="0" w:afterAutospacing="0"/>
              <w:ind w:left="482" w:right="0" w:hanging="482"/>
              <w:jc w:val="center"/>
              <w:rPr>
                <w:rFonts w:hint="default"/>
                <w:b/>
                <w:sz w:val="24"/>
                <w:szCs w:val="20"/>
              </w:rPr>
            </w:pPr>
            <w:r>
              <w:rPr>
                <w:rFonts w:hint="default"/>
                <w:b/>
                <w:sz w:val="24"/>
                <w:szCs w:val="20"/>
              </w:rPr>
              <w:t>名称</w:t>
            </w:r>
          </w:p>
        </w:tc>
        <w:tc>
          <w:tcPr>
            <w:tcW w:w="978" w:type="dxa"/>
            <w:vAlign w:val="center"/>
          </w:tcPr>
          <w:p>
            <w:pPr>
              <w:pStyle w:val="39"/>
              <w:keepNext w:val="0"/>
              <w:keepLines w:val="0"/>
              <w:suppressLineNumbers w:val="0"/>
              <w:spacing w:before="0" w:beforeAutospacing="0" w:afterAutospacing="0"/>
              <w:ind w:left="482" w:right="0" w:hanging="482"/>
              <w:jc w:val="center"/>
              <w:rPr>
                <w:rFonts w:hint="default"/>
                <w:b/>
                <w:sz w:val="24"/>
                <w:szCs w:val="20"/>
              </w:rPr>
            </w:pPr>
            <w:r>
              <w:rPr>
                <w:rFonts w:hint="default"/>
                <w:b/>
                <w:sz w:val="24"/>
                <w:szCs w:val="20"/>
              </w:rPr>
              <w:t>数量</w:t>
            </w:r>
          </w:p>
        </w:tc>
        <w:tc>
          <w:tcPr>
            <w:tcW w:w="1252" w:type="dxa"/>
            <w:vAlign w:val="center"/>
          </w:tcPr>
          <w:p>
            <w:pPr>
              <w:pStyle w:val="39"/>
              <w:keepNext w:val="0"/>
              <w:keepLines w:val="0"/>
              <w:suppressLineNumbers w:val="0"/>
              <w:spacing w:before="0" w:beforeAutospacing="0" w:afterAutospacing="0"/>
              <w:ind w:left="34" w:right="0" w:hanging="34" w:hangingChars="14"/>
              <w:jc w:val="center"/>
              <w:rPr>
                <w:rFonts w:hint="default"/>
                <w:b/>
                <w:sz w:val="24"/>
                <w:szCs w:val="20"/>
              </w:rPr>
            </w:pPr>
            <w:r>
              <w:rPr>
                <w:rFonts w:hint="default"/>
                <w:b/>
                <w:sz w:val="24"/>
                <w:szCs w:val="20"/>
              </w:rPr>
              <w:t>规格型号</w:t>
            </w:r>
          </w:p>
        </w:tc>
        <w:tc>
          <w:tcPr>
            <w:tcW w:w="927" w:type="dxa"/>
            <w:vAlign w:val="center"/>
          </w:tcPr>
          <w:p>
            <w:pPr>
              <w:pStyle w:val="39"/>
              <w:keepNext w:val="0"/>
              <w:keepLines w:val="0"/>
              <w:suppressLineNumbers w:val="0"/>
              <w:spacing w:before="0" w:beforeAutospacing="0" w:afterAutospacing="0"/>
              <w:ind w:left="482" w:right="0" w:hanging="482"/>
              <w:jc w:val="center"/>
              <w:rPr>
                <w:rFonts w:hint="default"/>
                <w:b/>
                <w:sz w:val="24"/>
                <w:szCs w:val="20"/>
              </w:rPr>
            </w:pPr>
            <w:r>
              <w:rPr>
                <w:rFonts w:hint="default"/>
                <w:b/>
                <w:sz w:val="24"/>
                <w:szCs w:val="20"/>
              </w:rPr>
              <w:t>金额</w:t>
            </w:r>
          </w:p>
        </w:tc>
        <w:tc>
          <w:tcPr>
            <w:tcW w:w="2209" w:type="dxa"/>
            <w:vAlign w:val="center"/>
          </w:tcPr>
          <w:p>
            <w:pPr>
              <w:pStyle w:val="39"/>
              <w:keepNext w:val="0"/>
              <w:keepLines w:val="0"/>
              <w:suppressLineNumbers w:val="0"/>
              <w:spacing w:before="0" w:beforeAutospacing="0" w:afterAutospacing="0"/>
              <w:ind w:left="482" w:right="0" w:hanging="482"/>
              <w:jc w:val="center"/>
              <w:rPr>
                <w:rFonts w:hint="default"/>
                <w:b/>
                <w:sz w:val="24"/>
                <w:szCs w:val="20"/>
              </w:rPr>
            </w:pPr>
            <w:r>
              <w:rPr>
                <w:rFonts w:hint="default"/>
                <w:b/>
                <w:sz w:val="24"/>
                <w:szCs w:val="20"/>
              </w:rPr>
              <w:t>用户名称</w:t>
            </w:r>
          </w:p>
        </w:tc>
        <w:tc>
          <w:tcPr>
            <w:tcW w:w="1425" w:type="dxa"/>
            <w:vAlign w:val="center"/>
          </w:tcPr>
          <w:p>
            <w:pPr>
              <w:pStyle w:val="39"/>
              <w:keepNext w:val="0"/>
              <w:keepLines w:val="0"/>
              <w:suppressLineNumbers w:val="0"/>
              <w:spacing w:before="0" w:beforeAutospacing="0" w:afterAutospacing="0"/>
              <w:ind w:left="482" w:right="0" w:hanging="482"/>
              <w:jc w:val="center"/>
              <w:rPr>
                <w:rFonts w:hint="default"/>
                <w:b/>
                <w:sz w:val="24"/>
                <w:szCs w:val="20"/>
              </w:rPr>
            </w:pPr>
            <w:r>
              <w:rPr>
                <w:rFonts w:hint="default"/>
                <w:b/>
                <w:sz w:val="24"/>
                <w:szCs w:val="20"/>
              </w:rPr>
              <w:t>投产日期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rPr>
                <w:rFonts w:hint="default"/>
                <w:b/>
                <w:szCs w:val="20"/>
              </w:rPr>
            </w:pPr>
          </w:p>
        </w:tc>
        <w:tc>
          <w:tcPr>
            <w:tcW w:w="1785" w:type="dxa"/>
          </w:tcPr>
          <w:p>
            <w:pPr>
              <w:pStyle w:val="39"/>
              <w:keepNext w:val="0"/>
              <w:keepLines w:val="0"/>
              <w:suppressLineNumbers w:val="0"/>
              <w:spacing w:before="0" w:beforeAutospacing="0" w:afterAutospacing="0"/>
              <w:ind w:left="422" w:right="0" w:hanging="422"/>
              <w:rPr>
                <w:rFonts w:hint="default"/>
                <w:b/>
                <w:szCs w:val="20"/>
              </w:rPr>
            </w:pPr>
          </w:p>
        </w:tc>
        <w:tc>
          <w:tcPr>
            <w:tcW w:w="978" w:type="dxa"/>
          </w:tcPr>
          <w:p>
            <w:pPr>
              <w:pStyle w:val="39"/>
              <w:keepNext w:val="0"/>
              <w:keepLines w:val="0"/>
              <w:suppressLineNumbers w:val="0"/>
              <w:spacing w:before="0" w:beforeAutospacing="0" w:afterAutospacing="0"/>
              <w:ind w:left="422" w:right="0" w:hanging="422"/>
              <w:rPr>
                <w:rFonts w:hint="default"/>
                <w:b/>
                <w:szCs w:val="20"/>
              </w:rPr>
            </w:pPr>
          </w:p>
        </w:tc>
        <w:tc>
          <w:tcPr>
            <w:tcW w:w="1252" w:type="dxa"/>
          </w:tcPr>
          <w:p>
            <w:pPr>
              <w:pStyle w:val="39"/>
              <w:keepNext w:val="0"/>
              <w:keepLines w:val="0"/>
              <w:suppressLineNumbers w:val="0"/>
              <w:spacing w:before="0" w:beforeAutospacing="0" w:afterAutospacing="0"/>
              <w:ind w:left="422" w:right="0" w:hanging="422"/>
              <w:rPr>
                <w:rFonts w:hint="default"/>
                <w:b/>
                <w:szCs w:val="20"/>
              </w:rPr>
            </w:pPr>
          </w:p>
        </w:tc>
        <w:tc>
          <w:tcPr>
            <w:tcW w:w="927" w:type="dxa"/>
          </w:tcPr>
          <w:p>
            <w:pPr>
              <w:pStyle w:val="39"/>
              <w:keepNext w:val="0"/>
              <w:keepLines w:val="0"/>
              <w:suppressLineNumbers w:val="0"/>
              <w:spacing w:before="0" w:beforeAutospacing="0" w:afterAutospacing="0"/>
              <w:ind w:left="422" w:right="0" w:hanging="422"/>
              <w:rPr>
                <w:rFonts w:hint="default"/>
                <w:b/>
                <w:szCs w:val="20"/>
              </w:rPr>
            </w:pPr>
          </w:p>
        </w:tc>
        <w:tc>
          <w:tcPr>
            <w:tcW w:w="2209" w:type="dxa"/>
          </w:tcPr>
          <w:p>
            <w:pPr>
              <w:pStyle w:val="39"/>
              <w:keepNext w:val="0"/>
              <w:keepLines w:val="0"/>
              <w:suppressLineNumbers w:val="0"/>
              <w:spacing w:before="0" w:beforeAutospacing="0" w:afterAutospacing="0"/>
              <w:ind w:left="422" w:right="0" w:hanging="422"/>
              <w:rPr>
                <w:rFonts w:hint="default"/>
                <w:b/>
                <w:szCs w:val="20"/>
              </w:rPr>
            </w:pPr>
          </w:p>
        </w:tc>
        <w:tc>
          <w:tcPr>
            <w:tcW w:w="1425" w:type="dxa"/>
          </w:tcPr>
          <w:p>
            <w:pPr>
              <w:pStyle w:val="39"/>
              <w:keepNext w:val="0"/>
              <w:keepLines w:val="0"/>
              <w:suppressLineNumbers w:val="0"/>
              <w:spacing w:before="0" w:beforeAutospacing="0" w:afterAutospacing="0"/>
              <w:ind w:left="422" w:right="0" w:hanging="422"/>
              <w:rPr>
                <w:rFonts w:hint="default"/>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39"/>
              <w:keepNext w:val="0"/>
              <w:keepLines w:val="0"/>
              <w:suppressLineNumbers w:val="0"/>
              <w:spacing w:before="0" w:beforeAutospacing="0" w:afterAutospacing="0"/>
              <w:ind w:left="422" w:right="0" w:hanging="422" w:firstLineChars="0"/>
              <w:rPr>
                <w:rFonts w:hint="default"/>
                <w:b/>
                <w:szCs w:val="20"/>
              </w:rPr>
            </w:pPr>
          </w:p>
        </w:tc>
        <w:tc>
          <w:tcPr>
            <w:tcW w:w="1785" w:type="dxa"/>
          </w:tcPr>
          <w:p>
            <w:pPr>
              <w:pStyle w:val="39"/>
              <w:keepNext w:val="0"/>
              <w:keepLines w:val="0"/>
              <w:suppressLineNumbers w:val="0"/>
              <w:spacing w:before="0" w:beforeAutospacing="0" w:afterAutospacing="0"/>
              <w:ind w:left="422" w:right="0" w:hanging="422" w:firstLineChars="0"/>
              <w:rPr>
                <w:rFonts w:hint="default"/>
                <w:b/>
                <w:szCs w:val="20"/>
              </w:rPr>
            </w:pPr>
          </w:p>
        </w:tc>
        <w:tc>
          <w:tcPr>
            <w:tcW w:w="978" w:type="dxa"/>
          </w:tcPr>
          <w:p>
            <w:pPr>
              <w:pStyle w:val="39"/>
              <w:keepNext w:val="0"/>
              <w:keepLines w:val="0"/>
              <w:suppressLineNumbers w:val="0"/>
              <w:spacing w:before="0" w:beforeAutospacing="0" w:afterAutospacing="0"/>
              <w:ind w:left="422" w:right="0" w:hanging="422" w:firstLineChars="0"/>
              <w:rPr>
                <w:rFonts w:hint="default"/>
                <w:b/>
                <w:szCs w:val="20"/>
              </w:rPr>
            </w:pPr>
          </w:p>
        </w:tc>
        <w:tc>
          <w:tcPr>
            <w:tcW w:w="1252" w:type="dxa"/>
          </w:tcPr>
          <w:p>
            <w:pPr>
              <w:pStyle w:val="39"/>
              <w:keepNext w:val="0"/>
              <w:keepLines w:val="0"/>
              <w:suppressLineNumbers w:val="0"/>
              <w:spacing w:before="0" w:beforeAutospacing="0" w:afterAutospacing="0"/>
              <w:ind w:left="422" w:right="0" w:hanging="422" w:firstLineChars="0"/>
              <w:rPr>
                <w:rFonts w:hint="default"/>
                <w:b/>
                <w:szCs w:val="20"/>
              </w:rPr>
            </w:pPr>
          </w:p>
        </w:tc>
        <w:tc>
          <w:tcPr>
            <w:tcW w:w="927" w:type="dxa"/>
          </w:tcPr>
          <w:p>
            <w:pPr>
              <w:pStyle w:val="39"/>
              <w:keepNext w:val="0"/>
              <w:keepLines w:val="0"/>
              <w:suppressLineNumbers w:val="0"/>
              <w:spacing w:before="0" w:beforeAutospacing="0" w:afterAutospacing="0"/>
              <w:ind w:left="422" w:right="0" w:hanging="422" w:firstLineChars="0"/>
              <w:rPr>
                <w:rFonts w:hint="default"/>
                <w:b/>
                <w:szCs w:val="20"/>
              </w:rPr>
            </w:pPr>
          </w:p>
        </w:tc>
        <w:tc>
          <w:tcPr>
            <w:tcW w:w="2209" w:type="dxa"/>
          </w:tcPr>
          <w:p>
            <w:pPr>
              <w:pStyle w:val="39"/>
              <w:keepNext w:val="0"/>
              <w:keepLines w:val="0"/>
              <w:suppressLineNumbers w:val="0"/>
              <w:spacing w:before="0" w:beforeAutospacing="0" w:afterAutospacing="0"/>
              <w:ind w:left="422" w:right="0" w:hanging="422" w:firstLineChars="0"/>
              <w:rPr>
                <w:rFonts w:hint="default"/>
                <w:b/>
                <w:szCs w:val="20"/>
              </w:rPr>
            </w:pPr>
          </w:p>
        </w:tc>
        <w:tc>
          <w:tcPr>
            <w:tcW w:w="1425" w:type="dxa"/>
          </w:tcPr>
          <w:p>
            <w:pPr>
              <w:pStyle w:val="39"/>
              <w:keepNext w:val="0"/>
              <w:keepLines w:val="0"/>
              <w:suppressLineNumbers w:val="0"/>
              <w:spacing w:before="0" w:beforeAutospacing="0" w:afterAutospacing="0"/>
              <w:ind w:left="422" w:right="0" w:hanging="422" w:firstLineChars="0"/>
              <w:rPr>
                <w:rFonts w:hint="default"/>
                <w:b/>
                <w:szCs w:val="20"/>
              </w:rPr>
            </w:pPr>
          </w:p>
        </w:tc>
      </w:tr>
    </w:tbl>
    <w:p>
      <w:pPr>
        <w:spacing w:line="0" w:lineRule="atLeast"/>
        <w:rPr>
          <w:sz w:val="24"/>
        </w:rPr>
      </w:pPr>
      <w:r>
        <w:rPr>
          <w:sz w:val="24"/>
        </w:rPr>
        <w:t>注：</w:t>
      </w:r>
      <w:r>
        <w:rPr>
          <w:kern w:val="0"/>
          <w:sz w:val="24"/>
        </w:rPr>
        <w:t>提供近三年同类产品的制造销售业绩</w:t>
      </w:r>
      <w:r>
        <w:rPr>
          <w:sz w:val="24"/>
        </w:rPr>
        <w:t>，并附合同复印件。</w:t>
      </w:r>
    </w:p>
    <w:p>
      <w:pPr>
        <w:spacing w:line="660" w:lineRule="exact"/>
        <w:rPr>
          <w:sz w:val="24"/>
        </w:rPr>
      </w:pPr>
      <w:r>
        <w:rPr>
          <w:sz w:val="24"/>
        </w:rPr>
        <w:t>投标人：（盖章）</w:t>
      </w:r>
    </w:p>
    <w:p>
      <w:pPr>
        <w:spacing w:line="660" w:lineRule="exact"/>
        <w:rPr>
          <w:sz w:val="24"/>
        </w:rPr>
      </w:pPr>
      <w:r>
        <w:rPr>
          <w:sz w:val="24"/>
        </w:rPr>
        <w:t>法定代表人（委托代理人）：（签字）</w:t>
      </w:r>
    </w:p>
    <w:p>
      <w:pPr>
        <w:spacing w:line="660" w:lineRule="exact"/>
        <w:rPr>
          <w:sz w:val="24"/>
        </w:rPr>
      </w:pPr>
      <w:r>
        <w:rPr>
          <w:sz w:val="24"/>
        </w:rPr>
        <w:t>日  期：    年    月    日</w:t>
      </w:r>
    </w:p>
    <w:p>
      <w:r>
        <w:br w:type="page"/>
      </w:r>
    </w:p>
    <w:p>
      <w:pPr>
        <w:spacing w:before="312" w:beforeLines="100" w:after="312" w:afterLines="100" w:line="360" w:lineRule="auto"/>
        <w:outlineLvl w:val="0"/>
        <w:rPr>
          <w:b/>
          <w:color w:val="000000"/>
          <w:sz w:val="24"/>
          <w:szCs w:val="24"/>
        </w:rPr>
      </w:pPr>
      <w:bookmarkStart w:id="324" w:name="_Toc292094607"/>
      <w:bookmarkStart w:id="325" w:name="_Toc1795055959"/>
      <w:bookmarkStart w:id="326" w:name="_Toc22898"/>
      <w:r>
        <w:rPr>
          <w:b/>
          <w:color w:val="000000"/>
          <w:sz w:val="24"/>
          <w:szCs w:val="24"/>
        </w:rPr>
        <w:t>附件六、</w:t>
      </w:r>
      <w:bookmarkStart w:id="327" w:name="_Toc518655813"/>
      <w:bookmarkStart w:id="328" w:name="_Toc353881021"/>
      <w:bookmarkStart w:id="329" w:name="_Toc75969937"/>
      <w:bookmarkStart w:id="330" w:name="_Toc28044"/>
      <w:bookmarkStart w:id="331" w:name="_Toc28878"/>
      <w:bookmarkStart w:id="332" w:name="_Toc424118190"/>
      <w:r>
        <w:rPr>
          <w:b/>
          <w:color w:val="000000"/>
          <w:sz w:val="24"/>
          <w:szCs w:val="24"/>
        </w:rPr>
        <w:t>质保期及服务承诺函</w:t>
      </w:r>
      <w:bookmarkEnd w:id="324"/>
      <w:bookmarkEnd w:id="325"/>
      <w:bookmarkEnd w:id="326"/>
      <w:bookmarkEnd w:id="327"/>
      <w:bookmarkEnd w:id="328"/>
      <w:bookmarkEnd w:id="329"/>
      <w:bookmarkEnd w:id="330"/>
      <w:bookmarkEnd w:id="331"/>
      <w:bookmarkEnd w:id="332"/>
    </w:p>
    <w:p>
      <w:pPr>
        <w:pStyle w:val="2"/>
        <w:spacing w:line="460" w:lineRule="exact"/>
        <w:jc w:val="center"/>
        <w:rPr>
          <w:b/>
          <w:bCs/>
          <w:sz w:val="32"/>
          <w:szCs w:val="32"/>
        </w:rPr>
      </w:pPr>
      <w:r>
        <w:rPr>
          <w:b/>
          <w:bCs/>
          <w:sz w:val="32"/>
          <w:szCs w:val="32"/>
        </w:rPr>
        <w:t>服务承诺函</w:t>
      </w:r>
    </w:p>
    <w:p>
      <w:pPr>
        <w:spacing w:line="240" w:lineRule="exact"/>
        <w:jc w:val="center"/>
        <w:rPr>
          <w:b/>
          <w:bCs/>
          <w:sz w:val="28"/>
          <w:szCs w:val="28"/>
        </w:rPr>
      </w:pPr>
    </w:p>
    <w:p>
      <w:pPr>
        <w:spacing w:line="360" w:lineRule="auto"/>
        <w:rPr>
          <w:sz w:val="24"/>
          <w:szCs w:val="24"/>
          <w:u w:val="single"/>
        </w:rPr>
      </w:pPr>
      <w:r>
        <w:rPr>
          <w:sz w:val="24"/>
          <w:szCs w:val="24"/>
        </w:rPr>
        <w:t>项目名称：</w:t>
      </w:r>
      <w:r>
        <w:rPr>
          <w:rFonts w:hint="eastAsia"/>
          <w:color w:val="000000"/>
          <w:sz w:val="24"/>
        </w:rPr>
        <w:t>焊枪仿型引导工具免示教技术</w:t>
      </w:r>
      <w:r>
        <w:rPr>
          <w:color w:val="000000"/>
          <w:sz w:val="24"/>
          <w:szCs w:val="24"/>
        </w:rPr>
        <w:t>项目</w:t>
      </w:r>
    </w:p>
    <w:p>
      <w:pPr>
        <w:pStyle w:val="31"/>
        <w:adjustRightInd w:val="0"/>
        <w:snapToGrid w:val="0"/>
        <w:spacing w:before="93" w:beforeLines="30" w:line="360" w:lineRule="auto"/>
        <w:rPr>
          <w:i/>
          <w:iCs/>
          <w:szCs w:val="24"/>
        </w:rPr>
      </w:pPr>
      <w:r>
        <w:rPr>
          <w:b/>
          <w:color w:val="000000"/>
          <w:spacing w:val="-20"/>
          <w:szCs w:val="24"/>
        </w:rPr>
        <w:t>中通客车股份有限公司</w:t>
      </w:r>
      <w:r>
        <w:rPr>
          <w:szCs w:val="24"/>
        </w:rPr>
        <w:t>：</w:t>
      </w:r>
    </w:p>
    <w:p>
      <w:pPr>
        <w:spacing w:line="360" w:lineRule="auto"/>
        <w:ind w:firstLine="480"/>
        <w:rPr>
          <w:sz w:val="24"/>
          <w:szCs w:val="24"/>
        </w:rPr>
      </w:pPr>
      <w:r>
        <w:rPr>
          <w:sz w:val="24"/>
          <w:szCs w:val="24"/>
        </w:rPr>
        <w:t>我代表（投标单位名称）对中标合同产品的质保及服务作如下承诺：</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sz w:val="24"/>
        </w:rPr>
        <w:t>投标人：（盖章）</w:t>
      </w:r>
    </w:p>
    <w:p>
      <w:pPr>
        <w:spacing w:line="660" w:lineRule="exact"/>
        <w:rPr>
          <w:sz w:val="24"/>
        </w:rPr>
      </w:pPr>
      <w:r>
        <w:rPr>
          <w:sz w:val="24"/>
        </w:rPr>
        <w:t>法定代表人（委托代理人）：（签字）</w:t>
      </w:r>
    </w:p>
    <w:p>
      <w:pPr>
        <w:spacing w:line="660" w:lineRule="exact"/>
        <w:rPr>
          <w:sz w:val="24"/>
        </w:rPr>
      </w:pPr>
      <w:r>
        <w:rPr>
          <w:sz w:val="24"/>
        </w:rPr>
        <w:t>日期：       年    月    日</w:t>
      </w:r>
    </w:p>
    <w:p>
      <w:pPr>
        <w:spacing w:line="660" w:lineRule="exact"/>
        <w:rPr>
          <w:sz w:val="24"/>
        </w:rPr>
      </w:pPr>
      <w:r>
        <w:rPr>
          <w:sz w:val="24"/>
        </w:rPr>
        <w:br w:type="page"/>
      </w:r>
    </w:p>
    <w:p>
      <w:pPr>
        <w:spacing w:before="312" w:beforeLines="100" w:after="312" w:afterLines="100" w:line="360" w:lineRule="auto"/>
        <w:outlineLvl w:val="0"/>
        <w:rPr>
          <w:b/>
          <w:color w:val="000000"/>
          <w:sz w:val="24"/>
          <w:szCs w:val="24"/>
        </w:rPr>
      </w:pPr>
      <w:bookmarkStart w:id="333" w:name="_Toc1907364040"/>
      <w:bookmarkStart w:id="334" w:name="_Toc7566"/>
      <w:bookmarkStart w:id="335" w:name="_Toc1552625905"/>
      <w:r>
        <w:rPr>
          <w:b/>
          <w:color w:val="000000"/>
          <w:sz w:val="24"/>
          <w:szCs w:val="24"/>
        </w:rPr>
        <w:t>附件七、</w:t>
      </w:r>
      <w:r>
        <w:rPr>
          <w:rFonts w:hint="eastAsia"/>
          <w:b/>
          <w:color w:val="000000"/>
          <w:sz w:val="24"/>
          <w:szCs w:val="24"/>
        </w:rPr>
        <w:t>焊枪仿型引导工具免示教技术</w:t>
      </w:r>
      <w:r>
        <w:rPr>
          <w:b/>
          <w:color w:val="000000"/>
          <w:sz w:val="24"/>
          <w:szCs w:val="24"/>
        </w:rPr>
        <w:t>项目----投标函</w:t>
      </w:r>
      <w:bookmarkEnd w:id="333"/>
      <w:bookmarkEnd w:id="334"/>
      <w:bookmarkEnd w:id="335"/>
    </w:p>
    <w:p>
      <w:pPr>
        <w:keepNext/>
        <w:keepLines/>
        <w:numPr>
          <w:ilvl w:val="2"/>
          <w:numId w:val="0"/>
        </w:numPr>
        <w:adjustRightInd w:val="0"/>
        <w:spacing w:line="360" w:lineRule="auto"/>
        <w:jc w:val="center"/>
        <w:textAlignment w:val="baseline"/>
        <w:rPr>
          <w:b/>
          <w:color w:val="000000"/>
          <w:sz w:val="32"/>
          <w:szCs w:val="32"/>
        </w:rPr>
      </w:pPr>
      <w:r>
        <w:rPr>
          <w:b/>
          <w:color w:val="000000"/>
          <w:sz w:val="32"/>
          <w:szCs w:val="32"/>
        </w:rPr>
        <w:t>投标函</w:t>
      </w:r>
    </w:p>
    <w:p>
      <w:pPr>
        <w:tabs>
          <w:tab w:val="left" w:pos="3600"/>
        </w:tabs>
        <w:autoSpaceDE w:val="0"/>
        <w:autoSpaceDN w:val="0"/>
        <w:adjustRightInd w:val="0"/>
        <w:spacing w:line="360" w:lineRule="auto"/>
        <w:ind w:right="-20"/>
        <w:jc w:val="left"/>
        <w:rPr>
          <w:snapToGrid w:val="0"/>
          <w:color w:val="000000"/>
          <w:kern w:val="0"/>
          <w:sz w:val="24"/>
          <w:szCs w:val="24"/>
        </w:rPr>
      </w:pPr>
      <w:r>
        <w:rPr>
          <w:b/>
          <w:color w:val="000000"/>
          <w:spacing w:val="-20"/>
          <w:sz w:val="24"/>
          <w:szCs w:val="24"/>
        </w:rPr>
        <w:t>中通客车股份有限公司</w:t>
      </w:r>
      <w:r>
        <w:rPr>
          <w:snapToGrid w:val="0"/>
          <w:color w:val="000000"/>
          <w:kern w:val="0"/>
          <w:sz w:val="24"/>
          <w:szCs w:val="24"/>
        </w:rPr>
        <w:t>：</w:t>
      </w:r>
    </w:p>
    <w:p>
      <w:pPr>
        <w:spacing w:line="360" w:lineRule="auto"/>
        <w:ind w:firstLine="480" w:firstLineChars="200"/>
        <w:rPr>
          <w:sz w:val="24"/>
          <w:szCs w:val="24"/>
        </w:rPr>
      </w:pPr>
      <w:r>
        <w:rPr>
          <w:color w:val="000000"/>
          <w:sz w:val="24"/>
          <w:szCs w:val="24"/>
        </w:rPr>
        <w:t>1．我方已仔细研究了</w:t>
      </w:r>
      <w:r>
        <w:rPr>
          <w:rFonts w:hint="eastAsia"/>
          <w:color w:val="000000"/>
          <w:sz w:val="24"/>
          <w:szCs w:val="24"/>
        </w:rPr>
        <w:t>焊枪仿型引导工具免示教技术</w:t>
      </w:r>
      <w:r>
        <w:rPr>
          <w:color w:val="000000"/>
          <w:sz w:val="24"/>
          <w:szCs w:val="24"/>
        </w:rPr>
        <w:t>项目招标文件的全部内容，愿意以人民币（¥）</w:t>
      </w:r>
      <w:r>
        <w:rPr>
          <w:color w:val="000000"/>
          <w:sz w:val="24"/>
          <w:szCs w:val="24"/>
          <w:u w:val="single"/>
        </w:rPr>
        <w:tab/>
      </w:r>
      <w:r>
        <w:rPr>
          <w:color w:val="000000"/>
          <w:sz w:val="24"/>
          <w:szCs w:val="24"/>
        </w:rPr>
        <w:t>元（大写：</w:t>
      </w:r>
      <w:r>
        <w:rPr>
          <w:rFonts w:hint="eastAsia"/>
          <w:color w:val="000000"/>
          <w:sz w:val="24"/>
          <w:szCs w:val="24"/>
          <w:u w:val="single"/>
        </w:rPr>
        <w:t xml:space="preserve">     </w:t>
      </w:r>
      <w:r>
        <w:rPr>
          <w:color w:val="000000"/>
          <w:sz w:val="24"/>
          <w:szCs w:val="24"/>
        </w:rPr>
        <w:t>）的投标总报价，</w:t>
      </w:r>
      <w:r>
        <w:rPr>
          <w:sz w:val="24"/>
        </w:rPr>
        <w:t>报价包含全套设备的设计、制造、调试、运输、保险、服务、13%增值税等所有相关费用的总和。</w:t>
      </w:r>
    </w:p>
    <w:p>
      <w:pPr>
        <w:spacing w:line="360" w:lineRule="auto"/>
        <w:ind w:firstLine="424" w:firstLineChars="177"/>
        <w:rPr>
          <w:color w:val="000000"/>
          <w:sz w:val="24"/>
          <w:szCs w:val="24"/>
        </w:rPr>
      </w:pPr>
      <w:r>
        <w:rPr>
          <w:color w:val="000000"/>
          <w:sz w:val="24"/>
          <w:szCs w:val="24"/>
        </w:rPr>
        <w:t>2．我方承诺在投标有效期内不修改、撤销投标文件。</w:t>
      </w:r>
    </w:p>
    <w:p>
      <w:pPr>
        <w:spacing w:line="360" w:lineRule="auto"/>
        <w:ind w:firstLine="424" w:firstLineChars="177"/>
        <w:rPr>
          <w:color w:val="000000"/>
          <w:sz w:val="24"/>
          <w:szCs w:val="24"/>
        </w:rPr>
      </w:pPr>
      <w:r>
        <w:rPr>
          <w:color w:val="000000"/>
          <w:sz w:val="24"/>
          <w:szCs w:val="24"/>
        </w:rPr>
        <w:t>3．如我方中标：</w:t>
      </w:r>
    </w:p>
    <w:p>
      <w:pPr>
        <w:spacing w:line="360" w:lineRule="auto"/>
        <w:ind w:firstLine="424" w:firstLineChars="177"/>
        <w:rPr>
          <w:color w:val="000000"/>
          <w:sz w:val="24"/>
          <w:szCs w:val="24"/>
        </w:rPr>
      </w:pPr>
      <w:r>
        <w:rPr>
          <w:color w:val="000000"/>
          <w:sz w:val="24"/>
          <w:szCs w:val="24"/>
        </w:rPr>
        <w:t>（1）我方承诺在规定的期限内与你方签订合同。</w:t>
      </w:r>
    </w:p>
    <w:p>
      <w:pPr>
        <w:spacing w:line="360" w:lineRule="auto"/>
        <w:ind w:firstLine="424" w:firstLineChars="177"/>
        <w:rPr>
          <w:color w:val="000000"/>
          <w:sz w:val="24"/>
          <w:szCs w:val="24"/>
        </w:rPr>
      </w:pPr>
      <w:r>
        <w:rPr>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color w:val="000000"/>
          <w:sz w:val="24"/>
          <w:szCs w:val="24"/>
          <w:u w:val="single"/>
        </w:rPr>
        <w:tab/>
      </w:r>
      <w:r>
        <w:rPr>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snapToGrid w:val="0"/>
          <w:color w:val="000000"/>
          <w:kern w:val="0"/>
          <w:sz w:val="24"/>
          <w:szCs w:val="24"/>
        </w:rPr>
      </w:pPr>
      <w:r>
        <w:rPr>
          <w:snapToGrid w:val="0"/>
          <w:color w:val="000000"/>
          <w:kern w:val="0"/>
          <w:sz w:val="24"/>
          <w:szCs w:val="24"/>
        </w:rPr>
        <w:t>投标人：</w:t>
      </w:r>
      <w:r>
        <w:rPr>
          <w:snapToGrid w:val="0"/>
          <w:color w:val="000000"/>
          <w:kern w:val="0"/>
          <w:sz w:val="24"/>
          <w:szCs w:val="24"/>
          <w:u w:val="single"/>
        </w:rPr>
        <w:t xml:space="preserve">                　　　　　         </w:t>
      </w:r>
      <w:r>
        <w:rPr>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snapToGrid w:val="0"/>
          <w:color w:val="000000"/>
          <w:kern w:val="0"/>
          <w:sz w:val="24"/>
          <w:szCs w:val="24"/>
        </w:rPr>
      </w:pPr>
      <w:r>
        <w:rPr>
          <w:snapToGrid w:val="0"/>
          <w:color w:val="000000"/>
          <w:kern w:val="0"/>
          <w:sz w:val="24"/>
          <w:szCs w:val="24"/>
        </w:rPr>
        <w:t>法定代表或授权代表：</w:t>
      </w:r>
      <w:r>
        <w:rPr>
          <w:snapToGrid w:val="0"/>
          <w:color w:val="000000"/>
          <w:kern w:val="0"/>
          <w:sz w:val="24"/>
          <w:szCs w:val="24"/>
          <w:u w:val="single"/>
        </w:rPr>
        <w:tab/>
      </w:r>
      <w:r>
        <w:rPr>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snapToGrid w:val="0"/>
          <w:color w:val="000000"/>
          <w:kern w:val="0"/>
          <w:sz w:val="24"/>
          <w:szCs w:val="24"/>
        </w:rPr>
      </w:pPr>
      <w:r>
        <w:rPr>
          <w:snapToGrid w:val="0"/>
          <w:color w:val="000000"/>
          <w:kern w:val="0"/>
          <w:sz w:val="24"/>
          <w:szCs w:val="24"/>
        </w:rPr>
        <w:t>地址：</w:t>
      </w:r>
      <w:r>
        <w:rPr>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snapToGrid w:val="0"/>
          <w:color w:val="000000"/>
          <w:kern w:val="0"/>
          <w:sz w:val="24"/>
          <w:szCs w:val="24"/>
        </w:rPr>
      </w:pPr>
      <w:r>
        <w:rPr>
          <w:snapToGrid w:val="0"/>
          <w:color w:val="000000"/>
          <w:kern w:val="0"/>
          <w:sz w:val="24"/>
          <w:szCs w:val="24"/>
        </w:rPr>
        <w:t>网址：</w:t>
      </w:r>
      <w:r>
        <w:rPr>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snapToGrid w:val="0"/>
          <w:color w:val="000000"/>
          <w:kern w:val="0"/>
          <w:sz w:val="24"/>
          <w:szCs w:val="24"/>
        </w:rPr>
      </w:pPr>
      <w:r>
        <w:rPr>
          <w:snapToGrid w:val="0"/>
          <w:color w:val="000000"/>
          <w:kern w:val="0"/>
          <w:sz w:val="24"/>
          <w:szCs w:val="24"/>
        </w:rPr>
        <w:t>电话：</w:t>
      </w:r>
      <w:r>
        <w:rPr>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snapToGrid w:val="0"/>
          <w:color w:val="000000"/>
          <w:kern w:val="0"/>
          <w:sz w:val="24"/>
          <w:szCs w:val="24"/>
          <w:u w:val="single"/>
        </w:rPr>
      </w:pPr>
      <w:r>
        <w:rPr>
          <w:snapToGrid w:val="0"/>
          <w:color w:val="000000"/>
          <w:kern w:val="0"/>
          <w:sz w:val="24"/>
          <w:szCs w:val="24"/>
        </w:rPr>
        <w:t>邮政编码：</w:t>
      </w:r>
      <w:r>
        <w:rPr>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snapToGrid w:val="0"/>
          <w:color w:val="000000"/>
          <w:kern w:val="0"/>
          <w:sz w:val="24"/>
          <w:szCs w:val="24"/>
        </w:rPr>
      </w:pPr>
      <w:r>
        <w:rPr>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snapToGrid w:val="0"/>
          <w:color w:val="000000"/>
          <w:kern w:val="0"/>
          <w:sz w:val="24"/>
          <w:szCs w:val="24"/>
        </w:rPr>
      </w:pPr>
    </w:p>
    <w:p>
      <w:pPr>
        <w:widowControl/>
        <w:jc w:val="left"/>
        <w:outlineLvl w:val="0"/>
        <w:rPr>
          <w:b/>
          <w:color w:val="000000"/>
          <w:sz w:val="24"/>
          <w:szCs w:val="24"/>
        </w:rPr>
      </w:pPr>
      <w:r>
        <w:rPr>
          <w:b/>
          <w:color w:val="000000"/>
          <w:sz w:val="24"/>
          <w:szCs w:val="24"/>
        </w:rPr>
        <w:br w:type="page"/>
      </w:r>
      <w:bookmarkStart w:id="336" w:name="_Toc1462735139"/>
      <w:bookmarkStart w:id="337" w:name="_Toc1552728945"/>
      <w:bookmarkStart w:id="338" w:name="_Toc11235"/>
      <w:r>
        <w:rPr>
          <w:b/>
          <w:color w:val="000000"/>
          <w:sz w:val="24"/>
          <w:szCs w:val="24"/>
        </w:rPr>
        <w:t>附件八、</w:t>
      </w:r>
      <w:r>
        <w:rPr>
          <w:rFonts w:hint="eastAsia"/>
          <w:b/>
          <w:color w:val="000000"/>
          <w:sz w:val="24"/>
          <w:szCs w:val="24"/>
        </w:rPr>
        <w:t>焊枪仿型引导工具免示教技术</w:t>
      </w:r>
      <w:r>
        <w:rPr>
          <w:b/>
          <w:color w:val="000000"/>
          <w:sz w:val="24"/>
          <w:szCs w:val="24"/>
        </w:rPr>
        <w:t>项目----报价明细</w:t>
      </w:r>
      <w:bookmarkEnd w:id="336"/>
      <w:bookmarkEnd w:id="337"/>
      <w:bookmarkEnd w:id="338"/>
    </w:p>
    <w:p>
      <w:pPr>
        <w:widowControl/>
        <w:jc w:val="left"/>
        <w:rPr>
          <w:b/>
          <w:color w:val="000000"/>
          <w:sz w:val="24"/>
          <w:szCs w:val="24"/>
        </w:rPr>
      </w:pPr>
    </w:p>
    <w:tbl>
      <w:tblPr>
        <w:tblStyle w:val="50"/>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87"/>
        <w:gridCol w:w="1140"/>
        <w:gridCol w:w="850"/>
        <w:gridCol w:w="1134"/>
        <w:gridCol w:w="709"/>
        <w:gridCol w:w="709"/>
        <w:gridCol w:w="117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序号</w:t>
            </w:r>
          </w:p>
        </w:tc>
        <w:tc>
          <w:tcPr>
            <w:tcW w:w="1887"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关键部件名称</w:t>
            </w:r>
          </w:p>
        </w:tc>
        <w:tc>
          <w:tcPr>
            <w:tcW w:w="1140"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eastAsia"/>
                <w:b/>
                <w:kern w:val="0"/>
                <w:szCs w:val="21"/>
              </w:rPr>
              <w:t>品牌</w:t>
            </w:r>
          </w:p>
        </w:tc>
        <w:tc>
          <w:tcPr>
            <w:tcW w:w="850"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数量</w:t>
            </w:r>
          </w:p>
        </w:tc>
        <w:tc>
          <w:tcPr>
            <w:tcW w:w="1134"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不含税金额(元)</w:t>
            </w:r>
          </w:p>
        </w:tc>
        <w:tc>
          <w:tcPr>
            <w:tcW w:w="709"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税率</w:t>
            </w:r>
          </w:p>
        </w:tc>
        <w:tc>
          <w:tcPr>
            <w:tcW w:w="709"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税金</w:t>
            </w:r>
          </w:p>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(元)</w:t>
            </w:r>
          </w:p>
        </w:tc>
        <w:tc>
          <w:tcPr>
            <w:tcW w:w="1179"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含税金额(元)</w:t>
            </w:r>
          </w:p>
        </w:tc>
        <w:tc>
          <w:tcPr>
            <w:tcW w:w="944" w:type="dxa"/>
            <w:vAlign w:val="center"/>
          </w:tcPr>
          <w:p>
            <w:pPr>
              <w:keepNext w:val="0"/>
              <w:keepLines w:val="0"/>
              <w:suppressLineNumbers w:val="0"/>
              <w:spacing w:before="0" w:beforeAutospacing="0" w:after="0" w:afterAutospacing="0" w:line="360" w:lineRule="exact"/>
              <w:ind w:left="0" w:right="0"/>
              <w:jc w:val="center"/>
              <w:rPr>
                <w:rFonts w:hint="default"/>
                <w:b/>
                <w:kern w:val="0"/>
                <w:szCs w:val="21"/>
              </w:rPr>
            </w:pPr>
            <w:r>
              <w:rPr>
                <w:rFonts w:hint="default"/>
                <w:b/>
                <w:kern w:val="0"/>
                <w:szCs w:val="21"/>
              </w:rPr>
              <w:t>设计寿命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default" w:eastAsia="仿宋_GB2312"/>
                <w:szCs w:val="21"/>
              </w:rPr>
              <w:t>1</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line="440" w:lineRule="exact"/>
              <w:ind w:left="0" w:right="0"/>
              <w:jc w:val="center"/>
              <w:rPr>
                <w:rFonts w:hint="default"/>
                <w:b/>
                <w:kern w:val="0"/>
                <w:szCs w:val="21"/>
              </w:rPr>
            </w:pPr>
          </w:p>
        </w:tc>
        <w:tc>
          <w:tcPr>
            <w:tcW w:w="944" w:type="dxa"/>
            <w:vAlign w:val="center"/>
          </w:tcPr>
          <w:p>
            <w:pPr>
              <w:keepNext w:val="0"/>
              <w:keepLines w:val="0"/>
              <w:suppressLineNumbers w:val="0"/>
              <w:spacing w:before="0" w:beforeAutospacing="0" w:after="0" w:afterAutospacing="0" w:line="440" w:lineRule="exact"/>
              <w:ind w:left="0" w:right="0"/>
              <w:jc w:val="center"/>
              <w:rPr>
                <w:rFonts w:hint="default"/>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Merge w:val="restart"/>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default" w:eastAsia="仿宋_GB2312"/>
                <w:szCs w:val="21"/>
              </w:rPr>
              <w:t>2</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Merge w:val="continue"/>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 w:val="24"/>
                <w:szCs w:val="24"/>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default" w:eastAsia="仿宋_GB2312"/>
                <w:szCs w:val="21"/>
              </w:rPr>
              <w:t>3</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default" w:eastAsia="仿宋_GB2312"/>
                <w:szCs w:val="21"/>
              </w:rPr>
              <w:t>4</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default" w:eastAsia="仿宋_GB2312"/>
                <w:szCs w:val="21"/>
              </w:rPr>
              <w:t>5</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default" w:eastAsia="仿宋_GB2312"/>
                <w:szCs w:val="21"/>
              </w:rPr>
              <w:t>6</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eastAsia" w:eastAsia="仿宋_GB2312"/>
                <w:szCs w:val="21"/>
              </w:rPr>
              <w:t>7</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eastAsia" w:eastAsia="仿宋_GB2312"/>
                <w:szCs w:val="21"/>
              </w:rPr>
              <w:t>8</w:t>
            </w:r>
          </w:p>
        </w:tc>
        <w:tc>
          <w:tcPr>
            <w:tcW w:w="1887" w:type="dxa"/>
            <w:vAlign w:val="center"/>
          </w:tcPr>
          <w:p>
            <w:pPr>
              <w:keepNext w:val="0"/>
              <w:keepLines w:val="0"/>
              <w:suppressLineNumbers w:val="0"/>
              <w:spacing w:before="0" w:beforeAutospacing="0" w:after="0" w:afterAutospacing="0" w:line="360" w:lineRule="auto"/>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r>
              <w:rPr>
                <w:rFonts w:hint="eastAsia" w:eastAsia="仿宋_GB2312"/>
                <w:szCs w:val="21"/>
              </w:rPr>
              <w:t>.....</w:t>
            </w:r>
          </w:p>
        </w:tc>
        <w:tc>
          <w:tcPr>
            <w:tcW w:w="1887" w:type="dxa"/>
            <w:vAlign w:val="center"/>
          </w:tcPr>
          <w:p>
            <w:pPr>
              <w:keepNext w:val="0"/>
              <w:keepLines w:val="0"/>
              <w:suppressLineNumbers w:val="0"/>
              <w:spacing w:before="0" w:beforeAutospacing="0" w:after="0" w:afterAutospacing="0"/>
              <w:ind w:left="0" w:right="0"/>
              <w:jc w:val="center"/>
              <w:rPr>
                <w:rFonts w:hint="default"/>
                <w:szCs w:val="21"/>
              </w:rPr>
            </w:pPr>
          </w:p>
        </w:tc>
        <w:tc>
          <w:tcPr>
            <w:tcW w:w="1140" w:type="dxa"/>
            <w:vAlign w:val="center"/>
          </w:tcPr>
          <w:p>
            <w:pPr>
              <w:keepNext w:val="0"/>
              <w:keepLines w:val="0"/>
              <w:suppressLineNumbers w:val="0"/>
              <w:spacing w:before="0" w:beforeAutospacing="0" w:after="0" w:afterAutospacing="0"/>
              <w:ind w:left="0" w:right="0"/>
              <w:jc w:val="center"/>
              <w:rPr>
                <w:rFonts w:hint="default"/>
                <w:szCs w:val="21"/>
              </w:rPr>
            </w:pPr>
          </w:p>
        </w:tc>
        <w:tc>
          <w:tcPr>
            <w:tcW w:w="850" w:type="dxa"/>
            <w:vAlign w:val="center"/>
          </w:tcPr>
          <w:p>
            <w:pPr>
              <w:keepNext w:val="0"/>
              <w:keepLines w:val="0"/>
              <w:suppressLineNumbers w:val="0"/>
              <w:spacing w:before="0" w:beforeAutospacing="0" w:after="0" w:afterAutospacing="0" w:line="276" w:lineRule="auto"/>
              <w:ind w:left="0" w:right="0"/>
              <w:jc w:val="center"/>
              <w:rPr>
                <w:rFonts w:hint="default" w:eastAsia="仿宋_GB2312"/>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85" w:type="dxa"/>
            <w:gridSpan w:val="4"/>
            <w:vAlign w:val="center"/>
          </w:tcPr>
          <w:p>
            <w:pPr>
              <w:keepNext w:val="0"/>
              <w:keepLines w:val="0"/>
              <w:suppressLineNumbers w:val="0"/>
              <w:spacing w:before="0" w:beforeAutospacing="0" w:after="0" w:afterAutospacing="0" w:line="276" w:lineRule="auto"/>
              <w:ind w:left="0" w:right="0"/>
              <w:jc w:val="center"/>
              <w:rPr>
                <w:rFonts w:hint="default" w:eastAsia="仿宋_GB2312"/>
                <w:szCs w:val="21"/>
              </w:rPr>
            </w:pPr>
            <w:r>
              <w:rPr>
                <w:rFonts w:hint="default" w:eastAsia="仿宋_GB2312"/>
                <w:szCs w:val="21"/>
              </w:rPr>
              <w:t>合计</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eastAsia="仿宋_GB2312"/>
                <w:szCs w:val="21"/>
              </w:rPr>
            </w:pPr>
          </w:p>
        </w:tc>
        <w:tc>
          <w:tcPr>
            <w:tcW w:w="1179" w:type="dxa"/>
            <w:vAlign w:val="center"/>
          </w:tcPr>
          <w:p>
            <w:pPr>
              <w:keepNext w:val="0"/>
              <w:keepLines w:val="0"/>
              <w:suppressLineNumbers w:val="0"/>
              <w:spacing w:before="0" w:beforeAutospacing="0" w:after="0" w:afterAutospacing="0"/>
              <w:ind w:left="0" w:right="0"/>
              <w:jc w:val="center"/>
              <w:rPr>
                <w:rFonts w:hint="default"/>
                <w:szCs w:val="21"/>
              </w:rPr>
            </w:pPr>
          </w:p>
        </w:tc>
        <w:tc>
          <w:tcPr>
            <w:tcW w:w="944"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jc w:val="center"/>
        </w:trPr>
        <w:tc>
          <w:tcPr>
            <w:tcW w:w="9260" w:type="dxa"/>
            <w:gridSpan w:val="9"/>
            <w:vAlign w:val="center"/>
          </w:tcPr>
          <w:p>
            <w:pPr>
              <w:keepNext w:val="0"/>
              <w:keepLines w:val="0"/>
              <w:suppressLineNumbers w:val="0"/>
              <w:spacing w:before="0" w:beforeAutospacing="0" w:after="0" w:afterAutospacing="0"/>
              <w:ind w:left="0" w:right="0"/>
              <w:rPr>
                <w:rFonts w:hint="eastAsia" w:ascii="宋体" w:hAnsi="宋体"/>
                <w:szCs w:val="21"/>
              </w:rPr>
            </w:pPr>
            <w:r>
              <w:rPr>
                <w:rFonts w:hint="default" w:ascii="宋体" w:hAnsi="宋体"/>
                <w:szCs w:val="21"/>
              </w:rPr>
              <w:t>付款方式：</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1、</w:t>
            </w:r>
            <w:r>
              <w:rPr>
                <w:rFonts w:hint="default" w:ascii="宋体" w:hAnsi="宋体"/>
                <w:szCs w:val="21"/>
              </w:rPr>
              <w:t>合同签订并生效后，投标方提交金额为合同总价款30%人民币的增值税专用发票（税率13%），经招标方依照财务制度审核无误后支付，作为合同的预付款。</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w:t>
            </w:r>
            <w:r>
              <w:rPr>
                <w:rFonts w:hint="default" w:ascii="宋体" w:hAnsi="宋体"/>
                <w:szCs w:val="21"/>
              </w:rPr>
              <w:t>所有设备在投标方现场预验收合格后，</w:t>
            </w:r>
            <w:r>
              <w:rPr>
                <w:rFonts w:hint="eastAsia" w:ascii="宋体" w:hAnsi="宋体"/>
                <w:szCs w:val="21"/>
                <w:lang w:val="en-US" w:eastAsia="zh-CN"/>
              </w:rPr>
              <w:t>设备到达招标方指定位置后，</w:t>
            </w:r>
            <w:r>
              <w:rPr>
                <w:rFonts w:hint="default" w:ascii="宋体" w:hAnsi="宋体"/>
                <w:szCs w:val="21"/>
              </w:rPr>
              <w:t>投标方提交金额为合同总价款30%人民币的增值税专用发票（税率13%），经招标方依照财务制度审核无误后支付。</w:t>
            </w:r>
          </w:p>
          <w:p>
            <w:pPr>
              <w:keepNext w:val="0"/>
              <w:keepLines w:val="0"/>
              <w:suppressLineNumbers w:val="0"/>
              <w:spacing w:before="0" w:beforeAutospacing="0" w:after="0" w:afterAutospacing="0"/>
              <w:ind w:left="0" w:right="0"/>
              <w:rPr>
                <w:rFonts w:hint="eastAsia" w:ascii="宋体" w:hAnsi="宋体"/>
                <w:szCs w:val="21"/>
              </w:rPr>
            </w:pPr>
            <w:r>
              <w:rPr>
                <w:rFonts w:hint="default" w:ascii="宋体" w:hAnsi="宋体"/>
                <w:szCs w:val="21"/>
              </w:rPr>
              <w:t>3、设备经安装、调试最终验收合格后，投标方开具剩余未开部分的全额增值税</w:t>
            </w:r>
            <w:r>
              <w:rPr>
                <w:rFonts w:hint="eastAsia" w:ascii="宋体" w:hAnsi="宋体"/>
                <w:szCs w:val="21"/>
                <w:lang w:val="en-US" w:eastAsia="zh-CN"/>
              </w:rPr>
              <w:t>专用</w:t>
            </w:r>
            <w:r>
              <w:rPr>
                <w:rFonts w:hint="default" w:ascii="宋体" w:hAnsi="宋体"/>
                <w:szCs w:val="21"/>
              </w:rPr>
              <w:t>发票，经招标方依照财务制度审核无误后支付合同价款的30%，作为合同的验收款。</w:t>
            </w:r>
          </w:p>
          <w:p>
            <w:pPr>
              <w:keepNext w:val="0"/>
              <w:keepLines w:val="0"/>
              <w:suppressLineNumbers w:val="0"/>
              <w:spacing w:before="0" w:beforeAutospacing="0" w:after="0" w:afterAutospacing="0"/>
              <w:ind w:left="0" w:right="0"/>
              <w:rPr>
                <w:rFonts w:hint="eastAsia" w:ascii="宋体" w:hAnsi="宋体"/>
                <w:szCs w:val="21"/>
              </w:rPr>
            </w:pPr>
            <w:r>
              <w:rPr>
                <w:rFonts w:hint="default" w:ascii="宋体" w:hAnsi="宋体"/>
                <w:szCs w:val="21"/>
              </w:rPr>
              <w:t>4、合同总价款的10%作为合同约定设备的质量保证金，在质保期满后</w:t>
            </w:r>
            <w:r>
              <w:rPr>
                <w:rFonts w:hint="eastAsia" w:ascii="宋体" w:hAnsi="宋体"/>
                <w:szCs w:val="21"/>
                <w:lang w:val="en-US" w:eastAsia="zh-CN"/>
              </w:rPr>
              <w:t>30日内无问题</w:t>
            </w:r>
            <w:r>
              <w:rPr>
                <w:rFonts w:hint="default" w:ascii="宋体" w:hAnsi="宋体"/>
                <w:szCs w:val="21"/>
              </w:rPr>
              <w:t>免息支付。</w:t>
            </w:r>
          </w:p>
          <w:p>
            <w:pPr>
              <w:keepNext w:val="0"/>
              <w:keepLines w:val="0"/>
              <w:widowControl/>
              <w:suppressLineNumbers w:val="0"/>
              <w:spacing w:before="0" w:beforeAutospacing="0" w:after="0" w:afterAutospacing="0"/>
              <w:ind w:left="0" w:right="0"/>
              <w:jc w:val="left"/>
              <w:rPr>
                <w:rFonts w:hint="default" w:ascii="宋体" w:hAnsi="宋体"/>
                <w:szCs w:val="21"/>
              </w:rPr>
            </w:pPr>
            <w:r>
              <w:rPr>
                <w:rFonts w:hint="default" w:ascii="宋体" w:hAnsi="宋体"/>
                <w:szCs w:val="21"/>
              </w:rPr>
              <w:t>5、付款方式为半年期商业汇票（包括银行承兑汇票和商业承兑汇票）。</w:t>
            </w:r>
          </w:p>
          <w:p>
            <w:pPr>
              <w:keepNext w:val="0"/>
              <w:keepLines w:val="0"/>
              <w:widowControl/>
              <w:suppressLineNumbers w:val="0"/>
              <w:spacing w:before="0" w:beforeAutospacing="0" w:after="0" w:afterAutospacing="0"/>
              <w:ind w:left="0" w:right="0"/>
              <w:jc w:val="left"/>
              <w:rPr>
                <w:rFonts w:hint="eastAsia"/>
                <w:szCs w:val="20"/>
              </w:rPr>
            </w:pPr>
            <w:r>
              <w:rPr>
                <w:rFonts w:hint="default" w:ascii="宋体" w:hAnsi="宋体" w:eastAsia="宋体" w:cs="宋体"/>
                <w:sz w:val="24"/>
                <w:szCs w:val="24"/>
              </w:rPr>
              <w:t>付款方式是否响应：</w:t>
            </w:r>
            <w:r>
              <w:rPr>
                <w:rFonts w:hint="eastAsia" w:ascii="宋体" w:hAnsi="宋体" w:cs="宋体"/>
                <w:sz w:val="24"/>
                <w:szCs w:val="24"/>
                <w:u w:val="single"/>
                <w:lang w:val="en-US" w:eastAsia="zh-CN"/>
              </w:rPr>
              <w:t xml:space="preserve">    </w:t>
            </w:r>
            <w:r>
              <w:rPr>
                <w:rFonts w:hint="default" w:ascii="宋体" w:hAnsi="宋体" w:eastAsia="宋体" w:cs="宋体"/>
                <w:sz w:val="24"/>
                <w:szCs w:val="24"/>
              </w:rPr>
              <w:t xml:space="preserve"> ，如偏离，偏离为</w:t>
            </w:r>
            <w:r>
              <w:rPr>
                <w:rFonts w:hint="eastAsia" w:ascii="宋体" w:hAnsi="宋体" w:cs="宋体"/>
                <w:sz w:val="24"/>
                <w:szCs w:val="24"/>
                <w:u w:val="single"/>
                <w:lang w:val="en-US" w:eastAsia="zh-CN"/>
              </w:rPr>
              <w:t xml:space="preserve">                       </w:t>
            </w:r>
            <w:r>
              <w:rPr>
                <w:rFonts w:hint="default" w:ascii="宋体" w:hAnsi="宋体" w:eastAsia="宋体" w:cs="宋体"/>
                <w:sz w:val="24"/>
                <w:szCs w:val="24"/>
                <w:u w:val="single"/>
              </w:rPr>
              <w:t xml:space="preserve"> </w:t>
            </w:r>
            <w:r>
              <w:rPr>
                <w:rFonts w:hint="default" w:ascii="宋体" w:hAnsi="宋体" w:eastAsia="宋体" w:cs="宋体"/>
                <w:sz w:val="24"/>
                <w:szCs w:val="24"/>
              </w:rPr>
              <w:t>。</w:t>
            </w:r>
          </w:p>
          <w:p>
            <w:pPr>
              <w:keepNext w:val="0"/>
              <w:keepLines w:val="0"/>
              <w:widowControl/>
              <w:suppressLineNumbers w:val="0"/>
              <w:spacing w:before="0" w:beforeAutospacing="0" w:after="0" w:afterAutospacing="0"/>
              <w:ind w:left="0" w:right="0"/>
              <w:jc w:val="left"/>
              <w:rPr>
                <w:rFonts w:hint="eastAsia" w:ascii="宋体" w:hAnsi="宋体"/>
                <w:szCs w:val="21"/>
              </w:rPr>
            </w:pPr>
            <w:r>
              <w:rPr>
                <w:rFonts w:hint="default" w:ascii="宋体" w:hAnsi="宋体"/>
                <w:szCs w:val="21"/>
              </w:rPr>
              <w:t>项目工期：</w:t>
            </w:r>
            <w:r>
              <w:rPr>
                <w:rFonts w:hint="eastAsia" w:ascii="宋体" w:hAnsi="宋体"/>
                <w:szCs w:val="21"/>
                <w:lang w:val="en-US" w:eastAsia="zh-CN"/>
              </w:rPr>
              <w:t xml:space="preserve">    </w:t>
            </w:r>
            <w:r>
              <w:rPr>
                <w:rFonts w:hint="default" w:ascii="宋体" w:hAnsi="宋体"/>
                <w:szCs w:val="21"/>
              </w:rPr>
              <w:t>天（自合同签订至现场安装调试完成）。</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质保期：自最终验收报告签署之日（以签署日期最晚者为准）起    年。</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 xml:space="preserve">整机设计寿命：  </w:t>
            </w:r>
            <w:r>
              <w:rPr>
                <w:rFonts w:hint="eastAsia" w:ascii="宋体" w:hAnsi="宋体"/>
                <w:szCs w:val="21"/>
                <w:lang w:val="en-US" w:eastAsia="zh-CN"/>
              </w:rPr>
              <w:t xml:space="preserve"> </w:t>
            </w:r>
            <w:r>
              <w:rPr>
                <w:rFonts w:hint="eastAsia" w:ascii="宋体" w:hAnsi="宋体"/>
                <w:szCs w:val="21"/>
              </w:rPr>
              <w:t xml:space="preserve"> 年。</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注：1、设计寿命：整机设备、关键配置在自投入使用至彻底丧失功能（无法通过维修、更换部件恢复功能）的时间。</w:t>
            </w:r>
          </w:p>
          <w:p>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2、保修服务类型：现场维修、更换部件、整机更换等。</w:t>
            </w:r>
          </w:p>
          <w:p>
            <w:pPr>
              <w:keepNext w:val="0"/>
              <w:keepLines w:val="0"/>
              <w:suppressLineNumbers w:val="0"/>
              <w:spacing w:before="0" w:beforeAutospacing="0" w:after="0" w:afterAutospacing="0"/>
              <w:ind w:left="0" w:right="0"/>
              <w:rPr>
                <w:rFonts w:hint="default"/>
                <w:szCs w:val="20"/>
              </w:rPr>
            </w:pPr>
            <w:r>
              <w:rPr>
                <w:rFonts w:hint="eastAsia" w:ascii="宋体" w:hAnsi="宋体"/>
                <w:szCs w:val="21"/>
              </w:rPr>
              <w:t>3、除上述主要配置外，卖方还应提供包括为保证设备正常安装、调试和终验收完成及以前所必需的、非厂房和设备基础之内的整套配件、附件及材料、油料等。</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9"/>
        <w:rPr>
          <w:szCs w:val="21"/>
          <w:u w:val="single"/>
        </w:rPr>
      </w:pPr>
      <w:r>
        <w:rPr>
          <w:szCs w:val="21"/>
        </w:rPr>
        <w:t>投标人（公司公章）：</w:t>
      </w:r>
      <w:r>
        <w:rPr>
          <w:rFonts w:hint="eastAsia"/>
          <w:szCs w:val="21"/>
        </w:rPr>
        <w:t xml:space="preserve">                     </w:t>
      </w:r>
      <w:r>
        <w:rPr>
          <w:bCs/>
          <w:szCs w:val="21"/>
        </w:rPr>
        <w:t>法定代表人或授权代表签字</w:t>
      </w:r>
      <w:r>
        <w:rPr>
          <w:szCs w:val="21"/>
        </w:rPr>
        <w:t>：</w:t>
      </w:r>
    </w:p>
    <w:p>
      <w:pPr>
        <w:keepNext/>
        <w:ind w:left="420"/>
        <w:jc w:val="right"/>
        <w:rPr>
          <w:sz w:val="24"/>
          <w:szCs w:val="24"/>
        </w:rPr>
      </w:pPr>
      <w:r>
        <w:rPr>
          <w:sz w:val="24"/>
          <w:szCs w:val="24"/>
        </w:rPr>
        <w:t>投标日期：</w:t>
      </w:r>
      <w:r>
        <w:rPr>
          <w:sz w:val="24"/>
          <w:szCs w:val="24"/>
          <w:u w:val="single"/>
        </w:rPr>
        <w:t xml:space="preserve">      年   月   日</w:t>
      </w:r>
    </w:p>
    <w:p>
      <w:pPr>
        <w:widowControl/>
        <w:jc w:val="left"/>
        <w:outlineLvl w:val="0"/>
        <w:rPr>
          <w:b/>
          <w:color w:val="000000"/>
          <w:sz w:val="24"/>
          <w:szCs w:val="24"/>
        </w:rPr>
      </w:pPr>
      <w:r>
        <w:rPr>
          <w:b/>
          <w:color w:val="000000"/>
          <w:sz w:val="24"/>
          <w:szCs w:val="24"/>
        </w:rPr>
        <w:br w:type="page"/>
      </w:r>
      <w:bookmarkStart w:id="339" w:name="_Toc1884418416"/>
      <w:bookmarkStart w:id="340" w:name="_Toc743450332"/>
      <w:bookmarkStart w:id="341" w:name="_Toc3675"/>
      <w:r>
        <w:rPr>
          <w:b/>
          <w:color w:val="000000"/>
          <w:sz w:val="24"/>
          <w:szCs w:val="24"/>
        </w:rPr>
        <w:t>附件九</w:t>
      </w:r>
      <w:r>
        <w:rPr>
          <w:rFonts w:hint="eastAsia"/>
          <w:b/>
          <w:color w:val="000000"/>
          <w:sz w:val="24"/>
          <w:szCs w:val="24"/>
        </w:rPr>
        <w:t>、备品备件、易损件、专用耗材清单及价格表</w:t>
      </w:r>
    </w:p>
    <w:p>
      <w:pPr>
        <w:widowControl/>
        <w:jc w:val="left"/>
        <w:outlineLvl w:val="0"/>
        <w:rPr>
          <w:b/>
          <w:color w:val="000000"/>
          <w:sz w:val="24"/>
          <w:szCs w:val="24"/>
        </w:rPr>
      </w:pPr>
    </w:p>
    <w:p>
      <w:pPr>
        <w:jc w:val="center"/>
        <w:rPr>
          <w:b/>
          <w:color w:val="000000"/>
          <w:sz w:val="28"/>
          <w:szCs w:val="28"/>
        </w:rPr>
      </w:pPr>
      <w:r>
        <w:rPr>
          <w:rFonts w:hint="eastAsia"/>
          <w:b/>
          <w:color w:val="000000"/>
          <w:sz w:val="28"/>
          <w:szCs w:val="28"/>
        </w:rPr>
        <w:t>备品备件、易损件、专用耗材清单及价格表</w:t>
      </w:r>
    </w:p>
    <w:tbl>
      <w:tblPr>
        <w:tblStyle w:val="5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1" w:right="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00" w:right="0" w:hanging="400" w:firstLineChar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r>
              <w:rPr>
                <w:rFonts w:hint="eastAsia" w:ascii="宋体" w:hAnsi="宋体"/>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Autospacing="0"/>
              <w:ind w:left="480" w:right="0" w:hanging="480"/>
              <w:jc w:val="center"/>
              <w:rPr>
                <w:rFonts w:hint="eastAsia"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p>
        </w:tc>
      </w:tr>
    </w:tbl>
    <w:p>
      <w:pPr>
        <w:pStyle w:val="31"/>
        <w:spacing w:before="312" w:beforeLines="100"/>
        <w:rPr>
          <w:rFonts w:hint="eastAsia" w:ascii="宋体" w:hAnsi="宋体"/>
          <w:szCs w:val="24"/>
        </w:rPr>
      </w:pPr>
      <w:r>
        <w:rPr>
          <w:rFonts w:hint="eastAsia" w:ascii="宋体" w:hAnsi="宋体"/>
          <w:b/>
          <w:szCs w:val="24"/>
        </w:rPr>
        <w:t>注：</w:t>
      </w:r>
      <w:r>
        <w:rPr>
          <w:rFonts w:hint="eastAsia" w:ascii="宋体" w:hAnsi="宋体"/>
          <w:szCs w:val="24"/>
        </w:rPr>
        <w:t>1、此处约定卖方需提供的备品备件、易损件和专用耗材数量，是</w:t>
      </w:r>
      <w:r>
        <w:rPr>
          <w:rFonts w:hint="eastAsia" w:ascii="宋体" w:hAnsi="宋体"/>
          <w:szCs w:val="24"/>
          <w:lang w:val="en-US" w:eastAsia="zh-CN"/>
        </w:rPr>
        <w:t>卖方赠送给买方，</w:t>
      </w:r>
      <w:r>
        <w:rPr>
          <w:rFonts w:hint="eastAsia" w:ascii="宋体" w:hAnsi="宋体"/>
          <w:szCs w:val="24"/>
        </w:rPr>
        <w:t>为保证买方整机设备</w:t>
      </w:r>
      <w:r>
        <w:rPr>
          <w:rFonts w:ascii="宋体" w:hAnsi="宋体"/>
          <w:szCs w:val="24"/>
        </w:rPr>
        <w:t>终验收后</w:t>
      </w:r>
      <w:r>
        <w:rPr>
          <w:rFonts w:hint="eastAsia" w:ascii="宋体" w:hAnsi="宋体"/>
          <w:szCs w:val="24"/>
        </w:rPr>
        <w:t>正常运行</w:t>
      </w:r>
      <w:r>
        <w:rPr>
          <w:rFonts w:ascii="宋体" w:hAnsi="宋体"/>
          <w:szCs w:val="24"/>
        </w:rPr>
        <w:t>两个月</w:t>
      </w:r>
      <w:r>
        <w:rPr>
          <w:rFonts w:hint="eastAsia" w:ascii="宋体" w:hAnsi="宋体"/>
          <w:szCs w:val="24"/>
        </w:rPr>
        <w:t>所自备自用的备品备件、易损件和专用耗材。</w:t>
      </w:r>
    </w:p>
    <w:p>
      <w:pPr>
        <w:pStyle w:val="31"/>
        <w:rPr>
          <w:rFonts w:hint="eastAsia" w:ascii="宋体" w:hAnsi="宋体"/>
          <w:szCs w:val="24"/>
        </w:rPr>
      </w:pPr>
      <w:r>
        <w:rPr>
          <w:rFonts w:hint="eastAsia" w:ascii="宋体" w:hAnsi="宋体"/>
          <w:szCs w:val="24"/>
        </w:rPr>
        <w:t xml:space="preserve">    </w:t>
      </w:r>
      <w:r>
        <w:rPr>
          <w:rFonts w:hint="eastAsia" w:ascii="宋体" w:hAnsi="宋体"/>
          <w:szCs w:val="24"/>
          <w:lang w:val="en-US" w:eastAsia="zh-CN"/>
        </w:rPr>
        <w:t>2</w:t>
      </w:r>
      <w:r>
        <w:rPr>
          <w:rFonts w:hint="eastAsia" w:ascii="宋体" w:hAnsi="宋体"/>
          <w:szCs w:val="24"/>
        </w:rPr>
        <w:t>、建议更换周期：卖方充分考虑买方现场施工环境给出的时间区间。</w:t>
      </w:r>
    </w:p>
    <w:p>
      <w:pPr>
        <w:rPr>
          <w:rFonts w:hint="eastAsia" w:ascii="仿宋_GB2312" w:hAnsi="宋体" w:eastAsia="仿宋_GB2312"/>
          <w:sz w:val="24"/>
          <w:szCs w:val="24"/>
        </w:rPr>
      </w:pPr>
      <w:r>
        <w:rPr>
          <w:rFonts w:hint="eastAsia" w:ascii="仿宋_GB2312" w:hAnsi="宋体" w:eastAsia="仿宋_GB2312"/>
          <w:sz w:val="24"/>
          <w:szCs w:val="24"/>
        </w:rPr>
        <w:t xml:space="preserve"> </w:t>
      </w:r>
      <w:bookmarkStart w:id="342" w:name="_GoBack"/>
      <w:bookmarkEnd w:id="342"/>
    </w:p>
    <w:p>
      <w:pPr>
        <w:widowControl/>
        <w:jc w:val="left"/>
        <w:rPr>
          <w:b/>
          <w:color w:val="000000"/>
          <w:sz w:val="24"/>
          <w:szCs w:val="24"/>
        </w:rPr>
      </w:pPr>
    </w:p>
    <w:p>
      <w:pPr>
        <w:widowControl/>
        <w:jc w:val="left"/>
        <w:rPr>
          <w:b/>
          <w:color w:val="000000"/>
          <w:sz w:val="24"/>
          <w:szCs w:val="24"/>
        </w:rPr>
      </w:pPr>
      <w:r>
        <w:rPr>
          <w:b/>
          <w:color w:val="000000"/>
          <w:sz w:val="24"/>
          <w:szCs w:val="24"/>
        </w:rPr>
        <w:br w:type="page"/>
      </w:r>
    </w:p>
    <w:p>
      <w:pPr>
        <w:spacing w:after="156" w:afterLines="50"/>
        <w:rPr>
          <w:b/>
          <w:color w:val="000000"/>
          <w:sz w:val="24"/>
          <w:szCs w:val="24"/>
        </w:rPr>
      </w:pPr>
      <w:r>
        <w:rPr>
          <w:b/>
          <w:color w:val="000000"/>
          <w:sz w:val="24"/>
          <w:szCs w:val="24"/>
        </w:rPr>
        <w:t>附件</w:t>
      </w:r>
      <w:r>
        <w:rPr>
          <w:rFonts w:hint="eastAsia"/>
          <w:b/>
          <w:color w:val="000000"/>
          <w:sz w:val="24"/>
          <w:szCs w:val="24"/>
        </w:rPr>
        <w:t>十</w:t>
      </w:r>
      <w:r>
        <w:rPr>
          <w:b/>
          <w:color w:val="000000"/>
          <w:sz w:val="24"/>
          <w:szCs w:val="24"/>
        </w:rPr>
        <w:t>、商务条款偏离表</w:t>
      </w:r>
      <w:bookmarkEnd w:id="339"/>
      <w:bookmarkEnd w:id="340"/>
      <w:bookmarkEnd w:id="341"/>
    </w:p>
    <w:p>
      <w:pPr>
        <w:jc w:val="center"/>
        <w:rPr>
          <w:color w:val="000000"/>
          <w:sz w:val="28"/>
          <w:szCs w:val="28"/>
        </w:rPr>
      </w:pPr>
      <w:r>
        <w:rPr>
          <w:b/>
          <w:color w:val="000000"/>
          <w:sz w:val="28"/>
          <w:szCs w:val="28"/>
        </w:rPr>
        <w:t>商务条款偏离表</w:t>
      </w:r>
    </w:p>
    <w:p>
      <w:pPr>
        <w:rPr>
          <w:color w:val="000000"/>
        </w:rPr>
      </w:pPr>
    </w:p>
    <w:tbl>
      <w:tblPr>
        <w:tblStyle w:val="50"/>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2690"/>
        <w:gridCol w:w="28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59" w:type="dxa"/>
            <w:vAlign w:val="center"/>
          </w:tcPr>
          <w:p>
            <w:pPr>
              <w:keepNext w:val="0"/>
              <w:keepLines w:val="0"/>
              <w:suppressLineNumbers w:val="0"/>
              <w:spacing w:before="0" w:beforeAutospacing="0" w:after="0" w:afterAutospacing="0" w:line="360" w:lineRule="auto"/>
              <w:ind w:left="0" w:right="0"/>
              <w:jc w:val="center"/>
              <w:rPr>
                <w:rFonts w:hint="default"/>
                <w:color w:val="000000"/>
                <w:sz w:val="24"/>
                <w:szCs w:val="20"/>
              </w:rPr>
            </w:pPr>
            <w:r>
              <w:rPr>
                <w:rFonts w:hint="default"/>
                <w:color w:val="000000"/>
                <w:sz w:val="24"/>
                <w:szCs w:val="20"/>
              </w:rPr>
              <w:t>序号</w:t>
            </w: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color w:val="000000"/>
                <w:sz w:val="24"/>
                <w:szCs w:val="20"/>
              </w:rPr>
            </w:pPr>
            <w:r>
              <w:rPr>
                <w:rFonts w:hint="default"/>
                <w:color w:val="000000"/>
                <w:sz w:val="24"/>
                <w:szCs w:val="20"/>
              </w:rPr>
              <w:t>招标文件条目号</w:t>
            </w:r>
          </w:p>
        </w:tc>
        <w:tc>
          <w:tcPr>
            <w:tcW w:w="2690" w:type="dxa"/>
            <w:vAlign w:val="center"/>
          </w:tcPr>
          <w:p>
            <w:pPr>
              <w:keepNext w:val="0"/>
              <w:keepLines w:val="0"/>
              <w:suppressLineNumbers w:val="0"/>
              <w:spacing w:before="0" w:beforeAutospacing="0" w:after="0" w:afterAutospacing="0" w:line="360" w:lineRule="auto"/>
              <w:ind w:left="0" w:right="0"/>
              <w:jc w:val="center"/>
              <w:rPr>
                <w:rFonts w:hint="default"/>
                <w:color w:val="000000"/>
                <w:sz w:val="24"/>
                <w:szCs w:val="20"/>
              </w:rPr>
            </w:pPr>
            <w:r>
              <w:rPr>
                <w:rFonts w:hint="default"/>
                <w:color w:val="000000"/>
                <w:sz w:val="24"/>
                <w:szCs w:val="20"/>
              </w:rPr>
              <w:t>招标文件商务要求</w:t>
            </w:r>
          </w:p>
        </w:tc>
        <w:tc>
          <w:tcPr>
            <w:tcW w:w="2835" w:type="dxa"/>
            <w:vAlign w:val="center"/>
          </w:tcPr>
          <w:p>
            <w:pPr>
              <w:keepNext w:val="0"/>
              <w:keepLines w:val="0"/>
              <w:suppressLineNumbers w:val="0"/>
              <w:spacing w:before="0" w:beforeAutospacing="0" w:after="0" w:afterAutospacing="0" w:line="360" w:lineRule="auto"/>
              <w:ind w:left="0" w:right="0"/>
              <w:jc w:val="center"/>
              <w:rPr>
                <w:rFonts w:hint="default"/>
                <w:color w:val="000000"/>
                <w:sz w:val="24"/>
                <w:szCs w:val="20"/>
              </w:rPr>
            </w:pPr>
            <w:r>
              <w:rPr>
                <w:rFonts w:hint="default"/>
                <w:color w:val="000000"/>
                <w:sz w:val="24"/>
                <w:szCs w:val="20"/>
              </w:rPr>
              <w:t>投标文件对应商务参数</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olor w:val="000000"/>
                <w:sz w:val="24"/>
                <w:szCs w:val="20"/>
              </w:rPr>
            </w:pPr>
            <w:r>
              <w:rPr>
                <w:rFonts w:hint="default"/>
                <w:color w:val="000000"/>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59"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126"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69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2835" w:type="dxa"/>
          </w:tcPr>
          <w:p>
            <w:pPr>
              <w:keepNext w:val="0"/>
              <w:keepLines w:val="0"/>
              <w:suppressLineNumbers w:val="0"/>
              <w:spacing w:before="0" w:beforeAutospacing="0" w:after="0" w:afterAutospacing="0" w:line="360" w:lineRule="auto"/>
              <w:ind w:left="0" w:right="0"/>
              <w:rPr>
                <w:rFonts w:hint="default"/>
                <w:color w:val="000000"/>
                <w:sz w:val="24"/>
                <w:szCs w:val="20"/>
              </w:rPr>
            </w:pPr>
          </w:p>
        </w:tc>
        <w:tc>
          <w:tcPr>
            <w:tcW w:w="1260" w:type="dxa"/>
          </w:tcPr>
          <w:p>
            <w:pPr>
              <w:keepNext w:val="0"/>
              <w:keepLines w:val="0"/>
              <w:suppressLineNumbers w:val="0"/>
              <w:spacing w:before="0" w:beforeAutospacing="0" w:after="0" w:afterAutospacing="0" w:line="360" w:lineRule="auto"/>
              <w:ind w:left="0" w:right="0"/>
              <w:rPr>
                <w:rFonts w:hint="default"/>
                <w:color w:val="000000"/>
                <w:sz w:val="24"/>
                <w:szCs w:val="20"/>
              </w:rPr>
            </w:pPr>
          </w:p>
        </w:tc>
      </w:tr>
    </w:tbl>
    <w:p>
      <w:pPr>
        <w:spacing w:line="360" w:lineRule="auto"/>
        <w:ind w:firstLine="5368" w:firstLineChars="2228"/>
        <w:rPr>
          <w:b/>
          <w:color w:val="000000"/>
          <w:sz w:val="24"/>
        </w:rPr>
      </w:pPr>
    </w:p>
    <w:p>
      <w:pPr>
        <w:spacing w:line="480" w:lineRule="auto"/>
        <w:ind w:firstLine="5368" w:firstLineChars="2228"/>
        <w:rPr>
          <w:b/>
          <w:color w:val="000000"/>
          <w:sz w:val="24"/>
        </w:rPr>
      </w:pPr>
    </w:p>
    <w:p>
      <w:pPr>
        <w:spacing w:line="480" w:lineRule="auto"/>
        <w:ind w:firstLine="5368" w:firstLineChars="2228"/>
        <w:rPr>
          <w:b/>
          <w:color w:val="000000"/>
          <w:sz w:val="24"/>
        </w:rPr>
      </w:pPr>
      <w:r>
        <w:rPr>
          <w:b/>
          <w:color w:val="000000"/>
          <w:sz w:val="24"/>
        </w:rPr>
        <w:t>投标单位全称（盖章）：</w:t>
      </w:r>
    </w:p>
    <w:p>
      <w:pPr>
        <w:spacing w:line="480" w:lineRule="auto"/>
        <w:ind w:firstLine="5118" w:firstLineChars="2124"/>
        <w:rPr>
          <w:b/>
          <w:color w:val="000000"/>
          <w:sz w:val="24"/>
        </w:rPr>
      </w:pPr>
      <w:r>
        <w:rPr>
          <w:b/>
          <w:color w:val="000000"/>
          <w:sz w:val="24"/>
        </w:rPr>
        <w:t xml:space="preserve">法定代表或授权代表签字：                         </w:t>
      </w:r>
    </w:p>
    <w:p>
      <w:pPr>
        <w:spacing w:line="480" w:lineRule="auto"/>
        <w:ind w:firstLine="720"/>
        <w:rPr>
          <w:color w:val="000000"/>
        </w:rPr>
      </w:pPr>
      <w:r>
        <w:rPr>
          <w:b/>
          <w:color w:val="000000"/>
          <w:sz w:val="24"/>
        </w:rPr>
        <w:t xml:space="preserve">                                                        年   月   日</w:t>
      </w:r>
      <w:bookmarkEnd w:id="275"/>
      <w:bookmarkEnd w:id="276"/>
      <w:bookmarkEnd w:id="277"/>
      <w:bookmarkEnd w:id="278"/>
      <w:bookmarkEnd w:id="295"/>
      <w:bookmarkEnd w:id="296"/>
      <w:r>
        <w:rPr>
          <w:szCs w:val="21"/>
        </w:rPr>
        <w:t xml:space="preserve"> </w:t>
      </w:r>
    </w:p>
    <w:sectPr>
      <w:headerReference r:id="rId5" w:type="default"/>
      <w:footerReference r:id="rId6"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
    <w:altName w:val="AMGD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CG Times (W1)">
    <w:altName w:val="AMGDT"/>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CG Times (WN)">
    <w:altName w:val="AMGDT"/>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13</w:t>
                    </w:r>
                    <w:r>
                      <w:fldChar w:fldCharType="end"/>
                    </w:r>
                  </w:p>
                </w:txbxContent>
              </v:textbox>
            </v:shape>
          </w:pict>
        </mc:Fallback>
      </mc:AlternateContent>
    </w:r>
  </w:p>
  <w:p>
    <w:pPr>
      <w:snapToGrid w:val="0"/>
      <w:rPr>
        <w:sz w:val="18"/>
      </w:rPr>
    </w:pPr>
  </w:p>
  <w:p>
    <w:pPr>
      <w:snapToGrid w:val="0"/>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p>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B373C"/>
    <w:multiLevelType w:val="singleLevel"/>
    <w:tmpl w:val="B0CB373C"/>
    <w:lvl w:ilvl="0" w:tentative="0">
      <w:start w:val="6"/>
      <w:numFmt w:val="chineseCounting"/>
      <w:suff w:val="nothing"/>
      <w:lvlText w:val="（%1）"/>
      <w:lvlJc w:val="left"/>
      <w:rPr>
        <w:rFonts w:hint="eastAsia"/>
      </w:rPr>
    </w:lvl>
  </w:abstractNum>
  <w:abstractNum w:abstractNumId="1">
    <w:nsid w:val="CD6C55BA"/>
    <w:multiLevelType w:val="singleLevel"/>
    <w:tmpl w:val="CD6C55BA"/>
    <w:lvl w:ilvl="0" w:tentative="0">
      <w:start w:val="1"/>
      <w:numFmt w:val="decimal"/>
      <w:suff w:val="nothing"/>
      <w:lvlText w:val="%1、"/>
      <w:lvlJc w:val="left"/>
    </w:lvl>
  </w:abstractNum>
  <w:abstractNum w:abstractNumId="2">
    <w:nsid w:val="EB6D125E"/>
    <w:multiLevelType w:val="singleLevel"/>
    <w:tmpl w:val="EB6D125E"/>
    <w:lvl w:ilvl="0" w:tentative="0">
      <w:start w:val="1"/>
      <w:numFmt w:val="decimal"/>
      <w:suff w:val="nothing"/>
      <w:lvlText w:val="%1、"/>
      <w:lvlJc w:val="left"/>
    </w:lvl>
  </w:abstractNum>
  <w:abstractNum w:abstractNumId="3">
    <w:nsid w:val="6834944D"/>
    <w:multiLevelType w:val="singleLevel"/>
    <w:tmpl w:val="6834944D"/>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jdiMjE3OTY1ZTBhODgzNTVjMWYzZWU4NTdkYTMifQ=="/>
  </w:docVars>
  <w:rsids>
    <w:rsidRoot w:val="00D77353"/>
    <w:rsid w:val="00007014"/>
    <w:rsid w:val="00050E49"/>
    <w:rsid w:val="00067419"/>
    <w:rsid w:val="000801D0"/>
    <w:rsid w:val="000C15EA"/>
    <w:rsid w:val="000C5B04"/>
    <w:rsid w:val="000E5386"/>
    <w:rsid w:val="000E7688"/>
    <w:rsid w:val="001058B4"/>
    <w:rsid w:val="00106014"/>
    <w:rsid w:val="001231AA"/>
    <w:rsid w:val="00134B20"/>
    <w:rsid w:val="00151ED8"/>
    <w:rsid w:val="0015454A"/>
    <w:rsid w:val="00161F9A"/>
    <w:rsid w:val="001660E1"/>
    <w:rsid w:val="001706F9"/>
    <w:rsid w:val="001829FC"/>
    <w:rsid w:val="001B1B63"/>
    <w:rsid w:val="001D06EE"/>
    <w:rsid w:val="001D0939"/>
    <w:rsid w:val="001D21F7"/>
    <w:rsid w:val="001D4FA4"/>
    <w:rsid w:val="00205D3E"/>
    <w:rsid w:val="00255F72"/>
    <w:rsid w:val="00260591"/>
    <w:rsid w:val="00272506"/>
    <w:rsid w:val="00280D28"/>
    <w:rsid w:val="00280D57"/>
    <w:rsid w:val="0028513F"/>
    <w:rsid w:val="002975B8"/>
    <w:rsid w:val="002A631C"/>
    <w:rsid w:val="002C0278"/>
    <w:rsid w:val="002C41FC"/>
    <w:rsid w:val="002E2C0F"/>
    <w:rsid w:val="002E63DF"/>
    <w:rsid w:val="002F4797"/>
    <w:rsid w:val="003253E4"/>
    <w:rsid w:val="003366FF"/>
    <w:rsid w:val="00384ED5"/>
    <w:rsid w:val="00385C54"/>
    <w:rsid w:val="003E1038"/>
    <w:rsid w:val="003E3E14"/>
    <w:rsid w:val="003E3F0E"/>
    <w:rsid w:val="003F11E8"/>
    <w:rsid w:val="003F60CF"/>
    <w:rsid w:val="00404AB4"/>
    <w:rsid w:val="004313F4"/>
    <w:rsid w:val="00433EFF"/>
    <w:rsid w:val="00452ED9"/>
    <w:rsid w:val="00462E26"/>
    <w:rsid w:val="00464027"/>
    <w:rsid w:val="00467D71"/>
    <w:rsid w:val="00476989"/>
    <w:rsid w:val="00485B8E"/>
    <w:rsid w:val="004A08F0"/>
    <w:rsid w:val="004A552A"/>
    <w:rsid w:val="004B1E33"/>
    <w:rsid w:val="004B4B81"/>
    <w:rsid w:val="004F3C86"/>
    <w:rsid w:val="00530233"/>
    <w:rsid w:val="00531C68"/>
    <w:rsid w:val="00535352"/>
    <w:rsid w:val="005359F3"/>
    <w:rsid w:val="005530E1"/>
    <w:rsid w:val="00584DBB"/>
    <w:rsid w:val="00597AD6"/>
    <w:rsid w:val="005B5C24"/>
    <w:rsid w:val="005B77BB"/>
    <w:rsid w:val="005C1AF5"/>
    <w:rsid w:val="005D31EC"/>
    <w:rsid w:val="005D515E"/>
    <w:rsid w:val="005E0F29"/>
    <w:rsid w:val="005F02BC"/>
    <w:rsid w:val="006567DE"/>
    <w:rsid w:val="006604B0"/>
    <w:rsid w:val="0066139D"/>
    <w:rsid w:val="00663EED"/>
    <w:rsid w:val="00665AB7"/>
    <w:rsid w:val="006669DE"/>
    <w:rsid w:val="00671B1F"/>
    <w:rsid w:val="00695CE1"/>
    <w:rsid w:val="0069665C"/>
    <w:rsid w:val="006C0CFF"/>
    <w:rsid w:val="006D0D02"/>
    <w:rsid w:val="006D2D99"/>
    <w:rsid w:val="006F5179"/>
    <w:rsid w:val="007000ED"/>
    <w:rsid w:val="007341EC"/>
    <w:rsid w:val="00743489"/>
    <w:rsid w:val="0076402F"/>
    <w:rsid w:val="007641F1"/>
    <w:rsid w:val="00787949"/>
    <w:rsid w:val="007A39A6"/>
    <w:rsid w:val="007A6FA1"/>
    <w:rsid w:val="007B637E"/>
    <w:rsid w:val="007E6969"/>
    <w:rsid w:val="007F531C"/>
    <w:rsid w:val="0084173A"/>
    <w:rsid w:val="0085405A"/>
    <w:rsid w:val="008567E3"/>
    <w:rsid w:val="00860761"/>
    <w:rsid w:val="008665E9"/>
    <w:rsid w:val="00882008"/>
    <w:rsid w:val="008A2D6D"/>
    <w:rsid w:val="008B4F05"/>
    <w:rsid w:val="008B5614"/>
    <w:rsid w:val="008B6593"/>
    <w:rsid w:val="008C60AE"/>
    <w:rsid w:val="008E27C5"/>
    <w:rsid w:val="008E3EE9"/>
    <w:rsid w:val="008E676E"/>
    <w:rsid w:val="00907778"/>
    <w:rsid w:val="00910B95"/>
    <w:rsid w:val="00924FE7"/>
    <w:rsid w:val="0092707B"/>
    <w:rsid w:val="00930CFD"/>
    <w:rsid w:val="00933615"/>
    <w:rsid w:val="00951F2E"/>
    <w:rsid w:val="009A4BB3"/>
    <w:rsid w:val="009D30D6"/>
    <w:rsid w:val="009F3688"/>
    <w:rsid w:val="00A0612C"/>
    <w:rsid w:val="00A30036"/>
    <w:rsid w:val="00A35FF7"/>
    <w:rsid w:val="00A5471B"/>
    <w:rsid w:val="00A70B79"/>
    <w:rsid w:val="00A76D46"/>
    <w:rsid w:val="00A97C20"/>
    <w:rsid w:val="00AB6489"/>
    <w:rsid w:val="00AC000E"/>
    <w:rsid w:val="00AE60A0"/>
    <w:rsid w:val="00B10625"/>
    <w:rsid w:val="00B32951"/>
    <w:rsid w:val="00B40AF9"/>
    <w:rsid w:val="00B440D8"/>
    <w:rsid w:val="00B5196F"/>
    <w:rsid w:val="00B9061D"/>
    <w:rsid w:val="00B97F0C"/>
    <w:rsid w:val="00BB0DDC"/>
    <w:rsid w:val="00BB328D"/>
    <w:rsid w:val="00BB6361"/>
    <w:rsid w:val="00BC09FF"/>
    <w:rsid w:val="00BC3810"/>
    <w:rsid w:val="00BC49C3"/>
    <w:rsid w:val="00BC5A58"/>
    <w:rsid w:val="00BD538D"/>
    <w:rsid w:val="00BF496C"/>
    <w:rsid w:val="00C04235"/>
    <w:rsid w:val="00C21ED8"/>
    <w:rsid w:val="00C318AE"/>
    <w:rsid w:val="00C40F0C"/>
    <w:rsid w:val="00C5219A"/>
    <w:rsid w:val="00C52B16"/>
    <w:rsid w:val="00C5392A"/>
    <w:rsid w:val="00C64DE8"/>
    <w:rsid w:val="00C71366"/>
    <w:rsid w:val="00C871FE"/>
    <w:rsid w:val="00CD1315"/>
    <w:rsid w:val="00CD5403"/>
    <w:rsid w:val="00CE0102"/>
    <w:rsid w:val="00CE7F95"/>
    <w:rsid w:val="00D15378"/>
    <w:rsid w:val="00D439D2"/>
    <w:rsid w:val="00D57A6F"/>
    <w:rsid w:val="00D6437C"/>
    <w:rsid w:val="00D77353"/>
    <w:rsid w:val="00D82EEE"/>
    <w:rsid w:val="00D850C5"/>
    <w:rsid w:val="00D85E6F"/>
    <w:rsid w:val="00DA216C"/>
    <w:rsid w:val="00DC064A"/>
    <w:rsid w:val="00DD7E3D"/>
    <w:rsid w:val="00DE591D"/>
    <w:rsid w:val="00E46DA0"/>
    <w:rsid w:val="00E529A0"/>
    <w:rsid w:val="00E56D61"/>
    <w:rsid w:val="00E57AB7"/>
    <w:rsid w:val="00E70921"/>
    <w:rsid w:val="00E7744E"/>
    <w:rsid w:val="00E7787C"/>
    <w:rsid w:val="00E838B6"/>
    <w:rsid w:val="00E90402"/>
    <w:rsid w:val="00E93604"/>
    <w:rsid w:val="00EC29F3"/>
    <w:rsid w:val="00EE002D"/>
    <w:rsid w:val="00EF3770"/>
    <w:rsid w:val="00F03419"/>
    <w:rsid w:val="00F1204C"/>
    <w:rsid w:val="00F1658D"/>
    <w:rsid w:val="00F27DEC"/>
    <w:rsid w:val="00F3254E"/>
    <w:rsid w:val="00F40852"/>
    <w:rsid w:val="00F64367"/>
    <w:rsid w:val="00F70E2E"/>
    <w:rsid w:val="00F8338C"/>
    <w:rsid w:val="00FA5526"/>
    <w:rsid w:val="00FB295F"/>
    <w:rsid w:val="00FC243D"/>
    <w:rsid w:val="00FC436E"/>
    <w:rsid w:val="00FE4F29"/>
    <w:rsid w:val="00FE7191"/>
    <w:rsid w:val="01053692"/>
    <w:rsid w:val="010E4757"/>
    <w:rsid w:val="011474EC"/>
    <w:rsid w:val="01407E0B"/>
    <w:rsid w:val="014B56B0"/>
    <w:rsid w:val="0173548E"/>
    <w:rsid w:val="017930FE"/>
    <w:rsid w:val="01C47A1D"/>
    <w:rsid w:val="01F41948"/>
    <w:rsid w:val="0238670E"/>
    <w:rsid w:val="024F06B9"/>
    <w:rsid w:val="02CD71CC"/>
    <w:rsid w:val="03A348DE"/>
    <w:rsid w:val="03AE04CB"/>
    <w:rsid w:val="03BA5B2D"/>
    <w:rsid w:val="04482681"/>
    <w:rsid w:val="04502C8A"/>
    <w:rsid w:val="045E160A"/>
    <w:rsid w:val="046C3066"/>
    <w:rsid w:val="048F768D"/>
    <w:rsid w:val="04B5574F"/>
    <w:rsid w:val="04C657CA"/>
    <w:rsid w:val="04DE5C5C"/>
    <w:rsid w:val="05114064"/>
    <w:rsid w:val="05264C3B"/>
    <w:rsid w:val="05315DD2"/>
    <w:rsid w:val="064C0AFC"/>
    <w:rsid w:val="06857673"/>
    <w:rsid w:val="06CC4FC5"/>
    <w:rsid w:val="076F5347"/>
    <w:rsid w:val="078F3BDE"/>
    <w:rsid w:val="07A60A63"/>
    <w:rsid w:val="07B54D24"/>
    <w:rsid w:val="07C60774"/>
    <w:rsid w:val="07CC283D"/>
    <w:rsid w:val="084E61D1"/>
    <w:rsid w:val="085545A6"/>
    <w:rsid w:val="085A4B4B"/>
    <w:rsid w:val="08946025"/>
    <w:rsid w:val="08C27B25"/>
    <w:rsid w:val="08CC5DDB"/>
    <w:rsid w:val="08DC1ECD"/>
    <w:rsid w:val="08EC4F9C"/>
    <w:rsid w:val="091343F8"/>
    <w:rsid w:val="091A2F4A"/>
    <w:rsid w:val="09461935"/>
    <w:rsid w:val="09C23813"/>
    <w:rsid w:val="09E273ED"/>
    <w:rsid w:val="0A43513D"/>
    <w:rsid w:val="0A591D28"/>
    <w:rsid w:val="0A704B77"/>
    <w:rsid w:val="0A753E99"/>
    <w:rsid w:val="0AA50AA2"/>
    <w:rsid w:val="0AD909F0"/>
    <w:rsid w:val="0AE76719"/>
    <w:rsid w:val="0B2211C9"/>
    <w:rsid w:val="0B3B3E8B"/>
    <w:rsid w:val="0C032193"/>
    <w:rsid w:val="0C474AE5"/>
    <w:rsid w:val="0C594941"/>
    <w:rsid w:val="0C7A4BB9"/>
    <w:rsid w:val="0CDB5F15"/>
    <w:rsid w:val="0CDF27F7"/>
    <w:rsid w:val="0CF12CA2"/>
    <w:rsid w:val="0D2B3BE7"/>
    <w:rsid w:val="0D5F4F58"/>
    <w:rsid w:val="0D682F64"/>
    <w:rsid w:val="0E170F95"/>
    <w:rsid w:val="0ECC24C9"/>
    <w:rsid w:val="0ED90B55"/>
    <w:rsid w:val="0EDB59B8"/>
    <w:rsid w:val="0F013732"/>
    <w:rsid w:val="0F303C9A"/>
    <w:rsid w:val="0F380C5E"/>
    <w:rsid w:val="0F3C4BF7"/>
    <w:rsid w:val="0F4D2D65"/>
    <w:rsid w:val="0F650CC6"/>
    <w:rsid w:val="0F6C2FDB"/>
    <w:rsid w:val="0F907095"/>
    <w:rsid w:val="0F954566"/>
    <w:rsid w:val="0FA97864"/>
    <w:rsid w:val="0FC5282B"/>
    <w:rsid w:val="0FFA3C1C"/>
    <w:rsid w:val="10A2097A"/>
    <w:rsid w:val="10B82E6A"/>
    <w:rsid w:val="10C01EAE"/>
    <w:rsid w:val="10EE1303"/>
    <w:rsid w:val="10F24C27"/>
    <w:rsid w:val="11163DA2"/>
    <w:rsid w:val="119514E8"/>
    <w:rsid w:val="11BE1990"/>
    <w:rsid w:val="11ED5281"/>
    <w:rsid w:val="11F4633C"/>
    <w:rsid w:val="12052D80"/>
    <w:rsid w:val="12281F89"/>
    <w:rsid w:val="1238155F"/>
    <w:rsid w:val="124659C9"/>
    <w:rsid w:val="12553606"/>
    <w:rsid w:val="126C3618"/>
    <w:rsid w:val="129C60BB"/>
    <w:rsid w:val="12BF3726"/>
    <w:rsid w:val="12EF1659"/>
    <w:rsid w:val="13003B79"/>
    <w:rsid w:val="134E6759"/>
    <w:rsid w:val="14BA23BF"/>
    <w:rsid w:val="14DC5CEB"/>
    <w:rsid w:val="152A0D7F"/>
    <w:rsid w:val="154706A6"/>
    <w:rsid w:val="15696E48"/>
    <w:rsid w:val="159545BC"/>
    <w:rsid w:val="15973EC1"/>
    <w:rsid w:val="15CC4D29"/>
    <w:rsid w:val="16250B53"/>
    <w:rsid w:val="16345BDF"/>
    <w:rsid w:val="166D339A"/>
    <w:rsid w:val="170D20E7"/>
    <w:rsid w:val="1729165C"/>
    <w:rsid w:val="174412CE"/>
    <w:rsid w:val="175207E1"/>
    <w:rsid w:val="179E6D3B"/>
    <w:rsid w:val="17A52BA6"/>
    <w:rsid w:val="17B038F1"/>
    <w:rsid w:val="17D55D8B"/>
    <w:rsid w:val="17F404AC"/>
    <w:rsid w:val="184F47E3"/>
    <w:rsid w:val="18556F95"/>
    <w:rsid w:val="187C0B24"/>
    <w:rsid w:val="187F2F8D"/>
    <w:rsid w:val="189736DB"/>
    <w:rsid w:val="18B941F6"/>
    <w:rsid w:val="18CC4499"/>
    <w:rsid w:val="191D3418"/>
    <w:rsid w:val="192E442A"/>
    <w:rsid w:val="193208CA"/>
    <w:rsid w:val="197E1BC2"/>
    <w:rsid w:val="19B97B6E"/>
    <w:rsid w:val="19D536B9"/>
    <w:rsid w:val="19D7FDF2"/>
    <w:rsid w:val="19E13C06"/>
    <w:rsid w:val="19F82726"/>
    <w:rsid w:val="1A730364"/>
    <w:rsid w:val="1A784328"/>
    <w:rsid w:val="1A9A1A1B"/>
    <w:rsid w:val="1B1B5052"/>
    <w:rsid w:val="1B235F78"/>
    <w:rsid w:val="1B7E7CAB"/>
    <w:rsid w:val="1B8B69AD"/>
    <w:rsid w:val="1B9F4F2D"/>
    <w:rsid w:val="1B9F7890"/>
    <w:rsid w:val="1BA919D2"/>
    <w:rsid w:val="1C54691A"/>
    <w:rsid w:val="1C7B6ACF"/>
    <w:rsid w:val="1C994F0B"/>
    <w:rsid w:val="1CF163A7"/>
    <w:rsid w:val="1CFC5231"/>
    <w:rsid w:val="1D0C6574"/>
    <w:rsid w:val="1D104A7F"/>
    <w:rsid w:val="1D214EDE"/>
    <w:rsid w:val="1D74234A"/>
    <w:rsid w:val="1DAE545A"/>
    <w:rsid w:val="1DB01DBE"/>
    <w:rsid w:val="1DBE54AA"/>
    <w:rsid w:val="1DCD0493"/>
    <w:rsid w:val="1E40586D"/>
    <w:rsid w:val="1E8B73DC"/>
    <w:rsid w:val="1EBA1D88"/>
    <w:rsid w:val="1ECE5E8F"/>
    <w:rsid w:val="1ED312D2"/>
    <w:rsid w:val="1EE12B77"/>
    <w:rsid w:val="1EE51998"/>
    <w:rsid w:val="1EE51CE5"/>
    <w:rsid w:val="1F135178"/>
    <w:rsid w:val="1F1D15CF"/>
    <w:rsid w:val="1F3507CD"/>
    <w:rsid w:val="1F8654CC"/>
    <w:rsid w:val="1FBB0011"/>
    <w:rsid w:val="1FDE0E64"/>
    <w:rsid w:val="1FF00B97"/>
    <w:rsid w:val="2034107E"/>
    <w:rsid w:val="205D69E5"/>
    <w:rsid w:val="205E2663"/>
    <w:rsid w:val="20B87084"/>
    <w:rsid w:val="20FD0D01"/>
    <w:rsid w:val="214018E6"/>
    <w:rsid w:val="216F16A5"/>
    <w:rsid w:val="21813E4A"/>
    <w:rsid w:val="2189702B"/>
    <w:rsid w:val="2198046F"/>
    <w:rsid w:val="21BF17D3"/>
    <w:rsid w:val="223A50F6"/>
    <w:rsid w:val="22864BE1"/>
    <w:rsid w:val="22935144"/>
    <w:rsid w:val="22B14F2E"/>
    <w:rsid w:val="22D6726A"/>
    <w:rsid w:val="22D9469F"/>
    <w:rsid w:val="22FF125C"/>
    <w:rsid w:val="23121050"/>
    <w:rsid w:val="23633E2B"/>
    <w:rsid w:val="23991FF2"/>
    <w:rsid w:val="23A061A4"/>
    <w:rsid w:val="23B54936"/>
    <w:rsid w:val="23C21910"/>
    <w:rsid w:val="24147F71"/>
    <w:rsid w:val="242839E5"/>
    <w:rsid w:val="247A584A"/>
    <w:rsid w:val="24F1067B"/>
    <w:rsid w:val="258D1CF8"/>
    <w:rsid w:val="26055D76"/>
    <w:rsid w:val="260961FA"/>
    <w:rsid w:val="260A43BC"/>
    <w:rsid w:val="26195479"/>
    <w:rsid w:val="262236DA"/>
    <w:rsid w:val="262C12F0"/>
    <w:rsid w:val="263B4429"/>
    <w:rsid w:val="263C7DDB"/>
    <w:rsid w:val="26571ECF"/>
    <w:rsid w:val="269B2743"/>
    <w:rsid w:val="26B335EA"/>
    <w:rsid w:val="26C91338"/>
    <w:rsid w:val="26F6466B"/>
    <w:rsid w:val="275749DC"/>
    <w:rsid w:val="27714BC4"/>
    <w:rsid w:val="27853003"/>
    <w:rsid w:val="27A01E2D"/>
    <w:rsid w:val="27AD6878"/>
    <w:rsid w:val="27EF2709"/>
    <w:rsid w:val="27F76473"/>
    <w:rsid w:val="28004F6E"/>
    <w:rsid w:val="280C52CD"/>
    <w:rsid w:val="28377363"/>
    <w:rsid w:val="283E5C05"/>
    <w:rsid w:val="284E758E"/>
    <w:rsid w:val="28610884"/>
    <w:rsid w:val="28692925"/>
    <w:rsid w:val="286C072F"/>
    <w:rsid w:val="289C1B4E"/>
    <w:rsid w:val="28AE13DA"/>
    <w:rsid w:val="28B02AE9"/>
    <w:rsid w:val="28E009F1"/>
    <w:rsid w:val="293B2868"/>
    <w:rsid w:val="29FA47E1"/>
    <w:rsid w:val="2A0959A4"/>
    <w:rsid w:val="2A16744D"/>
    <w:rsid w:val="2A1A3F4A"/>
    <w:rsid w:val="2A6376EC"/>
    <w:rsid w:val="2AAC7051"/>
    <w:rsid w:val="2AB65A00"/>
    <w:rsid w:val="2B025508"/>
    <w:rsid w:val="2B08594B"/>
    <w:rsid w:val="2B4D3342"/>
    <w:rsid w:val="2B7A0E09"/>
    <w:rsid w:val="2BD319C0"/>
    <w:rsid w:val="2BD94208"/>
    <w:rsid w:val="2C044970"/>
    <w:rsid w:val="2C205768"/>
    <w:rsid w:val="2C821932"/>
    <w:rsid w:val="2C880D49"/>
    <w:rsid w:val="2C9805ED"/>
    <w:rsid w:val="2CA55D3D"/>
    <w:rsid w:val="2CA845C5"/>
    <w:rsid w:val="2CBE7947"/>
    <w:rsid w:val="2D1A6594"/>
    <w:rsid w:val="2D536F41"/>
    <w:rsid w:val="2D567CC3"/>
    <w:rsid w:val="2D614E83"/>
    <w:rsid w:val="2D665EB0"/>
    <w:rsid w:val="2DA03043"/>
    <w:rsid w:val="2DC3583E"/>
    <w:rsid w:val="2DE40B7C"/>
    <w:rsid w:val="2DE859EF"/>
    <w:rsid w:val="2E1937B4"/>
    <w:rsid w:val="2E2C2EB7"/>
    <w:rsid w:val="2E2D344B"/>
    <w:rsid w:val="2E7A3AA4"/>
    <w:rsid w:val="2E7D19FC"/>
    <w:rsid w:val="2ED72EB9"/>
    <w:rsid w:val="2F4241AB"/>
    <w:rsid w:val="2F996047"/>
    <w:rsid w:val="2FA93F1A"/>
    <w:rsid w:val="2FD13E88"/>
    <w:rsid w:val="2FFFF61A"/>
    <w:rsid w:val="302761A5"/>
    <w:rsid w:val="304418FC"/>
    <w:rsid w:val="307C25C9"/>
    <w:rsid w:val="3089510E"/>
    <w:rsid w:val="30A30783"/>
    <w:rsid w:val="30BA2472"/>
    <w:rsid w:val="30CC081E"/>
    <w:rsid w:val="31320288"/>
    <w:rsid w:val="3188378D"/>
    <w:rsid w:val="31B93BD9"/>
    <w:rsid w:val="31BF0152"/>
    <w:rsid w:val="31CB171C"/>
    <w:rsid w:val="31D657DB"/>
    <w:rsid w:val="31E852E9"/>
    <w:rsid w:val="31E927DE"/>
    <w:rsid w:val="320E204C"/>
    <w:rsid w:val="32BE201D"/>
    <w:rsid w:val="32E9595D"/>
    <w:rsid w:val="32F4256B"/>
    <w:rsid w:val="32F87C33"/>
    <w:rsid w:val="332B4BD4"/>
    <w:rsid w:val="334973D0"/>
    <w:rsid w:val="33CC74B7"/>
    <w:rsid w:val="34060F29"/>
    <w:rsid w:val="34450BDE"/>
    <w:rsid w:val="34B224E5"/>
    <w:rsid w:val="35753D3D"/>
    <w:rsid w:val="35841B7C"/>
    <w:rsid w:val="35971A4B"/>
    <w:rsid w:val="35CB499B"/>
    <w:rsid w:val="35F06D62"/>
    <w:rsid w:val="362E56DA"/>
    <w:rsid w:val="36394BEF"/>
    <w:rsid w:val="363A73EF"/>
    <w:rsid w:val="364F43A0"/>
    <w:rsid w:val="368D1B2C"/>
    <w:rsid w:val="36930C67"/>
    <w:rsid w:val="37222DC4"/>
    <w:rsid w:val="372D3B66"/>
    <w:rsid w:val="372F6AEA"/>
    <w:rsid w:val="374F2349"/>
    <w:rsid w:val="377F6AF1"/>
    <w:rsid w:val="37D9BF48"/>
    <w:rsid w:val="37DA5F5D"/>
    <w:rsid w:val="380F5A93"/>
    <w:rsid w:val="3811078B"/>
    <w:rsid w:val="386D4B65"/>
    <w:rsid w:val="38A071A7"/>
    <w:rsid w:val="38F364FC"/>
    <w:rsid w:val="38F85F9E"/>
    <w:rsid w:val="397F5F1F"/>
    <w:rsid w:val="3A3B0F55"/>
    <w:rsid w:val="3A562703"/>
    <w:rsid w:val="3A595F53"/>
    <w:rsid w:val="3A652F45"/>
    <w:rsid w:val="3AC306EF"/>
    <w:rsid w:val="3B3B16B7"/>
    <w:rsid w:val="3B5C7C26"/>
    <w:rsid w:val="3B835F26"/>
    <w:rsid w:val="3B856284"/>
    <w:rsid w:val="3C14662C"/>
    <w:rsid w:val="3C1F77F3"/>
    <w:rsid w:val="3C355E58"/>
    <w:rsid w:val="3CE45667"/>
    <w:rsid w:val="3CE665A3"/>
    <w:rsid w:val="3D070935"/>
    <w:rsid w:val="3DC77303"/>
    <w:rsid w:val="3DCC73BE"/>
    <w:rsid w:val="3E065AD2"/>
    <w:rsid w:val="3E656495"/>
    <w:rsid w:val="3EA220A0"/>
    <w:rsid w:val="3EBC460F"/>
    <w:rsid w:val="3EDE27D7"/>
    <w:rsid w:val="3F1E7077"/>
    <w:rsid w:val="3F886092"/>
    <w:rsid w:val="3F9B6240"/>
    <w:rsid w:val="3FCC42EC"/>
    <w:rsid w:val="3FD4046F"/>
    <w:rsid w:val="3FF11B75"/>
    <w:rsid w:val="40391EBB"/>
    <w:rsid w:val="407F5880"/>
    <w:rsid w:val="40A1618C"/>
    <w:rsid w:val="40AB53F7"/>
    <w:rsid w:val="40BD41B1"/>
    <w:rsid w:val="40D9158E"/>
    <w:rsid w:val="412F5CD3"/>
    <w:rsid w:val="417074B5"/>
    <w:rsid w:val="41A25D3E"/>
    <w:rsid w:val="41A41780"/>
    <w:rsid w:val="41C85B9F"/>
    <w:rsid w:val="423D02CE"/>
    <w:rsid w:val="423F3BE1"/>
    <w:rsid w:val="428F3BA4"/>
    <w:rsid w:val="42AF431A"/>
    <w:rsid w:val="42B25ED7"/>
    <w:rsid w:val="42CB23BA"/>
    <w:rsid w:val="42DB22C9"/>
    <w:rsid w:val="42E55713"/>
    <w:rsid w:val="42FA5138"/>
    <w:rsid w:val="42FC08CF"/>
    <w:rsid w:val="43086074"/>
    <w:rsid w:val="434F2317"/>
    <w:rsid w:val="43ED5F09"/>
    <w:rsid w:val="43FE0C58"/>
    <w:rsid w:val="4416656F"/>
    <w:rsid w:val="444E398B"/>
    <w:rsid w:val="445C7C32"/>
    <w:rsid w:val="44C76D5D"/>
    <w:rsid w:val="44C86A55"/>
    <w:rsid w:val="44DC0DC9"/>
    <w:rsid w:val="44E03920"/>
    <w:rsid w:val="44EF467B"/>
    <w:rsid w:val="4500371C"/>
    <w:rsid w:val="457A6ED9"/>
    <w:rsid w:val="45D8134E"/>
    <w:rsid w:val="460D5D44"/>
    <w:rsid w:val="46195EA3"/>
    <w:rsid w:val="461F7EBC"/>
    <w:rsid w:val="465B295F"/>
    <w:rsid w:val="46785163"/>
    <w:rsid w:val="46B15B87"/>
    <w:rsid w:val="46E12E64"/>
    <w:rsid w:val="46E758DC"/>
    <w:rsid w:val="46EE10DD"/>
    <w:rsid w:val="472C74E2"/>
    <w:rsid w:val="473A3DD6"/>
    <w:rsid w:val="47EF37BC"/>
    <w:rsid w:val="48651E5F"/>
    <w:rsid w:val="48844B7E"/>
    <w:rsid w:val="48984AF5"/>
    <w:rsid w:val="48A43AFA"/>
    <w:rsid w:val="48D43065"/>
    <w:rsid w:val="48D457F5"/>
    <w:rsid w:val="48EA396A"/>
    <w:rsid w:val="490352EC"/>
    <w:rsid w:val="49BE5271"/>
    <w:rsid w:val="49D006C2"/>
    <w:rsid w:val="4A127BD0"/>
    <w:rsid w:val="4A5E30E6"/>
    <w:rsid w:val="4B411A0C"/>
    <w:rsid w:val="4B9372C6"/>
    <w:rsid w:val="4BA818E4"/>
    <w:rsid w:val="4C050700"/>
    <w:rsid w:val="4C391BA4"/>
    <w:rsid w:val="4C46200F"/>
    <w:rsid w:val="4CB51C0B"/>
    <w:rsid w:val="4CBB0241"/>
    <w:rsid w:val="4CC17687"/>
    <w:rsid w:val="4CF9752E"/>
    <w:rsid w:val="4CFD4271"/>
    <w:rsid w:val="4D2E6657"/>
    <w:rsid w:val="4D44010C"/>
    <w:rsid w:val="4D6D5452"/>
    <w:rsid w:val="4DB058DF"/>
    <w:rsid w:val="4DEC42F8"/>
    <w:rsid w:val="4E091D15"/>
    <w:rsid w:val="4E61701F"/>
    <w:rsid w:val="4EEB59D6"/>
    <w:rsid w:val="4F7A015D"/>
    <w:rsid w:val="4F841EE1"/>
    <w:rsid w:val="4F954AEB"/>
    <w:rsid w:val="4F954C2F"/>
    <w:rsid w:val="4F967155"/>
    <w:rsid w:val="4FBF62DC"/>
    <w:rsid w:val="4FC85779"/>
    <w:rsid w:val="50041E69"/>
    <w:rsid w:val="50461917"/>
    <w:rsid w:val="506A1BC6"/>
    <w:rsid w:val="50CA59E1"/>
    <w:rsid w:val="50D6388D"/>
    <w:rsid w:val="50E70007"/>
    <w:rsid w:val="510D04C9"/>
    <w:rsid w:val="516A1FFE"/>
    <w:rsid w:val="51AD51BC"/>
    <w:rsid w:val="52262073"/>
    <w:rsid w:val="52383B54"/>
    <w:rsid w:val="524F54D2"/>
    <w:rsid w:val="525F73E4"/>
    <w:rsid w:val="52AA4A52"/>
    <w:rsid w:val="52FC24CA"/>
    <w:rsid w:val="53293843"/>
    <w:rsid w:val="533C47F2"/>
    <w:rsid w:val="535C2A85"/>
    <w:rsid w:val="53687452"/>
    <w:rsid w:val="537D4244"/>
    <w:rsid w:val="53F046E7"/>
    <w:rsid w:val="546645F1"/>
    <w:rsid w:val="54D77655"/>
    <w:rsid w:val="556E1D44"/>
    <w:rsid w:val="559340FB"/>
    <w:rsid w:val="559F62E5"/>
    <w:rsid w:val="55BF51D3"/>
    <w:rsid w:val="56056B5F"/>
    <w:rsid w:val="56063228"/>
    <w:rsid w:val="564A4B68"/>
    <w:rsid w:val="56D30FA7"/>
    <w:rsid w:val="57293EF4"/>
    <w:rsid w:val="5784479D"/>
    <w:rsid w:val="58106334"/>
    <w:rsid w:val="586A3C08"/>
    <w:rsid w:val="58C865D7"/>
    <w:rsid w:val="58E2531A"/>
    <w:rsid w:val="58E71480"/>
    <w:rsid w:val="5912340B"/>
    <w:rsid w:val="59540FFA"/>
    <w:rsid w:val="5A071001"/>
    <w:rsid w:val="5A135131"/>
    <w:rsid w:val="5A1E0F78"/>
    <w:rsid w:val="5A9B60E2"/>
    <w:rsid w:val="5AB758D3"/>
    <w:rsid w:val="5AC17847"/>
    <w:rsid w:val="5AC468CD"/>
    <w:rsid w:val="5ADA7F07"/>
    <w:rsid w:val="5B21787C"/>
    <w:rsid w:val="5B340F0C"/>
    <w:rsid w:val="5B5C1E5E"/>
    <w:rsid w:val="5B6B06E8"/>
    <w:rsid w:val="5B7C4205"/>
    <w:rsid w:val="5B975465"/>
    <w:rsid w:val="5BB93A9C"/>
    <w:rsid w:val="5BCF0389"/>
    <w:rsid w:val="5BFE2914"/>
    <w:rsid w:val="5C5A08EB"/>
    <w:rsid w:val="5CAA51AD"/>
    <w:rsid w:val="5CD61633"/>
    <w:rsid w:val="5CE05A84"/>
    <w:rsid w:val="5CEA5222"/>
    <w:rsid w:val="5D215911"/>
    <w:rsid w:val="5D2409E1"/>
    <w:rsid w:val="5D3D28A6"/>
    <w:rsid w:val="5D3E3784"/>
    <w:rsid w:val="5D463128"/>
    <w:rsid w:val="5D81217B"/>
    <w:rsid w:val="5D932C61"/>
    <w:rsid w:val="5DB25A55"/>
    <w:rsid w:val="5DB6496A"/>
    <w:rsid w:val="5E2E2878"/>
    <w:rsid w:val="5E712F36"/>
    <w:rsid w:val="5E865F86"/>
    <w:rsid w:val="5F4678B1"/>
    <w:rsid w:val="5F483EC3"/>
    <w:rsid w:val="5F567E0C"/>
    <w:rsid w:val="5F6D4B1E"/>
    <w:rsid w:val="5F7731EE"/>
    <w:rsid w:val="5F894349"/>
    <w:rsid w:val="5FAC4EC2"/>
    <w:rsid w:val="5FD673BC"/>
    <w:rsid w:val="5FE15D72"/>
    <w:rsid w:val="5FFF00BF"/>
    <w:rsid w:val="608400E9"/>
    <w:rsid w:val="60CE5DB0"/>
    <w:rsid w:val="61366DFC"/>
    <w:rsid w:val="6138489E"/>
    <w:rsid w:val="618A3399"/>
    <w:rsid w:val="6195336A"/>
    <w:rsid w:val="61BF1497"/>
    <w:rsid w:val="61E10F2A"/>
    <w:rsid w:val="625E7607"/>
    <w:rsid w:val="62762A9D"/>
    <w:rsid w:val="62E54882"/>
    <w:rsid w:val="631F6EAF"/>
    <w:rsid w:val="6323563B"/>
    <w:rsid w:val="636C7EA0"/>
    <w:rsid w:val="63820B13"/>
    <w:rsid w:val="639877CD"/>
    <w:rsid w:val="64005FB0"/>
    <w:rsid w:val="64560E16"/>
    <w:rsid w:val="64674EBF"/>
    <w:rsid w:val="647C177A"/>
    <w:rsid w:val="64CF6742"/>
    <w:rsid w:val="650B2CA9"/>
    <w:rsid w:val="6511344B"/>
    <w:rsid w:val="654F0E0A"/>
    <w:rsid w:val="656122A5"/>
    <w:rsid w:val="6577097D"/>
    <w:rsid w:val="658A1CAA"/>
    <w:rsid w:val="65C81BD3"/>
    <w:rsid w:val="661F700C"/>
    <w:rsid w:val="6624481D"/>
    <w:rsid w:val="665F7976"/>
    <w:rsid w:val="668B396A"/>
    <w:rsid w:val="66E8136F"/>
    <w:rsid w:val="66FF6809"/>
    <w:rsid w:val="6712276E"/>
    <w:rsid w:val="67DE47D9"/>
    <w:rsid w:val="682174EF"/>
    <w:rsid w:val="684901B7"/>
    <w:rsid w:val="686B698E"/>
    <w:rsid w:val="68A456FF"/>
    <w:rsid w:val="68DD7C57"/>
    <w:rsid w:val="692A4559"/>
    <w:rsid w:val="69432EBF"/>
    <w:rsid w:val="69830BCC"/>
    <w:rsid w:val="69A75443"/>
    <w:rsid w:val="69B155BB"/>
    <w:rsid w:val="69C22D1B"/>
    <w:rsid w:val="69CF4EC9"/>
    <w:rsid w:val="69E0737F"/>
    <w:rsid w:val="69FB0AEA"/>
    <w:rsid w:val="6A3F6E85"/>
    <w:rsid w:val="6A406E14"/>
    <w:rsid w:val="6AC4545B"/>
    <w:rsid w:val="6AD646DD"/>
    <w:rsid w:val="6ADE12E5"/>
    <w:rsid w:val="6AFD44EC"/>
    <w:rsid w:val="6B5B229A"/>
    <w:rsid w:val="6B9F4131"/>
    <w:rsid w:val="6C3C3E82"/>
    <w:rsid w:val="6C702411"/>
    <w:rsid w:val="6CAE09F8"/>
    <w:rsid w:val="6D0352C5"/>
    <w:rsid w:val="6D3A0C58"/>
    <w:rsid w:val="6D6A74AC"/>
    <w:rsid w:val="6D8E79EF"/>
    <w:rsid w:val="6DBE65ED"/>
    <w:rsid w:val="6DCE7079"/>
    <w:rsid w:val="6DE2733E"/>
    <w:rsid w:val="6E360BEE"/>
    <w:rsid w:val="6E414065"/>
    <w:rsid w:val="6E58202C"/>
    <w:rsid w:val="6E616846"/>
    <w:rsid w:val="6E7078FC"/>
    <w:rsid w:val="6E717B10"/>
    <w:rsid w:val="6E7E8647"/>
    <w:rsid w:val="6EA57A55"/>
    <w:rsid w:val="6ECD0DA3"/>
    <w:rsid w:val="6ED358DA"/>
    <w:rsid w:val="6EFB0039"/>
    <w:rsid w:val="6F1A7533"/>
    <w:rsid w:val="6FF0756E"/>
    <w:rsid w:val="6FF818E4"/>
    <w:rsid w:val="6FF97703"/>
    <w:rsid w:val="70096F31"/>
    <w:rsid w:val="705F0DFB"/>
    <w:rsid w:val="7064228D"/>
    <w:rsid w:val="708C17E3"/>
    <w:rsid w:val="70980188"/>
    <w:rsid w:val="71204240"/>
    <w:rsid w:val="71BE7F78"/>
    <w:rsid w:val="71E9325C"/>
    <w:rsid w:val="723917D4"/>
    <w:rsid w:val="72D94467"/>
    <w:rsid w:val="72FC17F0"/>
    <w:rsid w:val="73995088"/>
    <w:rsid w:val="73A104F1"/>
    <w:rsid w:val="744A13A0"/>
    <w:rsid w:val="749E6ABF"/>
    <w:rsid w:val="74B20A0E"/>
    <w:rsid w:val="74B21CD0"/>
    <w:rsid w:val="74B81476"/>
    <w:rsid w:val="74E91645"/>
    <w:rsid w:val="75355FA6"/>
    <w:rsid w:val="7571088C"/>
    <w:rsid w:val="75DD0FD8"/>
    <w:rsid w:val="75FF0362"/>
    <w:rsid w:val="7611679B"/>
    <w:rsid w:val="761864E2"/>
    <w:rsid w:val="761C52C9"/>
    <w:rsid w:val="768D0A53"/>
    <w:rsid w:val="76967C0A"/>
    <w:rsid w:val="76CB47BD"/>
    <w:rsid w:val="77135A99"/>
    <w:rsid w:val="77472D23"/>
    <w:rsid w:val="77524EAA"/>
    <w:rsid w:val="779431CF"/>
    <w:rsid w:val="77AF7697"/>
    <w:rsid w:val="77C64C04"/>
    <w:rsid w:val="77C960A6"/>
    <w:rsid w:val="78571504"/>
    <w:rsid w:val="78723958"/>
    <w:rsid w:val="788E67C5"/>
    <w:rsid w:val="789002A6"/>
    <w:rsid w:val="7897788D"/>
    <w:rsid w:val="78B612E4"/>
    <w:rsid w:val="78C8505F"/>
    <w:rsid w:val="78E8000F"/>
    <w:rsid w:val="78EE1716"/>
    <w:rsid w:val="78F87A16"/>
    <w:rsid w:val="79356BAD"/>
    <w:rsid w:val="79440EAD"/>
    <w:rsid w:val="79562D6B"/>
    <w:rsid w:val="796D2127"/>
    <w:rsid w:val="79932627"/>
    <w:rsid w:val="79B805C8"/>
    <w:rsid w:val="79F6061B"/>
    <w:rsid w:val="79FE7DE9"/>
    <w:rsid w:val="79FF3948"/>
    <w:rsid w:val="7A096C33"/>
    <w:rsid w:val="7A261860"/>
    <w:rsid w:val="7A33123A"/>
    <w:rsid w:val="7A663464"/>
    <w:rsid w:val="7A8C4EFF"/>
    <w:rsid w:val="7ABF0BF6"/>
    <w:rsid w:val="7AE35908"/>
    <w:rsid w:val="7B081FAF"/>
    <w:rsid w:val="7B0B2F02"/>
    <w:rsid w:val="7B2965AD"/>
    <w:rsid w:val="7B6E427F"/>
    <w:rsid w:val="7B794A30"/>
    <w:rsid w:val="7B816900"/>
    <w:rsid w:val="7B9F061D"/>
    <w:rsid w:val="7BD36518"/>
    <w:rsid w:val="7BDE7397"/>
    <w:rsid w:val="7C0621BC"/>
    <w:rsid w:val="7C0E4689"/>
    <w:rsid w:val="7C775215"/>
    <w:rsid w:val="7C8B1C50"/>
    <w:rsid w:val="7C911211"/>
    <w:rsid w:val="7C99506C"/>
    <w:rsid w:val="7CA66DEB"/>
    <w:rsid w:val="7CE704CD"/>
    <w:rsid w:val="7CF057E8"/>
    <w:rsid w:val="7D3B2A01"/>
    <w:rsid w:val="7D44147C"/>
    <w:rsid w:val="7D8601E3"/>
    <w:rsid w:val="7DE642E1"/>
    <w:rsid w:val="7E3C474E"/>
    <w:rsid w:val="7E4B0629"/>
    <w:rsid w:val="7E7B827A"/>
    <w:rsid w:val="7E7F3AE2"/>
    <w:rsid w:val="7ECFE24E"/>
    <w:rsid w:val="7EDD1B0E"/>
    <w:rsid w:val="7EE20889"/>
    <w:rsid w:val="7EFE3A4A"/>
    <w:rsid w:val="7F370A85"/>
    <w:rsid w:val="7F6C4BA2"/>
    <w:rsid w:val="7F7E679B"/>
    <w:rsid w:val="7F99FF82"/>
    <w:rsid w:val="7FC20D7E"/>
    <w:rsid w:val="8679D3A1"/>
    <w:rsid w:val="9F9E666E"/>
    <w:rsid w:val="A5FFBD7D"/>
    <w:rsid w:val="AF39BD46"/>
    <w:rsid w:val="B4DD126A"/>
    <w:rsid w:val="BBFD58BE"/>
    <w:rsid w:val="BBFE5B1B"/>
    <w:rsid w:val="BD3FFD9A"/>
    <w:rsid w:val="BF852E02"/>
    <w:rsid w:val="BFF60378"/>
    <w:rsid w:val="CAE9DFFD"/>
    <w:rsid w:val="D3FFC76C"/>
    <w:rsid w:val="D7B2C8B0"/>
    <w:rsid w:val="D7DC711C"/>
    <w:rsid w:val="DC5F85E1"/>
    <w:rsid w:val="DFAF6082"/>
    <w:rsid w:val="E7D3F23E"/>
    <w:rsid w:val="E7FB003D"/>
    <w:rsid w:val="EBFF3BD6"/>
    <w:rsid w:val="EF2F5B38"/>
    <w:rsid w:val="EFDE8DA7"/>
    <w:rsid w:val="EFDE9A65"/>
    <w:rsid w:val="EFF7B695"/>
    <w:rsid w:val="F5292C8C"/>
    <w:rsid w:val="F6EEB85B"/>
    <w:rsid w:val="F8FC27EE"/>
    <w:rsid w:val="F9D9874F"/>
    <w:rsid w:val="FADD38B9"/>
    <w:rsid w:val="FBFFF96B"/>
    <w:rsid w:val="FDAF87AD"/>
    <w:rsid w:val="FDBF0446"/>
    <w:rsid w:val="FEBDD789"/>
    <w:rsid w:val="FEBF0F3E"/>
    <w:rsid w:val="FF5725FA"/>
    <w:rsid w:val="FF5BD160"/>
    <w:rsid w:val="FFB5E208"/>
    <w:rsid w:val="FFFB86F4"/>
    <w:rsid w:val="FFFFFF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qFormat="1" w:unhideWhenUsed="0" w:uiPriority="0"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link w:val="69"/>
    <w:qFormat/>
    <w:uiPriority w:val="9"/>
    <w:pPr>
      <w:keepNext/>
      <w:outlineLvl w:val="0"/>
    </w:pPr>
    <w:rPr>
      <w:rFonts w:ascii="宋体"/>
      <w:sz w:val="28"/>
    </w:rPr>
  </w:style>
  <w:style w:type="paragraph" w:styleId="5">
    <w:name w:val="heading 2"/>
    <w:basedOn w:val="1"/>
    <w:next w:val="1"/>
    <w:link w:val="82"/>
    <w:qFormat/>
    <w:uiPriority w:val="9"/>
    <w:pPr>
      <w:keepNext/>
      <w:keepLines/>
      <w:adjustRightInd w:val="0"/>
      <w:spacing w:before="260" w:after="260" w:line="416" w:lineRule="atLeast"/>
      <w:textAlignment w:val="baseline"/>
      <w:outlineLvl w:val="1"/>
    </w:pPr>
    <w:rPr>
      <w:rFonts w:ascii="Arial" w:hAnsi="Arial" w:eastAsia="黑体"/>
      <w:b/>
      <w:kern w:val="0"/>
      <w:sz w:val="32"/>
      <w:lang w:val="zh-CN"/>
    </w:rPr>
  </w:style>
  <w:style w:type="paragraph" w:styleId="6">
    <w:name w:val="heading 3"/>
    <w:basedOn w:val="1"/>
    <w:next w:val="1"/>
    <w:link w:val="103"/>
    <w:qFormat/>
    <w:uiPriority w:val="9"/>
    <w:pPr>
      <w:keepNext/>
      <w:keepLines/>
      <w:spacing w:before="260" w:after="260" w:line="416" w:lineRule="auto"/>
      <w:outlineLvl w:val="2"/>
    </w:pPr>
    <w:rPr>
      <w:b/>
      <w:bCs/>
      <w:kern w:val="0"/>
      <w:sz w:val="32"/>
      <w:szCs w:val="32"/>
    </w:rPr>
  </w:style>
  <w:style w:type="paragraph" w:styleId="7">
    <w:name w:val="heading 4"/>
    <w:basedOn w:val="1"/>
    <w:next w:val="8"/>
    <w:link w:val="83"/>
    <w:qFormat/>
    <w:uiPriority w:val="0"/>
    <w:pPr>
      <w:keepNext/>
      <w:keepLines/>
      <w:spacing w:before="280" w:after="290" w:line="372" w:lineRule="auto"/>
      <w:outlineLvl w:val="3"/>
    </w:pPr>
    <w:rPr>
      <w:rFonts w:ascii="Arial" w:hAnsi="Arial" w:eastAsia="黑体"/>
      <w:b/>
      <w:sz w:val="28"/>
      <w:lang w:val="zh-CN"/>
    </w:rPr>
  </w:style>
  <w:style w:type="paragraph" w:styleId="9">
    <w:name w:val="heading 5"/>
    <w:basedOn w:val="1"/>
    <w:next w:val="8"/>
    <w:link w:val="84"/>
    <w:qFormat/>
    <w:uiPriority w:val="0"/>
    <w:pPr>
      <w:keepNext/>
      <w:keepLines/>
      <w:spacing w:before="280" w:after="290" w:line="372" w:lineRule="auto"/>
      <w:outlineLvl w:val="4"/>
    </w:pPr>
    <w:rPr>
      <w:b/>
      <w:sz w:val="28"/>
      <w:lang w:val="zh-CN"/>
    </w:rPr>
  </w:style>
  <w:style w:type="paragraph" w:styleId="10">
    <w:name w:val="heading 6"/>
    <w:basedOn w:val="1"/>
    <w:next w:val="8"/>
    <w:link w:val="85"/>
    <w:qFormat/>
    <w:uiPriority w:val="0"/>
    <w:pPr>
      <w:keepNext/>
      <w:keepLines/>
      <w:spacing w:before="240" w:after="64" w:line="317" w:lineRule="auto"/>
      <w:outlineLvl w:val="5"/>
    </w:pPr>
    <w:rPr>
      <w:rFonts w:ascii="Arial" w:hAnsi="Arial" w:eastAsia="黑体"/>
      <w:b/>
      <w:sz w:val="24"/>
      <w:lang w:val="zh-CN"/>
    </w:rPr>
  </w:style>
  <w:style w:type="paragraph" w:styleId="11">
    <w:name w:val="heading 7"/>
    <w:basedOn w:val="1"/>
    <w:next w:val="8"/>
    <w:link w:val="86"/>
    <w:qFormat/>
    <w:uiPriority w:val="0"/>
    <w:pPr>
      <w:keepNext/>
      <w:keepLines/>
      <w:spacing w:before="240" w:after="64" w:line="317" w:lineRule="auto"/>
      <w:outlineLvl w:val="6"/>
    </w:pPr>
    <w:rPr>
      <w:b/>
      <w:sz w:val="24"/>
      <w:lang w:val="zh-CN"/>
    </w:rPr>
  </w:style>
  <w:style w:type="paragraph" w:styleId="12">
    <w:name w:val="heading 8"/>
    <w:basedOn w:val="1"/>
    <w:next w:val="8"/>
    <w:link w:val="87"/>
    <w:qFormat/>
    <w:uiPriority w:val="0"/>
    <w:pPr>
      <w:keepNext/>
      <w:keepLines/>
      <w:spacing w:before="240" w:after="64" w:line="317" w:lineRule="auto"/>
      <w:outlineLvl w:val="7"/>
    </w:pPr>
    <w:rPr>
      <w:rFonts w:ascii="Arial" w:hAnsi="Arial" w:eastAsia="黑体"/>
      <w:sz w:val="24"/>
      <w:lang w:val="zh-CN"/>
    </w:rPr>
  </w:style>
  <w:style w:type="paragraph" w:styleId="13">
    <w:name w:val="heading 9"/>
    <w:basedOn w:val="1"/>
    <w:next w:val="8"/>
    <w:link w:val="88"/>
    <w:qFormat/>
    <w:uiPriority w:val="0"/>
    <w:pPr>
      <w:keepNext/>
      <w:keepLines/>
      <w:spacing w:before="240" w:after="64" w:line="317" w:lineRule="auto"/>
      <w:outlineLvl w:val="8"/>
    </w:pPr>
    <w:rPr>
      <w:rFonts w:ascii="Arial" w:hAnsi="Arial" w:eastAsia="黑体"/>
      <w:lang w:val="zh-CN"/>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81"/>
    <w:unhideWhenUsed/>
    <w:qFormat/>
    <w:uiPriority w:val="1"/>
    <w:pPr>
      <w:spacing w:after="120"/>
    </w:pPr>
  </w:style>
  <w:style w:type="paragraph" w:styleId="4">
    <w:name w:val="toc 3"/>
    <w:basedOn w:val="1"/>
    <w:next w:val="1"/>
    <w:qFormat/>
    <w:uiPriority w:val="39"/>
    <w:pPr>
      <w:spacing w:line="360" w:lineRule="auto"/>
      <w:ind w:left="420"/>
      <w:jc w:val="left"/>
    </w:pPr>
    <w:rPr>
      <w:iCs/>
      <w:sz w:val="24"/>
    </w:rPr>
  </w:style>
  <w:style w:type="paragraph" w:styleId="8">
    <w:name w:val="Normal Indent"/>
    <w:basedOn w:val="1"/>
    <w:link w:val="104"/>
    <w:qFormat/>
    <w:uiPriority w:val="0"/>
    <w:pPr>
      <w:ind w:firstLine="420"/>
    </w:pPr>
  </w:style>
  <w:style w:type="paragraph" w:styleId="14">
    <w:name w:val="toc 7"/>
    <w:basedOn w:val="15"/>
    <w:next w:val="1"/>
    <w:semiHidden/>
    <w:qFormat/>
    <w:uiPriority w:val="0"/>
  </w:style>
  <w:style w:type="paragraph" w:styleId="15">
    <w:name w:val="toc 6"/>
    <w:basedOn w:val="16"/>
    <w:next w:val="1"/>
    <w:semiHidden/>
    <w:qFormat/>
    <w:uiPriority w:val="0"/>
  </w:style>
  <w:style w:type="paragraph" w:styleId="16">
    <w:name w:val="toc 5"/>
    <w:basedOn w:val="17"/>
    <w:next w:val="1"/>
    <w:semiHidden/>
    <w:qFormat/>
    <w:uiPriority w:val="0"/>
  </w:style>
  <w:style w:type="paragraph" w:styleId="17">
    <w:name w:val="toc 4"/>
    <w:basedOn w:val="4"/>
    <w:next w:val="1"/>
    <w:semiHidden/>
    <w:qFormat/>
    <w:uiPriority w:val="0"/>
    <w:pPr>
      <w:widowControl/>
      <w:spacing w:line="240" w:lineRule="auto"/>
      <w:ind w:left="0"/>
      <w:jc w:val="both"/>
    </w:pPr>
    <w:rPr>
      <w:rFonts w:ascii="宋体"/>
      <w:iCs w:val="0"/>
      <w:kern w:val="0"/>
      <w:sz w:val="21"/>
    </w:rPr>
  </w:style>
  <w:style w:type="paragraph" w:styleId="18">
    <w:name w:val="Note Heading"/>
    <w:basedOn w:val="1"/>
    <w:next w:val="1"/>
    <w:link w:val="89"/>
    <w:qFormat/>
    <w:uiPriority w:val="0"/>
    <w:pPr>
      <w:adjustRightInd w:val="0"/>
      <w:snapToGrid w:val="0"/>
      <w:jc w:val="center"/>
    </w:pPr>
    <w:rPr>
      <w:lang w:val="zh-CN" w:eastAsia="zh-TW"/>
    </w:rPr>
  </w:style>
  <w:style w:type="paragraph" w:styleId="19">
    <w:name w:val="caption"/>
    <w:basedOn w:val="1"/>
    <w:next w:val="1"/>
    <w:qFormat/>
    <w:uiPriority w:val="35"/>
    <w:rPr>
      <w:rFonts w:ascii="Cambria" w:hAnsi="Cambria" w:eastAsia="黑体"/>
    </w:rPr>
  </w:style>
  <w:style w:type="paragraph" w:styleId="20">
    <w:name w:val="Document Map"/>
    <w:basedOn w:val="1"/>
    <w:link w:val="90"/>
    <w:qFormat/>
    <w:uiPriority w:val="0"/>
    <w:pPr>
      <w:shd w:val="clear" w:color="auto" w:fill="000080"/>
    </w:pPr>
    <w:rPr>
      <w:kern w:val="0"/>
      <w:sz w:val="20"/>
    </w:rPr>
  </w:style>
  <w:style w:type="paragraph" w:styleId="21">
    <w:name w:val="toa heading"/>
    <w:basedOn w:val="1"/>
    <w:next w:val="1"/>
    <w:qFormat/>
    <w:uiPriority w:val="0"/>
    <w:pPr>
      <w:adjustRightInd w:val="0"/>
      <w:spacing w:before="120" w:line="312" w:lineRule="atLeast"/>
      <w:textAlignment w:val="baseline"/>
    </w:pPr>
    <w:rPr>
      <w:rFonts w:ascii="Arial" w:hAnsi="Arial"/>
      <w:sz w:val="24"/>
    </w:rPr>
  </w:style>
  <w:style w:type="paragraph" w:styleId="22">
    <w:name w:val="annotation text"/>
    <w:basedOn w:val="1"/>
    <w:link w:val="101"/>
    <w:qFormat/>
    <w:uiPriority w:val="0"/>
    <w:pPr>
      <w:spacing w:after="200" w:line="276" w:lineRule="auto"/>
      <w:jc w:val="left"/>
    </w:pPr>
    <w:rPr>
      <w:kern w:val="0"/>
    </w:rPr>
  </w:style>
  <w:style w:type="paragraph" w:styleId="23">
    <w:name w:val="Salutation"/>
    <w:basedOn w:val="1"/>
    <w:next w:val="1"/>
    <w:link w:val="70"/>
    <w:qFormat/>
    <w:uiPriority w:val="0"/>
    <w:rPr>
      <w:sz w:val="24"/>
    </w:rPr>
  </w:style>
  <w:style w:type="paragraph" w:styleId="24">
    <w:name w:val="Body Text 3"/>
    <w:basedOn w:val="1"/>
    <w:link w:val="91"/>
    <w:qFormat/>
    <w:uiPriority w:val="0"/>
    <w:pPr>
      <w:tabs>
        <w:tab w:val="left" w:pos="-1440"/>
      </w:tabs>
      <w:suppressAutoHyphens/>
      <w:spacing w:line="240" w:lineRule="atLeast"/>
    </w:pPr>
    <w:rPr>
      <w:rFonts w:ascii="Arial" w:hAnsi="Arial"/>
      <w:color w:val="FF0000"/>
      <w:spacing w:val="-3"/>
      <w:kern w:val="0"/>
      <w:sz w:val="22"/>
      <w:lang w:val="en-GB" w:eastAsia="en-US"/>
    </w:rPr>
  </w:style>
  <w:style w:type="paragraph" w:styleId="25">
    <w:name w:val="Body Text Indent"/>
    <w:basedOn w:val="1"/>
    <w:link w:val="74"/>
    <w:unhideWhenUsed/>
    <w:qFormat/>
    <w:uiPriority w:val="0"/>
    <w:pPr>
      <w:spacing w:after="120"/>
      <w:ind w:left="420" w:leftChars="200"/>
    </w:pPr>
  </w:style>
  <w:style w:type="paragraph" w:styleId="26">
    <w:name w:val="Block Text"/>
    <w:basedOn w:val="1"/>
    <w:qFormat/>
    <w:uiPriority w:val="0"/>
    <w:pPr>
      <w:ind w:left="-540" w:right="-1054"/>
    </w:pPr>
    <w:rPr>
      <w:sz w:val="28"/>
    </w:rPr>
  </w:style>
  <w:style w:type="paragraph" w:styleId="27">
    <w:name w:val="HTML Address"/>
    <w:basedOn w:val="1"/>
    <w:link w:val="92"/>
    <w:semiHidden/>
    <w:qFormat/>
    <w:uiPriority w:val="0"/>
    <w:rPr>
      <w:i/>
      <w:iCs/>
      <w:szCs w:val="24"/>
    </w:rPr>
  </w:style>
  <w:style w:type="paragraph" w:styleId="28">
    <w:name w:val="Plain Text"/>
    <w:basedOn w:val="1"/>
    <w:link w:val="93"/>
    <w:qFormat/>
    <w:uiPriority w:val="99"/>
    <w:pPr>
      <w:overflowPunct w:val="0"/>
      <w:spacing w:line="360" w:lineRule="auto"/>
    </w:pPr>
    <w:rPr>
      <w:rFonts w:ascii="宋体" w:hAnsi="Courier New" w:eastAsia="仿宋_GB2312"/>
      <w:sz w:val="24"/>
      <w:lang w:val="zh-CN"/>
    </w:rPr>
  </w:style>
  <w:style w:type="paragraph" w:styleId="29">
    <w:name w:val="List Number 4"/>
    <w:basedOn w:val="1"/>
    <w:semiHidden/>
    <w:qFormat/>
    <w:uiPriority w:val="99"/>
    <w:pPr>
      <w:tabs>
        <w:tab w:val="left" w:pos="420"/>
      </w:tabs>
      <w:spacing w:after="200" w:line="276" w:lineRule="auto"/>
      <w:ind w:left="420" w:hanging="420"/>
      <w:jc w:val="left"/>
    </w:pPr>
    <w:rPr>
      <w:rFonts w:ascii="Calibri" w:hAnsi="Calibri" w:cs="Calibri"/>
      <w:kern w:val="0"/>
      <w:sz w:val="22"/>
      <w:szCs w:val="22"/>
      <w:lang w:eastAsia="en-US"/>
    </w:rPr>
  </w:style>
  <w:style w:type="paragraph" w:styleId="30">
    <w:name w:val="toc 8"/>
    <w:basedOn w:val="14"/>
    <w:next w:val="1"/>
    <w:semiHidden/>
    <w:qFormat/>
    <w:uiPriority w:val="0"/>
  </w:style>
  <w:style w:type="paragraph" w:styleId="31">
    <w:name w:val="Date"/>
    <w:basedOn w:val="1"/>
    <w:next w:val="1"/>
    <w:link w:val="94"/>
    <w:qFormat/>
    <w:uiPriority w:val="0"/>
    <w:rPr>
      <w:kern w:val="0"/>
      <w:sz w:val="24"/>
    </w:rPr>
  </w:style>
  <w:style w:type="paragraph" w:styleId="32">
    <w:name w:val="Body Text Indent 2"/>
    <w:basedOn w:val="1"/>
    <w:link w:val="73"/>
    <w:qFormat/>
    <w:uiPriority w:val="0"/>
    <w:pPr>
      <w:ind w:firstLine="10983" w:firstLineChars="3495"/>
    </w:pPr>
    <w:rPr>
      <w:rFonts w:eastAsia="黑体"/>
      <w:b/>
      <w:bCs/>
      <w:sz w:val="32"/>
    </w:rPr>
  </w:style>
  <w:style w:type="paragraph" w:styleId="33">
    <w:name w:val="endnote text"/>
    <w:basedOn w:val="1"/>
    <w:link w:val="105"/>
    <w:semiHidden/>
    <w:unhideWhenUsed/>
    <w:qFormat/>
    <w:uiPriority w:val="0"/>
    <w:pPr>
      <w:snapToGrid w:val="0"/>
      <w:jc w:val="left"/>
    </w:pPr>
    <w:rPr>
      <w:rFonts w:eastAsia="??"/>
      <w:color w:val="000000"/>
      <w:kern w:val="0"/>
      <w:sz w:val="24"/>
      <w:szCs w:val="24"/>
      <w:lang w:val="zh-CN"/>
    </w:rPr>
  </w:style>
  <w:style w:type="paragraph" w:styleId="34">
    <w:name w:val="Balloon Text"/>
    <w:basedOn w:val="1"/>
    <w:link w:val="72"/>
    <w:unhideWhenUsed/>
    <w:qFormat/>
    <w:uiPriority w:val="0"/>
    <w:rPr>
      <w:sz w:val="18"/>
      <w:szCs w:val="18"/>
    </w:rPr>
  </w:style>
  <w:style w:type="paragraph" w:styleId="35">
    <w:name w:val="footer"/>
    <w:basedOn w:val="1"/>
    <w:link w:val="68"/>
    <w:unhideWhenUsed/>
    <w:qFormat/>
    <w:uiPriority w:val="99"/>
    <w:pPr>
      <w:tabs>
        <w:tab w:val="center" w:pos="4153"/>
        <w:tab w:val="right" w:pos="8306"/>
      </w:tabs>
      <w:snapToGrid w:val="0"/>
      <w:jc w:val="left"/>
    </w:pPr>
    <w:rPr>
      <w:sz w:val="18"/>
      <w:szCs w:val="18"/>
    </w:rPr>
  </w:style>
  <w:style w:type="paragraph" w:styleId="36">
    <w:name w:val="header"/>
    <w:basedOn w:val="1"/>
    <w:link w:val="67"/>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8">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2"/>
    <w:qFormat/>
    <w:uiPriority w:val="99"/>
    <w:pPr>
      <w:ind w:left="200" w:hanging="200" w:hangingChars="200"/>
    </w:pPr>
  </w:style>
  <w:style w:type="paragraph" w:styleId="40">
    <w:name w:val="footnote text"/>
    <w:basedOn w:val="1"/>
    <w:link w:val="97"/>
    <w:qFormat/>
    <w:uiPriority w:val="0"/>
    <w:pPr>
      <w:snapToGrid w:val="0"/>
    </w:pPr>
    <w:rPr>
      <w:sz w:val="18"/>
      <w:szCs w:val="18"/>
      <w:lang w:val="zh-CN"/>
    </w:rPr>
  </w:style>
  <w:style w:type="paragraph" w:styleId="41">
    <w:name w:val="Body Text Indent 3"/>
    <w:basedOn w:val="1"/>
    <w:link w:val="98"/>
    <w:qFormat/>
    <w:uiPriority w:val="0"/>
    <w:pPr>
      <w:ind w:firstLine="720"/>
    </w:pPr>
    <w:rPr>
      <w:kern w:val="0"/>
      <w:sz w:val="24"/>
    </w:rPr>
  </w:style>
  <w:style w:type="paragraph" w:styleId="42">
    <w:name w:val="table of figures"/>
    <w:basedOn w:val="1"/>
    <w:next w:val="1"/>
    <w:qFormat/>
    <w:uiPriority w:val="0"/>
    <w:pPr>
      <w:ind w:left="440" w:hanging="440"/>
    </w:pPr>
    <w:rPr>
      <w:rFonts w:ascii="Arial" w:hAnsi="Arial"/>
      <w:sz w:val="22"/>
      <w:lang w:val="en-GB" w:eastAsia="en-US"/>
    </w:rPr>
  </w:style>
  <w:style w:type="paragraph" w:styleId="43">
    <w:name w:val="toc 2"/>
    <w:basedOn w:val="37"/>
    <w:next w:val="1"/>
    <w:semiHidden/>
    <w:qFormat/>
    <w:uiPriority w:val="0"/>
    <w:pPr>
      <w:spacing w:after="0" w:line="240" w:lineRule="auto"/>
      <w:jc w:val="both"/>
    </w:pPr>
    <w:rPr>
      <w:rFonts w:ascii="宋体" w:hAnsi="Times New Roman"/>
      <w:sz w:val="21"/>
      <w:szCs w:val="20"/>
    </w:rPr>
  </w:style>
  <w:style w:type="paragraph" w:styleId="44">
    <w:name w:val="toc 9"/>
    <w:basedOn w:val="30"/>
    <w:next w:val="1"/>
    <w:semiHidden/>
    <w:qFormat/>
    <w:uiPriority w:val="0"/>
  </w:style>
  <w:style w:type="paragraph" w:styleId="45">
    <w:name w:val="Body Text 2"/>
    <w:basedOn w:val="1"/>
    <w:link w:val="99"/>
    <w:qFormat/>
    <w:uiPriority w:val="0"/>
    <w:pPr>
      <w:spacing w:before="60" w:after="60"/>
    </w:pPr>
    <w:rPr>
      <w:color w:val="0000FF"/>
      <w:kern w:val="0"/>
      <w:sz w:val="24"/>
    </w:rPr>
  </w:style>
  <w:style w:type="paragraph" w:styleId="46">
    <w:name w:val="HTML Preformatted"/>
    <w:basedOn w:val="1"/>
    <w:link w:val="10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47">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48">
    <w:name w:val="Title"/>
    <w:basedOn w:val="1"/>
    <w:next w:val="1"/>
    <w:link w:val="71"/>
    <w:qFormat/>
    <w:uiPriority w:val="0"/>
    <w:pPr>
      <w:spacing w:before="240" w:after="60"/>
      <w:jc w:val="center"/>
      <w:outlineLvl w:val="0"/>
    </w:pPr>
    <w:rPr>
      <w:rFonts w:ascii="Cambria" w:hAnsi="Cambria"/>
      <w:b/>
      <w:bCs/>
      <w:sz w:val="32"/>
      <w:szCs w:val="32"/>
    </w:rPr>
  </w:style>
  <w:style w:type="paragraph" w:styleId="49">
    <w:name w:val="annotation subject"/>
    <w:basedOn w:val="22"/>
    <w:next w:val="22"/>
    <w:link w:val="102"/>
    <w:qFormat/>
    <w:uiPriority w:val="0"/>
    <w:pPr>
      <w:spacing w:after="0" w:line="240" w:lineRule="auto"/>
      <w:jc w:val="both"/>
    </w:pPr>
    <w:rPr>
      <w:sz w:val="24"/>
      <w:lang w:val="zh-CN"/>
    </w:rPr>
  </w:style>
  <w:style w:type="table" w:styleId="51">
    <w:name w:val="Table Grid"/>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basedOn w:val="52"/>
    <w:qFormat/>
    <w:uiPriority w:val="0"/>
  </w:style>
  <w:style w:type="character" w:styleId="55">
    <w:name w:val="Emphasis"/>
    <w:qFormat/>
    <w:uiPriority w:val="0"/>
    <w:rPr>
      <w:i/>
      <w:iCs/>
    </w:rPr>
  </w:style>
  <w:style w:type="character" w:styleId="56">
    <w:name w:val="HTML Definition"/>
    <w:semiHidden/>
    <w:qFormat/>
    <w:uiPriority w:val="0"/>
    <w:rPr>
      <w:i/>
      <w:iCs/>
    </w:rPr>
  </w:style>
  <w:style w:type="character" w:styleId="57">
    <w:name w:val="HTML Typewriter"/>
    <w:semiHidden/>
    <w:qFormat/>
    <w:uiPriority w:val="0"/>
    <w:rPr>
      <w:rFonts w:ascii="Courier New" w:hAnsi="Courier New"/>
      <w:sz w:val="20"/>
      <w:szCs w:val="20"/>
    </w:rPr>
  </w:style>
  <w:style w:type="character" w:styleId="58">
    <w:name w:val="HTML Acronym"/>
    <w:basedOn w:val="52"/>
    <w:semiHidden/>
    <w:qFormat/>
    <w:uiPriority w:val="0"/>
  </w:style>
  <w:style w:type="character" w:styleId="59">
    <w:name w:val="HTML Variable"/>
    <w:semiHidden/>
    <w:qFormat/>
    <w:uiPriority w:val="0"/>
    <w:rPr>
      <w:i/>
      <w:iCs/>
    </w:rPr>
  </w:style>
  <w:style w:type="character" w:styleId="60">
    <w:name w:val="Hyperlink"/>
    <w:qFormat/>
    <w:uiPriority w:val="99"/>
    <w:rPr>
      <w:color w:val="0000FF"/>
      <w:u w:val="single"/>
    </w:rPr>
  </w:style>
  <w:style w:type="character" w:styleId="61">
    <w:name w:val="HTML Code"/>
    <w:semiHidden/>
    <w:qFormat/>
    <w:uiPriority w:val="0"/>
    <w:rPr>
      <w:rFonts w:ascii="Courier New" w:hAnsi="Courier New"/>
      <w:sz w:val="20"/>
      <w:szCs w:val="20"/>
    </w:rPr>
  </w:style>
  <w:style w:type="character" w:styleId="62">
    <w:name w:val="annotation reference"/>
    <w:qFormat/>
    <w:uiPriority w:val="0"/>
    <w:rPr>
      <w:sz w:val="21"/>
      <w:szCs w:val="21"/>
    </w:rPr>
  </w:style>
  <w:style w:type="character" w:styleId="63">
    <w:name w:val="HTML Cite"/>
    <w:semiHidden/>
    <w:qFormat/>
    <w:uiPriority w:val="0"/>
    <w:rPr>
      <w:rFonts w:cs="Times New Roman"/>
      <w:i/>
      <w:iCs/>
    </w:rPr>
  </w:style>
  <w:style w:type="character" w:styleId="64">
    <w:name w:val="footnote reference"/>
    <w:qFormat/>
    <w:uiPriority w:val="0"/>
    <w:rPr>
      <w:vertAlign w:val="superscript"/>
    </w:rPr>
  </w:style>
  <w:style w:type="character" w:styleId="65">
    <w:name w:val="HTML Keyboard"/>
    <w:semiHidden/>
    <w:qFormat/>
    <w:uiPriority w:val="0"/>
    <w:rPr>
      <w:rFonts w:ascii="Courier New" w:hAnsi="Courier New"/>
      <w:sz w:val="20"/>
      <w:szCs w:val="20"/>
    </w:rPr>
  </w:style>
  <w:style w:type="character" w:styleId="66">
    <w:name w:val="HTML Sample"/>
    <w:semiHidden/>
    <w:qFormat/>
    <w:uiPriority w:val="0"/>
    <w:rPr>
      <w:rFonts w:ascii="Courier New" w:hAnsi="Courier New"/>
    </w:rPr>
  </w:style>
  <w:style w:type="character" w:customStyle="1" w:styleId="67">
    <w:name w:val="页眉 字符"/>
    <w:basedOn w:val="52"/>
    <w:link w:val="36"/>
    <w:qFormat/>
    <w:uiPriority w:val="99"/>
    <w:rPr>
      <w:sz w:val="18"/>
      <w:szCs w:val="18"/>
    </w:rPr>
  </w:style>
  <w:style w:type="character" w:customStyle="1" w:styleId="68">
    <w:name w:val="页脚 字符"/>
    <w:basedOn w:val="52"/>
    <w:link w:val="35"/>
    <w:qFormat/>
    <w:uiPriority w:val="99"/>
    <w:rPr>
      <w:sz w:val="18"/>
      <w:szCs w:val="18"/>
    </w:rPr>
  </w:style>
  <w:style w:type="character" w:customStyle="1" w:styleId="69">
    <w:name w:val="标题 1 字符"/>
    <w:basedOn w:val="52"/>
    <w:link w:val="3"/>
    <w:qFormat/>
    <w:uiPriority w:val="9"/>
    <w:rPr>
      <w:rFonts w:ascii="宋体" w:hAnsi="Times New Roman" w:eastAsia="宋体" w:cs="Times New Roman"/>
      <w:sz w:val="28"/>
      <w:szCs w:val="20"/>
    </w:rPr>
  </w:style>
  <w:style w:type="character" w:customStyle="1" w:styleId="70">
    <w:name w:val="称呼 字符"/>
    <w:basedOn w:val="52"/>
    <w:link w:val="23"/>
    <w:qFormat/>
    <w:uiPriority w:val="0"/>
    <w:rPr>
      <w:rFonts w:ascii="Times New Roman" w:hAnsi="Times New Roman" w:eastAsia="宋体" w:cs="Times New Roman"/>
      <w:sz w:val="24"/>
      <w:szCs w:val="20"/>
    </w:rPr>
  </w:style>
  <w:style w:type="character" w:customStyle="1" w:styleId="71">
    <w:name w:val="标题 字符"/>
    <w:basedOn w:val="52"/>
    <w:link w:val="48"/>
    <w:qFormat/>
    <w:uiPriority w:val="0"/>
    <w:rPr>
      <w:rFonts w:ascii="Cambria" w:hAnsi="Cambria" w:eastAsia="宋体" w:cs="Times New Roman"/>
      <w:b/>
      <w:bCs/>
      <w:sz w:val="32"/>
      <w:szCs w:val="32"/>
    </w:rPr>
  </w:style>
  <w:style w:type="character" w:customStyle="1" w:styleId="72">
    <w:name w:val="批注框文本 字符"/>
    <w:basedOn w:val="52"/>
    <w:link w:val="34"/>
    <w:qFormat/>
    <w:uiPriority w:val="99"/>
    <w:rPr>
      <w:rFonts w:ascii="Times New Roman" w:hAnsi="Times New Roman" w:eastAsia="宋体" w:cs="Times New Roman"/>
      <w:sz w:val="18"/>
      <w:szCs w:val="18"/>
    </w:rPr>
  </w:style>
  <w:style w:type="character" w:customStyle="1" w:styleId="73">
    <w:name w:val="正文文本缩进 2 字符"/>
    <w:basedOn w:val="52"/>
    <w:link w:val="32"/>
    <w:qFormat/>
    <w:uiPriority w:val="0"/>
    <w:rPr>
      <w:rFonts w:ascii="Times New Roman" w:hAnsi="Times New Roman" w:eastAsia="黑体" w:cs="Times New Roman"/>
      <w:b/>
      <w:bCs/>
      <w:sz w:val="32"/>
      <w:szCs w:val="20"/>
    </w:rPr>
  </w:style>
  <w:style w:type="character" w:customStyle="1" w:styleId="74">
    <w:name w:val="正文文本缩进 字符"/>
    <w:basedOn w:val="52"/>
    <w:link w:val="25"/>
    <w:qFormat/>
    <w:uiPriority w:val="0"/>
    <w:rPr>
      <w:rFonts w:ascii="Times New Roman" w:hAnsi="Times New Roman" w:eastAsia="宋体" w:cs="Times New Roman"/>
      <w:szCs w:val="20"/>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6">
    <w:name w:val="List Paragraph"/>
    <w:basedOn w:val="1"/>
    <w:qFormat/>
    <w:uiPriority w:val="99"/>
    <w:pPr>
      <w:ind w:firstLine="420" w:firstLineChars="200"/>
    </w:pPr>
  </w:style>
  <w:style w:type="paragraph" w:customStyle="1" w:styleId="77">
    <w:name w:val="*标题三"/>
    <w:next w:val="1"/>
    <w:qFormat/>
    <w:uiPriority w:val="0"/>
    <w:pPr>
      <w:widowControl w:val="0"/>
      <w:tabs>
        <w:tab w:val="left" w:pos="720"/>
      </w:tabs>
      <w:spacing w:line="360" w:lineRule="auto"/>
      <w:ind w:left="720" w:hanging="720"/>
      <w:outlineLvl w:val="2"/>
    </w:pPr>
    <w:rPr>
      <w:rFonts w:ascii="黑体" w:hAnsi="Arial" w:eastAsia="黑体" w:cs="Arial"/>
      <w:snapToGrid w:val="0"/>
      <w:sz w:val="24"/>
      <w:szCs w:val="28"/>
      <w:lang w:val="en-US" w:eastAsia="zh-CN" w:bidi="ar-SA"/>
    </w:rPr>
  </w:style>
  <w:style w:type="paragraph" w:customStyle="1" w:styleId="78">
    <w:name w:val="WPSOffice手动目录 1"/>
    <w:qFormat/>
    <w:uiPriority w:val="0"/>
    <w:rPr>
      <w:rFonts w:ascii="Times New Roman" w:hAnsi="Times New Roman" w:eastAsia="宋体" w:cs="Times New Roman"/>
      <w:lang w:val="en-US" w:eastAsia="zh-CN" w:bidi="ar-SA"/>
    </w:rPr>
  </w:style>
  <w:style w:type="paragraph" w:customStyle="1" w:styleId="7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0">
    <w:name w:val="列出段落1"/>
    <w:basedOn w:val="1"/>
    <w:qFormat/>
    <w:uiPriority w:val="34"/>
    <w:pPr>
      <w:ind w:firstLine="420" w:firstLineChars="200"/>
    </w:pPr>
  </w:style>
  <w:style w:type="character" w:customStyle="1" w:styleId="81">
    <w:name w:val="正文文本 字符"/>
    <w:basedOn w:val="52"/>
    <w:link w:val="2"/>
    <w:qFormat/>
    <w:uiPriority w:val="1"/>
    <w:rPr>
      <w:kern w:val="2"/>
      <w:sz w:val="21"/>
    </w:rPr>
  </w:style>
  <w:style w:type="character" w:customStyle="1" w:styleId="82">
    <w:name w:val="标题 2 字符"/>
    <w:basedOn w:val="52"/>
    <w:link w:val="5"/>
    <w:qFormat/>
    <w:uiPriority w:val="9"/>
    <w:rPr>
      <w:rFonts w:ascii="Arial" w:hAnsi="Arial" w:eastAsia="黑体"/>
      <w:b/>
      <w:sz w:val="32"/>
      <w:lang w:val="zh-CN"/>
    </w:rPr>
  </w:style>
  <w:style w:type="character" w:customStyle="1" w:styleId="83">
    <w:name w:val="标题 4 字符"/>
    <w:basedOn w:val="52"/>
    <w:link w:val="7"/>
    <w:qFormat/>
    <w:uiPriority w:val="0"/>
    <w:rPr>
      <w:rFonts w:ascii="Arial" w:hAnsi="Arial" w:eastAsia="黑体"/>
      <w:b/>
      <w:kern w:val="2"/>
      <w:sz w:val="28"/>
      <w:lang w:val="zh-CN"/>
    </w:rPr>
  </w:style>
  <w:style w:type="character" w:customStyle="1" w:styleId="84">
    <w:name w:val="标题 5 字符"/>
    <w:basedOn w:val="52"/>
    <w:link w:val="9"/>
    <w:qFormat/>
    <w:uiPriority w:val="0"/>
    <w:rPr>
      <w:b/>
      <w:kern w:val="2"/>
      <w:sz w:val="28"/>
      <w:lang w:val="zh-CN"/>
    </w:rPr>
  </w:style>
  <w:style w:type="character" w:customStyle="1" w:styleId="85">
    <w:name w:val="标题 6 字符"/>
    <w:basedOn w:val="52"/>
    <w:link w:val="10"/>
    <w:qFormat/>
    <w:uiPriority w:val="0"/>
    <w:rPr>
      <w:rFonts w:ascii="Arial" w:hAnsi="Arial" w:eastAsia="黑体"/>
      <w:b/>
      <w:kern w:val="2"/>
      <w:sz w:val="24"/>
      <w:lang w:val="zh-CN"/>
    </w:rPr>
  </w:style>
  <w:style w:type="character" w:customStyle="1" w:styleId="86">
    <w:name w:val="标题 7 字符"/>
    <w:basedOn w:val="52"/>
    <w:link w:val="11"/>
    <w:qFormat/>
    <w:uiPriority w:val="0"/>
    <w:rPr>
      <w:b/>
      <w:kern w:val="2"/>
      <w:sz w:val="24"/>
      <w:lang w:val="zh-CN"/>
    </w:rPr>
  </w:style>
  <w:style w:type="character" w:customStyle="1" w:styleId="87">
    <w:name w:val="标题 8 字符"/>
    <w:basedOn w:val="52"/>
    <w:link w:val="12"/>
    <w:qFormat/>
    <w:uiPriority w:val="0"/>
    <w:rPr>
      <w:rFonts w:ascii="Arial" w:hAnsi="Arial" w:eastAsia="黑体"/>
      <w:kern w:val="2"/>
      <w:sz w:val="24"/>
      <w:lang w:val="zh-CN"/>
    </w:rPr>
  </w:style>
  <w:style w:type="character" w:customStyle="1" w:styleId="88">
    <w:name w:val="标题 9 字符"/>
    <w:basedOn w:val="52"/>
    <w:link w:val="13"/>
    <w:qFormat/>
    <w:uiPriority w:val="0"/>
    <w:rPr>
      <w:rFonts w:ascii="Arial" w:hAnsi="Arial" w:eastAsia="黑体"/>
      <w:kern w:val="2"/>
      <w:sz w:val="21"/>
      <w:lang w:val="zh-CN"/>
    </w:rPr>
  </w:style>
  <w:style w:type="character" w:customStyle="1" w:styleId="89">
    <w:name w:val="注释标题 字符"/>
    <w:basedOn w:val="52"/>
    <w:link w:val="18"/>
    <w:qFormat/>
    <w:uiPriority w:val="0"/>
    <w:rPr>
      <w:kern w:val="2"/>
      <w:sz w:val="21"/>
      <w:lang w:val="zh-CN" w:eastAsia="zh-TW"/>
    </w:rPr>
  </w:style>
  <w:style w:type="character" w:customStyle="1" w:styleId="90">
    <w:name w:val="文档结构图 字符"/>
    <w:basedOn w:val="52"/>
    <w:link w:val="20"/>
    <w:qFormat/>
    <w:uiPriority w:val="0"/>
    <w:rPr>
      <w:shd w:val="clear" w:color="auto" w:fill="000080"/>
    </w:rPr>
  </w:style>
  <w:style w:type="character" w:customStyle="1" w:styleId="91">
    <w:name w:val="正文文本 3 字符"/>
    <w:basedOn w:val="52"/>
    <w:link w:val="24"/>
    <w:qFormat/>
    <w:uiPriority w:val="0"/>
    <w:rPr>
      <w:rFonts w:ascii="Arial" w:hAnsi="Arial"/>
      <w:color w:val="FF0000"/>
      <w:spacing w:val="-3"/>
      <w:sz w:val="22"/>
      <w:lang w:val="en-GB" w:eastAsia="en-US"/>
    </w:rPr>
  </w:style>
  <w:style w:type="character" w:customStyle="1" w:styleId="92">
    <w:name w:val="HTML 地址 字符"/>
    <w:basedOn w:val="52"/>
    <w:link w:val="27"/>
    <w:semiHidden/>
    <w:qFormat/>
    <w:uiPriority w:val="0"/>
    <w:rPr>
      <w:i/>
      <w:iCs/>
      <w:kern w:val="2"/>
      <w:sz w:val="21"/>
      <w:szCs w:val="24"/>
    </w:rPr>
  </w:style>
  <w:style w:type="character" w:customStyle="1" w:styleId="93">
    <w:name w:val="纯文本 字符"/>
    <w:basedOn w:val="52"/>
    <w:link w:val="28"/>
    <w:qFormat/>
    <w:uiPriority w:val="99"/>
    <w:rPr>
      <w:rFonts w:ascii="宋体" w:hAnsi="Courier New" w:eastAsia="仿宋_GB2312"/>
      <w:kern w:val="2"/>
      <w:sz w:val="24"/>
      <w:lang w:val="zh-CN"/>
    </w:rPr>
  </w:style>
  <w:style w:type="character" w:customStyle="1" w:styleId="94">
    <w:name w:val="日期 字符1"/>
    <w:basedOn w:val="52"/>
    <w:link w:val="31"/>
    <w:qFormat/>
    <w:uiPriority w:val="0"/>
    <w:rPr>
      <w:sz w:val="24"/>
    </w:rPr>
  </w:style>
  <w:style w:type="character" w:customStyle="1" w:styleId="95">
    <w:name w:val="尾注文本 Char"/>
    <w:basedOn w:val="52"/>
    <w:semiHidden/>
    <w:qFormat/>
    <w:uiPriority w:val="0"/>
    <w:rPr>
      <w:kern w:val="2"/>
      <w:sz w:val="21"/>
    </w:rPr>
  </w:style>
  <w:style w:type="character" w:customStyle="1" w:styleId="96">
    <w:name w:val="副标题 字符"/>
    <w:basedOn w:val="52"/>
    <w:link w:val="38"/>
    <w:qFormat/>
    <w:uiPriority w:val="0"/>
    <w:rPr>
      <w:rFonts w:ascii="Cambria" w:hAnsi="Cambria"/>
      <w:b/>
      <w:bCs/>
      <w:kern w:val="28"/>
      <w:sz w:val="32"/>
      <w:szCs w:val="32"/>
    </w:rPr>
  </w:style>
  <w:style w:type="character" w:customStyle="1" w:styleId="97">
    <w:name w:val="脚注文本 字符"/>
    <w:basedOn w:val="52"/>
    <w:link w:val="40"/>
    <w:qFormat/>
    <w:uiPriority w:val="0"/>
    <w:rPr>
      <w:kern w:val="2"/>
      <w:sz w:val="18"/>
      <w:szCs w:val="18"/>
      <w:lang w:val="zh-CN"/>
    </w:rPr>
  </w:style>
  <w:style w:type="character" w:customStyle="1" w:styleId="98">
    <w:name w:val="正文文本缩进 3 字符"/>
    <w:basedOn w:val="52"/>
    <w:link w:val="41"/>
    <w:qFormat/>
    <w:uiPriority w:val="0"/>
    <w:rPr>
      <w:sz w:val="24"/>
    </w:rPr>
  </w:style>
  <w:style w:type="character" w:customStyle="1" w:styleId="99">
    <w:name w:val="正文文本 2 字符"/>
    <w:basedOn w:val="52"/>
    <w:link w:val="45"/>
    <w:qFormat/>
    <w:uiPriority w:val="0"/>
    <w:rPr>
      <w:color w:val="0000FF"/>
      <w:sz w:val="24"/>
    </w:rPr>
  </w:style>
  <w:style w:type="character" w:customStyle="1" w:styleId="100">
    <w:name w:val="HTML 预设格式 字符"/>
    <w:basedOn w:val="52"/>
    <w:link w:val="46"/>
    <w:qFormat/>
    <w:uiPriority w:val="0"/>
    <w:rPr>
      <w:rFonts w:ascii="Arial" w:hAnsi="Arial" w:cs="Arial"/>
      <w:sz w:val="24"/>
      <w:szCs w:val="24"/>
    </w:rPr>
  </w:style>
  <w:style w:type="character" w:customStyle="1" w:styleId="101">
    <w:name w:val="批注文字 字符1"/>
    <w:basedOn w:val="52"/>
    <w:link w:val="22"/>
    <w:qFormat/>
    <w:uiPriority w:val="0"/>
    <w:rPr>
      <w:sz w:val="21"/>
    </w:rPr>
  </w:style>
  <w:style w:type="character" w:customStyle="1" w:styleId="102">
    <w:name w:val="批注主题 字符"/>
    <w:basedOn w:val="101"/>
    <w:link w:val="49"/>
    <w:qFormat/>
    <w:uiPriority w:val="0"/>
    <w:rPr>
      <w:sz w:val="24"/>
      <w:lang w:val="zh-CN"/>
    </w:rPr>
  </w:style>
  <w:style w:type="character" w:customStyle="1" w:styleId="103">
    <w:name w:val="标题 3 字符"/>
    <w:link w:val="6"/>
    <w:qFormat/>
    <w:uiPriority w:val="9"/>
    <w:rPr>
      <w:b/>
      <w:bCs/>
      <w:sz w:val="32"/>
      <w:szCs w:val="32"/>
    </w:rPr>
  </w:style>
  <w:style w:type="character" w:customStyle="1" w:styleId="104">
    <w:name w:val="正文缩进 字符"/>
    <w:link w:val="8"/>
    <w:qFormat/>
    <w:uiPriority w:val="0"/>
    <w:rPr>
      <w:kern w:val="2"/>
      <w:sz w:val="21"/>
    </w:rPr>
  </w:style>
  <w:style w:type="character" w:customStyle="1" w:styleId="105">
    <w:name w:val="尾注文本 字符"/>
    <w:link w:val="33"/>
    <w:semiHidden/>
    <w:qFormat/>
    <w:locked/>
    <w:uiPriority w:val="0"/>
    <w:rPr>
      <w:rFonts w:eastAsia="??"/>
      <w:color w:val="000000"/>
      <w:sz w:val="24"/>
      <w:szCs w:val="24"/>
      <w:lang w:val="zh-CN"/>
    </w:rPr>
  </w:style>
  <w:style w:type="character" w:customStyle="1" w:styleId="106">
    <w:name w:val="已访问的超链接1"/>
    <w:qFormat/>
    <w:uiPriority w:val="99"/>
    <w:rPr>
      <w:color w:val="800080"/>
      <w:u w:val="single"/>
    </w:rPr>
  </w:style>
  <w:style w:type="character" w:customStyle="1" w:styleId="107">
    <w:name w:val="Char Char9"/>
    <w:qFormat/>
    <w:uiPriority w:val="0"/>
    <w:rPr>
      <w:rFonts w:ascii="Arial" w:hAnsi="Arial" w:eastAsia="黑体"/>
      <w:sz w:val="21"/>
      <w:lang w:val="en-US" w:eastAsia="zh-CN" w:bidi="ar-SA"/>
    </w:rPr>
  </w:style>
  <w:style w:type="character" w:customStyle="1" w:styleId="108">
    <w:name w:val="页脚 Char Char"/>
    <w:qFormat/>
    <w:uiPriority w:val="0"/>
    <w:rPr>
      <w:sz w:val="18"/>
    </w:rPr>
  </w:style>
  <w:style w:type="character" w:customStyle="1" w:styleId="109">
    <w:name w:val="Char Char14"/>
    <w:qFormat/>
    <w:uiPriority w:val="0"/>
    <w:rPr>
      <w:kern w:val="2"/>
      <w:sz w:val="18"/>
      <w:szCs w:val="18"/>
      <w:lang w:bidi="ar-SA"/>
    </w:rPr>
  </w:style>
  <w:style w:type="character" w:customStyle="1" w:styleId="110">
    <w:name w:val="Comment Text Char"/>
    <w:qFormat/>
    <w:uiPriority w:val="0"/>
    <w:rPr>
      <w:rFonts w:cs="Times New Roman"/>
      <w:kern w:val="2"/>
      <w:sz w:val="28"/>
      <w:szCs w:val="28"/>
    </w:rPr>
  </w:style>
  <w:style w:type="character" w:customStyle="1" w:styleId="111">
    <w:name w:val="No Spacing Char"/>
    <w:link w:val="112"/>
    <w:qFormat/>
    <w:uiPriority w:val="0"/>
    <w:rPr>
      <w:rFonts w:ascii="Calibri" w:hAnsi="Calibri"/>
      <w:sz w:val="22"/>
      <w:szCs w:val="22"/>
    </w:rPr>
  </w:style>
  <w:style w:type="paragraph" w:customStyle="1" w:styleId="112">
    <w:name w:val="无间隔1"/>
    <w:link w:val="111"/>
    <w:qFormat/>
    <w:uiPriority w:val="0"/>
    <w:rPr>
      <w:rFonts w:ascii="Calibri" w:hAnsi="Calibri" w:eastAsia="宋体" w:cs="Times New Roman"/>
      <w:sz w:val="22"/>
      <w:szCs w:val="22"/>
      <w:lang w:val="en-US" w:eastAsia="zh-CN" w:bidi="ar-SA"/>
    </w:rPr>
  </w:style>
  <w:style w:type="character" w:customStyle="1" w:styleId="113">
    <w:name w:val="Char Char111"/>
    <w:qFormat/>
    <w:uiPriority w:val="0"/>
    <w:rPr>
      <w:rFonts w:eastAsia="黑体"/>
      <w:kern w:val="2"/>
      <w:sz w:val="44"/>
      <w:szCs w:val="44"/>
      <w:lang w:val="en-US" w:eastAsia="zh-CN" w:bidi="ar-SA"/>
    </w:rPr>
  </w:style>
  <w:style w:type="character" w:customStyle="1" w:styleId="114">
    <w:name w:val="Char Char26"/>
    <w:qFormat/>
    <w:uiPriority w:val="0"/>
    <w:rPr>
      <w:rFonts w:eastAsia="宋体"/>
      <w:b/>
      <w:bCs/>
      <w:kern w:val="44"/>
      <w:sz w:val="44"/>
      <w:szCs w:val="44"/>
      <w:lang w:val="en-US" w:eastAsia="zh-CN" w:bidi="ar-SA"/>
    </w:rPr>
  </w:style>
  <w:style w:type="character" w:customStyle="1" w:styleId="115">
    <w:name w:val="正文缩进 Char2"/>
    <w:qFormat/>
    <w:uiPriority w:val="0"/>
    <w:rPr>
      <w:rFonts w:eastAsia="楷体_GB2312"/>
      <w:kern w:val="2"/>
      <w:sz w:val="28"/>
    </w:rPr>
  </w:style>
  <w:style w:type="character" w:customStyle="1" w:styleId="116">
    <w:name w:val="apple-style-span"/>
    <w:basedOn w:val="52"/>
    <w:qFormat/>
    <w:uiPriority w:val="0"/>
  </w:style>
  <w:style w:type="character" w:customStyle="1" w:styleId="117">
    <w:name w:val="Char Char15"/>
    <w:qFormat/>
    <w:uiPriority w:val="0"/>
    <w:rPr>
      <w:rFonts w:eastAsia="宋体"/>
      <w:b/>
      <w:sz w:val="28"/>
      <w:lang w:val="en-US" w:eastAsia="zh-CN" w:bidi="ar-SA"/>
    </w:rPr>
  </w:style>
  <w:style w:type="character" w:customStyle="1" w:styleId="118">
    <w:name w:val="Char Char19"/>
    <w:qFormat/>
    <w:uiPriority w:val="0"/>
    <w:rPr>
      <w:rFonts w:ascii="仿宋_GB2312" w:eastAsia="仿宋_GB2312" w:cs="MingLiU"/>
      <w:b/>
      <w:spacing w:val="1"/>
      <w:w w:val="99"/>
      <w:sz w:val="28"/>
      <w:szCs w:val="32"/>
    </w:rPr>
  </w:style>
  <w:style w:type="character" w:customStyle="1" w:styleId="119">
    <w:name w:val="批注主题 Char1"/>
    <w:qFormat/>
    <w:uiPriority w:val="0"/>
    <w:rPr>
      <w:rFonts w:cs="Times New Roman"/>
      <w:b/>
      <w:bCs/>
      <w:kern w:val="2"/>
      <w:sz w:val="21"/>
      <w:szCs w:val="24"/>
      <w:lang w:val="en-US" w:eastAsia="zh-CN"/>
    </w:rPr>
  </w:style>
  <w:style w:type="character" w:customStyle="1" w:styleId="120">
    <w:name w:val="正文文字2 Char Char Char"/>
    <w:qFormat/>
    <w:uiPriority w:val="0"/>
    <w:rPr>
      <w:rFonts w:ascii="Arial" w:eastAsia="黑体"/>
      <w:sz w:val="21"/>
    </w:rPr>
  </w:style>
  <w:style w:type="character" w:customStyle="1" w:styleId="121">
    <w:name w:val="Char Char6"/>
    <w:qFormat/>
    <w:uiPriority w:val="0"/>
    <w:rPr>
      <w:kern w:val="2"/>
      <w:sz w:val="18"/>
      <w:szCs w:val="18"/>
    </w:rPr>
  </w:style>
  <w:style w:type="character" w:customStyle="1" w:styleId="122">
    <w:name w:val="cucd-0 Char Char Char"/>
    <w:qFormat/>
    <w:uiPriority w:val="0"/>
    <w:rPr>
      <w:kern w:val="2"/>
      <w:sz w:val="24"/>
      <w:szCs w:val="24"/>
      <w:lang w:bidi="ar-SA"/>
    </w:rPr>
  </w:style>
  <w:style w:type="character" w:customStyle="1" w:styleId="123">
    <w:name w:val="页脚 Char Char Char"/>
    <w:qFormat/>
    <w:uiPriority w:val="0"/>
    <w:rPr>
      <w:sz w:val="18"/>
    </w:rPr>
  </w:style>
  <w:style w:type="character" w:customStyle="1" w:styleId="124">
    <w:name w:val="无间隔 字符"/>
    <w:link w:val="125"/>
    <w:qFormat/>
    <w:uiPriority w:val="0"/>
    <w:rPr>
      <w:rFonts w:ascii="Calibri" w:hAnsi="Calibri"/>
      <w:sz w:val="22"/>
      <w:szCs w:val="22"/>
    </w:rPr>
  </w:style>
  <w:style w:type="paragraph" w:styleId="125">
    <w:name w:val="No Spacing"/>
    <w:link w:val="124"/>
    <w:qFormat/>
    <w:uiPriority w:val="0"/>
    <w:rPr>
      <w:rFonts w:ascii="Calibri" w:hAnsi="Calibri" w:eastAsia="宋体" w:cs="Times New Roman"/>
      <w:sz w:val="22"/>
      <w:szCs w:val="22"/>
      <w:lang w:val="en-US" w:eastAsia="zh-CN" w:bidi="ar-SA"/>
    </w:rPr>
  </w:style>
  <w:style w:type="character" w:customStyle="1" w:styleId="126">
    <w:name w:val="页脚 Char1"/>
    <w:qFormat/>
    <w:uiPriority w:val="0"/>
    <w:rPr>
      <w:sz w:val="18"/>
    </w:rPr>
  </w:style>
  <w:style w:type="character" w:customStyle="1" w:styleId="127">
    <w:name w:val="正文文本缩进 Char1"/>
    <w:qFormat/>
    <w:uiPriority w:val="0"/>
    <w:rPr>
      <w:rFonts w:ascii="宋体" w:hAnsi="宋体"/>
      <w:color w:val="000000"/>
      <w:sz w:val="24"/>
      <w:szCs w:val="24"/>
      <w:lang w:val="en-US" w:eastAsia="zh-CN"/>
    </w:rPr>
  </w:style>
  <w:style w:type="character" w:customStyle="1" w:styleId="128">
    <w:name w:val="h4 Char Char1"/>
    <w:qFormat/>
    <w:uiPriority w:val="0"/>
    <w:rPr>
      <w:rFonts w:ascii="仿宋_GB2312" w:eastAsia="仿宋_GB2312" w:cs="MingLiU"/>
      <w:b/>
      <w:sz w:val="24"/>
      <w:szCs w:val="28"/>
    </w:rPr>
  </w:style>
  <w:style w:type="character" w:customStyle="1" w:styleId="129">
    <w:name w:val="Char Char24"/>
    <w:qFormat/>
    <w:uiPriority w:val="0"/>
    <w:rPr>
      <w:rFonts w:eastAsia="宋体"/>
      <w:b/>
      <w:bCs/>
      <w:kern w:val="2"/>
      <w:sz w:val="28"/>
      <w:szCs w:val="32"/>
      <w:lang w:val="en-US" w:eastAsia="zh-CN" w:bidi="ar-SA"/>
    </w:rPr>
  </w:style>
  <w:style w:type="character" w:customStyle="1" w:styleId="130">
    <w:name w:val="Char Char13"/>
    <w:qFormat/>
    <w:uiPriority w:val="0"/>
    <w:rPr>
      <w:rFonts w:ascii="Arial" w:hAnsi="Arial"/>
      <w:spacing w:val="-3"/>
      <w:sz w:val="22"/>
      <w:lang w:val="en-GB" w:eastAsia="en-US" w:bidi="ar-SA"/>
    </w:rPr>
  </w:style>
  <w:style w:type="character" w:customStyle="1" w:styleId="131">
    <w:name w:val="Char Char23"/>
    <w:qFormat/>
    <w:uiPriority w:val="0"/>
    <w:rPr>
      <w:rFonts w:ascii="Arial" w:hAnsi="Arial" w:eastAsia="黑体"/>
      <w:b/>
      <w:bCs/>
      <w:kern w:val="2"/>
      <w:sz w:val="28"/>
      <w:szCs w:val="28"/>
      <w:lang w:val="en-US" w:eastAsia="zh-CN" w:bidi="ar-SA"/>
    </w:rPr>
  </w:style>
  <w:style w:type="character" w:customStyle="1" w:styleId="132">
    <w:name w:val="Char Char12"/>
    <w:qFormat/>
    <w:uiPriority w:val="0"/>
    <w:rPr>
      <w:rFonts w:ascii="Arial" w:hAnsi="Arial" w:eastAsia="黑体"/>
      <w:b/>
      <w:sz w:val="24"/>
      <w:lang w:val="en-US" w:eastAsia="zh-CN" w:bidi="ar-SA"/>
    </w:rPr>
  </w:style>
  <w:style w:type="character" w:customStyle="1" w:styleId="133">
    <w:name w:val="Char Char16"/>
    <w:qFormat/>
    <w:uiPriority w:val="0"/>
    <w:rPr>
      <w:rFonts w:ascii="Calibri" w:hAnsi="Calibri" w:eastAsia="宋体"/>
      <w:kern w:val="2"/>
      <w:sz w:val="18"/>
      <w:szCs w:val="18"/>
      <w:lang w:val="en-US" w:eastAsia="zh-CN" w:bidi="ar-SA"/>
    </w:rPr>
  </w:style>
  <w:style w:type="character" w:customStyle="1" w:styleId="134">
    <w:name w:val="正文首行缩进 2 Char"/>
    <w:link w:val="135"/>
    <w:qFormat/>
    <w:uiPriority w:val="0"/>
    <w:rPr>
      <w:kern w:val="2"/>
      <w:sz w:val="21"/>
      <w:szCs w:val="24"/>
    </w:rPr>
  </w:style>
  <w:style w:type="paragraph" w:customStyle="1" w:styleId="135">
    <w:name w:val="正文首行缩进 211"/>
    <w:basedOn w:val="25"/>
    <w:link w:val="134"/>
    <w:qFormat/>
    <w:uiPriority w:val="0"/>
    <w:pPr>
      <w:ind w:firstLine="420" w:firstLineChars="200"/>
    </w:pPr>
    <w:rPr>
      <w:szCs w:val="24"/>
    </w:rPr>
  </w:style>
  <w:style w:type="character" w:customStyle="1" w:styleId="136">
    <w:name w:val="Char Char17"/>
    <w:qFormat/>
    <w:uiPriority w:val="0"/>
    <w:rPr>
      <w:rFonts w:ascii="Calibri" w:hAnsi="Calibri" w:eastAsia="宋体"/>
      <w:kern w:val="2"/>
      <w:sz w:val="18"/>
      <w:szCs w:val="18"/>
      <w:lang w:val="en-US" w:eastAsia="zh-CN" w:bidi="ar-SA"/>
    </w:rPr>
  </w:style>
  <w:style w:type="character" w:customStyle="1" w:styleId="137">
    <w:name w:val="Char Char10"/>
    <w:qFormat/>
    <w:uiPriority w:val="0"/>
    <w:rPr>
      <w:rFonts w:ascii="Arial" w:hAnsi="Arial" w:eastAsia="黑体"/>
      <w:sz w:val="24"/>
      <w:lang w:val="en-US" w:eastAsia="zh-CN" w:bidi="ar-SA"/>
    </w:rPr>
  </w:style>
  <w:style w:type="character" w:customStyle="1" w:styleId="138">
    <w:name w:val="Char Char18"/>
    <w:qFormat/>
    <w:uiPriority w:val="0"/>
    <w:rPr>
      <w:rFonts w:ascii="仿宋_GB2312" w:eastAsia="仿宋_GB2312" w:cs="MingLiU"/>
      <w:b/>
      <w:sz w:val="24"/>
      <w:szCs w:val="28"/>
    </w:rPr>
  </w:style>
  <w:style w:type="character" w:customStyle="1" w:styleId="139">
    <w:name w:val="h4 Char Char"/>
    <w:qFormat/>
    <w:uiPriority w:val="0"/>
    <w:rPr>
      <w:rFonts w:ascii="仿宋_GB2312" w:eastAsia="仿宋_GB2312" w:cs="MingLiU"/>
      <w:b/>
      <w:sz w:val="24"/>
      <w:szCs w:val="28"/>
    </w:rPr>
  </w:style>
  <w:style w:type="character" w:customStyle="1" w:styleId="140">
    <w:name w:val="纯文本 Char1"/>
    <w:qFormat/>
    <w:uiPriority w:val="0"/>
    <w:rPr>
      <w:rFonts w:ascii="宋体" w:hAnsi="Courier New"/>
      <w:kern w:val="2"/>
      <w:sz w:val="21"/>
      <w:lang w:val="en-US" w:eastAsia="zh-CN"/>
    </w:rPr>
  </w:style>
  <w:style w:type="character" w:customStyle="1" w:styleId="141">
    <w:name w:val="Char Char11"/>
    <w:qFormat/>
    <w:uiPriority w:val="0"/>
    <w:rPr>
      <w:rFonts w:eastAsia="宋体"/>
      <w:b/>
      <w:sz w:val="24"/>
      <w:lang w:val="en-US" w:eastAsia="zh-CN" w:bidi="ar-SA"/>
    </w:rPr>
  </w:style>
  <w:style w:type="character" w:customStyle="1" w:styleId="142">
    <w:name w:val="页眉 Char1"/>
    <w:qFormat/>
    <w:uiPriority w:val="0"/>
    <w:rPr>
      <w:sz w:val="18"/>
    </w:rPr>
  </w:style>
  <w:style w:type="character" w:customStyle="1" w:styleId="143">
    <w:name w:val="正文首行缩进 Char"/>
    <w:link w:val="144"/>
    <w:qFormat/>
    <w:uiPriority w:val="0"/>
    <w:rPr>
      <w:rFonts w:ascii="宋体" w:hAnsi="宋体"/>
      <w:color w:val="000000"/>
      <w:kern w:val="2"/>
      <w:sz w:val="24"/>
    </w:rPr>
  </w:style>
  <w:style w:type="paragraph" w:customStyle="1" w:styleId="144">
    <w:name w:val="正文首行缩进11"/>
    <w:basedOn w:val="2"/>
    <w:link w:val="143"/>
    <w:qFormat/>
    <w:uiPriority w:val="0"/>
    <w:pPr>
      <w:ind w:firstLine="420" w:firstLineChars="100"/>
    </w:pPr>
    <w:rPr>
      <w:rFonts w:ascii="宋体" w:hAnsi="宋体"/>
      <w:color w:val="000000"/>
      <w:sz w:val="24"/>
    </w:rPr>
  </w:style>
  <w:style w:type="character" w:customStyle="1" w:styleId="145">
    <w:name w:val="Char Char8"/>
    <w:qFormat/>
    <w:uiPriority w:val="0"/>
    <w:rPr>
      <w:kern w:val="2"/>
      <w:sz w:val="18"/>
      <w:szCs w:val="18"/>
    </w:rPr>
  </w:style>
  <w:style w:type="character" w:customStyle="1" w:styleId="146">
    <w:name w:val="页脚2 Char Char Char"/>
    <w:qFormat/>
    <w:uiPriority w:val="0"/>
    <w:rPr>
      <w:rFonts w:ascii="宋体" w:hAnsi="宋体"/>
      <w:sz w:val="18"/>
      <w:szCs w:val="18"/>
    </w:rPr>
  </w:style>
  <w:style w:type="character" w:customStyle="1" w:styleId="147">
    <w:name w:val="普通文字 Char2"/>
    <w:qFormat/>
    <w:uiPriority w:val="0"/>
    <w:rPr>
      <w:rFonts w:ascii="宋体" w:hAnsi="Courier New"/>
      <w:kern w:val="2"/>
      <w:sz w:val="28"/>
      <w:szCs w:val="28"/>
    </w:rPr>
  </w:style>
  <w:style w:type="character" w:customStyle="1" w:styleId="148">
    <w:name w:val="章 Char"/>
    <w:qFormat/>
    <w:uiPriority w:val="0"/>
    <w:rPr>
      <w:rFonts w:eastAsia="宋体"/>
      <w:b/>
      <w:kern w:val="44"/>
      <w:sz w:val="44"/>
      <w:lang w:val="en-US" w:eastAsia="zh-CN" w:bidi="ar-SA"/>
    </w:rPr>
  </w:style>
  <w:style w:type="character" w:customStyle="1" w:styleId="149">
    <w:name w:val="Char Char25"/>
    <w:qFormat/>
    <w:uiPriority w:val="0"/>
    <w:rPr>
      <w:rFonts w:ascii="Arial" w:hAnsi="Arial" w:eastAsia="黑体"/>
      <w:b/>
      <w:bCs/>
      <w:kern w:val="2"/>
      <w:sz w:val="30"/>
      <w:szCs w:val="32"/>
      <w:lang w:val="en-US" w:eastAsia="zh-CN" w:bidi="ar-SA"/>
    </w:rPr>
  </w:style>
  <w:style w:type="character" w:customStyle="1" w:styleId="150">
    <w:name w:val="正文文本 3 Char1"/>
    <w:qFormat/>
    <w:uiPriority w:val="0"/>
    <w:rPr>
      <w:kern w:val="2"/>
      <w:sz w:val="16"/>
      <w:szCs w:val="16"/>
      <w:lang w:val="en-US" w:eastAsia="zh-CN"/>
    </w:rPr>
  </w:style>
  <w:style w:type="character" w:customStyle="1" w:styleId="151">
    <w:name w:val="Char Char41"/>
    <w:qFormat/>
    <w:uiPriority w:val="0"/>
    <w:rPr>
      <w:rFonts w:ascii="Arial" w:hAnsi="Arial" w:eastAsia="黑体"/>
      <w:b/>
      <w:sz w:val="32"/>
      <w:lang w:val="en-US" w:eastAsia="zh-CN" w:bidi="ar-SA"/>
    </w:rPr>
  </w:style>
  <w:style w:type="character" w:customStyle="1" w:styleId="152">
    <w:name w:val="页眉 Char Char Char"/>
    <w:qFormat/>
    <w:uiPriority w:val="0"/>
    <w:rPr>
      <w:sz w:val="18"/>
    </w:rPr>
  </w:style>
  <w:style w:type="character" w:customStyle="1" w:styleId="153">
    <w:name w:val="页脚2 Char Char"/>
    <w:link w:val="154"/>
    <w:qFormat/>
    <w:uiPriority w:val="0"/>
    <w:rPr>
      <w:rFonts w:ascii="宋体" w:hAnsi="宋体"/>
      <w:sz w:val="18"/>
      <w:szCs w:val="18"/>
    </w:rPr>
  </w:style>
  <w:style w:type="paragraph" w:customStyle="1" w:styleId="154">
    <w:name w:val="页脚2"/>
    <w:basedOn w:val="1"/>
    <w:link w:val="153"/>
    <w:qFormat/>
    <w:uiPriority w:val="0"/>
    <w:pPr>
      <w:pBdr>
        <w:top w:val="single" w:color="auto" w:sz="6" w:space="0"/>
      </w:pBdr>
      <w:jc w:val="right"/>
      <w:textAlignment w:val="center"/>
    </w:pPr>
    <w:rPr>
      <w:rFonts w:ascii="宋体" w:hAnsi="宋体"/>
      <w:kern w:val="0"/>
      <w:sz w:val="18"/>
      <w:szCs w:val="18"/>
    </w:rPr>
  </w:style>
  <w:style w:type="character" w:customStyle="1" w:styleId="155">
    <w:name w:val="页眉 Char Char"/>
    <w:qFormat/>
    <w:uiPriority w:val="0"/>
    <w:rPr>
      <w:sz w:val="18"/>
    </w:rPr>
  </w:style>
  <w:style w:type="character" w:customStyle="1" w:styleId="156">
    <w:name w:val="Char Char20"/>
    <w:qFormat/>
    <w:uiPriority w:val="0"/>
    <w:rPr>
      <w:rFonts w:eastAsia="黑体"/>
      <w:kern w:val="2"/>
      <w:sz w:val="44"/>
      <w:szCs w:val="44"/>
      <w:lang w:val="en-US" w:eastAsia="zh-CN" w:bidi="ar-SA"/>
    </w:rPr>
  </w:style>
  <w:style w:type="character" w:customStyle="1" w:styleId="157">
    <w:name w:val="cucd-2 Char1"/>
    <w:link w:val="158"/>
    <w:qFormat/>
    <w:uiPriority w:val="0"/>
    <w:rPr>
      <w:rFonts w:ascii="宋体" w:hAnsi="宋体"/>
      <w:b/>
      <w:kern w:val="2"/>
      <w:sz w:val="28"/>
      <w:szCs w:val="28"/>
    </w:rPr>
  </w:style>
  <w:style w:type="paragraph" w:customStyle="1" w:styleId="158">
    <w:name w:val="cucd-2"/>
    <w:next w:val="1"/>
    <w:link w:val="157"/>
    <w:qFormat/>
    <w:uiPriority w:val="0"/>
    <w:pPr>
      <w:tabs>
        <w:tab w:val="left" w:pos="1134"/>
      </w:tabs>
      <w:spacing w:line="360" w:lineRule="auto"/>
      <w:ind w:left="1134" w:hanging="567"/>
      <w:outlineLvl w:val="1"/>
    </w:pPr>
    <w:rPr>
      <w:rFonts w:ascii="宋体" w:hAnsi="宋体" w:eastAsia="宋体" w:cs="Times New Roman"/>
      <w:b/>
      <w:kern w:val="2"/>
      <w:sz w:val="28"/>
      <w:szCs w:val="28"/>
      <w:lang w:val="en-US" w:eastAsia="zh-CN" w:bidi="ar-SA"/>
    </w:rPr>
  </w:style>
  <w:style w:type="character" w:customStyle="1" w:styleId="159">
    <w:name w:val="Char Char231"/>
    <w:qFormat/>
    <w:uiPriority w:val="0"/>
    <w:rPr>
      <w:rFonts w:ascii="Arial" w:hAnsi="Arial" w:eastAsia="黑体"/>
      <w:b/>
      <w:sz w:val="32"/>
      <w:lang w:val="en-US" w:eastAsia="zh-CN" w:bidi="ar-SA"/>
    </w:rPr>
  </w:style>
  <w:style w:type="character" w:customStyle="1" w:styleId="160">
    <w:name w:val="cucd-0 Char Char"/>
    <w:link w:val="161"/>
    <w:qFormat/>
    <w:uiPriority w:val="0"/>
    <w:rPr>
      <w:kern w:val="2"/>
      <w:sz w:val="24"/>
      <w:szCs w:val="24"/>
    </w:rPr>
  </w:style>
  <w:style w:type="paragraph" w:customStyle="1" w:styleId="161">
    <w:name w:val="cucd-0"/>
    <w:link w:val="16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62">
    <w:name w:val="正文文字2 Char Char"/>
    <w:link w:val="163"/>
    <w:qFormat/>
    <w:uiPriority w:val="0"/>
    <w:rPr>
      <w:rFonts w:ascii="Arial" w:eastAsia="黑体"/>
      <w:sz w:val="21"/>
    </w:rPr>
  </w:style>
  <w:style w:type="paragraph" w:customStyle="1" w:styleId="163">
    <w:name w:val="正文文字2"/>
    <w:basedOn w:val="2"/>
    <w:link w:val="162"/>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164">
    <w:name w:val="目录 71"/>
    <w:basedOn w:val="1"/>
    <w:next w:val="1"/>
    <w:qFormat/>
    <w:uiPriority w:val="0"/>
    <w:pPr>
      <w:ind w:left="2520" w:leftChars="1200"/>
    </w:pPr>
  </w:style>
  <w:style w:type="paragraph" w:customStyle="1" w:styleId="165">
    <w:name w:val="CM23"/>
    <w:basedOn w:val="75"/>
    <w:next w:val="75"/>
    <w:qFormat/>
    <w:uiPriority w:val="0"/>
    <w:pPr>
      <w:spacing w:after="120"/>
    </w:pPr>
    <w:rPr>
      <w:rFonts w:ascii="Arial" w:hAnsi="Arial" w:cs="Arial"/>
      <w:color w:val="auto"/>
    </w:rPr>
  </w:style>
  <w:style w:type="paragraph" w:customStyle="1" w:styleId="166">
    <w:name w:val="样式 正文首行缩进 + 首行缩进:  2 字符1 Char Char"/>
    <w:basedOn w:val="144"/>
    <w:qFormat/>
    <w:uiPriority w:val="0"/>
    <w:pPr>
      <w:adjustRightInd w:val="0"/>
      <w:spacing w:after="0" w:line="400" w:lineRule="exact"/>
      <w:ind w:firstLine="480" w:firstLineChars="200"/>
      <w:textAlignment w:val="baseline"/>
    </w:pPr>
    <w:rPr>
      <w:rFonts w:eastAsia="仿宋_GB2312" w:cs="宋体"/>
    </w:rPr>
  </w:style>
  <w:style w:type="paragraph" w:customStyle="1" w:styleId="167">
    <w:name w:val="xl22"/>
    <w:basedOn w:val="1"/>
    <w:qFormat/>
    <w:uiPriority w:val="0"/>
    <w:pPr>
      <w:spacing w:before="100" w:beforeAutospacing="1" w:after="100" w:afterAutospacing="1"/>
      <w:jc w:val="center"/>
      <w:textAlignment w:val="center"/>
    </w:pPr>
    <w:rPr>
      <w:rFonts w:ascii="宋体"/>
      <w:sz w:val="24"/>
      <w:szCs w:val="24"/>
    </w:rPr>
  </w:style>
  <w:style w:type="paragraph" w:customStyle="1" w:styleId="168">
    <w:name w:val="1"/>
    <w:basedOn w:val="1"/>
    <w:qFormat/>
    <w:uiPriority w:val="0"/>
    <w:pPr>
      <w:spacing w:afterLines="50" w:line="360" w:lineRule="auto"/>
      <w:jc w:val="center"/>
    </w:pPr>
    <w:rPr>
      <w:rFonts w:ascii="宋体" w:hAnsi="宋体"/>
      <w:b/>
      <w:sz w:val="28"/>
      <w:szCs w:val="28"/>
    </w:rPr>
  </w:style>
  <w:style w:type="paragraph" w:customStyle="1" w:styleId="169">
    <w:name w:val="CM24"/>
    <w:basedOn w:val="75"/>
    <w:next w:val="75"/>
    <w:qFormat/>
    <w:uiPriority w:val="0"/>
    <w:pPr>
      <w:spacing w:after="218"/>
    </w:pPr>
    <w:rPr>
      <w:rFonts w:ascii="Arial" w:hAnsi="Arial" w:cs="Arial"/>
      <w:color w:val="auto"/>
    </w:rPr>
  </w:style>
  <w:style w:type="paragraph" w:customStyle="1" w:styleId="170">
    <w:name w:val="样式 宋体 小四 首行缩进:  1.11 厘米 行距: 1.5 倍行距"/>
    <w:basedOn w:val="1"/>
    <w:qFormat/>
    <w:uiPriority w:val="0"/>
    <w:pPr>
      <w:tabs>
        <w:tab w:val="left" w:pos="720"/>
      </w:tabs>
      <w:spacing w:before="100" w:beforeAutospacing="1" w:after="100" w:afterAutospacing="1" w:line="360" w:lineRule="auto"/>
      <w:ind w:left="720"/>
    </w:pPr>
    <w:rPr>
      <w:rFonts w:ascii="宋体"/>
      <w:color w:val="333300"/>
      <w:sz w:val="24"/>
    </w:rPr>
  </w:style>
  <w:style w:type="paragraph" w:customStyle="1" w:styleId="171">
    <w:name w:val="正文缩进1"/>
    <w:basedOn w:val="1"/>
    <w:qFormat/>
    <w:uiPriority w:val="0"/>
    <w:pPr>
      <w:ind w:firstLine="420"/>
    </w:pPr>
    <w:rPr>
      <w:szCs w:val="24"/>
    </w:rPr>
  </w:style>
  <w:style w:type="paragraph" w:customStyle="1" w:styleId="172">
    <w:name w:val="空半行"/>
    <w:basedOn w:val="1"/>
    <w:qFormat/>
    <w:uiPriority w:val="0"/>
    <w:pPr>
      <w:adjustRightInd w:val="0"/>
      <w:spacing w:line="120" w:lineRule="exact"/>
      <w:textAlignment w:val="baseline"/>
    </w:pPr>
    <w:rPr>
      <w:rFonts w:eastAsia="仿宋_GB2312"/>
      <w:color w:val="FFFFFF"/>
      <w:sz w:val="30"/>
    </w:rPr>
  </w:style>
  <w:style w:type="paragraph" w:customStyle="1" w:styleId="173">
    <w:name w:val="cucd-3"/>
    <w:next w:val="1"/>
    <w:qFormat/>
    <w:uiPriority w:val="0"/>
    <w:pPr>
      <w:spacing w:line="360" w:lineRule="auto"/>
      <w:ind w:left="709"/>
      <w:jc w:val="center"/>
      <w:outlineLvl w:val="2"/>
    </w:pPr>
    <w:rPr>
      <w:rFonts w:ascii="Times New Roman" w:hAnsi="Times New Roman" w:eastAsia="宋体" w:cs="Times New Roman"/>
      <w:kern w:val="2"/>
      <w:sz w:val="28"/>
      <w:szCs w:val="24"/>
      <w:lang w:val="en-US" w:eastAsia="zh-CN" w:bidi="ar-SA"/>
    </w:rPr>
  </w:style>
  <w:style w:type="paragraph" w:customStyle="1" w:styleId="174">
    <w:name w:val="普通(Web)23"/>
    <w:basedOn w:val="1"/>
    <w:qFormat/>
    <w:uiPriority w:val="0"/>
    <w:pPr>
      <w:spacing w:after="75" w:line="360" w:lineRule="atLeast"/>
    </w:pPr>
    <w:rPr>
      <w:rFonts w:ascii="宋体" w:hAnsi="宋体" w:cs="宋体"/>
      <w:sz w:val="24"/>
      <w:szCs w:val="24"/>
    </w:rPr>
  </w:style>
  <w:style w:type="paragraph" w:customStyle="1" w:styleId="175">
    <w:name w:val="样式 小四 段前: 5 磅 段后: 5 磅 首行缩进:  2 字符"/>
    <w:basedOn w:val="1"/>
    <w:qFormat/>
    <w:uiPriority w:val="0"/>
    <w:pPr>
      <w:spacing w:line="280" w:lineRule="exact"/>
      <w:jc w:val="center"/>
    </w:pPr>
    <w:rPr>
      <w:rFonts w:ascii="宋体" w:hAnsi="宋体"/>
      <w:snapToGrid w:val="0"/>
      <w:spacing w:val="-6"/>
      <w:sz w:val="24"/>
      <w:szCs w:val="24"/>
    </w:rPr>
  </w:style>
  <w:style w:type="paragraph" w:customStyle="1" w:styleId="176">
    <w:name w:val="批注框文本1"/>
    <w:basedOn w:val="1"/>
    <w:qFormat/>
    <w:uiPriority w:val="0"/>
    <w:rPr>
      <w:sz w:val="18"/>
      <w:szCs w:val="18"/>
    </w:rPr>
  </w:style>
  <w:style w:type="paragraph" w:customStyle="1" w:styleId="177">
    <w:name w:val="注"/>
    <w:basedOn w:val="1"/>
    <w:qFormat/>
    <w:uiPriority w:val="0"/>
    <w:pPr>
      <w:adjustRightInd w:val="0"/>
      <w:spacing w:line="360" w:lineRule="atLeast"/>
      <w:ind w:left="840" w:hanging="420"/>
      <w:textAlignment w:val="baseline"/>
    </w:pPr>
  </w:style>
  <w:style w:type="paragraph" w:customStyle="1" w:styleId="178">
    <w:name w:val="表中文字"/>
    <w:basedOn w:val="1"/>
    <w:qFormat/>
    <w:uiPriority w:val="0"/>
    <w:pPr>
      <w:adjustRightInd w:val="0"/>
      <w:snapToGrid w:val="0"/>
      <w:spacing w:line="360" w:lineRule="auto"/>
      <w:jc w:val="center"/>
    </w:pPr>
    <w:rPr>
      <w:rFonts w:ascii="Arial" w:hAnsi="Arial" w:cs="Arial"/>
      <w:sz w:val="24"/>
      <w:szCs w:val="24"/>
    </w:rPr>
  </w:style>
  <w:style w:type="paragraph" w:customStyle="1" w:styleId="179">
    <w:name w:val="表格"/>
    <w:basedOn w:val="1"/>
    <w:qFormat/>
    <w:uiPriority w:val="0"/>
    <w:pPr>
      <w:adjustRightInd w:val="0"/>
      <w:spacing w:before="160" w:line="400" w:lineRule="exact"/>
      <w:jc w:val="center"/>
      <w:textAlignment w:val="baseline"/>
    </w:pPr>
    <w:rPr>
      <w:spacing w:val="20"/>
      <w:sz w:val="24"/>
    </w:rPr>
  </w:style>
  <w:style w:type="paragraph" w:customStyle="1" w:styleId="180">
    <w:name w:val="Zchn Zchn Char Char"/>
    <w:basedOn w:val="1"/>
    <w:qFormat/>
    <w:uiPriority w:val="0"/>
    <w:pPr>
      <w:adjustRightInd w:val="0"/>
      <w:spacing w:line="360" w:lineRule="auto"/>
    </w:pPr>
    <w:rPr>
      <w:sz w:val="24"/>
    </w:rPr>
  </w:style>
  <w:style w:type="paragraph" w:customStyle="1" w:styleId="181">
    <w:name w:val="Char1 Char Char Char1 Char Char Char Char Char Char Char Char Char"/>
    <w:basedOn w:val="20"/>
    <w:qFormat/>
    <w:uiPriority w:val="0"/>
    <w:pPr>
      <w:adjustRightInd w:val="0"/>
      <w:spacing w:line="436" w:lineRule="exact"/>
      <w:ind w:left="357"/>
      <w:outlineLvl w:val="3"/>
    </w:pPr>
    <w:rPr>
      <w:rFonts w:ascii="Tahoma" w:hAnsi="Tahoma"/>
      <w:b/>
      <w:kern w:val="2"/>
      <w:sz w:val="24"/>
      <w:szCs w:val="24"/>
    </w:rPr>
  </w:style>
  <w:style w:type="paragraph" w:customStyle="1" w:styleId="182">
    <w:name w:val="目录 41"/>
    <w:basedOn w:val="1"/>
    <w:next w:val="1"/>
    <w:qFormat/>
    <w:uiPriority w:val="0"/>
    <w:pPr>
      <w:ind w:left="1260" w:leftChars="600"/>
    </w:pPr>
  </w:style>
  <w:style w:type="paragraph" w:customStyle="1" w:styleId="183">
    <w:name w:val="目录 21"/>
    <w:basedOn w:val="1"/>
    <w:next w:val="1"/>
    <w:qFormat/>
    <w:uiPriority w:val="39"/>
    <w:pPr>
      <w:ind w:left="420" w:leftChars="200"/>
    </w:pPr>
  </w:style>
  <w:style w:type="paragraph" w:customStyle="1" w:styleId="184">
    <w:name w:val="Level 1"/>
    <w:basedOn w:val="1"/>
    <w:qFormat/>
    <w:uiPriority w:val="0"/>
    <w:pPr>
      <w:tabs>
        <w:tab w:val="left" w:pos="851"/>
      </w:tabs>
      <w:spacing w:after="240" w:line="312" w:lineRule="auto"/>
      <w:ind w:left="851" w:hanging="851"/>
      <w:outlineLvl w:val="0"/>
    </w:pPr>
    <w:rPr>
      <w:sz w:val="24"/>
      <w:lang w:val="en-GB" w:eastAsia="en-US"/>
    </w:rPr>
  </w:style>
  <w:style w:type="paragraph" w:customStyle="1" w:styleId="185">
    <w:name w:val="panj"/>
    <w:basedOn w:val="1"/>
    <w:qFormat/>
    <w:uiPriority w:val="0"/>
    <w:pPr>
      <w:spacing w:line="440" w:lineRule="exact"/>
      <w:ind w:firstLine="200" w:firstLineChars="200"/>
    </w:pPr>
    <w:rPr>
      <w:sz w:val="24"/>
      <w:szCs w:val="24"/>
    </w:rPr>
  </w:style>
  <w:style w:type="paragraph" w:customStyle="1" w:styleId="186">
    <w:name w:val="Char Char Char Char Char Char Char"/>
    <w:basedOn w:val="1"/>
    <w:qFormat/>
    <w:uiPriority w:val="0"/>
    <w:pPr>
      <w:snapToGrid w:val="0"/>
      <w:spacing w:after="160" w:line="360" w:lineRule="auto"/>
    </w:pPr>
    <w:rPr>
      <w:sz w:val="24"/>
      <w:szCs w:val="24"/>
      <w:lang w:eastAsia="en-US"/>
    </w:rPr>
  </w:style>
  <w:style w:type="paragraph" w:customStyle="1" w:styleId="187">
    <w:name w:val="样式 cucd-0 + 宋体"/>
    <w:basedOn w:val="1"/>
    <w:qFormat/>
    <w:uiPriority w:val="0"/>
    <w:pPr>
      <w:spacing w:line="360" w:lineRule="auto"/>
      <w:ind w:firstLine="480" w:firstLineChars="200"/>
    </w:pPr>
    <w:rPr>
      <w:rFonts w:ascii="宋体" w:hAnsi="宋体"/>
      <w:sz w:val="24"/>
      <w:szCs w:val="24"/>
    </w:rPr>
  </w:style>
  <w:style w:type="paragraph" w:customStyle="1" w:styleId="188">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189">
    <w:name w:val="TOC 标题1"/>
    <w:basedOn w:val="3"/>
    <w:next w:val="1"/>
    <w:qFormat/>
    <w:uiPriority w:val="39"/>
    <w:pPr>
      <w:keepLines/>
      <w:widowControl/>
      <w:spacing w:before="480" w:line="276" w:lineRule="auto"/>
      <w:ind w:left="0"/>
      <w:outlineLvl w:val="9"/>
    </w:pPr>
    <w:rPr>
      <w:rFonts w:ascii="Cambria" w:hAnsi="Cambria"/>
      <w:b/>
      <w:bCs/>
      <w:iCs w:val="0"/>
      <w:color w:val="365F91"/>
      <w:kern w:val="0"/>
      <w:szCs w:val="28"/>
      <w:lang w:val="zh-CN"/>
    </w:rPr>
  </w:style>
  <w:style w:type="paragraph" w:customStyle="1" w:styleId="190">
    <w:name w:val="标题2.2.1"/>
    <w:basedOn w:val="1"/>
    <w:qFormat/>
    <w:uiPriority w:val="0"/>
    <w:pPr>
      <w:tabs>
        <w:tab w:val="left" w:pos="-164"/>
      </w:tabs>
      <w:ind w:left="1418" w:hanging="1582"/>
    </w:pPr>
    <w:rPr>
      <w:szCs w:val="24"/>
    </w:rPr>
  </w:style>
  <w:style w:type="paragraph" w:customStyle="1" w:styleId="191">
    <w:name w:val="TOC 标题11"/>
    <w:basedOn w:val="3"/>
    <w:next w:val="1"/>
    <w:qFormat/>
    <w:uiPriority w:val="39"/>
    <w:pPr>
      <w:keepLines/>
      <w:widowControl/>
      <w:spacing w:before="480" w:line="276" w:lineRule="auto"/>
      <w:ind w:left="0"/>
      <w:outlineLvl w:val="9"/>
    </w:pPr>
    <w:rPr>
      <w:rFonts w:ascii="Cambria" w:hAnsi="Cambria"/>
      <w:b/>
      <w:bCs/>
      <w:iCs w:val="0"/>
      <w:color w:val="365F91"/>
      <w:kern w:val="0"/>
      <w:szCs w:val="28"/>
      <w:lang w:val="zh-CN"/>
    </w:rPr>
  </w:style>
  <w:style w:type="paragraph" w:customStyle="1" w:styleId="192">
    <w:name w:val="CM21"/>
    <w:basedOn w:val="75"/>
    <w:next w:val="75"/>
    <w:qFormat/>
    <w:uiPriority w:val="0"/>
    <w:pPr>
      <w:spacing w:line="228" w:lineRule="atLeast"/>
    </w:pPr>
    <w:rPr>
      <w:rFonts w:ascii="Arial" w:hAnsi="Arial" w:cs="Arial"/>
      <w:color w:val="auto"/>
    </w:rPr>
  </w:style>
  <w:style w:type="paragraph" w:customStyle="1" w:styleId="193">
    <w:name w:val="表文字"/>
    <w:basedOn w:val="1"/>
    <w:qFormat/>
    <w:uiPriority w:val="0"/>
    <w:pPr>
      <w:wordWrap w:val="0"/>
      <w:adjustRightInd w:val="0"/>
      <w:snapToGrid w:val="0"/>
    </w:pPr>
  </w:style>
  <w:style w:type="paragraph" w:customStyle="1" w:styleId="194">
    <w:name w:val="列出段落11"/>
    <w:basedOn w:val="1"/>
    <w:qFormat/>
    <w:uiPriority w:val="0"/>
    <w:pPr>
      <w:ind w:firstLine="420" w:firstLineChars="200"/>
    </w:pPr>
    <w:rPr>
      <w:szCs w:val="24"/>
    </w:rPr>
  </w:style>
  <w:style w:type="paragraph" w:customStyle="1" w:styleId="195">
    <w:name w:val="纯文本1"/>
    <w:basedOn w:val="1"/>
    <w:qFormat/>
    <w:uiPriority w:val="0"/>
    <w:pPr>
      <w:adjustRightInd w:val="0"/>
      <w:textAlignment w:val="baseline"/>
    </w:pPr>
    <w:rPr>
      <w:rFonts w:ascii="宋体" w:hAnsi="Courier New"/>
    </w:rPr>
  </w:style>
  <w:style w:type="paragraph" w:customStyle="1" w:styleId="196">
    <w:name w:val="目录 51"/>
    <w:basedOn w:val="1"/>
    <w:next w:val="1"/>
    <w:qFormat/>
    <w:uiPriority w:val="0"/>
    <w:pPr>
      <w:ind w:left="1680" w:leftChars="800"/>
    </w:pPr>
  </w:style>
  <w:style w:type="paragraph" w:customStyle="1" w:styleId="197">
    <w:name w:val="目录 91"/>
    <w:basedOn w:val="1"/>
    <w:next w:val="1"/>
    <w:qFormat/>
    <w:uiPriority w:val="0"/>
    <w:pPr>
      <w:ind w:left="3360" w:leftChars="1600"/>
    </w:pPr>
  </w:style>
  <w:style w:type="paragraph" w:customStyle="1" w:styleId="198">
    <w:name w:val="Char Char Char Char Char Char Char Char Char"/>
    <w:basedOn w:val="1"/>
    <w:qFormat/>
    <w:uiPriority w:val="0"/>
    <w:pPr>
      <w:spacing w:after="160" w:line="240" w:lineRule="exact"/>
    </w:pPr>
    <w:rPr>
      <w:szCs w:val="24"/>
    </w:rPr>
  </w:style>
  <w:style w:type="paragraph" w:customStyle="1" w:styleId="199">
    <w:name w:val="body 2"/>
    <w:basedOn w:val="5"/>
    <w:qFormat/>
    <w:uiPriority w:val="0"/>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200">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201">
    <w:name w:val="note 2"/>
    <w:basedOn w:val="199"/>
    <w:qFormat/>
    <w:uiPriority w:val="0"/>
    <w:pPr>
      <w:ind w:left="1260" w:hanging="1080"/>
      <w:jc w:val="left"/>
    </w:pPr>
    <w:rPr>
      <w:b/>
    </w:rPr>
  </w:style>
  <w:style w:type="paragraph" w:customStyle="1" w:styleId="202">
    <w:name w:val="CM1"/>
    <w:basedOn w:val="75"/>
    <w:next w:val="75"/>
    <w:qFormat/>
    <w:uiPriority w:val="0"/>
    <w:pPr>
      <w:spacing w:line="191" w:lineRule="atLeast"/>
    </w:pPr>
    <w:rPr>
      <w:rFonts w:ascii="Arial" w:hAnsi="Arial" w:cs="Arial"/>
      <w:color w:val="auto"/>
    </w:rPr>
  </w:style>
  <w:style w:type="paragraph" w:customStyle="1" w:styleId="203">
    <w:name w:val="Text"/>
    <w:basedOn w:val="1"/>
    <w:qFormat/>
    <w:uiPriority w:val="0"/>
    <w:rPr>
      <w:rFonts w:ascii="Arial" w:hAnsi="Arial"/>
      <w:lang w:val="en-GB" w:eastAsia="de-DE"/>
    </w:rPr>
  </w:style>
  <w:style w:type="paragraph" w:customStyle="1" w:styleId="204">
    <w:name w:val="标题1.1"/>
    <w:basedOn w:val="1"/>
    <w:qFormat/>
    <w:uiPriority w:val="0"/>
    <w:pPr>
      <w:tabs>
        <w:tab w:val="left" w:pos="1"/>
      </w:tabs>
      <w:spacing w:line="440" w:lineRule="exact"/>
      <w:ind w:firstLine="1"/>
      <w:outlineLvl w:val="1"/>
    </w:pPr>
    <w:rPr>
      <w:rFonts w:ascii="宋体" w:hAnsi="宋体"/>
      <w:b/>
      <w:sz w:val="28"/>
      <w:szCs w:val="24"/>
    </w:rPr>
  </w:style>
  <w:style w:type="paragraph" w:customStyle="1" w:styleId="205">
    <w:name w:val="text level 2"/>
    <w:qFormat/>
    <w:uiPriority w:val="0"/>
    <w:pPr>
      <w:overflowPunct w:val="0"/>
      <w:autoSpaceDE w:val="0"/>
      <w:autoSpaceDN w:val="0"/>
      <w:adjustRightInd w:val="0"/>
      <w:ind w:left="720"/>
      <w:jc w:val="both"/>
      <w:textAlignment w:val="baseline"/>
    </w:pPr>
    <w:rPr>
      <w:rFonts w:ascii="CG Times (W1)" w:hAnsi="CG Times (W1)" w:eastAsia="宋体" w:cs="Times New Roman"/>
      <w:sz w:val="24"/>
      <w:lang w:val="en-US" w:eastAsia="zh-CN" w:bidi="ar-SA"/>
    </w:rPr>
  </w:style>
  <w:style w:type="paragraph" w:customStyle="1" w:styleId="206">
    <w:name w:val="修订1"/>
    <w:qFormat/>
    <w:uiPriority w:val="99"/>
    <w:rPr>
      <w:rFonts w:ascii="Times New Roman" w:hAnsi="Times New Roman" w:eastAsia="宋体" w:cs="Times New Roman"/>
      <w:kern w:val="2"/>
      <w:sz w:val="21"/>
      <w:szCs w:val="24"/>
      <w:lang w:val="en-US" w:eastAsia="zh-CN" w:bidi="ar-SA"/>
    </w:rPr>
  </w:style>
  <w:style w:type="paragraph" w:customStyle="1" w:styleId="207">
    <w:name w:val="Heading 2a"/>
    <w:basedOn w:val="5"/>
    <w:qFormat/>
    <w:uiPriority w:val="0"/>
    <w:pPr>
      <w:widowControl/>
      <w:adjustRightInd/>
      <w:spacing w:before="320" w:after="0" w:line="300" w:lineRule="exact"/>
      <w:jc w:val="left"/>
      <w:textAlignment w:val="auto"/>
    </w:pPr>
    <w:rPr>
      <w:rFonts w:eastAsia="Batang"/>
      <w:b w:val="0"/>
      <w:i/>
      <w:sz w:val="20"/>
      <w:lang w:val="en-GB" w:eastAsia="en-US"/>
    </w:rPr>
  </w:style>
  <w:style w:type="paragraph" w:customStyle="1" w:styleId="208">
    <w:name w:val="List Paragraph1"/>
    <w:basedOn w:val="1"/>
    <w:qFormat/>
    <w:uiPriority w:val="0"/>
    <w:pPr>
      <w:ind w:firstLine="420" w:firstLineChars="200"/>
    </w:pPr>
    <w:rPr>
      <w:rFonts w:ascii="Calibri" w:hAnsi="Calibri"/>
      <w:szCs w:val="22"/>
    </w:rPr>
  </w:style>
  <w:style w:type="paragraph" w:customStyle="1" w:styleId="209">
    <w:name w:val="目录 31"/>
    <w:basedOn w:val="1"/>
    <w:next w:val="1"/>
    <w:qFormat/>
    <w:uiPriority w:val="39"/>
    <w:pPr>
      <w:ind w:left="840" w:leftChars="400"/>
    </w:pPr>
  </w:style>
  <w:style w:type="paragraph" w:customStyle="1" w:styleId="210">
    <w:name w:val="目录 81"/>
    <w:basedOn w:val="1"/>
    <w:next w:val="1"/>
    <w:qFormat/>
    <w:uiPriority w:val="0"/>
    <w:pPr>
      <w:ind w:left="2940" w:leftChars="1400"/>
    </w:pPr>
  </w:style>
  <w:style w:type="paragraph" w:customStyle="1" w:styleId="211">
    <w:name w:val="目录 11"/>
    <w:basedOn w:val="1"/>
    <w:next w:val="1"/>
    <w:qFormat/>
    <w:uiPriority w:val="39"/>
  </w:style>
  <w:style w:type="paragraph" w:customStyle="1" w:styleId="212">
    <w:name w:val="目录 61"/>
    <w:basedOn w:val="1"/>
    <w:next w:val="1"/>
    <w:qFormat/>
    <w:uiPriority w:val="0"/>
    <w:pPr>
      <w:ind w:left="2100" w:leftChars="1000"/>
    </w:pPr>
  </w:style>
  <w:style w:type="paragraph" w:customStyle="1" w:styleId="213">
    <w:name w:val="样式1"/>
    <w:basedOn w:val="1"/>
    <w:qFormat/>
    <w:uiPriority w:val="0"/>
    <w:pPr>
      <w:autoSpaceDE w:val="0"/>
      <w:autoSpaceDN w:val="0"/>
      <w:adjustRightInd w:val="0"/>
      <w:spacing w:after="120"/>
      <w:textAlignment w:val="baseline"/>
    </w:pPr>
    <w:rPr>
      <w:rFonts w:ascii="宋体" w:hAnsi="Tms Rmn"/>
      <w:sz w:val="24"/>
    </w:rPr>
  </w:style>
  <w:style w:type="paragraph" w:customStyle="1" w:styleId="214">
    <w:name w:val="Char"/>
    <w:basedOn w:val="1"/>
    <w:qFormat/>
    <w:uiPriority w:val="0"/>
    <w:rPr>
      <w:rFonts w:ascii="Tahoma" w:hAnsi="Tahoma"/>
      <w:sz w:val="24"/>
    </w:rPr>
  </w:style>
  <w:style w:type="paragraph" w:customStyle="1" w:styleId="215">
    <w:name w:val="cucd-1"/>
    <w:next w:val="158"/>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216">
    <w:name w:val="Level 2"/>
    <w:basedOn w:val="1"/>
    <w:qFormat/>
    <w:uiPriority w:val="0"/>
    <w:pPr>
      <w:tabs>
        <w:tab w:val="left" w:pos="851"/>
      </w:tabs>
      <w:spacing w:after="240" w:line="312" w:lineRule="auto"/>
      <w:ind w:left="851" w:hanging="851"/>
      <w:outlineLvl w:val="1"/>
    </w:pPr>
    <w:rPr>
      <w:sz w:val="24"/>
      <w:lang w:val="en-GB" w:eastAsia="en-US"/>
    </w:rPr>
  </w:style>
  <w:style w:type="paragraph" w:customStyle="1" w:styleId="217">
    <w:name w:val="Char11"/>
    <w:basedOn w:val="1"/>
    <w:qFormat/>
    <w:uiPriority w:val="0"/>
    <w:pPr>
      <w:spacing w:after="160" w:line="240" w:lineRule="exact"/>
    </w:pPr>
  </w:style>
  <w:style w:type="paragraph" w:customStyle="1" w:styleId="218">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219">
    <w:name w:val="ｽﾀｲﾙ1"/>
    <w:basedOn w:val="1"/>
    <w:qFormat/>
    <w:uiPriority w:val="0"/>
    <w:pPr>
      <w:adjustRightInd w:val="0"/>
      <w:snapToGrid w:val="0"/>
      <w:spacing w:before="60" w:after="60"/>
      <w:textAlignment w:val="baseline"/>
    </w:pPr>
    <w:rPr>
      <w:rFonts w:ascii="Arial" w:hAnsi="Arial" w:eastAsia="MS Gothic"/>
      <w:lang w:eastAsia="ja-JP"/>
    </w:rPr>
  </w:style>
  <w:style w:type="paragraph" w:customStyle="1" w:styleId="220">
    <w:name w:val="2"/>
    <w:basedOn w:val="1"/>
    <w:next w:val="8"/>
    <w:qFormat/>
    <w:uiPriority w:val="0"/>
    <w:pPr>
      <w:ind w:left="708"/>
    </w:pPr>
    <w:rPr>
      <w:rFonts w:ascii="CG Times (WN)" w:hAnsi="CG Times (WN)"/>
      <w:sz w:val="24"/>
      <w:lang w:val="de-DE" w:eastAsia="de-DE"/>
    </w:rPr>
  </w:style>
  <w:style w:type="paragraph" w:customStyle="1" w:styleId="221">
    <w:name w:val="Char Char Char1 Char Char Char Char Char Char Char"/>
    <w:basedOn w:val="1"/>
    <w:qFormat/>
    <w:uiPriority w:val="0"/>
    <w:pPr>
      <w:autoSpaceDE w:val="0"/>
      <w:autoSpaceDN w:val="0"/>
    </w:pPr>
    <w:rPr>
      <w:rFonts w:ascii="Tahoma" w:hAnsi="Tahoma"/>
      <w:sz w:val="24"/>
    </w:rPr>
  </w:style>
  <w:style w:type="paragraph" w:customStyle="1" w:styleId="222">
    <w:name w:val="目录文字"/>
    <w:basedOn w:val="1"/>
    <w:qFormat/>
    <w:uiPriority w:val="0"/>
    <w:pPr>
      <w:spacing w:line="480" w:lineRule="auto"/>
    </w:pPr>
    <w:rPr>
      <w:rFonts w:ascii="宋体" w:hAnsi="宋体"/>
      <w:sz w:val="24"/>
    </w:rPr>
  </w:style>
  <w:style w:type="paragraph" w:customStyle="1" w:styleId="223">
    <w:name w:val="Char Char Char Char Char Char Char Char Char Char Char Char Char Char Char Char Char"/>
    <w:basedOn w:val="1"/>
    <w:qFormat/>
    <w:uiPriority w:val="0"/>
    <w:rPr>
      <w:rFonts w:ascii="仿宋_GB2312" w:hAnsi="宋体" w:eastAsia="仿宋_GB2312"/>
      <w:b/>
      <w:sz w:val="28"/>
      <w:szCs w:val="28"/>
    </w:rPr>
  </w:style>
  <w:style w:type="paragraph" w:customStyle="1" w:styleId="224">
    <w:name w:val="Char Char2"/>
    <w:basedOn w:val="1"/>
    <w:qFormat/>
    <w:uiPriority w:val="0"/>
    <w:pPr>
      <w:jc w:val="center"/>
    </w:pPr>
    <w:rPr>
      <w:rFonts w:ascii="宋体"/>
      <w:szCs w:val="21"/>
    </w:rPr>
  </w:style>
  <w:style w:type="paragraph" w:customStyle="1" w:styleId="225">
    <w:name w:val="Robot List Items 2"/>
    <w:basedOn w:val="1"/>
    <w:qFormat/>
    <w:uiPriority w:val="0"/>
    <w:pPr>
      <w:tabs>
        <w:tab w:val="left" w:pos="1068"/>
      </w:tabs>
      <w:ind w:left="1068" w:hanging="360"/>
    </w:pPr>
    <w:rPr>
      <w:rFonts w:ascii="Arial" w:hAnsi="Arial"/>
      <w:sz w:val="18"/>
      <w:lang w:eastAsia="en-US"/>
    </w:rPr>
  </w:style>
  <w:style w:type="paragraph" w:customStyle="1" w:styleId="226">
    <w:name w:val="样式2"/>
    <w:basedOn w:val="1"/>
    <w:qFormat/>
    <w:uiPriority w:val="0"/>
    <w:pPr>
      <w:adjustRightInd w:val="0"/>
      <w:spacing w:line="410" w:lineRule="atLeast"/>
      <w:textAlignment w:val="baseline"/>
    </w:pPr>
  </w:style>
  <w:style w:type="paragraph" w:customStyle="1" w:styleId="227">
    <w:name w:val="Char Char1 Char Char Char Char"/>
    <w:basedOn w:val="1"/>
    <w:qFormat/>
    <w:uiPriority w:val="0"/>
    <w:rPr>
      <w:rFonts w:eastAsia="楷体_GB2312"/>
      <w:sz w:val="32"/>
    </w:rPr>
  </w:style>
  <w:style w:type="paragraph" w:customStyle="1" w:styleId="228">
    <w:name w:val="1 Char Char Char Char"/>
    <w:basedOn w:val="1"/>
    <w:qFormat/>
    <w:uiPriority w:val="0"/>
    <w:rPr>
      <w:rFonts w:ascii="Tahoma" w:hAnsi="Tahoma"/>
      <w:sz w:val="24"/>
    </w:rPr>
  </w:style>
  <w:style w:type="paragraph" w:customStyle="1" w:styleId="229">
    <w:name w:val="Char1"/>
    <w:basedOn w:val="1"/>
    <w:qFormat/>
    <w:uiPriority w:val="0"/>
    <w:rPr>
      <w:rFonts w:ascii="Tahoma" w:hAnsi="Tahoma"/>
      <w:sz w:val="24"/>
    </w:rPr>
  </w:style>
  <w:style w:type="paragraph" w:customStyle="1" w:styleId="230">
    <w:name w:val="Char Char Char Char"/>
    <w:basedOn w:val="1"/>
    <w:qFormat/>
    <w:uiPriority w:val="0"/>
    <w:rPr>
      <w:szCs w:val="24"/>
    </w:rPr>
  </w:style>
  <w:style w:type="paragraph" w:customStyle="1" w:styleId="23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32">
    <w:name w:val="签名 Char"/>
    <w:link w:val="233"/>
    <w:qFormat/>
    <w:locked/>
    <w:uiPriority w:val="0"/>
    <w:rPr>
      <w:rFonts w:ascii="??" w:hAnsi="??" w:eastAsia="??"/>
      <w:color w:val="000000"/>
      <w:sz w:val="24"/>
      <w:lang w:eastAsia="en-US"/>
    </w:rPr>
  </w:style>
  <w:style w:type="paragraph" w:customStyle="1" w:styleId="233">
    <w:name w:val="签名1"/>
    <w:basedOn w:val="1"/>
    <w:link w:val="232"/>
    <w:qFormat/>
    <w:uiPriority w:val="0"/>
    <w:pPr>
      <w:widowControl/>
      <w:ind w:left="4410" w:leftChars="2100"/>
      <w:jc w:val="left"/>
    </w:pPr>
    <w:rPr>
      <w:rFonts w:ascii="??" w:hAnsi="??" w:eastAsia="??"/>
      <w:color w:val="000000"/>
      <w:kern w:val="0"/>
      <w:sz w:val="24"/>
      <w:lang w:eastAsia="en-US"/>
    </w:rPr>
  </w:style>
  <w:style w:type="character" w:customStyle="1" w:styleId="234">
    <w:name w:val="信息标题 Char"/>
    <w:link w:val="235"/>
    <w:qFormat/>
    <w:locked/>
    <w:uiPriority w:val="0"/>
    <w:rPr>
      <w:rFonts w:ascii="Arial" w:hAnsi="Arial" w:eastAsia="??" w:cs="Arial"/>
      <w:color w:val="000000"/>
      <w:sz w:val="24"/>
      <w:szCs w:val="24"/>
      <w:shd w:val="pct20" w:color="auto" w:fill="auto"/>
    </w:rPr>
  </w:style>
  <w:style w:type="paragraph" w:customStyle="1" w:styleId="235">
    <w:name w:val="信息标题1"/>
    <w:basedOn w:val="1"/>
    <w:link w:val="234"/>
    <w:qFormat/>
    <w:uiPriority w:val="0"/>
    <w:pPr>
      <w:pBdr>
        <w:top w:val="single" w:color="auto" w:sz="6" w:space="1"/>
        <w:left w:val="single" w:color="auto" w:sz="6" w:space="1"/>
        <w:bottom w:val="single" w:color="auto" w:sz="6" w:space="1"/>
        <w:right w:val="single" w:color="auto" w:sz="6" w:space="1"/>
      </w:pBdr>
      <w:shd w:val="pct20" w:color="auto" w:fill="auto"/>
      <w:ind w:left="1550" w:leftChars="500" w:hanging="500" w:hangingChars="500"/>
    </w:pPr>
    <w:rPr>
      <w:rFonts w:ascii="Arial" w:hAnsi="Arial" w:eastAsia="??" w:cs="Arial"/>
      <w:color w:val="000000"/>
      <w:kern w:val="0"/>
      <w:sz w:val="24"/>
      <w:szCs w:val="24"/>
    </w:rPr>
  </w:style>
  <w:style w:type="paragraph" w:customStyle="1" w:styleId="236">
    <w:name w:val="正文首行缩进 21"/>
    <w:basedOn w:val="237"/>
    <w:qFormat/>
    <w:uiPriority w:val="0"/>
  </w:style>
  <w:style w:type="paragraph" w:customStyle="1" w:styleId="237">
    <w:name w:val="正文文本缩进1"/>
    <w:basedOn w:val="1"/>
    <w:qFormat/>
    <w:uiPriority w:val="0"/>
    <w:pPr>
      <w:spacing w:after="120"/>
      <w:ind w:left="420" w:leftChars="200"/>
    </w:pPr>
    <w:rPr>
      <w:rFonts w:ascii="??" w:hAnsi="??" w:eastAsia="??"/>
      <w:color w:val="000000"/>
      <w:kern w:val="0"/>
      <w:sz w:val="20"/>
      <w:szCs w:val="24"/>
    </w:rPr>
  </w:style>
  <w:style w:type="character" w:customStyle="1" w:styleId="238">
    <w:name w:val="结束语 Char"/>
    <w:link w:val="239"/>
    <w:qFormat/>
    <w:locked/>
    <w:uiPriority w:val="0"/>
    <w:rPr>
      <w:rFonts w:ascii="??" w:hAnsi="??" w:eastAsia="??"/>
      <w:color w:val="000000"/>
      <w:sz w:val="24"/>
      <w:lang w:eastAsia="en-US"/>
    </w:rPr>
  </w:style>
  <w:style w:type="paragraph" w:customStyle="1" w:styleId="239">
    <w:name w:val="结束语1"/>
    <w:basedOn w:val="1"/>
    <w:link w:val="238"/>
    <w:qFormat/>
    <w:uiPriority w:val="0"/>
    <w:pPr>
      <w:widowControl/>
      <w:ind w:left="4410" w:leftChars="2100"/>
      <w:jc w:val="left"/>
    </w:pPr>
    <w:rPr>
      <w:rFonts w:ascii="??" w:hAnsi="??" w:eastAsia="??"/>
      <w:color w:val="000000"/>
      <w:kern w:val="0"/>
      <w:sz w:val="24"/>
      <w:lang w:eastAsia="en-US"/>
    </w:rPr>
  </w:style>
  <w:style w:type="paragraph" w:customStyle="1" w:styleId="240">
    <w:name w:val="正文首行缩进1"/>
    <w:basedOn w:val="2"/>
    <w:qFormat/>
    <w:uiPriority w:val="0"/>
    <w:pPr>
      <w:spacing w:after="0"/>
    </w:pPr>
    <w:rPr>
      <w:sz w:val="24"/>
    </w:rPr>
  </w:style>
  <w:style w:type="paragraph" w:customStyle="1" w:styleId="241">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 w:cs="Times New Roman"/>
      <w:color w:val="000000"/>
      <w:sz w:val="22"/>
      <w:szCs w:val="28"/>
      <w:lang w:val="en-US" w:eastAsia="zh-CN" w:bidi="ar-SA"/>
    </w:rPr>
  </w:style>
  <w:style w:type="paragraph" w:customStyle="1" w:styleId="242">
    <w:name w:val="J2"/>
    <w:qFormat/>
    <w:uiPriority w:val="0"/>
    <w:pPr>
      <w:adjustRightInd w:val="0"/>
      <w:snapToGrid w:val="0"/>
      <w:spacing w:line="360" w:lineRule="auto"/>
      <w:ind w:left="360" w:hanging="360"/>
    </w:pPr>
    <w:rPr>
      <w:rFonts w:ascii="Times New Roman" w:hAnsi="Times New Roman" w:eastAsia="??" w:cs="Times New Roman"/>
      <w:b/>
      <w:bCs/>
      <w:color w:val="0000FF"/>
      <w:kern w:val="44"/>
      <w:szCs w:val="21"/>
      <w:lang w:val="en-US" w:eastAsia="zh-CN" w:bidi="ar-SA"/>
    </w:rPr>
  </w:style>
  <w:style w:type="paragraph" w:customStyle="1" w:styleId="243">
    <w:name w:val="段"/>
    <w:link w:val="244"/>
    <w:qFormat/>
    <w:uiPriority w:val="0"/>
    <w:pPr>
      <w:autoSpaceDE w:val="0"/>
      <w:autoSpaceDN w:val="0"/>
      <w:ind w:firstLine="200" w:firstLineChars="200"/>
      <w:jc w:val="both"/>
    </w:pPr>
    <w:rPr>
      <w:rFonts w:ascii="??" w:hAnsi="??" w:eastAsia="??" w:cs="宋体"/>
      <w:color w:val="000000"/>
      <w:szCs w:val="28"/>
      <w:lang w:val="en-US" w:eastAsia="zh-CN" w:bidi="ar-SA"/>
    </w:rPr>
  </w:style>
  <w:style w:type="character" w:customStyle="1" w:styleId="244">
    <w:name w:val="段 Char"/>
    <w:link w:val="243"/>
    <w:qFormat/>
    <w:uiPriority w:val="0"/>
    <w:rPr>
      <w:rFonts w:ascii="??" w:hAnsi="??" w:eastAsia="??" w:cs="宋体"/>
      <w:color w:val="000000"/>
      <w:szCs w:val="28"/>
    </w:rPr>
  </w:style>
  <w:style w:type="paragraph" w:customStyle="1" w:styleId="245">
    <w:name w:val="J1"/>
    <w:qFormat/>
    <w:uiPriority w:val="0"/>
    <w:pPr>
      <w:adjustRightInd w:val="0"/>
      <w:snapToGrid w:val="0"/>
      <w:ind w:firstLine="413"/>
      <w:jc w:val="both"/>
      <w:outlineLvl w:val="0"/>
    </w:pPr>
    <w:rPr>
      <w:rFonts w:ascii="??" w:hAnsi="??" w:eastAsia="??" w:cs="Arial"/>
      <w:b/>
      <w:color w:val="000000"/>
      <w:sz w:val="28"/>
      <w:szCs w:val="28"/>
      <w:lang w:val="en-US" w:eastAsia="zh-CN" w:bidi="ar-SA"/>
    </w:rPr>
  </w:style>
  <w:style w:type="paragraph" w:customStyle="1" w:styleId="246">
    <w:name w:val="表格侧编号"/>
    <w:next w:val="1"/>
    <w:qFormat/>
    <w:uiPriority w:val="0"/>
    <w:pPr>
      <w:widowControl w:val="0"/>
      <w:adjustRightInd w:val="0"/>
      <w:snapToGrid w:val="0"/>
      <w:spacing w:before="40" w:after="20" w:line="240" w:lineRule="atLeast"/>
      <w:jc w:val="center"/>
    </w:pPr>
    <w:rPr>
      <w:rFonts w:ascii="Arial" w:hAnsi="Arial" w:eastAsia="??" w:cs="Arial"/>
      <w:color w:val="000000"/>
      <w:szCs w:val="28"/>
      <w:lang w:val="en-US" w:eastAsia="zh-CN" w:bidi="ar-SA"/>
    </w:rPr>
  </w:style>
  <w:style w:type="paragraph" w:customStyle="1" w:styleId="247">
    <w:name w:val="潍柴文档正文"/>
    <w:basedOn w:val="1"/>
    <w:qFormat/>
    <w:uiPriority w:val="0"/>
    <w:pPr>
      <w:spacing w:line="360" w:lineRule="auto"/>
      <w:ind w:firstLine="200" w:firstLineChars="200"/>
    </w:pPr>
    <w:rPr>
      <w:sz w:val="24"/>
      <w:szCs w:val="22"/>
    </w:rPr>
  </w:style>
  <w:style w:type="character" w:customStyle="1" w:styleId="248">
    <w:name w:val="ca-141"/>
    <w:qFormat/>
    <w:uiPriority w:val="0"/>
    <w:rPr>
      <w:rFonts w:hint="eastAsia" w:ascii="仿宋_GB2312" w:eastAsia="仿宋_GB2312"/>
      <w:sz w:val="21"/>
      <w:szCs w:val="21"/>
    </w:rPr>
  </w:style>
  <w:style w:type="paragraph" w:customStyle="1" w:styleId="249">
    <w:name w:val="HR标题7"/>
    <w:basedOn w:val="1"/>
    <w:next w:val="1"/>
    <w:qFormat/>
    <w:uiPriority w:val="0"/>
    <w:pPr>
      <w:tabs>
        <w:tab w:val="left" w:pos="1332"/>
        <w:tab w:val="left" w:pos="2940"/>
      </w:tabs>
      <w:spacing w:line="360" w:lineRule="auto"/>
      <w:ind w:left="2940" w:hanging="420"/>
      <w:outlineLvl w:val="6"/>
    </w:pPr>
    <w:rPr>
      <w:sz w:val="24"/>
      <w:szCs w:val="24"/>
    </w:rPr>
  </w:style>
  <w:style w:type="paragraph" w:customStyle="1" w:styleId="250">
    <w:name w:val="HR标题4"/>
    <w:basedOn w:val="1"/>
    <w:next w:val="1"/>
    <w:qFormat/>
    <w:uiPriority w:val="0"/>
    <w:pPr>
      <w:tabs>
        <w:tab w:val="left" w:pos="974"/>
        <w:tab w:val="left" w:pos="1680"/>
      </w:tabs>
      <w:spacing w:line="360" w:lineRule="auto"/>
      <w:ind w:left="1680" w:hanging="420"/>
      <w:outlineLvl w:val="3"/>
    </w:pPr>
    <w:rPr>
      <w:sz w:val="24"/>
      <w:szCs w:val="24"/>
    </w:rPr>
  </w:style>
  <w:style w:type="paragraph" w:customStyle="1" w:styleId="251">
    <w:name w:val="样式目录三"/>
    <w:basedOn w:val="209"/>
    <w:semiHidden/>
    <w:qFormat/>
    <w:uiPriority w:val="99"/>
    <w:pPr>
      <w:tabs>
        <w:tab w:val="left" w:pos="1320"/>
        <w:tab w:val="left" w:pos="2520"/>
        <w:tab w:val="right" w:leader="dot" w:pos="8597"/>
      </w:tabs>
      <w:spacing w:line="360" w:lineRule="auto"/>
      <w:ind w:left="0" w:leftChars="0"/>
      <w:jc w:val="left"/>
      <w:outlineLvl w:val="2"/>
    </w:pPr>
    <w:rPr>
      <w:sz w:val="24"/>
      <w:szCs w:val="24"/>
    </w:rPr>
  </w:style>
  <w:style w:type="paragraph" w:customStyle="1" w:styleId="252">
    <w:name w:val="HR标题2"/>
    <w:basedOn w:val="1"/>
    <w:next w:val="1"/>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53">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szCs w:val="21"/>
    </w:rPr>
  </w:style>
  <w:style w:type="paragraph" w:customStyle="1" w:styleId="254">
    <w:name w:val="HR标题8"/>
    <w:basedOn w:val="1"/>
    <w:next w:val="1"/>
    <w:qFormat/>
    <w:uiPriority w:val="0"/>
    <w:pPr>
      <w:tabs>
        <w:tab w:val="left" w:pos="1531"/>
        <w:tab w:val="left" w:pos="3360"/>
      </w:tabs>
      <w:spacing w:line="360" w:lineRule="auto"/>
      <w:ind w:left="3360" w:hanging="420"/>
      <w:outlineLvl w:val="7"/>
    </w:pPr>
    <w:rPr>
      <w:sz w:val="24"/>
      <w:szCs w:val="24"/>
    </w:rPr>
  </w:style>
  <w:style w:type="character" w:customStyle="1" w:styleId="255">
    <w:name w:val="批注文字 字符"/>
    <w:qFormat/>
    <w:locked/>
    <w:uiPriority w:val="99"/>
    <w:rPr>
      <w:rFonts w:cs="Times New Roman"/>
      <w:sz w:val="21"/>
      <w:szCs w:val="21"/>
    </w:rPr>
  </w:style>
  <w:style w:type="character" w:customStyle="1" w:styleId="256">
    <w:name w:val="日期 字符"/>
    <w:qFormat/>
    <w:locked/>
    <w:uiPriority w:val="99"/>
    <w:rPr>
      <w:rFonts w:cs="Times New Roman"/>
      <w:sz w:val="21"/>
      <w:szCs w:val="21"/>
    </w:rPr>
  </w:style>
  <w:style w:type="character" w:customStyle="1" w:styleId="257">
    <w:name w:val="发布"/>
    <w:qFormat/>
    <w:uiPriority w:val="0"/>
    <w:rPr>
      <w:rFonts w:ascii="黑体" w:eastAsia="黑体"/>
      <w:spacing w:val="22"/>
      <w:w w:val="100"/>
      <w:position w:val="3"/>
      <w:sz w:val="28"/>
    </w:rPr>
  </w:style>
  <w:style w:type="character" w:customStyle="1" w:styleId="258">
    <w:name w:val="个人撰写风格"/>
    <w:qFormat/>
    <w:uiPriority w:val="0"/>
    <w:rPr>
      <w:rFonts w:ascii="Arial" w:hAnsi="Arial" w:eastAsia="宋体" w:cs="Arial"/>
      <w:color w:val="auto"/>
      <w:sz w:val="20"/>
    </w:rPr>
  </w:style>
  <w:style w:type="character" w:customStyle="1" w:styleId="259">
    <w:name w:val="个人答复风格"/>
    <w:qFormat/>
    <w:uiPriority w:val="0"/>
    <w:rPr>
      <w:rFonts w:ascii="Arial" w:hAnsi="Arial" w:eastAsia="宋体" w:cs="Arial"/>
      <w:color w:val="auto"/>
      <w:sz w:val="20"/>
    </w:rPr>
  </w:style>
  <w:style w:type="paragraph" w:customStyle="1" w:styleId="260">
    <w:name w:val="目次、标准名称标题"/>
    <w:basedOn w:val="261"/>
    <w:next w:val="243"/>
    <w:link w:val="262"/>
    <w:qFormat/>
    <w:uiPriority w:val="0"/>
    <w:pPr>
      <w:spacing w:line="460" w:lineRule="exact"/>
    </w:pPr>
  </w:style>
  <w:style w:type="paragraph" w:customStyle="1" w:styleId="26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62">
    <w:name w:val="目次、标准名称标题 Char"/>
    <w:link w:val="260"/>
    <w:qFormat/>
    <w:uiPriority w:val="0"/>
    <w:rPr>
      <w:rFonts w:ascii="黑体" w:eastAsia="黑体"/>
      <w:sz w:val="32"/>
      <w:shd w:val="clear" w:color="FFFFFF" w:fill="FFFFFF"/>
    </w:rPr>
  </w:style>
  <w:style w:type="paragraph" w:customStyle="1" w:styleId="263">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paragraph" w:customStyle="1" w:styleId="26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65">
    <w:name w:val="附录一级条标题"/>
    <w:basedOn w:val="266"/>
    <w:next w:val="243"/>
    <w:qFormat/>
    <w:uiPriority w:val="0"/>
    <w:pPr>
      <w:tabs>
        <w:tab w:val="left" w:pos="840"/>
        <w:tab w:val="left" w:pos="1260"/>
      </w:tabs>
      <w:autoSpaceDN w:val="0"/>
      <w:spacing w:beforeLines="0" w:afterLines="0"/>
      <w:ind w:left="1260"/>
      <w:outlineLvl w:val="2"/>
    </w:pPr>
  </w:style>
  <w:style w:type="paragraph" w:customStyle="1" w:styleId="266">
    <w:name w:val="附录章标题"/>
    <w:next w:val="243"/>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267">
    <w:name w:val="封面正文"/>
    <w:qFormat/>
    <w:uiPriority w:val="0"/>
    <w:pPr>
      <w:jc w:val="both"/>
    </w:pPr>
    <w:rPr>
      <w:rFonts w:ascii="Times New Roman" w:hAnsi="Times New Roman" w:eastAsia="宋体" w:cs="Times New Roman"/>
      <w:lang w:val="en-US" w:eastAsia="zh-CN" w:bidi="ar-SA"/>
    </w:rPr>
  </w:style>
  <w:style w:type="paragraph" w:customStyle="1" w:styleId="268">
    <w:name w:val="一级无标题条"/>
    <w:basedOn w:val="1"/>
    <w:qFormat/>
    <w:uiPriority w:val="0"/>
    <w:pPr>
      <w:tabs>
        <w:tab w:val="left" w:pos="1701"/>
      </w:tabs>
      <w:ind w:left="1701" w:hanging="850"/>
    </w:pPr>
    <w:rPr>
      <w:szCs w:val="24"/>
    </w:rPr>
  </w:style>
  <w:style w:type="paragraph" w:customStyle="1" w:styleId="26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70">
    <w:name w:val="注×："/>
    <w:qFormat/>
    <w:uiPriority w:val="0"/>
    <w:pPr>
      <w:widowControl w:val="0"/>
      <w:tabs>
        <w:tab w:val="left" w:pos="630"/>
        <w:tab w:val="left" w:pos="90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7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72">
    <w:name w:val="条文脚注"/>
    <w:basedOn w:val="40"/>
    <w:qFormat/>
    <w:uiPriority w:val="0"/>
    <w:pPr>
      <w:ind w:left="780" w:leftChars="200" w:hanging="360" w:hangingChars="200"/>
    </w:pPr>
    <w:rPr>
      <w:rFonts w:ascii="宋体"/>
      <w:lang w:val="en-US"/>
    </w:rPr>
  </w:style>
  <w:style w:type="paragraph" w:customStyle="1" w:styleId="273">
    <w:name w:val="封面标准号2"/>
    <w:basedOn w:val="274"/>
    <w:qFormat/>
    <w:uiPriority w:val="0"/>
    <w:pPr>
      <w:framePr w:w="9138" w:h="1244" w:hRule="exact" w:wrap="around" w:vAnchor="page" w:hAnchor="margin" w:y="2908"/>
      <w:adjustRightInd w:val="0"/>
      <w:spacing w:before="357" w:line="280" w:lineRule="exact"/>
    </w:pPr>
  </w:style>
  <w:style w:type="paragraph" w:customStyle="1" w:styleId="2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76">
    <w:name w:val="附录标识"/>
    <w:basedOn w:val="261"/>
    <w:link w:val="277"/>
    <w:qFormat/>
    <w:uiPriority w:val="0"/>
    <w:pPr>
      <w:tabs>
        <w:tab w:val="left" w:pos="360"/>
        <w:tab w:val="left" w:pos="6405"/>
      </w:tabs>
      <w:spacing w:after="200"/>
      <w:ind w:left="360" w:hanging="360"/>
    </w:pPr>
    <w:rPr>
      <w:sz w:val="21"/>
    </w:rPr>
  </w:style>
  <w:style w:type="character" w:customStyle="1" w:styleId="277">
    <w:name w:val="附录标识 Char"/>
    <w:link w:val="276"/>
    <w:qFormat/>
    <w:uiPriority w:val="0"/>
    <w:rPr>
      <w:rFonts w:ascii="黑体" w:eastAsia="黑体"/>
      <w:sz w:val="21"/>
      <w:shd w:val="clear" w:color="FFFFFF" w:fill="FFFFFF"/>
    </w:rPr>
  </w:style>
  <w:style w:type="paragraph" w:customStyle="1" w:styleId="278">
    <w:name w:val="二级无标题条"/>
    <w:basedOn w:val="1"/>
    <w:qFormat/>
    <w:uiPriority w:val="0"/>
    <w:pPr>
      <w:tabs>
        <w:tab w:val="left" w:pos="2835"/>
      </w:tabs>
      <w:ind w:left="2835" w:hanging="1134"/>
    </w:pPr>
    <w:rPr>
      <w:szCs w:val="24"/>
    </w:rPr>
  </w:style>
  <w:style w:type="paragraph" w:customStyle="1" w:styleId="279">
    <w:name w:val="发布部门"/>
    <w:next w:val="24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80">
    <w:name w:val="正文表标题"/>
    <w:next w:val="243"/>
    <w:qFormat/>
    <w:uiPriority w:val="0"/>
    <w:pPr>
      <w:tabs>
        <w:tab w:val="left" w:pos="312"/>
      </w:tabs>
      <w:jc w:val="center"/>
    </w:pPr>
    <w:rPr>
      <w:rFonts w:ascii="黑体" w:hAnsi="Times New Roman" w:eastAsia="黑体" w:cs="Times New Roman"/>
      <w:sz w:val="21"/>
      <w:lang w:val="en-US" w:eastAsia="zh-CN" w:bidi="ar-SA"/>
    </w:rPr>
  </w:style>
  <w:style w:type="paragraph" w:customStyle="1" w:styleId="281">
    <w:name w:val="A-Flatter"/>
    <w:basedOn w:val="1"/>
    <w:semiHidden/>
    <w:qFormat/>
    <w:uiPriority w:val="0"/>
    <w:pPr>
      <w:widowControl/>
      <w:tabs>
        <w:tab w:val="left" w:pos="425"/>
        <w:tab w:val="left" w:pos="851"/>
      </w:tabs>
      <w:spacing w:line="280" w:lineRule="atLeast"/>
      <w:jc w:val="left"/>
    </w:pPr>
    <w:rPr>
      <w:rFonts w:ascii="Arial" w:hAnsi="Arial"/>
      <w:kern w:val="0"/>
      <w:sz w:val="22"/>
    </w:rPr>
  </w:style>
  <w:style w:type="paragraph" w:customStyle="1" w:styleId="282">
    <w:name w:val="三级无标题条"/>
    <w:basedOn w:val="1"/>
    <w:qFormat/>
    <w:uiPriority w:val="0"/>
    <w:pPr>
      <w:tabs>
        <w:tab w:val="left" w:pos="2835"/>
      </w:tabs>
      <w:ind w:left="2835" w:hanging="1134"/>
    </w:pPr>
    <w:rPr>
      <w:szCs w:val="24"/>
    </w:rPr>
  </w:style>
  <w:style w:type="paragraph" w:customStyle="1" w:styleId="283">
    <w:name w:val="四级条标题"/>
    <w:basedOn w:val="284"/>
    <w:next w:val="243"/>
    <w:qFormat/>
    <w:uiPriority w:val="0"/>
    <w:pPr>
      <w:outlineLvl w:val="5"/>
    </w:pPr>
  </w:style>
  <w:style w:type="paragraph" w:customStyle="1" w:styleId="284">
    <w:name w:val="三级条标题"/>
    <w:basedOn w:val="285"/>
    <w:next w:val="243"/>
    <w:qFormat/>
    <w:uiPriority w:val="0"/>
    <w:pPr>
      <w:ind w:left="1560"/>
      <w:outlineLvl w:val="4"/>
    </w:pPr>
  </w:style>
  <w:style w:type="paragraph" w:customStyle="1" w:styleId="285">
    <w:name w:val="二级条标题"/>
    <w:basedOn w:val="286"/>
    <w:next w:val="243"/>
    <w:qFormat/>
    <w:uiPriority w:val="0"/>
    <w:pPr>
      <w:ind w:left="283"/>
      <w:outlineLvl w:val="3"/>
    </w:pPr>
  </w:style>
  <w:style w:type="paragraph" w:customStyle="1" w:styleId="286">
    <w:name w:val="一级条标题"/>
    <w:basedOn w:val="287"/>
    <w:next w:val="243"/>
    <w:link w:val="288"/>
    <w:qFormat/>
    <w:uiPriority w:val="0"/>
    <w:pPr>
      <w:spacing w:beforeLines="0" w:afterLines="0"/>
      <w:ind w:left="709"/>
      <w:outlineLvl w:val="2"/>
    </w:pPr>
  </w:style>
  <w:style w:type="paragraph" w:customStyle="1" w:styleId="287">
    <w:name w:val="章标题"/>
    <w:next w:val="243"/>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88">
    <w:name w:val="一级条标题 Char"/>
    <w:link w:val="286"/>
    <w:qFormat/>
    <w:uiPriority w:val="0"/>
    <w:rPr>
      <w:rFonts w:ascii="黑体" w:eastAsia="黑体"/>
      <w:sz w:val="21"/>
    </w:rPr>
  </w:style>
  <w:style w:type="paragraph" w:customStyle="1" w:styleId="28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0">
    <w:name w:val="无标题条"/>
    <w:next w:val="243"/>
    <w:qFormat/>
    <w:uiPriority w:val="0"/>
    <w:pPr>
      <w:jc w:val="both"/>
    </w:pPr>
    <w:rPr>
      <w:rFonts w:ascii="Times New Roman" w:hAnsi="Times New Roman" w:eastAsia="宋体" w:cs="Times New Roman"/>
      <w:sz w:val="21"/>
      <w:lang w:val="en-US" w:eastAsia="zh-CN" w:bidi="ar-SA"/>
    </w:rPr>
  </w:style>
  <w:style w:type="paragraph" w:customStyle="1" w:styleId="29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9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3">
    <w:name w:val="实施日期"/>
    <w:basedOn w:val="294"/>
    <w:qFormat/>
    <w:uiPriority w:val="0"/>
    <w:pPr>
      <w:framePr w:hSpace="0" w:xAlign="right"/>
      <w:jc w:val="right"/>
    </w:pPr>
  </w:style>
  <w:style w:type="paragraph" w:customStyle="1" w:styleId="29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6">
    <w:name w:val="样式 首行缩进:  2 字符"/>
    <w:basedOn w:val="1"/>
    <w:semiHidden/>
    <w:qFormat/>
    <w:uiPriority w:val="0"/>
    <w:pPr>
      <w:ind w:firstLine="420" w:firstLineChars="200"/>
      <w:jc w:val="left"/>
    </w:pPr>
    <w:rPr>
      <w:rFonts w:eastAsia="仿宋_GB2312"/>
      <w:sz w:val="24"/>
      <w:szCs w:val="24"/>
    </w:rPr>
  </w:style>
  <w:style w:type="paragraph" w:customStyle="1" w:styleId="297">
    <w:name w:val="封面标准代替信息"/>
    <w:basedOn w:val="273"/>
    <w:qFormat/>
    <w:uiPriority w:val="0"/>
    <w:pPr>
      <w:spacing w:before="57"/>
    </w:pPr>
    <w:rPr>
      <w:rFonts w:ascii="宋体"/>
      <w:sz w:val="21"/>
    </w:rPr>
  </w:style>
  <w:style w:type="paragraph" w:customStyle="1" w:styleId="29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9">
    <w:name w:val="附录二级条标题"/>
    <w:basedOn w:val="265"/>
    <w:next w:val="243"/>
    <w:qFormat/>
    <w:uiPriority w:val="0"/>
    <w:pPr>
      <w:outlineLvl w:val="3"/>
    </w:pPr>
  </w:style>
  <w:style w:type="paragraph" w:customStyle="1" w:styleId="300">
    <w:name w:val="附录四级条标题"/>
    <w:basedOn w:val="301"/>
    <w:next w:val="243"/>
    <w:qFormat/>
    <w:uiPriority w:val="0"/>
    <w:pPr>
      <w:tabs>
        <w:tab w:val="left" w:pos="840"/>
        <w:tab w:val="left" w:pos="1260"/>
      </w:tabs>
      <w:outlineLvl w:val="5"/>
    </w:pPr>
  </w:style>
  <w:style w:type="paragraph" w:customStyle="1" w:styleId="301">
    <w:name w:val="附录三级条标题"/>
    <w:basedOn w:val="299"/>
    <w:next w:val="243"/>
    <w:qFormat/>
    <w:uiPriority w:val="0"/>
    <w:pPr>
      <w:outlineLvl w:val="4"/>
    </w:pPr>
  </w:style>
  <w:style w:type="paragraph" w:customStyle="1" w:styleId="3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303">
    <w:name w:val="五级条标题"/>
    <w:basedOn w:val="283"/>
    <w:next w:val="243"/>
    <w:qFormat/>
    <w:uiPriority w:val="0"/>
    <w:pPr>
      <w:outlineLvl w:val="6"/>
    </w:pPr>
  </w:style>
  <w:style w:type="paragraph" w:customStyle="1" w:styleId="304">
    <w:name w:val="五级无标题条"/>
    <w:basedOn w:val="1"/>
    <w:qFormat/>
    <w:uiPriority w:val="0"/>
    <w:pPr>
      <w:tabs>
        <w:tab w:val="left" w:pos="3600"/>
      </w:tabs>
      <w:ind w:left="3240" w:hanging="1080"/>
    </w:pPr>
    <w:rPr>
      <w:szCs w:val="24"/>
    </w:rPr>
  </w:style>
  <w:style w:type="paragraph" w:customStyle="1" w:styleId="305">
    <w:name w:val="四级无标题条"/>
    <w:basedOn w:val="1"/>
    <w:qFormat/>
    <w:uiPriority w:val="0"/>
    <w:pPr>
      <w:tabs>
        <w:tab w:val="left" w:pos="3240"/>
      </w:tabs>
      <w:ind w:left="2736" w:hanging="936"/>
    </w:pPr>
    <w:rPr>
      <w:szCs w:val="24"/>
    </w:rPr>
  </w:style>
  <w:style w:type="paragraph" w:customStyle="1" w:styleId="306">
    <w:name w:val="列项·"/>
    <w:qFormat/>
    <w:uiPriority w:val="0"/>
    <w:pPr>
      <w:tabs>
        <w:tab w:val="left" w:pos="840"/>
        <w:tab w:val="left" w:pos="1140"/>
      </w:tabs>
      <w:ind w:left="782" w:hanging="360"/>
      <w:jc w:val="both"/>
    </w:pPr>
    <w:rPr>
      <w:rFonts w:ascii="宋体" w:hAnsi="Times New Roman" w:eastAsia="宋体" w:cs="Times New Roman"/>
      <w:sz w:val="21"/>
      <w:lang w:val="en-US" w:eastAsia="zh-CN" w:bidi="ar-SA"/>
    </w:rPr>
  </w:style>
  <w:style w:type="paragraph" w:customStyle="1" w:styleId="307">
    <w:name w:val="附录表标题"/>
    <w:next w:val="24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08">
    <w:name w:val="列项——"/>
    <w:qFormat/>
    <w:uiPriority w:val="0"/>
    <w:pPr>
      <w:widowControl w:val="0"/>
      <w:tabs>
        <w:tab w:val="left" w:pos="1140"/>
      </w:tabs>
      <w:ind w:left="833" w:hanging="408"/>
      <w:jc w:val="both"/>
    </w:pPr>
    <w:rPr>
      <w:rFonts w:ascii="宋体" w:hAnsi="Times New Roman" w:eastAsia="宋体" w:cs="Times New Roman"/>
      <w:sz w:val="21"/>
      <w:lang w:val="en-US" w:eastAsia="zh-CN" w:bidi="ar-SA"/>
    </w:rPr>
  </w:style>
  <w:style w:type="paragraph" w:customStyle="1" w:styleId="309">
    <w:name w:val="图表脚注"/>
    <w:next w:val="24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10">
    <w:name w:val="参考文献、索引标题"/>
    <w:basedOn w:val="261"/>
    <w:next w:val="1"/>
    <w:qFormat/>
    <w:uiPriority w:val="0"/>
    <w:pPr>
      <w:spacing w:after="200"/>
    </w:pPr>
    <w:rPr>
      <w:sz w:val="21"/>
    </w:rPr>
  </w:style>
  <w:style w:type="paragraph" w:customStyle="1" w:styleId="311">
    <w:name w:val="其他发布部门"/>
    <w:basedOn w:val="279"/>
    <w:qFormat/>
    <w:uiPriority w:val="0"/>
    <w:pPr>
      <w:spacing w:line="0" w:lineRule="atLeast"/>
    </w:pPr>
    <w:rPr>
      <w:rFonts w:ascii="黑体" w:eastAsia="黑体"/>
      <w:b w:val="0"/>
    </w:rPr>
  </w:style>
  <w:style w:type="paragraph" w:customStyle="1" w:styleId="312">
    <w:name w:val="示例"/>
    <w:next w:val="243"/>
    <w:qFormat/>
    <w:uiPriority w:val="0"/>
    <w:pPr>
      <w:tabs>
        <w:tab w:val="left" w:pos="1120"/>
      </w:tabs>
      <w:jc w:val="both"/>
    </w:pPr>
    <w:rPr>
      <w:rFonts w:ascii="宋体" w:hAnsi="Times New Roman" w:eastAsia="宋体" w:cs="Times New Roman"/>
      <w:sz w:val="18"/>
      <w:lang w:val="en-US" w:eastAsia="zh-CN" w:bidi="ar-SA"/>
    </w:rPr>
  </w:style>
  <w:style w:type="paragraph" w:customStyle="1" w:styleId="313">
    <w:name w:val="注："/>
    <w:next w:val="243"/>
    <w:qFormat/>
    <w:uiPriority w:val="0"/>
    <w:pPr>
      <w:widowControl w:val="0"/>
      <w:tabs>
        <w:tab w:val="left" w:pos="1140"/>
      </w:tabs>
      <w:autoSpaceDE w:val="0"/>
      <w:autoSpaceDN w:val="0"/>
      <w:jc w:val="both"/>
    </w:pPr>
    <w:rPr>
      <w:rFonts w:ascii="宋体" w:hAnsi="Times New Roman" w:eastAsia="宋体" w:cs="Times New Roman"/>
      <w:sz w:val="18"/>
      <w:lang w:val="en-US" w:eastAsia="zh-CN" w:bidi="ar-SA"/>
    </w:rPr>
  </w:style>
  <w:style w:type="paragraph" w:customStyle="1" w:styleId="314">
    <w:name w:val="标准书眉一"/>
    <w:qFormat/>
    <w:uiPriority w:val="0"/>
    <w:pPr>
      <w:jc w:val="both"/>
    </w:pPr>
    <w:rPr>
      <w:rFonts w:ascii="Times New Roman" w:hAnsi="Times New Roman" w:eastAsia="宋体" w:cs="Times New Roman"/>
      <w:lang w:val="en-US" w:eastAsia="zh-CN" w:bidi="ar-SA"/>
    </w:rPr>
  </w:style>
  <w:style w:type="paragraph" w:customStyle="1" w:styleId="315">
    <w:name w:val="_Style 1"/>
    <w:basedOn w:val="1"/>
    <w:semiHidden/>
    <w:qFormat/>
    <w:uiPriority w:val="34"/>
    <w:pPr>
      <w:ind w:firstLine="420" w:firstLineChars="200"/>
    </w:pPr>
    <w:rPr>
      <w:szCs w:val="24"/>
    </w:rPr>
  </w:style>
  <w:style w:type="paragraph" w:customStyle="1" w:styleId="316">
    <w:name w:val="列项◆（三级）"/>
    <w:basedOn w:val="1"/>
    <w:qFormat/>
    <w:uiPriority w:val="0"/>
    <w:pPr>
      <w:tabs>
        <w:tab w:val="left" w:pos="1678"/>
      </w:tabs>
    </w:pPr>
    <w:rPr>
      <w:rFonts w:ascii="宋体"/>
      <w:szCs w:val="21"/>
    </w:rPr>
  </w:style>
  <w:style w:type="paragraph" w:customStyle="1" w:styleId="3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18">
    <w:name w:val="标准书眉_偶数页"/>
    <w:basedOn w:val="292"/>
    <w:next w:val="1"/>
    <w:qFormat/>
    <w:uiPriority w:val="0"/>
    <w:pPr>
      <w:jc w:val="left"/>
    </w:pPr>
  </w:style>
  <w:style w:type="paragraph" w:customStyle="1" w:styleId="319">
    <w:name w:val="附录图标题"/>
    <w:next w:val="243"/>
    <w:qFormat/>
    <w:uiPriority w:val="0"/>
    <w:pPr>
      <w:jc w:val="center"/>
    </w:pPr>
    <w:rPr>
      <w:rFonts w:ascii="黑体" w:hAnsi="Times New Roman" w:eastAsia="黑体" w:cs="Times New Roman"/>
      <w:sz w:val="21"/>
      <w:lang w:val="en-US" w:eastAsia="zh-CN" w:bidi="ar-SA"/>
    </w:rPr>
  </w:style>
  <w:style w:type="paragraph" w:customStyle="1" w:styleId="32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21">
    <w:name w:val="附录五级条标题"/>
    <w:basedOn w:val="300"/>
    <w:next w:val="243"/>
    <w:qFormat/>
    <w:uiPriority w:val="0"/>
    <w:pPr>
      <w:outlineLvl w:val="6"/>
    </w:pPr>
  </w:style>
  <w:style w:type="paragraph" w:customStyle="1" w:styleId="322">
    <w:name w:val="正文图标题"/>
    <w:next w:val="243"/>
    <w:qFormat/>
    <w:uiPriority w:val="0"/>
    <w:pPr>
      <w:tabs>
        <w:tab w:val="left" w:pos="900"/>
      </w:tabs>
      <w:ind w:left="900" w:hanging="500"/>
      <w:jc w:val="center"/>
    </w:pPr>
    <w:rPr>
      <w:rFonts w:ascii="黑体" w:hAnsi="Times New Roman" w:eastAsia="黑体" w:cs="Times New Roman"/>
      <w:sz w:val="21"/>
      <w:lang w:val="en-US" w:eastAsia="zh-CN" w:bidi="ar-SA"/>
    </w:rPr>
  </w:style>
  <w:style w:type="paragraph" w:customStyle="1" w:styleId="323">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3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7">
    <w:name w:val="0"/>
    <w:basedOn w:val="243"/>
    <w:qFormat/>
    <w:uiPriority w:val="0"/>
    <w:rPr>
      <w:rFonts w:ascii="宋体" w:hAnsi="Times New Roman" w:eastAsia="宋体" w:cs="Times New Roman"/>
      <w:color w:val="auto"/>
      <w:sz w:val="21"/>
      <w:szCs w:val="20"/>
    </w:rPr>
  </w:style>
  <w:style w:type="paragraph" w:customStyle="1" w:styleId="328">
    <w:name w:val="3.1"/>
    <w:basedOn w:val="285"/>
    <w:next w:val="327"/>
    <w:qFormat/>
    <w:uiPriority w:val="0"/>
    <w:pPr>
      <w:spacing w:beforeLines="25" w:afterLines="25"/>
    </w:pPr>
  </w:style>
  <w:style w:type="paragraph" w:customStyle="1" w:styleId="329">
    <w:name w:val="3.2"/>
    <w:basedOn w:val="285"/>
    <w:next w:val="327"/>
    <w:qFormat/>
    <w:uiPriority w:val="0"/>
    <w:pPr>
      <w:spacing w:beforeLines="25" w:afterLines="25"/>
    </w:pPr>
    <w:rPr>
      <w:rFonts w:ascii="宋体" w:hAnsi="宋体" w:eastAsia="宋体"/>
    </w:rPr>
  </w:style>
  <w:style w:type="paragraph" w:customStyle="1" w:styleId="330">
    <w:name w:val="4"/>
    <w:basedOn w:val="285"/>
    <w:next w:val="327"/>
    <w:qFormat/>
    <w:uiPriority w:val="0"/>
    <w:pPr>
      <w:outlineLvl w:val="4"/>
    </w:pPr>
    <w:rPr>
      <w:rFonts w:ascii="宋体" w:hAnsi="宋体" w:eastAsia="宋体"/>
      <w:color w:val="000000"/>
      <w:szCs w:val="21"/>
    </w:rPr>
  </w:style>
  <w:style w:type="paragraph" w:customStyle="1" w:styleId="331">
    <w:name w:val="参考文献"/>
    <w:basedOn w:val="1"/>
    <w:next w:val="243"/>
    <w:qFormat/>
    <w:uiPriority w:val="0"/>
    <w:pPr>
      <w:keepNext/>
      <w:pageBreakBefore/>
      <w:widowControl/>
      <w:shd w:val="clear" w:color="FFFFFF" w:fill="FFFFFF"/>
      <w:spacing w:before="640" w:after="200"/>
      <w:jc w:val="center"/>
      <w:outlineLvl w:val="0"/>
    </w:pPr>
    <w:rPr>
      <w:rFonts w:ascii="黑体" w:eastAsia="黑体"/>
      <w:kern w:val="0"/>
    </w:rPr>
  </w:style>
  <w:style w:type="character" w:customStyle="1" w:styleId="332">
    <w:name w:val="font11"/>
    <w:basedOn w:val="52"/>
    <w:qFormat/>
    <w:uiPriority w:val="0"/>
    <w:rPr>
      <w:rFonts w:hint="eastAsia" w:ascii="宋体" w:hAnsi="宋体" w:eastAsia="宋体" w:cs="宋体"/>
      <w:color w:val="000000"/>
      <w:sz w:val="24"/>
      <w:szCs w:val="24"/>
      <w:u w:val="none"/>
    </w:rPr>
  </w:style>
  <w:style w:type="character" w:customStyle="1" w:styleId="333">
    <w:name w:val="font21"/>
    <w:basedOn w:val="52"/>
    <w:qFormat/>
    <w:uiPriority w:val="0"/>
    <w:rPr>
      <w:rFonts w:hint="eastAsia" w:ascii="微软雅黑" w:hAnsi="微软雅黑" w:eastAsia="微软雅黑" w:cs="微软雅黑"/>
      <w:color w:val="000000"/>
      <w:sz w:val="24"/>
      <w:szCs w:val="24"/>
      <w:u w:val="none"/>
    </w:rPr>
  </w:style>
  <w:style w:type="character" w:customStyle="1" w:styleId="334">
    <w:name w:val="font101"/>
    <w:basedOn w:val="52"/>
    <w:qFormat/>
    <w:uiPriority w:val="0"/>
    <w:rPr>
      <w:rFonts w:hint="default" w:ascii="Times New Roman" w:hAnsi="Times New Roman" w:cs="Times New Roman"/>
      <w:color w:val="000000"/>
      <w:sz w:val="24"/>
      <w:szCs w:val="24"/>
      <w:u w:val="none"/>
    </w:rPr>
  </w:style>
  <w:style w:type="character" w:customStyle="1" w:styleId="335">
    <w:name w:val="font01"/>
    <w:basedOn w:val="52"/>
    <w:qFormat/>
    <w:uiPriority w:val="0"/>
    <w:rPr>
      <w:rFonts w:hint="eastAsia" w:ascii="宋体" w:hAnsi="宋体" w:eastAsia="宋体" w:cs="宋体"/>
      <w:color w:val="000000"/>
      <w:sz w:val="24"/>
      <w:szCs w:val="24"/>
      <w:u w:val="none"/>
    </w:rPr>
  </w:style>
  <w:style w:type="character" w:customStyle="1" w:styleId="336">
    <w:name w:val="font31"/>
    <w:basedOn w:val="52"/>
    <w:qFormat/>
    <w:uiPriority w:val="0"/>
    <w:rPr>
      <w:rFonts w:hint="eastAsia" w:ascii="宋体" w:hAnsi="宋体" w:eastAsia="宋体" w:cs="宋体"/>
      <w:color w:val="000000"/>
      <w:sz w:val="20"/>
      <w:szCs w:val="20"/>
      <w:u w:val="none"/>
    </w:rPr>
  </w:style>
  <w:style w:type="character" w:customStyle="1" w:styleId="337">
    <w:name w:val="批注文字 Char1"/>
    <w:qFormat/>
    <w:uiPriority w:val="0"/>
    <w:rPr>
      <w:kern w:val="2"/>
      <w:sz w:val="21"/>
    </w:rPr>
  </w:style>
  <w:style w:type="paragraph" w:customStyle="1" w:styleId="338">
    <w:name w:val="_Style 118"/>
    <w:basedOn w:val="1"/>
    <w:next w:val="76"/>
    <w:qFormat/>
    <w:uiPriority w:val="0"/>
    <w:pPr>
      <w:widowControl/>
      <w:ind w:firstLine="200" w:firstLineChars="200"/>
      <w:jc w:val="left"/>
    </w:pPr>
    <w:rPr>
      <w:rFonts w:ascii="宋体" w:cs="宋体"/>
      <w:kern w:val="0"/>
      <w:sz w:val="24"/>
      <w:szCs w:val="24"/>
    </w:rPr>
  </w:style>
  <w:style w:type="paragraph" w:customStyle="1" w:styleId="339">
    <w:name w:val="表标题"/>
    <w:basedOn w:val="1"/>
    <w:next w:val="1"/>
    <w:qFormat/>
    <w:uiPriority w:val="0"/>
    <w:pPr>
      <w:adjustRightInd w:val="0"/>
      <w:spacing w:after="40"/>
      <w:jc w:val="center"/>
      <w:textAlignment w:val="baseline"/>
    </w:pPr>
    <w:rPr>
      <w:rFonts w:eastAsia="幼圆"/>
      <w:b/>
      <w:bCs/>
      <w:spacing w:val="120"/>
      <w:kern w:val="0"/>
      <w:sz w:val="32"/>
      <w:szCs w:val="32"/>
    </w:rPr>
  </w:style>
  <w:style w:type="paragraph" w:customStyle="1" w:styleId="340">
    <w:name w:val="Standard_JK_N"/>
    <w:basedOn w:val="35"/>
    <w:link w:val="341"/>
    <w:qFormat/>
    <w:uiPriority w:val="0"/>
    <w:pPr>
      <w:tabs>
        <w:tab w:val="clear" w:pos="4153"/>
        <w:tab w:val="clear" w:pos="8306"/>
      </w:tabs>
      <w:snapToGrid/>
      <w:ind w:left="284"/>
    </w:pPr>
    <w:rPr>
      <w:rFonts w:ascii="Arial" w:hAnsi="Arial" w:cs="Arial"/>
      <w:lang w:val="en-GB"/>
    </w:rPr>
  </w:style>
  <w:style w:type="character" w:customStyle="1" w:styleId="341">
    <w:name w:val="Standard_JK_N Char"/>
    <w:basedOn w:val="52"/>
    <w:link w:val="340"/>
    <w:qFormat/>
    <w:uiPriority w:val="0"/>
    <w:rPr>
      <w:rFonts w:ascii="Arial" w:hAnsi="Arial" w:cs="Arial"/>
      <w:kern w:val="2"/>
      <w:sz w:val="18"/>
      <w:szCs w:val="18"/>
      <w:lang w:val="en-GB"/>
    </w:rPr>
  </w:style>
  <w:style w:type="table" w:customStyle="1" w:styleId="342">
    <w:name w:val="网格表 1 浅色1"/>
    <w:basedOn w:val="5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43">
    <w:name w:val="NormalCharacter"/>
    <w:qFormat/>
    <w:uiPriority w:val="0"/>
  </w:style>
  <w:style w:type="paragraph" w:customStyle="1" w:styleId="344">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17642</Words>
  <Characters>19760</Characters>
  <Lines>1</Lines>
  <Paragraphs>1</Paragraphs>
  <TotalTime>92</TotalTime>
  <ScaleCrop>false</ScaleCrop>
  <LinksUpToDate>false</LinksUpToDate>
  <CharactersWithSpaces>34731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2024-03-28T10:50:00Z</dcterms:created>
  <dc:creator>Windows 用户</dc:creator>
  <cp:lastModifiedBy>105046</cp:lastModifiedBy>
  <cp:lastPrinted>2025-02-11T15:07:00Z</cp:lastPrinted>
  <dcterms:modified xsi:type="dcterms:W3CDTF">2025-05-19T10:20:52Z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4745F60884664871AEE268ED7854C794_12</vt:lpwstr>
  </property>
</Properties>
</file>