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中国重汽集团济南橡塑件公司护套喷码机项目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300C6D08">
      <w:pPr>
        <w:pStyle w:val="19"/>
        <w:numPr>
          <w:ilvl w:val="0"/>
          <w:numId w:val="0"/>
        </w:numPr>
        <w:jc w:val="both"/>
        <w:outlineLvl w:val="9"/>
        <w:rPr>
          <w:rFonts w:hint="eastAsia" w:ascii="仿宋_GB2312" w:hAnsi="仿宋_GB2312" w:eastAsia="仿宋_GB2312" w:cs="仿宋_GB2312"/>
          <w:b/>
          <w:bCs/>
          <w:kern w:val="44"/>
          <w:sz w:val="36"/>
          <w:szCs w:val="44"/>
        </w:rPr>
      </w:pPr>
    </w:p>
    <w:p w14:paraId="42713FEF">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29994"/>
      <w:bookmarkStart w:id="1" w:name="_Toc15480"/>
      <w:bookmarkStart w:id="2" w:name="_Toc23693"/>
      <w:bookmarkStart w:id="3" w:name="_Toc5202"/>
      <w:bookmarkStart w:id="4" w:name="_Toc2224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中国重汽集团济南橡塑件公司护套喷码机项目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CGZX2025050048</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中国重汽集团济南橡塑件公司护套喷码机项目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人民币18万元（含税，税率13%），超过投标限价无法投标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7F2DE8">
            <w:pPr>
              <w:pStyle w:val="19"/>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rPr>
              <w:t>（1）拟标投人必须是在中华人民共和国境内注册的独立法人机构或其授权的分支机构，具有独立承担民事责任能力，注册资金不少于</w:t>
            </w:r>
            <w:r>
              <w:rPr>
                <w:rFonts w:hint="eastAsia" w:ascii="仿宋_GB2312" w:hAnsi="仿宋_GB2312" w:eastAsia="仿宋_GB2312" w:cs="仿宋_GB2312"/>
                <w:color w:val="000000"/>
                <w:sz w:val="24"/>
                <w:szCs w:val="24"/>
                <w:lang w:val="en-US" w:eastAsia="zh-CN"/>
              </w:rPr>
              <w:t>50</w:t>
            </w:r>
            <w:r>
              <w:rPr>
                <w:rFonts w:hint="eastAsia" w:ascii="仿宋_GB2312" w:hAnsi="仿宋_GB2312" w:eastAsia="仿宋_GB2312" w:cs="仿宋_GB2312"/>
                <w:color w:val="000000"/>
                <w:sz w:val="24"/>
                <w:szCs w:val="24"/>
              </w:rPr>
              <w:t>万元</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该项目</w:t>
            </w:r>
            <w:r>
              <w:rPr>
                <w:rFonts w:hint="eastAsia" w:ascii="仿宋_GB2312" w:hAnsi="仿宋_GB2312" w:eastAsia="仿宋_GB2312" w:cs="仿宋_GB2312"/>
                <w:color w:val="000000"/>
                <w:sz w:val="24"/>
                <w:szCs w:val="24"/>
                <w:highlight w:val="yellow"/>
              </w:rPr>
              <w:t>不允许代理商参标；</w:t>
            </w:r>
          </w:p>
          <w:p w14:paraId="21C19679">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（2）拟投标人应提供营业执照扫描件（需盖章）；</w:t>
            </w:r>
          </w:p>
          <w:p w14:paraId="4B5BB1FD">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（3）拟投标人应提供法定代表人资格证明文件；</w:t>
            </w:r>
          </w:p>
          <w:p w14:paraId="50B72CB9">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（4）拟投标人不存在严重违规或被列入招标人“黑名单”的声明；</w:t>
            </w:r>
          </w:p>
          <w:p w14:paraId="0BF58C5E">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（5）拟投标人在国家市场监督管理总局的《国家企业信用信息公示系统》中查询不存在不良记录；</w:t>
            </w:r>
          </w:p>
          <w:p w14:paraId="199DDB4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（6）投标人遵守执业准则和执业规范，近三年内没有违法、违规或行业自律惩戒记录，最近半年纳税正常，信用证明材料（征信报告）未显示异常；</w:t>
            </w:r>
          </w:p>
          <w:p w14:paraId="042C1B94">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（7）拟投标人应提供202</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1DA7F1A3">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（8）投标人应具有相关招标项目的实施及服务能力，需要提供202</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年至今的同类制造业合同案例，且合同案例应列尽列；</w:t>
            </w:r>
          </w:p>
          <w:p w14:paraId="0AA0A7CD">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（9）投标人须认可招标人的工作指令，包括节、假日能正常开展工作的要求；</w:t>
            </w:r>
          </w:p>
          <w:p w14:paraId="62706DE9">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（10）不接受联合体投标，拟投标人必须是最终投标单位和签订合同单位，不得以任何理由将已中标项目以任何形式分包或转包给其他单位；</w:t>
            </w:r>
          </w:p>
          <w:p w14:paraId="053995E3">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（11）拟投标人的直接或间接股东、法定代表人、董事、监事、高管非重汽员工及其亲属；与招标人存在利害关系可能影响招标公正性的法人、其他组织或者个人，不得参加投标；</w:t>
            </w:r>
          </w:p>
          <w:p w14:paraId="5E51E4C4">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（12）本项目不接受联合体投标，拟投标人必须是最终投标单位和签订合同单位，不得以任何理由将已中标项目以任何形式分包或转包给其他单位。</w:t>
            </w:r>
          </w:p>
          <w:p w14:paraId="6A734C91">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6</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20</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6</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24</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6</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25</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6</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27</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6</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30</w:t>
            </w:r>
            <w:bookmarkStart w:id="200" w:name="_GoBack"/>
            <w:bookmarkEnd w:id="200"/>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rPr>
              <w:t>（同应标截止时间）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评标方法：资质标审核→唱标→</w:t>
            </w:r>
            <w:r>
              <w:rPr>
                <w:rFonts w:hint="eastAsia" w:ascii="仿宋_GB2312" w:hAnsi="仿宋_GB2312" w:eastAsia="仿宋_GB2312" w:cs="仿宋_GB2312"/>
                <w:b/>
                <w:bCs/>
                <w:sz w:val="24"/>
                <w:szCs w:val="24"/>
                <w:lang w:val="en-US" w:eastAsia="zh-CN"/>
              </w:rPr>
              <w:t>技术标评审</w:t>
            </w:r>
            <w:r>
              <w:rPr>
                <w:rFonts w:hint="eastAsia" w:ascii="仿宋_GB2312" w:hAnsi="仿宋_GB2312" w:eastAsia="仿宋_GB2312" w:cs="仿宋_GB2312"/>
                <w:b/>
                <w:bCs/>
                <w:sz w:val="24"/>
                <w:szCs w:val="24"/>
              </w:rPr>
              <w:t>→商务标评审。选取合理最低价中标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8A69450">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1.自合同生效后</w:t>
            </w:r>
            <w:r>
              <w:rPr>
                <w:rFonts w:hint="eastAsia" w:ascii="仿宋_GB2312" w:hAnsi="仿宋_GB2312" w:eastAsia="仿宋_GB2312" w:cs="仿宋_GB2312"/>
                <w:color w:val="000000"/>
                <w:sz w:val="24"/>
                <w:szCs w:val="24"/>
                <w:lang w:val="en-US" w:eastAsia="zh-CN"/>
              </w:rPr>
              <w:t>60</w:t>
            </w:r>
            <w:r>
              <w:rPr>
                <w:rFonts w:hint="eastAsia" w:ascii="仿宋_GB2312" w:hAnsi="仿宋_GB2312" w:eastAsia="仿宋_GB2312" w:cs="仿宋_GB2312"/>
                <w:color w:val="000000"/>
                <w:sz w:val="24"/>
                <w:szCs w:val="24"/>
              </w:rPr>
              <w:t>个日历日内，中标人须交付设备到招标人指定的安装和使用的现场，并保证整套测试系统正常进入试运行状态。</w:t>
            </w:r>
          </w:p>
          <w:p w14:paraId="3AC664DD">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2.接续</w:t>
            </w:r>
            <w:r>
              <w:rPr>
                <w:rFonts w:hint="eastAsia" w:ascii="仿宋_GB2312" w:hAnsi="仿宋_GB2312" w:eastAsia="仿宋_GB2312" w:cs="仿宋_GB2312"/>
                <w:color w:val="000000"/>
                <w:sz w:val="24"/>
                <w:szCs w:val="24"/>
                <w:lang w:val="en-US" w:eastAsia="zh-CN"/>
              </w:rPr>
              <w:t>30</w:t>
            </w:r>
            <w:r>
              <w:rPr>
                <w:rFonts w:hint="eastAsia" w:ascii="仿宋_GB2312" w:hAnsi="仿宋_GB2312" w:eastAsia="仿宋_GB2312" w:cs="仿宋_GB2312"/>
                <w:color w:val="000000"/>
                <w:sz w:val="24"/>
                <w:szCs w:val="24"/>
              </w:rPr>
              <w:t>个日历日之内安装调试完毕。</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交货地点：济南市长清区重汽黄河路688号济南橡塑件有限公司</w:t>
            </w:r>
            <w:r>
              <w:rPr>
                <w:rFonts w:hint="eastAsia" w:ascii="宋体" w:hAnsi="宋体" w:eastAsia="宋体" w:cs="宋体"/>
                <w:color w:val="000000"/>
                <w:sz w:val="24"/>
                <w:szCs w:val="24"/>
                <w:highlight w:val="none"/>
                <w:u w:val="single"/>
                <w:lang w:val="en-US" w:eastAsia="zh-CN"/>
              </w:rPr>
              <w:t>。</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4AA2735B">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1合同生效后, 卖方提交金额为合同含税总价款30%的收据及对应金额的增值税专用发票，经买方财务审核无误后按照财务付款条件：立即到期(预付款)执行。</w:t>
            </w:r>
          </w:p>
          <w:p w14:paraId="74F3E284">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2设备全部到齐无质量问题，卖方提交金额为合同含税总价款30%的收据及对应金额的增值税专用发票，经买方财务审核无误后按照财务付款条件：立即到期执行。</w:t>
            </w:r>
          </w:p>
          <w:p w14:paraId="2CEA2EC4">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设备全部到齐无质量问题，经安装、调试最终验收合格后，卖方提交金额为合同含税总价款30%的收据及合同含税总价款未付金额的增值税专用发票并附带合同设备最终验收报告，经买方财务审核无误后按照财务付款条件：立即到期执行。</w:t>
            </w:r>
          </w:p>
          <w:p w14:paraId="7471C2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合同含税总价款的10%作为本合同约定设备的质量保证金，质量保证金在质量保证期内不计利息。待合同设备质量保证期满后，卖方向买方提交质量保证金收据及设备使用单位的使用情况说明，经买方财务审核无误后按照财务付款条件：365天到期执行。如有质量问题，质量保证金予以相应扣除。</w:t>
            </w:r>
          </w:p>
          <w:p w14:paraId="2699451F">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321AD243">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19183"/>
      <w:bookmarkStart w:id="8" w:name="_Toc27087"/>
      <w:bookmarkStart w:id="9" w:name="_Toc10195"/>
      <w:bookmarkStart w:id="10" w:name="_Toc6577"/>
      <w:bookmarkStart w:id="11" w:name="_Toc9448"/>
      <w:bookmarkStart w:id="12" w:name="_Toc42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3267001"/>
      <w:bookmarkStart w:id="20" w:name="_Toc33266950"/>
      <w:bookmarkStart w:id="21" w:name="_Toc33266914"/>
      <w:bookmarkStart w:id="22" w:name="_Toc33265653"/>
      <w:bookmarkStart w:id="23" w:name="_Toc33266627"/>
      <w:bookmarkStart w:id="24" w:name="_Toc30534"/>
      <w:bookmarkStart w:id="25" w:name="_Toc33265752"/>
      <w:bookmarkStart w:id="26" w:name="_Toc33285487"/>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bookmarkStart w:id="28" w:name="_Toc33285489"/>
      <w:bookmarkStart w:id="29" w:name="_Toc33267002"/>
      <w:bookmarkStart w:id="30" w:name="_Toc33266915"/>
      <w:bookmarkStart w:id="31" w:name="_Toc33266628"/>
      <w:bookmarkStart w:id="32" w:name="_Toc395116634"/>
      <w:bookmarkStart w:id="33" w:name="_Toc33266951"/>
      <w:bookmarkStart w:id="34" w:name="_Toc33265654"/>
      <w:bookmarkStart w:id="35" w:name="_Toc33265753"/>
      <w:r>
        <w:rPr>
          <w:rFonts w:hint="eastAsia" w:ascii="仿宋_GB2312" w:hAnsi="仿宋_GB2312" w:eastAsia="仿宋_GB2312" w:cs="仿宋_GB2312"/>
          <w:sz w:val="24"/>
          <w:szCs w:val="24"/>
        </w:rPr>
        <w:t>资质标审核</w:t>
      </w:r>
      <w:r>
        <w:rPr>
          <w:rFonts w:hint="eastAsia" w:ascii="仿宋_GB2312" w:hAnsi="仿宋_GB2312" w:eastAsia="仿宋_GB2312" w:cs="仿宋_GB2312"/>
          <w:sz w:val="24"/>
          <w:szCs w:val="24"/>
          <w:lang w:val="en-US" w:eastAsia="zh-CN"/>
        </w:rPr>
        <w:t>后</w:t>
      </w:r>
      <w:r>
        <w:rPr>
          <w:rFonts w:hint="eastAsia" w:ascii="仿宋_GB2312" w:hAnsi="仿宋_GB2312" w:eastAsia="仿宋_GB2312" w:cs="仿宋_GB2312"/>
          <w:sz w:val="24"/>
          <w:szCs w:val="24"/>
        </w:rPr>
        <w:t>→唱标→</w:t>
      </w:r>
      <w:r>
        <w:rPr>
          <w:rFonts w:hint="eastAsia" w:ascii="仿宋_GB2312" w:hAnsi="仿宋_GB2312" w:eastAsia="仿宋_GB2312" w:cs="仿宋_GB2312"/>
          <w:sz w:val="24"/>
          <w:szCs w:val="24"/>
          <w:lang w:val="en-US" w:eastAsia="zh-CN"/>
        </w:rPr>
        <w:t>技术标评审</w:t>
      </w:r>
      <w:r>
        <w:rPr>
          <w:rFonts w:hint="eastAsia" w:ascii="仿宋_GB2312" w:hAnsi="仿宋_GB2312" w:eastAsia="仿宋_GB2312" w:cs="仿宋_GB2312"/>
          <w:sz w:val="24"/>
          <w:szCs w:val="24"/>
        </w:rPr>
        <w:t>→商务标评审。选取合理最低价中标。</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6"/>
      <w:bookmarkStart w:id="40" w:name="OLE_LINK25"/>
      <w:bookmarkStart w:id="41" w:name="OLE_LINK29"/>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330F1520">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2363"/>
      <w:bookmarkStart w:id="45" w:name="_Toc31869"/>
      <w:bookmarkStart w:id="46" w:name="_Toc762"/>
      <w:bookmarkStart w:id="47" w:name="_Toc13479"/>
      <w:bookmarkStart w:id="48" w:name="_Toc21022"/>
      <w:bookmarkStart w:id="49" w:name="_Toc1495"/>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E9D0FFA">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r>
        <w:rPr>
          <w:rFonts w:hint="eastAsia" w:ascii="仿宋_GB2312" w:hAnsi="仿宋_GB2312" w:eastAsia="仿宋_GB2312" w:cs="仿宋_GB2312"/>
          <w:color w:val="000000"/>
          <w:sz w:val="24"/>
          <w:szCs w:val="24"/>
          <w:highlight w:val="yellow"/>
          <w:lang w:val="en-US" w:eastAsia="zh-CN"/>
        </w:rPr>
        <w:t>(不允许代理商投标的项目不用提供该项,参照投标须知前附表1.6投标人条件）；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4194"/>
      <w:bookmarkStart w:id="59" w:name="_Toc14517"/>
      <w:bookmarkStart w:id="60" w:name="_Toc3565"/>
      <w:bookmarkStart w:id="61" w:name="_Toc12563"/>
      <w:bookmarkStart w:id="62" w:name="_Toc1884"/>
      <w:bookmarkStart w:id="63" w:name="_Toc20467"/>
      <w:bookmarkStart w:id="64" w:name="_Toc20272"/>
      <w:bookmarkStart w:id="65" w:name="_Toc8032"/>
      <w:bookmarkStart w:id="66" w:name="_Toc11355"/>
      <w:bookmarkStart w:id="67" w:name="_Toc12552"/>
      <w:bookmarkStart w:id="68" w:name="_Toc8202"/>
      <w:bookmarkStart w:id="69" w:name="_Toc133783966"/>
      <w:bookmarkStart w:id="70" w:name="_Toc6346"/>
      <w:bookmarkStart w:id="71" w:name="_Toc28236"/>
      <w:bookmarkStart w:id="72" w:name="_Toc4483"/>
      <w:bookmarkStart w:id="73" w:name="_Toc7511"/>
      <w:bookmarkStart w:id="74" w:name="_Toc3372"/>
      <w:bookmarkStart w:id="75" w:name="_Toc7110"/>
      <w:bookmarkStart w:id="76" w:name="_Toc16358"/>
      <w:bookmarkStart w:id="77" w:name="_Toc18805"/>
      <w:bookmarkStart w:id="78" w:name="_Toc4029"/>
      <w:bookmarkStart w:id="79" w:name="_Toc30738"/>
      <w:bookmarkStart w:id="80" w:name="_Toc6957"/>
      <w:bookmarkStart w:id="81" w:name="_Toc12714"/>
      <w:bookmarkStart w:id="82" w:name="_Toc24964"/>
      <w:bookmarkStart w:id="83" w:name="_Toc19672"/>
      <w:bookmarkStart w:id="84" w:name="_Toc24913"/>
      <w:bookmarkStart w:id="85" w:name="_Toc18182"/>
      <w:bookmarkStart w:id="86" w:name="_Toc22649"/>
      <w:bookmarkStart w:id="87" w:name="_Toc21497"/>
      <w:bookmarkStart w:id="88" w:name="_Toc13605"/>
      <w:bookmarkStart w:id="89" w:name="_Toc13562"/>
      <w:bookmarkStart w:id="90" w:name="_Toc4532"/>
      <w:bookmarkStart w:id="91" w:name="_Toc32378"/>
      <w:bookmarkStart w:id="92" w:name="_Toc13988"/>
      <w:bookmarkStart w:id="93" w:name="_Toc23870"/>
      <w:bookmarkStart w:id="94" w:name="_Toc13555"/>
      <w:bookmarkStart w:id="95" w:name="_Toc18606"/>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470C29D8">
      <w:pPr>
        <w:keepNext/>
        <w:keepLines/>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中国重汽集团济南橡塑件公司</w:t>
      </w:r>
    </w:p>
    <w:p w14:paraId="2806FE06">
      <w:pPr>
        <w:keepNext/>
        <w:keepLines/>
        <w:jc w:val="center"/>
        <w:rPr>
          <w:rFonts w:hint="eastAsia" w:ascii="Calibri" w:hAnsi="Calibri" w:eastAsia="宋体" w:cs="Times New Roman"/>
          <w:b/>
          <w:bCs/>
          <w:color w:val="000000"/>
          <w:spacing w:val="-8"/>
          <w:sz w:val="72"/>
          <w:szCs w:val="72"/>
          <w:lang w:val="en-US" w:eastAsia="zh-CN"/>
        </w:rPr>
      </w:pPr>
      <w:r>
        <w:rPr>
          <w:rFonts w:hint="eastAsia" w:ascii="Calibri" w:hAnsi="宋体" w:eastAsia="宋体" w:cs="Times New Roman"/>
          <w:b/>
          <w:bCs/>
          <w:color w:val="000000"/>
          <w:spacing w:val="-8"/>
          <w:sz w:val="52"/>
          <w:szCs w:val="52"/>
          <w:lang w:val="en-US" w:eastAsia="zh-CN"/>
        </w:rPr>
        <w:t>线束外包业务生产效率提升</w:t>
      </w:r>
      <w:r>
        <w:rPr>
          <w:rFonts w:hint="eastAsia" w:ascii="Calibri" w:hAnsi="宋体" w:eastAsia="宋体" w:cs="Times New Roman"/>
          <w:b/>
          <w:bCs/>
          <w:color w:val="000000"/>
          <w:spacing w:val="-8"/>
          <w:sz w:val="52"/>
          <w:szCs w:val="52"/>
        </w:rPr>
        <w:t>项目</w:t>
      </w:r>
      <w:r>
        <w:rPr>
          <w:rFonts w:hint="eastAsia" w:ascii="Calibri" w:hAnsi="宋体" w:eastAsia="宋体" w:cs="Times New Roman"/>
          <w:b/>
          <w:bCs/>
          <w:color w:val="000000"/>
          <w:spacing w:val="-8"/>
          <w:sz w:val="52"/>
          <w:szCs w:val="52"/>
          <w:lang w:eastAsia="zh-CN"/>
        </w:rPr>
        <w:t>（</w:t>
      </w:r>
      <w:r>
        <w:rPr>
          <w:rFonts w:hint="eastAsia" w:ascii="Calibri" w:hAnsi="宋体" w:eastAsia="宋体" w:cs="Times New Roman"/>
          <w:b/>
          <w:bCs/>
          <w:color w:val="000000"/>
          <w:spacing w:val="-8"/>
          <w:sz w:val="52"/>
          <w:szCs w:val="52"/>
          <w:lang w:val="en-US" w:eastAsia="zh-CN"/>
        </w:rPr>
        <w:t>护套喷码机</w:t>
      </w:r>
      <w:r>
        <w:rPr>
          <w:rFonts w:hint="eastAsia" w:ascii="Calibri" w:hAnsi="宋体" w:eastAsia="宋体" w:cs="Times New Roman"/>
          <w:b/>
          <w:bCs/>
          <w:color w:val="000000"/>
          <w:spacing w:val="-8"/>
          <w:sz w:val="52"/>
          <w:szCs w:val="52"/>
          <w:lang w:eastAsia="zh-CN"/>
        </w:rPr>
        <w:t>）</w:t>
      </w:r>
    </w:p>
    <w:p w14:paraId="6536634A">
      <w:pPr>
        <w:jc w:val="right"/>
        <w:rPr>
          <w:rFonts w:ascii="Calibri" w:hAnsi="Calibri" w:eastAsia="宋体" w:cs="Times New Roman"/>
          <w:color w:val="000000"/>
          <w:sz w:val="28"/>
          <w:szCs w:val="28"/>
        </w:rPr>
      </w:pPr>
    </w:p>
    <w:p w14:paraId="182D3D2B">
      <w:pPr>
        <w:pStyle w:val="19"/>
      </w:pPr>
    </w:p>
    <w:p w14:paraId="46F7ED0C">
      <w:pPr>
        <w:jc w:val="center"/>
        <w:rPr>
          <w:rFonts w:ascii="黑体" w:hAnsi="宋体" w:eastAsia="黑体" w:cs="Times New Roman"/>
          <w:color w:val="000000"/>
          <w:sz w:val="72"/>
          <w:szCs w:val="72"/>
        </w:rPr>
      </w:pPr>
    </w:p>
    <w:p w14:paraId="6A8CBD4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CD2669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EFB033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17C16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9D37329">
      <w:pPr>
        <w:pStyle w:val="19"/>
      </w:pPr>
    </w:p>
    <w:p w14:paraId="36453705">
      <w:pPr>
        <w:pStyle w:val="19"/>
        <w:rPr>
          <w:rFonts w:ascii="黑体" w:hAnsi="宋体" w:eastAsia="黑体" w:cs="Times New Roman"/>
          <w:color w:val="000000"/>
          <w:sz w:val="72"/>
          <w:szCs w:val="72"/>
        </w:rPr>
      </w:pPr>
    </w:p>
    <w:p w14:paraId="6164B60E">
      <w:pPr>
        <w:pStyle w:val="19"/>
        <w:rPr>
          <w:rFonts w:ascii="黑体" w:hAnsi="宋体" w:eastAsia="黑体" w:cs="Times New Roman"/>
          <w:color w:val="000000"/>
          <w:sz w:val="72"/>
          <w:szCs w:val="72"/>
        </w:rPr>
      </w:pPr>
    </w:p>
    <w:p w14:paraId="03376D4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13B411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519037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9F4087D">
      <w:pPr>
        <w:pStyle w:val="19"/>
        <w:rPr>
          <w:b/>
          <w:bCs/>
        </w:rPr>
      </w:pPr>
    </w:p>
    <w:p w14:paraId="5542FD9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人：中国重汽集团济南橡塑件有限公司</w:t>
      </w:r>
    </w:p>
    <w:p w14:paraId="4CC00BB2">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58AFF513">
      <w:pPr>
        <w:spacing w:line="360" w:lineRule="auto"/>
        <w:rPr>
          <w:rFonts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60D2545E">
      <w:pPr>
        <w:keepNext/>
        <w:keepLines/>
        <w:spacing w:before="120" w:after="120" w:line="480" w:lineRule="exact"/>
        <w:jc w:val="center"/>
        <w:outlineLvl w:val="1"/>
        <w:rPr>
          <w:rFonts w:ascii="宋体" w:hAnsi="Calibri" w:eastAsia="宋体" w:cs="Times New Roman"/>
          <w:b/>
          <w:bCs/>
          <w:kern w:val="44"/>
          <w:sz w:val="28"/>
          <w:szCs w:val="28"/>
        </w:rPr>
      </w:pPr>
      <w:bookmarkStart w:id="96"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2607BB9">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7476F014">
      <w:pPr>
        <w:spacing w:line="360" w:lineRule="auto"/>
        <w:outlineLvl w:val="3"/>
        <w:rPr>
          <w:rFonts w:hint="eastAsia" w:ascii="宋体" w:hAnsi="宋体" w:eastAsia="宋体" w:cs="宋体"/>
          <w:sz w:val="24"/>
          <w:szCs w:val="24"/>
          <w:u w:val="single"/>
          <w:shd w:val="pct10" w:color="auto" w:fill="FFFFFF"/>
          <w:lang w:eastAsia="zh-CN"/>
        </w:rPr>
      </w:pPr>
      <w:r>
        <w:rPr>
          <w:rFonts w:hint="eastAsia" w:ascii="宋体" w:hAnsi="宋体" w:eastAsia="宋体" w:cs="宋体"/>
          <w:sz w:val="24"/>
          <w:szCs w:val="24"/>
        </w:rPr>
        <w:t>一、项目名称：</w:t>
      </w:r>
      <w:r>
        <w:rPr>
          <w:rFonts w:hint="eastAsia" w:ascii="宋体" w:hAnsi="宋体" w:eastAsia="宋体" w:cs="宋体"/>
          <w:sz w:val="24"/>
          <w:u w:val="single"/>
          <w:lang w:val="en-US" w:eastAsia="zh-CN"/>
        </w:rPr>
        <w:t>线束外包业务生产效率提升项目</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护套喷码机</w:t>
      </w:r>
      <w:r>
        <w:rPr>
          <w:rFonts w:hint="eastAsia" w:ascii="宋体" w:hAnsi="宋体" w:eastAsia="宋体" w:cs="宋体"/>
          <w:sz w:val="24"/>
          <w:u w:val="single"/>
          <w:lang w:eastAsia="zh-CN"/>
        </w:rPr>
        <w:t>）</w:t>
      </w:r>
    </w:p>
    <w:p w14:paraId="7E79DBC0">
      <w:pPr>
        <w:spacing w:line="360" w:lineRule="auto"/>
        <w:outlineLvl w:val="3"/>
        <w:rPr>
          <w:rFonts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w:t>
      </w:r>
      <w:r>
        <w:rPr>
          <w:rFonts w:hint="eastAsia" w:ascii="宋体" w:hAnsi="宋体" w:eastAsia="宋体" w:cs="宋体"/>
          <w:color w:val="000000"/>
          <w:sz w:val="24"/>
          <w:szCs w:val="24"/>
          <w:u w:val="single"/>
          <w:lang w:val="en-US" w:eastAsia="zh-CN"/>
        </w:rPr>
        <w:t>线束线</w:t>
      </w:r>
    </w:p>
    <w:p w14:paraId="3663B4FC">
      <w:pPr>
        <w:spacing w:line="360" w:lineRule="auto"/>
        <w:outlineLvl w:val="3"/>
        <w:rPr>
          <w:rFonts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w:t>
      </w:r>
      <w:r>
        <w:rPr>
          <w:rFonts w:hint="eastAsia" w:ascii="宋体" w:hAnsi="宋体" w:eastAsia="宋体" w:cs="宋体"/>
          <w:color w:val="000000"/>
          <w:sz w:val="24"/>
          <w:szCs w:val="24"/>
          <w:u w:val="single"/>
          <w:lang w:val="en-US" w:eastAsia="zh-CN"/>
        </w:rPr>
        <w:t>线束线</w:t>
      </w:r>
    </w:p>
    <w:p w14:paraId="6D65BB16">
      <w:pPr>
        <w:spacing w:line="360" w:lineRule="auto"/>
        <w:outlineLvl w:val="3"/>
        <w:rPr>
          <w:rFonts w:ascii="宋体" w:hAnsi="宋体" w:eastAsia="宋体" w:cs="宋体"/>
          <w:sz w:val="24"/>
          <w:szCs w:val="24"/>
        </w:rPr>
      </w:pPr>
      <w:r>
        <w:rPr>
          <w:rFonts w:hint="eastAsia" w:ascii="宋体" w:hAnsi="宋体" w:eastAsia="宋体" w:cs="宋体"/>
          <w:sz w:val="24"/>
          <w:szCs w:val="24"/>
        </w:rPr>
        <w:t>四、使用地点区域自然环境：</w:t>
      </w:r>
    </w:p>
    <w:p w14:paraId="258A36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1.海拔高度：约500m。</w:t>
      </w:r>
    </w:p>
    <w:p w14:paraId="5F7ED3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2.环境温度：最高40℃   最低-15℃。</w:t>
      </w:r>
    </w:p>
    <w:p w14:paraId="7E8CFC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3.相对湿度：40%—95%。</w:t>
      </w:r>
    </w:p>
    <w:p w14:paraId="040B39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4.安装方式：室内。</w:t>
      </w:r>
    </w:p>
    <w:p w14:paraId="48942D19">
      <w:pPr>
        <w:spacing w:line="360" w:lineRule="auto"/>
        <w:rPr>
          <w:rFonts w:ascii="宋体" w:hAnsi="宋体" w:eastAsia="宋体" w:cs="宋体"/>
          <w:sz w:val="24"/>
          <w:szCs w:val="24"/>
        </w:rPr>
      </w:pPr>
      <w:r>
        <w:rPr>
          <w:rFonts w:hint="eastAsia" w:ascii="宋体" w:hAnsi="宋体" w:eastAsia="宋体" w:cs="宋体"/>
          <w:sz w:val="24"/>
          <w:szCs w:val="24"/>
        </w:rPr>
        <w:t>五、使用环境条件：</w:t>
      </w:r>
    </w:p>
    <w:p w14:paraId="2589D9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1.动力供给： 三相四线380VAC（+/-10%），50Hz（+/-1Hz）。</w:t>
      </w:r>
    </w:p>
    <w:p w14:paraId="5D97314B">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68F776DF">
      <w:pPr>
        <w:spacing w:line="360" w:lineRule="auto"/>
        <w:outlineLvl w:val="3"/>
      </w:pPr>
      <w:r>
        <w:rPr>
          <w:rFonts w:hint="eastAsia" w:ascii="宋体" w:hAnsi="宋体" w:eastAsia="宋体" w:cs="宋体"/>
          <w:b/>
          <w:sz w:val="24"/>
          <w:szCs w:val="24"/>
        </w:rPr>
        <w:t>一、货物名称：</w:t>
      </w:r>
      <w:r>
        <w:rPr>
          <w:rFonts w:hint="eastAsia" w:ascii="宋体" w:hAnsi="宋体" w:eastAsia="宋体" w:cs="宋体"/>
          <w:sz w:val="24"/>
          <w:u w:val="single"/>
          <w:lang w:val="en-US" w:eastAsia="zh-CN"/>
        </w:rPr>
        <w:t>护套喷码机</w:t>
      </w:r>
      <w:r>
        <w:rPr>
          <w:rFonts w:hint="eastAsia" w:ascii="宋体" w:hAnsi="宋体" w:eastAsia="宋体" w:cs="宋体"/>
          <w:sz w:val="24"/>
          <w:szCs w:val="24"/>
        </w:rPr>
        <w:t>（详见下表）</w:t>
      </w:r>
    </w:p>
    <w:p w14:paraId="5211BCDC">
      <w:pPr>
        <w:spacing w:line="360" w:lineRule="auto"/>
        <w:outlineLvl w:val="3"/>
        <w:rPr>
          <w:rFonts w:hint="default" w:ascii="宋体" w:hAnsi="宋体" w:eastAsia="宋体" w:cs="宋体"/>
          <w:sz w:val="24"/>
          <w:szCs w:val="24"/>
          <w:lang w:val="en-US"/>
        </w:rPr>
      </w:pPr>
      <w:r>
        <w:rPr>
          <w:rFonts w:hint="eastAsia" w:ascii="宋体" w:hAnsi="宋体" w:eastAsia="宋体" w:cs="宋体"/>
          <w:b/>
          <w:sz w:val="24"/>
          <w:szCs w:val="24"/>
        </w:rPr>
        <w:t>二、货物数量：</w:t>
      </w:r>
      <w:r>
        <w:rPr>
          <w:rFonts w:hint="eastAsia" w:ascii="宋体" w:hAnsi="宋体" w:eastAsia="宋体" w:cs="宋体"/>
          <w:b/>
          <w:sz w:val="24"/>
          <w:szCs w:val="24"/>
          <w:u w:val="single"/>
          <w:lang w:val="en-US" w:eastAsia="zh-CN"/>
        </w:rPr>
        <w:t>6台</w:t>
      </w:r>
    </w:p>
    <w:p w14:paraId="4C6B755F">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D97C6DF">
      <w:pPr>
        <w:spacing w:line="360" w:lineRule="auto"/>
        <w:outlineLvl w:val="3"/>
        <w:rPr>
          <w:rFonts w:ascii="宋体" w:hAnsi="宋体" w:eastAsia="宋体" w:cs="宋体"/>
          <w:b/>
          <w:sz w:val="24"/>
          <w:szCs w:val="24"/>
        </w:rPr>
      </w:pPr>
      <w:r>
        <w:rPr>
          <w:rFonts w:hint="eastAsia" w:ascii="宋体" w:hAnsi="宋体" w:eastAsia="宋体" w:cs="宋体"/>
          <w:b/>
          <w:sz w:val="24"/>
          <w:szCs w:val="24"/>
        </w:rPr>
        <w:t>四、清单及基本技术参数表：</w:t>
      </w:r>
    </w:p>
    <w:p w14:paraId="28E592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济南橡塑件有限公司</w:t>
      </w:r>
      <w:r>
        <w:rPr>
          <w:rFonts w:hint="eastAsia" w:ascii="宋体" w:hAnsi="宋体" w:eastAsia="宋体" w:cs="宋体"/>
          <w:sz w:val="24"/>
          <w:szCs w:val="24"/>
          <w:lang w:val="en-US" w:eastAsia="zh-CN"/>
        </w:rPr>
        <w:t>线束线</w:t>
      </w:r>
      <w:r>
        <w:rPr>
          <w:rFonts w:hint="eastAsia" w:ascii="宋体" w:hAnsi="宋体" w:eastAsia="宋体" w:cs="宋体"/>
          <w:sz w:val="24"/>
          <w:szCs w:val="24"/>
        </w:rPr>
        <w:t>新建</w:t>
      </w:r>
      <w:r>
        <w:rPr>
          <w:rFonts w:hint="eastAsia" w:ascii="宋体" w:hAnsi="宋体" w:eastAsia="宋体" w:cs="宋体"/>
          <w:sz w:val="24"/>
          <w:szCs w:val="24"/>
          <w:lang w:val="en-US" w:eastAsia="zh-CN"/>
        </w:rPr>
        <w:t>护套喷码机6台（3台白墨、3台黑墨）</w:t>
      </w:r>
      <w:r>
        <w:rPr>
          <w:rFonts w:hint="eastAsia" w:ascii="宋体" w:hAnsi="宋体" w:eastAsia="宋体" w:cs="宋体"/>
          <w:sz w:val="24"/>
          <w:szCs w:val="24"/>
        </w:rPr>
        <w:t>,交钥匙工程（含设计、制造、安装、调试、验收等）。</w:t>
      </w:r>
    </w:p>
    <w:p w14:paraId="58B6D4D9">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130"/>
        <w:tblW w:w="8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159"/>
        <w:gridCol w:w="1079"/>
        <w:gridCol w:w="900"/>
        <w:gridCol w:w="725"/>
        <w:gridCol w:w="3447"/>
      </w:tblGrid>
      <w:tr w14:paraId="40645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52" w:type="dxa"/>
            <w:vAlign w:val="top"/>
          </w:tcPr>
          <w:p w14:paraId="734B5A2F">
            <w:pPr>
              <w:pStyle w:val="138"/>
              <w:spacing w:before="111" w:line="216" w:lineRule="auto"/>
              <w:ind w:left="119"/>
              <w:rPr>
                <w:sz w:val="21"/>
                <w:szCs w:val="21"/>
              </w:rPr>
            </w:pPr>
            <w:r>
              <w:rPr>
                <w:spacing w:val="-2"/>
                <w:sz w:val="21"/>
                <w:szCs w:val="21"/>
              </w:rPr>
              <w:t>序号</w:t>
            </w:r>
          </w:p>
        </w:tc>
        <w:tc>
          <w:tcPr>
            <w:tcW w:w="2159" w:type="dxa"/>
            <w:vAlign w:val="top"/>
          </w:tcPr>
          <w:p w14:paraId="7562DCB8">
            <w:pPr>
              <w:pStyle w:val="138"/>
              <w:spacing w:before="111" w:line="216" w:lineRule="auto"/>
              <w:ind w:left="875"/>
              <w:rPr>
                <w:sz w:val="21"/>
                <w:szCs w:val="21"/>
              </w:rPr>
            </w:pPr>
            <w:r>
              <w:rPr>
                <w:spacing w:val="-3"/>
                <w:sz w:val="21"/>
                <w:szCs w:val="21"/>
              </w:rPr>
              <w:t>名称</w:t>
            </w:r>
          </w:p>
        </w:tc>
        <w:tc>
          <w:tcPr>
            <w:tcW w:w="1079" w:type="dxa"/>
            <w:vAlign w:val="top"/>
          </w:tcPr>
          <w:p w14:paraId="5842FB12">
            <w:pPr>
              <w:pStyle w:val="138"/>
              <w:spacing w:before="111" w:line="216" w:lineRule="auto"/>
              <w:ind w:left="129"/>
              <w:rPr>
                <w:sz w:val="21"/>
                <w:szCs w:val="21"/>
              </w:rPr>
            </w:pPr>
            <w:r>
              <w:rPr>
                <w:spacing w:val="-3"/>
                <w:sz w:val="21"/>
                <w:szCs w:val="21"/>
              </w:rPr>
              <w:t>型号规格</w:t>
            </w:r>
          </w:p>
        </w:tc>
        <w:tc>
          <w:tcPr>
            <w:tcW w:w="900" w:type="dxa"/>
            <w:vAlign w:val="top"/>
          </w:tcPr>
          <w:p w14:paraId="0EDDC03B">
            <w:pPr>
              <w:pStyle w:val="138"/>
              <w:spacing w:before="111" w:line="216" w:lineRule="auto"/>
              <w:ind w:left="248"/>
              <w:rPr>
                <w:sz w:val="21"/>
                <w:szCs w:val="21"/>
              </w:rPr>
            </w:pPr>
            <w:r>
              <w:rPr>
                <w:spacing w:val="-2"/>
                <w:sz w:val="21"/>
                <w:szCs w:val="21"/>
              </w:rPr>
              <w:t>单位</w:t>
            </w:r>
          </w:p>
        </w:tc>
        <w:tc>
          <w:tcPr>
            <w:tcW w:w="725" w:type="dxa"/>
            <w:vAlign w:val="top"/>
          </w:tcPr>
          <w:p w14:paraId="0C66004E">
            <w:pPr>
              <w:pStyle w:val="138"/>
              <w:spacing w:before="111" w:line="216" w:lineRule="auto"/>
              <w:ind w:left="159"/>
              <w:rPr>
                <w:sz w:val="21"/>
                <w:szCs w:val="21"/>
              </w:rPr>
            </w:pPr>
            <w:r>
              <w:rPr>
                <w:spacing w:val="-2"/>
                <w:sz w:val="21"/>
                <w:szCs w:val="21"/>
              </w:rPr>
              <w:t>数量</w:t>
            </w:r>
          </w:p>
        </w:tc>
        <w:tc>
          <w:tcPr>
            <w:tcW w:w="3447" w:type="dxa"/>
            <w:vAlign w:val="top"/>
          </w:tcPr>
          <w:p w14:paraId="642D4D5A">
            <w:pPr>
              <w:pStyle w:val="138"/>
              <w:spacing w:before="111" w:line="216" w:lineRule="auto"/>
              <w:ind w:left="836"/>
              <w:rPr>
                <w:sz w:val="21"/>
                <w:szCs w:val="21"/>
              </w:rPr>
            </w:pPr>
            <w:r>
              <w:rPr>
                <w:spacing w:val="-2"/>
                <w:sz w:val="21"/>
                <w:szCs w:val="21"/>
              </w:rPr>
              <w:t>安装地点/服务对象</w:t>
            </w:r>
          </w:p>
        </w:tc>
      </w:tr>
      <w:tr w14:paraId="63955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652" w:type="dxa"/>
            <w:vAlign w:val="top"/>
          </w:tcPr>
          <w:p w14:paraId="10CC0245">
            <w:pPr>
              <w:spacing w:line="253" w:lineRule="auto"/>
              <w:rPr>
                <w:rFonts w:ascii="Arial"/>
                <w:sz w:val="21"/>
              </w:rPr>
            </w:pPr>
          </w:p>
          <w:p w14:paraId="5DA53E3B">
            <w:pPr>
              <w:pStyle w:val="138"/>
              <w:spacing w:before="68" w:line="183" w:lineRule="auto"/>
              <w:ind w:left="294"/>
              <w:rPr>
                <w:sz w:val="21"/>
                <w:szCs w:val="21"/>
              </w:rPr>
            </w:pPr>
            <w:r>
              <w:rPr>
                <w:sz w:val="21"/>
                <w:szCs w:val="21"/>
              </w:rPr>
              <w:t>1</w:t>
            </w:r>
          </w:p>
        </w:tc>
        <w:tc>
          <w:tcPr>
            <w:tcW w:w="2159" w:type="dxa"/>
            <w:vAlign w:val="top"/>
          </w:tcPr>
          <w:p w14:paraId="6D2F9743">
            <w:pPr>
              <w:pStyle w:val="138"/>
              <w:spacing w:before="288" w:line="220" w:lineRule="auto"/>
              <w:ind w:left="269"/>
              <w:rPr>
                <w:rFonts w:hint="default" w:eastAsia="宋体"/>
                <w:sz w:val="21"/>
                <w:szCs w:val="21"/>
                <w:lang w:val="en-US" w:eastAsia="zh-CN"/>
              </w:rPr>
            </w:pPr>
            <w:r>
              <w:rPr>
                <w:rFonts w:hint="eastAsia"/>
                <w:spacing w:val="-4"/>
                <w:sz w:val="21"/>
                <w:szCs w:val="21"/>
                <w:u w:val="single" w:color="auto"/>
                <w:shd w:val="clear" w:fill="E5E5E5"/>
                <w:lang w:val="en-US" w:eastAsia="zh-CN"/>
              </w:rPr>
              <w:t>护套喷码机</w:t>
            </w:r>
          </w:p>
        </w:tc>
        <w:tc>
          <w:tcPr>
            <w:tcW w:w="1079" w:type="dxa"/>
            <w:vAlign w:val="top"/>
          </w:tcPr>
          <w:p w14:paraId="3A6AB0F7">
            <w:pPr>
              <w:rPr>
                <w:rFonts w:ascii="Arial"/>
                <w:sz w:val="21"/>
              </w:rPr>
            </w:pPr>
          </w:p>
        </w:tc>
        <w:tc>
          <w:tcPr>
            <w:tcW w:w="900" w:type="dxa"/>
            <w:vAlign w:val="top"/>
          </w:tcPr>
          <w:p w14:paraId="50786220">
            <w:pPr>
              <w:pStyle w:val="138"/>
              <w:spacing w:before="288" w:line="223" w:lineRule="auto"/>
              <w:ind w:left="365"/>
              <w:rPr>
                <w:sz w:val="21"/>
                <w:szCs w:val="21"/>
              </w:rPr>
            </w:pPr>
            <w:r>
              <w:rPr>
                <w:sz w:val="21"/>
                <w:szCs w:val="21"/>
              </w:rPr>
              <w:t>台</w:t>
            </w:r>
          </w:p>
        </w:tc>
        <w:tc>
          <w:tcPr>
            <w:tcW w:w="725" w:type="dxa"/>
            <w:vAlign w:val="top"/>
          </w:tcPr>
          <w:p w14:paraId="3C6F5866">
            <w:pPr>
              <w:spacing w:line="253" w:lineRule="auto"/>
              <w:rPr>
                <w:rFonts w:ascii="Arial"/>
                <w:sz w:val="21"/>
              </w:rPr>
            </w:pPr>
          </w:p>
          <w:p w14:paraId="61A9151D">
            <w:pPr>
              <w:pStyle w:val="138"/>
              <w:spacing w:before="68" w:line="183" w:lineRule="auto"/>
              <w:ind w:left="332"/>
              <w:rPr>
                <w:rFonts w:hint="default" w:eastAsia="宋体"/>
                <w:sz w:val="21"/>
                <w:szCs w:val="21"/>
                <w:lang w:val="en-US" w:eastAsia="zh-CN"/>
              </w:rPr>
            </w:pPr>
            <w:r>
              <w:rPr>
                <w:rFonts w:hint="eastAsia"/>
                <w:sz w:val="21"/>
                <w:szCs w:val="21"/>
                <w:lang w:val="en-US" w:eastAsia="zh-CN"/>
              </w:rPr>
              <w:t>6</w:t>
            </w:r>
          </w:p>
        </w:tc>
        <w:tc>
          <w:tcPr>
            <w:tcW w:w="3447" w:type="dxa"/>
            <w:vAlign w:val="top"/>
          </w:tcPr>
          <w:p w14:paraId="1D8563DE">
            <w:pPr>
              <w:pStyle w:val="138"/>
              <w:spacing w:before="108" w:line="267" w:lineRule="auto"/>
              <w:ind w:left="796" w:right="145" w:hanging="628"/>
              <w:rPr>
                <w:sz w:val="21"/>
                <w:szCs w:val="21"/>
              </w:rPr>
            </w:pPr>
            <w:r>
              <w:rPr>
                <w:spacing w:val="-2"/>
                <w:sz w:val="21"/>
                <w:szCs w:val="21"/>
              </w:rPr>
              <w:t>中国重汽集团济南橡塑件有限公司</w:t>
            </w:r>
            <w:r>
              <w:rPr>
                <w:spacing w:val="6"/>
                <w:sz w:val="21"/>
                <w:szCs w:val="21"/>
              </w:rPr>
              <w:t xml:space="preserve"> </w:t>
            </w:r>
            <w:r>
              <w:rPr>
                <w:spacing w:val="-3"/>
                <w:sz w:val="21"/>
                <w:szCs w:val="21"/>
              </w:rPr>
              <w:t>中国重汽长清工业园</w:t>
            </w:r>
          </w:p>
        </w:tc>
      </w:tr>
    </w:tbl>
    <w:p w14:paraId="66E5F724">
      <w:pPr>
        <w:jc w:val="center"/>
        <w:rPr>
          <w:rFonts w:hint="eastAsia" w:ascii="宋体" w:hAnsi="宋体" w:eastAsia="宋体" w:cs="宋体"/>
          <w:sz w:val="24"/>
          <w:szCs w:val="24"/>
        </w:rPr>
      </w:pPr>
    </w:p>
    <w:p w14:paraId="1C55D549">
      <w:pPr>
        <w:jc w:val="center"/>
        <w:rPr>
          <w:rFonts w:ascii="宋体" w:hAnsi="宋体" w:eastAsia="宋体" w:cs="宋体"/>
          <w:sz w:val="24"/>
          <w:szCs w:val="24"/>
        </w:rPr>
      </w:pPr>
      <w:r>
        <w:rPr>
          <w:rFonts w:hint="eastAsia" w:ascii="宋体" w:hAnsi="宋体" w:eastAsia="宋体" w:cs="宋体"/>
          <w:sz w:val="24"/>
          <w:szCs w:val="24"/>
        </w:rPr>
        <w:t>（注：投标时需注明各部分为本地供货或原装进口）</w:t>
      </w:r>
    </w:p>
    <w:p w14:paraId="1BC2370D"/>
    <w:p w14:paraId="35F335C4">
      <w:pPr>
        <w:spacing w:line="360" w:lineRule="auto"/>
        <w:ind w:firstLine="480" w:firstLineChars="200"/>
        <w:rPr>
          <w:rFonts w:ascii="宋体" w:hAnsi="宋体" w:eastAsia="宋体" w:cs="宋体"/>
          <w:bCs/>
          <w:sz w:val="24"/>
          <w:szCs w:val="24"/>
        </w:rPr>
      </w:pPr>
      <w:r>
        <w:rPr>
          <w:rFonts w:hint="eastAsia" w:ascii="宋体" w:hAnsi="宋体" w:eastAsia="宋体" w:cs="宋体"/>
          <w:color w:val="000000"/>
          <w:sz w:val="24"/>
          <w:szCs w:val="24"/>
          <w:lang w:val="en-US" w:eastAsia="zh-CN"/>
        </w:rPr>
        <w:t>备注：</w:t>
      </w:r>
      <w:r>
        <w:rPr>
          <w:rFonts w:hint="eastAsia" w:ascii="宋体" w:hAnsi="宋体" w:eastAsia="宋体" w:cs="宋体"/>
          <w:color w:val="000000"/>
          <w:sz w:val="24"/>
          <w:szCs w:val="24"/>
        </w:rPr>
        <w:t>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0A0A2127">
      <w:pPr>
        <w:spacing w:line="360" w:lineRule="auto"/>
        <w:outlineLvl w:val="3"/>
        <w:rPr>
          <w:rFonts w:ascii="宋体" w:hAnsi="宋体" w:eastAsia="宋体" w:cs="宋体"/>
          <w:b/>
          <w:sz w:val="24"/>
          <w:szCs w:val="24"/>
        </w:rPr>
      </w:pPr>
      <w:r>
        <w:rPr>
          <w:rFonts w:hint="eastAsia" w:ascii="宋体" w:hAnsi="宋体" w:eastAsia="宋体" w:cs="宋体"/>
          <w:b/>
          <w:sz w:val="24"/>
          <w:szCs w:val="24"/>
        </w:rPr>
        <w:t>五、采购货物特别说明</w:t>
      </w:r>
    </w:p>
    <w:tbl>
      <w:tblPr>
        <w:tblStyle w:val="38"/>
        <w:tblW w:w="90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0"/>
        <w:gridCol w:w="2043"/>
        <w:gridCol w:w="2245"/>
        <w:gridCol w:w="2440"/>
        <w:gridCol w:w="1390"/>
      </w:tblGrid>
      <w:tr w14:paraId="768D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940"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171829D4">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序号</w:t>
            </w:r>
          </w:p>
        </w:tc>
        <w:tc>
          <w:tcPr>
            <w:tcW w:w="2043" w:type="dxa"/>
            <w:tcBorders>
              <w:top w:val="single" w:color="000000" w:sz="8" w:space="0"/>
              <w:left w:val="nil"/>
              <w:bottom w:val="single" w:color="auto" w:sz="4" w:space="0"/>
              <w:right w:val="single" w:color="000000" w:sz="8" w:space="0"/>
            </w:tcBorders>
            <w:shd w:val="clear" w:color="auto" w:fill="auto"/>
            <w:vAlign w:val="center"/>
          </w:tcPr>
          <w:p w14:paraId="231FDA83">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类别</w:t>
            </w:r>
          </w:p>
        </w:tc>
        <w:tc>
          <w:tcPr>
            <w:tcW w:w="2245" w:type="dxa"/>
            <w:tcBorders>
              <w:top w:val="single" w:color="000000" w:sz="8" w:space="0"/>
              <w:left w:val="nil"/>
              <w:bottom w:val="single" w:color="auto" w:sz="4" w:space="0"/>
              <w:right w:val="single" w:color="000000" w:sz="8" w:space="0"/>
            </w:tcBorders>
            <w:shd w:val="clear" w:color="auto" w:fill="auto"/>
            <w:noWrap/>
            <w:vAlign w:val="center"/>
          </w:tcPr>
          <w:p w14:paraId="006261E8">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名称</w:t>
            </w:r>
          </w:p>
        </w:tc>
        <w:tc>
          <w:tcPr>
            <w:tcW w:w="2440" w:type="dxa"/>
            <w:tcBorders>
              <w:top w:val="single" w:color="000000" w:sz="8" w:space="0"/>
              <w:left w:val="nil"/>
              <w:bottom w:val="single" w:color="auto" w:sz="4" w:space="0"/>
              <w:right w:val="single" w:color="000000" w:sz="8" w:space="0"/>
            </w:tcBorders>
            <w:shd w:val="clear" w:color="auto" w:fill="auto"/>
            <w:noWrap/>
            <w:vAlign w:val="center"/>
          </w:tcPr>
          <w:p w14:paraId="7C782D4E">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品牌或材料</w:t>
            </w:r>
          </w:p>
        </w:tc>
        <w:tc>
          <w:tcPr>
            <w:tcW w:w="1390" w:type="dxa"/>
            <w:tcBorders>
              <w:top w:val="single" w:color="000000" w:sz="8" w:space="0"/>
              <w:left w:val="nil"/>
              <w:bottom w:val="single" w:color="auto" w:sz="4" w:space="0"/>
              <w:right w:val="single" w:color="000000" w:sz="8" w:space="0"/>
            </w:tcBorders>
            <w:shd w:val="clear" w:color="auto" w:fill="auto"/>
            <w:noWrap/>
            <w:vAlign w:val="center"/>
          </w:tcPr>
          <w:p w14:paraId="3E9B7A39">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备注</w:t>
            </w:r>
          </w:p>
        </w:tc>
      </w:tr>
      <w:tr w14:paraId="1C46D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68ACEC">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1</w:t>
            </w:r>
          </w:p>
        </w:tc>
        <w:tc>
          <w:tcPr>
            <w:tcW w:w="20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450F81">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护套喷码机</w:t>
            </w:r>
          </w:p>
        </w:tc>
        <w:tc>
          <w:tcPr>
            <w:tcW w:w="22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6FC738">
            <w:pPr>
              <w:autoSpaceDE w:val="0"/>
              <w:autoSpaceDN w:val="0"/>
              <w:adjustRightInd w:val="0"/>
              <w:jc w:val="center"/>
              <w:rPr>
                <w:rFonts w:hint="default" w:ascii="宋体" w:hAnsi="宋体" w:eastAsia="宋体" w:cstheme="minorBidi"/>
                <w:kern w:val="2"/>
                <w:sz w:val="18"/>
                <w:szCs w:val="18"/>
                <w:lang w:val="en-US" w:eastAsia="zh-CN" w:bidi="ar-SA"/>
              </w:rPr>
            </w:pPr>
            <w:r>
              <w:rPr>
                <w:rFonts w:hint="eastAsia" w:ascii="宋体" w:hAnsi="宋体"/>
                <w:sz w:val="18"/>
                <w:szCs w:val="18"/>
                <w:lang w:val="en-US" w:eastAsia="zh-CN"/>
              </w:rPr>
              <w:t>喷头</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64A86">
            <w:pPr>
              <w:autoSpaceDE w:val="0"/>
              <w:autoSpaceDN w:val="0"/>
              <w:adjustRightInd w:val="0"/>
              <w:jc w:val="center"/>
              <w:rPr>
                <w:rFonts w:hint="default" w:ascii="宋体" w:hAnsi="宋体" w:eastAsia="宋体" w:cstheme="minorBidi"/>
                <w:kern w:val="2"/>
                <w:sz w:val="18"/>
                <w:szCs w:val="18"/>
                <w:lang w:val="en-US" w:eastAsia="zh-CN" w:bidi="ar-SA"/>
              </w:rPr>
            </w:pPr>
            <w:r>
              <w:rPr>
                <w:rFonts w:hint="eastAsia" w:ascii="宋体" w:hAnsi="宋体"/>
                <w:sz w:val="18"/>
                <w:szCs w:val="18"/>
                <w:lang w:val="en-US" w:eastAsia="zh-CN"/>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5B0884C6">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p>
        </w:tc>
      </w:tr>
      <w:tr w14:paraId="55A0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7F2D15">
            <w:pPr>
              <w:keepNext w:val="0"/>
              <w:keepLines w:val="0"/>
              <w:widowControl/>
              <w:suppressLineNumbers w:val="0"/>
              <w:jc w:val="center"/>
              <w:textAlignment w:val="center"/>
              <w:rPr>
                <w:rFonts w:hint="default" w:ascii="等线" w:hAnsi="等线" w:eastAsia="等线" w:cs="等线"/>
                <w:b/>
                <w:bCs/>
                <w:i w:val="0"/>
                <w:iCs w:val="0"/>
                <w:color w:val="000000"/>
                <w:kern w:val="0"/>
                <w:sz w:val="18"/>
                <w:szCs w:val="18"/>
                <w:u w:val="none"/>
                <w:lang w:val="en-US" w:eastAsia="zh-CN" w:bidi="ar"/>
              </w:rPr>
            </w:pPr>
            <w:r>
              <w:rPr>
                <w:rFonts w:hint="eastAsia" w:ascii="等线" w:hAnsi="等线" w:eastAsia="等线" w:cs="等线"/>
                <w:b/>
                <w:bCs/>
                <w:i w:val="0"/>
                <w:iCs w:val="0"/>
                <w:color w:val="000000"/>
                <w:kern w:val="0"/>
                <w:sz w:val="18"/>
                <w:szCs w:val="18"/>
                <w:u w:val="none"/>
                <w:lang w:val="en-US" w:eastAsia="zh-CN" w:bidi="ar"/>
              </w:rPr>
              <w:t>2</w:t>
            </w:r>
          </w:p>
        </w:tc>
        <w:tc>
          <w:tcPr>
            <w:tcW w:w="20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84CFBF">
            <w:pPr>
              <w:jc w:val="center"/>
              <w:rPr>
                <w:rFonts w:hint="eastAsia" w:ascii="等线" w:hAnsi="等线" w:eastAsia="等线" w:cs="等线"/>
                <w:b/>
                <w:bCs/>
                <w:i w:val="0"/>
                <w:iCs w:val="0"/>
                <w:color w:val="000000"/>
                <w:sz w:val="18"/>
                <w:szCs w:val="18"/>
                <w:u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15483E">
            <w:pPr>
              <w:autoSpaceDE w:val="0"/>
              <w:autoSpaceDN w:val="0"/>
              <w:adjustRightIn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油墨组件</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F4762E">
            <w:pPr>
              <w:autoSpaceDE w:val="0"/>
              <w:autoSpaceDN w:val="0"/>
              <w:adjustRightInd w:val="0"/>
              <w:jc w:val="center"/>
              <w:rPr>
                <w:rFonts w:hint="default" w:ascii="宋体" w:hAnsi="宋体" w:eastAsia="宋体"/>
                <w:sz w:val="18"/>
                <w:szCs w:val="18"/>
                <w:lang w:val="en-US" w:eastAsia="zh-CN"/>
              </w:rPr>
            </w:pPr>
            <w:r>
              <w:rPr>
                <w:rFonts w:hint="eastAsia" w:ascii="宋体" w:hAnsi="宋体"/>
                <w:sz w:val="18"/>
                <w:szCs w:val="18"/>
                <w:lang w:val="en-US" w:eastAsia="zh-CN"/>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60CAF54A">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p>
        </w:tc>
      </w:tr>
      <w:tr w14:paraId="1DF99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270AAE">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3</w:t>
            </w:r>
          </w:p>
        </w:tc>
        <w:tc>
          <w:tcPr>
            <w:tcW w:w="20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6A7E9B">
            <w:pPr>
              <w:jc w:val="center"/>
              <w:rPr>
                <w:rFonts w:hint="eastAsia" w:ascii="等线" w:hAnsi="等线" w:eastAsia="等线" w:cs="等线"/>
                <w:b/>
                <w:bCs/>
                <w:i w:val="0"/>
                <w:iCs w:val="0"/>
                <w:color w:val="000000"/>
                <w:sz w:val="18"/>
                <w:szCs w:val="18"/>
                <w:u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B386E">
            <w:pPr>
              <w:autoSpaceDE w:val="0"/>
              <w:autoSpaceDN w:val="0"/>
              <w:adjustRightInd w:val="0"/>
              <w:jc w:val="center"/>
              <w:rPr>
                <w:rFonts w:hint="default"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主板</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ABC3EA">
            <w:pPr>
              <w:autoSpaceDE w:val="0"/>
              <w:autoSpaceDN w:val="0"/>
              <w:adjustRightInd w:val="0"/>
              <w:jc w:val="center"/>
              <w:rPr>
                <w:rFonts w:hint="default" w:ascii="宋体" w:hAnsi="宋体" w:eastAsia="宋体" w:cstheme="minorBidi"/>
                <w:kern w:val="2"/>
                <w:sz w:val="18"/>
                <w:szCs w:val="18"/>
                <w:lang w:val="en-US" w:eastAsia="zh-CN" w:bidi="ar-SA"/>
              </w:rPr>
            </w:pPr>
            <w:r>
              <w:rPr>
                <w:rFonts w:hint="eastAsia" w:ascii="宋体" w:hAnsi="宋体"/>
                <w:sz w:val="18"/>
                <w:szCs w:val="18"/>
                <w:lang w:val="en-US" w:eastAsia="zh-CN"/>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14:paraId="07921B81">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p>
        </w:tc>
      </w:tr>
    </w:tbl>
    <w:p w14:paraId="232DAC10">
      <w:pPr>
        <w:widowControl/>
        <w:jc w:val="center"/>
      </w:pPr>
    </w:p>
    <w:p w14:paraId="4FF4A7A9">
      <w:pPr>
        <w:spacing w:line="360" w:lineRule="auto"/>
        <w:ind w:firstLine="480" w:firstLineChars="200"/>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1D3C3BD">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57BA5B63">
      <w:pPr>
        <w:pStyle w:val="11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2A294A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707237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BC8B2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6FA1B5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E9A56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15901E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466D25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24E4E541">
      <w:pPr>
        <w:pStyle w:val="115"/>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357CD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投标方所供的货物，必须符合中国最新版的法律、法规和相关标准、规范的要求，符合项 目所在地政府有关特殊要求。</w:t>
      </w:r>
    </w:p>
    <w:p w14:paraId="17235A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投标方所供货物涉及的、招标方有权使用的专利权技术以及知识产权保护的其它技术等， 应保证招标方不因此受到任何侵权指控以及实际损失。</w:t>
      </w:r>
    </w:p>
    <w:p w14:paraId="4B7ED4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投标方应保证所供货物的先进性、可靠性、经济性和实用性，并为全新货物（或设备）。</w:t>
      </w:r>
    </w:p>
    <w:p w14:paraId="29ACCA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投标方应满足招标方提出的各项技术要求，必要时应当免费提供技术承诺或担保。</w:t>
      </w:r>
    </w:p>
    <w:p w14:paraId="204D9E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投标方应保证所供货物为中国公布的非淘汰货物，并为中国指定或规定的主管部门认可的 环保型和节能型货物；招标的中标货物不接受试验品（提供证据），还应是原产地的货物。</w:t>
      </w:r>
    </w:p>
    <w:p w14:paraId="17C3B2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投标方保证所供货物的完整性和成套性，能保证货物的正常运行、使用。</w:t>
      </w:r>
    </w:p>
    <w:p w14:paraId="3E3175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投标方对招标方招标货物所涉及的技术、能力等信息负有保密义务，特殊项目应当无条件 签署保密协议。</w:t>
      </w:r>
    </w:p>
    <w:p w14:paraId="04EC74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投标方应保证所供货物，必须符合《机械制造企业安全生产标准化》各项要求。确保货物 在使用管理过程中满足《职业健康安全管理体系》、《环境管理体系》等方面的规范及国家标准要求；</w:t>
      </w:r>
    </w:p>
    <w:p w14:paraId="108B87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必须提供所供货物相应的安全操作规程。</w:t>
      </w:r>
    </w:p>
    <w:p w14:paraId="432813D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9.设备用能设计基本要求：</w:t>
      </w:r>
    </w:p>
    <w:p w14:paraId="42951F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 任何用能设备均应遵循《能源管理体系要求》（GB/T23331-2012）的相关规定，并在《能 源管理体系要求》下开展设备的采购、维护、保养、淘汰更换等工作。</w:t>
      </w:r>
    </w:p>
    <w:p w14:paraId="416FC8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 为方便用能设备的计量统计，新增采购设备应在《用能单位能源计量器具配备和管理通 则》（GB17167-2006）指导下配备符合相应要求的能源计量器具。</w:t>
      </w:r>
    </w:p>
    <w:p w14:paraId="117CF6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 供方应确保各类机电设备（产品）无《高耗能机电设备（产品）淘汰目录（第一批）》、 《高耗能机电设备（产品）淘汰目录（第二批）》、《高耗能机电设备（产品）淘汰目录（第三批）》 所罗列的各类淘汰机电设备（产品）。</w:t>
      </w:r>
    </w:p>
    <w:p w14:paraId="71CA38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在各类机电设备（产品） 的采购过程中应优先选用符合《节能机电设备（产品）推荐目 录（第四批）》的机电设备（产品）。</w:t>
      </w:r>
    </w:p>
    <w:p w14:paraId="26A267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 供方应确保设备的附属各类机电设备、设施（如：电机、风机、电器控制系统、润滑、 保温隔热、照明、湿度等等）符合国家现行的相关专项标准要求。</w:t>
      </w:r>
    </w:p>
    <w:p w14:paraId="091321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设备使用仪表和自控设备要求：</w:t>
      </w:r>
    </w:p>
    <w:p w14:paraId="726FE4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10.1、设备使用仪表通用技术要求:</w:t>
      </w:r>
    </w:p>
    <w:p w14:paraId="3074CC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"1.10.1.1" </w:instrText>
      </w:r>
      <w:r>
        <w:rPr>
          <w:rFonts w:hint="eastAsia" w:ascii="宋体" w:hAnsi="宋体" w:eastAsia="宋体" w:cs="宋体"/>
          <w:sz w:val="24"/>
          <w:szCs w:val="24"/>
        </w:rPr>
        <w:fldChar w:fldCharType="separate"/>
      </w:r>
      <w:r>
        <w:rPr>
          <w:rFonts w:hint="eastAsia" w:ascii="宋体" w:hAnsi="宋体" w:eastAsia="宋体" w:cs="宋体"/>
          <w:sz w:val="24"/>
          <w:szCs w:val="24"/>
        </w:rPr>
        <w:t>10.1.1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投标人及供货商应保证所提供的仪表和自控设备，完全符合或高于本文通用技术要 求及相应产品技术规范的要求，并应保证其供应产品在本工程指明的环境条件下能够长期安全、正 常地运行。</w:t>
      </w:r>
    </w:p>
    <w:p w14:paraId="21406E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"1.10.1.2" </w:instrText>
      </w:r>
      <w:r>
        <w:rPr>
          <w:rFonts w:hint="eastAsia" w:ascii="宋体" w:hAnsi="宋体" w:eastAsia="宋体" w:cs="宋体"/>
          <w:sz w:val="24"/>
          <w:szCs w:val="24"/>
        </w:rPr>
        <w:fldChar w:fldCharType="separate"/>
      </w:r>
      <w:r>
        <w:rPr>
          <w:rFonts w:hint="eastAsia" w:ascii="宋体" w:hAnsi="宋体" w:eastAsia="宋体" w:cs="宋体"/>
          <w:sz w:val="24"/>
          <w:szCs w:val="24"/>
        </w:rPr>
        <w:t>10.1.2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投标人及供货商所提供的产品，应符合中华人民共和国国家质量监督检验检疫总局 发布的《强制性产品认证管理规定》(AQSIQ)的要求，请投标人及供货商确认其投标产品是否包括在 《中华人民共和国实施强制性产品认证的产品目录》内。无论任何原因造成的不良后果均由投标人 及供货商负责。投标人或设备制造商同时具有 ISO9001 质量管理体系认证证书、OHSAS18000 职业健 康安全管理体系认证 ISO20000 信息技术服务管理体系认证证书、ISO14001环境管理体系认证证书。</w:t>
      </w:r>
    </w:p>
    <w:p w14:paraId="410657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"1.10.1.3" </w:instrText>
      </w:r>
      <w:r>
        <w:rPr>
          <w:rFonts w:hint="eastAsia" w:ascii="宋体" w:hAnsi="宋体" w:eastAsia="宋体" w:cs="宋体"/>
          <w:sz w:val="24"/>
          <w:szCs w:val="24"/>
        </w:rPr>
        <w:fldChar w:fldCharType="separate"/>
      </w:r>
      <w:r>
        <w:rPr>
          <w:rFonts w:hint="eastAsia" w:ascii="宋体" w:hAnsi="宋体" w:eastAsia="宋体" w:cs="宋体"/>
          <w:sz w:val="24"/>
          <w:szCs w:val="24"/>
        </w:rPr>
        <w:t>10.1.3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仪表、自控设备以及其附件所需电源，应符合产品技术规范提出的配电要求。在运 输和储存期间，仪表和自控设备外壳上，凡用于连接的所有接口及孔、洞、附件应用堵头进行保护， 并应清楚地标明其用途。</w:t>
      </w:r>
    </w:p>
    <w:p w14:paraId="26958C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准确度要求:</w:t>
      </w:r>
    </w:p>
    <w:p w14:paraId="18E72E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"1.10.2.1" </w:instrText>
      </w:r>
      <w:r>
        <w:rPr>
          <w:rFonts w:hint="eastAsia" w:ascii="宋体" w:hAnsi="宋体" w:eastAsia="宋体" w:cs="宋体"/>
          <w:sz w:val="24"/>
          <w:szCs w:val="24"/>
        </w:rPr>
        <w:fldChar w:fldCharType="separate"/>
      </w:r>
      <w:r>
        <w:rPr>
          <w:rFonts w:hint="eastAsia" w:ascii="宋体" w:hAnsi="宋体" w:eastAsia="宋体" w:cs="宋体"/>
          <w:sz w:val="24"/>
          <w:szCs w:val="24"/>
        </w:rPr>
        <w:t>10.2.1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投标人及供货商所提供的仪表和自控设备应在测量原理上符合相应产品的专用技术 规格书中的要求，应保证出厂产品的实际准确度等于或优于提供的技术资料中的标称准确度。在提 供仪表和自控设备的同时，应附上该产品的出厂测试报告或产品合格证书。</w:t>
      </w:r>
    </w:p>
    <w:p w14:paraId="052F44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"1.10.2.2" </w:instrText>
      </w:r>
      <w:r>
        <w:rPr>
          <w:rFonts w:hint="eastAsia" w:ascii="宋体" w:hAnsi="宋体" w:eastAsia="宋体" w:cs="宋体"/>
          <w:sz w:val="24"/>
          <w:szCs w:val="24"/>
        </w:rPr>
        <w:fldChar w:fldCharType="separate"/>
      </w:r>
      <w:r>
        <w:rPr>
          <w:rFonts w:hint="eastAsia" w:ascii="宋体" w:hAnsi="宋体" w:eastAsia="宋体" w:cs="宋体"/>
          <w:sz w:val="24"/>
          <w:szCs w:val="24"/>
        </w:rPr>
        <w:t>10.2.2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仪表和自控设备的准确度应不受周围环境和安装位置的影响，任何生产过程中存在 的正常振动，不应造成测量准确度的变化。仪表和自控设备的零点和重复性应非常稳定，并符合各 专用技术规格书中的有关技术要求。</w:t>
      </w:r>
    </w:p>
    <w:p w14:paraId="27A388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11 </w:t>
      </w:r>
      <w:r>
        <w:rPr>
          <w:rFonts w:hint="eastAsia" w:ascii="宋体" w:hAnsi="宋体" w:eastAsia="宋体" w:cs="宋体"/>
          <w:sz w:val="24"/>
          <w:szCs w:val="24"/>
        </w:rPr>
        <w:t>材质要求:</w:t>
      </w:r>
    </w:p>
    <w:p w14:paraId="39A357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投标人及供货商应保证所提供的仪表和自控设备在材料的使用方面无任何设计问题，能够满足或高于实际操作和使用过程中的要求，如压力、温度、粘度、组份等 </w:t>
      </w:r>
    </w:p>
    <w:p w14:paraId="03BEDC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投标方所供设备应按“交钥匙工程”要求。</w:t>
      </w:r>
    </w:p>
    <w:p w14:paraId="63A21935">
      <w:pPr>
        <w:pStyle w:val="115"/>
        <w:spacing w:line="360" w:lineRule="auto"/>
        <w:ind w:firstLine="482" w:firstLineChars="200"/>
        <w:outlineLvl w:val="2"/>
        <w:rPr>
          <w:rFonts w:eastAsia="宋体" w:cs="宋体"/>
          <w:b/>
          <w:bCs w:val="0"/>
          <w:sz w:val="24"/>
          <w:szCs w:val="24"/>
          <w:highlight w:val="yellow"/>
        </w:rPr>
      </w:pPr>
      <w:r>
        <w:rPr>
          <w:rFonts w:hint="eastAsia" w:eastAsia="宋体" w:cs="宋体"/>
          <w:b/>
          <w:bCs w:val="0"/>
          <w:sz w:val="24"/>
          <w:szCs w:val="24"/>
          <w:highlight w:val="yellow"/>
        </w:rPr>
        <w:t>三、技术要求</w:t>
      </w:r>
    </w:p>
    <w:p w14:paraId="509FC5A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1.工艺要求</w:t>
      </w:r>
    </w:p>
    <w:p w14:paraId="1DD12F2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护套喷码机主要用于批量深色、浅色护套自动喷印图案及字符标记，保证标记清晰、易识别，提高护套标记效率，新置6台护套喷码机，其中白墨喷码机3台，用于深色护套标记喷码，黑墨喷码机3台，用于透明及白色护套标记喷码。</w:t>
      </w:r>
    </w:p>
    <w:p w14:paraId="6712377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2.主要生产单元</w:t>
      </w:r>
    </w:p>
    <w:p w14:paraId="67189254">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2.1设备主要由喷码机机体、喷头、输送带组成。</w:t>
      </w:r>
    </w:p>
    <w:p w14:paraId="266B2DB0">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2.2机体采用触摸屏操作，带有USB数据接口，操作系统界面直观、易操作，可实时显示可打印的时间和信息量，储存信息数量：≥500条。</w:t>
      </w:r>
    </w:p>
    <w:p w14:paraId="0DC435C0">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2.3可编辑、喷印的内容包括：中文、英文、数字、图形，字符行数：≤5，字符高度：1.5-10mm，喷码速度：≥4m/s。 </w:t>
      </w:r>
    </w:p>
    <w:p w14:paraId="60EDD9CC">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2.4油墨类型：适用于各种颜色护套的万能显色油墨，无需根据护套颜色调换设备，油墨密封良好，具备防呆接口。</w:t>
      </w:r>
    </w:p>
    <w:p w14:paraId="2CED4CE7">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2.5喷印分辨率：≥100dpi，搭配光电传感器，喷码高度可调，可根据喷码速度与高度自动选择字体。</w:t>
      </w:r>
    </w:p>
    <w:p w14:paraId="651EF458">
      <w:pPr>
        <w:pStyle w:val="1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2.6设备防尘/防潮等级：IP56。</w:t>
      </w:r>
    </w:p>
    <w:p w14:paraId="1FA983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2.7输送带所选用电机满足二级以上能效要求。</w:t>
      </w:r>
    </w:p>
    <w:p w14:paraId="1F1A06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2.8设备主要技术参数要求：</w:t>
      </w:r>
    </w:p>
    <w:tbl>
      <w:tblPr>
        <w:tblStyle w:val="38"/>
        <w:tblW w:w="9339" w:type="dxa"/>
        <w:jc w:val="center"/>
        <w:tblLayout w:type="fixed"/>
        <w:tblCellMar>
          <w:top w:w="0" w:type="dxa"/>
          <w:left w:w="0" w:type="dxa"/>
          <w:bottom w:w="0" w:type="dxa"/>
          <w:right w:w="0" w:type="dxa"/>
        </w:tblCellMar>
      </w:tblPr>
      <w:tblGrid>
        <w:gridCol w:w="1291"/>
        <w:gridCol w:w="8048"/>
      </w:tblGrid>
      <w:tr w14:paraId="0D624037">
        <w:tblPrEx>
          <w:tblCellMar>
            <w:top w:w="0" w:type="dxa"/>
            <w:left w:w="0" w:type="dxa"/>
            <w:bottom w:w="0" w:type="dxa"/>
            <w:right w:w="0" w:type="dxa"/>
          </w:tblCellMar>
        </w:tblPrEx>
        <w:trPr>
          <w:trHeight w:val="380" w:hRule="atLeast"/>
          <w:jc w:val="center"/>
        </w:trPr>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925A2">
            <w:pPr>
              <w:widowControl/>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kern w:val="0"/>
                <w:sz w:val="21"/>
                <w:szCs w:val="21"/>
                <w:lang w:bidi="ar"/>
              </w:rPr>
              <w:t>功能</w:t>
            </w:r>
            <w:r>
              <w:rPr>
                <w:rFonts w:hint="eastAsia" w:ascii="宋体" w:hAnsi="宋体" w:eastAsia="宋体" w:cs="宋体"/>
                <w:b/>
                <w:bCs/>
                <w:color w:val="000000"/>
                <w:kern w:val="0"/>
                <w:sz w:val="21"/>
                <w:szCs w:val="21"/>
                <w:lang w:val="en-US" w:eastAsia="zh-CN" w:bidi="ar"/>
              </w:rPr>
              <w:t>单元</w:t>
            </w:r>
          </w:p>
        </w:tc>
        <w:tc>
          <w:tcPr>
            <w:tcW w:w="8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8728D">
            <w:pPr>
              <w:widowControl/>
              <w:jc w:val="center"/>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kern w:val="0"/>
                <w:sz w:val="21"/>
                <w:szCs w:val="21"/>
                <w:lang w:val="en-US" w:eastAsia="zh-CN" w:bidi="ar"/>
              </w:rPr>
              <w:t>技术要求</w:t>
            </w:r>
          </w:p>
        </w:tc>
      </w:tr>
      <w:tr w14:paraId="334B1BA1">
        <w:tblPrEx>
          <w:tblCellMar>
            <w:top w:w="0" w:type="dxa"/>
            <w:left w:w="0" w:type="dxa"/>
            <w:bottom w:w="0" w:type="dxa"/>
            <w:right w:w="0" w:type="dxa"/>
          </w:tblCellMar>
        </w:tblPrEx>
        <w:trPr>
          <w:trHeight w:val="981"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B94A170">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喷码机机体</w:t>
            </w:r>
          </w:p>
        </w:tc>
        <w:tc>
          <w:tcPr>
            <w:tcW w:w="804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331E48B2">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操控方式：触摸屏，带有USB接口</w:t>
            </w:r>
          </w:p>
          <w:p w14:paraId="78BDD815">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实时显示剩余可打印的时间和信息量</w:t>
            </w:r>
          </w:p>
          <w:p w14:paraId="3A2B062C">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可编辑内容：多行中文、英文、数字、图形，若需使用专业软件编辑图形，厂家工程师需提供服务支持。（字符行数：≤5，字符高度：1.5-10mm）</w:t>
            </w:r>
          </w:p>
          <w:p w14:paraId="63329F48">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存储信息数量：≥500条</w:t>
            </w:r>
          </w:p>
          <w:p w14:paraId="68329DCD">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防尘/防潮等级：IP56</w:t>
            </w:r>
          </w:p>
          <w:p w14:paraId="2ECF025C">
            <w:pPr>
              <w:widowControl/>
              <w:jc w:val="left"/>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油墨类型：白墨3台/黑墨3台</w:t>
            </w:r>
          </w:p>
          <w:p w14:paraId="37D9E242">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电源：220V 50/60Hz</w:t>
            </w:r>
          </w:p>
        </w:tc>
      </w:tr>
      <w:tr w14:paraId="494998F3">
        <w:tblPrEx>
          <w:tblCellMar>
            <w:top w:w="0" w:type="dxa"/>
            <w:left w:w="0" w:type="dxa"/>
            <w:bottom w:w="0" w:type="dxa"/>
            <w:right w:w="0" w:type="dxa"/>
          </w:tblCellMar>
        </w:tblPrEx>
        <w:trPr>
          <w:trHeight w:val="2169"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0938636D">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喷头</w:t>
            </w:r>
          </w:p>
        </w:tc>
        <w:tc>
          <w:tcPr>
            <w:tcW w:w="804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6829138F">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喷码速度：≥4m/s</w:t>
            </w:r>
          </w:p>
          <w:p w14:paraId="795BF177">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喷印分辨率：≥100dpi</w:t>
            </w:r>
          </w:p>
          <w:p w14:paraId="7B375DF5">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字符行数：≤5</w:t>
            </w:r>
          </w:p>
          <w:p w14:paraId="7099F7F8">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字符高度：1.5-10mm</w:t>
            </w:r>
          </w:p>
          <w:p w14:paraId="5527FDCA">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搭配光电传感器，喷码高度可调，可根据喷码速度与高度自动选择字体</w:t>
            </w:r>
          </w:p>
          <w:p w14:paraId="0F952BB2">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具有开关机自动清洗功能</w:t>
            </w:r>
          </w:p>
          <w:p w14:paraId="441EB5E5">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采用立式可调节支架</w:t>
            </w:r>
          </w:p>
        </w:tc>
      </w:tr>
      <w:tr w14:paraId="42A26FF8">
        <w:tblPrEx>
          <w:tblCellMar>
            <w:top w:w="0" w:type="dxa"/>
            <w:left w:w="0" w:type="dxa"/>
            <w:bottom w:w="0" w:type="dxa"/>
            <w:right w:w="0" w:type="dxa"/>
          </w:tblCellMar>
        </w:tblPrEx>
        <w:trPr>
          <w:trHeight w:val="664"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A64DA0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输送带</w:t>
            </w:r>
          </w:p>
        </w:tc>
        <w:tc>
          <w:tcPr>
            <w:tcW w:w="804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188C4854">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输送带尺寸：1500*200*650</w:t>
            </w:r>
          </w:p>
          <w:p w14:paraId="51A947E7">
            <w:pPr>
              <w:widowControl/>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采用变频电机，输送带速度可根据喷码速度进行调节</w:t>
            </w:r>
          </w:p>
        </w:tc>
      </w:tr>
      <w:tr w14:paraId="1FC2FF02">
        <w:tblPrEx>
          <w:tblCellMar>
            <w:top w:w="0" w:type="dxa"/>
            <w:left w:w="0" w:type="dxa"/>
            <w:bottom w:w="0" w:type="dxa"/>
            <w:right w:w="0" w:type="dxa"/>
          </w:tblCellMar>
        </w:tblPrEx>
        <w:trPr>
          <w:trHeight w:val="664"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4656793A">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设备产能</w:t>
            </w:r>
          </w:p>
        </w:tc>
        <w:tc>
          <w:tcPr>
            <w:tcW w:w="804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BD6473C">
            <w:pPr>
              <w:widowControl/>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800-1000pcs/h</w:t>
            </w:r>
          </w:p>
        </w:tc>
      </w:tr>
    </w:tbl>
    <w:p w14:paraId="746CA0B9">
      <w:pPr>
        <w:spacing w:line="360" w:lineRule="auto"/>
        <w:rPr>
          <w:rFonts w:hint="default" w:ascii="宋体" w:hAnsi="宋体" w:eastAsia="宋体" w:cs="宋体"/>
          <w:sz w:val="24"/>
          <w:szCs w:val="24"/>
          <w:lang w:val="en-US" w:eastAsia="zh-CN"/>
        </w:rPr>
      </w:pPr>
    </w:p>
    <w:p w14:paraId="35FE9ED9">
      <w:pPr>
        <w:numPr>
          <w:ilvl w:val="0"/>
          <w:numId w:val="11"/>
        </w:numPr>
        <w:spacing w:line="360" w:lineRule="auto"/>
        <w:ind w:firstLine="482" w:firstLineChars="200"/>
        <w:rPr>
          <w:rFonts w:hint="eastAsia"/>
          <w:b/>
          <w:sz w:val="24"/>
          <w:szCs w:val="24"/>
        </w:rPr>
      </w:pPr>
      <w:r>
        <w:rPr>
          <w:rFonts w:hint="eastAsia" w:eastAsia="宋体"/>
          <w:b/>
          <w:sz w:val="24"/>
          <w:szCs w:val="24"/>
          <w:lang w:val="en-US" w:eastAsia="zh-CN"/>
        </w:rPr>
        <w:t>安环</w:t>
      </w:r>
      <w:r>
        <w:rPr>
          <w:rFonts w:hint="eastAsia"/>
          <w:b/>
          <w:sz w:val="24"/>
          <w:szCs w:val="24"/>
        </w:rPr>
        <w:t>标准要求</w:t>
      </w:r>
    </w:p>
    <w:p w14:paraId="132E86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.1设备设计制造必须符合国家及山东省相关标准，防止误操作所引起的生产、质量、安全事故。如由于乙方设计、制造等缺陷所造成的安全事故及财产损失，由乙方全部承担。</w:t>
      </w:r>
    </w:p>
    <w:p w14:paraId="333DD1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2必要时在设备外围设置安全护栏，同时留有安全门，打开安全门后设备停止运转，在设备的危险位置（机械啮合处、旋转处、运动处等可能涉及人身安全的位置）安装可靠的防护装置，贴有明显的警示标识，同时要求在说明书上标识；设备电机转向应标识清楚，在裸露的传动部位须加上防护罩等保护装置。</w:t>
      </w:r>
    </w:p>
    <w:p w14:paraId="4678C5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 管道及线路布置、色彩应规范并符合国家的相关标准，应有清晰的文字标识及流向标识，禁止杂乱交叉；设备阀门应标识在正常工作状态下，是常开或常闭；设备仪表盘符合相关行业标准、国家标准，盘面应有区域颜色区别危险、正常、异常（红色代表危险区域、黄色代表异常区域、绿色代表正常区域）。</w:t>
      </w:r>
    </w:p>
    <w:p w14:paraId="3BA86E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.4设备电气符合国家安全标准布线规范，开关容量应与设备负载匹配，具有有效的电气接地及漏电保护装置。</w:t>
      </w:r>
    </w:p>
    <w:p w14:paraId="40505F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.5设备噪音、粉尘等职业危害因素接触极限满足《工作场所有限因素职业接触限值》（GBZ2.1-2007化学有害因素及GBZ2.2-2007物理因素）要求。</w:t>
      </w:r>
    </w:p>
    <w:p w14:paraId="294F2911">
      <w:pPr>
        <w:spacing w:line="360" w:lineRule="auto"/>
        <w:ind w:firstLine="480" w:firstLineChars="200"/>
        <w:rPr>
          <w:rFonts w:hint="eastAsia"/>
          <w:b/>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.6设备采用成熟节能工艺，配套件选用节能高效产品，禁止使用明令淘汰或高能耗、落后产品，电机能效要求二级以上（含二级）。为了便于维护保养，生产线电控元件应优先选用同一品牌。</w:t>
      </w:r>
    </w:p>
    <w:p w14:paraId="3AFC74E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.关于文件及技术资料一般性要求</w:t>
      </w:r>
    </w:p>
    <w:p w14:paraId="584986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.1提供合同设备的所有技术文件和图纸资料。</w:t>
      </w:r>
    </w:p>
    <w:p w14:paraId="1734C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.2每套机械设备图纸应满足下列要求：</w:t>
      </w:r>
    </w:p>
    <w:p w14:paraId="1A6734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.2.1标明详细的结构尺寸、材料以及其它辅助设备的重量、外形、必要的剖面图；</w:t>
      </w:r>
    </w:p>
    <w:p w14:paraId="014FFC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.2.2主要部件、产品的材料、名称、型号、数量、性能等详细资料；</w:t>
      </w:r>
    </w:p>
    <w:p w14:paraId="6A45AB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.2.3润滑系统的详图及说明；</w:t>
      </w:r>
    </w:p>
    <w:p w14:paraId="33601B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.2.4配套设备的合格证、质量检验报告等相关资料。</w:t>
      </w:r>
    </w:p>
    <w:p w14:paraId="609201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.3每套电气图纸应满足下列要求：电气设备接线图至少应包括主接线、低压控制、保护信号、端子接线图。</w:t>
      </w:r>
    </w:p>
    <w:p w14:paraId="206EAC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77A3F21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.交工验收一般性要求</w:t>
      </w:r>
    </w:p>
    <w:p w14:paraId="36CA930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lang w:val="en-US" w:eastAsia="zh-CN"/>
        </w:rPr>
        <w:t>5.</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终验收在甲方所在地进行，验收按合同、技术协议、乙方提供的自检报告书以及国家相关标准进行验收，并配合完成项目安评、环保工作。</w:t>
      </w:r>
    </w:p>
    <w:p w14:paraId="42F35060">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5.2验收调试中由甲方提供每种产品10套模的配套半成品，用于产线调试，超出部分由乙方负责。</w:t>
      </w:r>
    </w:p>
    <w:p w14:paraId="1D8CE3F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.质量保证及售后服务要求</w:t>
      </w:r>
    </w:p>
    <w:p w14:paraId="021A48A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.1质量保证体系：供货方应建立贯穿整个建造过程的全面质量管理体系，用户有权要求供货方对其质量管理体系进行改进。</w:t>
      </w:r>
    </w:p>
    <w:p w14:paraId="4C2A9D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6DC329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.3交工验收完成后质量保证期为</w:t>
      </w:r>
      <w:r>
        <w:rPr>
          <w:rFonts w:hint="eastAsia" w:ascii="宋体" w:hAnsi="宋体" w:eastAsia="宋体" w:cs="宋体"/>
          <w:sz w:val="24"/>
          <w:szCs w:val="24"/>
          <w:lang w:val="en-US" w:eastAsia="zh-CN"/>
        </w:rPr>
        <w:t>12</w:t>
      </w:r>
      <w:r>
        <w:rPr>
          <w:rFonts w:hint="eastAsia" w:ascii="宋体" w:hAnsi="宋体" w:eastAsia="宋体" w:cs="宋体"/>
          <w:sz w:val="24"/>
          <w:szCs w:val="24"/>
        </w:rPr>
        <w:t>个月。</w:t>
      </w:r>
    </w:p>
    <w:p w14:paraId="24C1AC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.4所选的机械、电器元件和部件质量要有充分保证。供应商需要在国内拥有完整的售后服务体系，以便为快速服务提供充分的保障。做到有问题8小时内到达现场，主要零部件或及备件能够在24小时内立即供应。</w:t>
      </w:r>
    </w:p>
    <w:p w14:paraId="538EAA5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6.5</w:t>
      </w:r>
      <w:r>
        <w:rPr>
          <w:rFonts w:hint="eastAsia" w:ascii="宋体" w:hAnsi="宋体" w:eastAsia="宋体" w:cs="宋体"/>
          <w:sz w:val="24"/>
          <w:szCs w:val="24"/>
        </w:rPr>
        <w:t>供方提供的设备上涉及到的监视和测量设备，必须经过市级及以上国家法定计量检定部门检定/校准，并出具检定/校准证书，所需费用由供方承担。</w:t>
      </w:r>
    </w:p>
    <w:p w14:paraId="3AD7CF4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在质量保证期外，制造厂家能够继续提供良好的售后服务和维修保养方案。</w:t>
      </w:r>
    </w:p>
    <w:p w14:paraId="643986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交工验收后供货方应有定期回访，回访时间间隔不超过一年。</w:t>
      </w:r>
    </w:p>
    <w:p w14:paraId="0F29D6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供货方应向用户免费提供操作、保养、维修培训。</w:t>
      </w:r>
    </w:p>
    <w:p w14:paraId="6176E47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.备品备件和专用工具</w:t>
      </w:r>
    </w:p>
    <w:p w14:paraId="11F084E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    由供货方随机提供所有专用工具</w:t>
      </w:r>
      <w:r>
        <w:rPr>
          <w:rFonts w:hint="eastAsia" w:ascii="宋体" w:hAnsi="宋体" w:eastAsia="宋体" w:cs="宋体"/>
          <w:sz w:val="24"/>
          <w:szCs w:val="24"/>
          <w:lang w:val="en-US" w:eastAsia="zh-CN"/>
        </w:rPr>
        <w:t>及随机耗材</w:t>
      </w:r>
      <w:r>
        <w:rPr>
          <w:rFonts w:hint="eastAsia" w:ascii="宋体" w:hAnsi="宋体" w:eastAsia="宋体" w:cs="宋体"/>
          <w:sz w:val="24"/>
          <w:szCs w:val="24"/>
        </w:rPr>
        <w:t>。</w:t>
      </w:r>
    </w:p>
    <w:p w14:paraId="153777C1">
      <w:pPr>
        <w:pStyle w:val="120"/>
        <w:numPr>
          <w:ilvl w:val="0"/>
          <w:numId w:val="12"/>
        </w:numPr>
        <w:spacing w:line="360" w:lineRule="auto"/>
        <w:rPr>
          <w:rFonts w:hint="eastAsia" w:ascii="宋体" w:hAnsi="宋体" w:cs="宋体"/>
          <w:color w:val="auto"/>
        </w:rPr>
      </w:pPr>
      <w:r>
        <w:rPr>
          <w:rFonts w:hint="eastAsia" w:ascii="宋体" w:hAnsi="宋体" w:cs="宋体"/>
          <w:color w:val="auto"/>
        </w:rPr>
        <w:t>执行标准</w:t>
      </w:r>
    </w:p>
    <w:p w14:paraId="54C5F4F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1、招标方此处所列标准仅为涉及的主要标准，而且不保证其为最新版执行标准；投标方应当在 投标文件中认真予以填写、补充和修改完善。</w:t>
      </w:r>
    </w:p>
    <w:p w14:paraId="572931F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2、投标方需要执行的标准，应当采用所供货物（或生产线）通过买方组织的最终验收之日已经 开始执行的最新标准。</w:t>
      </w:r>
    </w:p>
    <w:p w14:paraId="44C4A58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3、采购货物（或生产线）的产品质量、技术标准如在招投标文件中无相应说明，则按中华人民 共和国有关部门颁发的最新的国标或专业（部）标准执行及相应的国际标准。</w:t>
      </w:r>
    </w:p>
    <w:p w14:paraId="08ACE2C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4、采购货物（或生产线）没有国家或专业（部）标准的，按企业标准执行时，卖方应在合同签 署之前，将所涉及的企业标准提供给买方确认。</w:t>
      </w:r>
    </w:p>
    <w:p w14:paraId="6555ACE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5、采购货物（或生产线）如果采用国际标准，其执行标准由投标方提供、招标方确认。</w:t>
      </w:r>
    </w:p>
    <w:p w14:paraId="3CEF07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6、采购货物（或生产线）所涉及的标准不统一时，原则上按照最严格标准执行。</w:t>
      </w:r>
    </w:p>
    <w:p w14:paraId="364541E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7、涉及的主要标准表</w:t>
      </w:r>
    </w:p>
    <w:p w14:paraId="70AC951F">
      <w:pPr>
        <w:spacing w:line="145" w:lineRule="auto"/>
        <w:rPr>
          <w:rFonts w:ascii="Arial"/>
          <w:sz w:val="2"/>
        </w:rPr>
      </w:pPr>
    </w:p>
    <w:tbl>
      <w:tblPr>
        <w:tblStyle w:val="130"/>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3850"/>
        <w:gridCol w:w="2447"/>
        <w:gridCol w:w="2059"/>
      </w:tblGrid>
      <w:tr w14:paraId="103AA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52" w:type="dxa"/>
            <w:vAlign w:val="top"/>
          </w:tcPr>
          <w:p w14:paraId="5AA23A5A">
            <w:pPr>
              <w:pStyle w:val="138"/>
              <w:spacing w:before="111" w:line="218" w:lineRule="auto"/>
              <w:ind w:left="119"/>
              <w:rPr>
                <w:sz w:val="21"/>
                <w:szCs w:val="21"/>
              </w:rPr>
            </w:pPr>
            <w:r>
              <w:rPr>
                <w:spacing w:val="-2"/>
                <w:sz w:val="21"/>
                <w:szCs w:val="21"/>
              </w:rPr>
              <w:t>序号</w:t>
            </w:r>
          </w:p>
        </w:tc>
        <w:tc>
          <w:tcPr>
            <w:tcW w:w="3850" w:type="dxa"/>
            <w:vAlign w:val="top"/>
          </w:tcPr>
          <w:p w14:paraId="737C6F30">
            <w:pPr>
              <w:pStyle w:val="138"/>
              <w:spacing w:before="111" w:line="218" w:lineRule="auto"/>
              <w:ind w:left="1509"/>
              <w:rPr>
                <w:sz w:val="21"/>
                <w:szCs w:val="21"/>
              </w:rPr>
            </w:pPr>
            <w:r>
              <w:rPr>
                <w:spacing w:val="-2"/>
                <w:sz w:val="21"/>
                <w:szCs w:val="21"/>
              </w:rPr>
              <w:t>标准名称</w:t>
            </w:r>
          </w:p>
        </w:tc>
        <w:tc>
          <w:tcPr>
            <w:tcW w:w="2447" w:type="dxa"/>
            <w:vAlign w:val="top"/>
          </w:tcPr>
          <w:p w14:paraId="39EA951E">
            <w:pPr>
              <w:pStyle w:val="138"/>
              <w:spacing w:before="111" w:line="218" w:lineRule="auto"/>
              <w:ind w:left="811"/>
              <w:rPr>
                <w:sz w:val="21"/>
                <w:szCs w:val="21"/>
              </w:rPr>
            </w:pPr>
            <w:r>
              <w:rPr>
                <w:spacing w:val="-2"/>
                <w:sz w:val="21"/>
                <w:szCs w:val="21"/>
              </w:rPr>
              <w:t>标准编号</w:t>
            </w:r>
          </w:p>
        </w:tc>
        <w:tc>
          <w:tcPr>
            <w:tcW w:w="2059" w:type="dxa"/>
            <w:vAlign w:val="top"/>
          </w:tcPr>
          <w:p w14:paraId="3638258C">
            <w:pPr>
              <w:pStyle w:val="138"/>
              <w:spacing w:before="111" w:line="218" w:lineRule="auto"/>
              <w:ind w:left="827"/>
              <w:rPr>
                <w:sz w:val="21"/>
                <w:szCs w:val="21"/>
              </w:rPr>
            </w:pPr>
            <w:r>
              <w:rPr>
                <w:spacing w:val="-3"/>
                <w:sz w:val="21"/>
                <w:szCs w:val="21"/>
              </w:rPr>
              <w:t>备注</w:t>
            </w:r>
          </w:p>
        </w:tc>
      </w:tr>
      <w:tr w14:paraId="74E1A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52" w:type="dxa"/>
            <w:vAlign w:val="center"/>
          </w:tcPr>
          <w:p w14:paraId="68C6A5D6">
            <w:pPr>
              <w:widowControl/>
              <w:jc w:val="center"/>
              <w:textAlignment w:val="center"/>
              <w:rPr>
                <w:sz w:val="21"/>
                <w:szCs w:val="21"/>
              </w:rPr>
            </w:pPr>
            <w:r>
              <w:rPr>
                <w:rFonts w:hint="eastAsia" w:ascii="宋体" w:hAnsi="宋体" w:eastAsia="宋体" w:cs="宋体"/>
                <w:color w:val="000000"/>
                <w:kern w:val="0"/>
                <w:szCs w:val="21"/>
                <w:lang w:bidi="ar"/>
              </w:rPr>
              <w:t>1</w:t>
            </w:r>
          </w:p>
        </w:tc>
        <w:tc>
          <w:tcPr>
            <w:tcW w:w="3850" w:type="dxa"/>
            <w:vAlign w:val="center"/>
          </w:tcPr>
          <w:p w14:paraId="70470269">
            <w:pPr>
              <w:widowControl/>
              <w:jc w:val="center"/>
              <w:textAlignment w:val="center"/>
              <w:rPr>
                <w:rFonts w:ascii="Arial"/>
                <w:sz w:val="21"/>
              </w:rPr>
            </w:pPr>
            <w:r>
              <w:rPr>
                <w:rFonts w:hint="eastAsia" w:ascii="宋体" w:hAnsi="宋体" w:eastAsia="宋体" w:cs="宋体"/>
                <w:color w:val="000000"/>
                <w:kern w:val="0"/>
                <w:szCs w:val="21"/>
                <w:lang w:bidi="ar"/>
              </w:rPr>
              <w:t>电气设备安全设计导则</w:t>
            </w:r>
          </w:p>
        </w:tc>
        <w:tc>
          <w:tcPr>
            <w:tcW w:w="2447" w:type="dxa"/>
            <w:vAlign w:val="center"/>
          </w:tcPr>
          <w:p w14:paraId="750243CB">
            <w:pPr>
              <w:widowControl/>
              <w:jc w:val="center"/>
              <w:textAlignment w:val="center"/>
              <w:rPr>
                <w:rFonts w:ascii="Arial"/>
                <w:sz w:val="21"/>
              </w:rPr>
            </w:pPr>
            <w:r>
              <w:rPr>
                <w:rFonts w:hint="eastAsia" w:ascii="宋体" w:hAnsi="宋体" w:eastAsia="宋体" w:cs="宋体"/>
                <w:color w:val="000000"/>
                <w:kern w:val="0"/>
                <w:szCs w:val="21"/>
                <w:lang w:bidi="ar"/>
              </w:rPr>
              <w:t>GB/T25295-2010</w:t>
            </w:r>
          </w:p>
        </w:tc>
        <w:tc>
          <w:tcPr>
            <w:tcW w:w="2059" w:type="dxa"/>
            <w:vAlign w:val="center"/>
          </w:tcPr>
          <w:p w14:paraId="1A8BF5DB">
            <w:pPr>
              <w:widowControl/>
              <w:jc w:val="center"/>
              <w:textAlignment w:val="center"/>
              <w:rPr>
                <w:rFonts w:ascii="Arial"/>
                <w:sz w:val="21"/>
              </w:rPr>
            </w:pPr>
          </w:p>
        </w:tc>
      </w:tr>
      <w:tr w14:paraId="0F1D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7B029584">
            <w:pPr>
              <w:widowControl/>
              <w:jc w:val="center"/>
              <w:textAlignment w:val="center"/>
              <w:rPr>
                <w:sz w:val="21"/>
                <w:szCs w:val="21"/>
              </w:rPr>
            </w:pPr>
            <w:r>
              <w:rPr>
                <w:rFonts w:hint="eastAsia" w:ascii="宋体" w:hAnsi="宋体" w:eastAsia="宋体" w:cs="宋体"/>
                <w:color w:val="000000"/>
                <w:kern w:val="0"/>
                <w:szCs w:val="21"/>
                <w:lang w:bidi="ar"/>
              </w:rPr>
              <w:t>2</w:t>
            </w:r>
          </w:p>
        </w:tc>
        <w:tc>
          <w:tcPr>
            <w:tcW w:w="3850" w:type="dxa"/>
            <w:vAlign w:val="center"/>
          </w:tcPr>
          <w:p w14:paraId="1D3CC36C">
            <w:pPr>
              <w:widowControl/>
              <w:jc w:val="center"/>
              <w:textAlignment w:val="center"/>
              <w:rPr>
                <w:rFonts w:ascii="Arial"/>
                <w:sz w:val="21"/>
              </w:rPr>
            </w:pPr>
            <w:r>
              <w:rPr>
                <w:rFonts w:hint="eastAsia" w:ascii="宋体" w:hAnsi="宋体" w:eastAsia="宋体" w:cs="宋体"/>
                <w:color w:val="000000"/>
                <w:kern w:val="0"/>
                <w:szCs w:val="21"/>
                <w:lang w:bidi="ar"/>
              </w:rPr>
              <w:t>低压配电设计规范</w:t>
            </w:r>
          </w:p>
        </w:tc>
        <w:tc>
          <w:tcPr>
            <w:tcW w:w="2447" w:type="dxa"/>
            <w:vAlign w:val="center"/>
          </w:tcPr>
          <w:p w14:paraId="4EDB2B17">
            <w:pPr>
              <w:widowControl/>
              <w:jc w:val="center"/>
              <w:textAlignment w:val="center"/>
              <w:rPr>
                <w:rFonts w:ascii="Arial"/>
                <w:sz w:val="21"/>
              </w:rPr>
            </w:pPr>
            <w:r>
              <w:rPr>
                <w:rFonts w:hint="eastAsia" w:ascii="宋体" w:hAnsi="宋体" w:eastAsia="宋体" w:cs="宋体"/>
                <w:color w:val="000000"/>
                <w:kern w:val="0"/>
                <w:sz w:val="20"/>
                <w:szCs w:val="20"/>
                <w:lang w:bidi="ar"/>
              </w:rPr>
              <w:t>GB50054-2010</w:t>
            </w:r>
          </w:p>
        </w:tc>
        <w:tc>
          <w:tcPr>
            <w:tcW w:w="2059" w:type="dxa"/>
            <w:vAlign w:val="center"/>
          </w:tcPr>
          <w:p w14:paraId="66ED9DD3">
            <w:pPr>
              <w:widowControl/>
              <w:jc w:val="center"/>
              <w:textAlignment w:val="center"/>
              <w:rPr>
                <w:rFonts w:ascii="Arial"/>
                <w:sz w:val="21"/>
              </w:rPr>
            </w:pPr>
          </w:p>
        </w:tc>
      </w:tr>
      <w:tr w14:paraId="080AF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7637B266">
            <w:pPr>
              <w:widowControl/>
              <w:jc w:val="center"/>
              <w:textAlignment w:val="center"/>
              <w:rPr>
                <w:sz w:val="21"/>
                <w:szCs w:val="21"/>
              </w:rPr>
            </w:pPr>
            <w:r>
              <w:rPr>
                <w:rFonts w:hint="eastAsia" w:ascii="宋体" w:hAnsi="宋体" w:eastAsia="宋体" w:cs="宋体"/>
                <w:color w:val="000000"/>
                <w:kern w:val="0"/>
                <w:szCs w:val="21"/>
                <w:lang w:bidi="ar"/>
              </w:rPr>
              <w:t>3</w:t>
            </w:r>
          </w:p>
        </w:tc>
        <w:tc>
          <w:tcPr>
            <w:tcW w:w="3850" w:type="dxa"/>
            <w:vAlign w:val="center"/>
          </w:tcPr>
          <w:p w14:paraId="0436E1D3">
            <w:pPr>
              <w:widowControl/>
              <w:jc w:val="center"/>
              <w:textAlignment w:val="center"/>
              <w:rPr>
                <w:rFonts w:ascii="Arial"/>
                <w:sz w:val="21"/>
              </w:rPr>
            </w:pPr>
            <w:r>
              <w:rPr>
                <w:rFonts w:hint="eastAsia" w:ascii="宋体" w:hAnsi="宋体" w:eastAsia="宋体" w:cs="宋体"/>
                <w:color w:val="000000"/>
                <w:kern w:val="0"/>
                <w:szCs w:val="21"/>
                <w:lang w:bidi="ar"/>
              </w:rPr>
              <w:t>供配电系统设计规范</w:t>
            </w:r>
          </w:p>
        </w:tc>
        <w:tc>
          <w:tcPr>
            <w:tcW w:w="2447" w:type="dxa"/>
            <w:vAlign w:val="center"/>
          </w:tcPr>
          <w:p w14:paraId="4728C978">
            <w:pPr>
              <w:widowControl/>
              <w:jc w:val="center"/>
              <w:textAlignment w:val="center"/>
              <w:rPr>
                <w:rFonts w:ascii="Arial"/>
                <w:sz w:val="21"/>
              </w:rPr>
            </w:pPr>
            <w:r>
              <w:rPr>
                <w:rFonts w:hint="eastAsia" w:ascii="宋体" w:hAnsi="宋体" w:eastAsia="宋体" w:cs="宋体"/>
                <w:kern w:val="0"/>
                <w:sz w:val="20"/>
                <w:szCs w:val="20"/>
                <w:lang w:bidi="ar"/>
              </w:rPr>
              <w:t>GB50052-2010</w:t>
            </w:r>
          </w:p>
        </w:tc>
        <w:tc>
          <w:tcPr>
            <w:tcW w:w="2059" w:type="dxa"/>
            <w:vAlign w:val="center"/>
          </w:tcPr>
          <w:p w14:paraId="6BF1FF84">
            <w:pPr>
              <w:widowControl/>
              <w:jc w:val="center"/>
              <w:textAlignment w:val="center"/>
              <w:rPr>
                <w:rFonts w:ascii="Arial"/>
                <w:sz w:val="21"/>
              </w:rPr>
            </w:pPr>
          </w:p>
        </w:tc>
      </w:tr>
      <w:tr w14:paraId="4DA8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0B0352CD">
            <w:pPr>
              <w:widowControl/>
              <w:jc w:val="center"/>
              <w:textAlignment w:val="center"/>
              <w:rPr>
                <w:sz w:val="21"/>
                <w:szCs w:val="21"/>
              </w:rPr>
            </w:pPr>
            <w:r>
              <w:rPr>
                <w:rFonts w:hint="eastAsia" w:ascii="宋体" w:hAnsi="宋体" w:eastAsia="宋体" w:cs="宋体"/>
                <w:color w:val="000000"/>
                <w:kern w:val="0"/>
                <w:szCs w:val="21"/>
                <w:lang w:bidi="ar"/>
              </w:rPr>
              <w:t>12</w:t>
            </w:r>
          </w:p>
        </w:tc>
        <w:tc>
          <w:tcPr>
            <w:tcW w:w="3850" w:type="dxa"/>
            <w:vAlign w:val="center"/>
          </w:tcPr>
          <w:p w14:paraId="357B8CF9">
            <w:pPr>
              <w:widowControl/>
              <w:jc w:val="center"/>
              <w:textAlignment w:val="center"/>
              <w:rPr>
                <w:rFonts w:ascii="Arial"/>
                <w:sz w:val="21"/>
              </w:rPr>
            </w:pPr>
            <w:r>
              <w:rPr>
                <w:rFonts w:hint="eastAsia" w:ascii="宋体" w:hAnsi="宋体" w:eastAsia="宋体" w:cs="宋体"/>
                <w:color w:val="000000"/>
                <w:kern w:val="0"/>
                <w:sz w:val="20"/>
                <w:szCs w:val="20"/>
                <w:lang w:bidi="ar"/>
              </w:rPr>
              <w:t xml:space="preserve"> 国家电气设备安全技术规范</w:t>
            </w:r>
          </w:p>
        </w:tc>
        <w:tc>
          <w:tcPr>
            <w:tcW w:w="2447" w:type="dxa"/>
            <w:vAlign w:val="center"/>
          </w:tcPr>
          <w:p w14:paraId="62382F11">
            <w:pPr>
              <w:widowControl/>
              <w:jc w:val="center"/>
              <w:textAlignment w:val="center"/>
              <w:rPr>
                <w:rFonts w:ascii="Arial"/>
                <w:sz w:val="21"/>
              </w:rPr>
            </w:pPr>
            <w:r>
              <w:rPr>
                <w:rFonts w:hint="eastAsia" w:ascii="宋体" w:hAnsi="宋体" w:eastAsia="宋体" w:cs="宋体"/>
                <w:color w:val="000000"/>
                <w:kern w:val="0"/>
                <w:sz w:val="20"/>
                <w:szCs w:val="20"/>
                <w:lang w:bidi="ar"/>
              </w:rPr>
              <w:t xml:space="preserve"> GB 19517-2009</w:t>
            </w:r>
          </w:p>
        </w:tc>
        <w:tc>
          <w:tcPr>
            <w:tcW w:w="2059" w:type="dxa"/>
            <w:vAlign w:val="center"/>
          </w:tcPr>
          <w:p w14:paraId="0AD13F4D">
            <w:pPr>
              <w:widowControl/>
              <w:jc w:val="center"/>
              <w:textAlignment w:val="center"/>
              <w:rPr>
                <w:rFonts w:ascii="Arial"/>
                <w:sz w:val="21"/>
              </w:rPr>
            </w:pPr>
          </w:p>
        </w:tc>
      </w:tr>
      <w:tr w14:paraId="015CE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52" w:type="dxa"/>
            <w:vAlign w:val="center"/>
          </w:tcPr>
          <w:p w14:paraId="10E32D1B">
            <w:pPr>
              <w:widowControl/>
              <w:jc w:val="center"/>
              <w:textAlignment w:val="center"/>
              <w:rPr>
                <w:sz w:val="21"/>
                <w:szCs w:val="21"/>
              </w:rPr>
            </w:pPr>
            <w:r>
              <w:rPr>
                <w:rFonts w:hint="eastAsia" w:ascii="宋体" w:hAnsi="宋体" w:eastAsia="宋体" w:cs="宋体"/>
                <w:color w:val="000000"/>
                <w:kern w:val="0"/>
                <w:szCs w:val="21"/>
                <w:lang w:bidi="ar"/>
              </w:rPr>
              <w:t>13</w:t>
            </w:r>
          </w:p>
        </w:tc>
        <w:tc>
          <w:tcPr>
            <w:tcW w:w="3850" w:type="dxa"/>
            <w:vAlign w:val="center"/>
          </w:tcPr>
          <w:p w14:paraId="5C67A772">
            <w:pPr>
              <w:widowControl/>
              <w:jc w:val="center"/>
              <w:textAlignment w:val="center"/>
              <w:rPr>
                <w:rFonts w:ascii="Arial"/>
                <w:sz w:val="21"/>
              </w:rPr>
            </w:pPr>
            <w:r>
              <w:rPr>
                <w:rFonts w:hint="eastAsia" w:ascii="宋体" w:hAnsi="宋体" w:eastAsia="宋体" w:cs="宋体"/>
                <w:color w:val="000000"/>
                <w:kern w:val="0"/>
                <w:szCs w:val="21"/>
                <w:lang w:bidi="ar"/>
              </w:rPr>
              <w:t>国际电工技术委员会的有关标准</w:t>
            </w:r>
          </w:p>
        </w:tc>
        <w:tc>
          <w:tcPr>
            <w:tcW w:w="2447" w:type="dxa"/>
            <w:vAlign w:val="center"/>
          </w:tcPr>
          <w:p w14:paraId="4605D649">
            <w:pPr>
              <w:widowControl/>
              <w:jc w:val="center"/>
              <w:textAlignment w:val="center"/>
              <w:rPr>
                <w:rFonts w:ascii="Arial"/>
                <w:sz w:val="21"/>
              </w:rPr>
            </w:pPr>
            <w:r>
              <w:rPr>
                <w:rStyle w:val="143"/>
                <w:rFonts w:hint="default"/>
                <w:lang w:bidi="ar"/>
              </w:rPr>
              <w:t>IEC (International Electrotechnical Committee)</w:t>
            </w:r>
          </w:p>
        </w:tc>
        <w:tc>
          <w:tcPr>
            <w:tcW w:w="2059" w:type="dxa"/>
            <w:vAlign w:val="center"/>
          </w:tcPr>
          <w:p w14:paraId="00BCCD7D">
            <w:pPr>
              <w:widowControl/>
              <w:jc w:val="center"/>
              <w:textAlignment w:val="center"/>
              <w:rPr>
                <w:rFonts w:ascii="Arial"/>
                <w:sz w:val="21"/>
              </w:rPr>
            </w:pPr>
          </w:p>
        </w:tc>
      </w:tr>
      <w:tr w14:paraId="5F04B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52" w:type="dxa"/>
            <w:vAlign w:val="center"/>
          </w:tcPr>
          <w:p w14:paraId="4627FA5E">
            <w:pPr>
              <w:widowControl/>
              <w:jc w:val="center"/>
              <w:textAlignment w:val="center"/>
              <w:rPr>
                <w:sz w:val="21"/>
                <w:szCs w:val="21"/>
              </w:rPr>
            </w:pPr>
            <w:r>
              <w:rPr>
                <w:rFonts w:hint="eastAsia" w:ascii="宋体" w:hAnsi="宋体" w:eastAsia="宋体" w:cs="宋体"/>
                <w:color w:val="000000"/>
                <w:kern w:val="0"/>
                <w:szCs w:val="21"/>
                <w:lang w:bidi="ar"/>
              </w:rPr>
              <w:t>14</w:t>
            </w:r>
          </w:p>
        </w:tc>
        <w:tc>
          <w:tcPr>
            <w:tcW w:w="3850" w:type="dxa"/>
            <w:vAlign w:val="center"/>
          </w:tcPr>
          <w:p w14:paraId="242D4A1F">
            <w:pPr>
              <w:widowControl/>
              <w:jc w:val="center"/>
              <w:textAlignment w:val="center"/>
              <w:rPr>
                <w:rFonts w:ascii="Arial"/>
                <w:sz w:val="21"/>
              </w:rPr>
            </w:pPr>
            <w:r>
              <w:rPr>
                <w:rFonts w:hint="eastAsia" w:ascii="宋体" w:hAnsi="宋体" w:eastAsia="宋体" w:cs="宋体"/>
                <w:color w:val="000000"/>
                <w:kern w:val="0"/>
                <w:szCs w:val="21"/>
                <w:lang w:bidi="ar"/>
              </w:rPr>
              <w:t>国际标准化组织的有关标准</w:t>
            </w:r>
          </w:p>
        </w:tc>
        <w:tc>
          <w:tcPr>
            <w:tcW w:w="2447" w:type="dxa"/>
            <w:vAlign w:val="center"/>
          </w:tcPr>
          <w:p w14:paraId="3248673F">
            <w:pPr>
              <w:widowControl/>
              <w:jc w:val="center"/>
              <w:textAlignment w:val="center"/>
              <w:rPr>
                <w:rFonts w:ascii="Arial"/>
                <w:sz w:val="21"/>
              </w:rPr>
            </w:pPr>
            <w:r>
              <w:rPr>
                <w:rStyle w:val="143"/>
                <w:rFonts w:hint="default"/>
                <w:lang w:bidi="ar"/>
              </w:rPr>
              <w:t>ISO (International Standards Organization)</w:t>
            </w:r>
          </w:p>
        </w:tc>
        <w:tc>
          <w:tcPr>
            <w:tcW w:w="2059" w:type="dxa"/>
            <w:vAlign w:val="center"/>
          </w:tcPr>
          <w:p w14:paraId="3D57579F">
            <w:pPr>
              <w:widowControl/>
              <w:jc w:val="center"/>
              <w:textAlignment w:val="center"/>
              <w:rPr>
                <w:rFonts w:ascii="Arial"/>
                <w:sz w:val="21"/>
              </w:rPr>
            </w:pPr>
          </w:p>
        </w:tc>
      </w:tr>
    </w:tbl>
    <w:p w14:paraId="22B3DB3C">
      <w:pPr>
        <w:keepNext/>
        <w:keepLines/>
        <w:jc w:val="both"/>
        <w:outlineLvl w:val="1"/>
        <w:rPr>
          <w:rFonts w:ascii="Calibri" w:hAnsi="Calibri" w:eastAsia="宋体" w:cs="Times New Roman"/>
          <w:b/>
          <w:bCs/>
          <w:kern w:val="44"/>
          <w:sz w:val="28"/>
          <w:szCs w:val="28"/>
        </w:rPr>
      </w:pPr>
    </w:p>
    <w:p w14:paraId="625442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7B4D1D5D">
      <w:pPr>
        <w:rPr>
          <w:rFonts w:ascii="Calibri" w:hAnsi="Calibri" w:eastAsia="宋体" w:cs="Times New Roman"/>
          <w:b/>
          <w:bCs/>
          <w:kern w:val="44"/>
          <w:sz w:val="28"/>
          <w:szCs w:val="28"/>
        </w:rPr>
      </w:pPr>
    </w:p>
    <w:p w14:paraId="66B8D47A">
      <w:pPr>
        <w:pStyle w:val="26"/>
      </w:pPr>
    </w:p>
    <w:p w14:paraId="0F93F81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9A47E00"/>
    <w:p w14:paraId="0DBCB76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5E7A75A">
      <w:pPr>
        <w:spacing w:line="420" w:lineRule="exact"/>
        <w:ind w:firstLine="482" w:firstLineChars="200"/>
        <w:outlineLvl w:val="3"/>
        <w:rPr>
          <w:rFonts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14:paraId="3732B2CC">
      <w:pPr>
        <w:pStyle w:val="134"/>
        <w:ind w:firstLine="420"/>
        <w:jc w:val="center"/>
      </w:pPr>
    </w:p>
    <w:p w14:paraId="23D7C260">
      <w:pPr>
        <w:spacing w:line="360" w:lineRule="auto"/>
        <w:ind w:firstLine="241" w:firstLineChars="100"/>
        <w:rPr>
          <w:rFonts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14:paraId="222855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1、包括本技术标书所列明的主要货物以及货物（或生产线）正常运行所必需的全套连线设备、 材料等。如货物端联接法兰外端面之内的、电气系统接口压线板（插座等）之内的设备、材料、联 接螺栓、垫片等。</w:t>
      </w:r>
    </w:p>
    <w:p w14:paraId="5F2AFB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2、包括为保证货物（或生产线）正常安装、调试和验收完成及以前所必需的整套配件、附件及 材料、油料、控制软件及程序或指令等。如果终验收完成后，卖方有需要收回的配件、附件、材料、油料等，应当在投标文件的技术偏 离条款中，予以详细说明；否则视同包括在供货范围之内。</w:t>
      </w:r>
    </w:p>
    <w:p w14:paraId="6AE7ED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3、包括货物（或生产线）维护维修所必需的专用工具。</w:t>
      </w:r>
    </w:p>
    <w:p w14:paraId="7DCB01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4、包括货物（或生产线）为达到产品标准以及环保、消防和劳动安全卫生等国家法律、法规和 标准、规范要求而必须配备但标书未明确提出的除尘系统、通风系统、近距离照明系统以及劳动安 全防护设施（不包括人体防护用品）等使用现场配套的设备、材料等。</w:t>
      </w:r>
    </w:p>
    <w:p w14:paraId="0B87C3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包括为保证货物（或生产线）自身正常运行所必需的、满足使用地点环境条件的通风、冷却、 降温等必需设施。</w:t>
      </w:r>
    </w:p>
    <w:p w14:paraId="595389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 予以详细说明并注明投标报价未包含该部分的货值。</w:t>
      </w:r>
    </w:p>
    <w:p w14:paraId="458A30C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E4D64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1、买方提供货物（或生产线）所需的建筑物（如厂房等）和构筑物（如混凝土池、砼基础等）， 包含正常安装施工所需的预埋件（如穿管、预埋螺栓、螺母及垫片）。</w:t>
      </w:r>
    </w:p>
    <w:p w14:paraId="0CC41C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 水、压缩空气、蒸汽、天然气（或煤气）管线至系统接口，如：系统电力接口的接线端，水、气、汽等外围管线端联接法兰外端面。</w:t>
      </w:r>
    </w:p>
    <w:p w14:paraId="19D376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 方式询标或以单价方式报价；否则视同满足招标方要求。</w:t>
      </w:r>
    </w:p>
    <w:p w14:paraId="7CCA97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 物单独报价（该报价含运杂费及税费等其它费用，而且不再作为其它报价涉及的其它费用的计算基 数）。</w:t>
      </w:r>
    </w:p>
    <w:p w14:paraId="0741F7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4、以“交钥匙”方式采购的货物（或生产线），在满足技术标书本节上述要求之外，同时包括 货物（或生产线）正常运行、使用所需要的过桥、护栏、防护网、盖板等辅助设施。</w:t>
      </w:r>
    </w:p>
    <w:p w14:paraId="4BC4DB3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D5EEC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14:paraId="3551A7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C8801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31E7ED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1B0E4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23C536C4">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11D87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1DC69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14:paraId="763BF4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F1E2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1EC104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47504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3CA68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7AF5F12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5EBE11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49ED3E06">
      <w:pPr>
        <w:pStyle w:val="19"/>
        <w:spacing w:line="360" w:lineRule="auto"/>
      </w:pPr>
    </w:p>
    <w:p w14:paraId="106BCA4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1606EBA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52A59F45">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5DE11950">
      <w:pPr>
        <w:spacing w:line="360" w:lineRule="auto"/>
        <w:outlineLvl w:val="3"/>
        <w:rPr>
          <w:rFonts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14:paraId="0DCDE1F4">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4715138">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lang w:val="en-US" w:eastAsia="zh-CN"/>
        </w:rPr>
        <w:t>60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6B9B7CB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rPr>
        <w:t>个日历日之内安装调试完毕。</w:t>
      </w:r>
    </w:p>
    <w:p w14:paraId="7F25E0D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30</w:t>
      </w:r>
      <w:r>
        <w:rPr>
          <w:rFonts w:hint="eastAsia" w:ascii="宋体" w:hAnsi="宋体" w:eastAsia="宋体" w:cs="宋体"/>
          <w:sz w:val="24"/>
          <w:szCs w:val="24"/>
        </w:rPr>
        <w:t>个日历日之内完成终验收。</w:t>
      </w:r>
    </w:p>
    <w:p w14:paraId="5D72155D">
      <w:pPr>
        <w:spacing w:line="360" w:lineRule="auto"/>
        <w:ind w:firstLine="480" w:firstLineChars="200"/>
        <w:jc w:val="left"/>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14:paraId="7737943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4EA774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010DD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94D56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55FE08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366F9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E2055F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59244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A9513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5C565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B05E6FE">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752FBC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1B281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EC01C0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2425D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E258D7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D3145D6">
      <w:pPr>
        <w:widowControl/>
        <w:jc w:val="center"/>
        <w:rPr>
          <w:rFonts w:ascii="Calibri" w:hAnsi="Calibri" w:eastAsia="宋体" w:cs="Times New Roman"/>
          <w:b/>
          <w:bCs/>
          <w:kern w:val="44"/>
          <w:sz w:val="28"/>
          <w:szCs w:val="28"/>
        </w:rPr>
      </w:pPr>
    </w:p>
    <w:p w14:paraId="245E25E0">
      <w:pPr>
        <w:widowControl/>
        <w:jc w:val="center"/>
        <w:rPr>
          <w:rFonts w:ascii="Calibri" w:hAnsi="Calibri" w:eastAsia="宋体" w:cs="Times New Roman"/>
          <w:b/>
          <w:bCs/>
          <w:kern w:val="44"/>
          <w:sz w:val="28"/>
          <w:szCs w:val="28"/>
        </w:rPr>
      </w:pPr>
    </w:p>
    <w:p w14:paraId="2BA4BEE0">
      <w:pPr>
        <w:pStyle w:val="3"/>
      </w:pPr>
    </w:p>
    <w:p w14:paraId="2F1E1C31">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30FE2C8F">
      <w:pPr>
        <w:pStyle w:val="120"/>
        <w:spacing w:line="360" w:lineRule="auto"/>
      </w:pPr>
      <w:r>
        <w:rPr>
          <w:rFonts w:hint="eastAsia"/>
        </w:rPr>
        <w:t>一、质保期及质保要求</w:t>
      </w:r>
    </w:p>
    <w:p w14:paraId="5AC9BF7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14:paraId="156FB0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B2414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E576AC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8FD488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1D51C6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6165BE90">
      <w:pPr>
        <w:pStyle w:val="120"/>
        <w:spacing w:line="360" w:lineRule="auto"/>
        <w:rPr>
          <w:rFonts w:ascii="宋体" w:hAnsi="宋体" w:cs="宋体"/>
        </w:rPr>
      </w:pPr>
      <w:r>
        <w:rPr>
          <w:rFonts w:hint="eastAsia" w:ascii="宋体" w:hAnsi="宋体" w:cs="宋体"/>
        </w:rPr>
        <w:t>二、技术及培训服务</w:t>
      </w:r>
    </w:p>
    <w:p w14:paraId="772A1BE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1、应负责对买方 3～5   名技术、维修和操作人员提供不少于 5   个日历日的免费的、卖方生 产制造现场的理论、技术和操作、维修等方面的技术指导和培训，并为买方受培训人员提供免费的 培训地交通、食宿条件。</w:t>
      </w:r>
    </w:p>
    <w:p w14:paraId="3FEC03B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2、应负责在买方货物（或生产线）使用现场，进行 1～2 次免费的技术指导和培训，并接受买 方有关人员的技术咨询。</w:t>
      </w:r>
    </w:p>
    <w:p w14:paraId="003A50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3、应免费提供一定数量的培训资料。</w:t>
      </w:r>
    </w:p>
    <w:p w14:paraId="43B8571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4、应按要求免费积极协助和提供买方以及买方所委托的工程设计单位有关人员所需要的、与货 物（或生产线）有关的工程设计资料、技术咨询等。</w:t>
      </w:r>
    </w:p>
    <w:p w14:paraId="5FB0FE2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5、若卖方提供货物（或生产线）涉及到外购外协货物、而且该货物的技术质量等较为关键时，卖方应能保证得到配套厂家的技术支持，并免费为买方提供技术服务。</w:t>
      </w:r>
    </w:p>
    <w:p w14:paraId="3E8158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6、负责制定对买方人员在运行、维修和试验等方面的培训计划，并有专人负责实施培训计划， 负责指导买方受培训人员正确理解设计和制造意图，认识设备的特点和特性，掌握在运行、维修和 使用管理中应遵守的规则等方面的综合知识。</w:t>
      </w:r>
    </w:p>
    <w:p w14:paraId="14E73280">
      <w:pPr>
        <w:adjustRightInd w:val="0"/>
        <w:snapToGrid w:val="0"/>
        <w:spacing w:line="360" w:lineRule="auto"/>
        <w:ind w:firstLine="480" w:firstLineChars="200"/>
        <w:rPr>
          <w:rFonts w:hint="eastAsia" w:ascii="宋体" w:hAnsi="宋体" w:eastAsia="宋体" w:cs="宋体"/>
          <w:color w:val="000000"/>
          <w:sz w:val="24"/>
          <w:szCs w:val="24"/>
        </w:rPr>
      </w:pPr>
    </w:p>
    <w:p w14:paraId="4A6F5B08">
      <w:pPr>
        <w:adjustRightInd w:val="0"/>
        <w:snapToGrid w:val="0"/>
        <w:spacing w:line="360" w:lineRule="auto"/>
        <w:ind w:firstLine="420" w:firstLineChars="200"/>
        <w:rPr>
          <w:rFonts w:ascii="宋体" w:hAnsi="宋体" w:cs="宋体"/>
        </w:rPr>
      </w:pPr>
      <w:r>
        <w:rPr>
          <w:rFonts w:hint="eastAsia" w:ascii="宋体" w:hAnsi="宋体" w:cs="宋体"/>
        </w:rPr>
        <w:t>三、安装调试及验收服务</w:t>
      </w:r>
    </w:p>
    <w:p w14:paraId="7624923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48027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0007131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176898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5619D8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D428C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6605D4C">
      <w:pPr>
        <w:pStyle w:val="120"/>
        <w:spacing w:line="360" w:lineRule="auto"/>
        <w:rPr>
          <w:rFonts w:ascii="宋体" w:hAnsi="宋体" w:cs="宋体"/>
        </w:rPr>
      </w:pPr>
      <w:r>
        <w:rPr>
          <w:rFonts w:hint="eastAsia" w:ascii="宋体" w:hAnsi="宋体" w:cs="宋体"/>
        </w:rPr>
        <w:t>四、售后服务</w:t>
      </w:r>
    </w:p>
    <w:p w14:paraId="4F770DD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7BDE0CB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14:paraId="1383537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63045785">
      <w:pPr>
        <w:pStyle w:val="120"/>
        <w:spacing w:line="360" w:lineRule="auto"/>
        <w:rPr>
          <w:rFonts w:ascii="宋体" w:hAnsi="宋体" w:cs="宋体"/>
        </w:rPr>
      </w:pPr>
      <w:r>
        <w:rPr>
          <w:rFonts w:hint="eastAsia" w:ascii="宋体" w:hAnsi="宋体" w:cs="宋体"/>
        </w:rPr>
        <w:t>五、其它服务</w:t>
      </w:r>
    </w:p>
    <w:p w14:paraId="4A11FA2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0E5052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24415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3AFAEBA">
      <w:pPr>
        <w:pStyle w:val="19"/>
        <w:rPr>
          <w:rFonts w:ascii="Calibri" w:hAnsi="Calibri" w:eastAsia="宋体" w:cs="Times New Roman"/>
          <w:b/>
          <w:bCs/>
          <w:kern w:val="44"/>
          <w:sz w:val="28"/>
          <w:szCs w:val="28"/>
        </w:rPr>
      </w:pPr>
      <w:r>
        <w:rPr>
          <w:rFonts w:eastAsia="宋体"/>
        </w:rPr>
        <w:br w:type="page"/>
      </w:r>
    </w:p>
    <w:p w14:paraId="0A2B6BFC">
      <w:pPr>
        <w:keepNext/>
        <w:keepLines/>
        <w:spacing w:line="360" w:lineRule="auto"/>
        <w:jc w:val="center"/>
        <w:outlineLvl w:val="1"/>
        <w:rPr>
          <w:rFonts w:ascii="Calibri" w:hAnsi="Calibri" w:eastAsia="宋体" w:cs="Times New Roman"/>
          <w:b/>
          <w:bCs/>
          <w:kern w:val="44"/>
          <w:sz w:val="28"/>
          <w:szCs w:val="28"/>
        </w:rPr>
      </w:pPr>
    </w:p>
    <w:p w14:paraId="5D04159A">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6C96FA2D">
      <w:pPr>
        <w:spacing w:before="292" w:line="220" w:lineRule="auto"/>
        <w:ind w:left="463"/>
        <w:outlineLvl w:val="3"/>
        <w:rPr>
          <w:rFonts w:ascii="黑体" w:hAnsi="黑体" w:eastAsia="黑体" w:cs="黑体"/>
          <w:sz w:val="21"/>
          <w:szCs w:val="21"/>
        </w:rPr>
      </w:pPr>
      <w:r>
        <w:rPr>
          <w:rFonts w:ascii="黑体" w:hAnsi="黑体" w:eastAsia="黑体" w:cs="黑体"/>
          <w:spacing w:val="-2"/>
          <w:sz w:val="21"/>
          <w:szCs w:val="21"/>
        </w:rPr>
        <w:t>一、验收依据和验收标准</w:t>
      </w:r>
    </w:p>
    <w:p w14:paraId="558F8B0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 验收所涉及的相关标准，均作为验收标准之一。</w:t>
      </w:r>
    </w:p>
    <w:p w14:paraId="045944A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 同存在差异，原则上以涉及条款中对买方最有利条款为验收依据。</w:t>
      </w:r>
    </w:p>
    <w:p w14:paraId="466BEFF5">
      <w:pPr>
        <w:spacing w:before="169" w:line="220" w:lineRule="auto"/>
        <w:ind w:left="462"/>
        <w:rPr>
          <w:rFonts w:ascii="黑体" w:hAnsi="黑体" w:eastAsia="黑体" w:cs="黑体"/>
          <w:sz w:val="21"/>
          <w:szCs w:val="21"/>
        </w:rPr>
      </w:pPr>
      <w:r>
        <w:rPr>
          <w:rFonts w:ascii="黑体" w:hAnsi="黑体" w:eastAsia="黑体" w:cs="黑体"/>
          <w:spacing w:val="-3"/>
          <w:sz w:val="21"/>
          <w:szCs w:val="21"/>
        </w:rPr>
        <w:t>二、检验</w:t>
      </w:r>
    </w:p>
    <w:p w14:paraId="320EEED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 并将该费用包含在投标总报价之内；不作针对性澄清或说明的，视同包含在投标总价之内。基本约 定如下：</w:t>
      </w:r>
    </w:p>
    <w:p w14:paraId="01EF68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1、国产货物（或生产线）的检验一般由买卖双方共同进行或按照合同要求进行。</w:t>
      </w:r>
    </w:p>
    <w:p w14:paraId="7F9F8A4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2、进口货物（或生产线）的检验，卖方需要按照下述要求进行：</w:t>
      </w:r>
    </w:p>
    <w:p w14:paraId="4D1BA90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进口货物（或生产线）发货前，应对货物（或生产线）的质量、型号、规格、性能和数量 /重量作精密、全面的检验，并出具证明书，证明所供货物（或生产线）符合合同规定。</w:t>
      </w:r>
    </w:p>
    <w:p w14:paraId="3A0DF73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应依据合同规定的要求，提供买卖双方达成一致的货物（或生产线）的验收标准和装箱单， 作为买方检验的依据。</w:t>
      </w:r>
    </w:p>
    <w:p w14:paraId="58D7F4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进口货物（或生产线）到达目的地后，买方有权申请中国商品检验检疫局进行检验，如发 现货物（或生产线）的品质及规格与合同或发票不符，除买方的责任外，买方有权在货物（或生产 线）到达卸货目的地后 180 个日历日内，根据中国商品检验检疫局出具的证明书向卖方提出索赔， 因索赔所发生的一切费用(包括检验检疫费等)均由卖方承担。</w:t>
      </w:r>
    </w:p>
    <w:p w14:paraId="5D1EC988">
      <w:pPr>
        <w:spacing w:before="169" w:line="220" w:lineRule="auto"/>
        <w:ind w:left="464"/>
        <w:outlineLvl w:val="3"/>
        <w:rPr>
          <w:rFonts w:ascii="黑体" w:hAnsi="黑体" w:eastAsia="黑体" w:cs="黑体"/>
          <w:sz w:val="21"/>
          <w:szCs w:val="21"/>
        </w:rPr>
      </w:pPr>
      <w:r>
        <w:rPr>
          <w:rFonts w:ascii="黑体" w:hAnsi="黑体" w:eastAsia="黑体" w:cs="黑体"/>
          <w:spacing w:val="-2"/>
          <w:sz w:val="21"/>
          <w:szCs w:val="21"/>
        </w:rPr>
        <w:t>三、验收基本条件</w:t>
      </w:r>
    </w:p>
    <w:p w14:paraId="3A0B9A1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 运行后的买方现场进行。但是所有的项目，包括不能预验收的项目和预验收通过的项目都在终验收 时重新检验，最终只以终验收为准。</w:t>
      </w:r>
    </w:p>
    <w:p w14:paraId="7C77CD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买卖双方按照合同约定执行了合同，同时货物（或生产线）完成了试运行并经检验合格，则具备验收条件。</w:t>
      </w:r>
    </w:p>
    <w:p w14:paraId="3BC2781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521F94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7BA287A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货物（或生产线）应运行稳定、可靠、安全，无非正常变形，非正常振动，无异常声音；无漏水、漏液、漏气（汽）、漏电等现象。运动的零部件（如链条、联轴器、离合器、主轴、工作台 等）动作平稳、灵活运动准确。</w:t>
      </w:r>
    </w:p>
    <w:p w14:paraId="1A661B8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货物（或生产线）应完整且所有的零部件应该安装牢固，外观无损伤，所有的焊缝饱满、 无残渣等缺陷。</w:t>
      </w:r>
    </w:p>
    <w:p w14:paraId="6F00BF8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一般情况下，所有的管路和线缆等，接头应完全正确、可靠地联接；应排列有序（正确、 牢固、整齐），有必要的防护，无皱褶、收缩和裂缝等不良现象。</w:t>
      </w:r>
    </w:p>
    <w:p w14:paraId="5D9DBD3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货物（或生产线）的润滑系统工作正常、可靠，润滑点易于到达。</w:t>
      </w:r>
    </w:p>
    <w:p w14:paraId="3EA49F7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使用的压力容器、电气等应具备合格证（如果有压力容器）。</w:t>
      </w:r>
    </w:p>
    <w:p w14:paraId="7A904B8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货物（或生产线）的油漆质量应饱满、有光泽，无掉漆、无色差、无“桔皮”等不良现象 （特殊标志除外）。</w:t>
      </w:r>
    </w:p>
    <w:p w14:paraId="5842C1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  货物（或生产线）标牌完整、清晰、明确。</w:t>
      </w:r>
    </w:p>
    <w:p w14:paraId="684A645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地线联接和地极符合国际（ISO/IEC）标准规范。</w:t>
      </w:r>
    </w:p>
    <w:p w14:paraId="020AA0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  货物（或生产线）的安全要求符合中国最新的相关法律、法规、标准和规范以及合同要 求和所在地政府有关特殊要求。货物（或生产线）正常运行时，噪声等环境影响因素满足国家和当 地环保主管部门规定，安全措施落实、有效。所有电气安装和施工均应符合我国现行行业标准（规 范）。</w:t>
      </w:r>
    </w:p>
    <w:p w14:paraId="2D1565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776396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1AD8E79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货物（或生产线）安装调试完毕，并至少经过了验收要求的负荷试运行。</w:t>
      </w:r>
    </w:p>
    <w:p w14:paraId="7F3E22F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货物（或生产线）正常运行时，噪声等环境影响因素满足国家和当地环保主管部门规定， 安全措施落实、有效。</w:t>
      </w:r>
    </w:p>
    <w:p w14:paraId="1930A6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 标和仪器说明书的参数的实现。</w:t>
      </w:r>
    </w:p>
    <w:p w14:paraId="5EC7D75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31FF2B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货物（或生产线）质量、技术性能等，达到签定的技术协议书和合同规定的终验收标准。</w:t>
      </w:r>
    </w:p>
    <w:p w14:paraId="10DAE0A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2648DA6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货物（或生产线）允许情况下，一般先连续空运转 6   小时，然后再进行负荷运行（无需 进行空载运行的除外）。</w:t>
      </w:r>
    </w:p>
    <w:p w14:paraId="2D570D8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负荷运行时，货物（或生产线）应连续运行  6 天，每天连续 8 小时或长时间连续运行 48 小时。</w:t>
      </w:r>
    </w:p>
    <w:p w14:paraId="263117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出现下列问题之一，视作验收失败：</w:t>
      </w:r>
    </w:p>
    <w:p w14:paraId="535FC8AC">
      <w:pPr>
        <w:adjustRightInd w:val="0"/>
        <w:snapToGrid w:val="0"/>
        <w:spacing w:line="360" w:lineRule="auto"/>
        <w:ind w:firstLine="480" w:firstLineChars="200"/>
      </w:pPr>
      <w:r>
        <w:rPr>
          <w:rFonts w:hint="eastAsia" w:ascii="宋体" w:hAnsi="宋体" w:eastAsia="宋体" w:cs="宋体"/>
          <w:color w:val="000000"/>
          <w:sz w:val="24"/>
          <w:szCs w:val="24"/>
        </w:rPr>
        <w:t>3.3.1  在整个验收过程中发生关键零部件损坏或重大故障；</w:t>
      </w:r>
    </w:p>
    <w:p w14:paraId="43099AF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3.3.2  一般性故障超过  2    次；</w:t>
      </w:r>
    </w:p>
    <w:p w14:paraId="1DD1EB9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3.3.3  所有出现的维修调整，每次时间均不超过  20   分钟；所有维修调整时间的总和不超过 总运行时间的   5  %；</w:t>
      </w:r>
    </w:p>
    <w:p w14:paraId="33F110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3.3.4  更换的零部件货值不超过总货值的  10  %。</w:t>
      </w:r>
    </w:p>
    <w:p w14:paraId="4383B91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累计负载运行实际性能（或生产率）达到合同规定；</w:t>
      </w:r>
    </w:p>
    <w:p w14:paraId="7B042CB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终验收原则上要求一次完成。若一次验收不成功，最多允许两次；如果出现第三次验收失 败，重新作价或退货；</w:t>
      </w:r>
    </w:p>
    <w:p w14:paraId="1003EB6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  终验收通过后买卖双方共同签署终验收报告，并移交、核对全部供货范围内物品。</w:t>
      </w:r>
    </w:p>
    <w:p w14:paraId="269F1531">
      <w:pPr>
        <w:rPr>
          <w:rFonts w:eastAsia="宋体"/>
          <w:b/>
          <w:iCs/>
          <w:sz w:val="28"/>
        </w:rPr>
      </w:pPr>
    </w:p>
    <w:p w14:paraId="7168EA4F">
      <w:pPr>
        <w:pStyle w:val="133"/>
        <w:spacing w:line="360" w:lineRule="auto"/>
        <w:jc w:val="both"/>
        <w:outlineLvl w:val="1"/>
        <w:rPr>
          <w:rFonts w:eastAsia="宋体"/>
          <w:b/>
          <w:bCs w:val="0"/>
          <w:iCs/>
          <w:color w:val="auto"/>
          <w:sz w:val="28"/>
        </w:rPr>
      </w:pPr>
    </w:p>
    <w:p w14:paraId="2EFE3559">
      <w:pPr>
        <w:pStyle w:val="133"/>
        <w:spacing w:line="360" w:lineRule="auto"/>
        <w:outlineLvl w:val="1"/>
        <w:rPr>
          <w:rFonts w:eastAsia="宋体"/>
          <w:b/>
          <w:bCs w:val="0"/>
          <w:iCs/>
          <w:color w:val="auto"/>
          <w:sz w:val="28"/>
        </w:rPr>
      </w:pPr>
      <w:r>
        <w:rPr>
          <w:rFonts w:eastAsia="宋体"/>
          <w:b/>
          <w:bCs w:val="0"/>
          <w:iCs/>
          <w:color w:val="auto"/>
          <w:sz w:val="28"/>
        </w:rPr>
        <w:t>第六章  投标技术文件一般要求</w:t>
      </w:r>
    </w:p>
    <w:p w14:paraId="676532EB">
      <w:pPr>
        <w:pStyle w:val="120"/>
        <w:spacing w:line="360" w:lineRule="auto"/>
        <w:rPr>
          <w:color w:val="auto"/>
        </w:rPr>
      </w:pPr>
      <w:r>
        <w:rPr>
          <w:color w:val="auto"/>
        </w:rPr>
        <w:t>一、技术文件一般内容要求</w:t>
      </w:r>
    </w:p>
    <w:p w14:paraId="6186E6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FBF70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25088C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9DA69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0E170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D74DF6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030D1B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527256B">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BF1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BFEECB">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76CFFA85">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7D3EB041">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43302BD4">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3E88A714">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404B189E">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1C0AAE9F">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2D079F55">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3137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B442BE3">
            <w:pPr>
              <w:adjustRightInd w:val="0"/>
              <w:snapToGrid w:val="0"/>
              <w:spacing w:line="360" w:lineRule="exact"/>
              <w:jc w:val="center"/>
              <w:rPr>
                <w:rFonts w:ascii="宋体" w:hAnsi="宋体" w:eastAsia="宋体" w:cs="宋体"/>
              </w:rPr>
            </w:pPr>
            <w:r>
              <w:rPr>
                <w:rFonts w:hint="eastAsia" w:ascii="宋体" w:hAnsi="宋体" w:eastAsia="宋体" w:cs="宋体"/>
              </w:rPr>
              <w:t>1</w:t>
            </w:r>
          </w:p>
        </w:tc>
        <w:tc>
          <w:tcPr>
            <w:tcW w:w="1924" w:type="dxa"/>
          </w:tcPr>
          <w:p w14:paraId="52D318A5">
            <w:pPr>
              <w:adjustRightInd w:val="0"/>
              <w:snapToGrid w:val="0"/>
              <w:spacing w:line="360" w:lineRule="exact"/>
              <w:rPr>
                <w:rFonts w:ascii="宋体" w:hAnsi="宋体" w:eastAsia="宋体" w:cs="宋体"/>
              </w:rPr>
            </w:pPr>
          </w:p>
        </w:tc>
        <w:tc>
          <w:tcPr>
            <w:tcW w:w="1236" w:type="dxa"/>
          </w:tcPr>
          <w:p w14:paraId="1B480047">
            <w:pPr>
              <w:adjustRightInd w:val="0"/>
              <w:snapToGrid w:val="0"/>
              <w:spacing w:line="360" w:lineRule="exact"/>
              <w:rPr>
                <w:rFonts w:ascii="宋体" w:hAnsi="宋体" w:eastAsia="宋体" w:cs="宋体"/>
              </w:rPr>
            </w:pPr>
          </w:p>
        </w:tc>
        <w:tc>
          <w:tcPr>
            <w:tcW w:w="720" w:type="dxa"/>
          </w:tcPr>
          <w:p w14:paraId="060389A0">
            <w:pPr>
              <w:adjustRightInd w:val="0"/>
              <w:snapToGrid w:val="0"/>
              <w:spacing w:line="360" w:lineRule="exact"/>
              <w:jc w:val="center"/>
              <w:rPr>
                <w:rFonts w:ascii="宋体" w:hAnsi="宋体" w:eastAsia="宋体" w:cs="宋体"/>
              </w:rPr>
            </w:pPr>
          </w:p>
        </w:tc>
        <w:tc>
          <w:tcPr>
            <w:tcW w:w="720" w:type="dxa"/>
          </w:tcPr>
          <w:p w14:paraId="3A459857">
            <w:pPr>
              <w:adjustRightInd w:val="0"/>
              <w:snapToGrid w:val="0"/>
              <w:spacing w:line="360" w:lineRule="exact"/>
              <w:jc w:val="center"/>
              <w:rPr>
                <w:rFonts w:ascii="宋体" w:hAnsi="宋体" w:eastAsia="宋体" w:cs="宋体"/>
              </w:rPr>
            </w:pPr>
          </w:p>
        </w:tc>
        <w:tc>
          <w:tcPr>
            <w:tcW w:w="720" w:type="dxa"/>
          </w:tcPr>
          <w:p w14:paraId="566D4B30">
            <w:pPr>
              <w:adjustRightInd w:val="0"/>
              <w:snapToGrid w:val="0"/>
              <w:spacing w:line="360" w:lineRule="exact"/>
              <w:jc w:val="center"/>
              <w:rPr>
                <w:rFonts w:ascii="宋体" w:hAnsi="宋体" w:eastAsia="宋体" w:cs="宋体"/>
              </w:rPr>
            </w:pPr>
          </w:p>
        </w:tc>
        <w:tc>
          <w:tcPr>
            <w:tcW w:w="720" w:type="dxa"/>
          </w:tcPr>
          <w:p w14:paraId="362706C9">
            <w:pPr>
              <w:adjustRightInd w:val="0"/>
              <w:snapToGrid w:val="0"/>
              <w:spacing w:line="360" w:lineRule="exact"/>
              <w:jc w:val="center"/>
              <w:rPr>
                <w:rFonts w:ascii="宋体" w:hAnsi="宋体" w:eastAsia="宋体" w:cs="宋体"/>
              </w:rPr>
            </w:pPr>
          </w:p>
        </w:tc>
        <w:tc>
          <w:tcPr>
            <w:tcW w:w="2235" w:type="dxa"/>
          </w:tcPr>
          <w:p w14:paraId="0A06826B">
            <w:pPr>
              <w:adjustRightInd w:val="0"/>
              <w:snapToGrid w:val="0"/>
              <w:spacing w:line="360" w:lineRule="exact"/>
              <w:rPr>
                <w:rFonts w:ascii="宋体" w:hAnsi="宋体" w:eastAsia="宋体" w:cs="宋体"/>
              </w:rPr>
            </w:pPr>
          </w:p>
        </w:tc>
      </w:tr>
      <w:tr w14:paraId="72CA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2691C7">
            <w:pPr>
              <w:adjustRightInd w:val="0"/>
              <w:snapToGrid w:val="0"/>
              <w:spacing w:line="360" w:lineRule="exact"/>
              <w:jc w:val="center"/>
              <w:rPr>
                <w:rFonts w:ascii="宋体" w:hAnsi="宋体" w:eastAsia="宋体" w:cs="宋体"/>
              </w:rPr>
            </w:pPr>
            <w:r>
              <w:rPr>
                <w:rFonts w:hint="eastAsia" w:ascii="宋体" w:hAnsi="宋体" w:eastAsia="宋体" w:cs="宋体"/>
              </w:rPr>
              <w:t>2</w:t>
            </w:r>
          </w:p>
        </w:tc>
        <w:tc>
          <w:tcPr>
            <w:tcW w:w="1924" w:type="dxa"/>
          </w:tcPr>
          <w:p w14:paraId="2795BD2A">
            <w:pPr>
              <w:adjustRightInd w:val="0"/>
              <w:snapToGrid w:val="0"/>
              <w:spacing w:line="360" w:lineRule="exact"/>
              <w:rPr>
                <w:rFonts w:ascii="宋体" w:hAnsi="宋体" w:eastAsia="宋体" w:cs="宋体"/>
              </w:rPr>
            </w:pPr>
          </w:p>
        </w:tc>
        <w:tc>
          <w:tcPr>
            <w:tcW w:w="1236" w:type="dxa"/>
          </w:tcPr>
          <w:p w14:paraId="7B3DCAFF">
            <w:pPr>
              <w:adjustRightInd w:val="0"/>
              <w:snapToGrid w:val="0"/>
              <w:spacing w:line="360" w:lineRule="exact"/>
              <w:rPr>
                <w:rFonts w:ascii="宋体" w:hAnsi="宋体" w:eastAsia="宋体" w:cs="宋体"/>
              </w:rPr>
            </w:pPr>
          </w:p>
        </w:tc>
        <w:tc>
          <w:tcPr>
            <w:tcW w:w="720" w:type="dxa"/>
          </w:tcPr>
          <w:p w14:paraId="6FF5E671">
            <w:pPr>
              <w:adjustRightInd w:val="0"/>
              <w:snapToGrid w:val="0"/>
              <w:spacing w:line="360" w:lineRule="exact"/>
              <w:jc w:val="center"/>
              <w:rPr>
                <w:rFonts w:ascii="宋体" w:hAnsi="宋体" w:eastAsia="宋体" w:cs="宋体"/>
              </w:rPr>
            </w:pPr>
          </w:p>
        </w:tc>
        <w:tc>
          <w:tcPr>
            <w:tcW w:w="720" w:type="dxa"/>
          </w:tcPr>
          <w:p w14:paraId="570CD1FE">
            <w:pPr>
              <w:adjustRightInd w:val="0"/>
              <w:snapToGrid w:val="0"/>
              <w:spacing w:line="360" w:lineRule="exact"/>
              <w:jc w:val="center"/>
              <w:rPr>
                <w:rFonts w:ascii="宋体" w:hAnsi="宋体" w:eastAsia="宋体" w:cs="宋体"/>
              </w:rPr>
            </w:pPr>
          </w:p>
        </w:tc>
        <w:tc>
          <w:tcPr>
            <w:tcW w:w="720" w:type="dxa"/>
          </w:tcPr>
          <w:p w14:paraId="57ABC4FF">
            <w:pPr>
              <w:adjustRightInd w:val="0"/>
              <w:snapToGrid w:val="0"/>
              <w:spacing w:line="360" w:lineRule="exact"/>
              <w:jc w:val="center"/>
              <w:rPr>
                <w:rFonts w:ascii="宋体" w:hAnsi="宋体" w:eastAsia="宋体" w:cs="宋体"/>
              </w:rPr>
            </w:pPr>
          </w:p>
        </w:tc>
        <w:tc>
          <w:tcPr>
            <w:tcW w:w="720" w:type="dxa"/>
          </w:tcPr>
          <w:p w14:paraId="72EEE6A8">
            <w:pPr>
              <w:adjustRightInd w:val="0"/>
              <w:snapToGrid w:val="0"/>
              <w:spacing w:line="360" w:lineRule="exact"/>
              <w:jc w:val="center"/>
              <w:rPr>
                <w:rFonts w:ascii="宋体" w:hAnsi="宋体" w:eastAsia="宋体" w:cs="宋体"/>
              </w:rPr>
            </w:pPr>
          </w:p>
        </w:tc>
        <w:tc>
          <w:tcPr>
            <w:tcW w:w="2235" w:type="dxa"/>
          </w:tcPr>
          <w:p w14:paraId="1355F3E2">
            <w:pPr>
              <w:adjustRightInd w:val="0"/>
              <w:snapToGrid w:val="0"/>
              <w:spacing w:line="360" w:lineRule="exact"/>
              <w:rPr>
                <w:rFonts w:ascii="宋体" w:hAnsi="宋体" w:eastAsia="宋体" w:cs="宋体"/>
              </w:rPr>
            </w:pPr>
          </w:p>
        </w:tc>
      </w:tr>
      <w:tr w14:paraId="7A6F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60D0ADA">
            <w:pPr>
              <w:adjustRightInd w:val="0"/>
              <w:snapToGrid w:val="0"/>
              <w:spacing w:line="360" w:lineRule="exact"/>
              <w:jc w:val="center"/>
              <w:rPr>
                <w:rFonts w:ascii="宋体" w:hAnsi="宋体" w:eastAsia="宋体" w:cs="宋体"/>
              </w:rPr>
            </w:pPr>
            <w:r>
              <w:rPr>
                <w:rFonts w:hint="eastAsia" w:ascii="宋体" w:hAnsi="宋体" w:eastAsia="宋体" w:cs="宋体"/>
              </w:rPr>
              <w:t>3</w:t>
            </w:r>
          </w:p>
        </w:tc>
        <w:tc>
          <w:tcPr>
            <w:tcW w:w="1924" w:type="dxa"/>
          </w:tcPr>
          <w:p w14:paraId="45C3FBA5">
            <w:pPr>
              <w:adjustRightInd w:val="0"/>
              <w:snapToGrid w:val="0"/>
              <w:spacing w:line="360" w:lineRule="exact"/>
              <w:rPr>
                <w:rFonts w:ascii="宋体" w:hAnsi="宋体" w:eastAsia="宋体" w:cs="宋体"/>
              </w:rPr>
            </w:pPr>
          </w:p>
        </w:tc>
        <w:tc>
          <w:tcPr>
            <w:tcW w:w="1236" w:type="dxa"/>
          </w:tcPr>
          <w:p w14:paraId="2CBBB024">
            <w:pPr>
              <w:adjustRightInd w:val="0"/>
              <w:snapToGrid w:val="0"/>
              <w:spacing w:line="360" w:lineRule="exact"/>
              <w:rPr>
                <w:rFonts w:ascii="宋体" w:hAnsi="宋体" w:eastAsia="宋体" w:cs="宋体"/>
              </w:rPr>
            </w:pPr>
          </w:p>
        </w:tc>
        <w:tc>
          <w:tcPr>
            <w:tcW w:w="720" w:type="dxa"/>
          </w:tcPr>
          <w:p w14:paraId="7C8EB94D">
            <w:pPr>
              <w:adjustRightInd w:val="0"/>
              <w:snapToGrid w:val="0"/>
              <w:spacing w:line="360" w:lineRule="exact"/>
              <w:jc w:val="center"/>
              <w:rPr>
                <w:rFonts w:ascii="宋体" w:hAnsi="宋体" w:eastAsia="宋体" w:cs="宋体"/>
              </w:rPr>
            </w:pPr>
          </w:p>
        </w:tc>
        <w:tc>
          <w:tcPr>
            <w:tcW w:w="720" w:type="dxa"/>
          </w:tcPr>
          <w:p w14:paraId="3BFBE23C">
            <w:pPr>
              <w:adjustRightInd w:val="0"/>
              <w:snapToGrid w:val="0"/>
              <w:spacing w:line="360" w:lineRule="exact"/>
              <w:jc w:val="center"/>
              <w:rPr>
                <w:rFonts w:ascii="宋体" w:hAnsi="宋体" w:eastAsia="宋体" w:cs="宋体"/>
              </w:rPr>
            </w:pPr>
          </w:p>
        </w:tc>
        <w:tc>
          <w:tcPr>
            <w:tcW w:w="720" w:type="dxa"/>
          </w:tcPr>
          <w:p w14:paraId="22CE15A8">
            <w:pPr>
              <w:adjustRightInd w:val="0"/>
              <w:snapToGrid w:val="0"/>
              <w:spacing w:line="360" w:lineRule="exact"/>
              <w:jc w:val="center"/>
              <w:rPr>
                <w:rFonts w:ascii="宋体" w:hAnsi="宋体" w:eastAsia="宋体" w:cs="宋体"/>
              </w:rPr>
            </w:pPr>
          </w:p>
        </w:tc>
        <w:tc>
          <w:tcPr>
            <w:tcW w:w="720" w:type="dxa"/>
          </w:tcPr>
          <w:p w14:paraId="6E4D109C">
            <w:pPr>
              <w:adjustRightInd w:val="0"/>
              <w:snapToGrid w:val="0"/>
              <w:spacing w:line="360" w:lineRule="exact"/>
              <w:jc w:val="center"/>
              <w:rPr>
                <w:rFonts w:ascii="宋体" w:hAnsi="宋体" w:eastAsia="宋体" w:cs="宋体"/>
              </w:rPr>
            </w:pPr>
          </w:p>
        </w:tc>
        <w:tc>
          <w:tcPr>
            <w:tcW w:w="2235" w:type="dxa"/>
          </w:tcPr>
          <w:p w14:paraId="0FDECC5C">
            <w:pPr>
              <w:adjustRightInd w:val="0"/>
              <w:snapToGrid w:val="0"/>
              <w:spacing w:line="360" w:lineRule="exact"/>
              <w:rPr>
                <w:rFonts w:ascii="宋体" w:hAnsi="宋体" w:eastAsia="宋体" w:cs="宋体"/>
              </w:rPr>
            </w:pPr>
          </w:p>
        </w:tc>
      </w:tr>
      <w:tr w14:paraId="1858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C8E1AE0">
            <w:pPr>
              <w:adjustRightInd w:val="0"/>
              <w:snapToGrid w:val="0"/>
              <w:spacing w:line="360" w:lineRule="exact"/>
              <w:jc w:val="center"/>
              <w:rPr>
                <w:rFonts w:ascii="宋体" w:hAnsi="宋体" w:eastAsia="宋体" w:cs="宋体"/>
              </w:rPr>
            </w:pPr>
            <w:r>
              <w:rPr>
                <w:rFonts w:hint="eastAsia" w:ascii="宋体" w:hAnsi="宋体" w:eastAsia="宋体" w:cs="宋体"/>
              </w:rPr>
              <w:t>4</w:t>
            </w:r>
          </w:p>
        </w:tc>
        <w:tc>
          <w:tcPr>
            <w:tcW w:w="1924" w:type="dxa"/>
          </w:tcPr>
          <w:p w14:paraId="5DFC6A94">
            <w:pPr>
              <w:adjustRightInd w:val="0"/>
              <w:snapToGrid w:val="0"/>
              <w:spacing w:line="360" w:lineRule="exact"/>
              <w:rPr>
                <w:rFonts w:ascii="宋体" w:hAnsi="宋体" w:eastAsia="宋体" w:cs="宋体"/>
              </w:rPr>
            </w:pPr>
          </w:p>
        </w:tc>
        <w:tc>
          <w:tcPr>
            <w:tcW w:w="1236" w:type="dxa"/>
          </w:tcPr>
          <w:p w14:paraId="34CAB49B">
            <w:pPr>
              <w:adjustRightInd w:val="0"/>
              <w:snapToGrid w:val="0"/>
              <w:spacing w:line="360" w:lineRule="exact"/>
              <w:rPr>
                <w:rFonts w:ascii="宋体" w:hAnsi="宋体" w:eastAsia="宋体" w:cs="宋体"/>
              </w:rPr>
            </w:pPr>
          </w:p>
        </w:tc>
        <w:tc>
          <w:tcPr>
            <w:tcW w:w="720" w:type="dxa"/>
          </w:tcPr>
          <w:p w14:paraId="4739822C">
            <w:pPr>
              <w:adjustRightInd w:val="0"/>
              <w:snapToGrid w:val="0"/>
              <w:spacing w:line="360" w:lineRule="exact"/>
              <w:jc w:val="center"/>
              <w:rPr>
                <w:rFonts w:ascii="宋体" w:hAnsi="宋体" w:eastAsia="宋体" w:cs="宋体"/>
              </w:rPr>
            </w:pPr>
          </w:p>
        </w:tc>
        <w:tc>
          <w:tcPr>
            <w:tcW w:w="720" w:type="dxa"/>
          </w:tcPr>
          <w:p w14:paraId="1F986972">
            <w:pPr>
              <w:adjustRightInd w:val="0"/>
              <w:snapToGrid w:val="0"/>
              <w:spacing w:line="360" w:lineRule="exact"/>
              <w:jc w:val="center"/>
              <w:rPr>
                <w:rFonts w:ascii="宋体" w:hAnsi="宋体" w:eastAsia="宋体" w:cs="宋体"/>
              </w:rPr>
            </w:pPr>
          </w:p>
        </w:tc>
        <w:tc>
          <w:tcPr>
            <w:tcW w:w="720" w:type="dxa"/>
          </w:tcPr>
          <w:p w14:paraId="353446CB">
            <w:pPr>
              <w:adjustRightInd w:val="0"/>
              <w:snapToGrid w:val="0"/>
              <w:spacing w:line="360" w:lineRule="exact"/>
              <w:jc w:val="center"/>
              <w:rPr>
                <w:rFonts w:ascii="宋体" w:hAnsi="宋体" w:eastAsia="宋体" w:cs="宋体"/>
              </w:rPr>
            </w:pPr>
          </w:p>
        </w:tc>
        <w:tc>
          <w:tcPr>
            <w:tcW w:w="720" w:type="dxa"/>
          </w:tcPr>
          <w:p w14:paraId="6CEE0132">
            <w:pPr>
              <w:adjustRightInd w:val="0"/>
              <w:snapToGrid w:val="0"/>
              <w:spacing w:line="360" w:lineRule="exact"/>
              <w:jc w:val="center"/>
              <w:rPr>
                <w:rFonts w:ascii="宋体" w:hAnsi="宋体" w:eastAsia="宋体" w:cs="宋体"/>
              </w:rPr>
            </w:pPr>
          </w:p>
        </w:tc>
        <w:tc>
          <w:tcPr>
            <w:tcW w:w="2235" w:type="dxa"/>
          </w:tcPr>
          <w:p w14:paraId="42DF3EFD">
            <w:pPr>
              <w:adjustRightInd w:val="0"/>
              <w:snapToGrid w:val="0"/>
              <w:spacing w:line="360" w:lineRule="exact"/>
              <w:rPr>
                <w:rFonts w:ascii="宋体" w:hAnsi="宋体" w:eastAsia="宋体" w:cs="宋体"/>
              </w:rPr>
            </w:pPr>
          </w:p>
        </w:tc>
      </w:tr>
      <w:tr w14:paraId="757F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B71C81">
            <w:pPr>
              <w:adjustRightInd w:val="0"/>
              <w:snapToGrid w:val="0"/>
              <w:spacing w:line="360" w:lineRule="exact"/>
              <w:jc w:val="center"/>
              <w:rPr>
                <w:rFonts w:ascii="宋体" w:hAnsi="宋体" w:eastAsia="宋体" w:cs="宋体"/>
              </w:rPr>
            </w:pPr>
            <w:r>
              <w:rPr>
                <w:rFonts w:hint="eastAsia" w:ascii="宋体" w:hAnsi="宋体" w:eastAsia="宋体" w:cs="宋体"/>
              </w:rPr>
              <w:t>5</w:t>
            </w:r>
          </w:p>
        </w:tc>
        <w:tc>
          <w:tcPr>
            <w:tcW w:w="1924" w:type="dxa"/>
          </w:tcPr>
          <w:p w14:paraId="008E4320">
            <w:pPr>
              <w:adjustRightInd w:val="0"/>
              <w:snapToGrid w:val="0"/>
              <w:spacing w:line="360" w:lineRule="exact"/>
              <w:rPr>
                <w:rFonts w:ascii="宋体" w:hAnsi="宋体" w:eastAsia="宋体" w:cs="宋体"/>
              </w:rPr>
            </w:pPr>
          </w:p>
        </w:tc>
        <w:tc>
          <w:tcPr>
            <w:tcW w:w="1236" w:type="dxa"/>
          </w:tcPr>
          <w:p w14:paraId="40178830">
            <w:pPr>
              <w:adjustRightInd w:val="0"/>
              <w:snapToGrid w:val="0"/>
              <w:spacing w:line="360" w:lineRule="exact"/>
              <w:rPr>
                <w:rFonts w:ascii="宋体" w:hAnsi="宋体" w:eastAsia="宋体" w:cs="宋体"/>
              </w:rPr>
            </w:pPr>
          </w:p>
        </w:tc>
        <w:tc>
          <w:tcPr>
            <w:tcW w:w="720" w:type="dxa"/>
          </w:tcPr>
          <w:p w14:paraId="6D14B65D">
            <w:pPr>
              <w:adjustRightInd w:val="0"/>
              <w:snapToGrid w:val="0"/>
              <w:spacing w:line="360" w:lineRule="exact"/>
              <w:jc w:val="center"/>
              <w:rPr>
                <w:rFonts w:ascii="宋体" w:hAnsi="宋体" w:eastAsia="宋体" w:cs="宋体"/>
              </w:rPr>
            </w:pPr>
          </w:p>
        </w:tc>
        <w:tc>
          <w:tcPr>
            <w:tcW w:w="720" w:type="dxa"/>
          </w:tcPr>
          <w:p w14:paraId="36ECA3F4">
            <w:pPr>
              <w:adjustRightInd w:val="0"/>
              <w:snapToGrid w:val="0"/>
              <w:spacing w:line="360" w:lineRule="exact"/>
              <w:jc w:val="center"/>
              <w:rPr>
                <w:rFonts w:ascii="宋体" w:hAnsi="宋体" w:eastAsia="宋体" w:cs="宋体"/>
              </w:rPr>
            </w:pPr>
          </w:p>
        </w:tc>
        <w:tc>
          <w:tcPr>
            <w:tcW w:w="720" w:type="dxa"/>
          </w:tcPr>
          <w:p w14:paraId="74C4C619">
            <w:pPr>
              <w:adjustRightInd w:val="0"/>
              <w:snapToGrid w:val="0"/>
              <w:spacing w:line="360" w:lineRule="exact"/>
              <w:jc w:val="center"/>
              <w:rPr>
                <w:rFonts w:ascii="宋体" w:hAnsi="宋体" w:eastAsia="宋体" w:cs="宋体"/>
              </w:rPr>
            </w:pPr>
          </w:p>
        </w:tc>
        <w:tc>
          <w:tcPr>
            <w:tcW w:w="720" w:type="dxa"/>
          </w:tcPr>
          <w:p w14:paraId="31857620">
            <w:pPr>
              <w:adjustRightInd w:val="0"/>
              <w:snapToGrid w:val="0"/>
              <w:spacing w:line="360" w:lineRule="exact"/>
              <w:jc w:val="center"/>
              <w:rPr>
                <w:rFonts w:ascii="宋体" w:hAnsi="宋体" w:eastAsia="宋体" w:cs="宋体"/>
              </w:rPr>
            </w:pPr>
          </w:p>
        </w:tc>
        <w:tc>
          <w:tcPr>
            <w:tcW w:w="2235" w:type="dxa"/>
          </w:tcPr>
          <w:p w14:paraId="27BC73C7">
            <w:pPr>
              <w:adjustRightInd w:val="0"/>
              <w:snapToGrid w:val="0"/>
              <w:spacing w:line="360" w:lineRule="exact"/>
              <w:rPr>
                <w:rFonts w:ascii="宋体" w:hAnsi="宋体" w:eastAsia="宋体" w:cs="宋体"/>
              </w:rPr>
            </w:pPr>
          </w:p>
        </w:tc>
      </w:tr>
      <w:tr w14:paraId="3320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0694DB3">
            <w:pPr>
              <w:adjustRightInd w:val="0"/>
              <w:snapToGrid w:val="0"/>
              <w:spacing w:line="360" w:lineRule="exact"/>
              <w:jc w:val="center"/>
              <w:rPr>
                <w:rFonts w:ascii="宋体" w:hAnsi="宋体" w:eastAsia="宋体" w:cs="宋体"/>
              </w:rPr>
            </w:pPr>
          </w:p>
        </w:tc>
        <w:tc>
          <w:tcPr>
            <w:tcW w:w="1924" w:type="dxa"/>
          </w:tcPr>
          <w:p w14:paraId="12272DEF">
            <w:pPr>
              <w:adjustRightInd w:val="0"/>
              <w:snapToGrid w:val="0"/>
              <w:spacing w:line="360" w:lineRule="exact"/>
              <w:rPr>
                <w:rFonts w:ascii="宋体" w:hAnsi="宋体" w:eastAsia="宋体" w:cs="宋体"/>
              </w:rPr>
            </w:pPr>
          </w:p>
        </w:tc>
        <w:tc>
          <w:tcPr>
            <w:tcW w:w="1236" w:type="dxa"/>
          </w:tcPr>
          <w:p w14:paraId="4CD91098">
            <w:pPr>
              <w:adjustRightInd w:val="0"/>
              <w:snapToGrid w:val="0"/>
              <w:spacing w:line="360" w:lineRule="exact"/>
              <w:rPr>
                <w:rFonts w:ascii="宋体" w:hAnsi="宋体" w:eastAsia="宋体" w:cs="宋体"/>
              </w:rPr>
            </w:pPr>
          </w:p>
        </w:tc>
        <w:tc>
          <w:tcPr>
            <w:tcW w:w="720" w:type="dxa"/>
          </w:tcPr>
          <w:p w14:paraId="184867CC">
            <w:pPr>
              <w:adjustRightInd w:val="0"/>
              <w:snapToGrid w:val="0"/>
              <w:spacing w:line="360" w:lineRule="exact"/>
              <w:jc w:val="center"/>
              <w:rPr>
                <w:rFonts w:ascii="宋体" w:hAnsi="宋体" w:eastAsia="宋体" w:cs="宋体"/>
              </w:rPr>
            </w:pPr>
          </w:p>
        </w:tc>
        <w:tc>
          <w:tcPr>
            <w:tcW w:w="720" w:type="dxa"/>
          </w:tcPr>
          <w:p w14:paraId="39388720">
            <w:pPr>
              <w:adjustRightInd w:val="0"/>
              <w:snapToGrid w:val="0"/>
              <w:spacing w:line="360" w:lineRule="exact"/>
              <w:jc w:val="center"/>
              <w:rPr>
                <w:rFonts w:ascii="宋体" w:hAnsi="宋体" w:eastAsia="宋体" w:cs="宋体"/>
              </w:rPr>
            </w:pPr>
          </w:p>
        </w:tc>
        <w:tc>
          <w:tcPr>
            <w:tcW w:w="720" w:type="dxa"/>
          </w:tcPr>
          <w:p w14:paraId="6BDCEA0E">
            <w:pPr>
              <w:adjustRightInd w:val="0"/>
              <w:snapToGrid w:val="0"/>
              <w:spacing w:line="360" w:lineRule="exact"/>
              <w:jc w:val="center"/>
              <w:rPr>
                <w:rFonts w:ascii="宋体" w:hAnsi="宋体" w:eastAsia="宋体" w:cs="宋体"/>
              </w:rPr>
            </w:pPr>
          </w:p>
        </w:tc>
        <w:tc>
          <w:tcPr>
            <w:tcW w:w="720" w:type="dxa"/>
          </w:tcPr>
          <w:p w14:paraId="3BFF1F44">
            <w:pPr>
              <w:adjustRightInd w:val="0"/>
              <w:snapToGrid w:val="0"/>
              <w:spacing w:line="360" w:lineRule="exact"/>
              <w:jc w:val="center"/>
              <w:rPr>
                <w:rFonts w:ascii="宋体" w:hAnsi="宋体" w:eastAsia="宋体" w:cs="宋体"/>
              </w:rPr>
            </w:pPr>
          </w:p>
        </w:tc>
        <w:tc>
          <w:tcPr>
            <w:tcW w:w="2235" w:type="dxa"/>
          </w:tcPr>
          <w:p w14:paraId="4F8A5D90">
            <w:pPr>
              <w:adjustRightInd w:val="0"/>
              <w:snapToGrid w:val="0"/>
              <w:spacing w:line="360" w:lineRule="exact"/>
              <w:rPr>
                <w:rFonts w:ascii="宋体" w:hAnsi="宋体" w:eastAsia="宋体" w:cs="宋体"/>
              </w:rPr>
            </w:pPr>
          </w:p>
        </w:tc>
      </w:tr>
    </w:tbl>
    <w:p w14:paraId="490F82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E1C0A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544ED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71256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622B552B">
      <w:pPr>
        <w:pStyle w:val="120"/>
        <w:spacing w:line="360" w:lineRule="auto"/>
        <w:rPr>
          <w:rFonts w:ascii="宋体" w:hAnsi="宋体" w:cs="宋体"/>
          <w:color w:val="auto"/>
        </w:rPr>
      </w:pPr>
      <w:r>
        <w:rPr>
          <w:rFonts w:hint="eastAsia" w:ascii="宋体" w:hAnsi="宋体" w:cs="宋体"/>
          <w:color w:val="auto"/>
        </w:rPr>
        <w:t>二、技术文件中货物报价格式要求</w:t>
      </w:r>
    </w:p>
    <w:p w14:paraId="21FD6E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A1699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E529C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F235E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BDBDB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A4F03D">
      <w:pPr>
        <w:pStyle w:val="120"/>
        <w:spacing w:line="360" w:lineRule="auto"/>
        <w:rPr>
          <w:rFonts w:ascii="宋体" w:hAnsi="宋体" w:cs="宋体"/>
          <w:color w:val="auto"/>
        </w:rPr>
      </w:pPr>
      <w:r>
        <w:rPr>
          <w:rFonts w:hint="eastAsia" w:ascii="宋体" w:hAnsi="宋体" w:cs="宋体"/>
          <w:color w:val="auto"/>
        </w:rPr>
        <w:t>三、验收标准及内容要求</w:t>
      </w:r>
    </w:p>
    <w:p w14:paraId="2DB68CB7">
      <w:pPr>
        <w:adjustRightInd w:val="0"/>
        <w:snapToGrid w:val="0"/>
        <w:spacing w:line="360" w:lineRule="auto"/>
        <w:ind w:firstLine="480" w:firstLineChars="200"/>
        <w:rPr>
          <w:rFonts w:ascii="宋体" w:hAnsi="宋体" w:eastAsia="宋体" w:cs="宋体"/>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95A133B">
      <w:pPr>
        <w:pStyle w:val="133"/>
        <w:spacing w:line="360" w:lineRule="auto"/>
        <w:jc w:val="both"/>
        <w:outlineLvl w:val="1"/>
        <w:rPr>
          <w:rFonts w:eastAsia="宋体"/>
          <w:b/>
          <w:bCs w:val="0"/>
          <w:iCs/>
          <w:color w:val="auto"/>
          <w:sz w:val="28"/>
        </w:rPr>
      </w:pPr>
    </w:p>
    <w:p w14:paraId="5D845A26">
      <w:pPr>
        <w:pStyle w:val="133"/>
        <w:outlineLvl w:val="1"/>
        <w:rPr>
          <w:rFonts w:ascii="宋体" w:hAnsi="宋体" w:eastAsia="宋体" w:cs="宋体"/>
          <w:b/>
          <w:bCs w:val="0"/>
          <w:iCs/>
          <w:color w:val="auto"/>
          <w:sz w:val="28"/>
          <w:szCs w:val="22"/>
        </w:rPr>
      </w:pPr>
      <w:bookmarkStart w:id="97" w:name="_Toc465187648"/>
      <w:r>
        <w:rPr>
          <w:rFonts w:hint="eastAsia" w:ascii="宋体" w:hAnsi="宋体" w:eastAsia="宋体" w:cs="宋体"/>
          <w:b/>
          <w:bCs w:val="0"/>
          <w:iCs/>
          <w:color w:val="auto"/>
          <w:sz w:val="28"/>
          <w:szCs w:val="22"/>
        </w:rPr>
        <w:t>第七章  其它要求及说明</w:t>
      </w:r>
      <w:bookmarkEnd w:id="97"/>
    </w:p>
    <w:p w14:paraId="55375EBA">
      <w:pPr>
        <w:pStyle w:val="120"/>
        <w:spacing w:line="360" w:lineRule="auto"/>
        <w:rPr>
          <w:rFonts w:ascii="宋体" w:hAnsi="宋体" w:cs="宋体"/>
          <w:color w:val="auto"/>
        </w:rPr>
      </w:pPr>
      <w:r>
        <w:rPr>
          <w:rFonts w:hint="eastAsia" w:ascii="宋体" w:hAnsi="宋体" w:cs="宋体"/>
          <w:color w:val="auto"/>
        </w:rPr>
        <w:t>一、要求</w:t>
      </w:r>
    </w:p>
    <w:p w14:paraId="0A5E68BF">
      <w:pPr>
        <w:pStyle w:val="22"/>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C3BF64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14:paraId="1422ED9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14:paraId="7846AFC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14:paraId="780A920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14:paraId="114910D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203BB4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33ED238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BF3BCE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480F3B2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F154893">
      <w:pPr>
        <w:numPr>
          <w:ilvl w:val="0"/>
          <w:numId w:val="13"/>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5D69385">
      <w:pPr>
        <w:spacing w:line="420" w:lineRule="exact"/>
        <w:ind w:firstLine="482" w:firstLineChars="200"/>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14:paraId="36E9D53C">
      <w:pPr>
        <w:pStyle w:val="19"/>
        <w:numPr>
          <w:ilvl w:val="255"/>
          <w:numId w:val="0"/>
        </w:numPr>
      </w:pPr>
    </w:p>
    <w:p w14:paraId="59C903C0">
      <w:pPr>
        <w:pStyle w:val="120"/>
        <w:spacing w:line="360" w:lineRule="auto"/>
      </w:pPr>
      <w:r>
        <w:rPr>
          <w:rFonts w:hint="eastAsia" w:ascii="宋体" w:hAnsi="宋体" w:cs="宋体"/>
          <w:color w:val="auto"/>
        </w:rPr>
        <w:t>二、其他</w:t>
      </w:r>
    </w:p>
    <w:p w14:paraId="2E3052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6F98A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BDD01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2F55D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FE324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03CA98EB">
      <w:pPr>
        <w:pStyle w:val="19"/>
        <w:spacing w:line="360" w:lineRule="auto"/>
        <w:rPr>
          <w:rFonts w:hAnsi="宋体" w:eastAsia="宋体" w:cs="宋体"/>
          <w:sz w:val="24"/>
          <w:szCs w:val="24"/>
        </w:rPr>
        <w:sectPr>
          <w:headerReference r:id="rId14" w:type="default"/>
          <w:footerReference r:id="rId15" w:type="default"/>
          <w:pgSz w:w="11907" w:h="16840"/>
          <w:pgMar w:top="1304" w:right="1418" w:bottom="1304" w:left="1418" w:header="724" w:footer="851" w:gutter="0"/>
          <w:cols w:space="720" w:num="1"/>
          <w:docGrid w:linePitch="290" w:charSpace="-3931"/>
        </w:sectPr>
      </w:pPr>
    </w:p>
    <w:bookmarkEnd w:id="96"/>
    <w:p w14:paraId="78798C9B">
      <w:pPr>
        <w:pStyle w:val="19"/>
      </w:pPr>
    </w:p>
    <w:p w14:paraId="6A1419F5">
      <w:pPr>
        <w:spacing w:line="360" w:lineRule="auto"/>
        <w:jc w:val="center"/>
        <w:outlineLvl w:val="0"/>
        <w:rPr>
          <w:rFonts w:ascii="宋体" w:hAnsi="Calibri" w:eastAsia="宋体" w:cs="Times New Roman"/>
          <w:b/>
          <w:sz w:val="36"/>
          <w:szCs w:val="36"/>
        </w:rPr>
      </w:pPr>
      <w:bookmarkStart w:id="98" w:name="_Toc26233"/>
      <w:bookmarkStart w:id="99" w:name="_Toc358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8"/>
      <w:bookmarkEnd w:id="99"/>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37185F33">
      <w:pPr>
        <w:spacing w:line="360" w:lineRule="auto"/>
        <w:rPr>
          <w:rFonts w:hint="eastAsia"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0" w:name="_Toc20726"/>
      <w:r>
        <w:rPr>
          <w:rFonts w:hint="eastAsia" w:ascii="黑体" w:hAnsi="黑体" w:eastAsia="黑体" w:cs="宋体"/>
          <w:iCs/>
          <w:sz w:val="28"/>
          <w:szCs w:val="28"/>
        </w:rPr>
        <w:t>1 合同设备</w:t>
      </w:r>
      <w:bookmarkEnd w:id="100"/>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1" w:name="_Toc21541"/>
      <w:r>
        <w:rPr>
          <w:rFonts w:hint="eastAsia" w:ascii="黑体" w:hAnsi="黑体" w:eastAsia="黑体" w:cs="宋体"/>
          <w:iCs/>
          <w:sz w:val="28"/>
          <w:szCs w:val="28"/>
        </w:rPr>
        <w:t>2 包装</w:t>
      </w:r>
      <w:bookmarkEnd w:id="101"/>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2" w:name="_Toc27921"/>
      <w:r>
        <w:rPr>
          <w:rFonts w:hint="eastAsia" w:ascii="黑体" w:hAnsi="黑体" w:eastAsia="黑体" w:cs="宋体"/>
          <w:iCs/>
          <w:sz w:val="28"/>
          <w:szCs w:val="28"/>
        </w:rPr>
        <w:t>3 运输标记</w:t>
      </w:r>
      <w:bookmarkEnd w:id="102"/>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3" w:name="_Toc26319"/>
      <w:r>
        <w:rPr>
          <w:rFonts w:hint="eastAsia" w:ascii="黑体" w:hAnsi="黑体" w:eastAsia="黑体" w:cs="宋体"/>
          <w:iCs/>
          <w:sz w:val="28"/>
          <w:szCs w:val="28"/>
        </w:rPr>
        <w:t>4 检验</w:t>
      </w:r>
      <w:bookmarkEnd w:id="103"/>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4" w:name="_Toc26689"/>
      <w:r>
        <w:rPr>
          <w:rFonts w:hint="eastAsia" w:ascii="黑体" w:hAnsi="黑体" w:eastAsia="黑体" w:cs="宋体"/>
          <w:iCs/>
          <w:sz w:val="28"/>
          <w:szCs w:val="28"/>
        </w:rPr>
        <w:t>5 权利担保</w:t>
      </w:r>
      <w:bookmarkEnd w:id="104"/>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5" w:name="_Toc9048"/>
      <w:r>
        <w:rPr>
          <w:rFonts w:hint="eastAsia" w:ascii="黑体" w:hAnsi="黑体" w:eastAsia="黑体" w:cs="宋体"/>
          <w:iCs/>
          <w:sz w:val="28"/>
          <w:szCs w:val="28"/>
        </w:rPr>
        <w:t>6 交货</w:t>
      </w:r>
      <w:bookmarkEnd w:id="105"/>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6" w:name="_Toc20865"/>
      <w:r>
        <w:rPr>
          <w:rFonts w:hint="eastAsia" w:ascii="黑体" w:hAnsi="黑体" w:eastAsia="黑体" w:cs="宋体"/>
          <w:iCs/>
          <w:sz w:val="28"/>
          <w:szCs w:val="28"/>
        </w:rPr>
        <w:t>7 安装、调试</w:t>
      </w:r>
      <w:bookmarkEnd w:id="106"/>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7" w:name="_Toc4014"/>
      <w:r>
        <w:rPr>
          <w:rFonts w:hint="eastAsia" w:ascii="黑体" w:hAnsi="黑体" w:eastAsia="黑体" w:cs="宋体"/>
          <w:iCs/>
          <w:sz w:val="28"/>
          <w:szCs w:val="28"/>
        </w:rPr>
        <w:t>8 价款与支付</w:t>
      </w:r>
      <w:bookmarkEnd w:id="107"/>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8" w:name="_Toc1626"/>
      <w:r>
        <w:rPr>
          <w:rFonts w:hint="eastAsia" w:ascii="黑体" w:hAnsi="黑体" w:eastAsia="黑体" w:cs="宋体"/>
          <w:iCs/>
          <w:sz w:val="28"/>
          <w:szCs w:val="28"/>
        </w:rPr>
        <w:t>9 质量保证及售后服务</w:t>
      </w:r>
      <w:bookmarkEnd w:id="108"/>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9" w:name="_Toc11560"/>
      <w:r>
        <w:rPr>
          <w:rFonts w:hint="eastAsia" w:ascii="黑体" w:hAnsi="黑体" w:eastAsia="黑体" w:cs="宋体"/>
          <w:iCs/>
          <w:sz w:val="28"/>
          <w:szCs w:val="28"/>
        </w:rPr>
        <w:t>10法定责任</w:t>
      </w:r>
      <w:bookmarkEnd w:id="109"/>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0" w:name="_Toc31994"/>
      <w:r>
        <w:rPr>
          <w:rFonts w:hint="eastAsia" w:ascii="黑体" w:hAnsi="黑体" w:eastAsia="黑体" w:cs="宋体"/>
          <w:iCs/>
          <w:sz w:val="28"/>
          <w:szCs w:val="28"/>
        </w:rPr>
        <w:t>11 违约责任</w:t>
      </w:r>
      <w:bookmarkEnd w:id="110"/>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1" w:name="_Toc21186"/>
      <w:r>
        <w:rPr>
          <w:rFonts w:hint="eastAsia" w:ascii="黑体" w:hAnsi="黑体" w:eastAsia="黑体" w:cs="宋体"/>
          <w:iCs/>
          <w:sz w:val="28"/>
          <w:szCs w:val="28"/>
        </w:rPr>
        <w:t>12 合同的终止与解除</w:t>
      </w:r>
      <w:bookmarkEnd w:id="111"/>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2" w:name="_Toc3044"/>
      <w:r>
        <w:rPr>
          <w:rFonts w:hint="eastAsia" w:ascii="黑体" w:hAnsi="黑体" w:eastAsia="黑体" w:cs="宋体"/>
          <w:iCs/>
          <w:sz w:val="28"/>
          <w:szCs w:val="28"/>
        </w:rPr>
        <w:t>13 不可抗力</w:t>
      </w:r>
      <w:bookmarkEnd w:id="112"/>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3" w:name="_Toc21120"/>
      <w:r>
        <w:rPr>
          <w:rFonts w:hint="eastAsia" w:ascii="黑体" w:hAnsi="黑体" w:eastAsia="黑体" w:cs="宋体"/>
          <w:iCs/>
          <w:sz w:val="28"/>
          <w:szCs w:val="28"/>
        </w:rPr>
        <w:t>14 通讯</w:t>
      </w:r>
      <w:bookmarkEnd w:id="113"/>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14" w:name="_Toc1107"/>
      <w:r>
        <w:rPr>
          <w:rFonts w:hint="eastAsia" w:ascii="黑体" w:hAnsi="黑体" w:eastAsia="黑体" w:cs="宋体"/>
          <w:iCs/>
          <w:sz w:val="28"/>
          <w:szCs w:val="28"/>
        </w:rPr>
        <w:t>15 适用法律及争议解决</w:t>
      </w:r>
      <w:bookmarkEnd w:id="114"/>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2775"/>
      <w:r>
        <w:rPr>
          <w:rFonts w:hint="eastAsia" w:ascii="黑体" w:hAnsi="黑体" w:eastAsia="黑体" w:cs="宋体"/>
          <w:iCs/>
          <w:sz w:val="28"/>
          <w:szCs w:val="28"/>
        </w:rPr>
        <w:t>16 附件</w:t>
      </w:r>
      <w:bookmarkEnd w:id="115"/>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6" w:name="_Toc23685"/>
      <w:r>
        <w:rPr>
          <w:rFonts w:hint="eastAsia" w:ascii="黑体" w:hAnsi="黑体" w:eastAsia="黑体" w:cs="宋体"/>
          <w:iCs/>
          <w:sz w:val="28"/>
          <w:szCs w:val="28"/>
        </w:rPr>
        <w:t>17 其他规定</w:t>
      </w:r>
      <w:bookmarkEnd w:id="116"/>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7" w:name="_Toc19515"/>
      <w:r>
        <w:rPr>
          <w:rFonts w:hint="eastAsia" w:ascii="黑体" w:hAnsi="黑体" w:eastAsia="黑体" w:cs="宋体"/>
          <w:iCs/>
          <w:sz w:val="28"/>
          <w:szCs w:val="28"/>
        </w:rPr>
        <w:t>18 签署事项</w:t>
      </w:r>
      <w:bookmarkEnd w:id="117"/>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18" w:name="_Toc14581"/>
      <w:r>
        <w:rPr>
          <w:rFonts w:hint="eastAsia" w:ascii="黑体" w:hAnsi="黑体" w:eastAsia="黑体" w:cstheme="minorEastAsia"/>
          <w:b w:val="0"/>
          <w:sz w:val="28"/>
          <w:szCs w:val="28"/>
        </w:rPr>
        <w:t>附件一：设备清单明细表</w:t>
      </w:r>
      <w:bookmarkEnd w:id="118"/>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19" w:name="_Toc8175"/>
      <w:r>
        <w:rPr>
          <w:rFonts w:hint="eastAsia" w:ascii="黑体" w:hAnsi="黑体" w:eastAsia="黑体" w:cstheme="minorEastAsia"/>
          <w:b w:val="0"/>
          <w:sz w:val="28"/>
          <w:szCs w:val="28"/>
        </w:rPr>
        <w:t>附件二 技术协议书</w:t>
      </w:r>
      <w:bookmarkEnd w:id="119"/>
    </w:p>
    <w:p w14:paraId="6C40DC52">
      <w:pPr>
        <w:ind w:right="360"/>
        <w:rPr>
          <w:rFonts w:hint="eastAsia" w:asciiTheme="minorEastAsia" w:hAnsiTheme="minorEastAsia" w:cstheme="minorEastAsia"/>
          <w:sz w:val="20"/>
          <w:szCs w:val="20"/>
        </w:rPr>
        <w:sectPr>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20" w:name="_Toc3018"/>
      <w:bookmarkStart w:id="121" w:name="_Toc22783"/>
      <w:bookmarkStart w:id="122" w:name="_Toc1903"/>
      <w:bookmarkStart w:id="123" w:name="_Toc16875"/>
      <w:bookmarkStart w:id="124" w:name="_Toc11699"/>
      <w:bookmarkStart w:id="125" w:name="_Toc31191"/>
      <w:r>
        <w:rPr>
          <w:rFonts w:hint="eastAsia" w:ascii="仿宋_GB2312" w:hAnsi="仿宋_GB2312" w:eastAsia="仿宋_GB2312" w:cs="仿宋_GB2312"/>
          <w:sz w:val="44"/>
          <w:szCs w:val="44"/>
          <w:lang w:val="en-US" w:eastAsia="zh-CN"/>
        </w:rPr>
        <w:t>第六部分 投标文件附件</w:t>
      </w:r>
      <w:bookmarkEnd w:id="120"/>
      <w:bookmarkEnd w:id="121"/>
      <w:bookmarkEnd w:id="122"/>
      <w:bookmarkEnd w:id="123"/>
      <w:bookmarkEnd w:id="124"/>
      <w:bookmarkEnd w:id="125"/>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4A765F5F">
      <w:pPr>
        <w:pStyle w:val="19"/>
        <w:rPr>
          <w:rFonts w:hint="eastAsia" w:ascii="仿宋_GB2312" w:hAnsi="仿宋_GB2312" w:eastAsia="仿宋_GB2312" w:cs="仿宋_GB2312"/>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26" w:name="_Toc23117"/>
      <w:bookmarkStart w:id="127" w:name="_Toc28575"/>
      <w:bookmarkStart w:id="128" w:name="_Toc20564"/>
      <w:r>
        <w:rPr>
          <w:rFonts w:hint="eastAsia" w:ascii="仿宋_GB2312" w:hAnsi="仿宋_GB2312" w:eastAsia="仿宋_GB2312" w:cs="仿宋_GB2312"/>
          <w:b/>
          <w:bCs/>
          <w:kern w:val="2"/>
          <w:sz w:val="36"/>
          <w:szCs w:val="36"/>
          <w:lang w:val="en-US" w:eastAsia="zh-CN" w:bidi="ar-SA"/>
        </w:rPr>
        <w:t>附件1</w:t>
      </w:r>
      <w:bookmarkStart w:id="129" w:name="_Toc353881012"/>
      <w:bookmarkStart w:id="130" w:name="_Toc212369550"/>
      <w:bookmarkStart w:id="131" w:name="_Toc639004"/>
      <w:bookmarkStart w:id="132" w:name="_Toc25811"/>
      <w:r>
        <w:rPr>
          <w:rFonts w:hint="eastAsia" w:ascii="仿宋_GB2312" w:hAnsi="仿宋_GB2312" w:eastAsia="仿宋_GB2312" w:cs="仿宋_GB2312"/>
          <w:b/>
          <w:bCs/>
          <w:kern w:val="2"/>
          <w:sz w:val="36"/>
          <w:szCs w:val="36"/>
          <w:lang w:val="en-US" w:eastAsia="zh-CN" w:bidi="ar-SA"/>
        </w:rPr>
        <w:t xml:space="preserve"> 投标函</w:t>
      </w:r>
      <w:bookmarkEnd w:id="126"/>
      <w:bookmarkEnd w:id="127"/>
      <w:bookmarkEnd w:id="128"/>
      <w:bookmarkEnd w:id="129"/>
      <w:bookmarkEnd w:id="130"/>
      <w:bookmarkEnd w:id="131"/>
      <w:bookmarkEnd w:id="132"/>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中国重汽集团济南橡塑件公司护套喷码机项目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3" w:name="_Toc31515"/>
      <w:bookmarkStart w:id="134" w:name="_Toc16460"/>
      <w:bookmarkStart w:id="135" w:name="_Toc6733"/>
      <w:r>
        <w:rPr>
          <w:rFonts w:hint="eastAsia" w:ascii="仿宋_GB2312" w:hAnsi="仿宋_GB2312" w:eastAsia="仿宋_GB2312" w:cs="仿宋_GB2312"/>
          <w:b/>
          <w:bCs/>
          <w:kern w:val="2"/>
          <w:sz w:val="36"/>
          <w:szCs w:val="36"/>
          <w:lang w:val="en-US" w:eastAsia="zh-CN" w:bidi="ar-SA"/>
        </w:rPr>
        <w:t>附件2 法定代表人授权委托书</w:t>
      </w:r>
      <w:bookmarkEnd w:id="133"/>
      <w:bookmarkEnd w:id="134"/>
      <w:bookmarkEnd w:id="135"/>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中国重汽集团济南橡塑件公司护套喷码机项目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CGZX2025050048</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1ED35C04">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6" w:name="_Toc13989"/>
      <w:bookmarkStart w:id="137" w:name="_Toc24567"/>
      <w:bookmarkStart w:id="138" w:name="_Toc27444"/>
      <w:r>
        <w:rPr>
          <w:rFonts w:hint="eastAsia" w:ascii="仿宋_GB2312" w:hAnsi="仿宋_GB2312" w:eastAsia="仿宋_GB2312" w:cs="仿宋_GB2312"/>
          <w:b/>
          <w:bCs/>
          <w:kern w:val="2"/>
          <w:sz w:val="36"/>
          <w:szCs w:val="36"/>
          <w:lang w:val="en-US" w:eastAsia="zh-CN" w:bidi="ar-SA"/>
        </w:rPr>
        <w:t>附件3 投标人基本情况表</w:t>
      </w:r>
      <w:bookmarkEnd w:id="136"/>
      <w:bookmarkEnd w:id="137"/>
      <w:bookmarkEnd w:id="138"/>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54DEE922">
      <w:pPr>
        <w:pStyle w:val="19"/>
        <w:rPr>
          <w:rFonts w:hint="eastAsia" w:ascii="仿宋_GB2312" w:hAnsi="仿宋_GB2312" w:eastAsia="仿宋_GB2312" w:cs="仿宋_GB2312"/>
          <w:b/>
          <w:bCs/>
          <w:color w:val="000000"/>
          <w:sz w:val="24"/>
          <w:szCs w:val="24"/>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9" w:name="_Toc21910"/>
      <w:bookmarkStart w:id="140" w:name="_Toc21977"/>
      <w:bookmarkStart w:id="141" w:name="_Toc17882"/>
      <w:r>
        <w:rPr>
          <w:rFonts w:hint="eastAsia" w:ascii="仿宋_GB2312" w:hAnsi="仿宋_GB2312" w:eastAsia="仿宋_GB2312" w:cs="仿宋_GB2312"/>
          <w:b/>
          <w:bCs/>
          <w:kern w:val="2"/>
          <w:sz w:val="36"/>
          <w:szCs w:val="36"/>
          <w:lang w:val="en-US" w:eastAsia="zh-CN" w:bidi="ar-SA"/>
        </w:rPr>
        <w:t>附件4 保密承诺函</w:t>
      </w:r>
      <w:bookmarkEnd w:id="139"/>
      <w:bookmarkEnd w:id="140"/>
      <w:bookmarkEnd w:id="141"/>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7A4DFADE">
      <w:pPr>
        <w:rPr>
          <w:rFonts w:hint="eastAsia" w:ascii="仿宋_GB2312" w:hAnsi="仿宋_GB2312" w:eastAsia="仿宋_GB2312" w:cs="仿宋_GB2312"/>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2" w:name="_Toc20318"/>
      <w:bookmarkStart w:id="143" w:name="_Toc6608"/>
      <w:bookmarkStart w:id="144" w:name="_Toc12909"/>
      <w:r>
        <w:rPr>
          <w:rFonts w:hint="eastAsia" w:ascii="仿宋_GB2312" w:hAnsi="仿宋_GB2312" w:eastAsia="仿宋_GB2312" w:cs="仿宋_GB2312"/>
          <w:b/>
          <w:bCs/>
          <w:kern w:val="2"/>
          <w:sz w:val="36"/>
          <w:szCs w:val="36"/>
          <w:lang w:val="en-US" w:eastAsia="zh-CN" w:bidi="ar-SA"/>
        </w:rPr>
        <w:t>附件5-1 技术规格偏离表</w:t>
      </w:r>
      <w:bookmarkEnd w:id="142"/>
      <w:bookmarkEnd w:id="143"/>
      <w:bookmarkEnd w:id="144"/>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45FD1288">
      <w:pPr>
        <w:rPr>
          <w:rFonts w:hint="eastAsia" w:ascii="仿宋_GB2312" w:hAnsi="仿宋_GB2312" w:eastAsia="仿宋_GB2312" w:cs="仿宋_GB2312"/>
          <w:b/>
          <w:bCs/>
          <w:color w:val="000000"/>
          <w:sz w:val="28"/>
          <w:szCs w:val="20"/>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5" w:name="_Toc16139"/>
      <w:bookmarkStart w:id="146" w:name="_Toc4359"/>
      <w:bookmarkStart w:id="147" w:name="_Toc1711"/>
      <w:r>
        <w:rPr>
          <w:rFonts w:hint="eastAsia" w:ascii="仿宋_GB2312" w:hAnsi="仿宋_GB2312" w:eastAsia="仿宋_GB2312" w:cs="仿宋_GB2312"/>
          <w:b/>
          <w:bCs/>
          <w:kern w:val="2"/>
          <w:sz w:val="36"/>
          <w:szCs w:val="36"/>
          <w:lang w:val="en-US" w:eastAsia="zh-CN" w:bidi="ar-SA"/>
        </w:rPr>
        <w:t>附件5-2 设备分项配置</w:t>
      </w:r>
      <w:bookmarkEnd w:id="145"/>
      <w:bookmarkEnd w:id="146"/>
      <w:bookmarkEnd w:id="147"/>
    </w:p>
    <w:p w14:paraId="143F9C4D">
      <w:pPr>
        <w:bidi w:val="0"/>
        <w:jc w:val="center"/>
        <w:rPr>
          <w:rFonts w:hint="eastAsia" w:ascii="仿宋_GB2312" w:hAnsi="仿宋_GB2312" w:eastAsia="仿宋_GB2312" w:cs="仿宋_GB2312"/>
          <w:sz w:val="24"/>
          <w:szCs w:val="24"/>
        </w:rPr>
      </w:pPr>
      <w:bookmarkStart w:id="148"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48"/>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p w14:paraId="5C7E5796">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2298"/>
        <w:gridCol w:w="4827"/>
        <w:gridCol w:w="965"/>
        <w:gridCol w:w="988"/>
        <w:gridCol w:w="2022"/>
        <w:gridCol w:w="1402"/>
      </w:tblGrid>
      <w:tr w14:paraId="70C16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75" w:type="dxa"/>
          </w:tcPr>
          <w:p w14:paraId="75F3038F">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98" w:type="dxa"/>
          </w:tcPr>
          <w:p w14:paraId="06DC7EA3">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827" w:type="dxa"/>
          </w:tcPr>
          <w:p w14:paraId="53F2E617">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965" w:type="dxa"/>
          </w:tcPr>
          <w:p w14:paraId="2871E702">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988" w:type="dxa"/>
          </w:tcPr>
          <w:p w14:paraId="34B80BB9">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022" w:type="dxa"/>
            <w:tcBorders>
              <w:right w:val="single" w:color="000000" w:sz="4" w:space="0"/>
            </w:tcBorders>
          </w:tcPr>
          <w:p w14:paraId="13A68370">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02" w:type="dxa"/>
          </w:tcPr>
          <w:p w14:paraId="760D213F">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08CDE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75" w:type="dxa"/>
            <w:vAlign w:val="center"/>
          </w:tcPr>
          <w:p w14:paraId="474A5E7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98" w:type="dxa"/>
            <w:vAlign w:val="center"/>
          </w:tcPr>
          <w:p w14:paraId="0B16115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4827" w:type="dxa"/>
            <w:vAlign w:val="center"/>
          </w:tcPr>
          <w:p w14:paraId="68A4B7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965" w:type="dxa"/>
            <w:vAlign w:val="center"/>
          </w:tcPr>
          <w:p w14:paraId="120DB7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988" w:type="dxa"/>
            <w:vAlign w:val="center"/>
          </w:tcPr>
          <w:p w14:paraId="334923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22" w:type="dxa"/>
            <w:tcBorders>
              <w:right w:val="single" w:color="000000" w:sz="4" w:space="0"/>
            </w:tcBorders>
            <w:vAlign w:val="center"/>
          </w:tcPr>
          <w:p w14:paraId="17DD10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02" w:type="dxa"/>
            <w:vAlign w:val="center"/>
          </w:tcPr>
          <w:p w14:paraId="16D1C70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70C21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5" w:type="dxa"/>
            <w:vAlign w:val="center"/>
          </w:tcPr>
          <w:p w14:paraId="5D9FDABC">
            <w:pPr>
              <w:pStyle w:val="127"/>
              <w:spacing w:before="60" w:after="60" w:line="240" w:lineRule="auto"/>
              <w:jc w:val="center"/>
              <w:rPr>
                <w:rFonts w:hint="eastAsia" w:ascii="宋体" w:hAnsi="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2298" w:type="dxa"/>
            <w:vAlign w:val="center"/>
          </w:tcPr>
          <w:p w14:paraId="58974CD1">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sz w:val="24"/>
                <w:lang w:val="en-US" w:eastAsia="zh-CN"/>
              </w:rPr>
              <w:t>护套喷码机</w:t>
            </w:r>
          </w:p>
        </w:tc>
        <w:tc>
          <w:tcPr>
            <w:tcW w:w="4827" w:type="dxa"/>
            <w:vAlign w:val="center"/>
          </w:tcPr>
          <w:p w14:paraId="3F6AC4B1">
            <w:pPr>
              <w:widowControl/>
              <w:jc w:val="center"/>
              <w:textAlignment w:val="center"/>
              <w:rPr>
                <w:rFonts w:hint="eastAsia" w:ascii="宋体" w:hAnsi="宋体" w:eastAsia="宋体" w:cs="宋体"/>
                <w:sz w:val="18"/>
                <w:szCs w:val="18"/>
              </w:rPr>
            </w:pPr>
          </w:p>
        </w:tc>
        <w:tc>
          <w:tcPr>
            <w:tcW w:w="965" w:type="dxa"/>
            <w:vAlign w:val="center"/>
          </w:tcPr>
          <w:p w14:paraId="7E08A12D">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台</w:t>
            </w:r>
          </w:p>
        </w:tc>
        <w:tc>
          <w:tcPr>
            <w:tcW w:w="988" w:type="dxa"/>
            <w:vAlign w:val="center"/>
          </w:tcPr>
          <w:p w14:paraId="2C1C2440">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val="en-US" w:eastAsia="zh-CN" w:bidi="ar"/>
              </w:rPr>
              <w:t>6</w:t>
            </w:r>
          </w:p>
        </w:tc>
        <w:tc>
          <w:tcPr>
            <w:tcW w:w="2022" w:type="dxa"/>
            <w:tcBorders>
              <w:right w:val="single" w:color="000000" w:sz="4" w:space="0"/>
            </w:tcBorders>
          </w:tcPr>
          <w:p w14:paraId="4EA76A1D">
            <w:pPr>
              <w:jc w:val="left"/>
              <w:rPr>
                <w:rFonts w:hint="eastAsia" w:ascii="Arial"/>
              </w:rPr>
            </w:pPr>
          </w:p>
        </w:tc>
        <w:tc>
          <w:tcPr>
            <w:tcW w:w="1402" w:type="dxa"/>
          </w:tcPr>
          <w:p w14:paraId="079EC397">
            <w:pPr>
              <w:jc w:val="left"/>
              <w:rPr>
                <w:rFonts w:hint="eastAsia" w:ascii="Arial"/>
              </w:rPr>
            </w:pPr>
          </w:p>
        </w:tc>
      </w:tr>
      <w:tr w14:paraId="79208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5" w:type="dxa"/>
            <w:vAlign w:val="center"/>
          </w:tcPr>
          <w:p w14:paraId="6211040D">
            <w:pPr>
              <w:adjustRightInd w:val="0"/>
              <w:snapToGrid w:val="0"/>
              <w:spacing w:before="156" w:beforeLines="50" w:after="156" w:afterLines="50"/>
              <w:jc w:val="center"/>
              <w:rPr>
                <w:rFonts w:hint="eastAsia" w:ascii="宋体" w:hAnsi="宋体" w:cs="宋体"/>
                <w:szCs w:val="21"/>
              </w:rPr>
            </w:pPr>
          </w:p>
        </w:tc>
        <w:tc>
          <w:tcPr>
            <w:tcW w:w="2298" w:type="dxa"/>
            <w:vAlign w:val="center"/>
          </w:tcPr>
          <w:p w14:paraId="41D55AA3">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3102F8FB">
            <w:pPr>
              <w:widowControl/>
              <w:spacing w:line="240" w:lineRule="exact"/>
              <w:jc w:val="center"/>
              <w:rPr>
                <w:rFonts w:hint="eastAsia" w:ascii="宋体" w:hAnsi="宋体" w:eastAsia="宋体" w:cs="宋体"/>
                <w:sz w:val="18"/>
                <w:szCs w:val="18"/>
              </w:rPr>
            </w:pPr>
          </w:p>
        </w:tc>
        <w:tc>
          <w:tcPr>
            <w:tcW w:w="965" w:type="dxa"/>
            <w:vAlign w:val="center"/>
          </w:tcPr>
          <w:p w14:paraId="5A167FE3">
            <w:pPr>
              <w:widowControl/>
              <w:jc w:val="center"/>
              <w:textAlignment w:val="center"/>
              <w:rPr>
                <w:rFonts w:hint="eastAsia" w:ascii="宋体" w:hAnsi="宋体" w:eastAsia="宋体"/>
                <w:szCs w:val="21"/>
              </w:rPr>
            </w:pPr>
          </w:p>
        </w:tc>
        <w:tc>
          <w:tcPr>
            <w:tcW w:w="988" w:type="dxa"/>
            <w:vAlign w:val="center"/>
          </w:tcPr>
          <w:p w14:paraId="2C3504FA">
            <w:pPr>
              <w:widowControl/>
              <w:jc w:val="center"/>
              <w:textAlignment w:val="center"/>
              <w:rPr>
                <w:rFonts w:hint="eastAsia" w:ascii="宋体" w:hAnsi="宋体" w:eastAsia="宋体"/>
                <w:szCs w:val="21"/>
              </w:rPr>
            </w:pPr>
          </w:p>
        </w:tc>
        <w:tc>
          <w:tcPr>
            <w:tcW w:w="2022" w:type="dxa"/>
            <w:tcBorders>
              <w:right w:val="single" w:color="000000" w:sz="4" w:space="0"/>
            </w:tcBorders>
          </w:tcPr>
          <w:p w14:paraId="090CB8AD">
            <w:pPr>
              <w:jc w:val="left"/>
              <w:rPr>
                <w:rFonts w:hint="eastAsia" w:ascii="Arial"/>
              </w:rPr>
            </w:pPr>
          </w:p>
        </w:tc>
        <w:tc>
          <w:tcPr>
            <w:tcW w:w="1402" w:type="dxa"/>
          </w:tcPr>
          <w:p w14:paraId="48156DC2">
            <w:pPr>
              <w:jc w:val="left"/>
              <w:rPr>
                <w:rFonts w:hint="eastAsia" w:ascii="Arial"/>
              </w:rPr>
            </w:pPr>
          </w:p>
        </w:tc>
      </w:tr>
      <w:tr w14:paraId="13D16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70A9FA75">
            <w:pPr>
              <w:adjustRightInd w:val="0"/>
              <w:snapToGrid w:val="0"/>
              <w:spacing w:before="156" w:beforeLines="50" w:after="156" w:afterLines="50"/>
              <w:jc w:val="center"/>
              <w:rPr>
                <w:rFonts w:hint="eastAsia" w:ascii="宋体" w:hAnsi="宋体" w:cs="宋体"/>
                <w:szCs w:val="21"/>
              </w:rPr>
            </w:pPr>
          </w:p>
        </w:tc>
        <w:tc>
          <w:tcPr>
            <w:tcW w:w="2298" w:type="dxa"/>
            <w:vAlign w:val="center"/>
          </w:tcPr>
          <w:p w14:paraId="43FA40A2">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728E5081">
            <w:pPr>
              <w:widowControl/>
              <w:spacing w:line="240" w:lineRule="exact"/>
              <w:jc w:val="center"/>
              <w:rPr>
                <w:rFonts w:hint="eastAsia" w:ascii="宋体" w:hAnsi="宋体" w:eastAsia="宋体" w:cs="宋体"/>
                <w:sz w:val="18"/>
                <w:szCs w:val="18"/>
              </w:rPr>
            </w:pPr>
          </w:p>
        </w:tc>
        <w:tc>
          <w:tcPr>
            <w:tcW w:w="965" w:type="dxa"/>
            <w:vAlign w:val="center"/>
          </w:tcPr>
          <w:p w14:paraId="58B353E8">
            <w:pPr>
              <w:widowControl/>
              <w:jc w:val="center"/>
              <w:textAlignment w:val="center"/>
              <w:rPr>
                <w:rFonts w:hint="eastAsia" w:ascii="宋体" w:hAnsi="宋体" w:eastAsia="宋体"/>
                <w:szCs w:val="21"/>
              </w:rPr>
            </w:pPr>
          </w:p>
        </w:tc>
        <w:tc>
          <w:tcPr>
            <w:tcW w:w="988" w:type="dxa"/>
            <w:vAlign w:val="center"/>
          </w:tcPr>
          <w:p w14:paraId="72A6CC9C">
            <w:pPr>
              <w:widowControl/>
              <w:jc w:val="center"/>
              <w:textAlignment w:val="center"/>
              <w:rPr>
                <w:rFonts w:hint="eastAsia" w:ascii="宋体" w:hAnsi="宋体" w:eastAsia="宋体"/>
                <w:szCs w:val="21"/>
              </w:rPr>
            </w:pPr>
          </w:p>
        </w:tc>
        <w:tc>
          <w:tcPr>
            <w:tcW w:w="2022" w:type="dxa"/>
            <w:tcBorders>
              <w:right w:val="single" w:color="000000" w:sz="4" w:space="0"/>
            </w:tcBorders>
          </w:tcPr>
          <w:p w14:paraId="04047B01">
            <w:pPr>
              <w:jc w:val="left"/>
              <w:rPr>
                <w:rFonts w:hint="eastAsia" w:ascii="Arial"/>
              </w:rPr>
            </w:pPr>
          </w:p>
        </w:tc>
        <w:tc>
          <w:tcPr>
            <w:tcW w:w="1402" w:type="dxa"/>
          </w:tcPr>
          <w:p w14:paraId="3AEF926E">
            <w:pPr>
              <w:jc w:val="left"/>
              <w:rPr>
                <w:rFonts w:hint="eastAsia" w:ascii="Arial"/>
              </w:rPr>
            </w:pPr>
          </w:p>
        </w:tc>
      </w:tr>
      <w:tr w14:paraId="7DB72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628BAAAF">
            <w:pPr>
              <w:adjustRightInd w:val="0"/>
              <w:snapToGrid w:val="0"/>
              <w:spacing w:before="156" w:beforeLines="50" w:after="156" w:afterLines="50"/>
              <w:jc w:val="center"/>
              <w:rPr>
                <w:rFonts w:hint="eastAsia" w:ascii="宋体" w:hAnsi="宋体" w:cs="宋体"/>
                <w:szCs w:val="21"/>
              </w:rPr>
            </w:pPr>
          </w:p>
        </w:tc>
        <w:tc>
          <w:tcPr>
            <w:tcW w:w="2298" w:type="dxa"/>
            <w:vAlign w:val="center"/>
          </w:tcPr>
          <w:p w14:paraId="231FF9C1">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1CBD3676">
            <w:pPr>
              <w:widowControl/>
              <w:spacing w:line="240" w:lineRule="exact"/>
              <w:jc w:val="center"/>
              <w:rPr>
                <w:rFonts w:hint="eastAsia" w:ascii="宋体" w:hAnsi="宋体" w:eastAsia="宋体" w:cs="宋体"/>
                <w:sz w:val="18"/>
                <w:szCs w:val="18"/>
              </w:rPr>
            </w:pPr>
          </w:p>
        </w:tc>
        <w:tc>
          <w:tcPr>
            <w:tcW w:w="965" w:type="dxa"/>
            <w:vAlign w:val="center"/>
          </w:tcPr>
          <w:p w14:paraId="21DEFC13">
            <w:pPr>
              <w:widowControl/>
              <w:jc w:val="center"/>
              <w:textAlignment w:val="center"/>
              <w:rPr>
                <w:rFonts w:hint="eastAsia" w:ascii="宋体" w:hAnsi="宋体" w:eastAsia="宋体"/>
                <w:szCs w:val="21"/>
              </w:rPr>
            </w:pPr>
          </w:p>
        </w:tc>
        <w:tc>
          <w:tcPr>
            <w:tcW w:w="988" w:type="dxa"/>
            <w:vAlign w:val="center"/>
          </w:tcPr>
          <w:p w14:paraId="02792904">
            <w:pPr>
              <w:widowControl/>
              <w:jc w:val="center"/>
              <w:textAlignment w:val="center"/>
              <w:rPr>
                <w:rFonts w:hint="eastAsia" w:ascii="宋体" w:hAnsi="宋体" w:eastAsia="宋体"/>
                <w:szCs w:val="21"/>
              </w:rPr>
            </w:pPr>
          </w:p>
        </w:tc>
        <w:tc>
          <w:tcPr>
            <w:tcW w:w="2022" w:type="dxa"/>
            <w:tcBorders>
              <w:right w:val="single" w:color="000000" w:sz="4" w:space="0"/>
            </w:tcBorders>
          </w:tcPr>
          <w:p w14:paraId="7D273632">
            <w:pPr>
              <w:jc w:val="left"/>
              <w:rPr>
                <w:rFonts w:hint="eastAsia" w:ascii="Arial"/>
              </w:rPr>
            </w:pPr>
          </w:p>
        </w:tc>
        <w:tc>
          <w:tcPr>
            <w:tcW w:w="1402" w:type="dxa"/>
          </w:tcPr>
          <w:p w14:paraId="645721C3">
            <w:pPr>
              <w:jc w:val="left"/>
              <w:rPr>
                <w:rFonts w:hint="eastAsia" w:ascii="Arial"/>
              </w:rPr>
            </w:pPr>
          </w:p>
        </w:tc>
      </w:tr>
      <w:tr w14:paraId="6E40F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758D791A">
            <w:pPr>
              <w:adjustRightInd w:val="0"/>
              <w:snapToGrid w:val="0"/>
              <w:spacing w:before="156" w:beforeLines="50" w:after="156" w:afterLines="50"/>
              <w:jc w:val="center"/>
              <w:rPr>
                <w:rFonts w:hint="eastAsia" w:ascii="宋体" w:hAnsi="宋体" w:cs="宋体"/>
                <w:szCs w:val="21"/>
              </w:rPr>
            </w:pPr>
          </w:p>
        </w:tc>
        <w:tc>
          <w:tcPr>
            <w:tcW w:w="2298" w:type="dxa"/>
            <w:vAlign w:val="center"/>
          </w:tcPr>
          <w:p w14:paraId="4F6BC478">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745D0A54">
            <w:pPr>
              <w:widowControl/>
              <w:spacing w:line="240" w:lineRule="exact"/>
              <w:jc w:val="center"/>
              <w:rPr>
                <w:rFonts w:hint="eastAsia" w:ascii="宋体" w:hAnsi="宋体" w:eastAsia="宋体" w:cs="宋体"/>
                <w:sz w:val="18"/>
                <w:szCs w:val="18"/>
              </w:rPr>
            </w:pPr>
          </w:p>
        </w:tc>
        <w:tc>
          <w:tcPr>
            <w:tcW w:w="965" w:type="dxa"/>
            <w:vAlign w:val="center"/>
          </w:tcPr>
          <w:p w14:paraId="30623772">
            <w:pPr>
              <w:widowControl/>
              <w:jc w:val="center"/>
              <w:textAlignment w:val="center"/>
              <w:rPr>
                <w:rFonts w:hint="eastAsia" w:ascii="宋体" w:hAnsi="宋体" w:eastAsia="宋体"/>
                <w:szCs w:val="21"/>
              </w:rPr>
            </w:pPr>
          </w:p>
        </w:tc>
        <w:tc>
          <w:tcPr>
            <w:tcW w:w="988" w:type="dxa"/>
            <w:vAlign w:val="center"/>
          </w:tcPr>
          <w:p w14:paraId="42F5DEDD">
            <w:pPr>
              <w:widowControl/>
              <w:jc w:val="center"/>
              <w:textAlignment w:val="center"/>
              <w:rPr>
                <w:rFonts w:hint="eastAsia" w:ascii="宋体" w:hAnsi="宋体" w:eastAsia="宋体"/>
                <w:szCs w:val="21"/>
              </w:rPr>
            </w:pPr>
          </w:p>
        </w:tc>
        <w:tc>
          <w:tcPr>
            <w:tcW w:w="2022" w:type="dxa"/>
            <w:tcBorders>
              <w:right w:val="single" w:color="000000" w:sz="4" w:space="0"/>
            </w:tcBorders>
          </w:tcPr>
          <w:p w14:paraId="6D73A4F1">
            <w:pPr>
              <w:jc w:val="left"/>
              <w:rPr>
                <w:rFonts w:hint="eastAsia" w:ascii="Arial"/>
              </w:rPr>
            </w:pPr>
          </w:p>
        </w:tc>
        <w:tc>
          <w:tcPr>
            <w:tcW w:w="1402" w:type="dxa"/>
          </w:tcPr>
          <w:p w14:paraId="088B9788">
            <w:pPr>
              <w:jc w:val="left"/>
              <w:rPr>
                <w:rFonts w:hint="eastAsia" w:ascii="Arial"/>
              </w:rPr>
            </w:pPr>
          </w:p>
        </w:tc>
      </w:tr>
      <w:tr w14:paraId="26426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75" w:type="dxa"/>
          </w:tcPr>
          <w:p w14:paraId="3CAB57CF">
            <w:pPr>
              <w:spacing w:before="79"/>
              <w:ind w:left="249"/>
              <w:rPr>
                <w:rFonts w:hint="eastAsia" w:ascii="宋体" w:hAnsi="宋体" w:eastAsia="宋体" w:cs="宋体"/>
                <w:szCs w:val="21"/>
              </w:rPr>
            </w:pPr>
            <w:r>
              <w:rPr>
                <w:rFonts w:ascii="宋体" w:hAnsi="宋体" w:eastAsia="宋体" w:cs="宋体"/>
                <w:position w:val="1"/>
                <w:szCs w:val="21"/>
              </w:rPr>
              <w:t>…</w:t>
            </w:r>
          </w:p>
        </w:tc>
        <w:tc>
          <w:tcPr>
            <w:tcW w:w="2298" w:type="dxa"/>
          </w:tcPr>
          <w:p w14:paraId="145487C1">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4827" w:type="dxa"/>
          </w:tcPr>
          <w:p w14:paraId="09E8ABA4">
            <w:pPr>
              <w:rPr>
                <w:rFonts w:hint="eastAsia" w:ascii="Arial"/>
              </w:rPr>
            </w:pPr>
          </w:p>
        </w:tc>
        <w:tc>
          <w:tcPr>
            <w:tcW w:w="965" w:type="dxa"/>
          </w:tcPr>
          <w:p w14:paraId="3E0D72B8">
            <w:pPr>
              <w:adjustRightInd w:val="0"/>
              <w:snapToGrid w:val="0"/>
              <w:spacing w:before="156" w:beforeLines="50" w:after="156" w:afterLines="50"/>
              <w:jc w:val="center"/>
              <w:rPr>
                <w:rFonts w:hint="eastAsia" w:ascii="宋体" w:hAnsi="宋体" w:cs="宋体"/>
                <w:szCs w:val="21"/>
              </w:rPr>
            </w:pPr>
          </w:p>
        </w:tc>
        <w:tc>
          <w:tcPr>
            <w:tcW w:w="988" w:type="dxa"/>
          </w:tcPr>
          <w:p w14:paraId="24F6C2E7">
            <w:pPr>
              <w:rPr>
                <w:rFonts w:hint="eastAsia" w:ascii="Arial"/>
              </w:rPr>
            </w:pPr>
          </w:p>
        </w:tc>
        <w:tc>
          <w:tcPr>
            <w:tcW w:w="2022" w:type="dxa"/>
            <w:tcBorders>
              <w:right w:val="single" w:color="000000" w:sz="4" w:space="0"/>
            </w:tcBorders>
          </w:tcPr>
          <w:p w14:paraId="299FEB64">
            <w:pPr>
              <w:rPr>
                <w:rFonts w:hint="eastAsia" w:ascii="Arial"/>
              </w:rPr>
            </w:pPr>
          </w:p>
        </w:tc>
        <w:tc>
          <w:tcPr>
            <w:tcW w:w="1402" w:type="dxa"/>
          </w:tcPr>
          <w:p w14:paraId="77161C23">
            <w:pPr>
              <w:rPr>
                <w:rFonts w:hint="eastAsia" w:ascii="Arial"/>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32A545F0">
      <w:pPr>
        <w:rPr>
          <w:rFonts w:hint="eastAsia" w:ascii="仿宋_GB2312" w:hAnsi="仿宋_GB2312" w:eastAsia="仿宋_GB2312" w:cs="仿宋_GB2312"/>
          <w:lang w:val="en-US" w:eastAsia="zh-CN"/>
        </w:rPr>
        <w:sectPr>
          <w:footerReference r:id="rId29"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9" w:name="_Toc26990"/>
      <w:bookmarkStart w:id="150" w:name="_Toc32609"/>
      <w:bookmarkStart w:id="151" w:name="_Toc17522"/>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49"/>
      <w:bookmarkEnd w:id="150"/>
      <w:bookmarkEnd w:id="151"/>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2DE6DC8D">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2" w:name="_Toc15631"/>
      <w:bookmarkStart w:id="153" w:name="_Toc11000"/>
      <w:bookmarkStart w:id="154" w:name="_Toc13376"/>
      <w:r>
        <w:rPr>
          <w:rFonts w:hint="eastAsia" w:ascii="仿宋_GB2312" w:hAnsi="仿宋_GB2312" w:eastAsia="仿宋_GB2312" w:cs="仿宋_GB2312"/>
          <w:b/>
          <w:bCs/>
          <w:kern w:val="2"/>
          <w:sz w:val="36"/>
          <w:szCs w:val="36"/>
          <w:lang w:val="en-US" w:eastAsia="zh-CN" w:bidi="ar-SA"/>
        </w:rPr>
        <w:t>附件7 设备质量承诺函</w:t>
      </w:r>
      <w:bookmarkEnd w:id="152"/>
      <w:bookmarkEnd w:id="153"/>
      <w:bookmarkEnd w:id="154"/>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6670354D">
      <w:pPr>
        <w:rPr>
          <w:rFonts w:hint="eastAsia" w:ascii="仿宋_GB2312" w:hAnsi="仿宋_GB2312" w:eastAsia="仿宋_GB2312" w:cs="仿宋_GB2312"/>
          <w:b/>
          <w:bCs/>
          <w:color w:val="000000"/>
          <w:sz w:val="28"/>
          <w:szCs w:val="20"/>
        </w:rPr>
        <w:sectPr>
          <w:footerReference r:id="rId31" w:type="first"/>
          <w:footerReference r:id="rId30"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5" w:name="_Toc14734"/>
      <w:bookmarkStart w:id="156" w:name="_Toc31406"/>
      <w:bookmarkStart w:id="157" w:name="_Toc30507"/>
      <w:r>
        <w:rPr>
          <w:rFonts w:hint="eastAsia" w:ascii="仿宋_GB2312" w:hAnsi="仿宋_GB2312" w:eastAsia="仿宋_GB2312" w:cs="仿宋_GB2312"/>
          <w:b/>
          <w:bCs/>
          <w:kern w:val="2"/>
          <w:sz w:val="36"/>
          <w:szCs w:val="36"/>
          <w:lang w:val="en-US" w:eastAsia="zh-CN" w:bidi="ar-SA"/>
        </w:rPr>
        <w:t>附件8 开标一览表</w:t>
      </w:r>
      <w:bookmarkEnd w:id="155"/>
      <w:bookmarkEnd w:id="156"/>
      <w:bookmarkEnd w:id="157"/>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default" w:ascii="仿宋_GB2312" w:hAnsi="仿宋_GB2312" w:eastAsia="宋体" w:cs="仿宋_GB2312"/>
                <w:b/>
                <w:bCs w:val="0"/>
                <w:szCs w:val="20"/>
                <w:lang w:val="en-US" w:eastAsia="zh-CN"/>
              </w:rPr>
            </w:pPr>
            <w:r>
              <w:rPr>
                <w:rFonts w:hint="eastAsia" w:ascii="宋体" w:hAnsi="宋体" w:eastAsia="宋体" w:cs="宋体"/>
                <w:b/>
                <w:bCs/>
                <w:sz w:val="24"/>
                <w:lang w:val="en-US" w:eastAsia="zh-CN"/>
              </w:rPr>
              <w:t>护套喷码机</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6</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C447960">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2F25BE0E">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3B0C0A9">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bookmarkStart w:id="158" w:name="_Toc13743"/>
      <w:bookmarkStart w:id="159" w:name="_Toc27992"/>
      <w:bookmarkStart w:id="160" w:name="_Toc20761"/>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68FD885">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CB9E91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1F4EEBC">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6"/>
        <w:gridCol w:w="2422"/>
        <w:gridCol w:w="891"/>
        <w:gridCol w:w="793"/>
        <w:gridCol w:w="2029"/>
        <w:gridCol w:w="1637"/>
        <w:gridCol w:w="2971"/>
        <w:gridCol w:w="673"/>
      </w:tblGrid>
      <w:tr w14:paraId="0CE06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14:paraId="77EB481B">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42EBC06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0057EBF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55851FF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478EB68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60B9DF7D">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14:paraId="41467B6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2D074A89">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5F34CB38">
            <w:pPr>
              <w:spacing w:before="99" w:line="183" w:lineRule="auto"/>
              <w:ind w:firstLine="420" w:firstLineChars="200"/>
              <w:rPr>
                <w:rFonts w:hint="eastAsia" w:ascii="宋体" w:hAnsi="宋体" w:eastAsia="宋体" w:cs="宋体"/>
                <w:szCs w:val="21"/>
              </w:rPr>
            </w:pPr>
          </w:p>
        </w:tc>
      </w:tr>
      <w:tr w14:paraId="54F6B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4" w:type="pct"/>
            <w:vAlign w:val="center"/>
          </w:tcPr>
          <w:p w14:paraId="42B24B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707CB4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54D48D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8" w:type="pct"/>
            <w:vAlign w:val="center"/>
          </w:tcPr>
          <w:p w14:paraId="32BE712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53F9C9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0F49F83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14:paraId="1631876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B5202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4C51BCC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E3F69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1DBF87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9DD1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6" w:type="dxa"/>
            <w:vAlign w:val="center"/>
          </w:tcPr>
          <w:p w14:paraId="1BA5EA86">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6" w:type="dxa"/>
            <w:vAlign w:val="center"/>
          </w:tcPr>
          <w:p w14:paraId="627E57E4">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sz w:val="24"/>
                <w:lang w:val="en-US" w:eastAsia="zh-CN"/>
              </w:rPr>
              <w:t>护套喷码机</w:t>
            </w:r>
          </w:p>
        </w:tc>
        <w:tc>
          <w:tcPr>
            <w:tcW w:w="2421" w:type="dxa"/>
            <w:vAlign w:val="center"/>
          </w:tcPr>
          <w:p w14:paraId="6A6CFF39">
            <w:pPr>
              <w:widowControl/>
              <w:jc w:val="center"/>
              <w:textAlignment w:val="center"/>
              <w:rPr>
                <w:rFonts w:hint="eastAsia" w:ascii="宋体" w:hAnsi="宋体" w:eastAsia="宋体" w:cs="宋体"/>
                <w:sz w:val="18"/>
                <w:szCs w:val="18"/>
              </w:rPr>
            </w:pPr>
          </w:p>
        </w:tc>
        <w:tc>
          <w:tcPr>
            <w:tcW w:w="891" w:type="dxa"/>
            <w:vAlign w:val="center"/>
          </w:tcPr>
          <w:p w14:paraId="0200E0F5">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台</w:t>
            </w:r>
          </w:p>
        </w:tc>
        <w:tc>
          <w:tcPr>
            <w:tcW w:w="793" w:type="dxa"/>
            <w:vAlign w:val="center"/>
          </w:tcPr>
          <w:p w14:paraId="49E454FD">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val="en-US" w:eastAsia="zh-CN" w:bidi="ar"/>
              </w:rPr>
              <w:t>6</w:t>
            </w:r>
          </w:p>
        </w:tc>
        <w:tc>
          <w:tcPr>
            <w:tcW w:w="724" w:type="pct"/>
          </w:tcPr>
          <w:p w14:paraId="73C3FF0C">
            <w:pPr>
              <w:jc w:val="center"/>
              <w:rPr>
                <w:rFonts w:hint="eastAsia" w:ascii="Arial"/>
              </w:rPr>
            </w:pPr>
          </w:p>
        </w:tc>
        <w:tc>
          <w:tcPr>
            <w:tcW w:w="582" w:type="pct"/>
            <w:tcBorders>
              <w:right w:val="single" w:color="000000" w:sz="4" w:space="0"/>
            </w:tcBorders>
          </w:tcPr>
          <w:p w14:paraId="320DF5F8">
            <w:pPr>
              <w:jc w:val="center"/>
              <w:rPr>
                <w:rFonts w:hint="eastAsia" w:ascii="Arial"/>
              </w:rPr>
            </w:pPr>
          </w:p>
        </w:tc>
        <w:tc>
          <w:tcPr>
            <w:tcW w:w="1060" w:type="pct"/>
            <w:tcBorders>
              <w:left w:val="single" w:color="000000" w:sz="4" w:space="0"/>
            </w:tcBorders>
          </w:tcPr>
          <w:p w14:paraId="3D39AF49">
            <w:pPr>
              <w:rPr>
                <w:rFonts w:hint="eastAsia" w:ascii="Arial"/>
              </w:rPr>
            </w:pPr>
          </w:p>
        </w:tc>
        <w:tc>
          <w:tcPr>
            <w:tcW w:w="240" w:type="pct"/>
          </w:tcPr>
          <w:p w14:paraId="48D22E37">
            <w:pPr>
              <w:rPr>
                <w:rFonts w:hint="eastAsia" w:ascii="Arial"/>
              </w:rPr>
            </w:pPr>
          </w:p>
        </w:tc>
      </w:tr>
      <w:tr w14:paraId="0B96A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4C3961F2">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614FD3AA">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4C50C66F">
            <w:pPr>
              <w:widowControl/>
              <w:spacing w:line="240" w:lineRule="exact"/>
              <w:jc w:val="left"/>
              <w:rPr>
                <w:rFonts w:hint="eastAsia" w:ascii="宋体" w:hAnsi="宋体" w:eastAsia="宋体" w:cs="宋体"/>
                <w:sz w:val="18"/>
                <w:szCs w:val="18"/>
              </w:rPr>
            </w:pPr>
          </w:p>
        </w:tc>
        <w:tc>
          <w:tcPr>
            <w:tcW w:w="318" w:type="pct"/>
            <w:vAlign w:val="center"/>
          </w:tcPr>
          <w:p w14:paraId="7E971CB2">
            <w:pPr>
              <w:widowControl/>
              <w:jc w:val="center"/>
              <w:textAlignment w:val="center"/>
              <w:rPr>
                <w:rFonts w:hint="eastAsia" w:ascii="宋体" w:hAnsi="宋体" w:eastAsia="宋体" w:cs="宋体"/>
                <w:sz w:val="24"/>
                <w:szCs w:val="24"/>
              </w:rPr>
            </w:pPr>
          </w:p>
        </w:tc>
        <w:tc>
          <w:tcPr>
            <w:tcW w:w="793" w:type="dxa"/>
            <w:vAlign w:val="center"/>
          </w:tcPr>
          <w:p w14:paraId="2C8889FA">
            <w:pPr>
              <w:widowControl/>
              <w:jc w:val="center"/>
              <w:textAlignment w:val="center"/>
              <w:rPr>
                <w:rFonts w:hint="eastAsia" w:ascii="宋体" w:hAnsi="宋体" w:eastAsia="宋体" w:cs="宋体"/>
                <w:sz w:val="24"/>
                <w:szCs w:val="24"/>
              </w:rPr>
            </w:pPr>
          </w:p>
        </w:tc>
        <w:tc>
          <w:tcPr>
            <w:tcW w:w="724" w:type="pct"/>
          </w:tcPr>
          <w:p w14:paraId="7CFCBEC7">
            <w:pPr>
              <w:jc w:val="center"/>
              <w:rPr>
                <w:rFonts w:hint="eastAsia" w:ascii="Arial"/>
              </w:rPr>
            </w:pPr>
          </w:p>
        </w:tc>
        <w:tc>
          <w:tcPr>
            <w:tcW w:w="582" w:type="pct"/>
            <w:tcBorders>
              <w:right w:val="single" w:color="000000" w:sz="4" w:space="0"/>
            </w:tcBorders>
          </w:tcPr>
          <w:p w14:paraId="34F86859">
            <w:pPr>
              <w:jc w:val="center"/>
              <w:rPr>
                <w:rFonts w:hint="eastAsia" w:ascii="Arial"/>
              </w:rPr>
            </w:pPr>
          </w:p>
        </w:tc>
        <w:tc>
          <w:tcPr>
            <w:tcW w:w="1060" w:type="pct"/>
            <w:tcBorders>
              <w:left w:val="single" w:color="000000" w:sz="4" w:space="0"/>
            </w:tcBorders>
          </w:tcPr>
          <w:p w14:paraId="1AFAE578">
            <w:pPr>
              <w:rPr>
                <w:rFonts w:hint="eastAsia" w:ascii="Arial"/>
              </w:rPr>
            </w:pPr>
          </w:p>
        </w:tc>
        <w:tc>
          <w:tcPr>
            <w:tcW w:w="240" w:type="pct"/>
          </w:tcPr>
          <w:p w14:paraId="56527F40">
            <w:pPr>
              <w:rPr>
                <w:rFonts w:hint="eastAsia" w:ascii="Arial"/>
              </w:rPr>
            </w:pPr>
          </w:p>
        </w:tc>
      </w:tr>
      <w:tr w14:paraId="68D1E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0A522CEE">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3B2AB7DA">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3B97110E">
            <w:pPr>
              <w:widowControl/>
              <w:spacing w:line="240" w:lineRule="exact"/>
              <w:jc w:val="left"/>
              <w:rPr>
                <w:rFonts w:hint="eastAsia" w:ascii="宋体" w:hAnsi="宋体" w:eastAsia="宋体" w:cs="宋体"/>
                <w:sz w:val="18"/>
                <w:szCs w:val="18"/>
              </w:rPr>
            </w:pPr>
          </w:p>
        </w:tc>
        <w:tc>
          <w:tcPr>
            <w:tcW w:w="318" w:type="pct"/>
            <w:vAlign w:val="center"/>
          </w:tcPr>
          <w:p w14:paraId="06B3A574">
            <w:pPr>
              <w:widowControl/>
              <w:jc w:val="center"/>
              <w:textAlignment w:val="center"/>
              <w:rPr>
                <w:rFonts w:hint="eastAsia" w:ascii="宋体" w:hAnsi="宋体" w:eastAsia="宋体" w:cs="宋体"/>
                <w:sz w:val="24"/>
                <w:szCs w:val="24"/>
              </w:rPr>
            </w:pPr>
          </w:p>
        </w:tc>
        <w:tc>
          <w:tcPr>
            <w:tcW w:w="793" w:type="dxa"/>
            <w:vAlign w:val="center"/>
          </w:tcPr>
          <w:p w14:paraId="45EA073E">
            <w:pPr>
              <w:widowControl/>
              <w:jc w:val="center"/>
              <w:textAlignment w:val="center"/>
              <w:rPr>
                <w:rFonts w:hint="eastAsia" w:ascii="宋体" w:hAnsi="宋体" w:eastAsia="宋体" w:cs="宋体"/>
                <w:sz w:val="24"/>
                <w:szCs w:val="24"/>
              </w:rPr>
            </w:pPr>
          </w:p>
        </w:tc>
        <w:tc>
          <w:tcPr>
            <w:tcW w:w="724" w:type="pct"/>
          </w:tcPr>
          <w:p w14:paraId="076ADCAF">
            <w:pPr>
              <w:jc w:val="center"/>
              <w:rPr>
                <w:rFonts w:hint="eastAsia" w:ascii="Arial"/>
              </w:rPr>
            </w:pPr>
          </w:p>
        </w:tc>
        <w:tc>
          <w:tcPr>
            <w:tcW w:w="582" w:type="pct"/>
            <w:tcBorders>
              <w:right w:val="single" w:color="000000" w:sz="4" w:space="0"/>
            </w:tcBorders>
          </w:tcPr>
          <w:p w14:paraId="4675C281">
            <w:pPr>
              <w:jc w:val="center"/>
              <w:rPr>
                <w:rFonts w:hint="eastAsia" w:ascii="Arial"/>
              </w:rPr>
            </w:pPr>
          </w:p>
        </w:tc>
        <w:tc>
          <w:tcPr>
            <w:tcW w:w="1060" w:type="pct"/>
            <w:tcBorders>
              <w:left w:val="single" w:color="000000" w:sz="4" w:space="0"/>
            </w:tcBorders>
          </w:tcPr>
          <w:p w14:paraId="061C4C6C">
            <w:pPr>
              <w:rPr>
                <w:rFonts w:hint="eastAsia" w:ascii="Arial"/>
              </w:rPr>
            </w:pPr>
          </w:p>
        </w:tc>
        <w:tc>
          <w:tcPr>
            <w:tcW w:w="240" w:type="pct"/>
          </w:tcPr>
          <w:p w14:paraId="27EED797">
            <w:pPr>
              <w:rPr>
                <w:rFonts w:hint="eastAsia" w:ascii="Arial"/>
              </w:rPr>
            </w:pPr>
          </w:p>
        </w:tc>
      </w:tr>
      <w:tr w14:paraId="007EC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40A47BCE">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6BB8B5F8">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2CAD536B">
            <w:pPr>
              <w:widowControl/>
              <w:spacing w:line="240" w:lineRule="exact"/>
              <w:jc w:val="left"/>
              <w:rPr>
                <w:rFonts w:hint="eastAsia" w:ascii="宋体" w:hAnsi="宋体" w:eastAsia="宋体" w:cs="宋体"/>
                <w:sz w:val="18"/>
                <w:szCs w:val="18"/>
              </w:rPr>
            </w:pPr>
          </w:p>
        </w:tc>
        <w:tc>
          <w:tcPr>
            <w:tcW w:w="318" w:type="pct"/>
            <w:vAlign w:val="center"/>
          </w:tcPr>
          <w:p w14:paraId="2E9F8CAE">
            <w:pPr>
              <w:widowControl/>
              <w:jc w:val="center"/>
              <w:textAlignment w:val="center"/>
              <w:rPr>
                <w:rFonts w:hint="eastAsia" w:ascii="宋体" w:hAnsi="宋体" w:eastAsia="宋体" w:cs="宋体"/>
                <w:sz w:val="24"/>
                <w:szCs w:val="24"/>
              </w:rPr>
            </w:pPr>
          </w:p>
        </w:tc>
        <w:tc>
          <w:tcPr>
            <w:tcW w:w="793" w:type="dxa"/>
            <w:vAlign w:val="center"/>
          </w:tcPr>
          <w:p w14:paraId="6AF102E0">
            <w:pPr>
              <w:widowControl/>
              <w:jc w:val="center"/>
              <w:textAlignment w:val="center"/>
              <w:rPr>
                <w:rFonts w:hint="eastAsia" w:ascii="宋体" w:hAnsi="宋体" w:eastAsia="宋体" w:cs="宋体"/>
                <w:sz w:val="24"/>
                <w:szCs w:val="24"/>
              </w:rPr>
            </w:pPr>
          </w:p>
        </w:tc>
        <w:tc>
          <w:tcPr>
            <w:tcW w:w="724" w:type="pct"/>
          </w:tcPr>
          <w:p w14:paraId="45F97705">
            <w:pPr>
              <w:jc w:val="center"/>
              <w:rPr>
                <w:rFonts w:hint="eastAsia" w:ascii="Arial"/>
              </w:rPr>
            </w:pPr>
          </w:p>
        </w:tc>
        <w:tc>
          <w:tcPr>
            <w:tcW w:w="582" w:type="pct"/>
            <w:tcBorders>
              <w:right w:val="single" w:color="000000" w:sz="4" w:space="0"/>
            </w:tcBorders>
          </w:tcPr>
          <w:p w14:paraId="074B111F">
            <w:pPr>
              <w:jc w:val="center"/>
              <w:rPr>
                <w:rFonts w:hint="eastAsia" w:ascii="Arial"/>
              </w:rPr>
            </w:pPr>
          </w:p>
        </w:tc>
        <w:tc>
          <w:tcPr>
            <w:tcW w:w="1060" w:type="pct"/>
            <w:tcBorders>
              <w:left w:val="single" w:color="000000" w:sz="4" w:space="0"/>
            </w:tcBorders>
          </w:tcPr>
          <w:p w14:paraId="183C1F80">
            <w:pPr>
              <w:rPr>
                <w:rFonts w:hint="eastAsia" w:ascii="Arial"/>
              </w:rPr>
            </w:pPr>
          </w:p>
        </w:tc>
        <w:tc>
          <w:tcPr>
            <w:tcW w:w="240" w:type="pct"/>
          </w:tcPr>
          <w:p w14:paraId="59F58460">
            <w:pPr>
              <w:rPr>
                <w:rFonts w:hint="eastAsia" w:ascii="Arial"/>
              </w:rPr>
            </w:pPr>
          </w:p>
        </w:tc>
      </w:tr>
      <w:tr w14:paraId="0096F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101A18B9">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593EDD81">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44B186FA">
            <w:pPr>
              <w:widowControl/>
              <w:spacing w:line="240" w:lineRule="exact"/>
              <w:jc w:val="left"/>
              <w:rPr>
                <w:rFonts w:hint="eastAsia" w:ascii="宋体" w:hAnsi="宋体" w:eastAsia="宋体" w:cs="宋体"/>
                <w:sz w:val="18"/>
                <w:szCs w:val="18"/>
              </w:rPr>
            </w:pPr>
          </w:p>
        </w:tc>
        <w:tc>
          <w:tcPr>
            <w:tcW w:w="318" w:type="pct"/>
            <w:vAlign w:val="center"/>
          </w:tcPr>
          <w:p w14:paraId="36E443FF">
            <w:pPr>
              <w:widowControl/>
              <w:jc w:val="center"/>
              <w:textAlignment w:val="center"/>
              <w:rPr>
                <w:rFonts w:hint="eastAsia" w:ascii="宋体" w:hAnsi="宋体" w:eastAsia="宋体" w:cs="宋体"/>
                <w:sz w:val="24"/>
                <w:szCs w:val="24"/>
              </w:rPr>
            </w:pPr>
          </w:p>
        </w:tc>
        <w:tc>
          <w:tcPr>
            <w:tcW w:w="793" w:type="dxa"/>
            <w:vAlign w:val="center"/>
          </w:tcPr>
          <w:p w14:paraId="15DEEFD4">
            <w:pPr>
              <w:widowControl/>
              <w:jc w:val="center"/>
              <w:textAlignment w:val="center"/>
              <w:rPr>
                <w:rFonts w:hint="eastAsia" w:ascii="宋体" w:hAnsi="宋体" w:eastAsia="宋体" w:cs="宋体"/>
                <w:sz w:val="24"/>
                <w:szCs w:val="24"/>
              </w:rPr>
            </w:pPr>
          </w:p>
        </w:tc>
        <w:tc>
          <w:tcPr>
            <w:tcW w:w="724" w:type="pct"/>
          </w:tcPr>
          <w:p w14:paraId="7B9CF047">
            <w:pPr>
              <w:jc w:val="center"/>
              <w:rPr>
                <w:rFonts w:hint="eastAsia" w:ascii="Arial"/>
              </w:rPr>
            </w:pPr>
          </w:p>
        </w:tc>
        <w:tc>
          <w:tcPr>
            <w:tcW w:w="582" w:type="pct"/>
            <w:tcBorders>
              <w:right w:val="single" w:color="000000" w:sz="4" w:space="0"/>
            </w:tcBorders>
          </w:tcPr>
          <w:p w14:paraId="7AEA80F0">
            <w:pPr>
              <w:jc w:val="center"/>
              <w:rPr>
                <w:rFonts w:hint="eastAsia" w:ascii="Arial"/>
              </w:rPr>
            </w:pPr>
          </w:p>
        </w:tc>
        <w:tc>
          <w:tcPr>
            <w:tcW w:w="1060" w:type="pct"/>
            <w:tcBorders>
              <w:left w:val="single" w:color="000000" w:sz="4" w:space="0"/>
            </w:tcBorders>
          </w:tcPr>
          <w:p w14:paraId="69D4A028">
            <w:pPr>
              <w:rPr>
                <w:rFonts w:hint="eastAsia" w:ascii="Arial"/>
              </w:rPr>
            </w:pPr>
          </w:p>
        </w:tc>
        <w:tc>
          <w:tcPr>
            <w:tcW w:w="240" w:type="pct"/>
          </w:tcPr>
          <w:p w14:paraId="27018FF7">
            <w:pPr>
              <w:rPr>
                <w:rFonts w:hint="eastAsia" w:ascii="Arial"/>
              </w:rPr>
            </w:pPr>
          </w:p>
        </w:tc>
      </w:tr>
      <w:tr w14:paraId="731D5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19C92BAD">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0A4D9257">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0" w:type="pct"/>
          </w:tcPr>
          <w:p w14:paraId="0202B165">
            <w:pPr>
              <w:rPr>
                <w:rFonts w:hint="eastAsia" w:ascii="Arial"/>
              </w:rPr>
            </w:pPr>
          </w:p>
        </w:tc>
      </w:tr>
      <w:bookmarkEnd w:id="158"/>
      <w:bookmarkEnd w:id="159"/>
      <w:bookmarkEnd w:id="160"/>
    </w:tbl>
    <w:p w14:paraId="0B899E8F">
      <w:pPr>
        <w:spacing w:before="52" w:line="221" w:lineRule="auto"/>
        <w:rPr>
          <w:rFonts w:hint="eastAsia" w:ascii="仿宋_GB2312" w:hAnsi="仿宋_GB2312" w:eastAsia="仿宋_GB2312" w:cs="仿宋_GB2312"/>
          <w:b/>
          <w:bCs/>
          <w:sz w:val="24"/>
          <w:szCs w:val="24"/>
        </w:rPr>
      </w:pP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31239621">
      <w:pPr>
        <w:rPr>
          <w:rFonts w:hint="eastAsia" w:ascii="仿宋_GB2312" w:hAnsi="仿宋_GB2312" w:eastAsia="仿宋_GB2312" w:cs="仿宋_GB2312"/>
        </w:rPr>
        <w:sectPr>
          <w:footerReference r:id="rId32"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6C0CD404">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0542E555">
      <w:pPr>
        <w:rPr>
          <w:rFonts w:hint="eastAsia" w:ascii="仿宋_GB2312" w:hAnsi="仿宋_GB2312" w:eastAsia="仿宋_GB2312" w:cs="仿宋_GB2312"/>
          <w:sz w:val="24"/>
          <w:szCs w:val="24"/>
        </w:rPr>
        <w:sectPr>
          <w:footerReference r:id="rId33"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5BAC392B">
      <w:pPr>
        <w:spacing w:before="35" w:line="239" w:lineRule="auto"/>
        <w:ind w:left="724"/>
        <w:rPr>
          <w:rFonts w:hint="eastAsia" w:ascii="仿宋_GB2312" w:hAnsi="仿宋_GB2312" w:eastAsia="仿宋_GB2312" w:cs="仿宋_GB2312"/>
          <w:spacing w:val="-1"/>
          <w:sz w:val="24"/>
          <w:szCs w:val="24"/>
        </w:rPr>
        <w:sectPr>
          <w:footerReference r:id="rId34"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7E14228D">
      <w:pPr>
        <w:spacing w:before="87" w:line="198" w:lineRule="auto"/>
        <w:ind w:left="411"/>
        <w:rPr>
          <w:rFonts w:hint="eastAsia" w:ascii="仿宋_GB2312" w:hAnsi="仿宋_GB2312" w:eastAsia="仿宋_GB2312" w:cs="仿宋_GB2312"/>
          <w:spacing w:val="-2"/>
          <w:sz w:val="24"/>
          <w:szCs w:val="24"/>
        </w:rPr>
        <w:sectPr>
          <w:footerReference r:id="rId35"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6B0E5E58">
      <w:pPr>
        <w:spacing w:before="140" w:line="220" w:lineRule="auto"/>
        <w:ind w:left="2" w:firstLine="464" w:firstLineChars="200"/>
        <w:rPr>
          <w:rFonts w:hint="eastAsia" w:ascii="仿宋_GB2312" w:hAnsi="仿宋_GB2312" w:eastAsia="仿宋_GB2312" w:cs="仿宋_GB2312"/>
          <w:spacing w:val="-2"/>
          <w:szCs w:val="21"/>
        </w:rPr>
        <w:sectPr>
          <w:footerReference r:id="rId36"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1" w:name="_Toc27000"/>
      <w:bookmarkStart w:id="162" w:name="_Toc19502"/>
      <w:bookmarkStart w:id="163" w:name="_Toc18898"/>
      <w:r>
        <w:rPr>
          <w:rFonts w:hint="eastAsia" w:ascii="仿宋_GB2312" w:hAnsi="仿宋_GB2312" w:eastAsia="仿宋_GB2312" w:cs="仿宋_GB2312"/>
          <w:b/>
          <w:bCs/>
          <w:kern w:val="2"/>
          <w:sz w:val="36"/>
          <w:szCs w:val="36"/>
          <w:lang w:val="en-US" w:eastAsia="zh-CN" w:bidi="ar-SA"/>
        </w:rPr>
        <w:t>附件10 商务条款偏离表</w:t>
      </w:r>
      <w:bookmarkEnd w:id="161"/>
      <w:bookmarkEnd w:id="162"/>
      <w:bookmarkEnd w:id="163"/>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21F0A3C9">
      <w:pPr>
        <w:rPr>
          <w:rFonts w:hint="eastAsia" w:ascii="仿宋_GB2312" w:hAnsi="仿宋_GB2312" w:eastAsia="仿宋_GB2312" w:cs="仿宋_GB2312"/>
          <w:b/>
          <w:bCs/>
          <w:color w:val="000000"/>
          <w:sz w:val="28"/>
          <w:szCs w:val="20"/>
        </w:rPr>
        <w:sectPr>
          <w:footerReference r:id="rId38" w:type="first"/>
          <w:footerReference r:id="rId37"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4" w:name="_Toc7851"/>
      <w:bookmarkStart w:id="165" w:name="_Toc11845"/>
      <w:bookmarkStart w:id="166" w:name="_Toc13839"/>
      <w:r>
        <w:rPr>
          <w:rFonts w:hint="eastAsia" w:ascii="仿宋_GB2312" w:hAnsi="仿宋_GB2312" w:eastAsia="仿宋_GB2312" w:cs="仿宋_GB2312"/>
          <w:b/>
          <w:bCs/>
          <w:kern w:val="2"/>
          <w:sz w:val="36"/>
          <w:szCs w:val="36"/>
          <w:lang w:val="en-US" w:eastAsia="zh-CN" w:bidi="ar-SA"/>
        </w:rPr>
        <w:t>附件11 投标人承诺</w:t>
      </w:r>
      <w:bookmarkEnd w:id="164"/>
      <w:bookmarkEnd w:id="165"/>
      <w:bookmarkEnd w:id="166"/>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7597204">
      <w:pPr>
        <w:pStyle w:val="19"/>
        <w:rPr>
          <w:rFonts w:hint="eastAsia" w:ascii="仿宋_GB2312" w:hAnsi="仿宋_GB2312" w:eastAsia="仿宋_GB2312" w:cs="仿宋_GB2312"/>
          <w:sz w:val="24"/>
          <w:szCs w:val="24"/>
        </w:rPr>
        <w:sectPr>
          <w:footerReference r:id="rId39"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7" w:name="_Toc300"/>
      <w:bookmarkStart w:id="168" w:name="_Toc26438"/>
      <w:bookmarkStart w:id="169" w:name="_Toc12037"/>
      <w:r>
        <w:rPr>
          <w:rFonts w:hint="eastAsia" w:ascii="仿宋_GB2312" w:hAnsi="仿宋_GB2312" w:eastAsia="仿宋_GB2312" w:cs="仿宋_GB2312"/>
          <w:b/>
          <w:bCs/>
          <w:kern w:val="2"/>
          <w:sz w:val="36"/>
          <w:szCs w:val="36"/>
          <w:lang w:val="en-US" w:eastAsia="zh-CN" w:bidi="ar-SA"/>
        </w:rPr>
        <w:t>附件12 服务承诺函</w:t>
      </w:r>
      <w:bookmarkEnd w:id="167"/>
      <w:bookmarkEnd w:id="168"/>
      <w:bookmarkEnd w:id="169"/>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70" w:name="_Toc5869"/>
      <w:bookmarkStart w:id="171" w:name="_Toc19953"/>
      <w:bookmarkStart w:id="172" w:name="_Toc5295"/>
      <w:r>
        <w:rPr>
          <w:rFonts w:hint="eastAsia" w:ascii="仿宋_GB2312" w:hAnsi="仿宋_GB2312" w:eastAsia="仿宋_GB2312" w:cs="仿宋_GB2312"/>
          <w:b/>
          <w:bCs/>
          <w:kern w:val="2"/>
          <w:sz w:val="36"/>
          <w:szCs w:val="36"/>
          <w:lang w:val="en-US" w:eastAsia="zh-CN" w:bidi="ar-SA"/>
        </w:rPr>
        <w:t>附件13 投标文件封面及封口格式</w:t>
      </w:r>
      <w:bookmarkEnd w:id="170"/>
      <w:bookmarkEnd w:id="171"/>
      <w:bookmarkEnd w:id="172"/>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中国重汽集团济南橡塑件公司护套喷码机项目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6B5E70EC">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73" w:name="_Toc31821"/>
      <w:bookmarkStart w:id="174" w:name="_Toc32474"/>
      <w:bookmarkStart w:id="175" w:name="_Toc5470"/>
      <w:r>
        <w:rPr>
          <w:rFonts w:hint="eastAsia" w:ascii="仿宋_GB2312" w:hAnsi="仿宋_GB2312" w:eastAsia="仿宋_GB2312" w:cs="仿宋_GB2312"/>
          <w:b/>
          <w:bCs/>
          <w:kern w:val="2"/>
          <w:sz w:val="36"/>
          <w:szCs w:val="36"/>
          <w:lang w:val="en-US" w:eastAsia="zh-CN" w:bidi="ar-SA"/>
        </w:rPr>
        <w:t>附件14技术标评分标准</w:t>
      </w:r>
      <w:bookmarkEnd w:id="173"/>
      <w:bookmarkEnd w:id="174"/>
      <w:bookmarkEnd w:id="175"/>
    </w:p>
    <w:p w14:paraId="3AE49E6C">
      <w:pPr>
        <w:rPr>
          <w:rFonts w:hint="eastAsia"/>
        </w:rPr>
      </w:pPr>
    </w:p>
    <w:p w14:paraId="57EB2CFD">
      <w:pPr>
        <w:pStyle w:val="3"/>
        <w:jc w:val="center"/>
        <w:rPr>
          <w:rFonts w:hint="eastAsia" w:ascii="宋体" w:hAnsi="宋体"/>
          <w:szCs w:val="24"/>
        </w:rPr>
      </w:pPr>
      <w:r>
        <w:rPr>
          <w:rFonts w:hint="eastAsia" w:ascii="宋体" w:hAnsi="宋体"/>
          <w:szCs w:val="24"/>
        </w:rPr>
        <w:t>技术标评审表（</w:t>
      </w:r>
      <w:r>
        <w:rPr>
          <w:rFonts w:ascii="宋体" w:hAnsi="宋体"/>
          <w:szCs w:val="24"/>
        </w:rPr>
        <w:t>10</w:t>
      </w:r>
      <w:r>
        <w:rPr>
          <w:rFonts w:hint="eastAsia" w:ascii="宋体" w:hAnsi="宋体"/>
          <w:szCs w:val="24"/>
        </w:rPr>
        <w:t>0分）</w:t>
      </w:r>
    </w:p>
    <w:p w14:paraId="7429C704">
      <w:pPr>
        <w:rPr>
          <w:rFonts w:hint="eastAsia"/>
        </w:rPr>
      </w:pPr>
    </w:p>
    <w:tbl>
      <w:tblPr>
        <w:tblStyle w:val="38"/>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1AD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01C4CDE2">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761AFA17">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03F93DE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0BC8363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448E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64A7CEAB">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14B06F0F">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4FA14C5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79FB9BA5">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0F78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3CEEB2BE">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2C4BF9CB">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79BAA142">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07C949E1">
            <w:pPr>
              <w:numPr>
                <w:ilvl w:val="0"/>
                <w:numId w:val="15"/>
              </w:numPr>
              <w:spacing w:line="360" w:lineRule="auto"/>
              <w:rPr>
                <w:rFonts w:hint="eastAsia" w:ascii="宋体" w:hAnsi="宋体" w:eastAsia="宋体" w:cs="宋体"/>
                <w:szCs w:val="21"/>
              </w:rPr>
            </w:pPr>
            <w:r>
              <w:rPr>
                <w:rFonts w:hint="eastAsia" w:ascii="宋体" w:hAnsi="宋体" w:eastAsia="宋体" w:cs="宋体"/>
                <w:szCs w:val="21"/>
              </w:rPr>
              <w:t>供货周期要求</w:t>
            </w:r>
            <w:r>
              <w:rPr>
                <w:rFonts w:hint="eastAsia" w:ascii="宋体" w:hAnsi="宋体" w:eastAsia="宋体" w:cs="宋体"/>
                <w:szCs w:val="21"/>
                <w:lang w:val="en-US" w:eastAsia="zh-CN"/>
              </w:rPr>
              <w:t>60</w:t>
            </w:r>
            <w:r>
              <w:rPr>
                <w:rFonts w:hint="eastAsia" w:ascii="宋体" w:hAnsi="宋体" w:eastAsia="宋体" w:cs="宋体"/>
                <w:szCs w:val="21"/>
              </w:rPr>
              <w:t>天，不满足满足条件基本0分，供货周期最短者得10分，</w:t>
            </w:r>
            <w:r>
              <w:rPr>
                <w:rFonts w:hint="eastAsia" w:ascii="宋体" w:hAnsi="宋体" w:eastAsia="宋体" w:cs="宋体"/>
                <w:bCs/>
                <w:szCs w:val="21"/>
              </w:rPr>
              <w:t>第二名得8分，第三名得6分，第四名得4分，依次递减。</w:t>
            </w:r>
          </w:p>
          <w:p w14:paraId="5023FB9A">
            <w:pPr>
              <w:pStyle w:val="3"/>
              <w:numPr>
                <w:ilvl w:val="0"/>
                <w:numId w:val="15"/>
              </w:numPr>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6767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03CA271">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01308380">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3D316CB0">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2C2375B4">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5B2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018A5372">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32AFF98F">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24059ED2">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06AAA24A">
            <w:pPr>
              <w:spacing w:line="360" w:lineRule="auto"/>
              <w:rPr>
                <w:rFonts w:hint="eastAsia" w:ascii="宋体" w:hAnsi="宋体" w:eastAsia="宋体" w:cs="宋体"/>
                <w:bCs/>
                <w:szCs w:val="21"/>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14:paraId="1364D5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99745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36F803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13B093E">
      <w:pPr>
        <w:ind w:firstLine="480" w:firstLineChars="200"/>
        <w:rPr>
          <w:rFonts w:eastAsia="宋体"/>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76" w:name="_Toc6157"/>
      <w:bookmarkStart w:id="177" w:name="_Toc31993"/>
      <w:bookmarkStart w:id="178" w:name="_Toc507"/>
      <w:r>
        <w:rPr>
          <w:rFonts w:hint="eastAsia" w:ascii="仿宋_GB2312" w:hAnsi="仿宋_GB2312" w:eastAsia="仿宋_GB2312" w:cs="仿宋_GB2312"/>
          <w:b/>
          <w:bCs/>
          <w:kern w:val="2"/>
          <w:sz w:val="36"/>
          <w:szCs w:val="36"/>
          <w:lang w:val="en-US" w:eastAsia="zh-CN" w:bidi="ar-SA"/>
        </w:rPr>
        <w:t>附件15 SRM非生产供应商注册操作手册</w:t>
      </w:r>
      <w:bookmarkEnd w:id="176"/>
      <w:bookmarkEnd w:id="177"/>
      <w:bookmarkEnd w:id="178"/>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4A9792E9">
      <w:pPr>
        <w:rPr>
          <w:rFonts w:hint="eastAsia" w:ascii="仿宋_GB2312" w:hAnsi="仿宋_GB2312" w:eastAsia="仿宋_GB2312" w:cs="仿宋_GB2312"/>
        </w:rPr>
        <w:sectPr>
          <w:footerReference r:id="rId40" w:type="default"/>
          <w:pgSz w:w="11906" w:h="16838"/>
          <w:pgMar w:top="1588" w:right="1418" w:bottom="1134" w:left="1418" w:header="851" w:footer="992" w:gutter="0"/>
          <w:pgNumType w:fmt="decimal"/>
          <w:cols w:space="720" w:num="1"/>
          <w:titlePg/>
          <w:docGrid w:type="lines" w:linePitch="312" w:charSpace="0"/>
        </w:sectPr>
      </w:pPr>
      <w:r>
        <w:rPr>
          <w:rFonts w:hint="eastAsia" w:hAnsi="宋体" w:eastAsia="宋体" w:cs="宋体"/>
          <w:b/>
          <w:bCs/>
          <w:color w:val="000000"/>
          <w:sz w:val="24"/>
          <w:szCs w:val="28"/>
          <w:highlight w:val="yellow"/>
        </w:rPr>
        <w:t>2.配套能力“供货类别”填“工艺设备”，业务主管部门为“工艺研究院”。</w:t>
      </w:r>
    </w:p>
    <w:p w14:paraId="70C46261">
      <w:pPr>
        <w:outlineLvl w:val="1"/>
        <w:rPr>
          <w:rFonts w:hint="eastAsia" w:ascii="仿宋_GB2312" w:hAnsi="仿宋_GB2312" w:eastAsia="仿宋_GB2312" w:cs="仿宋_GB2312"/>
          <w:b/>
          <w:bCs/>
          <w:kern w:val="2"/>
          <w:sz w:val="36"/>
          <w:szCs w:val="36"/>
          <w:lang w:val="en-US" w:eastAsia="zh-CN" w:bidi="ar-SA"/>
        </w:rPr>
      </w:pPr>
      <w:bookmarkStart w:id="179" w:name="_Toc14977"/>
      <w:bookmarkStart w:id="180" w:name="_Toc19611"/>
      <w:bookmarkStart w:id="181" w:name="_Toc9496"/>
      <w:r>
        <w:rPr>
          <w:rFonts w:hint="eastAsia" w:ascii="仿宋_GB2312" w:hAnsi="仿宋_GB2312" w:eastAsia="仿宋_GB2312" w:cs="仿宋_GB2312"/>
          <w:b/>
          <w:bCs/>
          <w:kern w:val="2"/>
          <w:sz w:val="36"/>
          <w:szCs w:val="36"/>
          <w:lang w:val="en-US" w:eastAsia="zh-CN" w:bidi="ar-SA"/>
        </w:rPr>
        <w:t>附件16 SRM系统供应商用户手册</w:t>
      </w:r>
      <w:bookmarkEnd w:id="179"/>
      <w:bookmarkEnd w:id="180"/>
      <w:bookmarkEnd w:id="181"/>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2"/>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182" w:name="_Toc3441"/>
      <w:bookmarkStart w:id="183" w:name="_Toc8718"/>
      <w:bookmarkStart w:id="184" w:name="_Toc2672"/>
      <w:r>
        <w:rPr>
          <w:rFonts w:hint="eastAsia" w:ascii="仿宋_GB2312" w:hAnsi="仿宋_GB2312" w:eastAsia="仿宋_GB2312" w:cs="仿宋_GB2312"/>
          <w:b/>
          <w:bCs/>
          <w:color w:val="000000"/>
          <w:sz w:val="24"/>
          <w:szCs w:val="24"/>
        </w:rPr>
        <w:t>1.供应商应标</w:t>
      </w:r>
      <w:bookmarkEnd w:id="182"/>
      <w:bookmarkEnd w:id="183"/>
      <w:bookmarkEnd w:id="184"/>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185" w:name="_Toc21366"/>
      <w:bookmarkStart w:id="186" w:name="_Toc27304"/>
      <w:bookmarkStart w:id="187" w:name="_Toc21689"/>
      <w:r>
        <w:rPr>
          <w:rFonts w:hint="eastAsia" w:ascii="仿宋_GB2312" w:hAnsi="仿宋_GB2312" w:eastAsia="仿宋_GB2312" w:cs="仿宋_GB2312"/>
          <w:b/>
          <w:bCs/>
          <w:color w:val="000000"/>
          <w:sz w:val="24"/>
          <w:szCs w:val="24"/>
        </w:rPr>
        <w:t>2.供应商投标</w:t>
      </w:r>
      <w:bookmarkEnd w:id="185"/>
      <w:bookmarkEnd w:id="186"/>
      <w:bookmarkEnd w:id="187"/>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188" w:name="_Toc27334"/>
      <w:bookmarkStart w:id="189" w:name="_Toc14408"/>
      <w:bookmarkStart w:id="190" w:name="_Toc24733"/>
      <w:r>
        <w:rPr>
          <w:rFonts w:hint="eastAsia" w:ascii="仿宋_GB2312" w:hAnsi="仿宋_GB2312" w:eastAsia="仿宋_GB2312" w:cs="仿宋_GB2312"/>
          <w:b/>
          <w:bCs/>
          <w:color w:val="000000"/>
          <w:sz w:val="24"/>
          <w:szCs w:val="24"/>
        </w:rPr>
        <w:t>3.供应商技术标澄清函</w:t>
      </w:r>
      <w:bookmarkEnd w:id="188"/>
      <w:bookmarkEnd w:id="189"/>
      <w:bookmarkEnd w:id="190"/>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191" w:name="_Toc2163"/>
      <w:bookmarkStart w:id="192" w:name="_Toc4672"/>
      <w:bookmarkStart w:id="193" w:name="_Toc24161"/>
      <w:r>
        <w:rPr>
          <w:rFonts w:hint="eastAsia" w:ascii="仿宋_GB2312" w:hAnsi="仿宋_GB2312" w:eastAsia="仿宋_GB2312" w:cs="仿宋_GB2312"/>
          <w:b/>
          <w:bCs/>
          <w:color w:val="000000"/>
          <w:sz w:val="24"/>
          <w:szCs w:val="24"/>
        </w:rPr>
        <w:t>4.供应商报价</w:t>
      </w:r>
      <w:bookmarkEnd w:id="191"/>
      <w:bookmarkEnd w:id="192"/>
      <w:bookmarkEnd w:id="193"/>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194" w:name="_Toc21183"/>
      <w:bookmarkStart w:id="195" w:name="_Toc7227"/>
      <w:bookmarkStart w:id="196" w:name="_Toc25209"/>
      <w:r>
        <w:rPr>
          <w:rFonts w:hint="eastAsia" w:ascii="仿宋_GB2312" w:hAnsi="仿宋_GB2312" w:eastAsia="仿宋_GB2312" w:cs="仿宋_GB2312"/>
          <w:b/>
          <w:bCs/>
          <w:color w:val="000000"/>
          <w:sz w:val="24"/>
          <w:szCs w:val="24"/>
        </w:rPr>
        <w:t>5.供应商澄清报价</w:t>
      </w:r>
      <w:bookmarkEnd w:id="194"/>
      <w:bookmarkEnd w:id="195"/>
      <w:bookmarkEnd w:id="196"/>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197" w:name="_Toc30950"/>
      <w:bookmarkStart w:id="198" w:name="_Toc21540"/>
      <w:bookmarkStart w:id="199" w:name="_Toc4981"/>
      <w:r>
        <w:rPr>
          <w:rFonts w:hint="eastAsia" w:ascii="仿宋_GB2312" w:hAnsi="仿宋_GB2312" w:eastAsia="仿宋_GB2312" w:cs="仿宋_GB2312"/>
          <w:b/>
          <w:bCs/>
          <w:color w:val="000000"/>
          <w:sz w:val="24"/>
          <w:szCs w:val="24"/>
        </w:rPr>
        <w:t>6.供应商查看中标通知</w:t>
      </w:r>
      <w:bookmarkEnd w:id="197"/>
      <w:bookmarkEnd w:id="198"/>
      <w:bookmarkEnd w:id="199"/>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42" w:type="first"/>
      <w:footerReference r:id="rId44" w:type="first"/>
      <w:headerReference r:id="rId41" w:type="default"/>
      <w:footerReference r:id="rId43"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67F6">
    <w:pPr>
      <w:pStyle w:val="24"/>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B8BA6">
                          <w:pPr>
                            <w:pStyle w:val="2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711B8BA6">
                    <w:pPr>
                      <w:pStyle w:val="2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6FF3">
    <w:pPr>
      <w:pStyle w:val="24"/>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63B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5663B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A2E8">
    <w:pPr>
      <w:pStyle w:val="24"/>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41B88">
                          <w:pPr>
                            <w:pStyle w:val="24"/>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F741B88">
                    <w:pPr>
                      <w:pStyle w:val="24"/>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6258E">
    <w:pPr>
      <w:pStyle w:val="24"/>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31C1A">
                          <w:pPr>
                            <w:pStyle w:val="2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7831C1A">
                    <w:pPr>
                      <w:pStyle w:val="2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77B4">
    <w:pPr>
      <w:pStyle w:val="24"/>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682C6">
                          <w:pPr>
                            <w:pStyle w:val="24"/>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2F682C6">
                    <w:pPr>
                      <w:pStyle w:val="24"/>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F7B97">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6307">
    <w:pPr>
      <w:spacing w:line="480" w:lineRule="exact"/>
      <w:jc w:val="right"/>
      <w:rPr>
        <w:rFonts w:ascii="宋体" w:hAnsi="宋体"/>
        <w:color w:val="000000"/>
        <w:sz w:val="32"/>
        <w:szCs w:val="32"/>
      </w:rPr>
    </w:pPr>
    <w:r>
      <w:rPr>
        <w:rFonts w:hint="eastAsia"/>
      </w:rPr>
      <w:t xml:space="preserve">               </w:t>
    </w:r>
  </w:p>
  <w:p w14:paraId="286CC716">
    <w:pPr>
      <w:pStyle w:val="25"/>
      <w:pBdr>
        <w:bottom w:val="single" w:color="auto" w:sz="12" w:space="0"/>
      </w:pBdr>
      <w:ind w:right="210"/>
      <w:jc w:val="both"/>
      <w:rPr>
        <w:rFonts w:ascii="黑体" w:hAnsi="黑体" w:cs="黑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9609C">
    <w:pPr>
      <w:pStyle w:val="25"/>
      <w:pBdr>
        <w:bottom w:val="single" w:color="auto" w:sz="12" w:space="9"/>
      </w:pBdr>
      <w:jc w:val="right"/>
      <w:rPr>
        <w:rFonts w:ascii="黑体" w:hAnsi="黑体" w:eastAsia="黑体" w:cs="黑体"/>
        <w:sz w:val="21"/>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CF92C">
    <w:pPr>
      <w:spacing w:line="480" w:lineRule="exact"/>
      <w:jc w:val="right"/>
      <w:rPr>
        <w:rFonts w:ascii="宋体" w:hAnsi="宋体"/>
        <w:color w:val="000000"/>
        <w:sz w:val="32"/>
        <w:szCs w:val="32"/>
      </w:rPr>
    </w:pPr>
    <w:r>
      <w:rPr>
        <w:rFonts w:hint="eastAsia"/>
      </w:rPr>
      <w:t xml:space="preserve">               </w:t>
    </w:r>
  </w:p>
  <w:p w14:paraId="61C62C42">
    <w:pPr>
      <w:pStyle w:val="25"/>
      <w:pBdr>
        <w:bottom w:val="single" w:color="auto" w:sz="12" w:space="0"/>
      </w:pBdr>
      <w:ind w:right="210"/>
      <w:jc w:val="both"/>
      <w:rPr>
        <w:rFonts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B8F12876"/>
    <w:multiLevelType w:val="singleLevel"/>
    <w:tmpl w:val="B8F12876"/>
    <w:lvl w:ilvl="0" w:tentative="0">
      <w:start w:val="3"/>
      <w:numFmt w:val="decimal"/>
      <w:lvlText w:val="%1."/>
      <w:lvlJc w:val="left"/>
      <w:pPr>
        <w:tabs>
          <w:tab w:val="left" w:pos="312"/>
        </w:tabs>
      </w:p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7130B9A"/>
    <w:multiLevelType w:val="singleLevel"/>
    <w:tmpl w:val="D7130B9A"/>
    <w:lvl w:ilvl="0" w:tentative="0">
      <w:start w:val="4"/>
      <w:numFmt w:val="chineseCounting"/>
      <w:suff w:val="nothing"/>
      <w:lvlText w:val="%1、"/>
      <w:lvlJc w:val="left"/>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59E5AF3"/>
    <w:multiLevelType w:val="singleLevel"/>
    <w:tmpl w:val="E59E5AF3"/>
    <w:lvl w:ilvl="0" w:tentative="0">
      <w:start w:val="6"/>
      <w:numFmt w:val="decimal"/>
      <w:lvlText w:val="%1."/>
      <w:lvlJc w:val="left"/>
      <w:pPr>
        <w:tabs>
          <w:tab w:val="left" w:pos="312"/>
        </w:tabs>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3"/>
  </w:num>
  <w:num w:numId="3">
    <w:abstractNumId w:val="14"/>
  </w:num>
  <w:num w:numId="4">
    <w:abstractNumId w:val="9"/>
  </w:num>
  <w:num w:numId="5">
    <w:abstractNumId w:val="6"/>
  </w:num>
  <w:num w:numId="6">
    <w:abstractNumId w:val="11"/>
  </w:num>
  <w:num w:numId="7">
    <w:abstractNumId w:val="4"/>
  </w:num>
  <w:num w:numId="8">
    <w:abstractNumId w:val="10"/>
  </w:num>
  <w:num w:numId="9">
    <w:abstractNumId w:val="8"/>
  </w:num>
  <w:num w:numId="10">
    <w:abstractNumId w:val="2"/>
  </w:num>
  <w:num w:numId="11">
    <w:abstractNumId w:val="1"/>
  </w:num>
  <w:num w:numId="12">
    <w:abstractNumId w:val="3"/>
  </w:num>
  <w:num w:numId="13">
    <w:abstractNumId w:val="5"/>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3247961"/>
    <w:rsid w:val="03251978"/>
    <w:rsid w:val="0325718A"/>
    <w:rsid w:val="03BB27D2"/>
    <w:rsid w:val="042921B6"/>
    <w:rsid w:val="043432A1"/>
    <w:rsid w:val="0442138C"/>
    <w:rsid w:val="04AD02B8"/>
    <w:rsid w:val="04DF17D4"/>
    <w:rsid w:val="04E80A94"/>
    <w:rsid w:val="053B565E"/>
    <w:rsid w:val="05412745"/>
    <w:rsid w:val="05491761"/>
    <w:rsid w:val="05575651"/>
    <w:rsid w:val="05A351AD"/>
    <w:rsid w:val="05C234EE"/>
    <w:rsid w:val="05CA44E8"/>
    <w:rsid w:val="05D95918"/>
    <w:rsid w:val="05F9748A"/>
    <w:rsid w:val="06032214"/>
    <w:rsid w:val="06160D68"/>
    <w:rsid w:val="06163BD1"/>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1396F"/>
    <w:rsid w:val="07AB6BDF"/>
    <w:rsid w:val="07D25D65"/>
    <w:rsid w:val="08000695"/>
    <w:rsid w:val="08332819"/>
    <w:rsid w:val="083B072C"/>
    <w:rsid w:val="084C21AB"/>
    <w:rsid w:val="08741EBB"/>
    <w:rsid w:val="08B62ACD"/>
    <w:rsid w:val="08C87A6E"/>
    <w:rsid w:val="08E64121"/>
    <w:rsid w:val="090D5816"/>
    <w:rsid w:val="0942017F"/>
    <w:rsid w:val="09656F6B"/>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536D2E"/>
    <w:rsid w:val="0B7434CA"/>
    <w:rsid w:val="0B93548B"/>
    <w:rsid w:val="0BBD05C5"/>
    <w:rsid w:val="0BE12DB6"/>
    <w:rsid w:val="0C0914C9"/>
    <w:rsid w:val="0C0F6841"/>
    <w:rsid w:val="0C30706F"/>
    <w:rsid w:val="0C345AD1"/>
    <w:rsid w:val="0C5806CC"/>
    <w:rsid w:val="0C626CE4"/>
    <w:rsid w:val="0C817D19"/>
    <w:rsid w:val="0C91607A"/>
    <w:rsid w:val="0CAC3BFF"/>
    <w:rsid w:val="0CC05B7D"/>
    <w:rsid w:val="0CC950CC"/>
    <w:rsid w:val="0CD10F40"/>
    <w:rsid w:val="0D0C2B7B"/>
    <w:rsid w:val="0D542EEE"/>
    <w:rsid w:val="0D642FA7"/>
    <w:rsid w:val="0D9308F8"/>
    <w:rsid w:val="0DDA6377"/>
    <w:rsid w:val="0E1A1D85"/>
    <w:rsid w:val="0E1E25B6"/>
    <w:rsid w:val="0E2322C1"/>
    <w:rsid w:val="0E2350DD"/>
    <w:rsid w:val="0E750568"/>
    <w:rsid w:val="0E870499"/>
    <w:rsid w:val="0EA24D8E"/>
    <w:rsid w:val="0EB25028"/>
    <w:rsid w:val="0EB81390"/>
    <w:rsid w:val="0EB93A32"/>
    <w:rsid w:val="0EFA3D25"/>
    <w:rsid w:val="0EFB5FED"/>
    <w:rsid w:val="0F182768"/>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B60B86"/>
    <w:rsid w:val="10BE093E"/>
    <w:rsid w:val="10EC27C5"/>
    <w:rsid w:val="11091BDB"/>
    <w:rsid w:val="110F6D60"/>
    <w:rsid w:val="111B0FE9"/>
    <w:rsid w:val="115F67A8"/>
    <w:rsid w:val="1168209E"/>
    <w:rsid w:val="119A7465"/>
    <w:rsid w:val="11C07DA5"/>
    <w:rsid w:val="123B6FD5"/>
    <w:rsid w:val="12491386"/>
    <w:rsid w:val="12492C39"/>
    <w:rsid w:val="126B1F99"/>
    <w:rsid w:val="12724255"/>
    <w:rsid w:val="127B2E60"/>
    <w:rsid w:val="127D7927"/>
    <w:rsid w:val="12E55336"/>
    <w:rsid w:val="12E60579"/>
    <w:rsid w:val="130A724C"/>
    <w:rsid w:val="130B4CCD"/>
    <w:rsid w:val="131A6D6F"/>
    <w:rsid w:val="13371015"/>
    <w:rsid w:val="13695B36"/>
    <w:rsid w:val="136C088B"/>
    <w:rsid w:val="1372609F"/>
    <w:rsid w:val="13920429"/>
    <w:rsid w:val="13A82806"/>
    <w:rsid w:val="13B10A95"/>
    <w:rsid w:val="14092DB2"/>
    <w:rsid w:val="143E3DC5"/>
    <w:rsid w:val="144A48B8"/>
    <w:rsid w:val="145A6A37"/>
    <w:rsid w:val="1467440F"/>
    <w:rsid w:val="14D7277E"/>
    <w:rsid w:val="14E153AA"/>
    <w:rsid w:val="14E21050"/>
    <w:rsid w:val="14F5646A"/>
    <w:rsid w:val="14F73019"/>
    <w:rsid w:val="15044722"/>
    <w:rsid w:val="15080C95"/>
    <w:rsid w:val="15433A9B"/>
    <w:rsid w:val="15A35471"/>
    <w:rsid w:val="15A57A38"/>
    <w:rsid w:val="15AD1F11"/>
    <w:rsid w:val="15BB0D33"/>
    <w:rsid w:val="15D13671"/>
    <w:rsid w:val="15F81DA1"/>
    <w:rsid w:val="15FC2F04"/>
    <w:rsid w:val="16181FAC"/>
    <w:rsid w:val="16565924"/>
    <w:rsid w:val="165B00BA"/>
    <w:rsid w:val="168756A0"/>
    <w:rsid w:val="1697741D"/>
    <w:rsid w:val="16B24402"/>
    <w:rsid w:val="16E22D25"/>
    <w:rsid w:val="16F5303A"/>
    <w:rsid w:val="16F94849"/>
    <w:rsid w:val="16FE3FF2"/>
    <w:rsid w:val="17045E51"/>
    <w:rsid w:val="172011D4"/>
    <w:rsid w:val="17252C3B"/>
    <w:rsid w:val="17263548"/>
    <w:rsid w:val="173D3649"/>
    <w:rsid w:val="173F0A2E"/>
    <w:rsid w:val="175A07E0"/>
    <w:rsid w:val="17770BC2"/>
    <w:rsid w:val="17782D5C"/>
    <w:rsid w:val="17860E2F"/>
    <w:rsid w:val="17A119AA"/>
    <w:rsid w:val="17AF1095"/>
    <w:rsid w:val="17E175E6"/>
    <w:rsid w:val="1813218C"/>
    <w:rsid w:val="181E57CF"/>
    <w:rsid w:val="18454A08"/>
    <w:rsid w:val="18586F2B"/>
    <w:rsid w:val="185C1918"/>
    <w:rsid w:val="18616F2E"/>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2E35C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00253"/>
    <w:rsid w:val="1DC823F7"/>
    <w:rsid w:val="1DED1842"/>
    <w:rsid w:val="1E001284"/>
    <w:rsid w:val="1E20535F"/>
    <w:rsid w:val="1E43150B"/>
    <w:rsid w:val="1E575188"/>
    <w:rsid w:val="1E8C2E63"/>
    <w:rsid w:val="1E9E304B"/>
    <w:rsid w:val="1EA93E80"/>
    <w:rsid w:val="1EBB0A1A"/>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7249A"/>
    <w:rsid w:val="208717DB"/>
    <w:rsid w:val="20AB56C6"/>
    <w:rsid w:val="20D52D39"/>
    <w:rsid w:val="20F2001C"/>
    <w:rsid w:val="212C13E3"/>
    <w:rsid w:val="21545FA4"/>
    <w:rsid w:val="2176507C"/>
    <w:rsid w:val="219E32F8"/>
    <w:rsid w:val="21BA10C4"/>
    <w:rsid w:val="21BE35AF"/>
    <w:rsid w:val="21C11174"/>
    <w:rsid w:val="22244B28"/>
    <w:rsid w:val="22467FD4"/>
    <w:rsid w:val="224F1BA5"/>
    <w:rsid w:val="22784511"/>
    <w:rsid w:val="228E4DC3"/>
    <w:rsid w:val="229451FD"/>
    <w:rsid w:val="22A12DB6"/>
    <w:rsid w:val="22C97F89"/>
    <w:rsid w:val="23195423"/>
    <w:rsid w:val="23197220"/>
    <w:rsid w:val="23252EAE"/>
    <w:rsid w:val="23400B66"/>
    <w:rsid w:val="23510E00"/>
    <w:rsid w:val="236356D1"/>
    <w:rsid w:val="23A91C83"/>
    <w:rsid w:val="23C94380"/>
    <w:rsid w:val="23C962E8"/>
    <w:rsid w:val="23F628B3"/>
    <w:rsid w:val="241779D8"/>
    <w:rsid w:val="241F0332"/>
    <w:rsid w:val="243954FA"/>
    <w:rsid w:val="244E64C3"/>
    <w:rsid w:val="246818DB"/>
    <w:rsid w:val="247E4FED"/>
    <w:rsid w:val="24B30BE8"/>
    <w:rsid w:val="24C6643F"/>
    <w:rsid w:val="24E34060"/>
    <w:rsid w:val="24E42F6F"/>
    <w:rsid w:val="24E73693"/>
    <w:rsid w:val="25143CB6"/>
    <w:rsid w:val="25275183"/>
    <w:rsid w:val="252E0198"/>
    <w:rsid w:val="253A0491"/>
    <w:rsid w:val="25491B20"/>
    <w:rsid w:val="25851E17"/>
    <w:rsid w:val="25E036B2"/>
    <w:rsid w:val="25E9082A"/>
    <w:rsid w:val="25F42473"/>
    <w:rsid w:val="25FF7AB9"/>
    <w:rsid w:val="26701A1C"/>
    <w:rsid w:val="26733CCF"/>
    <w:rsid w:val="267E2DFB"/>
    <w:rsid w:val="267F0FB7"/>
    <w:rsid w:val="26AA1A7C"/>
    <w:rsid w:val="26AF2D79"/>
    <w:rsid w:val="26B34B91"/>
    <w:rsid w:val="26DD6B95"/>
    <w:rsid w:val="270701F0"/>
    <w:rsid w:val="270D66E8"/>
    <w:rsid w:val="27514612"/>
    <w:rsid w:val="278B0DAB"/>
    <w:rsid w:val="279A2F6C"/>
    <w:rsid w:val="279C6B0E"/>
    <w:rsid w:val="27A64735"/>
    <w:rsid w:val="27C35F42"/>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C1931"/>
    <w:rsid w:val="298E421D"/>
    <w:rsid w:val="299E147F"/>
    <w:rsid w:val="299E1B49"/>
    <w:rsid w:val="29B64C00"/>
    <w:rsid w:val="29C32A87"/>
    <w:rsid w:val="29CF070E"/>
    <w:rsid w:val="29CF26DC"/>
    <w:rsid w:val="2A1C5DA0"/>
    <w:rsid w:val="2A200D39"/>
    <w:rsid w:val="2A2959AC"/>
    <w:rsid w:val="2A507EFF"/>
    <w:rsid w:val="2A931BAD"/>
    <w:rsid w:val="2ACB3B45"/>
    <w:rsid w:val="2ADC05A4"/>
    <w:rsid w:val="2B623C4E"/>
    <w:rsid w:val="2B6F0D7F"/>
    <w:rsid w:val="2B797443"/>
    <w:rsid w:val="2B8716BD"/>
    <w:rsid w:val="2B8B76FF"/>
    <w:rsid w:val="2B906D86"/>
    <w:rsid w:val="2BD5034F"/>
    <w:rsid w:val="2C0B6845"/>
    <w:rsid w:val="2C164021"/>
    <w:rsid w:val="2C4E3791"/>
    <w:rsid w:val="2C8A2821"/>
    <w:rsid w:val="2CAC2A7B"/>
    <w:rsid w:val="2CC04EFA"/>
    <w:rsid w:val="2CF750C7"/>
    <w:rsid w:val="2D025012"/>
    <w:rsid w:val="2D4178F0"/>
    <w:rsid w:val="2D5704A8"/>
    <w:rsid w:val="2D9C5B61"/>
    <w:rsid w:val="2DA535EC"/>
    <w:rsid w:val="2DAE631A"/>
    <w:rsid w:val="2DD877E0"/>
    <w:rsid w:val="2DE616C9"/>
    <w:rsid w:val="2DE6471C"/>
    <w:rsid w:val="2DFC2451"/>
    <w:rsid w:val="2E060EEA"/>
    <w:rsid w:val="2E100FE3"/>
    <w:rsid w:val="2E110022"/>
    <w:rsid w:val="2E3422F8"/>
    <w:rsid w:val="2E392F37"/>
    <w:rsid w:val="2E4D582F"/>
    <w:rsid w:val="2E5E170B"/>
    <w:rsid w:val="2E6931B3"/>
    <w:rsid w:val="2E6D31FB"/>
    <w:rsid w:val="2E6E566D"/>
    <w:rsid w:val="2E7F188E"/>
    <w:rsid w:val="2EA85F24"/>
    <w:rsid w:val="2EAF2917"/>
    <w:rsid w:val="2EB2312B"/>
    <w:rsid w:val="2EB9791D"/>
    <w:rsid w:val="2EBC0905"/>
    <w:rsid w:val="2EC73739"/>
    <w:rsid w:val="2EE95803"/>
    <w:rsid w:val="2EFB1B0E"/>
    <w:rsid w:val="2F521E67"/>
    <w:rsid w:val="2F5C684F"/>
    <w:rsid w:val="2F7B3E4B"/>
    <w:rsid w:val="2FB67DA1"/>
    <w:rsid w:val="2FD63906"/>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7D3B1A"/>
    <w:rsid w:val="32A0644D"/>
    <w:rsid w:val="32B77AC3"/>
    <w:rsid w:val="32D0705C"/>
    <w:rsid w:val="32DD7D02"/>
    <w:rsid w:val="32DE0199"/>
    <w:rsid w:val="32EB7412"/>
    <w:rsid w:val="32EC2A98"/>
    <w:rsid w:val="33334E8E"/>
    <w:rsid w:val="335B2774"/>
    <w:rsid w:val="3364565D"/>
    <w:rsid w:val="33A238CF"/>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C67F79"/>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C52903"/>
    <w:rsid w:val="38D65199"/>
    <w:rsid w:val="38E070F2"/>
    <w:rsid w:val="39034314"/>
    <w:rsid w:val="390B0AC4"/>
    <w:rsid w:val="390D33AB"/>
    <w:rsid w:val="391E6D06"/>
    <w:rsid w:val="393A3C1D"/>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4F7D1F"/>
    <w:rsid w:val="3B510C66"/>
    <w:rsid w:val="3B7D3FD5"/>
    <w:rsid w:val="3B823DDF"/>
    <w:rsid w:val="3BAB4D14"/>
    <w:rsid w:val="3BB956C1"/>
    <w:rsid w:val="3BDA7D0C"/>
    <w:rsid w:val="3C01177E"/>
    <w:rsid w:val="3C084B3D"/>
    <w:rsid w:val="3C237ED3"/>
    <w:rsid w:val="3C3C1178"/>
    <w:rsid w:val="3C91192E"/>
    <w:rsid w:val="3C917532"/>
    <w:rsid w:val="3CAA596A"/>
    <w:rsid w:val="3CB1587B"/>
    <w:rsid w:val="3CB735F2"/>
    <w:rsid w:val="3CC372BE"/>
    <w:rsid w:val="3CED621B"/>
    <w:rsid w:val="3D0C5F6A"/>
    <w:rsid w:val="3D186684"/>
    <w:rsid w:val="3D363C36"/>
    <w:rsid w:val="3D397557"/>
    <w:rsid w:val="3D4C7C96"/>
    <w:rsid w:val="3D635B43"/>
    <w:rsid w:val="3D8B2178"/>
    <w:rsid w:val="3D9364A0"/>
    <w:rsid w:val="3D9646D4"/>
    <w:rsid w:val="3DB34909"/>
    <w:rsid w:val="3DD115F5"/>
    <w:rsid w:val="3DDD2303"/>
    <w:rsid w:val="3DE435F0"/>
    <w:rsid w:val="3DE5122C"/>
    <w:rsid w:val="3DF37E53"/>
    <w:rsid w:val="3E134150"/>
    <w:rsid w:val="3E1E6276"/>
    <w:rsid w:val="3E985F3F"/>
    <w:rsid w:val="3ED26DE9"/>
    <w:rsid w:val="3ED51606"/>
    <w:rsid w:val="3EED17D0"/>
    <w:rsid w:val="3EF96F7D"/>
    <w:rsid w:val="3F0C0304"/>
    <w:rsid w:val="3F0F7A7F"/>
    <w:rsid w:val="3F2C09B1"/>
    <w:rsid w:val="3F6031EC"/>
    <w:rsid w:val="3FDB6617"/>
    <w:rsid w:val="3FEC147E"/>
    <w:rsid w:val="40036A74"/>
    <w:rsid w:val="4003755E"/>
    <w:rsid w:val="400D1324"/>
    <w:rsid w:val="401B03DB"/>
    <w:rsid w:val="4024153A"/>
    <w:rsid w:val="402853D1"/>
    <w:rsid w:val="403703F1"/>
    <w:rsid w:val="40376375"/>
    <w:rsid w:val="404A563B"/>
    <w:rsid w:val="407056B1"/>
    <w:rsid w:val="40815A60"/>
    <w:rsid w:val="408546CF"/>
    <w:rsid w:val="40A13D96"/>
    <w:rsid w:val="40C84E1D"/>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4A4B98"/>
    <w:rsid w:val="42581D3A"/>
    <w:rsid w:val="4262787F"/>
    <w:rsid w:val="42643391"/>
    <w:rsid w:val="42FE0080"/>
    <w:rsid w:val="43315D2E"/>
    <w:rsid w:val="43824A1C"/>
    <w:rsid w:val="4390486D"/>
    <w:rsid w:val="4399333D"/>
    <w:rsid w:val="43B2241F"/>
    <w:rsid w:val="43CE64CC"/>
    <w:rsid w:val="43D110E1"/>
    <w:rsid w:val="43E873C9"/>
    <w:rsid w:val="44250817"/>
    <w:rsid w:val="44427364"/>
    <w:rsid w:val="44905B1F"/>
    <w:rsid w:val="44FB7248"/>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6C7C18"/>
    <w:rsid w:val="46901553"/>
    <w:rsid w:val="469B1BC5"/>
    <w:rsid w:val="469E62EA"/>
    <w:rsid w:val="46A95E12"/>
    <w:rsid w:val="46C1577B"/>
    <w:rsid w:val="46F450DE"/>
    <w:rsid w:val="46F91E7C"/>
    <w:rsid w:val="46FF21F6"/>
    <w:rsid w:val="47131BFB"/>
    <w:rsid w:val="47200EE3"/>
    <w:rsid w:val="47435AC2"/>
    <w:rsid w:val="47544B78"/>
    <w:rsid w:val="47587AF7"/>
    <w:rsid w:val="47745A86"/>
    <w:rsid w:val="479010F6"/>
    <w:rsid w:val="47A52B16"/>
    <w:rsid w:val="47AC17F9"/>
    <w:rsid w:val="47B40579"/>
    <w:rsid w:val="47E239AC"/>
    <w:rsid w:val="480F4B73"/>
    <w:rsid w:val="48580F04"/>
    <w:rsid w:val="48602ADC"/>
    <w:rsid w:val="486F6565"/>
    <w:rsid w:val="48886075"/>
    <w:rsid w:val="48B819A3"/>
    <w:rsid w:val="48CD3476"/>
    <w:rsid w:val="48DB38E3"/>
    <w:rsid w:val="48E95C8D"/>
    <w:rsid w:val="48F5140F"/>
    <w:rsid w:val="49001B5E"/>
    <w:rsid w:val="490552B7"/>
    <w:rsid w:val="49376DB0"/>
    <w:rsid w:val="49471E2B"/>
    <w:rsid w:val="4957740E"/>
    <w:rsid w:val="49804BB7"/>
    <w:rsid w:val="49826DCB"/>
    <w:rsid w:val="4984282A"/>
    <w:rsid w:val="499013E7"/>
    <w:rsid w:val="49B95283"/>
    <w:rsid w:val="49C8088A"/>
    <w:rsid w:val="49CB23A5"/>
    <w:rsid w:val="49F0795B"/>
    <w:rsid w:val="4A301C93"/>
    <w:rsid w:val="4A3302AB"/>
    <w:rsid w:val="4A3B288C"/>
    <w:rsid w:val="4A7F3A12"/>
    <w:rsid w:val="4AC85D49"/>
    <w:rsid w:val="4ACB4AB2"/>
    <w:rsid w:val="4AE308A9"/>
    <w:rsid w:val="4B294DDA"/>
    <w:rsid w:val="4B3E6D0C"/>
    <w:rsid w:val="4B4C32F5"/>
    <w:rsid w:val="4B8F44A9"/>
    <w:rsid w:val="4B9A1456"/>
    <w:rsid w:val="4BA32C82"/>
    <w:rsid w:val="4BBD4EE7"/>
    <w:rsid w:val="4BD73978"/>
    <w:rsid w:val="4BE70627"/>
    <w:rsid w:val="4C0A5AE1"/>
    <w:rsid w:val="4C130AB8"/>
    <w:rsid w:val="4C391ADB"/>
    <w:rsid w:val="4C5501B4"/>
    <w:rsid w:val="4C5639AD"/>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7762D0"/>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8B54DC"/>
    <w:rsid w:val="4FE52410"/>
    <w:rsid w:val="50070E2C"/>
    <w:rsid w:val="500E01E6"/>
    <w:rsid w:val="501E0C85"/>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1E63A25"/>
    <w:rsid w:val="521066B1"/>
    <w:rsid w:val="52302EF2"/>
    <w:rsid w:val="5266163F"/>
    <w:rsid w:val="527D59E1"/>
    <w:rsid w:val="52EF4CB5"/>
    <w:rsid w:val="52F30A60"/>
    <w:rsid w:val="52F959F0"/>
    <w:rsid w:val="52FF21DE"/>
    <w:rsid w:val="5302488E"/>
    <w:rsid w:val="53136173"/>
    <w:rsid w:val="53645473"/>
    <w:rsid w:val="539A4AC7"/>
    <w:rsid w:val="53CF0232"/>
    <w:rsid w:val="53D004E8"/>
    <w:rsid w:val="542631B6"/>
    <w:rsid w:val="545F0C78"/>
    <w:rsid w:val="54647343"/>
    <w:rsid w:val="54A61722"/>
    <w:rsid w:val="54B31FAF"/>
    <w:rsid w:val="54FB4092"/>
    <w:rsid w:val="5524472E"/>
    <w:rsid w:val="55326D63"/>
    <w:rsid w:val="55484F36"/>
    <w:rsid w:val="555D1A10"/>
    <w:rsid w:val="55CE2B4A"/>
    <w:rsid w:val="560449EF"/>
    <w:rsid w:val="562338FD"/>
    <w:rsid w:val="56440315"/>
    <w:rsid w:val="56574DB7"/>
    <w:rsid w:val="566766E5"/>
    <w:rsid w:val="568A5206"/>
    <w:rsid w:val="5699471A"/>
    <w:rsid w:val="56AC4A78"/>
    <w:rsid w:val="56BE449A"/>
    <w:rsid w:val="56C502EA"/>
    <w:rsid w:val="56DB16B9"/>
    <w:rsid w:val="56DE4C90"/>
    <w:rsid w:val="56F03CB1"/>
    <w:rsid w:val="571B228A"/>
    <w:rsid w:val="57442EFB"/>
    <w:rsid w:val="574436DA"/>
    <w:rsid w:val="577A3463"/>
    <w:rsid w:val="57DB3DF1"/>
    <w:rsid w:val="57E207EA"/>
    <w:rsid w:val="57F967AD"/>
    <w:rsid w:val="58052975"/>
    <w:rsid w:val="582D112D"/>
    <w:rsid w:val="583152CE"/>
    <w:rsid w:val="58D802CE"/>
    <w:rsid w:val="58E525CA"/>
    <w:rsid w:val="59351174"/>
    <w:rsid w:val="593B5DDE"/>
    <w:rsid w:val="593D045A"/>
    <w:rsid w:val="5960739E"/>
    <w:rsid w:val="5980259E"/>
    <w:rsid w:val="59896D0A"/>
    <w:rsid w:val="59B72684"/>
    <w:rsid w:val="59CC6E29"/>
    <w:rsid w:val="59CE7D0B"/>
    <w:rsid w:val="59CF110D"/>
    <w:rsid w:val="59F66B3A"/>
    <w:rsid w:val="5A0532BF"/>
    <w:rsid w:val="5A5F6122"/>
    <w:rsid w:val="5A6E4EEC"/>
    <w:rsid w:val="5A9579AE"/>
    <w:rsid w:val="5AC468CD"/>
    <w:rsid w:val="5ACB3B4E"/>
    <w:rsid w:val="5AFD593B"/>
    <w:rsid w:val="5B342B9A"/>
    <w:rsid w:val="5B3936BE"/>
    <w:rsid w:val="5B492591"/>
    <w:rsid w:val="5B507A5E"/>
    <w:rsid w:val="5B5953B0"/>
    <w:rsid w:val="5B5B1AB4"/>
    <w:rsid w:val="5B615779"/>
    <w:rsid w:val="5B630802"/>
    <w:rsid w:val="5B6C52EF"/>
    <w:rsid w:val="5B721297"/>
    <w:rsid w:val="5B807F68"/>
    <w:rsid w:val="5B93724D"/>
    <w:rsid w:val="5B944CCF"/>
    <w:rsid w:val="5BA0711B"/>
    <w:rsid w:val="5BF232F7"/>
    <w:rsid w:val="5BFB631F"/>
    <w:rsid w:val="5C034D53"/>
    <w:rsid w:val="5C903B7A"/>
    <w:rsid w:val="5C9D2F32"/>
    <w:rsid w:val="5D0C57B5"/>
    <w:rsid w:val="5D153EC6"/>
    <w:rsid w:val="5D9539D7"/>
    <w:rsid w:val="5DBF6C59"/>
    <w:rsid w:val="5DC664B8"/>
    <w:rsid w:val="5E1D6F56"/>
    <w:rsid w:val="5E4333EB"/>
    <w:rsid w:val="5E52187F"/>
    <w:rsid w:val="5E5412F8"/>
    <w:rsid w:val="5E6A13CD"/>
    <w:rsid w:val="5E705D15"/>
    <w:rsid w:val="5E92274E"/>
    <w:rsid w:val="5E93326C"/>
    <w:rsid w:val="5E9F1A7A"/>
    <w:rsid w:val="5EAB19DE"/>
    <w:rsid w:val="5EDD7F5D"/>
    <w:rsid w:val="5EFB4BA4"/>
    <w:rsid w:val="5F0535BA"/>
    <w:rsid w:val="5F062644"/>
    <w:rsid w:val="5F0A2EB1"/>
    <w:rsid w:val="5F1F3F1B"/>
    <w:rsid w:val="5F48187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B607C"/>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15118"/>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1047DD"/>
    <w:rsid w:val="661275CF"/>
    <w:rsid w:val="661C4D37"/>
    <w:rsid w:val="66242736"/>
    <w:rsid w:val="66307F76"/>
    <w:rsid w:val="6635242D"/>
    <w:rsid w:val="663B69C4"/>
    <w:rsid w:val="66564F2B"/>
    <w:rsid w:val="66580EAF"/>
    <w:rsid w:val="66694D0D"/>
    <w:rsid w:val="667A1C2F"/>
    <w:rsid w:val="667B4472"/>
    <w:rsid w:val="669865EF"/>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7AB0436"/>
    <w:rsid w:val="68011379"/>
    <w:rsid w:val="680D1D06"/>
    <w:rsid w:val="681462BE"/>
    <w:rsid w:val="68157452"/>
    <w:rsid w:val="68252C37"/>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A64288"/>
    <w:rsid w:val="6AB57116"/>
    <w:rsid w:val="6AE73176"/>
    <w:rsid w:val="6B0A525B"/>
    <w:rsid w:val="6B17424A"/>
    <w:rsid w:val="6B2218FA"/>
    <w:rsid w:val="6B691672"/>
    <w:rsid w:val="6B755FDA"/>
    <w:rsid w:val="6B7D64E9"/>
    <w:rsid w:val="6BB640C5"/>
    <w:rsid w:val="6BCF0C2E"/>
    <w:rsid w:val="6BE526B4"/>
    <w:rsid w:val="6BE97F42"/>
    <w:rsid w:val="6C3A0859"/>
    <w:rsid w:val="6C42437C"/>
    <w:rsid w:val="6C5E6A51"/>
    <w:rsid w:val="6C6513C3"/>
    <w:rsid w:val="6C744268"/>
    <w:rsid w:val="6CCD388D"/>
    <w:rsid w:val="6CD62D03"/>
    <w:rsid w:val="6CD97FB6"/>
    <w:rsid w:val="6CDA233C"/>
    <w:rsid w:val="6D170809"/>
    <w:rsid w:val="6D4B22B8"/>
    <w:rsid w:val="6D663E0B"/>
    <w:rsid w:val="6D930013"/>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AB3A18"/>
    <w:rsid w:val="70E64CC7"/>
    <w:rsid w:val="71047C73"/>
    <w:rsid w:val="7109004F"/>
    <w:rsid w:val="710F390D"/>
    <w:rsid w:val="71103167"/>
    <w:rsid w:val="712E56F7"/>
    <w:rsid w:val="7156627F"/>
    <w:rsid w:val="71642194"/>
    <w:rsid w:val="71691ABB"/>
    <w:rsid w:val="71815087"/>
    <w:rsid w:val="7183799B"/>
    <w:rsid w:val="71AE1AEA"/>
    <w:rsid w:val="71BD3E64"/>
    <w:rsid w:val="71C852BA"/>
    <w:rsid w:val="71CF3B6C"/>
    <w:rsid w:val="71EB1C99"/>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2513F"/>
    <w:rsid w:val="7372081D"/>
    <w:rsid w:val="73740A39"/>
    <w:rsid w:val="73764F34"/>
    <w:rsid w:val="73771D49"/>
    <w:rsid w:val="739049CF"/>
    <w:rsid w:val="73A1354E"/>
    <w:rsid w:val="73A91864"/>
    <w:rsid w:val="73AE2AAC"/>
    <w:rsid w:val="73BA5FD6"/>
    <w:rsid w:val="73CD0FA0"/>
    <w:rsid w:val="73E544F1"/>
    <w:rsid w:val="742A10F7"/>
    <w:rsid w:val="74466A1C"/>
    <w:rsid w:val="74A11E7D"/>
    <w:rsid w:val="74AC62F7"/>
    <w:rsid w:val="74B25745"/>
    <w:rsid w:val="74B46F86"/>
    <w:rsid w:val="74EC0AA3"/>
    <w:rsid w:val="74F97739"/>
    <w:rsid w:val="74FB18F9"/>
    <w:rsid w:val="75590B0A"/>
    <w:rsid w:val="7582279F"/>
    <w:rsid w:val="75843EB5"/>
    <w:rsid w:val="759F4605"/>
    <w:rsid w:val="75BB71AF"/>
    <w:rsid w:val="75D05731"/>
    <w:rsid w:val="75F01962"/>
    <w:rsid w:val="760E19DF"/>
    <w:rsid w:val="7615653D"/>
    <w:rsid w:val="761B75CE"/>
    <w:rsid w:val="762116DB"/>
    <w:rsid w:val="76517CAC"/>
    <w:rsid w:val="76676A53"/>
    <w:rsid w:val="76741165"/>
    <w:rsid w:val="768153C1"/>
    <w:rsid w:val="769E78D2"/>
    <w:rsid w:val="76B620A1"/>
    <w:rsid w:val="76CF67D0"/>
    <w:rsid w:val="76E8442E"/>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4B57E6"/>
    <w:rsid w:val="788A2AAC"/>
    <w:rsid w:val="78936F61"/>
    <w:rsid w:val="78CD6DCC"/>
    <w:rsid w:val="78D07CAF"/>
    <w:rsid w:val="78DE12D7"/>
    <w:rsid w:val="78FC2038"/>
    <w:rsid w:val="78FC33D7"/>
    <w:rsid w:val="79183D69"/>
    <w:rsid w:val="79210683"/>
    <w:rsid w:val="792A3948"/>
    <w:rsid w:val="79951709"/>
    <w:rsid w:val="799C3465"/>
    <w:rsid w:val="79B14EC4"/>
    <w:rsid w:val="79BE1ECC"/>
    <w:rsid w:val="79C066C2"/>
    <w:rsid w:val="7A024BBA"/>
    <w:rsid w:val="7A2A6B4A"/>
    <w:rsid w:val="7A66105B"/>
    <w:rsid w:val="7A681070"/>
    <w:rsid w:val="7A71506F"/>
    <w:rsid w:val="7A7E1B39"/>
    <w:rsid w:val="7A860C7C"/>
    <w:rsid w:val="7AB16925"/>
    <w:rsid w:val="7AB879FE"/>
    <w:rsid w:val="7AC96BBD"/>
    <w:rsid w:val="7AFC32F8"/>
    <w:rsid w:val="7B250F87"/>
    <w:rsid w:val="7B3264DD"/>
    <w:rsid w:val="7B7374F2"/>
    <w:rsid w:val="7B81188A"/>
    <w:rsid w:val="7B98103C"/>
    <w:rsid w:val="7B9C495B"/>
    <w:rsid w:val="7B9E2902"/>
    <w:rsid w:val="7BBA14B3"/>
    <w:rsid w:val="7BC854E2"/>
    <w:rsid w:val="7BD61B65"/>
    <w:rsid w:val="7BED3460"/>
    <w:rsid w:val="7C0562EC"/>
    <w:rsid w:val="7C27683F"/>
    <w:rsid w:val="7C502792"/>
    <w:rsid w:val="7C8B6DF3"/>
    <w:rsid w:val="7C92265B"/>
    <w:rsid w:val="7CB14B4D"/>
    <w:rsid w:val="7CB479A6"/>
    <w:rsid w:val="7CF26969"/>
    <w:rsid w:val="7CF6528D"/>
    <w:rsid w:val="7CF96E16"/>
    <w:rsid w:val="7D25523C"/>
    <w:rsid w:val="7D5E1216"/>
    <w:rsid w:val="7D660BE8"/>
    <w:rsid w:val="7DB23041"/>
    <w:rsid w:val="7E200E4E"/>
    <w:rsid w:val="7E2968C4"/>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76C79"/>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2.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theme" Target="theme/theme1.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header" Target="header11.xml"/><Relationship Id="rId41" Type="http://schemas.openxmlformats.org/officeDocument/2006/relationships/header" Target="header10.xml"/><Relationship Id="rId40" Type="http://schemas.openxmlformats.org/officeDocument/2006/relationships/footer" Target="footer29.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9755</Words>
  <Characters>10276</Characters>
  <Lines>335</Lines>
  <Paragraphs>94</Paragraphs>
  <TotalTime>14</TotalTime>
  <ScaleCrop>false</ScaleCrop>
  <LinksUpToDate>false</LinksUpToDate>
  <CharactersWithSpaces>10478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2025-06-20T06:46:51Z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