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color w:val="000000"/>
          <w:sz w:val="28"/>
          <w:szCs w:val="28"/>
        </w:rPr>
      </w:pPr>
    </w:p>
    <w:p>
      <w:pPr>
        <w:jc w:val="center"/>
        <w:rPr>
          <w:rFonts w:hint="eastAsia" w:ascii="宋体" w:hAnsi="宋体" w:cs="宋体"/>
          <w:color w:val="000000"/>
          <w:sz w:val="30"/>
          <w:szCs w:val="30"/>
        </w:rPr>
      </w:pPr>
    </w:p>
    <w:p>
      <w:pPr>
        <w:jc w:val="center"/>
        <w:rPr>
          <w:rFonts w:hint="eastAsia" w:ascii="宋体" w:hAnsi="宋体" w:cs="宋体"/>
          <w:color w:val="000000"/>
          <w:sz w:val="30"/>
          <w:szCs w:val="30"/>
        </w:rPr>
      </w:pPr>
    </w:p>
    <w:p>
      <w:pPr>
        <w:spacing w:line="880" w:lineRule="exact"/>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产品试验检测中心排放试验用瓶装标准气</w:t>
      </w:r>
    </w:p>
    <w:p>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84"/>
          <w:szCs w:val="84"/>
        </w:rPr>
      </w:pPr>
      <w:r>
        <w:rPr>
          <w:rFonts w:hint="eastAsia" w:ascii="宋体" w:hAnsi="宋体" w:cs="宋体"/>
          <w:color w:val="000000"/>
          <w:sz w:val="84"/>
          <w:szCs w:val="84"/>
        </w:rPr>
        <w:t>招</w:t>
      </w:r>
    </w:p>
    <w:p>
      <w:pPr>
        <w:jc w:val="center"/>
        <w:rPr>
          <w:rFonts w:hint="eastAsia" w:ascii="宋体" w:hAnsi="宋体" w:cs="宋体"/>
          <w:color w:val="000000"/>
          <w:sz w:val="84"/>
          <w:szCs w:val="84"/>
        </w:rPr>
      </w:pPr>
    </w:p>
    <w:p>
      <w:pPr>
        <w:jc w:val="center"/>
        <w:rPr>
          <w:rFonts w:hint="eastAsia"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rPr>
      </w:pPr>
    </w:p>
    <w:p>
      <w:pPr>
        <w:jc w:val="center"/>
        <w:rPr>
          <w:rFonts w:hint="eastAsia" w:ascii="宋体" w:hAnsi="宋体" w:cs="宋体"/>
          <w:color w:val="000000"/>
          <w:sz w:val="72"/>
          <w:szCs w:val="72"/>
        </w:rPr>
      </w:pPr>
      <w:r>
        <w:rPr>
          <w:rFonts w:hint="eastAsia" w:ascii="宋体" w:hAnsi="宋体" w:cs="宋体"/>
          <w:color w:val="000000"/>
          <w:sz w:val="84"/>
          <w:szCs w:val="84"/>
        </w:rPr>
        <w:t>书</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hint="eastAsia"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年7月</w:t>
      </w:r>
    </w:p>
    <w:p>
      <w:pPr>
        <w:jc w:val="center"/>
        <w:rPr>
          <w:rFonts w:hint="eastAsia" w:ascii="宋体" w:hAnsi="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eastAsia="宋体" w:cs="宋体"/>
        </w:rPr>
      </w:pPr>
      <w:r>
        <w:rPr>
          <w:rFonts w:hint="eastAsia" w:eastAsia="宋体" w:cs="宋体"/>
        </w:rPr>
        <w:t>一、项目名称</w:t>
      </w:r>
    </w:p>
    <w:p>
      <w:pPr>
        <w:spacing w:line="360" w:lineRule="auto"/>
        <w:ind w:left="1679" w:leftChars="228" w:hanging="1200" w:hangingChars="500"/>
        <w:rPr>
          <w:rFonts w:hint="eastAsia"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产品试验检测中心排放试验用瓶装标准气采购项目</w:t>
      </w:r>
    </w:p>
    <w:p>
      <w:pPr>
        <w:pStyle w:val="3"/>
        <w:spacing w:before="0" w:after="0" w:line="360" w:lineRule="auto"/>
        <w:ind w:firstLine="480" w:firstLineChars="2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采购形式编号：CGZX2025060223</w:t>
      </w:r>
    </w:p>
    <w:bookmarkEnd w:id="0"/>
    <w:p>
      <w:pPr>
        <w:pStyle w:val="81"/>
        <w:rPr>
          <w:rFonts w:hint="eastAsia" w:eastAsia="宋体" w:cs="宋体"/>
        </w:rPr>
      </w:pPr>
      <w:r>
        <w:rPr>
          <w:rFonts w:hint="eastAsia" w:eastAsia="宋体" w:cs="宋体"/>
        </w:rPr>
        <w:t>二、招标内容及形式</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产品试验检测中心排放试验用瓶装标准气采购项目</w:t>
      </w:r>
    </w:p>
    <w:p>
      <w:pPr>
        <w:pStyle w:val="16"/>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0" w:firstLineChars="200"/>
        <w:rPr>
          <w:rFonts w:hint="eastAsia" w:hAnsi="宋体" w:cs="宋体"/>
          <w:b/>
          <w:color w:val="000000"/>
          <w:sz w:val="24"/>
          <w:szCs w:val="24"/>
        </w:rPr>
      </w:pPr>
      <w:r>
        <w:rPr>
          <w:rFonts w:hint="eastAsia" w:hAnsi="宋体" w:cs="宋体"/>
          <w:b/>
          <w:color w:val="000000"/>
          <w:sz w:val="24"/>
          <w:szCs w:val="24"/>
        </w:rPr>
        <w:t>具体要求详见《技术协议书》。</w:t>
      </w:r>
    </w:p>
    <w:p>
      <w:pPr>
        <w:pStyle w:val="81"/>
        <w:rPr>
          <w:rFonts w:hint="eastAsia" w:eastAsia="宋体" w:cs="宋体"/>
        </w:rPr>
      </w:pPr>
      <w:r>
        <w:rPr>
          <w:rFonts w:hint="eastAsia" w:eastAsia="宋体" w:cs="宋体"/>
        </w:rPr>
        <w:t>三、项目概况与招标范围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产品试验检测中心排放试验用瓶装标准气采购项目</w:t>
      </w:r>
      <w:r>
        <w:rPr>
          <w:rFonts w:hint="eastAsia" w:hAnsi="宋体" w:cs="宋体"/>
          <w:color w:val="000000"/>
          <w:sz w:val="24"/>
          <w:szCs w:val="24"/>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2、项目地点：济南市高新区华奥路777号重汽科技中心园区。</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pPr>
        <w:pStyle w:val="79"/>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产品试验检测中心试验室用瓶装标准气体招标项目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合同签订后按每次订单约定时间、地点、数量按时供给符合招标方和相关法律法规要求的试验室用瓶装标准气体据实结算</w:t>
            </w:r>
          </w:p>
        </w:tc>
        <w:tc>
          <w:tcPr>
            <w:tcW w:w="9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100%</w:t>
            </w:r>
          </w:p>
        </w:tc>
      </w:tr>
    </w:tbl>
    <w:p>
      <w:pPr>
        <w:pStyle w:val="81"/>
        <w:rPr>
          <w:rFonts w:hint="eastAsia" w:eastAsia="宋体" w:cs="宋体"/>
        </w:rPr>
      </w:pPr>
      <w:r>
        <w:rPr>
          <w:rFonts w:hint="eastAsia" w:eastAsia="宋体" w:cs="宋体"/>
        </w:rPr>
        <w:t>四、投标说明</w:t>
      </w:r>
    </w:p>
    <w:p>
      <w:pPr>
        <w:pStyle w:val="89"/>
        <w:rPr>
          <w:rFonts w:hint="eastAsia" w:ascii="宋体" w:hAnsi="宋体" w:eastAsia="宋体" w:cs="宋体"/>
        </w:rPr>
      </w:pPr>
      <w:r>
        <w:rPr>
          <w:rFonts w:hint="eastAsia" w:ascii="宋体" w:hAnsi="宋体" w:eastAsia="宋体" w:cs="宋体"/>
        </w:rPr>
        <w:t>1、报名方式</w:t>
      </w:r>
    </w:p>
    <w:p>
      <w:pPr>
        <w:pStyle w:val="79"/>
        <w:ind w:firstLine="480"/>
        <w:rPr>
          <w:rFonts w:hint="eastAsia" w:eastAsia="宋体" w:cs="宋体"/>
        </w:rPr>
      </w:pPr>
      <w:r>
        <w:rPr>
          <w:rFonts w:hint="eastAsia" w:eastAsia="宋体" w:cs="宋体"/>
        </w:rPr>
        <w:t>1.1在“中国重汽e采通”平台报名。</w:t>
      </w:r>
      <w:r>
        <w:rPr>
          <w:rFonts w:hint="eastAsia" w:eastAsia="宋体" w:cs="宋体"/>
          <w:b/>
          <w:bCs/>
        </w:rPr>
        <w:t>按照中国重汽e采通“SRM非生产供应商注册手册”（附件12）进行注册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后按照招标文件本部分第7条投标文件组成资格证明文件中的1-10准备资料并</w:t>
      </w:r>
      <w:r>
        <w:rPr>
          <w:rFonts w:hint="eastAsia" w:eastAsia="宋体" w:cs="宋体"/>
        </w:rPr>
        <w:t>上传，资质审查通过即为报名成功。</w:t>
      </w:r>
    </w:p>
    <w:p>
      <w:pPr>
        <w:pStyle w:val="79"/>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hint="eastAsia" w:eastAsia="宋体" w:cs="宋体"/>
          <w:b/>
        </w:rPr>
      </w:pPr>
      <w:r>
        <w:rPr>
          <w:rFonts w:hint="eastAsia" w:eastAsia="宋体" w:cs="宋体"/>
          <w:b/>
        </w:rPr>
        <w:t>投标邮件主题：某单位授权某代表参与投标某项目+电话</w:t>
      </w:r>
    </w:p>
    <w:p>
      <w:pPr>
        <w:pStyle w:val="79"/>
        <w:ind w:firstLine="482"/>
        <w:rPr>
          <w:rFonts w:hint="eastAsia" w:eastAsia="宋体" w:cs="宋体"/>
          <w:b/>
        </w:rPr>
      </w:pPr>
      <w:r>
        <w:rPr>
          <w:rFonts w:hint="eastAsia" w:eastAsia="宋体" w:cs="宋体"/>
          <w:b/>
        </w:rPr>
        <w:t>投标邮件附件：营业执照，授权书（不要发压缩包，不要使用126或者123邮箱报名，我公司无法打开下载）</w:t>
      </w:r>
    </w:p>
    <w:p>
      <w:pPr>
        <w:pStyle w:val="85"/>
        <w:rPr>
          <w:rFonts w:hint="eastAsia" w:ascii="宋体" w:hAnsi="宋体" w:eastAsia="宋体" w:cs="宋体"/>
        </w:rPr>
      </w:pPr>
      <w:r>
        <w:rPr>
          <w:rFonts w:hint="eastAsia" w:ascii="宋体" w:hAnsi="宋体" w:eastAsia="宋体" w:cs="宋体"/>
        </w:rPr>
        <w:t>2、投标条件</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拟投标人必须具有相关标准气体（至少有空气中丙烷、空气中甲烷、氮中一氧化碳、氮中二氧化碳、氮中一氧化氮、氮中氨标准气体）的中华人民共和国制造计量器具许可证或对应标准物质证书，需提供许可证原件或扫描件（需加盖公章）；</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拟投标人必须具有相关标准气体（至少有空气中丙烷、空气中甲烷、氮中一氧化碳、氮中二氧化碳、氮中一氧化氮、氮中氨标准气体）国家二级标准物质的定级资质或对应标准物质证书，需提供资质证书原件或扫描件（需加盖公章），所有提供给招标方的标准气体须提供标准物质证书；</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拟投标人必须为国家级汽车检测机构或发动机重要研发企业标准气体（包括空气中丙烷、空气中甲烷、氮中一氧化碳、氮中二氧化碳、氮中一氧化氮、氮中氨标准气体）供应商，年标准气体供应货值大于等于</w:t>
      </w:r>
      <w:r>
        <w:rPr>
          <w:rFonts w:hint="eastAsia" w:hAnsi="宋体" w:cs="宋体"/>
          <w:color w:val="000000"/>
          <w:sz w:val="24"/>
          <w:szCs w:val="24"/>
          <w:highlight w:val="yellow"/>
        </w:rPr>
        <w:t>1</w:t>
      </w:r>
      <w:r>
        <w:rPr>
          <w:rFonts w:hAnsi="宋体" w:cs="宋体"/>
          <w:color w:val="000000"/>
          <w:sz w:val="24"/>
          <w:szCs w:val="24"/>
          <w:highlight w:val="yellow"/>
        </w:rPr>
        <w:t>0</w:t>
      </w:r>
      <w:r>
        <w:rPr>
          <w:rFonts w:hint="eastAsia" w:hAnsi="宋体" w:cs="宋体"/>
          <w:color w:val="000000"/>
          <w:sz w:val="24"/>
          <w:szCs w:val="24"/>
          <w:highlight w:val="yellow"/>
        </w:rPr>
        <w:t>万</w:t>
      </w:r>
      <w:r>
        <w:rPr>
          <w:rFonts w:hint="eastAsia" w:hAnsi="宋体" w:cs="宋体"/>
          <w:color w:val="000000"/>
          <w:sz w:val="24"/>
          <w:szCs w:val="24"/>
        </w:rPr>
        <w:t>元；</w:t>
      </w:r>
    </w:p>
    <w:p>
      <w:pPr>
        <w:pStyle w:val="16"/>
        <w:spacing w:line="360" w:lineRule="auto"/>
        <w:ind w:firstLine="480" w:firstLineChars="200"/>
        <w:rPr>
          <w:rFonts w:hint="eastAsia" w:hAnsi="宋体"/>
          <w:color w:val="000000"/>
          <w:sz w:val="24"/>
          <w:szCs w:val="24"/>
        </w:rPr>
      </w:pPr>
      <w:r>
        <w:rPr>
          <w:rFonts w:hint="eastAsia" w:hAnsi="宋体"/>
          <w:color w:val="000000"/>
          <w:sz w:val="24"/>
          <w:szCs w:val="24"/>
        </w:rPr>
        <w:t>附国家级汽车检测机构或发动机重要研发企业名单：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序号</w:t>
            </w:r>
          </w:p>
        </w:tc>
        <w:tc>
          <w:tcPr>
            <w:tcW w:w="761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1</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中汽研汽车检验中心（天津）有限公司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2</w:t>
            </w:r>
          </w:p>
        </w:tc>
        <w:tc>
          <w:tcPr>
            <w:tcW w:w="7618" w:type="dxa"/>
            <w:vAlign w:val="center"/>
          </w:tcPr>
          <w:p>
            <w:pPr>
              <w:pStyle w:val="16"/>
              <w:spacing w:line="360" w:lineRule="auto"/>
              <w:jc w:val="center"/>
              <w:rPr>
                <w:rFonts w:hint="eastAsia" w:hAnsi="宋体"/>
                <w:color w:val="000000"/>
                <w:sz w:val="24"/>
                <w:szCs w:val="24"/>
              </w:rPr>
            </w:pPr>
            <w:r>
              <w:rPr>
                <w:rFonts w:hAnsi="宋体"/>
                <w:color w:val="000000"/>
                <w:sz w:val="24"/>
                <w:szCs w:val="24"/>
              </w:rPr>
              <w:t>国家机动车产品质量监督检验中心(上海)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3</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国家机动车质量监督检验中心（重庆）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4</w:t>
            </w:r>
          </w:p>
        </w:tc>
        <w:tc>
          <w:tcPr>
            <w:tcW w:w="7618" w:type="dxa"/>
            <w:vAlign w:val="center"/>
          </w:tcPr>
          <w:p>
            <w:pPr>
              <w:pStyle w:val="16"/>
              <w:spacing w:line="360" w:lineRule="auto"/>
              <w:jc w:val="center"/>
              <w:rPr>
                <w:rFonts w:hint="eastAsia" w:hAnsi="宋体"/>
                <w:color w:val="000000"/>
                <w:sz w:val="24"/>
                <w:szCs w:val="24"/>
              </w:rPr>
            </w:pPr>
            <w:r>
              <w:rPr>
                <w:rFonts w:hint="eastAsia" w:hAnsi="宋体" w:cs="宋体"/>
                <w:color w:val="000000"/>
                <w:sz w:val="24"/>
                <w:szCs w:val="24"/>
              </w:rPr>
              <w:t>招商局检测车辆技术研究院有限公司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5</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长春汽车检测中心有限责任公司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6</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国家汽车质量监督检验中心（襄阳）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7</w:t>
            </w:r>
          </w:p>
        </w:tc>
        <w:tc>
          <w:tcPr>
            <w:tcW w:w="7618" w:type="dxa"/>
            <w:vAlign w:val="center"/>
          </w:tcPr>
          <w:p>
            <w:pPr>
              <w:pStyle w:val="16"/>
              <w:spacing w:line="360" w:lineRule="auto"/>
              <w:jc w:val="center"/>
              <w:rPr>
                <w:rFonts w:hint="eastAsia" w:hAnsi="宋体"/>
                <w:color w:val="000000"/>
                <w:sz w:val="24"/>
                <w:szCs w:val="24"/>
              </w:rPr>
            </w:pPr>
            <w:r>
              <w:rPr>
                <w:rFonts w:hAnsi="宋体"/>
                <w:color w:val="000000"/>
                <w:sz w:val="24"/>
                <w:szCs w:val="24"/>
              </w:rPr>
              <w:t>厦门环境保护机动车污染控制技术中心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eastAsia="等线"/>
                <w:b/>
                <w:color w:val="000000"/>
                <w:sz w:val="24"/>
                <w:szCs w:val="24"/>
              </w:rPr>
            </w:pPr>
            <w:r>
              <w:rPr>
                <w:rFonts w:hint="eastAsia" w:ascii="宋体" w:hAnsi="宋体" w:eastAsia="等线"/>
                <w:b/>
                <w:color w:val="000000"/>
                <w:sz w:val="24"/>
                <w:szCs w:val="24"/>
              </w:rPr>
              <w:t>8</w:t>
            </w:r>
          </w:p>
        </w:tc>
        <w:tc>
          <w:tcPr>
            <w:tcW w:w="7618" w:type="dxa"/>
            <w:vAlign w:val="center"/>
          </w:tcPr>
          <w:p>
            <w:pPr>
              <w:pStyle w:val="16"/>
              <w:spacing w:line="360" w:lineRule="auto"/>
              <w:jc w:val="center"/>
              <w:rPr>
                <w:rFonts w:hint="eastAsia" w:hAnsi="宋体"/>
                <w:color w:val="000000"/>
                <w:sz w:val="24"/>
                <w:szCs w:val="24"/>
              </w:rPr>
            </w:pPr>
            <w:r>
              <w:rPr>
                <w:rFonts w:hint="eastAsia" w:hAnsi="宋体" w:cs="宋体"/>
                <w:color w:val="000000"/>
                <w:sz w:val="24"/>
                <w:szCs w:val="24"/>
              </w:rPr>
              <w:t>潍柴动力股份有限公司</w:t>
            </w:r>
          </w:p>
        </w:tc>
      </w:tr>
    </w:tbl>
    <w:p>
      <w:pPr>
        <w:pStyle w:val="16"/>
        <w:spacing w:line="360" w:lineRule="auto"/>
        <w:ind w:firstLine="235" w:firstLineChars="98"/>
        <w:rPr>
          <w:rFonts w:hint="eastAsia" w:hAnsi="宋体" w:cs="宋体"/>
          <w:b/>
          <w:color w:val="000000"/>
          <w:sz w:val="24"/>
          <w:szCs w:val="24"/>
        </w:rPr>
      </w:pPr>
      <w:r>
        <w:rPr>
          <w:rFonts w:hint="eastAsia" w:hAnsi="宋体" w:cs="宋体"/>
          <w:color w:val="000000"/>
          <w:sz w:val="24"/>
          <w:szCs w:val="24"/>
        </w:rPr>
        <w:t>（4）拟标投人必须是在中华人民共和国境内注册的独立法人机构，具有独立承担民事责任能力，注册资金不少于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hAnsi="宋体" w:cs="宋体"/>
          <w:color w:val="000000"/>
          <w:sz w:val="24"/>
          <w:szCs w:val="24"/>
        </w:rPr>
      </w:pPr>
      <w:r>
        <w:rPr>
          <w:rFonts w:hint="eastAsia" w:hAnsi="宋体" w:cs="宋体"/>
          <w:color w:val="000000"/>
          <w:sz w:val="24"/>
          <w:szCs w:val="24"/>
        </w:rPr>
        <w:t>（5）拟投标人应提供三证合一的营业执照副本原件和复印件（需盖章）以及全资子公司证明材料。</w:t>
      </w:r>
    </w:p>
    <w:p>
      <w:pPr>
        <w:pStyle w:val="16"/>
        <w:spacing w:line="360" w:lineRule="auto"/>
        <w:ind w:firstLine="240" w:firstLineChars="100"/>
        <w:rPr>
          <w:rFonts w:hint="eastAsia" w:hAnsi="宋体" w:cs="宋体"/>
          <w:color w:val="000000"/>
          <w:sz w:val="24"/>
          <w:szCs w:val="24"/>
        </w:rPr>
      </w:pPr>
      <w:r>
        <w:rPr>
          <w:rFonts w:hint="eastAsia" w:hAnsi="宋体" w:cs="宋体"/>
          <w:color w:val="000000"/>
          <w:sz w:val="24"/>
          <w:szCs w:val="24"/>
        </w:rPr>
        <w:t>（6）拟投标人应提供法定代表人资格证明文件。</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（8）拟投标人不存在严重违规或被列入招标人“黑名单”的声明。</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（9）拟投标人经审计的近三年的公司财务报表（资产负债表、损益表、现金流量表）未显示异常。</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（10）拟投标人有与本次招标内容相同或类似项目业绩，且近3年内无因服务不当而造成重大事故。</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（11）本项目不接受联合体投标。</w:t>
      </w:r>
    </w:p>
    <w:p>
      <w:pPr>
        <w:pStyle w:val="16"/>
        <w:spacing w:line="360" w:lineRule="auto"/>
        <w:ind w:firstLine="476" w:firstLineChars="198"/>
        <w:rPr>
          <w:rFonts w:hint="eastAsia"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9"/>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。投标方要按技术要求中规定的价格表（统一格式）的内容填写产品报价，</w:t>
      </w:r>
      <w:r>
        <w:rPr>
          <w:rFonts w:hint="eastAsia" w:eastAsia="宋体" w:cs="宋体"/>
          <w:highlight w:val="yellow"/>
        </w:rPr>
        <w:t>招标方不接受任何选择性报价</w:t>
      </w:r>
      <w:r>
        <w:rPr>
          <w:rFonts w:hint="eastAsia" w:eastAsia="宋体" w:cs="宋体"/>
        </w:rPr>
        <w:t>，除非招标文件中有明确说明，否则投标方不得提供备选方案。</w:t>
      </w:r>
    </w:p>
    <w:p>
      <w:pPr>
        <w:pStyle w:val="79"/>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hint="eastAsia" w:ascii="宋体" w:hAnsi="宋体" w:eastAsia="宋体" w:cs="宋体"/>
        </w:rPr>
      </w:pPr>
      <w:r>
        <w:rPr>
          <w:rFonts w:hint="eastAsia" w:ascii="宋体" w:hAnsi="宋体" w:eastAsia="宋体" w:cs="宋体"/>
        </w:rPr>
        <w:t>4、投标保证金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1万</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hint="eastAsia"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hint="eastAsia" w:ascii="宋体" w:hAnsi="宋体" w:eastAsia="宋体" w:cs="宋体"/>
        </w:rPr>
      </w:pPr>
      <w:r>
        <w:rPr>
          <w:rFonts w:hint="eastAsia" w:ascii="宋体" w:hAnsi="宋体" w:eastAsia="宋体" w:cs="宋体"/>
        </w:rPr>
        <w:t>5、询标</w:t>
      </w:r>
    </w:p>
    <w:p>
      <w:pPr>
        <w:pStyle w:val="79"/>
        <w:ind w:firstLine="480"/>
        <w:rPr>
          <w:rFonts w:hint="eastAsia" w:eastAsia="宋体" w:cs="宋体"/>
        </w:rPr>
      </w:pPr>
      <w:r>
        <w:rPr>
          <w:rFonts w:hint="eastAsia" w:eastAsia="宋体" w:cs="宋体"/>
        </w:rPr>
        <w:t>凡对本次招标提出的询问，均以招标方的书面答复为准。</w:t>
      </w:r>
    </w:p>
    <w:p>
      <w:pPr>
        <w:pStyle w:val="85"/>
        <w:rPr>
          <w:rFonts w:hint="eastAsia" w:ascii="宋体" w:hAnsi="宋体" w:eastAsia="宋体" w:cs="宋体"/>
        </w:rPr>
      </w:pPr>
      <w:r>
        <w:rPr>
          <w:rFonts w:hint="eastAsia" w:ascii="宋体" w:hAnsi="宋体" w:eastAsia="宋体" w:cs="宋体"/>
        </w:rPr>
        <w:t>6、投标文件的编制</w:t>
      </w:r>
    </w:p>
    <w:p>
      <w:pPr>
        <w:pStyle w:val="79"/>
        <w:ind w:firstLine="480"/>
        <w:rPr>
          <w:rFonts w:hint="eastAsia" w:eastAsia="宋体" w:cs="宋体"/>
        </w:rPr>
      </w:pPr>
      <w:r>
        <w:rPr>
          <w:rFonts w:hint="eastAsia" w:eastAsia="宋体" w:cs="宋体"/>
        </w:rPr>
        <w:t>（1）投标文件和与投标有关的所有文件均应使用中文。</w:t>
      </w:r>
    </w:p>
    <w:p>
      <w:pPr>
        <w:pStyle w:val="79"/>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pPr>
        <w:pStyle w:val="85"/>
        <w:rPr>
          <w:rFonts w:hint="eastAsia" w:ascii="宋体" w:hAnsi="宋体" w:eastAsia="宋体" w:cs="宋体"/>
        </w:rPr>
      </w:pPr>
      <w:r>
        <w:rPr>
          <w:rFonts w:hint="eastAsia" w:ascii="宋体" w:hAnsi="宋体" w:eastAsia="宋体" w:cs="宋体"/>
        </w:rPr>
        <w:t>7、投标文件的组成</w:t>
      </w:r>
    </w:p>
    <w:p>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1—10</w:t>
      </w:r>
      <w:r>
        <w:rPr>
          <w:rFonts w:hint="eastAsia" w:eastAsia="宋体" w:cs="宋体"/>
          <w:b/>
        </w:rPr>
        <w:t>，其余未尽事宜请按各单位习惯制定即可。</w:t>
      </w:r>
    </w:p>
    <w:p>
      <w:pPr>
        <w:pStyle w:val="79"/>
        <w:ind w:firstLine="197" w:firstLineChars="82"/>
        <w:rPr>
          <w:rFonts w:hint="eastAsia"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hint="eastAsia"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hint="eastAsia" w:eastAsia="宋体" w:cs="宋体"/>
          <w:b/>
          <w:bCs/>
        </w:rPr>
      </w:pPr>
      <w:r>
        <w:rPr>
          <w:rFonts w:hint="eastAsia" w:eastAsia="宋体" w:cs="宋体"/>
          <w:b/>
          <w:bCs/>
        </w:rPr>
        <w:t>7.3商务部分：</w:t>
      </w:r>
    </w:p>
    <w:p>
      <w:pPr>
        <w:pStyle w:val="79"/>
        <w:ind w:firstLine="480"/>
        <w:rPr>
          <w:rFonts w:hint="eastAsia" w:eastAsia="宋体" w:cs="宋体"/>
        </w:rPr>
      </w:pPr>
      <w:r>
        <w:rPr>
          <w:rFonts w:hint="eastAsia" w:eastAsia="宋体" w:cs="宋体"/>
        </w:rPr>
        <w:t>1）开标一览表（附件7）；</w:t>
      </w:r>
    </w:p>
    <w:p>
      <w:pPr>
        <w:pStyle w:val="79"/>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hint="eastAsia" w:eastAsia="宋体" w:cs="宋体"/>
        </w:rPr>
      </w:pPr>
      <w:r>
        <w:rPr>
          <w:rFonts w:hint="eastAsia" w:eastAsia="宋体" w:cs="宋体"/>
        </w:rPr>
        <w:t>5）按招标文件投标人须知和技术规格书中要求提供的有关文件。</w:t>
      </w:r>
    </w:p>
    <w:p>
      <w:pPr>
        <w:pStyle w:val="85"/>
        <w:rPr>
          <w:rFonts w:hint="eastAsia" w:ascii="宋体" w:hAnsi="宋体" w:eastAsia="宋体" w:cs="宋体"/>
        </w:rPr>
      </w:pPr>
      <w:r>
        <w:rPr>
          <w:rFonts w:hint="eastAsia" w:ascii="宋体" w:hAnsi="宋体" w:eastAsia="宋体" w:cs="宋体"/>
        </w:rPr>
        <w:t>8、投标文件格式</w:t>
      </w:r>
    </w:p>
    <w:p>
      <w:pPr>
        <w:pStyle w:val="79"/>
        <w:ind w:firstLine="480"/>
        <w:rPr>
          <w:rFonts w:hint="eastAsia" w:eastAsia="宋体" w:cs="宋体"/>
          <w:b/>
        </w:rPr>
      </w:pPr>
      <w:r>
        <w:rPr>
          <w:rFonts w:hint="eastAsia" w:eastAsia="宋体" w:cs="宋体"/>
        </w:rPr>
        <w:t>详见附件格式1—10</w:t>
      </w:r>
      <w:r>
        <w:rPr>
          <w:rFonts w:hint="eastAsia" w:eastAsia="宋体" w:cs="宋体"/>
          <w:b/>
        </w:rPr>
        <w:t>，其余未尽事宜请按各单位习惯制定即可。</w:t>
      </w:r>
    </w:p>
    <w:p>
      <w:pPr>
        <w:pStyle w:val="81"/>
        <w:rPr>
          <w:rFonts w:hint="eastAsia" w:eastAsia="宋体" w:cs="宋体"/>
        </w:rPr>
      </w:pPr>
      <w:r>
        <w:rPr>
          <w:rFonts w:hint="eastAsia" w:eastAsia="宋体" w:cs="宋体"/>
        </w:rPr>
        <w:t>五、议程安排</w:t>
      </w:r>
    </w:p>
    <w:p>
      <w:pPr>
        <w:pStyle w:val="85"/>
        <w:spacing w:line="360" w:lineRule="auto"/>
        <w:rPr>
          <w:rFonts w:hint="eastAsia" w:ascii="宋体" w:hAnsi="宋体" w:eastAsia="宋体" w:cs="宋体"/>
          <w:b w:val="0"/>
        </w:rPr>
      </w:pPr>
      <w:r>
        <w:rPr>
          <w:rFonts w:hint="eastAsia" w:ascii="宋体" w:hAnsi="宋体" w:eastAsia="宋体" w:cs="宋体"/>
        </w:rPr>
        <w:t>1、发标时间：</w:t>
      </w:r>
      <w:r>
        <w:rPr>
          <w:rFonts w:hint="eastAsia" w:ascii="宋体" w:hAnsi="宋体" w:eastAsia="宋体" w:cs="宋体"/>
          <w:b w:val="0"/>
        </w:rPr>
        <w:t>202</w:t>
      </w:r>
      <w:r>
        <w:rPr>
          <w:rFonts w:ascii="宋体" w:hAnsi="宋体" w:eastAsia="宋体" w:cs="宋体"/>
          <w:b w:val="0"/>
        </w:rPr>
        <w:t>5</w:t>
      </w:r>
      <w:r>
        <w:rPr>
          <w:rFonts w:hint="eastAsia" w:ascii="宋体" w:hAnsi="宋体" w:eastAsia="宋体" w:cs="宋体"/>
          <w:b w:val="0"/>
        </w:rPr>
        <w:t>年</w:t>
      </w:r>
      <w:r>
        <w:rPr>
          <w:rFonts w:hint="default" w:ascii="宋体" w:hAnsi="宋体" w:eastAsia="宋体" w:cs="宋体"/>
          <w:b w:val="0"/>
          <w:woUserID w:val="1"/>
        </w:rPr>
        <w:t>7</w:t>
      </w:r>
      <w:r>
        <w:rPr>
          <w:rFonts w:hint="eastAsia" w:ascii="宋体" w:hAnsi="宋体" w:eastAsia="宋体" w:cs="宋体"/>
          <w:b w:val="0"/>
        </w:rPr>
        <w:t>月</w:t>
      </w:r>
      <w:r>
        <w:rPr>
          <w:rFonts w:hint="default" w:ascii="宋体" w:hAnsi="宋体" w:eastAsia="宋体" w:cs="宋体"/>
          <w:b w:val="0"/>
          <w:woUserID w:val="1"/>
        </w:rPr>
        <w:t>1</w:t>
      </w:r>
      <w:r>
        <w:rPr>
          <w:rFonts w:hint="default" w:ascii="宋体" w:hAnsi="宋体" w:eastAsia="宋体" w:cs="宋体"/>
          <w:b w:val="0"/>
          <w:woUserID w:val="1"/>
        </w:rPr>
        <w:t>5</w:t>
      </w:r>
      <w:r>
        <w:rPr>
          <w:rFonts w:hint="eastAsia" w:ascii="宋体" w:hAnsi="宋体" w:eastAsia="宋体" w:cs="宋体"/>
          <w:b w:val="0"/>
        </w:rPr>
        <w:t>日（周</w:t>
      </w:r>
      <w:r>
        <w:rPr>
          <w:rFonts w:hint="default" w:ascii="宋体" w:hAnsi="宋体" w:eastAsia="宋体" w:cs="宋体"/>
          <w:b w:val="0"/>
          <w:woUserID w:val="1"/>
        </w:rPr>
        <w:t>二</w:t>
      </w:r>
      <w:r>
        <w:rPr>
          <w:rFonts w:hint="eastAsia" w:ascii="宋体" w:hAnsi="宋体" w:eastAsia="宋体" w:cs="宋体"/>
          <w:b w:val="0"/>
        </w:rPr>
        <w:t>）</w:t>
      </w:r>
    </w:p>
    <w:p>
      <w:pPr>
        <w:pStyle w:val="85"/>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eastAsia" w:ascii="宋体" w:hAnsi="宋体" w:eastAsia="宋体" w:cs="宋体"/>
          <w:lang w:val="en-US" w:eastAsia="zh-CN"/>
        </w:rPr>
        <w:t>山东省阳光采购服务平台、</w:t>
      </w:r>
      <w:r>
        <w:rPr>
          <w:rFonts w:hint="eastAsia" w:ascii="宋体" w:hAnsi="宋体" w:eastAsia="宋体" w:cs="宋体"/>
        </w:rPr>
        <w:t>中国重汽E采通平台发布。</w:t>
      </w:r>
    </w:p>
    <w:p>
      <w:pPr>
        <w:pStyle w:val="79"/>
        <w:ind w:firstLine="482"/>
        <w:rPr>
          <w:rFonts w:hint="eastAsia" w:eastAsia="宋体" w:cs="宋体"/>
          <w:b/>
        </w:rPr>
      </w:pPr>
      <w:r>
        <w:rPr>
          <w:rFonts w:hint="eastAsia" w:eastAsia="宋体" w:cs="宋体"/>
          <w:b/>
        </w:rPr>
        <w:t>注意：以上渠道为官方指定发布渠道，切勿相信其他来源的信息。</w:t>
      </w:r>
    </w:p>
    <w:p>
      <w:pPr>
        <w:pStyle w:val="79"/>
        <w:ind w:firstLine="482"/>
        <w:rPr>
          <w:rFonts w:hint="eastAsia" w:eastAsia="宋体" w:cs="宋体"/>
          <w:b/>
        </w:rPr>
      </w:pPr>
      <w:r>
        <w:rPr>
          <w:rFonts w:hint="eastAsia" w:eastAsia="宋体" w:cs="宋体"/>
          <w:b/>
          <w:bCs/>
        </w:rPr>
        <w:t>3、踏勘现场时间：</w:t>
      </w:r>
      <w:r>
        <w:rPr>
          <w:rFonts w:hint="eastAsia" w:eastAsia="宋体" w:cs="宋体"/>
          <w:bCs/>
        </w:rPr>
        <w:t>截止202</w:t>
      </w:r>
      <w:r>
        <w:rPr>
          <w:rFonts w:eastAsia="宋体" w:cs="宋体"/>
          <w:bCs/>
        </w:rPr>
        <w:t>5</w:t>
      </w:r>
      <w:r>
        <w:rPr>
          <w:rFonts w:hint="eastAsia" w:eastAsia="宋体" w:cs="宋体"/>
          <w:bCs/>
        </w:rPr>
        <w:t>年</w:t>
      </w:r>
      <w:r>
        <w:rPr>
          <w:rFonts w:hint="default" w:eastAsia="宋体" w:cs="宋体"/>
          <w:bCs/>
          <w:woUserID w:val="1"/>
        </w:rPr>
        <w:t>7</w:t>
      </w:r>
      <w:r>
        <w:rPr>
          <w:rFonts w:hint="eastAsia" w:eastAsia="宋体" w:cs="宋体"/>
          <w:bCs/>
        </w:rPr>
        <w:t>月</w:t>
      </w:r>
      <w:r>
        <w:rPr>
          <w:rFonts w:hint="default" w:eastAsia="宋体" w:cs="宋体"/>
          <w:bCs/>
          <w:woUserID w:val="1"/>
        </w:rPr>
        <w:t>21</w:t>
      </w:r>
      <w:r>
        <w:rPr>
          <w:rFonts w:hint="eastAsia" w:eastAsia="宋体" w:cs="宋体"/>
          <w:bCs/>
        </w:rPr>
        <w:t>日</w:t>
      </w:r>
      <w:r>
        <w:rPr>
          <w:rFonts w:hint="eastAsia" w:eastAsia="宋体" w:cs="宋体"/>
        </w:rPr>
        <w:t>（周</w:t>
      </w:r>
      <w:r>
        <w:rPr>
          <w:rFonts w:hint="default" w:eastAsia="宋体" w:cs="宋体"/>
          <w:woUserID w:val="1"/>
        </w:rPr>
        <w:t>一</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5"/>
        <w:rPr>
          <w:rFonts w:hint="eastAsia" w:ascii="宋体" w:hAnsi="宋体" w:eastAsia="宋体" w:cs="宋体"/>
        </w:rPr>
      </w:pPr>
      <w:r>
        <w:rPr>
          <w:rFonts w:hint="eastAsia" w:ascii="宋体" w:hAnsi="宋体" w:eastAsia="宋体" w:cs="宋体"/>
        </w:rPr>
        <w:t>4、技术答疑</w:t>
      </w:r>
    </w:p>
    <w:p>
      <w:pPr>
        <w:pStyle w:val="79"/>
        <w:ind w:firstLine="480"/>
        <w:rPr>
          <w:rFonts w:hint="eastAsia" w:eastAsia="宋体" w:cs="宋体"/>
        </w:rPr>
      </w:pPr>
      <w:r>
        <w:rPr>
          <w:rFonts w:hint="eastAsia" w:eastAsia="宋体" w:cs="宋体"/>
        </w:rPr>
        <w:t>答疑时间：截止至</w:t>
      </w:r>
      <w:r>
        <w:rPr>
          <w:rFonts w:hint="eastAsia" w:eastAsia="宋体" w:cs="宋体"/>
          <w:bCs/>
          <w:woUserID w:val="1"/>
        </w:rPr>
        <w:t>202</w:t>
      </w:r>
      <w:r>
        <w:rPr>
          <w:rFonts w:eastAsia="宋体" w:cs="宋体"/>
          <w:bCs/>
          <w:woUserID w:val="1"/>
        </w:rPr>
        <w:t>5</w:t>
      </w:r>
      <w:r>
        <w:rPr>
          <w:rFonts w:hint="eastAsia" w:eastAsia="宋体" w:cs="宋体"/>
          <w:bCs/>
          <w:woUserID w:val="1"/>
        </w:rPr>
        <w:t>年</w:t>
      </w:r>
      <w:r>
        <w:rPr>
          <w:rFonts w:hint="default" w:eastAsia="宋体" w:cs="宋体"/>
          <w:bCs/>
          <w:woUserID w:val="1"/>
        </w:rPr>
        <w:t>7</w:t>
      </w:r>
      <w:r>
        <w:rPr>
          <w:rFonts w:hint="eastAsia" w:eastAsia="宋体" w:cs="宋体"/>
          <w:bCs/>
          <w:woUserID w:val="1"/>
        </w:rPr>
        <w:t>月</w:t>
      </w:r>
      <w:r>
        <w:rPr>
          <w:rFonts w:hint="default" w:eastAsia="宋体" w:cs="宋体"/>
          <w:bCs/>
          <w:woUserID w:val="1"/>
        </w:rPr>
        <w:t>21</w:t>
      </w:r>
      <w:r>
        <w:rPr>
          <w:rFonts w:hint="eastAsia" w:eastAsia="宋体" w:cs="宋体"/>
          <w:bCs/>
          <w:woUserID w:val="1"/>
        </w:rPr>
        <w:t>日</w:t>
      </w:r>
      <w:r>
        <w:rPr>
          <w:rFonts w:hint="eastAsia" w:eastAsia="宋体" w:cs="宋体"/>
          <w:woUserID w:val="1"/>
        </w:rPr>
        <w:t>（周</w:t>
      </w:r>
      <w:r>
        <w:rPr>
          <w:rFonts w:hint="default" w:eastAsia="宋体" w:cs="宋体"/>
          <w:woUserID w:val="1"/>
        </w:rPr>
        <w:t>一</w:t>
      </w:r>
      <w:r>
        <w:rPr>
          <w:rFonts w:hint="eastAsia" w:eastAsia="宋体" w:cs="宋体"/>
          <w:woUserID w:val="1"/>
        </w:rPr>
        <w:t>）</w:t>
      </w:r>
      <w:r>
        <w:rPr>
          <w:rFonts w:hint="eastAsia" w:eastAsia="宋体" w:cs="宋体"/>
        </w:rPr>
        <w:t>下午17点前，逾期不受理</w:t>
      </w:r>
    </w:p>
    <w:p>
      <w:pPr>
        <w:pStyle w:val="79"/>
        <w:ind w:firstLine="480"/>
        <w:rPr>
          <w:rFonts w:hint="eastAsia" w:eastAsia="宋体" w:cs="宋体"/>
        </w:rPr>
      </w:pPr>
      <w:r>
        <w:rPr>
          <w:rFonts w:hint="eastAsia" w:eastAsia="宋体" w:cs="宋体"/>
        </w:rPr>
        <w:t>答疑方式：书面及邮件</w:t>
      </w:r>
    </w:p>
    <w:p>
      <w:pPr>
        <w:pStyle w:val="79"/>
        <w:ind w:firstLine="480"/>
        <w:rPr>
          <w:rFonts w:hint="eastAsia" w:eastAsia="宋体" w:cs="宋体"/>
          <w:highlight w:val="yellow"/>
        </w:rPr>
      </w:pPr>
      <w:r>
        <w:rPr>
          <w:rFonts w:hint="eastAsia" w:eastAsia="宋体" w:cs="宋体"/>
          <w:highlight w:val="yellow"/>
        </w:rPr>
        <w:t>联 系 人：李昊</w:t>
      </w:r>
    </w:p>
    <w:p>
      <w:pPr>
        <w:pStyle w:val="79"/>
        <w:ind w:firstLine="480"/>
        <w:rPr>
          <w:rFonts w:hint="eastAsia" w:eastAsia="宋体" w:cs="宋体"/>
          <w:highlight w:val="yellow"/>
        </w:rPr>
      </w:pPr>
      <w:r>
        <w:rPr>
          <w:rFonts w:hint="eastAsia" w:eastAsia="宋体" w:cs="宋体"/>
          <w:highlight w:val="yellow"/>
        </w:rPr>
        <w:t>电    话：</w:t>
      </w:r>
      <w:r>
        <w:rPr>
          <w:rFonts w:eastAsia="宋体" w:cs="宋体"/>
          <w:highlight w:val="yellow"/>
        </w:rPr>
        <w:t>1</w:t>
      </w:r>
      <w:r>
        <w:rPr>
          <w:rFonts w:hint="eastAsia" w:eastAsia="宋体" w:cs="宋体"/>
          <w:highlight w:val="yellow"/>
        </w:rPr>
        <w:t>5153153917</w:t>
      </w:r>
    </w:p>
    <w:p>
      <w:pPr>
        <w:pStyle w:val="79"/>
        <w:ind w:firstLine="480"/>
        <w:rPr>
          <w:rFonts w:hint="eastAsia" w:eastAsia="宋体" w:cs="宋体"/>
        </w:rPr>
      </w:pPr>
      <w:r>
        <w:rPr>
          <w:rFonts w:hint="eastAsia" w:eastAsia="宋体" w:cs="宋体"/>
          <w:highlight w:val="yellow"/>
        </w:rPr>
        <w:t>邮    箱：</w:t>
      </w:r>
      <w:r>
        <w:rPr>
          <w:rFonts w:eastAsia="宋体" w:cs="宋体"/>
          <w:highlight w:val="yellow"/>
        </w:rPr>
        <w:t>jnatc_lihao@163.com</w:t>
      </w:r>
    </w:p>
    <w:p>
      <w:pPr>
        <w:pStyle w:val="85"/>
        <w:rPr>
          <w:rFonts w:hint="eastAsia" w:ascii="宋体" w:hAnsi="宋体" w:eastAsia="宋体" w:cs="宋体"/>
        </w:rPr>
      </w:pPr>
      <w:r>
        <w:rPr>
          <w:rFonts w:hint="eastAsia" w:ascii="宋体" w:hAnsi="宋体" w:eastAsia="宋体" w:cs="宋体"/>
        </w:rPr>
        <w:t>5、商务答疑</w:t>
      </w:r>
    </w:p>
    <w:p>
      <w:pPr>
        <w:pStyle w:val="79"/>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hint="eastAsia" w:eastAsia="宋体" w:cs="宋体"/>
          <w:highlight w:val="yellow"/>
        </w:rPr>
      </w:pPr>
      <w:r>
        <w:rPr>
          <w:rFonts w:hint="eastAsia" w:eastAsia="宋体" w:cs="宋体"/>
          <w:highlight w:val="yellow"/>
        </w:rPr>
        <w:t>联系人：李岳</w:t>
      </w:r>
    </w:p>
    <w:p>
      <w:pPr>
        <w:pStyle w:val="79"/>
        <w:ind w:firstLine="480"/>
        <w:rPr>
          <w:rFonts w:hint="eastAsia" w:eastAsia="宋体" w:cs="宋体"/>
          <w:highlight w:val="yellow"/>
        </w:rPr>
      </w:pPr>
      <w:r>
        <w:rPr>
          <w:rFonts w:hint="eastAsia" w:eastAsia="宋体" w:cs="宋体"/>
          <w:highlight w:val="yellow"/>
        </w:rPr>
        <w:t>电话：0531-58066116</w:t>
      </w:r>
    </w:p>
    <w:p>
      <w:pPr>
        <w:pStyle w:val="79"/>
        <w:ind w:firstLine="480"/>
        <w:rPr>
          <w:rFonts w:hint="eastAsia" w:eastAsia="宋体" w:cs="宋体"/>
        </w:rPr>
      </w:pPr>
      <w:r>
        <w:rPr>
          <w:rFonts w:hint="eastAsia" w:eastAsia="宋体" w:cs="宋体"/>
          <w:highlight w:val="yellow"/>
        </w:rPr>
        <w:t>邮    箱：liyue1@sinotruk.com</w:t>
      </w:r>
    </w:p>
    <w:p>
      <w:pPr>
        <w:pStyle w:val="85"/>
        <w:spacing w:line="360" w:lineRule="auto"/>
        <w:rPr>
          <w:rFonts w:hint="eastAsia"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default" w:hAnsi="宋体" w:cs="宋体"/>
          <w:color w:val="000000"/>
          <w:sz w:val="24"/>
          <w:szCs w:val="24"/>
          <w:highlight w:val="cyan"/>
          <w:woUserID w:val="1"/>
        </w:rPr>
        <w:t>7</w:t>
      </w:r>
      <w:r>
        <w:rPr>
          <w:rFonts w:hint="eastAsia" w:hAnsi="宋体" w:cs="宋体"/>
          <w:color w:val="000000"/>
          <w:sz w:val="24"/>
          <w:szCs w:val="24"/>
          <w:highlight w:val="cyan"/>
        </w:rPr>
        <w:t>月</w:t>
      </w:r>
      <w:r>
        <w:rPr>
          <w:rFonts w:hint="default" w:hAnsi="宋体" w:cs="宋体"/>
          <w:color w:val="000000"/>
          <w:sz w:val="24"/>
          <w:szCs w:val="24"/>
          <w:highlight w:val="cyan"/>
          <w:woUserID w:val="1"/>
        </w:rPr>
        <w:t>22</w:t>
      </w:r>
      <w:r>
        <w:rPr>
          <w:rFonts w:hint="eastAsia" w:hAnsi="宋体" w:cs="宋体"/>
          <w:color w:val="000000"/>
          <w:sz w:val="24"/>
          <w:szCs w:val="24"/>
          <w:highlight w:val="cyan"/>
        </w:rPr>
        <w:t>日（周</w:t>
      </w:r>
      <w:r>
        <w:rPr>
          <w:rFonts w:hint="default" w:hAnsi="宋体" w:cs="宋体"/>
          <w:color w:val="000000"/>
          <w:sz w:val="24"/>
          <w:szCs w:val="24"/>
          <w:highlight w:val="cyan"/>
          <w:woUserID w:val="1"/>
        </w:rPr>
        <w:t>二</w:t>
      </w:r>
      <w:bookmarkStart w:id="33" w:name="_GoBack"/>
      <w:bookmarkEnd w:id="33"/>
      <w:r>
        <w:rPr>
          <w:rFonts w:hint="eastAsia" w:hAnsi="宋体" w:cs="宋体"/>
          <w:color w:val="000000"/>
          <w:sz w:val="24"/>
          <w:szCs w:val="24"/>
          <w:highlight w:val="cyan"/>
        </w:rPr>
        <w:t>）</w:t>
      </w:r>
      <w:r>
        <w:rPr>
          <w:rFonts w:hAnsi="宋体" w:cs="宋体"/>
          <w:color w:val="000000"/>
          <w:sz w:val="24"/>
          <w:szCs w:val="24"/>
          <w:highlight w:val="cyan"/>
        </w:rPr>
        <w:t>上</w:t>
      </w:r>
      <w:r>
        <w:rPr>
          <w:rFonts w:hint="eastAsia" w:hAnsi="宋体" w:cs="宋体"/>
          <w:color w:val="000000"/>
          <w:sz w:val="24"/>
          <w:szCs w:val="24"/>
          <w:highlight w:val="cyan"/>
        </w:rPr>
        <w:t>午</w:t>
      </w:r>
      <w:r>
        <w:rPr>
          <w:rFonts w:hAnsi="宋体" w:cs="宋体"/>
          <w:color w:val="000000"/>
          <w:sz w:val="24"/>
          <w:szCs w:val="24"/>
          <w:highlight w:val="cyan"/>
        </w:rPr>
        <w:t>9</w:t>
      </w:r>
      <w:r>
        <w:rPr>
          <w:rFonts w:hint="eastAsia" w:hAnsi="宋体" w:cs="宋体"/>
          <w:color w:val="000000"/>
          <w:sz w:val="24"/>
          <w:szCs w:val="24"/>
          <w:highlight w:val="cyan"/>
        </w:rPr>
        <w:t>：</w:t>
      </w:r>
      <w:r>
        <w:rPr>
          <w:rFonts w:hAnsi="宋体" w:cs="宋体"/>
          <w:color w:val="000000"/>
          <w:sz w:val="24"/>
          <w:szCs w:val="24"/>
          <w:highlight w:val="cyan"/>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5"/>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pPr>
        <w:pStyle w:val="85"/>
        <w:spacing w:line="360" w:lineRule="auto"/>
        <w:rPr>
          <w:rFonts w:hint="eastAsia" w:ascii="宋体" w:hAnsi="宋体" w:eastAsia="宋体" w:cs="宋体"/>
        </w:rPr>
      </w:pPr>
      <w:r>
        <w:rPr>
          <w:rFonts w:hint="eastAsia" w:ascii="宋体" w:hAnsi="宋体" w:eastAsia="宋体" w:cs="宋体"/>
        </w:rPr>
        <w:t>9、现场资质审验</w:t>
      </w:r>
    </w:p>
    <w:p>
      <w:pPr>
        <w:pStyle w:val="79"/>
        <w:ind w:firstLine="480"/>
        <w:rPr>
          <w:rFonts w:hint="eastAsia" w:eastAsia="宋体" w:cs="宋体"/>
        </w:rPr>
      </w:pPr>
      <w:r>
        <w:rPr>
          <w:rFonts w:hint="eastAsia" w:eastAsia="宋体" w:cs="宋体"/>
        </w:rPr>
        <w:t>详见投标条件→资质证明文件。（本文档搜索查找即可）</w:t>
      </w:r>
    </w:p>
    <w:p>
      <w:pPr>
        <w:pStyle w:val="79"/>
        <w:ind w:firstLine="480"/>
        <w:rPr>
          <w:rFonts w:hint="eastAsia" w:eastAsia="宋体" w:cs="宋体"/>
        </w:rPr>
      </w:pPr>
      <w:r>
        <w:rPr>
          <w:rFonts w:hint="eastAsia" w:eastAsia="宋体" w:cs="宋体"/>
        </w:rPr>
        <w:t>投标方式：中国重汽集团E采通平台</w:t>
      </w:r>
    </w:p>
    <w:p>
      <w:pPr>
        <w:pStyle w:val="81"/>
        <w:rPr>
          <w:rFonts w:hint="eastAsia" w:eastAsia="宋体" w:cs="宋体"/>
        </w:rPr>
      </w:pPr>
      <w:r>
        <w:rPr>
          <w:rFonts w:hint="eastAsia" w:eastAsia="宋体" w:cs="宋体"/>
        </w:rPr>
        <w:t>六、评标规则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hint="eastAsia"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9"/>
        <w:ind w:firstLine="482"/>
        <w:rPr>
          <w:rFonts w:hint="eastAsia" w:eastAsia="宋体" w:cs="宋体"/>
          <w:b/>
          <w:highlight w:val="yellow"/>
        </w:rPr>
      </w:pPr>
      <w:r>
        <w:rPr>
          <w:rFonts w:hint="eastAsia" w:eastAsia="宋体" w:cs="宋体"/>
          <w:b/>
          <w:highlight w:val="yellow"/>
        </w:rPr>
        <w:t>评标流程：</w:t>
      </w:r>
    </w:p>
    <w:p>
      <w:pPr>
        <w:pStyle w:val="16"/>
        <w:ind w:firstLine="480" w:firstLineChars="200"/>
        <w:rPr>
          <w:rFonts w:hint="eastAsia"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四、投标说明第7条投标文件组成资格证明文件中的1-10准备资料，上传完毕后，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hint="eastAsia"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通过应标资格审查的单位进入投标环节，按照“SRM系统供应商用户手册（附件13）”，在重汽e采通平台投递电子标书（包含资质标、技术标、商务标），没有通过应标资质审查的单位不能进入投标环节；</w:t>
      </w:r>
    </w:p>
    <w:p>
      <w:pPr>
        <w:numPr>
          <w:ilvl w:val="0"/>
          <w:numId w:val="5"/>
        </w:numPr>
        <w:spacing w:line="420" w:lineRule="exact"/>
        <w:rPr>
          <w:rFonts w:hint="eastAsia"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hint="eastAsia"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hint="eastAsia"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cs="宋体"/>
          <w:b/>
          <w:sz w:val="24"/>
          <w:szCs w:val="24"/>
        </w:rPr>
      </w:pPr>
      <w:r>
        <w:rPr>
          <w:rFonts w:hint="eastAsia" w:ascii="宋体" w:hAnsi="宋体" w:cs="宋体"/>
          <w:b/>
          <w:sz w:val="24"/>
          <w:szCs w:val="24"/>
        </w:rPr>
        <w:t>中标人确定：资质技术满足条件后，原则上合理最低价中标。</w:t>
      </w:r>
    </w:p>
    <w:p>
      <w:pPr>
        <w:pStyle w:val="79"/>
        <w:ind w:firstLine="480"/>
        <w:rPr>
          <w:rFonts w:hint="eastAsia" w:eastAsia="宋体" w:cs="宋体"/>
        </w:rPr>
      </w:pPr>
      <w:r>
        <w:rPr>
          <w:rFonts w:hint="eastAsia" w:eastAsia="宋体" w:cs="宋体"/>
        </w:rPr>
        <w:t>2、中标</w:t>
      </w:r>
    </w:p>
    <w:p>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eastAsia="宋体" w:cs="宋体"/>
        </w:rPr>
      </w:pPr>
      <w:r>
        <w:rPr>
          <w:rFonts w:hint="eastAsia" w:eastAsia="宋体" w:cs="宋体"/>
        </w:rPr>
        <w:t>七、合同签订</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hint="eastAsia"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81"/>
        <w:rPr>
          <w:rFonts w:hint="eastAsia" w:eastAsia="宋体" w:cs="宋体"/>
        </w:rPr>
      </w:pPr>
      <w:r>
        <w:rPr>
          <w:rFonts w:hint="eastAsia" w:eastAsia="宋体" w:cs="宋体"/>
        </w:rPr>
        <w:t>八、其他</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hint="eastAsia" w:eastAsia="宋体" w:cs="宋体"/>
        </w:rPr>
      </w:pPr>
    </w:p>
    <w:p>
      <w:pPr>
        <w:pStyle w:val="79"/>
        <w:ind w:firstLine="0" w:firstLineChars="0"/>
        <w:rPr>
          <w:rFonts w:hint="eastAsia" w:eastAsia="宋体" w:cs="宋体"/>
        </w:rPr>
      </w:pPr>
    </w:p>
    <w:p>
      <w:pPr>
        <w:pStyle w:val="79"/>
        <w:ind w:firstLine="0" w:firstLineChars="0"/>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w:t>
      </w:r>
      <w:bookmarkStart w:id="4" w:name="_Toc353881012"/>
      <w:bookmarkStart w:id="5" w:name="_Toc639004"/>
      <w:bookmarkStart w:id="6" w:name="_Toc212369550"/>
      <w:bookmarkStart w:id="7" w:name="_Toc25811"/>
      <w:r>
        <w:rPr>
          <w:rFonts w:hint="eastAsia" w:ascii="宋体" w:hAnsi="宋体" w:eastAsia="宋体" w:cs="宋体"/>
        </w:rPr>
        <w:t xml:space="preserve"> 投标函</w:t>
      </w:r>
      <w:bookmarkEnd w:id="4"/>
      <w:bookmarkEnd w:id="5"/>
      <w:bookmarkEnd w:id="6"/>
      <w:bookmarkEnd w:id="7"/>
    </w:p>
    <w:p>
      <w:pPr>
        <w:pStyle w:val="79"/>
        <w:ind w:firstLine="480"/>
        <w:rPr>
          <w:rFonts w:hint="eastAsia" w:eastAsia="宋体" w:cs="宋体"/>
        </w:rPr>
      </w:pPr>
      <w:r>
        <w:rPr>
          <w:rFonts w:hint="eastAsia" w:eastAsia="宋体" w:cs="宋体"/>
        </w:rPr>
        <w:t>致：中国重汽集团济南动力有限公司：</w:t>
      </w:r>
    </w:p>
    <w:p>
      <w:pPr>
        <w:pStyle w:val="79"/>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hint="eastAsia" w:eastAsia="宋体" w:cs="宋体"/>
        </w:rPr>
      </w:pPr>
      <w:r>
        <w:rPr>
          <w:rFonts w:hint="eastAsia" w:eastAsia="宋体" w:cs="宋体"/>
        </w:rPr>
        <w:t>据此函，签字代表宣布同意如下：</w:t>
      </w:r>
    </w:p>
    <w:p>
      <w:pPr>
        <w:pStyle w:val="79"/>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hint="eastAsia" w:eastAsia="宋体" w:cs="宋体"/>
        </w:rPr>
      </w:pPr>
      <w:r>
        <w:rPr>
          <w:rFonts w:hint="eastAsia" w:eastAsia="宋体" w:cs="宋体"/>
        </w:rPr>
        <w:t>5、投标人同意按照贵方要求提供与投标有关的一切数据或资料。</w:t>
      </w:r>
    </w:p>
    <w:p>
      <w:pPr>
        <w:pStyle w:val="79"/>
        <w:ind w:firstLine="480"/>
        <w:rPr>
          <w:rFonts w:hint="eastAsia" w:eastAsia="宋体" w:cs="宋体"/>
        </w:rPr>
      </w:pPr>
      <w:r>
        <w:rPr>
          <w:rFonts w:hint="eastAsia" w:eastAsia="宋体" w:cs="宋体"/>
        </w:rPr>
        <w:t>6、与本投标有关的一切正式往来信函请寄：</w:t>
      </w:r>
    </w:p>
    <w:p>
      <w:pPr>
        <w:pStyle w:val="79"/>
        <w:ind w:firstLine="480"/>
        <w:rPr>
          <w:rFonts w:hint="eastAsia" w:eastAsia="宋体" w:cs="宋体"/>
        </w:rPr>
      </w:pPr>
      <w:r>
        <w:rPr>
          <w:rFonts w:hint="eastAsia" w:eastAsia="宋体" w:cs="宋体"/>
        </w:rPr>
        <w:t xml:space="preserve">地址：                             </w:t>
      </w:r>
    </w:p>
    <w:p>
      <w:pPr>
        <w:pStyle w:val="79"/>
        <w:ind w:firstLine="480"/>
        <w:rPr>
          <w:rFonts w:hint="eastAsia" w:eastAsia="宋体" w:cs="宋体"/>
        </w:rPr>
      </w:pPr>
      <w:r>
        <w:rPr>
          <w:rFonts w:hint="eastAsia" w:eastAsia="宋体" w:cs="宋体"/>
        </w:rPr>
        <w:t xml:space="preserve">邮编：        </w:t>
      </w:r>
    </w:p>
    <w:p>
      <w:pPr>
        <w:pStyle w:val="79"/>
        <w:ind w:firstLine="480"/>
        <w:rPr>
          <w:rFonts w:hint="eastAsia" w:eastAsia="宋体" w:cs="宋体"/>
        </w:rPr>
      </w:pPr>
      <w:r>
        <w:rPr>
          <w:rFonts w:hint="eastAsia" w:eastAsia="宋体" w:cs="宋体"/>
        </w:rPr>
        <w:t xml:space="preserve">电话：        传真：                   </w:t>
      </w:r>
    </w:p>
    <w:p>
      <w:pPr>
        <w:pStyle w:val="79"/>
        <w:ind w:firstLine="480"/>
        <w:rPr>
          <w:rFonts w:hint="eastAsia" w:eastAsia="宋体" w:cs="宋体"/>
        </w:rPr>
      </w:pPr>
      <w:r>
        <w:rPr>
          <w:rFonts w:hint="eastAsia" w:eastAsia="宋体" w:cs="宋体"/>
        </w:rPr>
        <w:t xml:space="preserve">投标人代表姓名：__   _____职务：          </w:t>
      </w:r>
    </w:p>
    <w:p>
      <w:pPr>
        <w:pStyle w:val="79"/>
        <w:ind w:firstLine="480"/>
        <w:rPr>
          <w:rFonts w:hint="eastAsia" w:eastAsia="宋体" w:cs="宋体"/>
        </w:rPr>
      </w:pPr>
      <w:r>
        <w:rPr>
          <w:rFonts w:hint="eastAsia" w:eastAsia="宋体" w:cs="宋体"/>
        </w:rPr>
        <w:t xml:space="preserve">开户银行：                   </w:t>
      </w:r>
    </w:p>
    <w:p>
      <w:pPr>
        <w:pStyle w:val="79"/>
        <w:ind w:firstLine="480"/>
        <w:rPr>
          <w:rFonts w:hint="eastAsia" w:eastAsia="宋体" w:cs="宋体"/>
        </w:rPr>
      </w:pPr>
      <w:r>
        <w:rPr>
          <w:rFonts w:hint="eastAsia" w:eastAsia="宋体" w:cs="宋体"/>
        </w:rPr>
        <w:t>银行帐号：</w:t>
      </w:r>
    </w:p>
    <w:p>
      <w:pPr>
        <w:pStyle w:val="79"/>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hint="eastAsia" w:eastAsia="宋体" w:cs="宋体"/>
        </w:rPr>
      </w:pPr>
      <w:r>
        <w:rPr>
          <w:rFonts w:hint="eastAsia" w:eastAsia="宋体" w:cs="宋体"/>
        </w:rPr>
        <w:t>授权代表签字</w:t>
      </w:r>
      <w:r>
        <w:rPr>
          <w:rFonts w:hint="eastAsia" w:eastAsia="宋体" w:cs="宋体"/>
          <w:bCs/>
        </w:rPr>
        <w:t>：</w:t>
      </w:r>
    </w:p>
    <w:p>
      <w:pPr>
        <w:pStyle w:val="79"/>
        <w:ind w:firstLine="480"/>
        <w:rPr>
          <w:rFonts w:hint="eastAsia" w:eastAsia="宋体" w:cs="宋体"/>
        </w:rPr>
      </w:pPr>
      <w:r>
        <w:rPr>
          <w:rFonts w:hint="eastAsia" w:eastAsia="宋体" w:cs="宋体"/>
        </w:rPr>
        <w:t>日期：     年      月      日</w:t>
      </w:r>
    </w:p>
    <w:p>
      <w:pPr>
        <w:rPr>
          <w:rFonts w:hint="eastAsia" w:ascii="宋体" w:hAnsi="宋体" w:cs="宋体"/>
          <w:color w:val="000000"/>
          <w:sz w:val="24"/>
          <w:szCs w:val="24"/>
        </w:rPr>
      </w:pPr>
    </w:p>
    <w:p>
      <w:pPr>
        <w:rPr>
          <w:rFonts w:hint="eastAsia" w:ascii="宋体" w:hAnsi="宋体" w:cs="宋体"/>
          <w:color w:val="000000"/>
          <w:sz w:val="24"/>
          <w:szCs w:val="24"/>
        </w:rPr>
      </w:pPr>
    </w:p>
    <w:p>
      <w:pPr>
        <w:pStyle w:val="81"/>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pPr>
        <w:pStyle w:val="79"/>
        <w:ind w:firstLine="480"/>
        <w:rPr>
          <w:rFonts w:hint="eastAsia" w:eastAsia="宋体" w:cs="宋体"/>
        </w:rPr>
      </w:pPr>
      <w:r>
        <w:rPr>
          <w:rFonts w:hint="eastAsia" w:eastAsia="宋体" w:cs="宋体"/>
        </w:rPr>
        <w:t>全权代表姓名：            性别：          年龄：</w:t>
      </w:r>
    </w:p>
    <w:p>
      <w:pPr>
        <w:pStyle w:val="79"/>
        <w:ind w:firstLine="480"/>
        <w:rPr>
          <w:rFonts w:hint="eastAsia" w:eastAsia="宋体" w:cs="宋体"/>
        </w:rPr>
      </w:pPr>
      <w:r>
        <w:rPr>
          <w:rFonts w:hint="eastAsia" w:eastAsia="宋体" w:cs="宋体"/>
        </w:rPr>
        <w:t>单位：                    部门：          职务：</w:t>
      </w:r>
    </w:p>
    <w:p>
      <w:pPr>
        <w:pStyle w:val="79"/>
        <w:ind w:firstLine="480"/>
        <w:rPr>
          <w:rFonts w:hint="eastAsia" w:eastAsia="宋体" w:cs="宋体"/>
        </w:rPr>
      </w:pPr>
      <w:r>
        <w:rPr>
          <w:rFonts w:hint="eastAsia" w:eastAsia="宋体" w:cs="宋体"/>
        </w:rPr>
        <w:t xml:space="preserve">法定代表人签字或盖章                          </w:t>
      </w:r>
    </w:p>
    <w:p>
      <w:pPr>
        <w:pStyle w:val="79"/>
        <w:ind w:firstLine="480"/>
        <w:rPr>
          <w:rFonts w:hint="eastAsia" w:eastAsia="宋体" w:cs="宋体"/>
        </w:rPr>
      </w:pPr>
      <w:r>
        <w:rPr>
          <w:rFonts w:hint="eastAsia" w:eastAsia="宋体" w:cs="宋体"/>
        </w:rPr>
        <w:t xml:space="preserve">被授权人签字  </w:t>
      </w:r>
    </w:p>
    <w:p>
      <w:pPr>
        <w:pStyle w:val="79"/>
        <w:ind w:firstLine="480"/>
        <w:rPr>
          <w:rFonts w:hint="eastAsia" w:eastAsia="宋体" w:cs="宋体"/>
        </w:rPr>
      </w:pPr>
      <w:r>
        <w:rPr>
          <w:rFonts w:hint="eastAsia" w:eastAsia="宋体" w:cs="宋体"/>
        </w:rPr>
        <w:t xml:space="preserve">被授权人电话：                          </w:t>
      </w:r>
    </w:p>
    <w:p>
      <w:pPr>
        <w:pStyle w:val="79"/>
        <w:ind w:firstLine="480"/>
        <w:rPr>
          <w:rFonts w:hint="eastAsia" w:eastAsia="宋体" w:cs="宋体"/>
        </w:rPr>
      </w:pPr>
      <w:r>
        <w:rPr>
          <w:rFonts w:hint="eastAsia" w:eastAsia="宋体" w:cs="宋体"/>
        </w:rPr>
        <w:t xml:space="preserve">投标人名称（公章）                       </w:t>
      </w:r>
    </w:p>
    <w:p>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hint="eastAsia" w:ascii="宋体" w:hAnsi="宋体" w:eastAsia="宋体" w:cs="宋体"/>
        </w:rPr>
      </w:pPr>
      <w:r>
        <w:rPr>
          <w:rFonts w:hint="eastAsia" w:ascii="宋体" w:hAnsi="宋体" w:eastAsia="宋体" w:cs="宋体"/>
        </w:rPr>
        <w:t>附件4 技术规格偏离表</w:t>
      </w:r>
    </w:p>
    <w:p>
      <w:pPr>
        <w:pStyle w:val="79"/>
        <w:ind w:firstLine="480"/>
        <w:rPr>
          <w:rFonts w:hint="eastAsia"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4"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1</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气体纯度应满足技术协议书中纯度要求</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2</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具有相关标准气体（至少有空气中丙烷、空气中甲烷、氮中一氧化碳、氮中二氧化碳、氮中一氧化氮、氮中氨标准气体）的中华人民共和国制造计量器具许可证或标准物质证书。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3</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具有相关标准气体（至少有空气中丙烷、空气中甲烷、氮中一氧化碳、氮中二氧化碳、氮中一氧化氮、氮中氨标准气体）国家二级标准物质的定级资质或标准物质证书。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4</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根据试验室安全管理要求，所有气瓶需配置两个防倾倒橡胶圈；气瓶应提供定期安全检定的证明文件；气瓶接口需配置防倾倒安全帽或等价装置；瓶身直径不得超过27厘米，配置防倾倒橡胶圈后直径不得超过29厘米。</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5</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供货周期满足招标方要求，并能提供专车专送服务。</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rPr>
          <w:rFonts w:hint="eastAsia" w:ascii="宋体" w:hAnsi="宋体" w:cs="宋体"/>
          <w:color w:val="000000"/>
          <w:sz w:val="24"/>
          <w:szCs w:val="24"/>
        </w:rPr>
      </w:pPr>
    </w:p>
    <w:p>
      <w:pPr>
        <w:rPr>
          <w:rFonts w:hint="eastAsia" w:ascii="宋体" w:hAnsi="宋体" w:cs="宋体"/>
          <w:b/>
          <w:bCs/>
          <w:color w:val="000000"/>
          <w:sz w:val="28"/>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附件5 近三年同类项目业绩一览表</w:t>
      </w:r>
    </w:p>
    <w:p>
      <w:pPr>
        <w:pStyle w:val="79"/>
        <w:ind w:firstLine="480"/>
        <w:rPr>
          <w:rFonts w:hint="eastAsia"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cs="宋体"/>
                <w:b/>
                <w:szCs w:val="21"/>
              </w:rPr>
            </w:pPr>
            <w:r>
              <w:rPr>
                <w:rFonts w:hint="eastAsia" w:ascii="宋体" w:hAnsi="宋体" w:cs="宋体"/>
                <w:b/>
                <w:szCs w:val="21"/>
              </w:rPr>
              <w:t>序号</w:t>
            </w:r>
          </w:p>
        </w:tc>
        <w:tc>
          <w:tcPr>
            <w:tcW w:w="1264" w:type="pct"/>
            <w:vAlign w:val="center"/>
          </w:tcPr>
          <w:p>
            <w:pPr>
              <w:pStyle w:val="25"/>
              <w:jc w:val="center"/>
              <w:rPr>
                <w:rFonts w:hint="eastAsia"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hint="eastAsia"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hint="eastAsia" w:ascii="宋体" w:hAnsi="宋体" w:cs="宋体"/>
                <w:b/>
                <w:szCs w:val="21"/>
              </w:rPr>
            </w:pPr>
            <w:r>
              <w:rPr>
                <w:rFonts w:hint="eastAsia" w:ascii="宋体" w:hAnsi="宋体" w:cs="宋体"/>
                <w:b/>
                <w:szCs w:val="21"/>
              </w:rPr>
              <w:t>联系人及</w:t>
            </w:r>
          </w:p>
          <w:p>
            <w:pPr>
              <w:pStyle w:val="25"/>
              <w:jc w:val="center"/>
              <w:rPr>
                <w:rFonts w:hint="eastAsia"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bl>
    <w:p>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hint="eastAsia" w:ascii="宋体" w:hAnsi="宋体" w:cs="宋体"/>
          <w:sz w:val="24"/>
        </w:rPr>
      </w:pP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pPr>
    </w:p>
    <w:p>
      <w:pPr>
        <w:rPr>
          <w:rFonts w:hint="eastAsia" w:ascii="宋体" w:hAnsi="宋体" w:cs="宋体"/>
          <w:b/>
          <w:bCs/>
          <w:color w:val="000000"/>
          <w:sz w:val="28"/>
          <w:szCs w:val="22"/>
        </w:rPr>
      </w:pPr>
    </w:p>
    <w:p>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附件6 质量承诺函</w:t>
      </w:r>
    </w:p>
    <w:p>
      <w:pPr>
        <w:spacing w:line="240" w:lineRule="exact"/>
        <w:rPr>
          <w:rFonts w:hint="eastAsia" w:ascii="宋体" w:hAnsi="宋体" w:cs="宋体"/>
        </w:rPr>
      </w:pPr>
      <w:r>
        <w:rPr>
          <w:rFonts w:hint="eastAsia" w:ascii="宋体" w:hAnsi="宋体" w:cs="宋体"/>
        </w:rPr>
        <w:t xml:space="preserve">                                               </w:t>
      </w:r>
    </w:p>
    <w:p>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left="480"/>
        <w:rPr>
          <w:rFonts w:hint="eastAsia" w:ascii="宋体" w:hAnsi="宋体" w:cs="宋体"/>
          <w:sz w:val="24"/>
        </w:rPr>
      </w:pPr>
      <w:r>
        <w:rPr>
          <w:rFonts w:hint="eastAsia" w:ascii="宋体" w:hAnsi="宋体" w:cs="宋体"/>
          <w:sz w:val="24"/>
        </w:rPr>
        <w:t xml:space="preserve">                           </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附件7 开标一览表</w:t>
      </w:r>
    </w:p>
    <w:p>
      <w:pPr>
        <w:pStyle w:val="79"/>
        <w:ind w:firstLine="482"/>
        <w:rPr>
          <w:rFonts w:hint="eastAsia" w:eastAsia="宋体" w:cs="宋体"/>
          <w:b/>
        </w:rPr>
      </w:pPr>
      <w:r>
        <w:rPr>
          <w:rFonts w:hint="eastAsia" w:eastAsia="宋体" w:cs="宋体"/>
          <w:b/>
        </w:rPr>
        <w:t>《开标一览表》单独封存，以备唱标使用</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31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83"/>
        <w:gridCol w:w="1109"/>
        <w:gridCol w:w="1038"/>
        <w:gridCol w:w="1079"/>
        <w:gridCol w:w="975"/>
        <w:gridCol w:w="975"/>
        <w:gridCol w:w="975"/>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9" w:type="pct"/>
            <w:vAlign w:val="center"/>
          </w:tcPr>
          <w:p>
            <w:pPr>
              <w:pStyle w:val="83"/>
              <w:rPr>
                <w:rFonts w:hint="eastAsia" w:ascii="宋体" w:hAnsi="宋体" w:eastAsia="宋体" w:cs="宋体"/>
              </w:rPr>
            </w:pPr>
            <w:r>
              <w:rPr>
                <w:rFonts w:hint="eastAsia" w:ascii="宋体" w:hAnsi="宋体" w:eastAsia="宋体" w:cs="宋体"/>
              </w:rPr>
              <w:t>序号</w:t>
            </w:r>
          </w:p>
        </w:tc>
        <w:tc>
          <w:tcPr>
            <w:tcW w:w="691" w:type="pct"/>
            <w:vAlign w:val="center"/>
          </w:tcPr>
          <w:p>
            <w:pPr>
              <w:pStyle w:val="83"/>
              <w:rPr>
                <w:rFonts w:hint="eastAsia" w:ascii="宋体" w:hAnsi="宋体" w:eastAsia="宋体" w:cs="宋体"/>
              </w:rPr>
            </w:pPr>
            <w:r>
              <w:rPr>
                <w:rFonts w:hint="eastAsia" w:ascii="宋体" w:hAnsi="宋体" w:eastAsia="宋体" w:cs="宋体"/>
              </w:rPr>
              <w:t>项目名称</w:t>
            </w:r>
          </w:p>
        </w:tc>
        <w:tc>
          <w:tcPr>
            <w:tcW w:w="597" w:type="pct"/>
            <w:vAlign w:val="center"/>
          </w:tcPr>
          <w:p>
            <w:pPr>
              <w:pStyle w:val="83"/>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3"/>
              <w:rPr>
                <w:rFonts w:hint="eastAsia" w:ascii="宋体" w:hAnsi="宋体" w:eastAsia="宋体" w:cs="宋体"/>
                <w:szCs w:val="21"/>
              </w:rPr>
            </w:pPr>
            <w:r>
              <w:rPr>
                <w:rFonts w:hint="eastAsia" w:ascii="宋体" w:hAnsi="宋体" w:eastAsia="宋体" w:cs="宋体"/>
                <w:szCs w:val="21"/>
              </w:rPr>
              <w:t>（万元）</w:t>
            </w:r>
          </w:p>
        </w:tc>
        <w:tc>
          <w:tcPr>
            <w:tcW w:w="559" w:type="pct"/>
            <w:vAlign w:val="center"/>
          </w:tcPr>
          <w:p>
            <w:pPr>
              <w:pStyle w:val="83"/>
              <w:rPr>
                <w:rFonts w:hint="eastAsia" w:ascii="宋体" w:hAnsi="宋体" w:eastAsia="宋体" w:cs="宋体"/>
                <w:szCs w:val="21"/>
              </w:rPr>
            </w:pPr>
            <w:r>
              <w:rPr>
                <w:rFonts w:hint="eastAsia" w:ascii="宋体" w:hAnsi="宋体" w:eastAsia="宋体" w:cs="宋体"/>
                <w:szCs w:val="21"/>
              </w:rPr>
              <w:t>折扣</w:t>
            </w:r>
          </w:p>
        </w:tc>
        <w:tc>
          <w:tcPr>
            <w:tcW w:w="581" w:type="pct"/>
            <w:vAlign w:val="center"/>
          </w:tcPr>
          <w:p>
            <w:pPr>
              <w:pStyle w:val="83"/>
              <w:rPr>
                <w:rFonts w:hint="eastAsia" w:ascii="宋体" w:hAnsi="宋体" w:eastAsia="宋体" w:cs="宋体"/>
              </w:rPr>
            </w:pPr>
            <w:r>
              <w:rPr>
                <w:rFonts w:hint="eastAsia" w:ascii="宋体" w:hAnsi="宋体" w:eastAsia="宋体" w:cs="宋体"/>
              </w:rPr>
              <w:t>折后不含税总价</w:t>
            </w:r>
          </w:p>
          <w:p>
            <w:pPr>
              <w:pStyle w:val="83"/>
              <w:rPr>
                <w:rFonts w:hint="eastAsia" w:ascii="宋体" w:hAnsi="宋体" w:eastAsia="宋体" w:cs="宋体"/>
              </w:rPr>
            </w:pPr>
            <w:r>
              <w:rPr>
                <w:rFonts w:hint="eastAsia" w:ascii="宋体" w:hAnsi="宋体" w:eastAsia="宋体" w:cs="宋体"/>
              </w:rPr>
              <w:t>（万元）</w:t>
            </w:r>
          </w:p>
        </w:tc>
        <w:tc>
          <w:tcPr>
            <w:tcW w:w="525" w:type="pct"/>
            <w:vAlign w:val="center"/>
          </w:tcPr>
          <w:p>
            <w:pPr>
              <w:pStyle w:val="83"/>
              <w:rPr>
                <w:rFonts w:hint="eastAsia" w:ascii="宋体" w:hAnsi="宋体" w:eastAsia="宋体" w:cs="宋体"/>
              </w:rPr>
            </w:pPr>
            <w:r>
              <w:rPr>
                <w:rFonts w:hint="eastAsia" w:ascii="宋体" w:hAnsi="宋体" w:eastAsia="宋体" w:cs="宋体"/>
              </w:rPr>
              <w:t>折后含税总价（万元）</w:t>
            </w:r>
          </w:p>
        </w:tc>
        <w:tc>
          <w:tcPr>
            <w:tcW w:w="525" w:type="pct"/>
            <w:vAlign w:val="center"/>
          </w:tcPr>
          <w:p>
            <w:pPr>
              <w:pStyle w:val="83"/>
              <w:rPr>
                <w:rFonts w:hint="eastAsia" w:ascii="宋体" w:hAnsi="宋体" w:eastAsia="宋体" w:cs="宋体"/>
              </w:rPr>
            </w:pPr>
            <w:r>
              <w:rPr>
                <w:rFonts w:hint="eastAsia" w:ascii="宋体" w:hAnsi="宋体" w:eastAsia="宋体" w:cs="宋体"/>
              </w:rPr>
              <w:t>税率</w:t>
            </w:r>
          </w:p>
        </w:tc>
        <w:tc>
          <w:tcPr>
            <w:tcW w:w="525"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725"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69" w:type="pct"/>
            <w:vAlign w:val="center"/>
          </w:tcPr>
          <w:p>
            <w:pPr>
              <w:pStyle w:val="83"/>
              <w:rPr>
                <w:rFonts w:hint="eastAsia" w:ascii="宋体" w:hAnsi="宋体" w:eastAsia="宋体" w:cs="宋体"/>
              </w:rPr>
            </w:pPr>
            <w:r>
              <w:rPr>
                <w:rFonts w:hint="eastAsia" w:ascii="宋体" w:hAnsi="宋体" w:eastAsia="宋体" w:cs="宋体"/>
              </w:rPr>
              <w:t>1</w:t>
            </w:r>
          </w:p>
        </w:tc>
        <w:tc>
          <w:tcPr>
            <w:tcW w:w="691" w:type="pct"/>
            <w:vAlign w:val="center"/>
          </w:tcPr>
          <w:p>
            <w:pPr>
              <w:pStyle w:val="83"/>
              <w:rPr>
                <w:rFonts w:hint="eastAsia" w:ascii="宋体" w:hAnsi="宋体" w:eastAsia="宋体" w:cs="宋体"/>
              </w:rPr>
            </w:pPr>
            <w:r>
              <w:rPr>
                <w:rFonts w:hint="eastAsia" w:ascii="宋体" w:hAnsi="宋体" w:eastAsia="宋体" w:cs="宋体"/>
              </w:rPr>
              <w:t>瓶装标准气总价</w:t>
            </w:r>
          </w:p>
        </w:tc>
        <w:tc>
          <w:tcPr>
            <w:tcW w:w="597" w:type="pct"/>
            <w:vAlign w:val="center"/>
          </w:tcPr>
          <w:p>
            <w:pPr>
              <w:pStyle w:val="83"/>
              <w:rPr>
                <w:rFonts w:hint="eastAsia" w:ascii="宋体" w:hAnsi="宋体" w:eastAsia="宋体" w:cs="宋体"/>
                <w:b w:val="0"/>
              </w:rPr>
            </w:pPr>
            <w:r>
              <w:rPr>
                <w:rFonts w:ascii="宋体" w:hAnsi="宋体" w:eastAsia="宋体" w:cs="宋体"/>
                <w:sz w:val="24"/>
                <w:szCs w:val="24"/>
                <w:woUserID w:val="1"/>
              </w:rPr>
              <w:t>54.5154</w:t>
            </w:r>
          </w:p>
        </w:tc>
        <w:tc>
          <w:tcPr>
            <w:tcW w:w="559" w:type="pct"/>
            <w:vAlign w:val="center"/>
          </w:tcPr>
          <w:p>
            <w:pPr>
              <w:pStyle w:val="83"/>
              <w:rPr>
                <w:rFonts w:hint="eastAsia" w:ascii="宋体" w:hAnsi="宋体" w:eastAsia="宋体" w:cs="宋体"/>
              </w:rPr>
            </w:pPr>
          </w:p>
        </w:tc>
        <w:tc>
          <w:tcPr>
            <w:tcW w:w="581" w:type="pct"/>
            <w:vAlign w:val="center"/>
          </w:tcPr>
          <w:p>
            <w:pPr>
              <w:pStyle w:val="83"/>
              <w:rPr>
                <w:rFonts w:hint="eastAsia" w:ascii="宋体" w:hAnsi="宋体" w:eastAsia="宋体" w:cs="宋体"/>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725" w:type="pct"/>
            <w:vAlign w:val="center"/>
          </w:tcPr>
          <w:p>
            <w:pPr>
              <w:pStyle w:val="83"/>
              <w:rPr>
                <w:rFonts w:hint="eastAsia" w:ascii="宋体" w:hAnsi="宋体" w:eastAsia="宋体" w:cs="宋体"/>
              </w:rPr>
            </w:pPr>
          </w:p>
        </w:tc>
      </w:tr>
    </w:tbl>
    <w:p>
      <w:pPr>
        <w:pStyle w:val="79"/>
        <w:ind w:firstLine="0" w:firstLineChars="0"/>
        <w:rPr>
          <w:rFonts w:hint="eastAsia" w:eastAsia="宋体" w:cs="宋体"/>
          <w:szCs w:val="21"/>
        </w:rPr>
      </w:pPr>
      <w:r>
        <w:rPr>
          <w:rFonts w:hint="eastAsia"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3、需写明含税价、不含税价格、税率，总价按照预计数量计算。</w:t>
      </w:r>
    </w:p>
    <w:p>
      <w:pPr>
        <w:spacing w:line="300" w:lineRule="auto"/>
        <w:rPr>
          <w:rFonts w:hint="eastAsia" w:ascii="宋体" w:hAnsi="宋体" w:cs="宋体"/>
          <w:b/>
          <w:bCs/>
          <w:szCs w:val="21"/>
        </w:rPr>
      </w:pPr>
      <w:r>
        <w:rPr>
          <w:rFonts w:hint="eastAsia" w:ascii="宋体" w:hAnsi="宋体" w:cs="宋体"/>
          <w:b/>
          <w:bCs/>
          <w:szCs w:val="21"/>
        </w:rPr>
        <w:t>4、投标总价格按四种工作气（纯氧、纯氮、氧氮合成气、氢氦合成气）每种190瓶（50L/瓶），标准物质气每种10瓶进行计算；货物运费包含在单项报价中，不得单独列出；专车加急专送运输按济南、杭州各1次计算。</w:t>
      </w:r>
    </w:p>
    <w:p>
      <w:pPr>
        <w:pStyle w:val="3"/>
        <w:spacing w:before="0" w:after="0" w:line="360" w:lineRule="auto"/>
        <w:rPr>
          <w:rFonts w:hint="default"/>
          <w:woUserID w:val="1"/>
        </w:rPr>
      </w:pPr>
      <w:r>
        <w:rPr>
          <w:rFonts w:hint="eastAsia" w:ascii="宋体" w:hAnsi="宋体" w:eastAsia="宋体" w:cs="宋体"/>
          <w:sz w:val="21"/>
          <w:szCs w:val="21"/>
          <w:lang w:val="en-US"/>
        </w:rPr>
        <w:t>4、本项目报价上限为70万元（含税），折扣为同步折扣，所有单项价格最终按统一折扣计算。此处合计报价应与e采用系统报价一致。</w:t>
      </w:r>
      <w:r>
        <w:rPr>
          <w:rFonts w:hint="default" w:ascii="宋体" w:hAnsi="宋体" w:eastAsia="宋体" w:cs="宋体"/>
          <w:sz w:val="21"/>
          <w:szCs w:val="21"/>
          <w:woUserID w:val="1"/>
        </w:rPr>
        <w:t>不可在基准价基础上进行涨价。</w:t>
      </w:r>
    </w:p>
    <w:p>
      <w:pPr>
        <w:spacing w:line="660" w:lineRule="exact"/>
        <w:rPr>
          <w:rFonts w:hint="eastAsia" w:ascii="宋体" w:hAnsi="宋体" w:cs="宋体"/>
          <w:sz w:val="24"/>
        </w:rPr>
      </w:pPr>
    </w:p>
    <w:p>
      <w:pPr>
        <w:spacing w:line="660" w:lineRule="exact"/>
        <w:ind w:firstLine="3360" w:firstLineChars="1400"/>
        <w:rPr>
          <w:rFonts w:hint="eastAsia" w:ascii="宋体" w:hAnsi="宋体" w:cs="宋体"/>
          <w:sz w:val="24"/>
        </w:rPr>
      </w:pPr>
      <w:r>
        <w:rPr>
          <w:rFonts w:hint="eastAsia" w:ascii="宋体" w:hAnsi="宋体" w:cs="宋体"/>
          <w:sz w:val="24"/>
        </w:rPr>
        <w:t>投标人：（盖章）</w:t>
      </w:r>
    </w:p>
    <w:p>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hint="eastAsia" w:ascii="宋体" w:hAnsi="宋体" w:cs="宋体"/>
          <w:color w:val="000000"/>
          <w:sz w:val="24"/>
          <w:szCs w:val="24"/>
        </w:rPr>
      </w:pPr>
    </w:p>
    <w:p>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bookmarkStart w:id="8" w:name="_Toc26556"/>
      <w:bookmarkStart w:id="9" w:name="_Toc639008"/>
      <w:bookmarkStart w:id="10" w:name="_Toc353881017"/>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446"/>
        <w:tblOverlap w:val="never"/>
        <w:tblW w:w="9728" w:type="dxa"/>
        <w:tblInd w:w="0" w:type="dxa"/>
        <w:tblLayout w:type="fixed"/>
        <w:tblCellMar>
          <w:top w:w="0" w:type="dxa"/>
          <w:left w:w="108" w:type="dxa"/>
          <w:bottom w:w="0" w:type="dxa"/>
          <w:right w:w="108" w:type="dxa"/>
        </w:tblCellMar>
      </w:tblPr>
      <w:tblGrid>
        <w:gridCol w:w="567"/>
        <w:gridCol w:w="1134"/>
        <w:gridCol w:w="850"/>
        <w:gridCol w:w="1134"/>
        <w:gridCol w:w="1559"/>
        <w:gridCol w:w="709"/>
        <w:gridCol w:w="567"/>
        <w:gridCol w:w="709"/>
        <w:gridCol w:w="850"/>
        <w:gridCol w:w="709"/>
        <w:gridCol w:w="940"/>
      </w:tblGrid>
      <w:tr>
        <w:tblPrEx>
          <w:tblCellMar>
            <w:top w:w="0" w:type="dxa"/>
            <w:left w:w="108" w:type="dxa"/>
            <w:bottom w:w="0" w:type="dxa"/>
            <w:right w:w="108" w:type="dxa"/>
          </w:tblCellMar>
        </w:tblPrEx>
        <w:trPr>
          <w:trHeight w:val="696"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产品名称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相对扩展不确定度</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压力要求</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浓度范围</w:t>
            </w:r>
          </w:p>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（以订单为准）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平衡气</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预计采购数量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不含税基准单价/元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优惠折扣</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优惠折扣后价格/元</w:t>
            </w: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287.00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92"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69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35"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257.00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H</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15.0±0.5Mpa@15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40%±1%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He</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1575.22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88.50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230.09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935"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353.98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50~1000ppm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353.98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50~50000ppm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He</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12.5±0.5Mpa@15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707.96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r>
              <w:rPr>
                <w:color w:val="000000"/>
                <w:sz w:val="18"/>
                <w:szCs w:val="18"/>
              </w:rPr>
              <w:t>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442.48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237.00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132.74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309.73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20.5%~21%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309.73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Ar</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13.5±0.5Mpa@15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230.09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18"/>
                <w:szCs w:val="18"/>
              </w:rPr>
              <w:t>丙烷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0.4KG/</w:t>
            </w:r>
            <w:r>
              <w:rPr>
                <w:rFonts w:hint="eastAsia"/>
                <w:color w:val="000000"/>
                <w:sz w:val="20"/>
              </w:rPr>
              <w:t>瓶</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1L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132.74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52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丙烷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3KG/</w:t>
            </w:r>
            <w:r>
              <w:rPr>
                <w:rFonts w:hint="eastAsia"/>
                <w:color w:val="000000"/>
                <w:sz w:val="20"/>
              </w:rPr>
              <w:t>瓶</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48"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442.48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554"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88.50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专车加急专送运输费（至济南）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699"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18"/>
                <w:szCs w:val="18"/>
              </w:rPr>
            </w:pPr>
            <w:r>
              <w:rPr>
                <w:rFonts w:hint="eastAsia" w:ascii="仿宋_GB2312" w:hAnsi="宋体" w:eastAsia="仿宋_GB2312" w:cs="宋体"/>
                <w:kern w:val="0"/>
                <w:szCs w:val="21"/>
                <w:lang w:bidi="ar"/>
              </w:rPr>
              <w:t>税率</w:t>
            </w:r>
          </w:p>
        </w:tc>
        <w:tc>
          <w:tcPr>
            <w:tcW w:w="802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699"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18"/>
                <w:szCs w:val="18"/>
              </w:rPr>
            </w:pPr>
            <w:r>
              <w:rPr>
                <w:rFonts w:hint="eastAsia" w:ascii="仿宋_GB2312" w:hAnsi="宋体" w:eastAsia="仿宋_GB2312" w:cs="宋体"/>
                <w:kern w:val="0"/>
                <w:szCs w:val="21"/>
                <w:lang w:bidi="ar"/>
              </w:rPr>
              <w:t>合计</w:t>
            </w:r>
          </w:p>
        </w:tc>
        <w:tc>
          <w:tcPr>
            <w:tcW w:w="802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bl>
    <w:p>
      <w:pPr>
        <w:pStyle w:val="79"/>
        <w:ind w:firstLine="482"/>
        <w:rPr>
          <w:rFonts w:hint="eastAsia" w:eastAsia="宋体" w:cs="宋体"/>
          <w:b/>
        </w:rPr>
      </w:pPr>
      <w:r>
        <w:rPr>
          <w:rFonts w:hint="eastAsia" w:eastAsia="宋体" w:cs="宋体"/>
          <w:b/>
        </w:rPr>
        <w:t>注：</w:t>
      </w:r>
    </w:p>
    <w:p>
      <w:pPr>
        <w:pStyle w:val="79"/>
        <w:ind w:firstLine="482"/>
        <w:rPr>
          <w:rFonts w:hint="eastAsia" w:eastAsia="宋体" w:cs="宋体"/>
          <w:b/>
        </w:rPr>
      </w:pPr>
    </w:p>
    <w:p>
      <w:pPr>
        <w:pStyle w:val="79"/>
        <w:ind w:left="959" w:leftChars="228" w:hanging="480" w:hangingChars="200"/>
        <w:rPr>
          <w:rFonts w:hint="eastAsia" w:eastAsia="宋体" w:cs="宋体"/>
          <w:b/>
        </w:rPr>
      </w:pPr>
      <w:r>
        <w:rPr>
          <w:rFonts w:hint="eastAsia" w:eastAsia="宋体" w:cs="宋体"/>
          <w:b/>
        </w:rPr>
        <w:t>1、招标方所需备件清单详见技术文件中相关内容，如有所列更新换代件，请投标方特殊标识。</w:t>
      </w:r>
    </w:p>
    <w:p>
      <w:pPr>
        <w:pStyle w:val="79"/>
        <w:ind w:firstLine="482"/>
        <w:rPr>
          <w:rFonts w:hint="eastAsia" w:eastAsia="宋体" w:cs="宋体"/>
          <w:b/>
        </w:rPr>
      </w:pPr>
      <w:r>
        <w:rPr>
          <w:rFonts w:hint="eastAsia" w:eastAsia="宋体" w:cs="宋体"/>
          <w:b/>
        </w:rPr>
        <w:t>2、如上表中的有关费用投标人免费提供，请注明“免费”字样。</w:t>
      </w:r>
    </w:p>
    <w:p>
      <w:pPr>
        <w:pStyle w:val="79"/>
        <w:ind w:firstLine="482"/>
        <w:rPr>
          <w:rFonts w:hint="eastAsia" w:eastAsia="宋体" w:cs="宋体"/>
          <w:b/>
        </w:rPr>
      </w:pPr>
      <w:r>
        <w:rPr>
          <w:rFonts w:hint="eastAsia" w:eastAsia="宋体" w:cs="宋体"/>
          <w:b/>
        </w:rPr>
        <w:t>3、需写明含税价、不含税价格、税率。</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交货时间及地点</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收到招标方订单后最晚15~20个日历日，送至招标方指定地点</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79"/>
              <w:ind w:firstLine="0" w:firstLineChars="0"/>
              <w:jc w:val="center"/>
              <w:rPr>
                <w:rFonts w:hint="eastAsia" w:eastAsia="宋体" w:cs="宋体"/>
                <w:b/>
                <w:color w:val="auto"/>
                <w:sz w:val="21"/>
                <w:szCs w:val="21"/>
              </w:rPr>
            </w:pPr>
            <w:r>
              <w:rPr>
                <w:rFonts w:hint="eastAsia" w:eastAsia="宋体" w:cs="宋体"/>
                <w:b/>
                <w:color w:val="auto"/>
                <w:sz w:val="21"/>
                <w:szCs w:val="21"/>
              </w:rPr>
              <w:t>据实结算，到货后半年期商业汇票结算（包括银行承兑汇票和商业承兑汇票）</w:t>
            </w:r>
          </w:p>
        </w:tc>
        <w:tc>
          <w:tcPr>
            <w:tcW w:w="1594"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r>
              <w:rPr>
                <w:rFonts w:hint="eastAsia" w:ascii="宋体" w:hAnsi="宋体" w:eastAsia="宋体" w:cs="宋体"/>
                <w:szCs w:val="21"/>
              </w:rPr>
              <w:t>接到采购订单后需在24小时内做出响应。</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79"/>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pPr>
        <w:rPr>
          <w:rFonts w:hint="eastAsia" w:ascii="宋体" w:hAnsi="宋体" w:cs="宋体"/>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附件10 服务承诺函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pStyle w:val="79"/>
        <w:ind w:firstLine="480"/>
        <w:rPr>
          <w:rFonts w:hint="eastAsia" w:eastAsia="宋体" w:cs="宋体"/>
        </w:rPr>
      </w:pPr>
      <w:r>
        <w:rPr>
          <w:rFonts w:hint="eastAsia" w:eastAsia="宋体" w:cs="宋体"/>
        </w:rPr>
        <w:t>投标人：（盖章）</w:t>
      </w:r>
    </w:p>
    <w:p>
      <w:pPr>
        <w:pStyle w:val="79"/>
        <w:ind w:firstLine="480"/>
        <w:rPr>
          <w:rFonts w:hint="eastAsia" w:eastAsia="宋体" w:cs="宋体"/>
        </w:rPr>
      </w:pPr>
      <w:r>
        <w:rPr>
          <w:rFonts w:hint="eastAsia" w:eastAsia="宋体" w:cs="宋体"/>
        </w:rPr>
        <w:t>法定代表人（委托代理人）：（签字）</w:t>
      </w:r>
    </w:p>
    <w:p>
      <w:pPr>
        <w:pStyle w:val="79"/>
        <w:ind w:firstLine="480"/>
        <w:rPr>
          <w:rFonts w:hint="eastAsia" w:eastAsia="宋体" w:cs="宋体"/>
        </w:rPr>
      </w:pPr>
      <w:r>
        <w:rPr>
          <w:rFonts w:hint="eastAsia" w:eastAsia="宋体" w:cs="宋体"/>
        </w:rPr>
        <w:t>日  期：       年    月    日</w:t>
      </w:r>
    </w:p>
    <w:p>
      <w:pPr>
        <w:rPr>
          <w:rFonts w:hint="eastAsia" w:ascii="宋体" w:hAnsi="宋体" w:cs="宋体"/>
          <w:b/>
          <w:bCs/>
          <w:color w:val="000000"/>
          <w:sz w:val="28"/>
        </w:rPr>
      </w:pPr>
      <w:bookmarkStart w:id="11" w:name="_Toc9193"/>
      <w:bookmarkStart w:id="12" w:name="_Toc639013"/>
      <w:bookmarkStart w:id="13" w:name="_Toc353881022"/>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hint="eastAsia" w:ascii="宋体" w:hAnsi="宋体" w:eastAsia="宋体" w:cs="宋体"/>
        </w:rPr>
      </w:pPr>
      <w:r>
        <w:rPr>
          <w:rFonts w:hint="eastAsia" w:ascii="宋体" w:hAnsi="宋体" w:eastAsia="宋体" w:cs="宋体"/>
        </w:rPr>
        <w:t>附件1</w:t>
      </w:r>
      <w:bookmarkStart w:id="14" w:name="_Toc92678174"/>
      <w:bookmarkStart w:id="15" w:name="_Toc212369556"/>
      <w:bookmarkStart w:id="16" w:name="_Toc15535"/>
      <w:bookmarkStart w:id="17" w:name="_Toc353881023"/>
      <w:bookmarkStart w:id="18" w:name="_Toc639014"/>
      <w:r>
        <w:rPr>
          <w:rFonts w:hint="eastAsia" w:ascii="宋体" w:hAnsi="宋体" w:eastAsia="宋体" w:cs="宋体"/>
        </w:rPr>
        <w:t>1投标文件封面及封口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hint="eastAsia"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9" w:name="_Toc465187638"/>
    </w:p>
    <w:p>
      <w:pPr>
        <w:pStyle w:val="16"/>
        <w:ind w:firstLine="480" w:firstLineChars="200"/>
        <w:outlineLvl w:val="2"/>
        <w:rPr>
          <w:rFonts w:hint="eastAsia" w:hAnsi="宋体" w:cs="宋体"/>
          <w:b/>
          <w:bCs/>
          <w:color w:val="000000"/>
          <w:sz w:val="24"/>
          <w:szCs w:val="24"/>
        </w:rPr>
      </w:pPr>
      <w:r>
        <w:rPr>
          <w:rFonts w:hint="eastAsia" w:hAnsi="宋体" w:cs="宋体"/>
          <w:b/>
          <w:bCs/>
          <w:color w:val="000000"/>
          <w:sz w:val="24"/>
          <w:szCs w:val="24"/>
        </w:rPr>
        <w:t>附件12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hint="eastAsia" w:ascii="宋体" w:hAnsi="宋体" w:cs="宋体"/>
          <w:color w:val="000000"/>
        </w:rPr>
      </w:pPr>
    </w:p>
    <w:p>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6"/>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cs="宋体"/>
        </w:rPr>
      </w:pP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19"/>
    <w:p>
      <w:pPr>
        <w:outlineLvl w:val="2"/>
        <w:rPr>
          <w:rFonts w:hint="eastAsia" w:ascii="宋体" w:hAnsi="宋体" w:cs="宋体"/>
          <w:b/>
          <w:bCs/>
          <w:color w:val="000000"/>
          <w:sz w:val="24"/>
          <w:szCs w:val="24"/>
        </w:rPr>
      </w:pPr>
      <w:bookmarkStart w:id="20" w:name="_Toc425801541"/>
      <w:r>
        <w:rPr>
          <w:rFonts w:hint="eastAsia" w:ascii="宋体" w:hAnsi="宋体" w:cs="宋体"/>
          <w:b/>
          <w:bCs/>
          <w:color w:val="000000"/>
          <w:sz w:val="24"/>
          <w:szCs w:val="24"/>
        </w:rPr>
        <w:t>附件14 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rPr>
            </w:pPr>
            <w:r>
              <w:rPr>
                <w:rFonts w:hint="eastAsia" w:ascii="宋体" w:hAnsi="宋体" w:cs="宋体"/>
                <w:sz w:val="20"/>
                <w:szCs w:val="20"/>
              </w:rPr>
              <w:t>依据投标人的运营状况、经营业绩、以往合同履约情况（如有）、采购合同、财务状况、生产能力和服务体系评分，满分</w:t>
            </w:r>
            <w:r>
              <w:rPr>
                <w:rFonts w:ascii="宋体" w:hAnsi="宋体" w:cs="宋体"/>
                <w:sz w:val="20"/>
                <w:szCs w:val="20"/>
              </w:rPr>
              <w:t>2</w:t>
            </w:r>
            <w:r>
              <w:rPr>
                <w:rFonts w:hint="eastAsia" w:ascii="宋体" w:hAnsi="宋体" w:cs="宋体"/>
                <w:sz w:val="20"/>
                <w:szCs w:val="20"/>
              </w:rPr>
              <w:t>0分，每缺少一项扣除2分。</w:t>
            </w:r>
          </w:p>
          <w:p>
            <w:pPr>
              <w:spacing w:line="360" w:lineRule="auto"/>
              <w:rPr>
                <w:rFonts w:hint="eastAsia" w:ascii="宋体" w:hAnsi="宋体" w:cs="宋体"/>
                <w:sz w:val="20"/>
                <w:szCs w:val="20"/>
              </w:rPr>
            </w:pPr>
            <w:r>
              <w:rPr>
                <w:rFonts w:hint="eastAsia" w:ascii="宋体" w:hAnsi="宋体" w:cs="宋体"/>
                <w:sz w:val="20"/>
                <w:szCs w:val="20"/>
              </w:rPr>
              <w:t>加分项：</w:t>
            </w:r>
          </w:p>
          <w:p>
            <w:pPr>
              <w:spacing w:line="360" w:lineRule="auto"/>
              <w:rPr>
                <w:rFonts w:hint="eastAsia" w:ascii="宋体" w:hAnsi="宋体" w:cs="宋体"/>
                <w:sz w:val="20"/>
                <w:szCs w:val="20"/>
              </w:rPr>
            </w:pPr>
            <w:r>
              <w:rPr>
                <w:rFonts w:hint="eastAsia" w:ascii="宋体" w:hAnsi="宋体" w:cs="宋体"/>
                <w:sz w:val="20"/>
                <w:szCs w:val="20"/>
              </w:rPr>
              <w:t>1、拟投标企业若为一家及以上国家级汽车检测机构及发动机重要研发企业（名单见下表）的现行的合格供货商，并提供相关证明材料（包括但不限于合同、发票等），每与一家检测机构合作加2分，满分10分。</w:t>
            </w:r>
          </w:p>
          <w:p>
            <w:pPr>
              <w:spacing w:line="360" w:lineRule="auto"/>
              <w:rPr>
                <w:rFonts w:hint="eastAsia" w:ascii="宋体" w:hAnsi="宋体" w:cs="宋体"/>
                <w:sz w:val="20"/>
                <w:szCs w:val="20"/>
              </w:rPr>
            </w:pPr>
            <w:r>
              <w:rPr>
                <w:rFonts w:hint="eastAsia" w:ascii="宋体" w:hAnsi="宋体" w:cs="宋体"/>
                <w:sz w:val="20"/>
                <w:szCs w:val="20"/>
              </w:rPr>
              <w:t>2、对投标条件中要求的证书（空气中丙烷、空气中甲烷、氮中一氧化碳、氮中二氧化碳、氮中一氧化氮、氮中氨），对采购货物中气体浓度范围及相对扩展不确定度的要求，标准物质证书能够完全覆盖，每有一项标准物质证书加</w:t>
            </w:r>
            <w:r>
              <w:rPr>
                <w:rFonts w:ascii="宋体" w:hAnsi="宋体" w:cs="宋体"/>
                <w:sz w:val="20"/>
                <w:szCs w:val="20"/>
              </w:rPr>
              <w:t>2</w:t>
            </w:r>
            <w:r>
              <w:rPr>
                <w:rFonts w:hint="eastAsia" w:ascii="宋体" w:hAnsi="宋体" w:cs="宋体"/>
                <w:sz w:val="20"/>
                <w:szCs w:val="20"/>
              </w:rPr>
              <w:t>分，满分</w:t>
            </w:r>
            <w:r>
              <w:rPr>
                <w:rFonts w:ascii="宋体" w:hAnsi="宋体" w:cs="宋体"/>
                <w:sz w:val="20"/>
                <w:szCs w:val="20"/>
              </w:rPr>
              <w:t>10</w:t>
            </w:r>
            <w:r>
              <w:rPr>
                <w:rFonts w:hint="eastAsia" w:ascii="宋体" w:hAnsi="宋体" w:cs="宋体"/>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之间进行赋分，7天以内送达者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分，7天至15天送达者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分，15天至20天送达者0-1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投标人代表对方案、技术优势的讲解，以及就该项目难点回答评标专家现场提问，打分0-</w:t>
            </w:r>
            <w:r>
              <w:rPr>
                <w:rFonts w:ascii="宋体" w:hAnsi="宋体" w:cs="宋体"/>
                <w:bCs/>
                <w:sz w:val="20"/>
                <w:szCs w:val="20"/>
              </w:rPr>
              <w:t>2</w:t>
            </w:r>
            <w:r>
              <w:rPr>
                <w:rFonts w:hint="eastAsia" w:ascii="宋体" w:hAnsi="宋体" w:cs="宋体"/>
                <w:bCs/>
                <w:sz w:val="20"/>
                <w:szCs w:val="20"/>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rPr>
          <w:rFonts w:hint="eastAsia" w:ascii="宋体" w:hAnsi="宋体" w:cs="宋体"/>
        </w:rPr>
      </w:pPr>
    </w:p>
    <w:p>
      <w:pPr>
        <w:pStyle w:val="59"/>
        <w:rPr>
          <w:rFonts w:hint="eastAsia" w:ascii="宋体" w:hAnsi="宋体" w:eastAsia="宋体" w:cs="宋体"/>
        </w:rPr>
      </w:pPr>
      <w:r>
        <w:rPr>
          <w:rFonts w:hint="eastAsia" w:ascii="宋体" w:hAnsi="宋体" w:eastAsia="宋体" w:cs="宋体"/>
        </w:rPr>
        <w:t>第二章 技术协议书</w:t>
      </w:r>
    </w:p>
    <w:bookmarkEnd w:id="20"/>
    <w:p>
      <w:pPr>
        <w:pStyle w:val="81"/>
        <w:rPr>
          <w:rFonts w:hint="eastAsia" w:eastAsia="宋体" w:cs="宋体"/>
        </w:rPr>
      </w:pPr>
      <w:r>
        <w:rPr>
          <w:rFonts w:hint="eastAsia" w:eastAsia="宋体" w:cs="宋体"/>
        </w:rPr>
        <w:t>一、项目说明</w:t>
      </w:r>
    </w:p>
    <w:p>
      <w:pPr>
        <w:spacing w:line="360" w:lineRule="auto"/>
        <w:ind w:right="2" w:firstLine="480" w:firstLineChars="200"/>
        <w:rPr>
          <w:rFonts w:hint="eastAsia"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产品试验检测中心排放试验用瓶装标准气采购项目</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 xml:space="preserve"> </w:t>
      </w:r>
      <w:r>
        <w:rPr>
          <w:rFonts w:ascii="宋体" w:hAnsi="宋体" w:cs="宋体"/>
          <w:color w:val="000000"/>
          <w:sz w:val="24"/>
          <w:szCs w:val="24"/>
        </w:rPr>
        <w:t xml:space="preserve">         </w:t>
      </w:r>
      <w:r>
        <w:rPr>
          <w:rFonts w:hint="eastAsia" w:ascii="宋体" w:hAnsi="宋体" w:cs="宋体"/>
          <w:color w:val="000000"/>
          <w:sz w:val="24"/>
          <w:szCs w:val="24"/>
        </w:rPr>
        <w:t>济南圣井街道世纪大道7777号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 xml:space="preserve"> </w:t>
      </w:r>
      <w:r>
        <w:rPr>
          <w:rFonts w:ascii="宋体" w:hAnsi="宋体" w:cs="宋体"/>
          <w:color w:val="000000"/>
          <w:sz w:val="24"/>
          <w:szCs w:val="24"/>
        </w:rPr>
        <w:t xml:space="preserve">         </w:t>
      </w:r>
      <w:r>
        <w:rPr>
          <w:rFonts w:hint="eastAsia" w:ascii="宋体" w:hAnsi="宋体" w:cs="宋体"/>
          <w:color w:val="000000"/>
          <w:sz w:val="24"/>
          <w:szCs w:val="24"/>
        </w:rPr>
        <w:t>杭州萧山经济技术开发区高新六路128号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次排放试验用瓶装标准气采购项目主要采购满足发动机及整车产品认证试验需求的瓶装标准物质气体。采购种类30余种，根据招标方使用需求，按每次订单约定时间、地点、数量按时供给符合招标方和相关法律法规要求的试验室用瓶装标准气体，费用据实结算。</w:t>
      </w:r>
    </w:p>
    <w:tbl>
      <w:tblPr>
        <w:tblStyle w:val="33"/>
        <w:tblpPr w:leftFromText="180" w:rightFromText="180" w:vertAnchor="text" w:horzAnchor="page" w:tblpX="1551" w:tblpY="560"/>
        <w:tblOverlap w:val="never"/>
        <w:tblW w:w="8856" w:type="dxa"/>
        <w:tblInd w:w="0" w:type="dxa"/>
        <w:tblLayout w:type="fixed"/>
        <w:tblCellMar>
          <w:top w:w="0" w:type="dxa"/>
          <w:left w:w="108" w:type="dxa"/>
          <w:bottom w:w="0" w:type="dxa"/>
          <w:right w:w="108" w:type="dxa"/>
        </w:tblCellMar>
      </w:tblPr>
      <w:tblGrid>
        <w:gridCol w:w="770"/>
        <w:gridCol w:w="1540"/>
        <w:gridCol w:w="1155"/>
        <w:gridCol w:w="1540"/>
        <w:gridCol w:w="2118"/>
        <w:gridCol w:w="963"/>
        <w:gridCol w:w="770"/>
      </w:tblGrid>
      <w:tr>
        <w:tblPrEx>
          <w:tblCellMar>
            <w:top w:w="0" w:type="dxa"/>
            <w:left w:w="108" w:type="dxa"/>
            <w:bottom w:w="0" w:type="dxa"/>
            <w:right w:w="108" w:type="dxa"/>
          </w:tblCellMar>
        </w:tblPrEx>
        <w:trPr>
          <w:trHeight w:val="667"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序号</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产品名称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相对扩展不确定度</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压力要求</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浓度范围</w:t>
            </w:r>
          </w:p>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（以订单为准）</w:t>
            </w:r>
          </w:p>
        </w:tc>
        <w:tc>
          <w:tcPr>
            <w:tcW w:w="963"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平衡气</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规格</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6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2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H</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15.0±0.5Mpa@15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40%±1%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He</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76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50~1000ppm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50~50000ppm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He</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12.5±0.5Mpa@15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r>
              <w:rPr>
                <w:color w:val="000000"/>
                <w:sz w:val="18"/>
                <w:szCs w:val="18"/>
              </w:rPr>
              <w:t>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101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20.5%~21%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Ar</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13.5±0.5Mpa@15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38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18"/>
                <w:szCs w:val="18"/>
              </w:rPr>
              <w:t>丙烷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0.4KG/</w:t>
            </w:r>
            <w:r>
              <w:rPr>
                <w:rFonts w:hint="eastAsia"/>
                <w:color w:val="000000"/>
                <w:sz w:val="20"/>
              </w:rPr>
              <w:t>瓶</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1L</w:t>
            </w:r>
          </w:p>
        </w:tc>
      </w:tr>
      <w:tr>
        <w:tblPrEx>
          <w:tblCellMar>
            <w:top w:w="0" w:type="dxa"/>
            <w:left w:w="108" w:type="dxa"/>
            <w:bottom w:w="0" w:type="dxa"/>
            <w:right w:w="108" w:type="dxa"/>
          </w:tblCellMar>
        </w:tblPrEx>
        <w:trPr>
          <w:trHeight w:val="42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丙烷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3KG/</w:t>
            </w:r>
            <w:r>
              <w:rPr>
                <w:rFonts w:hint="eastAsia"/>
                <w:color w:val="000000"/>
                <w:sz w:val="20"/>
              </w:rPr>
              <w:t>瓶</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101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34</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35</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7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36</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专车加急专送运输费（至济南）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r>
      <w:tr>
        <w:tblPrEx>
          <w:tblCellMar>
            <w:top w:w="0" w:type="dxa"/>
            <w:left w:w="108" w:type="dxa"/>
            <w:bottom w:w="0" w:type="dxa"/>
            <w:right w:w="108" w:type="dxa"/>
          </w:tblCellMar>
        </w:tblPrEx>
        <w:trPr>
          <w:trHeight w:val="7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37</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专车加急专送运输费（至杭州）</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r>
    </w:tbl>
    <w:p>
      <w:pPr>
        <w:spacing w:line="360" w:lineRule="auto"/>
        <w:ind w:firstLine="480" w:firstLineChars="200"/>
        <w:rPr>
          <w:rFonts w:hint="eastAsia" w:ascii="宋体" w:hAnsi="宋体" w:cs="宋体"/>
          <w:sz w:val="24"/>
          <w:szCs w:val="24"/>
        </w:rPr>
      </w:pPr>
      <w:r>
        <w:rPr>
          <w:rFonts w:hint="eastAsia" w:ascii="宋体" w:hAnsi="宋体" w:cs="宋体"/>
          <w:b/>
          <w:color w:val="000000"/>
          <w:sz w:val="24"/>
          <w:szCs w:val="24"/>
        </w:rPr>
        <w:t>采购清单：</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备注1：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备注2：专车加急专送运输费指试验室在紧急情况下采用专车加急运输的方式供货，单批次总费用为气瓶费用加上专车加急专送运输费，不包含正常供货时的产品运费。</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备注</w:t>
      </w:r>
      <w:r>
        <w:rPr>
          <w:rFonts w:ascii="宋体" w:hAnsi="宋体" w:cs="宋体"/>
          <w:color w:val="000000"/>
          <w:sz w:val="24"/>
          <w:szCs w:val="24"/>
        </w:rPr>
        <w:t>3</w:t>
      </w:r>
      <w:r>
        <w:rPr>
          <w:rFonts w:hint="eastAsia" w:ascii="宋体" w:hAnsi="宋体" w:cs="宋体"/>
          <w:color w:val="000000"/>
          <w:sz w:val="24"/>
          <w:szCs w:val="24"/>
        </w:rPr>
        <w:t>：此次项目存在三个货物接收地，意向投标单位，投标前需要来现场进行实地勘察，了解试验室实际情况，以进一步明确供货周期，完善方案。</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采购货物特别说明：招标方所列货物的名称和规格型号，如为某一供应商所特有，则该名称和规格型号可作参考；但要求投标方所提供的货物必须满足本技术标书实质性要求。</w:t>
      </w:r>
    </w:p>
    <w:p>
      <w:pPr>
        <w:pStyle w:val="81"/>
        <w:rPr>
          <w:rFonts w:hint="eastAsia" w:eastAsia="宋体" w:cs="宋体"/>
        </w:rPr>
      </w:pPr>
      <w:r>
        <w:rPr>
          <w:rFonts w:hint="eastAsia" w:eastAsia="宋体" w:cs="宋体"/>
        </w:rPr>
        <w:t>二、服务要求</w:t>
      </w:r>
    </w:p>
    <w:p>
      <w:pPr>
        <w:spacing w:line="360" w:lineRule="auto"/>
        <w:ind w:firstLine="480" w:firstLineChars="200"/>
        <w:jc w:val="left"/>
        <w:rPr>
          <w:rFonts w:hint="eastAsia" w:ascii="宋体" w:hAnsi="宋体" w:cs="宋体"/>
          <w:sz w:val="24"/>
          <w:szCs w:val="24"/>
          <w:lang w:bidi="ar"/>
        </w:rPr>
      </w:pPr>
      <w:r>
        <w:rPr>
          <w:rFonts w:hint="eastAsia" w:ascii="宋体" w:hAnsi="宋体" w:cs="宋体"/>
          <w:sz w:val="24"/>
          <w:szCs w:val="24"/>
        </w:rPr>
        <w:t>本项目计划签订开口协议，根据招标方使用需求，按货物订单供应，由投标方免费送货到指定园区并提供技术支持</w:t>
      </w:r>
      <w:bookmarkStart w:id="21" w:name="_Toc490750820"/>
      <w:bookmarkStart w:id="22" w:name="_Toc31558"/>
      <w:bookmarkStart w:id="23" w:name="_Toc385411768"/>
      <w:bookmarkStart w:id="24" w:name="_Toc26699"/>
      <w:bookmarkStart w:id="25" w:name="_Toc24049"/>
      <w:bookmarkStart w:id="26" w:name="_Toc10152"/>
      <w:r>
        <w:rPr>
          <w:rFonts w:hint="eastAsia" w:ascii="宋体" w:hAnsi="宋体" w:cs="宋体"/>
          <w:sz w:val="24"/>
          <w:szCs w:val="24"/>
          <w:lang w:bidi="ar"/>
        </w:rPr>
        <w:t>。</w:t>
      </w:r>
    </w:p>
    <w:bookmarkEnd w:id="21"/>
    <w:bookmarkEnd w:id="22"/>
    <w:bookmarkEnd w:id="23"/>
    <w:bookmarkEnd w:id="24"/>
    <w:bookmarkEnd w:id="25"/>
    <w:bookmarkEnd w:id="26"/>
    <w:p>
      <w:pPr>
        <w:pStyle w:val="81"/>
        <w:rPr>
          <w:rFonts w:hint="eastAsia" w:eastAsia="宋体" w:cs="宋体"/>
        </w:rPr>
      </w:pPr>
      <w:r>
        <w:rPr>
          <w:rFonts w:hint="eastAsia" w:eastAsia="宋体" w:cs="宋体"/>
        </w:rPr>
        <w:t>三、技术要求</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（一）特别提示</w:t>
      </w:r>
    </w:p>
    <w:p>
      <w:pPr>
        <w:spacing w:line="360" w:lineRule="auto"/>
        <w:ind w:firstLine="480" w:firstLineChars="200"/>
        <w:rPr>
          <w:rFonts w:hint="eastAsia" w:ascii="宋体" w:hAnsi="宋体" w:cs="宋体"/>
          <w:color w:val="000000"/>
          <w:sz w:val="24"/>
          <w:szCs w:val="24"/>
        </w:rPr>
      </w:pPr>
      <w:bookmarkStart w:id="27" w:name="_Hlk140578810"/>
      <w:r>
        <w:rPr>
          <w:rFonts w:hint="eastAsia" w:ascii="宋体" w:hAnsi="宋体" w:cs="宋体"/>
          <w:color w:val="000000"/>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4</w:t>
      </w:r>
      <w:r>
        <w:rPr>
          <w:rFonts w:hint="eastAsia" w:ascii="宋体" w:hAnsi="宋体" w:cs="宋体"/>
          <w:color w:val="000000"/>
          <w:sz w:val="24"/>
          <w:szCs w:val="24"/>
        </w:rPr>
        <w:t>、无论是否有技术偏离，投标方均应在投标文件“技术偏离”中明确作出有无说明。若有异议，不管是多么微小，投标方必须予以明确和详细的说明或澄清。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5</w:t>
      </w:r>
      <w:r>
        <w:rPr>
          <w:rFonts w:hint="eastAsia" w:ascii="宋体" w:hAnsi="宋体" w:cs="宋体"/>
          <w:color w:val="000000"/>
          <w:sz w:val="24"/>
          <w:szCs w:val="24"/>
        </w:rPr>
        <w:t>、为避免投标方优势在招标评审时漏项，质保期超出本技术标书要求的，应当在投标文件“技术偏离”中特别注明。</w:t>
      </w:r>
      <w:bookmarkEnd w:id="27"/>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（二）基本要求</w:t>
      </w:r>
    </w:p>
    <w:p>
      <w:pPr>
        <w:spacing w:line="360" w:lineRule="auto"/>
        <w:ind w:firstLine="480" w:firstLineChars="200"/>
        <w:rPr>
          <w:rFonts w:hint="eastAsia" w:ascii="宋体" w:hAnsi="宋体" w:cs="宋体"/>
          <w:color w:val="000000"/>
          <w:sz w:val="24"/>
          <w:szCs w:val="24"/>
        </w:rPr>
      </w:pPr>
      <w:bookmarkStart w:id="28" w:name="_Hlk134194011"/>
      <w:r>
        <w:rPr>
          <w:rFonts w:hint="eastAsia" w:ascii="宋体" w:hAnsi="宋体" w:cs="宋体"/>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3、投标方应保证所供货物的先进性、可靠性、经济性和实用性，并为全新货物（或设备）。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4、投标方应满足招标方提出的各项技术要求，必要时应当免费提供技术承诺或担保。</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6、投标方应保证所供货物的完整性和成套性，能保证货物的正常运行、使用。</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（三）技术要求</w:t>
      </w:r>
    </w:p>
    <w:p>
      <w:pPr>
        <w:spacing w:line="480" w:lineRule="exact"/>
        <w:ind w:firstLine="480" w:firstLineChars="200"/>
        <w:jc w:val="left"/>
        <w:rPr>
          <w:color w:val="000000"/>
          <w:kern w:val="0"/>
          <w:sz w:val="24"/>
          <w:szCs w:val="24"/>
        </w:rPr>
      </w:pPr>
      <w:r>
        <w:rPr>
          <w:rFonts w:hint="eastAsia"/>
          <w:color w:val="000000"/>
          <w:kern w:val="0"/>
          <w:sz w:val="24"/>
          <w:szCs w:val="24"/>
        </w:rPr>
        <w:t>1、气瓶技术性能参数要求</w:t>
      </w:r>
    </w:p>
    <w:p/>
    <w:tbl>
      <w:tblPr>
        <w:tblStyle w:val="33"/>
        <w:tblW w:w="90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6946"/>
        <w:gridCol w:w="1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cs="宋体"/>
                <w:sz w:val="24"/>
                <w:szCs w:val="24"/>
              </w:rPr>
              <w:t>序号</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cs="宋体"/>
                <w:sz w:val="24"/>
                <w:szCs w:val="24"/>
              </w:rPr>
              <w:t>主要技术参数</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1</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气体纯度应满足技术协议书中纯度要求</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2</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s="宋体"/>
                <w:b w:val="0"/>
                <w:sz w:val="24"/>
                <w:szCs w:val="24"/>
              </w:rPr>
              <w:t>具有相关标准气体（至少有空气中丙烷、空气中甲烷、氮中一氧化碳、氮中二氧化碳、氮中一氧化氮、氮中氨标准气体）的中华人民共和国制造计量器具许可证</w:t>
            </w:r>
            <w:bookmarkStart w:id="29" w:name="_Hlk71193715"/>
            <w:r>
              <w:rPr>
                <w:rFonts w:hint="eastAsia" w:ascii="宋体" w:hAnsi="宋体" w:eastAsia="宋体" w:cs="宋体"/>
                <w:b w:val="0"/>
                <w:sz w:val="24"/>
                <w:szCs w:val="24"/>
              </w:rPr>
              <w:t>或标准物质证书</w:t>
            </w:r>
            <w:bookmarkEnd w:id="29"/>
            <w:r>
              <w:rPr>
                <w:rFonts w:hint="eastAsia" w:ascii="宋体" w:hAnsi="宋体" w:eastAsia="宋体" w:cs="宋体"/>
                <w:b w:val="0"/>
                <w:sz w:val="24"/>
                <w:szCs w:val="24"/>
              </w:rPr>
              <w:t>。</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3</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s="宋体"/>
                <w:b w:val="0"/>
                <w:sz w:val="24"/>
                <w:szCs w:val="24"/>
              </w:rPr>
              <w:t>具有相关标准气体（至少有空气中丙烷、空气中甲烷、氮中一氧化碳、氮中二氧化碳、氮中一氧化氮、氮中氨标准气体）国家二级标准物质的定级资质或标准物质证书。</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4</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sz w:val="24"/>
                <w:szCs w:val="24"/>
              </w:rPr>
            </w:pPr>
            <w:r>
              <w:rPr>
                <w:rFonts w:hint="eastAsia" w:ascii="宋体" w:hAnsi="宋体" w:eastAsia="宋体" w:cs="宋体"/>
                <w:b w:val="0"/>
                <w:sz w:val="24"/>
                <w:szCs w:val="24"/>
              </w:rPr>
              <w:t>根据试验室安全管理要求，所有气瓶需配置</w:t>
            </w:r>
            <w:r>
              <w:rPr>
                <w:rFonts w:hint="eastAsia" w:ascii="宋体" w:hAnsi="宋体" w:eastAsia="宋体" w:cs="宋体"/>
                <w:b w:val="0"/>
                <w:sz w:val="24"/>
                <w:szCs w:val="24"/>
                <w:highlight w:val="yellow"/>
              </w:rPr>
              <w:t>两个</w:t>
            </w:r>
            <w:r>
              <w:rPr>
                <w:rFonts w:hint="eastAsia" w:ascii="宋体" w:hAnsi="宋体" w:eastAsia="宋体" w:cs="宋体"/>
                <w:b w:val="0"/>
                <w:sz w:val="24"/>
                <w:szCs w:val="24"/>
              </w:rPr>
              <w:t>防倾倒橡胶圈；气瓶应提供定期安全检定的证明文件；气瓶接口需配置防倾倒安全帽或等价装置；瓶身直径不得超过27厘米，配置防倾倒橡胶圈后直径不得超过29厘米。</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5</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s="宋体"/>
                <w:b w:val="0"/>
                <w:sz w:val="24"/>
                <w:szCs w:val="24"/>
              </w:rPr>
              <w:t>供货周期满足招标方要求，并能提供专车专送服务。</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bookmarkEnd w:id="28"/>
    </w:tbl>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（四）、执行标准</w:t>
      </w:r>
    </w:p>
    <w:p>
      <w:pPr>
        <w:spacing w:line="480" w:lineRule="exact"/>
        <w:ind w:firstLine="480" w:firstLineChars="200"/>
        <w:jc w:val="left"/>
        <w:rPr>
          <w:color w:val="000000"/>
          <w:kern w:val="0"/>
          <w:sz w:val="24"/>
          <w:szCs w:val="24"/>
        </w:rPr>
      </w:pPr>
      <w:r>
        <w:rPr>
          <w:rFonts w:hint="eastAsia"/>
          <w:color w:val="000000"/>
          <w:kern w:val="0"/>
          <w:sz w:val="24"/>
          <w:szCs w:val="24"/>
        </w:rPr>
        <w:t>1、招标方此处所列标准仅为涉及的主要标准，而且不保证其为最新版执行标准；投标方应当在投标文件中认真予以填写、补充和修改完善。</w:t>
      </w:r>
    </w:p>
    <w:p>
      <w:pPr>
        <w:spacing w:line="480" w:lineRule="exact"/>
        <w:ind w:firstLine="480" w:firstLineChars="200"/>
        <w:jc w:val="left"/>
        <w:rPr>
          <w:color w:val="000000"/>
          <w:kern w:val="0"/>
          <w:sz w:val="24"/>
          <w:szCs w:val="24"/>
        </w:rPr>
      </w:pPr>
      <w:r>
        <w:rPr>
          <w:rFonts w:hint="eastAsia"/>
          <w:color w:val="000000"/>
          <w:kern w:val="0"/>
          <w:sz w:val="24"/>
          <w:szCs w:val="24"/>
        </w:rPr>
        <w:t>2、投标方需要执行的标准，应当采用所供货物通过买方组织的最终验收之日已经开始执行的最新标准。</w:t>
      </w:r>
    </w:p>
    <w:p>
      <w:pPr>
        <w:spacing w:line="480" w:lineRule="exact"/>
        <w:ind w:firstLine="480" w:firstLineChars="200"/>
        <w:jc w:val="left"/>
        <w:rPr>
          <w:color w:val="000000"/>
          <w:kern w:val="0"/>
          <w:sz w:val="24"/>
          <w:szCs w:val="24"/>
        </w:rPr>
      </w:pPr>
      <w:r>
        <w:rPr>
          <w:rFonts w:hint="eastAsia"/>
          <w:color w:val="000000"/>
          <w:kern w:val="0"/>
          <w:sz w:val="24"/>
          <w:szCs w:val="24"/>
        </w:rPr>
        <w:t>3、采购货物的产品质量、技术标准如在招投标文件中无相应说明，则按中华人民共和国有关部门颁发的最新的国标或专业（部）标准执行及相应的国际标准。</w:t>
      </w:r>
    </w:p>
    <w:p>
      <w:pPr>
        <w:spacing w:line="480" w:lineRule="exact"/>
        <w:ind w:firstLine="480" w:firstLineChars="200"/>
        <w:jc w:val="left"/>
        <w:rPr>
          <w:color w:val="000000"/>
          <w:kern w:val="0"/>
          <w:sz w:val="24"/>
          <w:szCs w:val="24"/>
        </w:rPr>
      </w:pPr>
      <w:r>
        <w:rPr>
          <w:rFonts w:hint="eastAsia"/>
          <w:color w:val="000000"/>
          <w:kern w:val="0"/>
          <w:sz w:val="24"/>
          <w:szCs w:val="24"/>
        </w:rPr>
        <w:t>4、采购货物没有国家或专业（部）标准的，按企业标准执行时，卖方应在合同签署之前，将所涉及的企业标准提供给买方确认。</w:t>
      </w:r>
    </w:p>
    <w:p>
      <w:pPr>
        <w:spacing w:line="480" w:lineRule="exact"/>
        <w:ind w:firstLine="480" w:firstLineChars="200"/>
        <w:jc w:val="left"/>
        <w:rPr>
          <w:color w:val="000000"/>
          <w:kern w:val="0"/>
          <w:sz w:val="24"/>
          <w:szCs w:val="24"/>
        </w:rPr>
      </w:pPr>
      <w:r>
        <w:rPr>
          <w:rFonts w:hint="eastAsia"/>
          <w:color w:val="000000"/>
          <w:kern w:val="0"/>
          <w:sz w:val="24"/>
          <w:szCs w:val="24"/>
        </w:rPr>
        <w:t>5、采购货物如果采用国际标准，其执行标准由投标方提供、招标方确认。</w:t>
      </w:r>
    </w:p>
    <w:p>
      <w:pPr>
        <w:spacing w:line="480" w:lineRule="exact"/>
        <w:ind w:firstLine="480" w:firstLineChars="200"/>
        <w:jc w:val="left"/>
        <w:rPr>
          <w:color w:val="000000"/>
          <w:kern w:val="0"/>
          <w:sz w:val="24"/>
          <w:szCs w:val="24"/>
        </w:rPr>
      </w:pPr>
      <w:r>
        <w:rPr>
          <w:rFonts w:hint="eastAsia"/>
          <w:color w:val="000000"/>
          <w:kern w:val="0"/>
          <w:sz w:val="24"/>
          <w:szCs w:val="24"/>
        </w:rPr>
        <w:t>6、采购货物所涉及的标准不统一时，原则上按照最严格标准执行。</w:t>
      </w:r>
    </w:p>
    <w:p>
      <w:pPr>
        <w:spacing w:line="480" w:lineRule="exact"/>
        <w:ind w:firstLine="480" w:firstLineChars="200"/>
        <w:jc w:val="left"/>
        <w:rPr>
          <w:color w:val="000000"/>
          <w:kern w:val="0"/>
          <w:sz w:val="24"/>
          <w:szCs w:val="24"/>
        </w:rPr>
      </w:pPr>
      <w:r>
        <w:rPr>
          <w:rFonts w:hint="eastAsia"/>
          <w:color w:val="000000"/>
          <w:kern w:val="0"/>
          <w:sz w:val="24"/>
          <w:szCs w:val="24"/>
        </w:rPr>
        <w:t>7、涉及的主要标准表</w:t>
      </w:r>
    </w:p>
    <w:tbl>
      <w:tblPr>
        <w:tblStyle w:val="33"/>
        <w:tblW w:w="90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4961"/>
        <w:gridCol w:w="1985"/>
        <w:gridCol w:w="1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cs="宋体"/>
                <w:sz w:val="24"/>
                <w:szCs w:val="24"/>
              </w:rPr>
              <w:t>序号</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b w:val="0"/>
                <w:color w:val="000000"/>
              </w:rPr>
              <w:t>标准名称</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b w:val="0"/>
                <w:color w:val="000000"/>
              </w:rPr>
              <w:t>标准编号</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b w:val="0"/>
                <w:color w:val="00000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1</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olor w:val="000000"/>
              </w:rPr>
              <w:t>卖方提供企业标准</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Cs/>
                <w:color w:val="000000"/>
                <w:szCs w:val="21"/>
              </w:rPr>
              <w:t>买方确认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2</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olor w:val="000000"/>
              </w:rPr>
              <w:t>卖方提供与设备安全和环保相关的中国、国际通用和制造国的标准</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Cs/>
                <w:color w:val="000000"/>
                <w:szCs w:val="21"/>
              </w:rPr>
              <w:t>买方确认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3</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olor w:val="000000"/>
              </w:rPr>
              <w:t>中国产品强制认证标准</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rPr>
              <w:t>3C</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Cs/>
                <w:color w:val="000000"/>
                <w:szCs w:val="21"/>
              </w:rPr>
              <w:t>买方确认</w:t>
            </w:r>
          </w:p>
        </w:tc>
      </w:tr>
    </w:tbl>
    <w:p>
      <w:pPr>
        <w:pStyle w:val="11"/>
        <w:rPr>
          <w:rFonts w:hint="eastAsia" w:ascii="宋体" w:hAnsi="宋体" w:eastAsia="宋体" w:cs="宋体"/>
          <w:b/>
          <w:bCs/>
          <w:sz w:val="28"/>
          <w:szCs w:val="28"/>
          <w:lang w:val="en-US"/>
        </w:rPr>
      </w:pPr>
      <w:r>
        <w:rPr>
          <w:rFonts w:hint="eastAsia" w:ascii="宋体" w:hAnsi="宋体" w:eastAsia="宋体" w:cs="宋体"/>
          <w:b/>
          <w:bCs/>
          <w:sz w:val="28"/>
          <w:szCs w:val="28"/>
          <w:lang w:val="en-US"/>
        </w:rPr>
        <w:t>四、其他</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4.1 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4.2 投标方员工在招标方厂区工作期间，需奉公守法，如有违反招标方管理规定或触犯国家法律法规的，投标方应当予以辞退。</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4.3 招标方有权对投标方的生产环境、劳动保护等相关管理情况进行监督，招标方发现投标方有违规行为，有权终止合同或给予经济处罚</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4.4 因投标方外包业务出现问题，造成招标方试验停机，视原因不同由投标方承担相应程度的违约责任。</w:t>
      </w:r>
    </w:p>
    <w:p>
      <w:pPr>
        <w:widowControl/>
        <w:jc w:val="left"/>
        <w:rPr>
          <w:rFonts w:hint="eastAsia" w:ascii="宋体" w:hAnsi="宋体" w:cs="宋体"/>
        </w:rPr>
      </w:pPr>
      <w:r>
        <w:rPr>
          <w:rFonts w:hint="eastAsia" w:ascii="宋体" w:hAnsi="宋体" w:cs="宋体"/>
        </w:rPr>
        <w:br w:type="page"/>
      </w:r>
    </w:p>
    <w:p>
      <w:pPr>
        <w:pStyle w:val="59"/>
        <w:rPr>
          <w:rFonts w:hint="eastAsia" w:ascii="宋体" w:hAnsi="宋体" w:eastAsia="宋体" w:cs="宋体"/>
        </w:rPr>
      </w:pPr>
      <w:bookmarkStart w:id="30" w:name="_Toc465187642"/>
      <w:r>
        <w:rPr>
          <w:rFonts w:hint="eastAsia" w:ascii="宋体" w:hAnsi="宋体" w:eastAsia="宋体" w:cs="宋体"/>
        </w:rPr>
        <w:t>第三章  供货范围及供货方式</w:t>
      </w:r>
      <w:bookmarkEnd w:id="30"/>
    </w:p>
    <w:p>
      <w:pPr>
        <w:pStyle w:val="81"/>
        <w:rPr>
          <w:rFonts w:hint="eastAsia" w:eastAsia="宋体" w:cs="宋体"/>
        </w:rPr>
      </w:pPr>
      <w:bookmarkStart w:id="31" w:name="_Toc465187643"/>
      <w:r>
        <w:rPr>
          <w:rFonts w:hint="eastAsia" w:eastAsia="宋体" w:cs="宋体"/>
        </w:rPr>
        <w:t>一、供货范围</w:t>
      </w:r>
      <w:bookmarkEnd w:id="31"/>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（一）一般界定</w:t>
      </w:r>
    </w:p>
    <w:p>
      <w:pPr>
        <w:spacing w:line="420" w:lineRule="exact"/>
        <w:ind w:firstLine="480" w:firstLineChars="200"/>
        <w:rPr>
          <w:color w:val="000000"/>
          <w:kern w:val="0"/>
          <w:sz w:val="24"/>
          <w:szCs w:val="24"/>
        </w:rPr>
      </w:pPr>
      <w:r>
        <w:rPr>
          <w:rFonts w:hint="eastAsia"/>
          <w:color w:val="000000"/>
          <w:kern w:val="0"/>
          <w:sz w:val="24"/>
          <w:szCs w:val="24"/>
        </w:rPr>
        <w:t>1、包括本技术标书所列明的主要货物以及货物正常运行所必需的全套接头设备、材料等。</w:t>
      </w:r>
    </w:p>
    <w:p>
      <w:pPr>
        <w:spacing w:line="420" w:lineRule="exact"/>
        <w:ind w:firstLine="480" w:firstLineChars="200"/>
        <w:rPr>
          <w:color w:val="000000"/>
          <w:kern w:val="0"/>
          <w:sz w:val="24"/>
          <w:szCs w:val="24"/>
        </w:rPr>
      </w:pPr>
      <w:r>
        <w:rPr>
          <w:rFonts w:hint="eastAsia"/>
          <w:color w:val="000000"/>
          <w:kern w:val="0"/>
          <w:sz w:val="24"/>
          <w:szCs w:val="24"/>
        </w:rPr>
        <w:t>2、包括为保证货物正常安装、使用所必需的整套配件、附件及材料等。</w:t>
      </w:r>
    </w:p>
    <w:p>
      <w:pPr>
        <w:spacing w:line="420" w:lineRule="exact"/>
        <w:ind w:firstLine="480" w:firstLineChars="200"/>
        <w:rPr>
          <w:color w:val="000000"/>
          <w:kern w:val="0"/>
          <w:sz w:val="24"/>
          <w:szCs w:val="24"/>
        </w:rPr>
      </w:pPr>
      <w:r>
        <w:rPr>
          <w:rFonts w:hint="eastAsia"/>
          <w:color w:val="000000"/>
          <w:kern w:val="0"/>
          <w:sz w:val="24"/>
          <w:szCs w:val="24"/>
        </w:rPr>
        <w:t>如果使用完成后，卖方有需要收回的配件、附件、材料等，应当在投标文件的技术偏离条款中，予以详细说明；否则视同包括在供货范围之内。</w:t>
      </w:r>
    </w:p>
    <w:p>
      <w:pPr>
        <w:spacing w:line="420" w:lineRule="exact"/>
        <w:ind w:firstLine="480" w:firstLineChars="200"/>
        <w:rPr>
          <w:color w:val="000000"/>
          <w:kern w:val="0"/>
          <w:sz w:val="24"/>
          <w:szCs w:val="24"/>
        </w:rPr>
      </w:pPr>
      <w:r>
        <w:rPr>
          <w:color w:val="000000"/>
          <w:kern w:val="0"/>
          <w:sz w:val="24"/>
          <w:szCs w:val="24"/>
        </w:rPr>
        <w:t>3</w:t>
      </w:r>
      <w:r>
        <w:rPr>
          <w:rFonts w:hint="eastAsia"/>
          <w:color w:val="000000"/>
          <w:kern w:val="0"/>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color w:val="000000"/>
          <w:kern w:val="0"/>
          <w:sz w:val="24"/>
          <w:szCs w:val="24"/>
        </w:rPr>
      </w:pPr>
      <w:r>
        <w:rPr>
          <w:rFonts w:hint="eastAsia"/>
          <w:color w:val="000000"/>
          <w:kern w:val="0"/>
          <w:sz w:val="24"/>
          <w:szCs w:val="24"/>
        </w:rPr>
        <w:t>包括为保证货物自身正常运行所必需的、满足使用地点环境条件的通风、冷却、降温等必需设施。</w:t>
      </w:r>
    </w:p>
    <w:p>
      <w:pPr>
        <w:spacing w:line="420" w:lineRule="exact"/>
        <w:ind w:firstLine="480" w:firstLineChars="200"/>
        <w:rPr>
          <w:color w:val="000000"/>
          <w:kern w:val="0"/>
          <w:sz w:val="24"/>
          <w:szCs w:val="24"/>
        </w:rPr>
      </w:pPr>
      <w:r>
        <w:rPr>
          <w:rFonts w:hint="eastAsia"/>
          <w:color w:val="000000"/>
          <w:kern w:val="0"/>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（二）供货范围边界界定</w:t>
      </w:r>
    </w:p>
    <w:p>
      <w:pPr>
        <w:spacing w:line="420" w:lineRule="exact"/>
        <w:ind w:firstLine="480" w:firstLineChars="200"/>
        <w:rPr>
          <w:color w:val="000000"/>
          <w:kern w:val="0"/>
          <w:sz w:val="24"/>
          <w:szCs w:val="24"/>
        </w:rPr>
      </w:pPr>
      <w:r>
        <w:rPr>
          <w:rFonts w:hint="eastAsia"/>
          <w:color w:val="000000"/>
          <w:kern w:val="0"/>
          <w:sz w:val="24"/>
          <w:szCs w:val="24"/>
        </w:rPr>
        <w:t>1、买方提供货物所需的建筑物（如厂房等）和构筑物（如混凝土池、砼基础等）。</w:t>
      </w:r>
    </w:p>
    <w:p>
      <w:pPr>
        <w:spacing w:line="420" w:lineRule="exact"/>
        <w:ind w:firstLine="480" w:firstLineChars="200"/>
        <w:rPr>
          <w:color w:val="000000"/>
          <w:kern w:val="0"/>
          <w:sz w:val="24"/>
          <w:szCs w:val="24"/>
        </w:rPr>
      </w:pPr>
      <w:r>
        <w:rPr>
          <w:rFonts w:hint="eastAsia"/>
          <w:color w:val="000000"/>
          <w:kern w:val="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color w:val="000000"/>
          <w:kern w:val="0"/>
          <w:sz w:val="24"/>
          <w:szCs w:val="24"/>
        </w:rPr>
      </w:pPr>
      <w:r>
        <w:rPr>
          <w:rFonts w:hint="eastAsia"/>
          <w:color w:val="000000"/>
          <w:kern w:val="0"/>
          <w:sz w:val="24"/>
          <w:szCs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color w:val="000000"/>
          <w:kern w:val="0"/>
          <w:sz w:val="24"/>
          <w:szCs w:val="24"/>
        </w:rPr>
      </w:pPr>
      <w:r>
        <w:rPr>
          <w:rFonts w:hint="eastAsia"/>
          <w:color w:val="000000"/>
          <w:kern w:val="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（三）供货范围特别提示</w:t>
      </w:r>
    </w:p>
    <w:p>
      <w:pPr>
        <w:spacing w:line="420" w:lineRule="exact"/>
        <w:ind w:firstLine="480" w:firstLineChars="200"/>
        <w:rPr>
          <w:color w:val="000000"/>
          <w:kern w:val="0"/>
          <w:sz w:val="24"/>
          <w:szCs w:val="24"/>
        </w:rPr>
      </w:pPr>
      <w:r>
        <w:rPr>
          <w:rFonts w:hint="eastAsia"/>
          <w:color w:val="000000"/>
          <w:kern w:val="0"/>
          <w:sz w:val="24"/>
          <w:szCs w:val="24"/>
        </w:rPr>
        <w:t>如果投标方认为本节所列的供货范围难以满足，则仍需要按照本要求提供，但该部分货物应当在投标报价中单独列明货物名称及品质、货值。</w:t>
      </w:r>
    </w:p>
    <w:p>
      <w:pPr>
        <w:pStyle w:val="81"/>
        <w:rPr>
          <w:rFonts w:hint="eastAsia" w:eastAsia="宋体" w:cs="宋体"/>
        </w:rPr>
      </w:pPr>
      <w:bookmarkStart w:id="32" w:name="_Toc465187644"/>
      <w:r>
        <w:rPr>
          <w:rFonts w:hint="eastAsia" w:eastAsia="宋体" w:cs="宋体"/>
        </w:rPr>
        <w:t>二、供货方式</w:t>
      </w:r>
      <w:bookmarkEnd w:id="32"/>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（一）供货方式</w:t>
      </w:r>
    </w:p>
    <w:p>
      <w:pPr>
        <w:spacing w:line="420" w:lineRule="exact"/>
        <w:ind w:firstLine="480" w:firstLineChars="200"/>
        <w:rPr>
          <w:color w:val="000000"/>
          <w:kern w:val="0"/>
          <w:sz w:val="24"/>
          <w:szCs w:val="24"/>
        </w:rPr>
      </w:pPr>
      <w:r>
        <w:rPr>
          <w:rFonts w:hint="eastAsia"/>
          <w:color w:val="000000"/>
          <w:kern w:val="0"/>
          <w:sz w:val="24"/>
          <w:szCs w:val="24"/>
        </w:rPr>
        <w:t>指定地点交货方式，即本次招标货物至少包括以下货物及服务：非标或特需设计，制造，至交货地点的运输（含定点装卸），买方安装地验收服务，货物移交等全流程范围。</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（二）供货地点：本项目试验室。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（三）供货时间</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1、自收到招标方订单之日起，</w:t>
      </w:r>
      <w:r>
        <w:rPr>
          <w:rFonts w:hint="eastAsia" w:ascii="宋体" w:hAnsi="宋体" w:cs="宋体"/>
          <w:color w:val="000000"/>
          <w:sz w:val="24"/>
          <w:szCs w:val="24"/>
          <w:u w:val="single"/>
        </w:rPr>
        <w:t xml:space="preserve">  </w:t>
      </w:r>
      <w:r>
        <w:rPr>
          <w:rFonts w:ascii="宋体" w:hAnsi="宋体" w:cs="宋体"/>
          <w:color w:val="000000"/>
          <w:sz w:val="24"/>
          <w:szCs w:val="24"/>
          <w:u w:val="single"/>
        </w:rPr>
        <w:t>15</w:t>
      </w:r>
      <w:r>
        <w:rPr>
          <w:rFonts w:hint="eastAsia" w:ascii="宋体" w:hAnsi="宋体" w:cs="宋体"/>
          <w:color w:val="000000"/>
          <w:sz w:val="24"/>
          <w:szCs w:val="24"/>
          <w:u w:val="single"/>
        </w:rPr>
        <w:t>-</w:t>
      </w:r>
      <w:r>
        <w:rPr>
          <w:rFonts w:ascii="宋体" w:hAnsi="宋体" w:cs="宋体"/>
          <w:color w:val="000000"/>
          <w:sz w:val="24"/>
          <w:szCs w:val="24"/>
          <w:u w:val="single"/>
        </w:rPr>
        <w:t>20</w:t>
      </w:r>
      <w:r>
        <w:rPr>
          <w:rFonts w:hint="eastAsia" w:ascii="宋体" w:hAnsi="宋体" w:cs="宋体"/>
          <w:color w:val="000000"/>
          <w:sz w:val="24"/>
          <w:szCs w:val="24"/>
          <w:u w:val="single"/>
        </w:rPr>
        <w:t xml:space="preserve">  </w:t>
      </w:r>
      <w:r>
        <w:rPr>
          <w:rFonts w:hint="eastAsia" w:ascii="宋体" w:hAnsi="宋体" w:cs="宋体"/>
          <w:color w:val="000000"/>
          <w:sz w:val="24"/>
          <w:szCs w:val="24"/>
        </w:rPr>
        <w:t>个日历日之内交货至供货地点。</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（四）包装</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1、所提供货物（或设备）的包装，应遵照国家标准和有关包装、包皮的技术条件，或按照最好的商业惯例进行包装。</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3、所提供货物（或设备）的包装，应能防止其一般性被窃或受外力破坏；一般不得采用有大缝隙的板条包装。</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8、包装箱应连续编号，不应出现重复编号。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（五）运输</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1、应负责将货物（或设备）运到目的地，并必须做到货物（或设备）在任何运输过程中不受损坏和遗失。</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2、同批货物（或设备）应统一包装、编号运输。</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4、在每批货物（或设备）发出后，应立即通知买方；通知中应指明：合同号、货运单号、件数、重量和货物（或设备）发出日期等相关内容。</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5、货物（或设备）运抵交货地点后，应负责货物（或设备）的卸货、搬运、保管等事宜；或按照合同约定。</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6、货物（或设备）的供应商或物流承运单位应具有危险品运输资质，使用专用危险品运输车辆运输，驾驶员应具有相应运输资质。禁止使用普通物流车辆运输。</w:t>
      </w:r>
    </w:p>
    <w:p>
      <w:pPr>
        <w:rPr>
          <w:rFonts w:hint="eastAsia"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10" w:usb3="00000000" w:csb0="00040000" w:csb1="00000000"/>
  </w:font>
  <w:font w:name="微软雅黑">
    <w:altName w:val="汉仪旗黑KW 55S"/>
    <w:panose1 w:val="020B0503020204020204"/>
    <w:charset w:val="86"/>
    <w:family w:val="swiss"/>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21"/>
      <w:rPr>
        <w:rFonts w:hint="eastAsia"/>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21"/>
      <w:jc w:val="center"/>
      <w:rPr>
        <w:rFonts w:hint="eastAsia"/>
      </w:rP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31C5C"/>
    <w:rsid w:val="00037917"/>
    <w:rsid w:val="0008617A"/>
    <w:rsid w:val="000B59B9"/>
    <w:rsid w:val="000D533C"/>
    <w:rsid w:val="000D655A"/>
    <w:rsid w:val="000F4F03"/>
    <w:rsid w:val="00107B02"/>
    <w:rsid w:val="00131D97"/>
    <w:rsid w:val="00150060"/>
    <w:rsid w:val="001A11F5"/>
    <w:rsid w:val="001C7702"/>
    <w:rsid w:val="00206B42"/>
    <w:rsid w:val="00211C77"/>
    <w:rsid w:val="00230E2A"/>
    <w:rsid w:val="00257637"/>
    <w:rsid w:val="00266DAA"/>
    <w:rsid w:val="002775B3"/>
    <w:rsid w:val="002C6E72"/>
    <w:rsid w:val="00301F47"/>
    <w:rsid w:val="003134B3"/>
    <w:rsid w:val="00322008"/>
    <w:rsid w:val="0033170B"/>
    <w:rsid w:val="00346541"/>
    <w:rsid w:val="00390ED1"/>
    <w:rsid w:val="003973CD"/>
    <w:rsid w:val="003A3107"/>
    <w:rsid w:val="003F5D78"/>
    <w:rsid w:val="004064A0"/>
    <w:rsid w:val="00421488"/>
    <w:rsid w:val="00441247"/>
    <w:rsid w:val="0048772C"/>
    <w:rsid w:val="004D0906"/>
    <w:rsid w:val="005349B2"/>
    <w:rsid w:val="005819CB"/>
    <w:rsid w:val="00584612"/>
    <w:rsid w:val="005C33D2"/>
    <w:rsid w:val="005E0B80"/>
    <w:rsid w:val="00604FCE"/>
    <w:rsid w:val="006050C2"/>
    <w:rsid w:val="006142CD"/>
    <w:rsid w:val="00614AAA"/>
    <w:rsid w:val="00660CAC"/>
    <w:rsid w:val="006733F5"/>
    <w:rsid w:val="006741F4"/>
    <w:rsid w:val="006925C1"/>
    <w:rsid w:val="006961BD"/>
    <w:rsid w:val="006B348C"/>
    <w:rsid w:val="006C36D4"/>
    <w:rsid w:val="006C37BE"/>
    <w:rsid w:val="006C38F2"/>
    <w:rsid w:val="007505DC"/>
    <w:rsid w:val="0079766F"/>
    <w:rsid w:val="007B4CA4"/>
    <w:rsid w:val="0082012A"/>
    <w:rsid w:val="00844177"/>
    <w:rsid w:val="00854791"/>
    <w:rsid w:val="00875414"/>
    <w:rsid w:val="008A5EBB"/>
    <w:rsid w:val="008B1750"/>
    <w:rsid w:val="008B48EA"/>
    <w:rsid w:val="008D5DCD"/>
    <w:rsid w:val="008D7FC2"/>
    <w:rsid w:val="008F779B"/>
    <w:rsid w:val="008F7A50"/>
    <w:rsid w:val="00902196"/>
    <w:rsid w:val="00905A82"/>
    <w:rsid w:val="00966969"/>
    <w:rsid w:val="009816F3"/>
    <w:rsid w:val="00985073"/>
    <w:rsid w:val="009C1EB1"/>
    <w:rsid w:val="009C3215"/>
    <w:rsid w:val="009C4920"/>
    <w:rsid w:val="009C707B"/>
    <w:rsid w:val="009E1BAC"/>
    <w:rsid w:val="009E3837"/>
    <w:rsid w:val="009F0B82"/>
    <w:rsid w:val="00A56B67"/>
    <w:rsid w:val="00A62F3D"/>
    <w:rsid w:val="00AA2709"/>
    <w:rsid w:val="00AA5F2D"/>
    <w:rsid w:val="00AE7AA6"/>
    <w:rsid w:val="00B05AFB"/>
    <w:rsid w:val="00B25EF2"/>
    <w:rsid w:val="00B941C5"/>
    <w:rsid w:val="00BA7190"/>
    <w:rsid w:val="00C2590F"/>
    <w:rsid w:val="00C47959"/>
    <w:rsid w:val="00C850AE"/>
    <w:rsid w:val="00CA201E"/>
    <w:rsid w:val="00CC1EFC"/>
    <w:rsid w:val="00CC7ECD"/>
    <w:rsid w:val="00CE1C2A"/>
    <w:rsid w:val="00D0238E"/>
    <w:rsid w:val="00D22183"/>
    <w:rsid w:val="00D419D8"/>
    <w:rsid w:val="00D86C26"/>
    <w:rsid w:val="00DD1096"/>
    <w:rsid w:val="00DF7E22"/>
    <w:rsid w:val="00E30E79"/>
    <w:rsid w:val="00E5434E"/>
    <w:rsid w:val="00E86C65"/>
    <w:rsid w:val="00EA37A5"/>
    <w:rsid w:val="00F0165A"/>
    <w:rsid w:val="00F103C1"/>
    <w:rsid w:val="00F204CA"/>
    <w:rsid w:val="00F47F06"/>
    <w:rsid w:val="00F702D9"/>
    <w:rsid w:val="00F71910"/>
    <w:rsid w:val="00F80289"/>
    <w:rsid w:val="00F94AA9"/>
    <w:rsid w:val="00F9543D"/>
    <w:rsid w:val="00F97849"/>
    <w:rsid w:val="00FB2CCC"/>
    <w:rsid w:val="00FB465D"/>
    <w:rsid w:val="00FD0B07"/>
    <w:rsid w:val="03044235"/>
    <w:rsid w:val="034D0622"/>
    <w:rsid w:val="038C4D5A"/>
    <w:rsid w:val="047E2524"/>
    <w:rsid w:val="05530920"/>
    <w:rsid w:val="09232ACB"/>
    <w:rsid w:val="09470273"/>
    <w:rsid w:val="144F3AA7"/>
    <w:rsid w:val="14A15C19"/>
    <w:rsid w:val="151E4DCA"/>
    <w:rsid w:val="17EB3444"/>
    <w:rsid w:val="17EC378B"/>
    <w:rsid w:val="18076BC0"/>
    <w:rsid w:val="1EFD4818"/>
    <w:rsid w:val="286C71DC"/>
    <w:rsid w:val="2AFE060C"/>
    <w:rsid w:val="2EB771D0"/>
    <w:rsid w:val="34F7633C"/>
    <w:rsid w:val="36A025D0"/>
    <w:rsid w:val="373D426B"/>
    <w:rsid w:val="37F039D3"/>
    <w:rsid w:val="3BC66F24"/>
    <w:rsid w:val="3F3420BB"/>
    <w:rsid w:val="450E42B4"/>
    <w:rsid w:val="47B71D3C"/>
    <w:rsid w:val="4ABF5AF1"/>
    <w:rsid w:val="4B977A16"/>
    <w:rsid w:val="4C3A530E"/>
    <w:rsid w:val="4CF95F17"/>
    <w:rsid w:val="4DB771C5"/>
    <w:rsid w:val="51D2577C"/>
    <w:rsid w:val="52A62DB4"/>
    <w:rsid w:val="54843081"/>
    <w:rsid w:val="54C47921"/>
    <w:rsid w:val="57104DC0"/>
    <w:rsid w:val="60AE53F2"/>
    <w:rsid w:val="63486A2A"/>
    <w:rsid w:val="636F4F70"/>
    <w:rsid w:val="65AD6236"/>
    <w:rsid w:val="69006FA7"/>
    <w:rsid w:val="700057DF"/>
    <w:rsid w:val="720E4873"/>
    <w:rsid w:val="750940E9"/>
    <w:rsid w:val="77EF6C01"/>
    <w:rsid w:val="797C5BA4"/>
    <w:rsid w:val="7BD8982B"/>
    <w:rsid w:val="7C400E00"/>
    <w:rsid w:val="7D4635F6"/>
    <w:rsid w:val="7DF033B2"/>
    <w:rsid w:val="EBCE60ED"/>
    <w:rsid w:val="EBF792EB"/>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9645A-0C83-4EEE-9756-45915B6E6491}">
  <ds:schemaRefs/>
</ds:datastoreItem>
</file>

<file path=docProps/app.xml><?xml version="1.0" encoding="utf-8"?>
<Properties xmlns="http://schemas.openxmlformats.org/officeDocument/2006/extended-properties" xmlns:vt="http://schemas.openxmlformats.org/officeDocument/2006/docPropsVTypes">
  <Pages>40</Pages>
  <Words>6951</Words>
  <Characters>7165</Characters>
  <Lines>1618</Lines>
  <Paragraphs>1588</Paragraphs>
  <TotalTime>0</TotalTime>
  <ScaleCrop>false</ScaleCrop>
  <LinksUpToDate>false</LinksUpToDate>
  <CharactersWithSpaces>7401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2021-12-11T15:38:00Z</dcterms:created>
  <dc:creator>JonMMx 2000</dc:creator>
  <cp:lastModifiedBy>JonMMx 2000</cp:lastModifiedBy>
  <dcterms:modified xsi:type="dcterms:W3CDTF">2025-07-15T17:32:18Z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