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产品试验检测中心</w:t>
      </w:r>
      <w:r>
        <w:rPr>
          <w:rFonts w:hint="eastAsia" w:ascii="宋体" w:hAnsi="宋体" w:eastAsia="宋体" w:cs="宋体"/>
          <w:b/>
          <w:bCs/>
          <w:color w:val="000000"/>
          <w:spacing w:val="-8"/>
          <w:sz w:val="48"/>
          <w:szCs w:val="44"/>
        </w:rPr>
        <w:t xml:space="preserve">连杆疲劳检测试验台架精度调试招标项目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ind w:firstLine="4200" w:firstLineChars="500"/>
        <w:jc w:val="both"/>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4</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u w:val="single"/>
          <w:lang w:eastAsia="zh-CN"/>
        </w:rPr>
        <w:t>连杆疲劳检测试验台架精度调试</w:t>
      </w:r>
    </w:p>
    <w:p>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采购形式编号：CGZX2025040199</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eastAsia="zh-CN"/>
        </w:rPr>
        <w:t>连杆疲劳检测试验台架精度调试</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ascii="宋体" w:hAnsi="宋体" w:eastAsia="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u w:val="single"/>
          <w:lang w:eastAsia="zh-CN"/>
        </w:rPr>
        <w:t>连杆疲劳检测试验台架精度调试</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color w:val="000000"/>
                <w:sz w:val="24"/>
                <w:szCs w:val="24"/>
                <w:u w:val="single"/>
                <w:lang w:eastAsia="zh-CN"/>
              </w:rPr>
              <w:t>连杆疲劳检测试验台架精度调试</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lang w:val="en-US" w:eastAsia="zh-CN"/>
              </w:rPr>
              <w:t>闭</w:t>
            </w:r>
            <w:r>
              <w:rPr>
                <w:rFonts w:hint="eastAsia" w:ascii="宋体" w:hAnsi="宋体" w:eastAsia="宋体" w:cs="宋体"/>
                <w:b w:val="0"/>
              </w:rPr>
              <w:t>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rPr>
            </w:pPr>
            <w:r>
              <w:rPr>
                <w:rFonts w:hint="eastAsia" w:ascii="宋体" w:hAnsi="宋体" w:eastAsia="宋体" w:cs="宋体"/>
                <w:b w:val="0"/>
              </w:rPr>
              <w:t>合同签订后按</w:t>
            </w:r>
            <w:r>
              <w:rPr>
                <w:rFonts w:hint="eastAsia" w:ascii="宋体" w:hAnsi="宋体" w:eastAsia="宋体" w:cs="宋体"/>
                <w:b w:val="0"/>
                <w:lang w:val="en-US" w:eastAsia="zh-CN"/>
              </w:rPr>
              <w:t>合同约定内容实施完成后结算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woUserID w:val="1"/>
        </w:rPr>
        <w:t>202</w:t>
      </w:r>
      <w:r>
        <w:rPr>
          <w:rFonts w:hint="default" w:ascii="宋体" w:hAnsi="宋体" w:eastAsia="宋体" w:cs="宋体"/>
          <w:b w:val="0"/>
          <w:color w:val="auto"/>
          <w:highlight w:val="none"/>
          <w:woUserID w:val="1"/>
        </w:rPr>
        <w:t>5</w:t>
      </w:r>
      <w:r>
        <w:rPr>
          <w:rFonts w:hint="eastAsia" w:ascii="宋体" w:hAnsi="宋体" w:eastAsia="宋体" w:cs="宋体"/>
          <w:b w:val="0"/>
          <w:color w:val="auto"/>
          <w:highlight w:val="none"/>
          <w:woUserID w:val="1"/>
        </w:rPr>
        <w:t>年</w:t>
      </w:r>
      <w:r>
        <w:rPr>
          <w:rFonts w:hint="default" w:ascii="宋体" w:hAnsi="宋体" w:eastAsia="宋体" w:cs="宋体"/>
          <w:b w:val="0"/>
          <w:color w:val="auto"/>
          <w:highlight w:val="none"/>
          <w:woUserID w:val="1"/>
        </w:rPr>
        <w:t>7</w:t>
      </w:r>
      <w:r>
        <w:rPr>
          <w:rFonts w:hint="eastAsia" w:ascii="宋体" w:hAnsi="宋体" w:eastAsia="宋体" w:cs="宋体"/>
          <w:b w:val="0"/>
          <w:color w:val="auto"/>
          <w:highlight w:val="none"/>
          <w:woUserID w:val="1"/>
        </w:rPr>
        <w:t>月</w:t>
      </w:r>
      <w:r>
        <w:rPr>
          <w:rFonts w:hint="default" w:ascii="宋体" w:hAnsi="宋体" w:eastAsia="宋体" w:cs="宋体"/>
          <w:b w:val="0"/>
          <w:color w:val="auto"/>
          <w:highlight w:val="none"/>
          <w:woUserID w:val="1"/>
        </w:rPr>
        <w:t>15</w:t>
      </w:r>
      <w:r>
        <w:rPr>
          <w:rFonts w:hint="eastAsia" w:ascii="宋体" w:hAnsi="宋体" w:eastAsia="宋体" w:cs="宋体"/>
          <w:b w:val="0"/>
          <w:color w:val="auto"/>
          <w:highlight w:val="none"/>
          <w:woUserID w:val="1"/>
        </w:rPr>
        <w:t>日（周</w:t>
      </w:r>
      <w:r>
        <w:rPr>
          <w:rFonts w:hint="eastAsia" w:ascii="宋体" w:hAnsi="宋体" w:eastAsia="宋体" w:cs="宋体"/>
          <w:b w:val="0"/>
          <w:color w:val="auto"/>
          <w:highlight w:val="none"/>
          <w:lang w:val="en-US" w:eastAsia="zh-CN"/>
          <w:woUserID w:val="1"/>
        </w:rPr>
        <w:t>二</w:t>
      </w:r>
      <w:r>
        <w:rPr>
          <w:rFonts w:hint="eastAsia" w:ascii="宋体" w:hAnsi="宋体" w:eastAsia="宋体" w:cs="宋体"/>
          <w:b w:val="0"/>
          <w:color w:val="auto"/>
          <w:highlight w:val="none"/>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21</w:t>
      </w:r>
      <w:r>
        <w:rPr>
          <w:rFonts w:hint="eastAsia" w:ascii="宋体" w:hAnsi="宋体" w:eastAsia="宋体" w:cs="宋体"/>
          <w:bCs/>
          <w:woUserID w:val="1"/>
        </w:rPr>
        <w:t>日</w:t>
      </w:r>
      <w:r>
        <w:rPr>
          <w:rFonts w:hint="eastAsia" w:ascii="宋体" w:hAnsi="宋体" w:eastAsia="宋体" w:cs="宋体"/>
          <w:woUserID w:val="1"/>
        </w:rPr>
        <w:t>（周</w:t>
      </w:r>
      <w:r>
        <w:rPr>
          <w:rFonts w:hint="eastAsia" w:eastAsia="宋体" w:cs="宋体"/>
          <w:lang w:val="en-US" w:eastAsia="zh-CN"/>
          <w:woUserID w:val="1"/>
        </w:rPr>
        <w:t>一</w:t>
      </w:r>
      <w:r>
        <w:rPr>
          <w:rFonts w:hint="eastAsia" w:ascii="宋体" w:hAnsi="宋体" w:eastAsia="宋体" w:cs="宋体"/>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default" w:eastAsia="宋体" w:cs="宋体"/>
          <w:bCs/>
          <w:woUserID w:val="1"/>
        </w:rPr>
        <w:t>5</w:t>
      </w:r>
      <w:r>
        <w:rPr>
          <w:rFonts w:hint="eastAsia" w:ascii="宋体" w:hAnsi="宋体" w:eastAsia="宋体" w:cs="宋体"/>
          <w:bCs/>
          <w:woUserID w:val="1"/>
        </w:rPr>
        <w:t>年</w:t>
      </w:r>
      <w:r>
        <w:rPr>
          <w:rFonts w:hint="default" w:eastAsia="宋体" w:cs="宋体"/>
          <w:bCs/>
          <w:woUserID w:val="1"/>
        </w:rPr>
        <w:t>7</w:t>
      </w:r>
      <w:r>
        <w:rPr>
          <w:rFonts w:hint="eastAsia" w:ascii="宋体" w:hAnsi="宋体" w:eastAsia="宋体" w:cs="宋体"/>
          <w:bCs/>
          <w:woUserID w:val="1"/>
        </w:rPr>
        <w:t>月</w:t>
      </w:r>
      <w:r>
        <w:rPr>
          <w:rFonts w:hint="default" w:eastAsia="宋体" w:cs="宋体"/>
          <w:bCs/>
          <w:woUserID w:val="1"/>
        </w:rPr>
        <w:t>21</w:t>
      </w:r>
      <w:r>
        <w:rPr>
          <w:rFonts w:hint="eastAsia" w:ascii="宋体" w:hAnsi="宋体" w:eastAsia="宋体" w:cs="宋体"/>
          <w:bCs/>
          <w:woUserID w:val="1"/>
        </w:rPr>
        <w:t>日</w:t>
      </w:r>
      <w:r>
        <w:rPr>
          <w:rFonts w:hint="eastAsia" w:ascii="宋体" w:hAnsi="宋体" w:eastAsia="宋体" w:cs="宋体"/>
          <w:woUserID w:val="1"/>
        </w:rPr>
        <w:t>（周</w:t>
      </w:r>
      <w:r>
        <w:rPr>
          <w:rFonts w:hint="eastAsia" w:eastAsia="宋体" w:cs="宋体"/>
          <w:lang w:val="en-US" w:eastAsia="zh-CN"/>
          <w:woUserID w:val="1"/>
        </w:rPr>
        <w:t>一</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张驰</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15615356067</w:t>
      </w:r>
    </w:p>
    <w:p>
      <w:pPr>
        <w:pStyle w:val="78"/>
        <w:ind w:firstLine="480"/>
        <w:rPr>
          <w:rFonts w:hint="eastAsia" w:ascii="宋体" w:hAnsi="宋体" w:eastAsia="宋体" w:cs="宋体"/>
        </w:rPr>
      </w:pPr>
      <w:r>
        <w:rPr>
          <w:rFonts w:hint="eastAsia" w:ascii="宋体" w:hAnsi="宋体" w:eastAsia="宋体" w:cs="宋体"/>
        </w:rPr>
        <w:t xml:space="preserve">邮    箱：zhangchi1@sinotruk.com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7</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22</w:t>
      </w:r>
      <w:bookmarkStart w:id="29" w:name="_GoBack"/>
      <w:bookmarkEnd w:id="29"/>
      <w:r>
        <w:rPr>
          <w:rFonts w:hint="eastAsia" w:ascii="宋体" w:hAnsi="宋体" w:eastAsia="宋体" w:cs="宋体"/>
          <w:color w:val="000000"/>
          <w:sz w:val="24"/>
          <w:szCs w:val="24"/>
          <w:highlight w:val="cyan"/>
          <w:woUserID w:val="1"/>
        </w:rPr>
        <w:t>日（周</w:t>
      </w:r>
      <w:r>
        <w:rPr>
          <w:rFonts w:hint="eastAsia" w:hAnsi="宋体" w:cs="宋体"/>
          <w:color w:val="000000"/>
          <w:sz w:val="24"/>
          <w:szCs w:val="24"/>
          <w:highlight w:val="cyan"/>
          <w:lang w:val="en-US" w:eastAsia="zh-CN"/>
          <w:woUserID w:val="1"/>
        </w:rPr>
        <w:t>二</w:t>
      </w:r>
      <w:r>
        <w:rPr>
          <w:rFonts w:hint="eastAsia" w:ascii="宋体" w:hAnsi="宋体" w:eastAsia="宋体" w:cs="宋体"/>
          <w:color w:val="000000"/>
          <w:sz w:val="24"/>
          <w:szCs w:val="24"/>
          <w:highlight w:val="cyan"/>
          <w:woUserID w:val="1"/>
        </w:rPr>
        <w:t>）</w:t>
      </w:r>
      <w:r>
        <w:rPr>
          <w:rFonts w:hint="eastAsia" w:hAnsi="宋体" w:cs="宋体"/>
          <w:color w:val="000000"/>
          <w:sz w:val="24"/>
          <w:szCs w:val="24"/>
          <w:highlight w:val="cyan"/>
          <w:lang w:val="en-US" w:eastAsia="zh-CN"/>
          <w:woUserID w:val="1"/>
        </w:rPr>
        <w:t>上</w:t>
      </w:r>
      <w:r>
        <w:rPr>
          <w:rFonts w:hint="eastAsia" w:ascii="宋体" w:hAnsi="宋体" w:eastAsia="宋体" w:cs="宋体"/>
          <w:color w:val="000000"/>
          <w:sz w:val="24"/>
          <w:szCs w:val="24"/>
          <w:highlight w:val="cyan"/>
          <w:woUserID w:val="1"/>
        </w:rPr>
        <w:t>午</w:t>
      </w:r>
      <w:r>
        <w:rPr>
          <w:rFonts w:hint="eastAsia" w:hAnsi="宋体" w:cs="宋体"/>
          <w:color w:val="000000"/>
          <w:sz w:val="24"/>
          <w:szCs w:val="24"/>
          <w:highlight w:val="cyan"/>
          <w:lang w:val="en-US" w:eastAsia="zh-CN"/>
          <w:woUserID w:val="1"/>
        </w:rPr>
        <w:t>9</w:t>
      </w:r>
      <w:r>
        <w:rPr>
          <w:rFonts w:hint="eastAsia" w:ascii="宋体" w:hAnsi="宋体" w:eastAsia="宋体" w:cs="宋体"/>
          <w:color w:val="000000"/>
          <w:sz w:val="24"/>
          <w:szCs w:val="24"/>
          <w:highlight w:val="cyan"/>
          <w:woUserID w:val="1"/>
        </w:rPr>
        <w:t>：</w:t>
      </w:r>
      <w:r>
        <w:rPr>
          <w:rFonts w:hint="eastAsia" w:hAnsi="宋体" w:cs="宋体"/>
          <w:color w:val="000000"/>
          <w:sz w:val="24"/>
          <w:szCs w:val="24"/>
          <w:highlight w:val="cyan"/>
          <w:lang w:val="en-US" w:eastAsia="zh-CN"/>
          <w:woUserID w:val="1"/>
        </w:rPr>
        <w:t>0</w:t>
      </w:r>
      <w:r>
        <w:rPr>
          <w:rFonts w:hint="eastAsia" w:ascii="宋体" w:hAnsi="宋体" w:eastAsia="宋体" w:cs="宋体"/>
          <w:color w:val="000000"/>
          <w:sz w:val="24"/>
          <w:szCs w:val="24"/>
          <w:highlight w:val="cyan"/>
          <w:woUserID w:val="1"/>
        </w:rPr>
        <w:t>0</w:t>
      </w:r>
      <w:r>
        <w:rPr>
          <w:rFonts w:hint="eastAsia" w:ascii="宋体" w:hAnsi="宋体" w:eastAsia="宋体" w:cs="宋体"/>
          <w:color w:val="000000"/>
          <w:sz w:val="24"/>
          <w:szCs w:val="24"/>
          <w:highlight w:val="cyan"/>
        </w:rPr>
        <w:t>，</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int="eastAsia" w:hAnsi="宋体" w:cs="宋体"/>
          <w:bCs/>
          <w:sz w:val="24"/>
          <w:szCs w:val="24"/>
        </w:rPr>
      </w:pP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spacing w:line="360" w:lineRule="auto"/>
        <w:ind w:left="0" w:leftChars="0" w:firstLine="480" w:firstLineChars="20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spacing w:line="360" w:lineRule="auto"/>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spacing w:line="360" w:lineRule="auto"/>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资质技术满足条件后</w:t>
      </w:r>
      <w:r>
        <w:rPr>
          <w:rFonts w:hint="eastAsia" w:ascii="宋体" w:hAnsi="宋体" w:eastAsia="宋体" w:cs="宋体"/>
          <w:b/>
          <w:bCs/>
          <w:sz w:val="24"/>
          <w:szCs w:val="24"/>
        </w:rPr>
        <w:t>，原则上合理最低价中标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资质审查</w:t>
      </w:r>
      <w:r>
        <w:rPr>
          <w:rFonts w:hint="eastAsia" w:ascii="宋体" w:hAnsi="宋体" w:eastAsia="宋体" w:cs="宋体"/>
          <w:color w:val="000000"/>
          <w:sz w:val="24"/>
          <w:szCs w:val="24"/>
        </w:rPr>
        <w:t>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w:t>
      </w:r>
      <w:r>
        <w:rPr>
          <w:rFonts w:hint="eastAsia" w:ascii="宋体" w:hAnsi="宋体" w:cs="宋体"/>
          <w:b/>
          <w:sz w:val="24"/>
          <w:szCs w:val="24"/>
          <w:lang w:val="en-US" w:eastAsia="zh-CN"/>
        </w:rPr>
        <w:t>审查</w:t>
      </w:r>
      <w:r>
        <w:rPr>
          <w:rFonts w:hint="eastAsia" w:ascii="宋体" w:hAnsi="宋体" w:eastAsia="宋体" w:cs="宋体"/>
          <w:b/>
          <w:sz w:val="24"/>
          <w:szCs w:val="24"/>
        </w:rPr>
        <w:t>：资质标评审：资质标审核通过的单位，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w:t>
      </w:r>
      <w:r>
        <w:rPr>
          <w:rFonts w:hint="eastAsia" w:ascii="宋体" w:hAnsi="宋体" w:cs="宋体"/>
          <w:b/>
          <w:color w:val="000000"/>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商务</w:t>
      </w:r>
      <w:r>
        <w:rPr>
          <w:rFonts w:hint="eastAsia" w:ascii="宋体" w:hAnsi="宋体" w:eastAsia="宋体" w:cs="宋体"/>
          <w:b/>
          <w:sz w:val="24"/>
          <w:szCs w:val="24"/>
        </w:rPr>
        <w:t>评标专家组，对各投标人的《投标文件（技术标）》进行</w:t>
      </w:r>
      <w:r>
        <w:rPr>
          <w:rFonts w:hint="eastAsia" w:ascii="宋体" w:hAnsi="宋体" w:cs="宋体"/>
          <w:b/>
          <w:sz w:val="24"/>
          <w:szCs w:val="24"/>
          <w:lang w:val="en-US" w:eastAsia="zh-CN"/>
        </w:rPr>
        <w:t>审查</w:t>
      </w:r>
      <w:r>
        <w:rPr>
          <w:rFonts w:hint="eastAsia" w:ascii="宋体" w:hAnsi="宋体" w:eastAsia="宋体" w:cs="宋体"/>
          <w:b/>
          <w:sz w:val="24"/>
          <w:szCs w:val="24"/>
        </w:rPr>
        <w:t>；</w:t>
      </w:r>
      <w:r>
        <w:rPr>
          <w:rFonts w:hint="eastAsia" w:ascii="宋体" w:hAnsi="宋体" w:cs="宋体"/>
          <w:b/>
          <w:sz w:val="24"/>
          <w:szCs w:val="24"/>
          <w:lang w:val="en-US" w:eastAsia="zh-CN"/>
        </w:rPr>
        <w:t>审查</w:t>
      </w:r>
      <w:r>
        <w:rPr>
          <w:rFonts w:hint="eastAsia" w:ascii="宋体" w:hAnsi="宋体" w:eastAsia="宋体" w:cs="宋体"/>
          <w:b/>
          <w:sz w:val="24"/>
          <w:szCs w:val="24"/>
        </w:rPr>
        <w:t>合格的单位进入商务标评审环节，</w:t>
      </w:r>
      <w:r>
        <w:rPr>
          <w:rFonts w:hint="eastAsia" w:ascii="宋体" w:hAnsi="宋体" w:cs="宋体"/>
          <w:b/>
          <w:sz w:val="24"/>
          <w:szCs w:val="24"/>
          <w:lang w:val="en-US" w:eastAsia="zh-CN"/>
        </w:rPr>
        <w:t>审查</w:t>
      </w:r>
      <w:r>
        <w:rPr>
          <w:rFonts w:hint="eastAsia" w:ascii="宋体" w:hAnsi="宋体" w:eastAsia="宋体" w:cs="宋体"/>
          <w:b/>
          <w:sz w:val="24"/>
          <w:szCs w:val="24"/>
        </w:rPr>
        <w:t>不合格的单位被淘汰；</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w:t>
      </w:r>
      <w:r>
        <w:rPr>
          <w:rFonts w:hint="eastAsia" w:ascii="宋体" w:hAnsi="宋体" w:eastAsia="宋体" w:cs="宋体"/>
          <w:b/>
          <w:sz w:val="24"/>
          <w:szCs w:val="24"/>
        </w:rPr>
        <w:t>技术</w:t>
      </w:r>
      <w:r>
        <w:rPr>
          <w:rFonts w:hint="eastAsia" w:ascii="宋体" w:hAnsi="宋体" w:cs="宋体"/>
          <w:b/>
          <w:sz w:val="24"/>
          <w:szCs w:val="24"/>
          <w:lang w:val="en-US" w:eastAsia="zh-CN"/>
        </w:rPr>
        <w:t>满足条件</w:t>
      </w:r>
      <w:r>
        <w:rPr>
          <w:rFonts w:hint="eastAsia" w:ascii="宋体" w:hAnsi="宋体" w:eastAsia="宋体" w:cs="宋体"/>
          <w:b/>
          <w:sz w:val="24"/>
          <w:szCs w:val="24"/>
        </w:rPr>
        <w:t>后，原则上合理最低价中标。</w:t>
      </w:r>
    </w:p>
    <w:p>
      <w:pPr>
        <w:pStyle w:val="78"/>
        <w:ind w:firstLine="480"/>
        <w:rPr>
          <w:rFonts w:hint="eastAsia" w:ascii="宋体" w:hAnsi="宋体" w:eastAsia="宋体" w:cs="宋体"/>
        </w:rPr>
      </w:pPr>
      <w:r>
        <w:rPr>
          <w:rFonts w:hint="eastAsia" w:ascii="宋体" w:hAnsi="宋体" w:eastAsia="宋体" w:cs="宋体"/>
        </w:rPr>
        <w:t>2、中标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639004"/>
      <w:bookmarkStart w:id="7" w:name="_Toc25811"/>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lang w:val="en-US" w:eastAsia="zh-CN"/>
              </w:rPr>
              <w:t>现场服务人员需进行过专业培训，具备该设备调试安装资质</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keepNext w:val="0"/>
              <w:keepLines w:val="0"/>
              <w:widowControl/>
              <w:suppressLineNumbers w:val="0"/>
              <w:jc w:val="left"/>
              <w:rPr>
                <w:rFonts w:hint="default" w:ascii="宋体" w:hAnsi="宋体" w:eastAsia="宋体" w:cs="宋体"/>
                <w:sz w:val="24"/>
                <w:lang w:val="en-US" w:eastAsia="zh-CN"/>
              </w:rPr>
            </w:pPr>
            <w:r>
              <w:rPr>
                <w:rFonts w:hint="eastAsia" w:ascii="宋体" w:hAnsi="宋体" w:eastAsia="宋体" w:cs="宋体"/>
                <w:b/>
                <w:kern w:val="2"/>
                <w:sz w:val="21"/>
                <w:szCs w:val="22"/>
                <w:lang w:val="en-US" w:eastAsia="zh-CN" w:bidi="ar-SA"/>
              </w:rPr>
              <w:t>设备动态力满量程(0-275KN)符合MIL Std-1312B/80标准要求，幅值误差&lt;1%，中</w:t>
            </w:r>
            <w:r>
              <w:rPr>
                <w:rFonts w:hint="eastAsia" w:ascii="宋体" w:hAnsi="宋体" w:cs="宋体"/>
                <w:b/>
                <w:kern w:val="2"/>
                <w:sz w:val="21"/>
                <w:szCs w:val="22"/>
                <w:lang w:val="en-US" w:eastAsia="zh-CN" w:bidi="ar-SA"/>
              </w:rPr>
              <w:t>位值误差</w:t>
            </w:r>
            <w:r>
              <w:rPr>
                <w:rFonts w:hint="eastAsia" w:ascii="宋体" w:hAnsi="宋体" w:eastAsia="宋体" w:cs="宋体"/>
                <w:b/>
                <w:kern w:val="2"/>
                <w:sz w:val="21"/>
                <w:szCs w:val="22"/>
                <w:lang w:val="en-US" w:eastAsia="zh-CN" w:bidi="ar-SA"/>
              </w:rPr>
              <w:t>&lt;</w:t>
            </w:r>
            <w:r>
              <w:rPr>
                <w:rFonts w:hint="eastAsia" w:ascii="宋体" w:hAnsi="宋体" w:cs="宋体"/>
                <w:b/>
                <w:kern w:val="2"/>
                <w:sz w:val="21"/>
                <w:szCs w:val="22"/>
                <w:lang w:val="en-US" w:eastAsia="zh-CN" w:bidi="ar-SA"/>
              </w:rPr>
              <w:t>2</w:t>
            </w:r>
            <w:r>
              <w:rPr>
                <w:rFonts w:hint="eastAsia" w:ascii="宋体" w:hAnsi="宋体" w:eastAsia="宋体" w:cs="宋体"/>
                <w:b/>
                <w:kern w:val="2"/>
                <w:sz w:val="21"/>
                <w:szCs w:val="22"/>
                <w:lang w:val="en-US" w:eastAsia="zh-CN" w:bidi="ar-SA"/>
              </w:rPr>
              <w:t>%</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调整后设备能正常进行检测工作</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exact"/>
        </w:trPr>
        <w:tc>
          <w:tcPr>
            <w:tcW w:w="875" w:type="pct"/>
          </w:tcPr>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tc>
        <w:tc>
          <w:tcPr>
            <w:tcW w:w="1903" w:type="pct"/>
          </w:tcPr>
          <w:p>
            <w:pPr>
              <w:pStyle w:val="82"/>
              <w:rPr>
                <w:rFonts w:hint="default" w:ascii="宋体" w:hAnsi="宋体" w:eastAsia="宋体" w:cs="宋体"/>
                <w:sz w:val="24"/>
                <w:lang w:val="en-US" w:eastAsia="zh-CN"/>
              </w:rPr>
            </w:pPr>
            <w:r>
              <w:rPr>
                <w:rFonts w:hint="eastAsia" w:ascii="宋体" w:hAnsi="宋体" w:eastAsia="宋体" w:cs="宋体"/>
                <w:sz w:val="24"/>
                <w:lang w:val="en-US" w:eastAsia="zh-CN"/>
              </w:rPr>
              <w:t>标准力值传感器调教应委托具备专业资质的机构进行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5"/>
        <w:gridCol w:w="2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hint="eastAsia" w:ascii="宋体" w:hAnsi="宋体" w:eastAsia="宋体" w:cs="宋体"/>
                <w:lang w:val="en-US" w:eastAsia="zh-CN"/>
              </w:rPr>
            </w:pPr>
            <w:r>
              <w:rPr>
                <w:rFonts w:hint="eastAsia" w:ascii="宋体" w:hAnsi="宋体" w:eastAsia="宋体" w:cs="宋体"/>
                <w:lang w:val="en-US" w:eastAsia="zh-CN"/>
              </w:rPr>
              <w:t>维护保养报价单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pPr>
              <w:pStyle w:val="82"/>
              <w:rPr>
                <w:rFonts w:hint="eastAsia" w:ascii="宋体" w:hAnsi="宋体" w:eastAsia="宋体" w:cs="宋体"/>
              </w:rPr>
            </w:pPr>
            <w:r>
              <w:rPr>
                <w:rFonts w:hint="eastAsia" w:ascii="宋体" w:hAnsi="宋体" w:eastAsia="宋体" w:cs="宋体"/>
              </w:rPr>
              <w:t>序号</w:t>
            </w:r>
          </w:p>
        </w:tc>
        <w:tc>
          <w:tcPr>
            <w:tcW w:w="751" w:type="pct"/>
            <w:vAlign w:val="center"/>
          </w:tcPr>
          <w:p>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pPr>
              <w:pStyle w:val="82"/>
              <w:rPr>
                <w:rFonts w:hint="eastAsia" w:ascii="宋体" w:hAnsi="宋体" w:eastAsia="宋体" w:cs="宋体"/>
              </w:rPr>
            </w:pPr>
            <w:r>
              <w:rPr>
                <w:rFonts w:hint="eastAsia" w:ascii="宋体" w:hAnsi="宋体" w:eastAsia="宋体" w:cs="宋体"/>
              </w:rPr>
              <w:t>投标总价</w:t>
            </w:r>
          </w:p>
          <w:p>
            <w:pPr>
              <w:pStyle w:val="82"/>
              <w:rPr>
                <w:rFonts w:hint="eastAsia" w:ascii="宋体" w:hAnsi="宋体" w:eastAsia="宋体" w:cs="宋体"/>
              </w:rPr>
            </w:pPr>
            <w:r>
              <w:rPr>
                <w:rFonts w:hint="eastAsia" w:ascii="宋体" w:hAnsi="宋体" w:eastAsia="宋体" w:cs="宋体"/>
              </w:rPr>
              <w:t>（元）</w:t>
            </w:r>
          </w:p>
        </w:tc>
        <w:tc>
          <w:tcPr>
            <w:tcW w:w="381" w:type="pct"/>
            <w:vAlign w:val="center"/>
          </w:tcPr>
          <w:p>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hint="eastAsia" w:ascii="宋体" w:hAnsi="宋体" w:eastAsia="宋体" w:cs="宋体"/>
              </w:rPr>
            </w:pPr>
            <w:r>
              <w:rPr>
                <w:rFonts w:hint="eastAsia" w:ascii="宋体" w:hAnsi="宋体" w:eastAsia="宋体" w:cs="宋体"/>
              </w:rPr>
              <w:t>质保期</w:t>
            </w:r>
          </w:p>
          <w:p>
            <w:pPr>
              <w:pStyle w:val="82"/>
              <w:rPr>
                <w:rFonts w:hint="eastAsia" w:ascii="宋体" w:hAnsi="宋体" w:eastAsia="宋体" w:cs="宋体"/>
              </w:rPr>
            </w:pPr>
            <w:r>
              <w:rPr>
                <w:rFonts w:hint="eastAsia" w:ascii="宋体" w:hAnsi="宋体" w:eastAsia="宋体" w:cs="宋体"/>
              </w:rPr>
              <w:t>（若有）</w:t>
            </w:r>
          </w:p>
        </w:tc>
        <w:tc>
          <w:tcPr>
            <w:tcW w:w="831" w:type="pct"/>
            <w:vAlign w:val="center"/>
          </w:tcPr>
          <w:p>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hint="eastAsia"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hint="eastAsia" w:ascii="宋体" w:hAnsi="宋体" w:eastAsia="宋体" w:cs="宋体"/>
              </w:rPr>
            </w:pPr>
            <w:r>
              <w:rPr>
                <w:rFonts w:hint="eastAsia" w:ascii="宋体" w:hAnsi="宋体" w:eastAsia="宋体" w:cs="宋体"/>
              </w:rPr>
              <w:t>1</w:t>
            </w:r>
          </w:p>
        </w:tc>
        <w:tc>
          <w:tcPr>
            <w:tcW w:w="751" w:type="pct"/>
            <w:vAlign w:val="center"/>
          </w:tcPr>
          <w:p>
            <w:pPr>
              <w:pStyle w:val="82"/>
              <w:rPr>
                <w:rFonts w:hint="eastAsia" w:ascii="宋体" w:hAnsi="宋体" w:eastAsia="宋体" w:cs="宋体"/>
              </w:rPr>
            </w:pPr>
          </w:p>
        </w:tc>
        <w:tc>
          <w:tcPr>
            <w:tcW w:w="614" w:type="pct"/>
            <w:vAlign w:val="center"/>
          </w:tcPr>
          <w:p>
            <w:pPr>
              <w:pStyle w:val="82"/>
              <w:rPr>
                <w:rFonts w:hint="eastAsia" w:ascii="宋体" w:hAnsi="宋体" w:eastAsia="宋体" w:cs="宋体"/>
              </w:rPr>
            </w:pPr>
          </w:p>
        </w:tc>
        <w:tc>
          <w:tcPr>
            <w:tcW w:w="381" w:type="pct"/>
            <w:vAlign w:val="center"/>
          </w:tcPr>
          <w:p>
            <w:pPr>
              <w:pStyle w:val="82"/>
              <w:rPr>
                <w:rFonts w:hint="eastAsia" w:ascii="宋体" w:hAnsi="宋体" w:eastAsia="宋体" w:cs="宋体"/>
              </w:rPr>
            </w:pPr>
          </w:p>
        </w:tc>
        <w:tc>
          <w:tcPr>
            <w:tcW w:w="363" w:type="pct"/>
            <w:vAlign w:val="center"/>
          </w:tcPr>
          <w:p>
            <w:pPr>
              <w:pStyle w:val="82"/>
              <w:rPr>
                <w:rFonts w:hint="eastAsia" w:ascii="宋体" w:hAnsi="宋体" w:eastAsia="宋体" w:cs="宋体"/>
              </w:rPr>
            </w:pPr>
          </w:p>
        </w:tc>
        <w:tc>
          <w:tcPr>
            <w:tcW w:w="650" w:type="pct"/>
            <w:vAlign w:val="center"/>
          </w:tcPr>
          <w:p>
            <w:pPr>
              <w:pStyle w:val="82"/>
              <w:rPr>
                <w:rFonts w:hint="eastAsia" w:ascii="宋体" w:hAnsi="宋体" w:eastAsia="宋体" w:cs="宋体"/>
              </w:rPr>
            </w:pPr>
          </w:p>
        </w:tc>
        <w:tc>
          <w:tcPr>
            <w:tcW w:w="831" w:type="pct"/>
            <w:vAlign w:val="center"/>
          </w:tcPr>
          <w:p>
            <w:pPr>
              <w:pStyle w:val="82"/>
              <w:rPr>
                <w:rFonts w:hint="eastAsia" w:ascii="宋体" w:hAnsi="宋体" w:eastAsia="宋体" w:cs="宋体"/>
              </w:rPr>
            </w:pPr>
          </w:p>
        </w:tc>
        <w:tc>
          <w:tcPr>
            <w:tcW w:w="1109" w:type="pct"/>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hint="eastAsia" w:ascii="宋体" w:hAnsi="宋体" w:eastAsia="宋体" w:cs="宋体"/>
              </w:rPr>
            </w:pPr>
            <w:r>
              <w:rPr>
                <w:rFonts w:hint="eastAsia" w:ascii="宋体" w:hAnsi="宋体" w:eastAsia="宋体" w:cs="宋体"/>
              </w:rPr>
              <w:t>2</w:t>
            </w:r>
          </w:p>
        </w:tc>
        <w:tc>
          <w:tcPr>
            <w:tcW w:w="751" w:type="pct"/>
            <w:vAlign w:val="center"/>
          </w:tcPr>
          <w:p>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hint="eastAsia" w:ascii="宋体" w:hAnsi="宋体" w:eastAsia="宋体" w:cs="宋体"/>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4、本项目报价上限为8.0万元（含税）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353881017"/>
      <w:bookmarkStart w:id="12" w:name="_Toc26556"/>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8976" w:type="dxa"/>
        <w:tblInd w:w="0" w:type="dxa"/>
        <w:tblLayout w:type="fixed"/>
        <w:tblCellMar>
          <w:top w:w="0" w:type="dxa"/>
          <w:left w:w="108" w:type="dxa"/>
          <w:bottom w:w="0" w:type="dxa"/>
          <w:right w:w="108" w:type="dxa"/>
        </w:tblCellMar>
      </w:tblPr>
      <w:tblGrid>
        <w:gridCol w:w="636"/>
        <w:gridCol w:w="2700"/>
        <w:gridCol w:w="1680"/>
        <w:gridCol w:w="855"/>
        <w:gridCol w:w="1155"/>
        <w:gridCol w:w="975"/>
        <w:gridCol w:w="975"/>
      </w:tblGrid>
      <w:tr>
        <w:tblPrEx>
          <w:tblCellMar>
            <w:top w:w="0" w:type="dxa"/>
            <w:left w:w="108" w:type="dxa"/>
            <w:bottom w:w="0" w:type="dxa"/>
            <w:right w:w="108" w:type="dxa"/>
          </w:tblCellMar>
        </w:tblPrEx>
        <w:trPr>
          <w:trHeight w:val="435"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项目</w:t>
            </w:r>
            <w:r>
              <w:rPr>
                <w:rFonts w:hint="eastAsia" w:ascii="宋体" w:hAnsi="宋体" w:eastAsia="宋体" w:cs="宋体"/>
                <w:kern w:val="0"/>
                <w:sz w:val="18"/>
                <w:szCs w:val="18"/>
              </w:rPr>
              <w:t>名称</w:t>
            </w:r>
          </w:p>
        </w:tc>
        <w:tc>
          <w:tcPr>
            <w:tcW w:w="168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品牌</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15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(元)</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源头信号检查，传感器端</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预放大端信号检查</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控制端放大信号检查</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控制精度检查</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5</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数据处理分析</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6</w:t>
            </w: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故障件更换</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7</w:t>
            </w: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cs="宋体"/>
                <w:kern w:val="0"/>
                <w:sz w:val="18"/>
                <w:szCs w:val="18"/>
                <w:lang w:val="en-US" w:eastAsia="zh-CN"/>
              </w:rPr>
            </w:pPr>
            <w:r>
              <w:rPr>
                <w:rFonts w:hint="eastAsia" w:ascii="宋体" w:hAnsi="宋体" w:cs="宋体"/>
                <w:kern w:val="0"/>
                <w:sz w:val="18"/>
                <w:szCs w:val="18"/>
                <w:lang w:val="en-US" w:eastAsia="zh-CN"/>
              </w:rPr>
              <w:t>现场服务费</w:t>
            </w: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1</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217"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eastAsia="宋体" w:cs="宋体"/>
                <w:kern w:val="0"/>
                <w:sz w:val="18"/>
                <w:szCs w:val="18"/>
              </w:rPr>
            </w:pPr>
          </w:p>
        </w:tc>
      </w:tr>
      <w:tr>
        <w:tblPrEx>
          <w:tblCellMar>
            <w:top w:w="0" w:type="dxa"/>
            <w:left w:w="108" w:type="dxa"/>
            <w:bottom w:w="0" w:type="dxa"/>
            <w:right w:w="108" w:type="dxa"/>
          </w:tblCellMar>
        </w:tblPrEx>
        <w:trPr>
          <w:trHeight w:val="400" w:hRule="atLeast"/>
        </w:trPr>
        <w:tc>
          <w:tcPr>
            <w:tcW w:w="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2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kern w:val="0"/>
                <w:sz w:val="18"/>
                <w:szCs w:val="18"/>
              </w:rPr>
            </w:pP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hint="eastAsia" w:ascii="宋体" w:hAnsi="宋体" w:eastAsia="宋体" w:cs="宋体"/>
                <w:kern w:val="0"/>
                <w:sz w:val="18"/>
                <w:szCs w:val="18"/>
              </w:rPr>
            </w:pPr>
          </w:p>
        </w:tc>
      </w:tr>
    </w:tbl>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pStyle w:val="78"/>
        <w:ind w:firstLine="480"/>
        <w:rPr>
          <w:rFonts w:hint="eastAsia" w:ascii="宋体" w:hAnsi="宋体" w:eastAsia="宋体" w:cs="宋体"/>
          <w:b/>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宋体" w:hAnsi="宋体" w:eastAsia="宋体" w:cs="宋体"/>
                <w:szCs w:val="21"/>
              </w:rPr>
            </w:pPr>
            <w:r>
              <w:rPr>
                <w:rFonts w:hint="eastAsia" w:ascii="宋体" w:hAnsi="宋体" w:eastAsia="宋体" w:cs="宋体"/>
                <w:szCs w:val="21"/>
                <w:lang w:val="en-US" w:eastAsia="zh-CN"/>
              </w:rPr>
              <w:t>完成维修工作，设备正常运行1月后，组织验收，验收通过后付款</w:t>
            </w:r>
          </w:p>
        </w:tc>
        <w:tc>
          <w:tcPr>
            <w:tcW w:w="1593"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维保服务要求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default" w:ascii="宋体" w:hAnsi="宋体" w:eastAsia="宋体" w:cs="宋体"/>
                <w:szCs w:val="21"/>
                <w:lang w:val="en-US" w:eastAsia="zh-CN"/>
              </w:rPr>
            </w:pPr>
            <w:r>
              <w:rPr>
                <w:rFonts w:hint="eastAsia" w:ascii="宋体" w:hAnsi="宋体" w:eastAsia="宋体" w:cs="宋体"/>
                <w:szCs w:val="21"/>
                <w:lang w:val="en-US" w:eastAsia="zh-CN"/>
              </w:rPr>
              <w:t>维修过程中的传感器校准工作需委托具备资质的机构进行检测，并出具检测报告</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szCs w:val="21"/>
              </w:rPr>
            </w:pPr>
          </w:p>
          <w:p>
            <w:pPr>
              <w:pStyle w:val="82"/>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备品备件及耗材等要求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lang w:val="en-US" w:eastAsia="zh-CN"/>
              </w:rPr>
              <w:t>需使用原厂品牌备件</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353881022"/>
      <w:bookmarkStart w:id="14" w:name="_Toc639013"/>
      <w:bookmarkStart w:id="15" w:name="_Toc919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353881023"/>
      <w:bookmarkStart w:id="19" w:name="_Toc212369556"/>
      <w:bookmarkStart w:id="20" w:name="_Toc15535"/>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cs="宋体"/>
          <w:sz w:val="24"/>
          <w:szCs w:val="24"/>
          <w:lang w:eastAsia="zh-CN"/>
        </w:rPr>
        <w:t>https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sectPr>
          <w:pgSz w:w="11907" w:h="16840"/>
          <w:pgMar w:top="1785" w:right="1418" w:bottom="1418" w:left="1418" w:header="724" w:footer="851" w:gutter="0"/>
          <w:cols w:space="720" w:num="1"/>
          <w:docGrid w:linePitch="290" w:charSpace="-3931"/>
        </w:sect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bookmarkEnd w:id="21"/>
    <w:p>
      <w:pPr>
        <w:pStyle w:val="58"/>
        <w:jc w:val="center"/>
        <w:rPr>
          <w:rFonts w:hint="eastAsia" w:ascii="宋体" w:hAnsi="宋体" w:eastAsia="宋体" w:cs="宋体"/>
        </w:rPr>
      </w:pPr>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项目名称：连杆疲劳检测试验台架精度调试</w:t>
      </w:r>
      <w:r>
        <w:rPr>
          <w:rFonts w:hint="eastAsia" w:ascii="宋体" w:hAnsi="宋体" w:eastAsia="宋体" w:cs="宋体"/>
          <w:color w:val="000000"/>
          <w:sz w:val="24"/>
          <w:szCs w:val="24"/>
          <w:u w:val="single"/>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p>
      <w:pPr>
        <w:spacing w:line="360" w:lineRule="auto"/>
        <w:ind w:firstLine="480" w:firstLineChars="200"/>
        <w:jc w:val="left"/>
        <w:rPr>
          <w:rFonts w:hint="default" w:ascii="宋体" w:hAnsi="宋体" w:cs="宋体"/>
          <w:sz w:val="24"/>
          <w:szCs w:val="24"/>
          <w:lang w:val="en-US" w:eastAsia="zh-CN"/>
        </w:rPr>
      </w:pPr>
      <w:r>
        <w:rPr>
          <w:rFonts w:hint="eastAsia" w:ascii="宋体" w:hAnsi="宋体" w:eastAsia="宋体" w:cs="宋体"/>
          <w:sz w:val="24"/>
          <w:szCs w:val="24"/>
        </w:rPr>
        <w:t>本次</w:t>
      </w:r>
      <w:r>
        <w:rPr>
          <w:rFonts w:hint="eastAsia" w:ascii="宋体" w:hAnsi="宋体" w:cs="宋体"/>
          <w:sz w:val="24"/>
          <w:szCs w:val="24"/>
          <w:lang w:val="en-US" w:eastAsia="zh-CN"/>
        </w:rPr>
        <w:t>维修对象为Zwick HFP5100 550KN疲劳试验机，该设备目前精度超出允许范围，动态力在150 KN及以上量程超标准精度（幅值误差超1%，中位值误差超2%，标准号MIL Std-1312B/80，需对设备进行维修及校准，维修过后的精度要求在标准范围内。</w:t>
      </w:r>
    </w:p>
    <w:p>
      <w:pPr>
        <w:spacing w:line="360" w:lineRule="auto"/>
        <w:ind w:firstLine="480" w:firstLineChars="200"/>
        <w:jc w:val="left"/>
        <w:rPr>
          <w:rFonts w:hint="default" w:ascii="宋体" w:hAnsi="宋体" w:eastAsia="宋体" w:cs="宋体"/>
          <w:sz w:val="24"/>
          <w:szCs w:val="24"/>
          <w:lang w:val="en-US" w:eastAsia="zh-CN"/>
        </w:rPr>
      </w:pPr>
    </w:p>
    <w:p>
      <w:pPr>
        <w:pStyle w:val="80"/>
        <w:rPr>
          <w:rFonts w:hint="eastAsia" w:ascii="宋体" w:hAnsi="宋体" w:eastAsia="宋体" w:cs="宋体"/>
        </w:rPr>
      </w:pPr>
      <w:bookmarkStart w:id="23" w:name="_Toc490750820"/>
      <w:bookmarkStart w:id="24" w:name="_Toc10152"/>
      <w:bookmarkStart w:id="25" w:name="_Toc31558"/>
      <w:bookmarkStart w:id="26" w:name="_Toc26699"/>
      <w:bookmarkStart w:id="27" w:name="_Toc385411768"/>
      <w:bookmarkStart w:id="28" w:name="_Toc24049"/>
      <w:r>
        <w:rPr>
          <w:rFonts w:hint="eastAsia" w:eastAsia="宋体" w:cs="宋体"/>
          <w:lang w:val="en-US" w:eastAsia="zh-CN"/>
        </w:rPr>
        <w:t>二</w:t>
      </w:r>
      <w:r>
        <w:rPr>
          <w:rFonts w:hint="eastAsia" w:ascii="宋体" w:hAnsi="宋体" w:eastAsia="宋体" w:cs="宋体"/>
        </w:rPr>
        <w:t>、技术要求</w:t>
      </w:r>
      <w:bookmarkEnd w:id="23"/>
      <w:bookmarkEnd w:id="24"/>
      <w:bookmarkEnd w:id="25"/>
      <w:bookmarkEnd w:id="26"/>
      <w:bookmarkEnd w:id="27"/>
      <w:bookmarkEnd w:id="28"/>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1、设备</w:t>
      </w:r>
      <w:r>
        <w:rPr>
          <w:rFonts w:hint="eastAsia" w:ascii="宋体" w:hAnsi="宋体" w:cs="宋体"/>
          <w:b/>
          <w:sz w:val="24"/>
          <w:szCs w:val="24"/>
          <w:lang w:val="en-US" w:eastAsia="zh-CN" w:bidi="ar"/>
        </w:rPr>
        <w:t>维修</w:t>
      </w:r>
      <w:r>
        <w:rPr>
          <w:rFonts w:hint="eastAsia" w:ascii="宋体" w:hAnsi="宋体" w:eastAsia="宋体" w:cs="宋体"/>
          <w:b/>
          <w:sz w:val="24"/>
          <w:szCs w:val="24"/>
          <w:lang w:bidi="ar"/>
        </w:rPr>
        <w:t>内容</w:t>
      </w:r>
    </w:p>
    <w:p>
      <w:pPr>
        <w:pStyle w:val="2"/>
        <w:keepNext/>
        <w:keepLines/>
        <w:pageBreakBefore w:val="0"/>
        <w:widowControl w:val="0"/>
        <w:kinsoku/>
        <w:wordWrap/>
        <w:overflowPunct/>
        <w:topLinePunct w:val="0"/>
        <w:autoSpaceDE/>
        <w:autoSpaceDN/>
        <w:bidi w:val="0"/>
        <w:adjustRightInd/>
        <w:snapToGrid/>
        <w:spacing w:before="0" w:after="0" w:line="360" w:lineRule="auto"/>
        <w:ind w:firstLine="721" w:firstLineChars="300"/>
        <w:textAlignment w:val="auto"/>
        <w:rPr>
          <w:rFonts w:hint="eastAsia" w:ascii="宋体" w:hAnsi="宋体" w:eastAsia="宋体" w:cs="宋体"/>
          <w:b/>
          <w:sz w:val="24"/>
          <w:szCs w:val="24"/>
          <w:lang w:val="en-US" w:eastAsia="zh-CN" w:bidi="ar"/>
        </w:rPr>
      </w:pPr>
      <w:r>
        <w:rPr>
          <w:rFonts w:hint="eastAsia" w:ascii="宋体" w:hAnsi="宋体" w:eastAsia="宋体" w:cs="宋体"/>
          <w:b/>
          <w:sz w:val="24"/>
          <w:szCs w:val="24"/>
          <w:lang w:val="en-US" w:eastAsia="zh-CN" w:bidi="ar"/>
        </w:rPr>
        <w:t>1.1 对设备力值传感器进行标定校准，需委托具备专业检测资质的机构进行检测，并出具检验报告。</w:t>
      </w:r>
    </w:p>
    <w:p>
      <w:pPr>
        <w:rPr>
          <w:rFonts w:hint="eastAsia" w:ascii="宋体" w:hAnsi="宋体" w:cs="宋体"/>
          <w:b/>
          <w:sz w:val="24"/>
          <w:szCs w:val="24"/>
          <w:lang w:val="en-US" w:eastAsia="zh-CN" w:bidi="ar"/>
        </w:rPr>
      </w:pPr>
      <w:r>
        <w:rPr>
          <w:rFonts w:hint="eastAsia" w:ascii="宋体" w:hAnsi="宋体" w:cs="宋体"/>
          <w:b/>
          <w:sz w:val="24"/>
          <w:szCs w:val="24"/>
          <w:lang w:val="en-US" w:eastAsia="zh-CN" w:bidi="ar"/>
        </w:rPr>
        <w:t xml:space="preserve">      1.2 对设备进行静态力调教，检查各信号源的工作情况及精度检查。</w:t>
      </w:r>
    </w:p>
    <w:p>
      <w:pPr>
        <w:pStyle w:val="2"/>
        <w:keepNext/>
        <w:keepLines/>
        <w:pageBreakBefore w:val="0"/>
        <w:widowControl w:val="0"/>
        <w:kinsoku/>
        <w:wordWrap/>
        <w:overflowPunct/>
        <w:topLinePunct w:val="0"/>
        <w:autoSpaceDE/>
        <w:autoSpaceDN/>
        <w:bidi w:val="0"/>
        <w:adjustRightInd/>
        <w:snapToGrid/>
        <w:spacing w:before="0" w:after="0" w:line="413" w:lineRule="auto"/>
        <w:textAlignment w:val="auto"/>
        <w:rPr>
          <w:rFonts w:hint="eastAsia" w:ascii="宋体" w:hAnsi="宋体" w:eastAsia="宋体" w:cs="宋体"/>
          <w:b/>
          <w:sz w:val="24"/>
          <w:szCs w:val="24"/>
          <w:lang w:val="en-US" w:eastAsia="zh-CN" w:bidi="ar"/>
        </w:rPr>
      </w:pPr>
      <w:r>
        <w:rPr>
          <w:rFonts w:hint="eastAsia" w:ascii="宋体" w:hAnsi="宋体" w:cs="宋体"/>
          <w:b/>
          <w:sz w:val="24"/>
          <w:szCs w:val="24"/>
          <w:lang w:val="en-US" w:eastAsia="zh-CN" w:bidi="ar"/>
        </w:rPr>
        <w:t xml:space="preserve">      </w:t>
      </w:r>
      <w:r>
        <w:rPr>
          <w:rFonts w:hint="eastAsia" w:ascii="宋体" w:hAnsi="宋体" w:eastAsia="宋体" w:cs="宋体"/>
          <w:b/>
          <w:sz w:val="24"/>
          <w:szCs w:val="24"/>
          <w:lang w:val="en-US" w:eastAsia="zh-CN" w:bidi="ar"/>
        </w:rPr>
        <w:t>1.3 确定故障点后，对故障点进行处理或更换备件。</w:t>
      </w:r>
    </w:p>
    <w:p>
      <w:pPr>
        <w:rPr>
          <w:rFonts w:hint="eastAsia" w:ascii="宋体" w:hAnsi="宋体" w:cs="宋体"/>
          <w:b/>
          <w:sz w:val="24"/>
          <w:szCs w:val="24"/>
          <w:lang w:val="en-US" w:eastAsia="zh-CN" w:bidi="ar"/>
        </w:rPr>
      </w:pPr>
      <w:r>
        <w:rPr>
          <w:rFonts w:hint="eastAsia" w:ascii="宋体" w:hAnsi="宋体" w:cs="宋体"/>
          <w:b/>
          <w:sz w:val="24"/>
          <w:szCs w:val="24"/>
          <w:lang w:val="en-US" w:eastAsia="zh-CN" w:bidi="ar"/>
        </w:rPr>
        <w:t xml:space="preserve">      1.4 现场服务人员需经过专业培训，具备该设备专业资质。</w:t>
      </w:r>
    </w:p>
    <w:p>
      <w:pPr>
        <w:pStyle w:val="2"/>
        <w:keepNext/>
        <w:keepLines/>
        <w:pageBreakBefore w:val="0"/>
        <w:widowControl w:val="0"/>
        <w:kinsoku/>
        <w:wordWrap/>
        <w:overflowPunct/>
        <w:topLinePunct w:val="0"/>
        <w:autoSpaceDE/>
        <w:autoSpaceDN/>
        <w:bidi w:val="0"/>
        <w:adjustRightInd/>
        <w:snapToGrid/>
        <w:spacing w:before="0" w:after="0" w:line="413" w:lineRule="auto"/>
        <w:textAlignment w:val="auto"/>
        <w:rPr>
          <w:rFonts w:hint="default" w:ascii="宋体" w:hAnsi="宋体" w:eastAsia="宋体" w:cs="宋体"/>
          <w:b/>
          <w:bCs w:val="0"/>
          <w:kern w:val="2"/>
          <w:sz w:val="24"/>
          <w:szCs w:val="24"/>
          <w:lang w:val="en-US" w:eastAsia="zh-CN" w:bidi="ar"/>
        </w:rPr>
      </w:pPr>
      <w:r>
        <w:rPr>
          <w:rFonts w:hint="eastAsia" w:ascii="宋体" w:hAnsi="宋体" w:cs="宋体"/>
          <w:b/>
          <w:sz w:val="24"/>
          <w:szCs w:val="24"/>
          <w:lang w:val="en-US" w:eastAsia="zh-CN" w:bidi="ar"/>
        </w:rPr>
        <w:t xml:space="preserve">      </w:t>
      </w:r>
      <w:r>
        <w:rPr>
          <w:rFonts w:hint="eastAsia" w:ascii="宋体" w:hAnsi="宋体" w:eastAsia="宋体" w:cs="宋体"/>
          <w:b/>
          <w:bCs w:val="0"/>
          <w:kern w:val="2"/>
          <w:sz w:val="24"/>
          <w:szCs w:val="24"/>
          <w:lang w:val="en-US" w:eastAsia="zh-CN" w:bidi="ar"/>
        </w:rPr>
        <w:t>1.5 校准后的设备需满足MIL Std-1312B/80标准要求，可正常进行检测。</w:t>
      </w:r>
    </w:p>
    <w:p>
      <w:pPr>
        <w:spacing w:line="360" w:lineRule="auto"/>
        <w:rPr>
          <w:rFonts w:hint="default"/>
          <w:lang w:val="en-US" w:eastAsia="zh-CN"/>
        </w:rPr>
      </w:pPr>
      <w:r>
        <w:rPr>
          <w:rFonts w:hint="eastAsia" w:ascii="宋体" w:hAnsi="宋体" w:cs="宋体"/>
          <w:b/>
          <w:sz w:val="24"/>
          <w:szCs w:val="24"/>
          <w:lang w:val="en-US" w:eastAsia="zh-CN" w:bidi="ar"/>
        </w:rPr>
        <w:t xml:space="preserve">      </w:t>
      </w:r>
    </w:p>
    <w:p>
      <w:pPr>
        <w:spacing w:line="360" w:lineRule="auto"/>
        <w:ind w:firstLine="480" w:firstLineChars="200"/>
        <w:rPr>
          <w:rFonts w:hint="eastAsia" w:ascii="宋体" w:hAnsi="宋体" w:eastAsia="宋体" w:cs="宋体"/>
          <w:b/>
          <w:sz w:val="24"/>
          <w:szCs w:val="24"/>
          <w:lang w:bidi="ar"/>
        </w:rPr>
      </w:pPr>
      <w:r>
        <w:rPr>
          <w:rFonts w:hint="eastAsia" w:ascii="宋体" w:hAnsi="宋体" w:eastAsia="宋体" w:cs="宋体"/>
          <w:b/>
          <w:sz w:val="24"/>
          <w:szCs w:val="24"/>
          <w:lang w:bidi="ar"/>
        </w:rPr>
        <w:t>2、中标方维修费用</w:t>
      </w:r>
    </w:p>
    <w:p>
      <w:pPr>
        <w:tabs>
          <w:tab w:val="left" w:pos="425"/>
        </w:tabs>
        <w:spacing w:line="360" w:lineRule="auto"/>
        <w:rPr>
          <w:rFonts w:hint="eastAsia" w:ascii="宋体" w:hAnsi="宋体" w:eastAsia="宋体" w:cs="宋体"/>
          <w:sz w:val="24"/>
          <w:szCs w:val="24"/>
          <w:lang w:bidi="ar"/>
        </w:rPr>
      </w:pPr>
      <w:r>
        <w:rPr>
          <w:rFonts w:hint="eastAsia" w:ascii="宋体" w:hAnsi="宋体" w:eastAsia="宋体" w:cs="宋体"/>
          <w:sz w:val="24"/>
          <w:szCs w:val="24"/>
          <w:lang w:bidi="ar"/>
        </w:rPr>
        <w:tab/>
      </w:r>
      <w:r>
        <w:rPr>
          <w:rFonts w:hint="eastAsia" w:ascii="宋体" w:hAnsi="宋体" w:eastAsia="宋体" w:cs="宋体"/>
          <w:sz w:val="24"/>
          <w:szCs w:val="24"/>
          <w:lang w:bidi="ar"/>
        </w:rPr>
        <w:t>中标方接到维修任务时，需48小时内派人到现场勘查，</w:t>
      </w:r>
      <w:r>
        <w:rPr>
          <w:rFonts w:hint="eastAsia" w:ascii="宋体" w:hAnsi="宋体" w:cs="宋体"/>
          <w:sz w:val="24"/>
          <w:szCs w:val="24"/>
          <w:lang w:val="en-US" w:eastAsia="zh-CN" w:bidi="ar"/>
        </w:rPr>
        <w:t>按照合同内约定的内容进行维修，维修完成并通过验收后支付维修费用</w:t>
      </w:r>
      <w:r>
        <w:rPr>
          <w:rFonts w:hint="eastAsia" w:ascii="宋体" w:hAnsi="宋体" w:eastAsia="宋体" w:cs="宋体"/>
          <w:sz w:val="24"/>
          <w:szCs w:val="24"/>
          <w:lang w:bidi="ar"/>
        </w:rPr>
        <w:t>。</w:t>
      </w:r>
    </w:p>
    <w:p>
      <w:pPr>
        <w:spacing w:line="360" w:lineRule="auto"/>
        <w:rPr>
          <w:rFonts w:hint="eastAsia" w:ascii="宋体" w:hAnsi="宋体" w:eastAsia="宋体" w:cs="宋体"/>
          <w:b/>
          <w:sz w:val="24"/>
          <w:szCs w:val="24"/>
          <w:lang w:bidi="ar"/>
        </w:rPr>
      </w:pPr>
      <w:r>
        <w:rPr>
          <w:rFonts w:hint="eastAsia" w:ascii="宋体" w:hAnsi="宋体" w:eastAsia="宋体" w:cs="宋体"/>
          <w:b/>
          <w:sz w:val="24"/>
          <w:szCs w:val="24"/>
          <w:lang w:bidi="ar"/>
        </w:rPr>
        <w:tab/>
      </w:r>
      <w:r>
        <w:rPr>
          <w:rFonts w:hint="eastAsia" w:ascii="宋体" w:hAnsi="宋体" w:eastAsia="宋体" w:cs="宋体"/>
          <w:b/>
          <w:sz w:val="24"/>
          <w:szCs w:val="24"/>
          <w:lang w:bidi="ar"/>
        </w:rPr>
        <w:t>3、免费调换在服务期内因保养不当而损坏的零部件。</w:t>
      </w:r>
    </w:p>
    <w:p>
      <w:pPr>
        <w:tabs>
          <w:tab w:val="left" w:pos="425"/>
        </w:tabs>
        <w:spacing w:line="360" w:lineRule="auto"/>
        <w:ind w:firstLine="480" w:firstLineChars="200"/>
        <w:rPr>
          <w:rFonts w:hint="eastAsia" w:ascii="宋体" w:hAnsi="宋体" w:eastAsia="宋体" w:cs="宋体"/>
          <w:sz w:val="24"/>
        </w:rPr>
      </w:pPr>
      <w:r>
        <w:rPr>
          <w:rFonts w:hint="eastAsia" w:ascii="宋体" w:hAnsi="宋体" w:eastAsia="宋体" w:cs="宋体"/>
          <w:sz w:val="24"/>
          <w:szCs w:val="24"/>
          <w:lang w:bidi="ar"/>
        </w:rPr>
        <w:t>4、</w:t>
      </w:r>
      <w:r>
        <w:rPr>
          <w:rFonts w:hint="eastAsia" w:ascii="宋体" w:hAnsi="宋体" w:eastAsia="宋体" w:cs="宋体"/>
          <w:b/>
          <w:sz w:val="24"/>
          <w:szCs w:val="24"/>
          <w:lang w:bidi="ar"/>
        </w:rPr>
        <w:t>投标方必须列全配件价格表，作为双方维修价格的依据，配件及</w:t>
      </w:r>
      <w:r>
        <w:rPr>
          <w:rFonts w:hint="eastAsia" w:ascii="宋体" w:hAnsi="宋体" w:eastAsia="宋体" w:cs="宋体"/>
          <w:b/>
          <w:sz w:val="24"/>
        </w:rPr>
        <w:t>维修价格不在明细中的，甲、乙双方协商解决，费用由甲方承担。</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38C4D5A"/>
    <w:rsid w:val="047E2524"/>
    <w:rsid w:val="09F71817"/>
    <w:rsid w:val="0C3453CF"/>
    <w:rsid w:val="0C6D5414"/>
    <w:rsid w:val="0D0E1C74"/>
    <w:rsid w:val="14A15C19"/>
    <w:rsid w:val="17DA2913"/>
    <w:rsid w:val="17EB3444"/>
    <w:rsid w:val="17EC378B"/>
    <w:rsid w:val="18076BC0"/>
    <w:rsid w:val="20863DC6"/>
    <w:rsid w:val="25132C86"/>
    <w:rsid w:val="29894432"/>
    <w:rsid w:val="2EB771D0"/>
    <w:rsid w:val="33DF32D8"/>
    <w:rsid w:val="34F7633C"/>
    <w:rsid w:val="39086FC9"/>
    <w:rsid w:val="419F2398"/>
    <w:rsid w:val="4C3A530E"/>
    <w:rsid w:val="4F9E2373"/>
    <w:rsid w:val="506C64E0"/>
    <w:rsid w:val="51D2577C"/>
    <w:rsid w:val="529E721A"/>
    <w:rsid w:val="60AE53F2"/>
    <w:rsid w:val="636F4F70"/>
    <w:rsid w:val="65AD6236"/>
    <w:rsid w:val="69006FA7"/>
    <w:rsid w:val="6A8944E2"/>
    <w:rsid w:val="6C751E94"/>
    <w:rsid w:val="717B72EE"/>
    <w:rsid w:val="720E4873"/>
    <w:rsid w:val="750940E9"/>
    <w:rsid w:val="77EF6C01"/>
    <w:rsid w:val="7D4635F6"/>
    <w:rsid w:val="EBDB512A"/>
    <w:rsid w:val="EDFDD2D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29</Pages>
  <Words>7026</Words>
  <Characters>7278</Characters>
  <Lines>247</Lines>
  <Paragraphs>69</Paragraphs>
  <TotalTime>0</TotalTime>
  <ScaleCrop>false</ScaleCrop>
  <LinksUpToDate>false</LinksUpToDate>
  <CharactersWithSpaces>8712</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2025-07-15T17:35:44Z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