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p>
    <w:p>
      <w:pPr>
        <w:pStyle w:val="18"/>
        <w:jc w:val="center"/>
        <w:outlineLvl w:val="0"/>
        <w:rPr>
          <w:rFonts w:hint="eastAsia" w:ascii="Calibri" w:hAnsi="宋体" w:eastAsia="宋体" w:cs="Times New Roman"/>
          <w:b/>
          <w:bCs/>
          <w:color w:val="000000"/>
          <w:spacing w:val="-8"/>
          <w:sz w:val="48"/>
          <w:szCs w:val="44"/>
          <w:lang w:eastAsia="zh-CN"/>
        </w:rPr>
      </w:pPr>
      <w:bookmarkStart w:id="0" w:name="_Toc8619"/>
      <w:r>
        <w:rPr>
          <w:rFonts w:hint="eastAsia" w:ascii="Calibri" w:hAnsi="宋体" w:eastAsia="宋体" w:cs="Times New Roman"/>
          <w:b/>
          <w:bCs/>
          <w:color w:val="000000"/>
          <w:spacing w:val="-8"/>
          <w:sz w:val="48"/>
          <w:szCs w:val="44"/>
          <w:lang w:eastAsia="zh-CN"/>
        </w:rPr>
        <w:t>中国重汽集团杭州发动机有限公司</w:t>
      </w:r>
      <w:bookmarkEnd w:id="0"/>
    </w:p>
    <w:p>
      <w:pPr>
        <w:pStyle w:val="18"/>
        <w:jc w:val="center"/>
        <w:outlineLvl w:val="0"/>
        <w:rPr>
          <w:rFonts w:hint="eastAsia" w:ascii="Calibri" w:hAnsi="宋体" w:eastAsia="宋体" w:cs="Times New Roman"/>
          <w:b/>
          <w:bCs/>
          <w:color w:val="000000"/>
          <w:spacing w:val="-8"/>
          <w:sz w:val="48"/>
          <w:szCs w:val="44"/>
          <w:lang w:eastAsia="zh-CN"/>
        </w:rPr>
      </w:pPr>
      <w:bookmarkStart w:id="1" w:name="_Toc15339"/>
      <w:r>
        <w:rPr>
          <w:rFonts w:hint="eastAsia" w:ascii="Calibri" w:hAnsi="宋体" w:eastAsia="宋体" w:cs="Times New Roman"/>
          <w:b/>
          <w:bCs/>
          <w:color w:val="000000"/>
          <w:spacing w:val="-8"/>
          <w:sz w:val="48"/>
          <w:szCs w:val="44"/>
          <w:lang w:eastAsia="zh-CN"/>
        </w:rPr>
        <w:t>MC07</w:t>
      </w:r>
      <w:r>
        <w:rPr>
          <w:rFonts w:hint="eastAsia" w:ascii="Calibri" w:hAnsi="宋体" w:eastAsia="宋体" w:cs="Times New Roman"/>
          <w:b/>
          <w:bCs/>
          <w:color w:val="000000"/>
          <w:spacing w:val="-8"/>
          <w:sz w:val="48"/>
          <w:szCs w:val="44"/>
          <w:lang w:val="en-US" w:eastAsia="zh-CN"/>
        </w:rPr>
        <w:t>缸盖下沉水套工装模具（2025）</w:t>
      </w:r>
      <w:bookmarkEnd w:id="1"/>
    </w:p>
    <w:p>
      <w:pPr>
        <w:pStyle w:val="18"/>
        <w:rPr>
          <w:rFonts w:hint="eastAsia"/>
          <w:lang w:eastAsia="zh-CN"/>
        </w:rPr>
      </w:pPr>
    </w:p>
    <w:p>
      <w:pPr>
        <w:pStyle w:val="18"/>
        <w:rPr>
          <w:rFonts w:hint="eastAsia"/>
          <w:lang w:eastAsia="zh-CN"/>
        </w:rPr>
      </w:pPr>
    </w:p>
    <w:p>
      <w:pPr>
        <w:jc w:val="right"/>
        <w:rPr>
          <w:rFonts w:ascii="Calibri" w:hAnsi="Calibri" w:eastAsia="宋体" w:cs="Times New Roman"/>
          <w:color w:val="000000"/>
          <w:sz w:val="28"/>
          <w:szCs w:val="28"/>
        </w:rPr>
      </w:pPr>
    </w:p>
    <w:p>
      <w:pPr>
        <w:jc w:val="center"/>
        <w:outlineLvl w:val="0"/>
        <w:rPr>
          <w:rFonts w:ascii="黑体" w:hAnsi="宋体" w:eastAsia="黑体" w:cs="Times New Roman"/>
          <w:color w:val="000000"/>
          <w:sz w:val="72"/>
          <w:szCs w:val="72"/>
        </w:rPr>
      </w:pPr>
      <w:bookmarkStart w:id="2" w:name="_Toc23757"/>
      <w:r>
        <w:rPr>
          <w:rFonts w:hint="eastAsia" w:ascii="黑体" w:hAnsi="宋体" w:eastAsia="黑体" w:cs="Times New Roman"/>
          <w:color w:val="000000"/>
          <w:sz w:val="72"/>
          <w:szCs w:val="72"/>
        </w:rPr>
        <w:t>招</w:t>
      </w:r>
      <w:bookmarkEnd w:id="2"/>
    </w:p>
    <w:p>
      <w:pPr>
        <w:jc w:val="center"/>
        <w:rPr>
          <w:rFonts w:ascii="黑体" w:hAnsi="宋体" w:eastAsia="黑体" w:cs="Times New Roman"/>
          <w:color w:val="000000"/>
          <w:sz w:val="72"/>
          <w:szCs w:val="72"/>
        </w:rPr>
      </w:pPr>
    </w:p>
    <w:p>
      <w:pPr>
        <w:jc w:val="center"/>
        <w:outlineLvl w:val="0"/>
        <w:rPr>
          <w:rFonts w:ascii="黑体" w:hAnsi="宋体" w:eastAsia="黑体" w:cs="Times New Roman"/>
          <w:color w:val="000000"/>
          <w:sz w:val="72"/>
          <w:szCs w:val="72"/>
        </w:rPr>
      </w:pPr>
      <w:bookmarkStart w:id="3" w:name="_Toc1077"/>
      <w:r>
        <w:rPr>
          <w:rFonts w:hint="eastAsia" w:ascii="黑体" w:hAnsi="宋体" w:eastAsia="黑体" w:cs="Times New Roman"/>
          <w:color w:val="000000"/>
          <w:sz w:val="72"/>
          <w:szCs w:val="72"/>
        </w:rPr>
        <w:t>标</w:t>
      </w:r>
      <w:bookmarkEnd w:id="3"/>
    </w:p>
    <w:p>
      <w:pPr>
        <w:jc w:val="center"/>
        <w:rPr>
          <w:rFonts w:ascii="黑体" w:hAnsi="宋体" w:eastAsia="黑体" w:cs="Times New Roman"/>
          <w:color w:val="000000"/>
          <w:sz w:val="72"/>
          <w:szCs w:val="72"/>
        </w:rPr>
      </w:pPr>
    </w:p>
    <w:p>
      <w:pPr>
        <w:jc w:val="center"/>
        <w:outlineLvl w:val="0"/>
        <w:rPr>
          <w:rFonts w:ascii="宋体" w:hAnsi="Calibri" w:eastAsia="宋体" w:cs="Times New Roman"/>
          <w:color w:val="000000"/>
          <w:sz w:val="28"/>
          <w:szCs w:val="28"/>
        </w:rPr>
      </w:pPr>
      <w:bookmarkStart w:id="4" w:name="_Toc9481"/>
      <w:r>
        <w:rPr>
          <w:rFonts w:hint="eastAsia" w:ascii="黑体" w:hAnsi="宋体" w:eastAsia="黑体" w:cs="Times New Roman"/>
          <w:color w:val="000000"/>
          <w:sz w:val="72"/>
          <w:szCs w:val="72"/>
        </w:rPr>
        <w:t>书</w:t>
      </w:r>
      <w:bookmarkEnd w:id="4"/>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sz w:val="32"/>
          <w:szCs w:val="28"/>
        </w:rPr>
      </w:pPr>
    </w:p>
    <w:p>
      <w:pPr>
        <w:spacing w:line="860" w:lineRule="exact"/>
        <w:rPr>
          <w:rFonts w:hint="eastAsia"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18"/>
        <w:rPr>
          <w:b/>
          <w:bCs/>
        </w:rPr>
      </w:pPr>
    </w:p>
    <w:p>
      <w:pPr>
        <w:jc w:val="center"/>
        <w:outlineLvl w:val="0"/>
        <w:rPr>
          <w:rFonts w:hint="eastAsia" w:ascii="宋体" w:hAnsi="Calibri" w:eastAsia="宋体" w:cs="Times New Roman"/>
          <w:color w:val="000000"/>
          <w:sz w:val="28"/>
          <w:szCs w:val="28"/>
          <w:lang w:eastAsia="zh-CN"/>
        </w:rPr>
      </w:pPr>
      <w:bookmarkStart w:id="5" w:name="_Toc7636"/>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中国重汽集团杭州发动机有限公司</w:t>
      </w:r>
      <w:bookmarkEnd w:id="5"/>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8</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3" w:type="first"/>
          <w:footerReference r:id="rId5" w:type="first"/>
          <w:footerReference r:id="rId4" w:type="default"/>
          <w:pgSz w:w="11906" w:h="16838"/>
          <w:pgMar w:top="1588" w:right="1418" w:bottom="1134" w:left="1418" w:header="851" w:footer="992" w:gutter="0"/>
          <w:cols w:space="720" w:num="1"/>
          <w:titlePg/>
          <w:docGrid w:type="lines" w:linePitch="312" w:charSpace="0"/>
        </w:sectPr>
      </w:pPr>
    </w:p>
    <w:sdt>
      <w:sdtPr>
        <w:rPr>
          <w:rFonts w:ascii="宋体" w:hAnsi="宋体" w:eastAsia="宋体" w:cstheme="minorBidi"/>
          <w:b/>
          <w:bCs/>
          <w:kern w:val="2"/>
          <w:sz w:val="52"/>
          <w:szCs w:val="52"/>
          <w:lang w:val="en-US" w:eastAsia="zh-CN" w:bidi="ar-SA"/>
        </w:rPr>
        <w:id w:val="147467111"/>
        <w15:color w:val="DBDBDB"/>
        <w:docPartObj>
          <w:docPartGallery w:val="Table of Contents"/>
          <w:docPartUnique/>
        </w:docPartObj>
      </w:sdtPr>
      <w:sdtEndPr>
        <w:rPr>
          <w:rFonts w:ascii="宋体" w:hAnsi="宋体" w:eastAsia="宋体" w:cstheme="minorBidi"/>
          <w:b/>
          <w:bCs/>
          <w:kern w:val="2"/>
          <w:sz w:val="52"/>
          <w:szCs w:val="52"/>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b/>
              <w:bCs/>
              <w:kern w:val="2"/>
              <w:sz w:val="52"/>
              <w:szCs w:val="52"/>
              <w:lang w:val="en-US" w:eastAsia="zh-CN" w:bidi="ar-SA"/>
            </w:rPr>
          </w:pPr>
        </w:p>
        <w:p>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rPr>
          </w:pPr>
          <w:r>
            <w:rPr>
              <w:rFonts w:hint="eastAsia" w:ascii="宋体" w:hAnsi="宋体" w:eastAsia="宋体" w:cs="宋体"/>
              <w:b/>
              <w:bCs/>
              <w:sz w:val="52"/>
              <w:szCs w:val="52"/>
            </w:rPr>
            <w:t>目</w:t>
          </w:r>
          <w:r>
            <w:rPr>
              <w:rFonts w:hint="eastAsia" w:ascii="宋体" w:hAnsi="宋体" w:eastAsia="宋体" w:cs="宋体"/>
              <w:b/>
              <w:bCs/>
              <w:sz w:val="52"/>
              <w:szCs w:val="52"/>
              <w:lang w:val="en-US" w:eastAsia="zh-CN"/>
            </w:rPr>
            <w:t xml:space="preserve">  </w:t>
          </w:r>
          <w:r>
            <w:rPr>
              <w:rFonts w:hint="eastAsia" w:ascii="宋体" w:hAnsi="宋体" w:eastAsia="宋体" w:cs="宋体"/>
              <w:b/>
              <w:bCs/>
              <w:sz w:val="52"/>
              <w:szCs w:val="52"/>
            </w:rPr>
            <w:t>录</w:t>
          </w:r>
        </w:p>
        <w:p>
          <w:pPr>
            <w:pStyle w:val="130"/>
            <w:tabs>
              <w:tab w:val="right" w:leader="dot" w:pos="9071"/>
            </w:tabs>
            <w:rPr>
              <w:rFonts w:hint="eastAsia" w:ascii="宋体" w:hAnsi="宋体" w:eastAsia="宋体" w:cs="宋体"/>
              <w:sz w:val="32"/>
              <w:szCs w:val="32"/>
            </w:rPr>
          </w:pPr>
        </w:p>
        <w:p>
          <w:pPr>
            <w:pStyle w:val="130"/>
            <w:tabs>
              <w:tab w:val="right" w:leader="dot" w:pos="9071"/>
            </w:tabs>
            <w:rPr>
              <w:rFonts w:hint="eastAsia" w:ascii="宋体" w:hAnsi="宋体" w:eastAsia="宋体" w:cs="宋体"/>
              <w:sz w:val="32"/>
              <w:szCs w:val="32"/>
            </w:rPr>
          </w:pPr>
        </w:p>
        <w:p>
          <w:pPr>
            <w:pStyle w:val="130"/>
            <w:tabs>
              <w:tab w:val="right" w:leader="dot" w:pos="9071"/>
            </w:tabs>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TOC \o "1-1" \h \u </w:instrText>
          </w:r>
          <w:r>
            <w:rPr>
              <w:rFonts w:hint="eastAsia" w:ascii="宋体" w:hAnsi="宋体" w:eastAsia="宋体" w:cs="宋体"/>
              <w:sz w:val="32"/>
              <w:szCs w:val="32"/>
            </w:rPr>
            <w:fldChar w:fldCharType="separate"/>
          </w:r>
        </w:p>
        <w:p>
          <w:pPr>
            <w:pStyle w:val="130"/>
            <w:tabs>
              <w:tab w:val="right" w:leader="dot" w:pos="9071"/>
            </w:tabs>
            <w:spacing w:line="360" w:lineRule="auto"/>
            <w:rPr>
              <w:rFonts w:hint="eastAsia" w:ascii="宋体" w:hAnsi="宋体" w:eastAsia="宋体" w:cs="宋体"/>
              <w:sz w:val="36"/>
              <w:szCs w:val="36"/>
            </w:rPr>
          </w:pP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HYPERLINK \l _Toc77 </w:instrText>
          </w:r>
          <w:r>
            <w:rPr>
              <w:rFonts w:hint="eastAsia" w:ascii="宋体" w:hAnsi="宋体" w:eastAsia="宋体" w:cs="宋体"/>
              <w:sz w:val="36"/>
              <w:szCs w:val="36"/>
            </w:rPr>
            <w:fldChar w:fldCharType="separate"/>
          </w:r>
          <w:r>
            <w:rPr>
              <w:rFonts w:hint="eastAsia" w:ascii="宋体" w:hAnsi="宋体" w:eastAsia="宋体" w:cs="宋体"/>
              <w:bCs/>
              <w:kern w:val="44"/>
              <w:sz w:val="36"/>
              <w:szCs w:val="36"/>
            </w:rPr>
            <w:t>第一部分 投标须知前附表</w:t>
          </w:r>
          <w:r>
            <w:rPr>
              <w:rFonts w:hint="eastAsia" w:ascii="宋体" w:hAnsi="宋体" w:eastAsia="宋体" w:cs="宋体"/>
              <w:sz w:val="36"/>
              <w:szCs w:val="36"/>
            </w:rPr>
            <w:tab/>
          </w: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PAGEREF _Toc77 \h </w:instrText>
          </w:r>
          <w:r>
            <w:rPr>
              <w:rFonts w:hint="eastAsia" w:ascii="宋体" w:hAnsi="宋体" w:eastAsia="宋体" w:cs="宋体"/>
              <w:sz w:val="36"/>
              <w:szCs w:val="36"/>
            </w:rPr>
            <w:fldChar w:fldCharType="separate"/>
          </w:r>
          <w:r>
            <w:rPr>
              <w:rFonts w:hint="eastAsia" w:ascii="宋体" w:hAnsi="宋体" w:eastAsia="宋体" w:cs="宋体"/>
              <w:sz w:val="36"/>
              <w:szCs w:val="36"/>
            </w:rPr>
            <w:t>3</w:t>
          </w:r>
          <w:r>
            <w:rPr>
              <w:rFonts w:hint="eastAsia" w:ascii="宋体" w:hAnsi="宋体" w:eastAsia="宋体" w:cs="宋体"/>
              <w:sz w:val="36"/>
              <w:szCs w:val="36"/>
            </w:rPr>
            <w:fldChar w:fldCharType="end"/>
          </w:r>
          <w:r>
            <w:rPr>
              <w:rFonts w:hint="eastAsia" w:ascii="宋体" w:hAnsi="宋体" w:eastAsia="宋体" w:cs="宋体"/>
              <w:sz w:val="36"/>
              <w:szCs w:val="36"/>
            </w:rPr>
            <w:fldChar w:fldCharType="end"/>
          </w:r>
        </w:p>
        <w:p>
          <w:pPr>
            <w:pStyle w:val="130"/>
            <w:tabs>
              <w:tab w:val="right" w:leader="dot" w:pos="9071"/>
            </w:tabs>
            <w:spacing w:line="360" w:lineRule="auto"/>
            <w:rPr>
              <w:rFonts w:hint="eastAsia" w:ascii="宋体" w:hAnsi="宋体" w:eastAsia="宋体" w:cs="宋体"/>
              <w:sz w:val="36"/>
              <w:szCs w:val="36"/>
            </w:rPr>
          </w:pP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HYPERLINK \l _Toc5706 </w:instrText>
          </w:r>
          <w:r>
            <w:rPr>
              <w:rFonts w:hint="eastAsia" w:ascii="宋体" w:hAnsi="宋体" w:eastAsia="宋体" w:cs="宋体"/>
              <w:sz w:val="36"/>
              <w:szCs w:val="36"/>
            </w:rPr>
            <w:fldChar w:fldCharType="separate"/>
          </w:r>
          <w:r>
            <w:rPr>
              <w:rFonts w:hint="eastAsia" w:ascii="宋体" w:hAnsi="宋体" w:eastAsia="宋体" w:cs="宋体"/>
              <w:bCs/>
              <w:kern w:val="44"/>
              <w:sz w:val="36"/>
              <w:szCs w:val="36"/>
            </w:rPr>
            <w:t>第二部分 投标须知</w:t>
          </w:r>
          <w:r>
            <w:rPr>
              <w:rFonts w:hint="eastAsia" w:ascii="宋体" w:hAnsi="宋体" w:eastAsia="宋体" w:cs="宋体"/>
              <w:sz w:val="36"/>
              <w:szCs w:val="36"/>
            </w:rPr>
            <w:tab/>
          </w: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PAGEREF _Toc5706 \h </w:instrText>
          </w:r>
          <w:r>
            <w:rPr>
              <w:rFonts w:hint="eastAsia" w:ascii="宋体" w:hAnsi="宋体" w:eastAsia="宋体" w:cs="宋体"/>
              <w:sz w:val="36"/>
              <w:szCs w:val="36"/>
            </w:rPr>
            <w:fldChar w:fldCharType="separate"/>
          </w:r>
          <w:r>
            <w:rPr>
              <w:rFonts w:hint="eastAsia" w:ascii="宋体" w:hAnsi="宋体" w:eastAsia="宋体" w:cs="宋体"/>
              <w:sz w:val="36"/>
              <w:szCs w:val="36"/>
            </w:rPr>
            <w:t>7</w:t>
          </w:r>
          <w:r>
            <w:rPr>
              <w:rFonts w:hint="eastAsia" w:ascii="宋体" w:hAnsi="宋体" w:eastAsia="宋体" w:cs="宋体"/>
              <w:sz w:val="36"/>
              <w:szCs w:val="36"/>
            </w:rPr>
            <w:fldChar w:fldCharType="end"/>
          </w:r>
          <w:r>
            <w:rPr>
              <w:rFonts w:hint="eastAsia" w:ascii="宋体" w:hAnsi="宋体" w:eastAsia="宋体" w:cs="宋体"/>
              <w:sz w:val="36"/>
              <w:szCs w:val="36"/>
            </w:rPr>
            <w:fldChar w:fldCharType="end"/>
          </w:r>
        </w:p>
        <w:p>
          <w:pPr>
            <w:pStyle w:val="130"/>
            <w:tabs>
              <w:tab w:val="right" w:leader="dot" w:pos="9071"/>
            </w:tabs>
            <w:spacing w:line="360" w:lineRule="auto"/>
            <w:rPr>
              <w:rFonts w:hint="eastAsia" w:ascii="宋体" w:hAnsi="宋体" w:eastAsia="宋体" w:cs="宋体"/>
              <w:sz w:val="36"/>
              <w:szCs w:val="36"/>
            </w:rPr>
          </w:pP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HYPERLINK \l _Toc28748 </w:instrText>
          </w:r>
          <w:r>
            <w:rPr>
              <w:rFonts w:hint="eastAsia" w:ascii="宋体" w:hAnsi="宋体" w:eastAsia="宋体" w:cs="宋体"/>
              <w:sz w:val="36"/>
              <w:szCs w:val="36"/>
            </w:rPr>
            <w:fldChar w:fldCharType="separate"/>
          </w:r>
          <w:r>
            <w:rPr>
              <w:rFonts w:hint="eastAsia" w:ascii="宋体" w:hAnsi="宋体" w:eastAsia="宋体" w:cs="宋体"/>
              <w:bCs/>
              <w:kern w:val="44"/>
              <w:sz w:val="36"/>
              <w:szCs w:val="36"/>
            </w:rPr>
            <w:t>第三部分 投标文件编制</w:t>
          </w:r>
          <w:r>
            <w:rPr>
              <w:rFonts w:hint="eastAsia" w:ascii="宋体" w:hAnsi="宋体" w:eastAsia="宋体" w:cs="宋体"/>
              <w:sz w:val="36"/>
              <w:szCs w:val="36"/>
            </w:rPr>
            <w:tab/>
          </w: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PAGEREF _Toc28748 \h </w:instrText>
          </w:r>
          <w:r>
            <w:rPr>
              <w:rFonts w:hint="eastAsia" w:ascii="宋体" w:hAnsi="宋体" w:eastAsia="宋体" w:cs="宋体"/>
              <w:sz w:val="36"/>
              <w:szCs w:val="36"/>
            </w:rPr>
            <w:fldChar w:fldCharType="separate"/>
          </w:r>
          <w:r>
            <w:rPr>
              <w:rFonts w:hint="eastAsia" w:ascii="宋体" w:hAnsi="宋体" w:eastAsia="宋体" w:cs="宋体"/>
              <w:sz w:val="36"/>
              <w:szCs w:val="36"/>
            </w:rPr>
            <w:t>13</w:t>
          </w:r>
          <w:r>
            <w:rPr>
              <w:rFonts w:hint="eastAsia" w:ascii="宋体" w:hAnsi="宋体" w:eastAsia="宋体" w:cs="宋体"/>
              <w:sz w:val="36"/>
              <w:szCs w:val="36"/>
            </w:rPr>
            <w:fldChar w:fldCharType="end"/>
          </w:r>
          <w:r>
            <w:rPr>
              <w:rFonts w:hint="eastAsia" w:ascii="宋体" w:hAnsi="宋体" w:eastAsia="宋体" w:cs="宋体"/>
              <w:sz w:val="36"/>
              <w:szCs w:val="36"/>
            </w:rPr>
            <w:fldChar w:fldCharType="end"/>
          </w:r>
        </w:p>
        <w:p>
          <w:pPr>
            <w:pStyle w:val="130"/>
            <w:tabs>
              <w:tab w:val="right" w:leader="dot" w:pos="9071"/>
            </w:tabs>
            <w:spacing w:line="360" w:lineRule="auto"/>
            <w:rPr>
              <w:rFonts w:hint="eastAsia" w:ascii="宋体" w:hAnsi="宋体" w:eastAsia="宋体" w:cs="宋体"/>
              <w:sz w:val="36"/>
              <w:szCs w:val="36"/>
            </w:rPr>
          </w:pP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HYPERLINK \l _Toc20934 </w:instrText>
          </w:r>
          <w:r>
            <w:rPr>
              <w:rFonts w:hint="eastAsia" w:ascii="宋体" w:hAnsi="宋体" w:eastAsia="宋体" w:cs="宋体"/>
              <w:sz w:val="36"/>
              <w:szCs w:val="36"/>
            </w:rPr>
            <w:fldChar w:fldCharType="separate"/>
          </w:r>
          <w:r>
            <w:rPr>
              <w:rFonts w:hint="eastAsia" w:ascii="宋体" w:hAnsi="宋体" w:eastAsia="宋体" w:cs="宋体"/>
              <w:bCs/>
              <w:kern w:val="44"/>
              <w:sz w:val="36"/>
              <w:szCs w:val="36"/>
            </w:rPr>
            <w:t>第四部分 技术标书</w:t>
          </w:r>
          <w:r>
            <w:rPr>
              <w:rFonts w:hint="eastAsia" w:ascii="宋体" w:hAnsi="宋体" w:eastAsia="宋体" w:cs="宋体"/>
              <w:sz w:val="36"/>
              <w:szCs w:val="36"/>
            </w:rPr>
            <w:tab/>
          </w: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PAGEREF _Toc20934 \h </w:instrText>
          </w:r>
          <w:r>
            <w:rPr>
              <w:rFonts w:hint="eastAsia" w:ascii="宋体" w:hAnsi="宋体" w:eastAsia="宋体" w:cs="宋体"/>
              <w:sz w:val="36"/>
              <w:szCs w:val="36"/>
            </w:rPr>
            <w:fldChar w:fldCharType="separate"/>
          </w:r>
          <w:r>
            <w:rPr>
              <w:rFonts w:hint="eastAsia" w:ascii="宋体" w:hAnsi="宋体" w:eastAsia="宋体" w:cs="宋体"/>
              <w:sz w:val="36"/>
              <w:szCs w:val="36"/>
            </w:rPr>
            <w:t>16</w:t>
          </w:r>
          <w:r>
            <w:rPr>
              <w:rFonts w:hint="eastAsia" w:ascii="宋体" w:hAnsi="宋体" w:eastAsia="宋体" w:cs="宋体"/>
              <w:sz w:val="36"/>
              <w:szCs w:val="36"/>
            </w:rPr>
            <w:fldChar w:fldCharType="end"/>
          </w:r>
          <w:r>
            <w:rPr>
              <w:rFonts w:hint="eastAsia" w:ascii="宋体" w:hAnsi="宋体" w:eastAsia="宋体" w:cs="宋体"/>
              <w:sz w:val="36"/>
              <w:szCs w:val="36"/>
            </w:rPr>
            <w:fldChar w:fldCharType="end"/>
          </w:r>
        </w:p>
        <w:p>
          <w:pPr>
            <w:pStyle w:val="130"/>
            <w:tabs>
              <w:tab w:val="right" w:leader="dot" w:pos="9071"/>
            </w:tabs>
            <w:spacing w:line="360" w:lineRule="auto"/>
            <w:rPr>
              <w:rFonts w:hint="eastAsia" w:ascii="宋体" w:hAnsi="宋体" w:eastAsia="宋体" w:cs="宋体"/>
              <w:sz w:val="36"/>
              <w:szCs w:val="36"/>
            </w:rPr>
          </w:pP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HYPERLINK \l _Toc21636 </w:instrText>
          </w:r>
          <w:r>
            <w:rPr>
              <w:rFonts w:hint="eastAsia" w:ascii="宋体" w:hAnsi="宋体" w:eastAsia="宋体" w:cs="宋体"/>
              <w:sz w:val="36"/>
              <w:szCs w:val="36"/>
            </w:rPr>
            <w:fldChar w:fldCharType="separate"/>
          </w:r>
          <w:r>
            <w:rPr>
              <w:rFonts w:hint="eastAsia" w:ascii="宋体" w:hAnsi="宋体" w:eastAsia="宋体" w:cs="宋体"/>
              <w:bCs/>
              <w:kern w:val="44"/>
              <w:sz w:val="36"/>
              <w:szCs w:val="36"/>
              <w:lang w:val="en-US" w:eastAsia="zh-CN"/>
            </w:rPr>
            <w:t>第五部分 合同主要条款</w:t>
          </w:r>
          <w:r>
            <w:rPr>
              <w:rFonts w:hint="eastAsia" w:ascii="宋体" w:hAnsi="宋体" w:eastAsia="宋体" w:cs="宋体"/>
              <w:sz w:val="36"/>
              <w:szCs w:val="36"/>
            </w:rPr>
            <w:tab/>
          </w: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PAGEREF _Toc21636 \h </w:instrText>
          </w:r>
          <w:r>
            <w:rPr>
              <w:rFonts w:hint="eastAsia" w:ascii="宋体" w:hAnsi="宋体" w:eastAsia="宋体" w:cs="宋体"/>
              <w:sz w:val="36"/>
              <w:szCs w:val="36"/>
            </w:rPr>
            <w:fldChar w:fldCharType="separate"/>
          </w:r>
          <w:r>
            <w:rPr>
              <w:rFonts w:hint="eastAsia" w:ascii="宋体" w:hAnsi="宋体" w:eastAsia="宋体" w:cs="宋体"/>
              <w:sz w:val="36"/>
              <w:szCs w:val="36"/>
            </w:rPr>
            <w:t>2</w:t>
          </w:r>
          <w:r>
            <w:rPr>
              <w:rFonts w:hint="eastAsia" w:ascii="宋体" w:hAnsi="宋体" w:cs="宋体"/>
              <w:sz w:val="36"/>
              <w:szCs w:val="36"/>
              <w:lang w:val="en-US" w:eastAsia="zh-CN"/>
            </w:rPr>
            <w:t>3</w:t>
          </w:r>
          <w:r>
            <w:rPr>
              <w:rFonts w:hint="eastAsia" w:ascii="宋体" w:hAnsi="宋体" w:eastAsia="宋体" w:cs="宋体"/>
              <w:sz w:val="36"/>
              <w:szCs w:val="36"/>
            </w:rPr>
            <w:fldChar w:fldCharType="end"/>
          </w:r>
          <w:r>
            <w:rPr>
              <w:rFonts w:hint="eastAsia" w:ascii="宋体" w:hAnsi="宋体" w:eastAsia="宋体" w:cs="宋体"/>
              <w:sz w:val="36"/>
              <w:szCs w:val="36"/>
            </w:rPr>
            <w:fldChar w:fldCharType="end"/>
          </w:r>
        </w:p>
        <w:p>
          <w:pPr>
            <w:pStyle w:val="130"/>
            <w:tabs>
              <w:tab w:val="right" w:leader="dot" w:pos="9071"/>
            </w:tabs>
            <w:spacing w:line="360" w:lineRule="auto"/>
            <w:ind w:firstLine="0" w:firstLineChars="0"/>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附件：</w:t>
          </w: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HYPERLINK \l _Toc13752 </w:instrText>
          </w:r>
          <w:r>
            <w:rPr>
              <w:rFonts w:hint="eastAsia" w:ascii="宋体" w:hAnsi="宋体" w:eastAsia="宋体" w:cs="宋体"/>
              <w:sz w:val="36"/>
              <w:szCs w:val="36"/>
            </w:rPr>
            <w:fldChar w:fldCharType="separate"/>
          </w:r>
          <w:r>
            <w:rPr>
              <w:rFonts w:hint="eastAsia" w:ascii="宋体" w:hAnsi="宋体" w:eastAsia="宋体" w:cs="宋体"/>
              <w:sz w:val="36"/>
              <w:szCs w:val="36"/>
            </w:rPr>
            <w:t>廉洁诚信协议</w:t>
          </w:r>
          <w:r>
            <w:rPr>
              <w:rFonts w:hint="eastAsia" w:ascii="宋体" w:hAnsi="宋体" w:eastAsia="宋体" w:cs="宋体"/>
              <w:sz w:val="36"/>
              <w:szCs w:val="36"/>
            </w:rPr>
            <w:tab/>
          </w:r>
          <w:r>
            <w:rPr>
              <w:rFonts w:hint="eastAsia" w:ascii="宋体" w:hAnsi="宋体" w:cs="宋体"/>
              <w:sz w:val="36"/>
              <w:szCs w:val="36"/>
              <w:lang w:val="en-US" w:eastAsia="zh-CN"/>
            </w:rPr>
            <w:t>2</w:t>
          </w:r>
          <w:r>
            <w:rPr>
              <w:rFonts w:hint="eastAsia" w:ascii="宋体" w:hAnsi="宋体" w:eastAsia="宋体" w:cs="宋体"/>
              <w:sz w:val="36"/>
              <w:szCs w:val="36"/>
            </w:rPr>
            <w:fldChar w:fldCharType="end"/>
          </w:r>
          <w:r>
            <w:rPr>
              <w:rFonts w:hint="eastAsia" w:ascii="宋体" w:hAnsi="宋体" w:cs="宋体"/>
              <w:sz w:val="36"/>
              <w:szCs w:val="36"/>
              <w:lang w:val="en-US" w:eastAsia="zh-CN"/>
            </w:rPr>
            <w:t>9</w:t>
          </w:r>
        </w:p>
        <w:p>
          <w:pPr>
            <w:pStyle w:val="130"/>
            <w:tabs>
              <w:tab w:val="right" w:leader="dot" w:pos="9071"/>
            </w:tabs>
            <w:spacing w:line="360" w:lineRule="auto"/>
            <w:rPr>
              <w:rFonts w:hint="eastAsia" w:ascii="宋体" w:hAnsi="宋体" w:eastAsia="宋体" w:cs="宋体"/>
              <w:sz w:val="36"/>
              <w:szCs w:val="36"/>
              <w:lang w:val="en-US" w:eastAsia="zh-CN"/>
            </w:rPr>
          </w:pP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HYPERLINK \l _Toc30977 </w:instrText>
          </w:r>
          <w:r>
            <w:rPr>
              <w:rFonts w:hint="eastAsia" w:ascii="宋体" w:hAnsi="宋体" w:eastAsia="宋体" w:cs="宋体"/>
              <w:sz w:val="36"/>
              <w:szCs w:val="36"/>
            </w:rPr>
            <w:fldChar w:fldCharType="separate"/>
          </w:r>
          <w:r>
            <w:rPr>
              <w:rFonts w:hint="eastAsia" w:ascii="宋体" w:hAnsi="宋体" w:eastAsia="宋体" w:cs="宋体"/>
              <w:bCs/>
              <w:kern w:val="44"/>
              <w:sz w:val="36"/>
              <w:szCs w:val="36"/>
            </w:rPr>
            <w:t>第六部分 投标文件附件</w:t>
          </w:r>
          <w:r>
            <w:rPr>
              <w:rFonts w:hint="eastAsia" w:ascii="宋体" w:hAnsi="宋体" w:eastAsia="宋体" w:cs="宋体"/>
              <w:sz w:val="36"/>
              <w:szCs w:val="36"/>
            </w:rPr>
            <w:tab/>
          </w:r>
          <w:r>
            <w:rPr>
              <w:rFonts w:hint="eastAsia" w:ascii="宋体" w:hAnsi="宋体" w:cs="宋体"/>
              <w:sz w:val="36"/>
              <w:szCs w:val="36"/>
              <w:lang w:val="en-US" w:eastAsia="zh-CN"/>
            </w:rPr>
            <w:t>3</w:t>
          </w:r>
          <w:r>
            <w:rPr>
              <w:rFonts w:hint="eastAsia" w:ascii="宋体" w:hAnsi="宋体" w:eastAsia="宋体" w:cs="宋体"/>
              <w:sz w:val="36"/>
              <w:szCs w:val="36"/>
            </w:rPr>
            <w:fldChar w:fldCharType="end"/>
          </w:r>
          <w:r>
            <w:rPr>
              <w:rFonts w:hint="eastAsia" w:ascii="宋体" w:hAnsi="宋体" w:cs="宋体"/>
              <w:sz w:val="36"/>
              <w:szCs w:val="36"/>
              <w:lang w:val="en-US" w:eastAsia="zh-CN"/>
            </w:rPr>
            <w:t>4</w:t>
          </w:r>
        </w:p>
        <w:p>
          <w:r>
            <w:rPr>
              <w:rFonts w:hint="eastAsia" w:ascii="宋体" w:hAnsi="宋体" w:eastAsia="宋体" w:cs="宋体"/>
              <w:sz w:val="32"/>
              <w:szCs w:val="32"/>
            </w:rPr>
            <w:fldChar w:fldCharType="end"/>
          </w:r>
        </w:p>
      </w:sdtContent>
    </w:sdt>
    <w:p/>
    <w:p>
      <w:pPr>
        <w:rPr>
          <w:rFonts w:ascii="Calibri" w:hAnsi="Calibri" w:eastAsia="宋体" w:cs="Times New Roman"/>
          <w:b/>
          <w:bCs/>
          <w:kern w:val="44"/>
          <w:sz w:val="36"/>
          <w:szCs w:val="44"/>
        </w:rPr>
      </w:pPr>
      <w:bookmarkStart w:id="6" w:name="_Toc419"/>
      <w:bookmarkStart w:id="7" w:name="_Toc25915"/>
      <w:bookmarkStart w:id="8" w:name="_Toc77"/>
      <w:r>
        <w:rPr>
          <w:rFonts w:hint="eastAsia" w:ascii="Calibri" w:hAnsi="Calibri" w:eastAsia="宋体" w:cs="Times New Roman"/>
          <w:b/>
          <w:bCs/>
          <w:kern w:val="44"/>
          <w:sz w:val="36"/>
          <w:szCs w:val="44"/>
        </w:rPr>
        <w:br w:type="page"/>
      </w:r>
    </w:p>
    <w:p>
      <w:pPr>
        <w:pStyle w:val="18"/>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投标须知前附表</w:t>
      </w:r>
      <w:bookmarkEnd w:id="6"/>
      <w:bookmarkEnd w:id="7"/>
      <w:bookmarkEnd w:id="8"/>
    </w:p>
    <w:p>
      <w:pPr>
        <w:pStyle w:val="18"/>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2"/>
                <w:rFonts w:ascii="宋体" w:hAnsi="宋体" w:eastAsia="宋体" w:cs="宋体"/>
                <w:b/>
                <w:sz w:val="28"/>
                <w:szCs w:val="28"/>
                <w:highlight w:val="none"/>
              </w:rPr>
            </w:pPr>
            <w:bookmarkStart w:id="9" w:name="_Toc346372875"/>
            <w:r>
              <w:rPr>
                <w:rStyle w:val="132"/>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highlight w:val="none"/>
              </w:rPr>
            </w:pPr>
            <w:r>
              <w:rPr>
                <w:rStyle w:val="132"/>
                <w:rFonts w:hint="eastAsia" w:ascii="宋体" w:hAnsi="宋体" w:eastAsia="宋体" w:cs="宋体"/>
                <w:b/>
                <w:sz w:val="28"/>
                <w:szCs w:val="28"/>
                <w:highlight w:val="none"/>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项目名称：MC07</w:t>
            </w:r>
            <w:r>
              <w:rPr>
                <w:rFonts w:hint="eastAsia" w:ascii="宋体" w:hAnsi="宋体" w:eastAsia="宋体" w:cs="宋体"/>
                <w:b/>
                <w:bCs/>
                <w:sz w:val="24"/>
                <w:szCs w:val="24"/>
                <w:highlight w:val="none"/>
                <w:lang w:val="en-US" w:eastAsia="zh-CN"/>
              </w:rPr>
              <w:t>缸盖下沉水套工装模具（2025）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采购形式</w:t>
            </w:r>
            <w:r>
              <w:rPr>
                <w:rFonts w:hint="eastAsia" w:ascii="宋体" w:hAnsi="宋体" w:eastAsia="宋体" w:cs="宋体"/>
                <w:b/>
                <w:bCs/>
                <w:sz w:val="24"/>
                <w:szCs w:val="24"/>
                <w:highlight w:val="none"/>
              </w:rPr>
              <w:t>编号：</w:t>
            </w:r>
            <w:r>
              <w:rPr>
                <w:rFonts w:hint="eastAsia" w:ascii="宋体" w:hAnsi="宋体" w:eastAsia="宋体" w:cs="宋体"/>
                <w:b/>
                <w:bCs/>
                <w:sz w:val="24"/>
                <w:szCs w:val="24"/>
                <w:highlight w:val="none"/>
                <w:lang w:val="en-US" w:eastAsia="zh-CN"/>
              </w:rPr>
              <w:t>CGZX2025070225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招标内容：MC07</w:t>
            </w:r>
            <w:r>
              <w:rPr>
                <w:rFonts w:hint="eastAsia" w:ascii="宋体" w:hAnsi="宋体" w:eastAsia="宋体" w:cs="宋体"/>
                <w:b/>
                <w:bCs/>
                <w:sz w:val="24"/>
                <w:szCs w:val="24"/>
                <w:highlight w:val="none"/>
                <w:lang w:val="en-US" w:eastAsia="zh-CN"/>
              </w:rPr>
              <w:t>缸盖下沉水套工装模具（2025）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中国重汽集团杭州发动机有限公司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lang w:val="en-US" w:eastAsia="zh-CN"/>
              </w:rPr>
              <w:t>杭州</w:t>
            </w:r>
            <w:r>
              <w:rPr>
                <w:rFonts w:hint="eastAsia" w:ascii="宋体" w:hAnsi="宋体" w:eastAsia="宋体" w:cs="宋体"/>
                <w:sz w:val="24"/>
                <w:szCs w:val="24"/>
                <w:highlight w:val="none"/>
                <w:u w:val="none"/>
              </w:rPr>
              <w:t>市</w:t>
            </w:r>
            <w:r>
              <w:rPr>
                <w:rFonts w:hint="eastAsia" w:ascii="宋体" w:hAnsi="宋体" w:eastAsia="宋体" w:cs="宋体"/>
                <w:sz w:val="24"/>
                <w:szCs w:val="24"/>
                <w:highlight w:val="none"/>
                <w:u w:val="none"/>
                <w:lang w:val="en-US" w:eastAsia="zh-CN"/>
              </w:rPr>
              <w:t>萧山区萧山经济技术开发区红泰六路699</w:t>
            </w:r>
            <w:r>
              <w:rPr>
                <w:rFonts w:hint="eastAsia" w:ascii="宋体" w:hAnsi="宋体" w:eastAsia="宋体" w:cs="宋体"/>
                <w:sz w:val="24"/>
                <w:szCs w:val="24"/>
                <w:highlight w:val="none"/>
                <w:u w:val="single"/>
              </w:rPr>
              <w:t>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司晓龙</w:t>
            </w:r>
          </w:p>
          <w:p>
            <w:pPr>
              <w:pStyle w:val="18"/>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15142509638</w:t>
            </w:r>
          </w:p>
          <w:p>
            <w:pPr>
              <w:ind w:firstLine="482" w:firstLineChars="200"/>
              <w:rPr>
                <w:rFonts w:hint="eastAsia" w:ascii="宋体" w:hAnsi="宋体" w:eastAsia="宋体" w:cs="宋体"/>
                <w:b/>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：sixiaolong@sinotruk.com</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侯桂林</w:t>
            </w:r>
          </w:p>
          <w:p>
            <w:pPr>
              <w:pStyle w:val="18"/>
              <w:ind w:firstLine="482" w:firstLineChars="200"/>
              <w:rPr>
                <w:rFonts w:hint="default" w:eastAsia="宋体"/>
                <w:highlight w:val="none"/>
                <w:lang w:val="en-US" w:eastAsia="zh-CN"/>
              </w:rPr>
            </w:pPr>
            <w:r>
              <w:rPr>
                <w:rFonts w:hint="eastAsia" w:ascii="宋体" w:hAnsi="宋体" w:eastAsia="宋体" w:cs="宋体"/>
                <w:b/>
                <w:snapToGrid w:val="0"/>
                <w:kern w:val="0"/>
                <w:sz w:val="24"/>
                <w:szCs w:val="24"/>
                <w:highlight w:val="none"/>
              </w:rPr>
              <w:t>电话：13867</w:t>
            </w:r>
            <w:r>
              <w:rPr>
                <w:rFonts w:hint="eastAsia" w:hAnsi="宋体" w:eastAsia="宋体" w:cs="宋体"/>
                <w:b/>
                <w:snapToGrid w:val="0"/>
                <w:kern w:val="0"/>
                <w:sz w:val="24"/>
                <w:szCs w:val="24"/>
                <w:highlight w:val="none"/>
                <w:lang w:val="en-US" w:eastAsia="zh-CN"/>
              </w:rPr>
              <w:t>421832</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
                <w:snapToGrid w:val="0"/>
                <w:kern w:val="0"/>
                <w:sz w:val="24"/>
                <w:szCs w:val="24"/>
                <w:highlight w:val="none"/>
                <w:lang w:val="en-US" w:eastAsia="zh-CN"/>
              </w:rPr>
              <w:t>290324702@qq.com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r>
              <w:rPr>
                <w:rFonts w:hint="eastAsia" w:ascii="宋体" w:hAnsi="宋体" w:eastAsia="宋体" w:cs="宋体"/>
                <w:kern w:val="0"/>
                <w:sz w:val="24"/>
                <w:szCs w:val="24"/>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highlight w:val="none"/>
                <w:lang w:eastAsia="zh-CN"/>
              </w:rPr>
              <w:t>、配合办理政府验收手续（不限质监验收、消防验收、环评及职业卫生评价、安全评价等）</w:t>
            </w:r>
            <w:r>
              <w:rPr>
                <w:rFonts w:hint="eastAsia" w:ascii="宋体" w:hAnsi="宋体" w:eastAsia="宋体" w:cs="Times New Roman"/>
                <w:color w:val="000000"/>
                <w:sz w:val="24"/>
                <w:szCs w:val="24"/>
                <w:highlight w:val="none"/>
              </w:rPr>
              <w:t>及可预见的风险以及其它不可预见等全部费用。</w:t>
            </w:r>
          </w:p>
          <w:p>
            <w:pPr>
              <w:ind w:firstLine="482" w:firstLineChars="200"/>
              <w:rPr>
                <w:rFonts w:hint="eastAsia"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highlight w:val="none"/>
              </w:rPr>
              <w:t>）。</w:t>
            </w:r>
          </w:p>
          <w:p>
            <w:pPr>
              <w:pStyle w:val="18"/>
              <w:ind w:firstLine="482" w:firstLineChars="200"/>
              <w:rPr>
                <w:rFonts w:hint="eastAsia" w:eastAsia="宋体"/>
                <w:highlight w:val="none"/>
                <w:lang w:val="en-US" w:eastAsia="zh-CN"/>
              </w:rPr>
            </w:pPr>
            <w:r>
              <w:rPr>
                <w:rFonts w:hint="eastAsia" w:hAnsi="宋体" w:eastAsia="宋体" w:cs="Times New Roman"/>
                <w:b/>
                <w:bCs/>
                <w:color w:val="000000"/>
                <w:sz w:val="24"/>
                <w:szCs w:val="24"/>
                <w:highlight w:val="none"/>
                <w:lang w:val="en-US" w:eastAsia="zh-CN"/>
              </w:rPr>
              <w:t>投标限价</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none"/>
                <w:lang w:val="en-US" w:eastAsia="zh-CN"/>
              </w:rPr>
              <w:t>66.67</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b/>
                <w:bCs/>
                <w:color w:val="FF0000"/>
                <w:sz w:val="24"/>
                <w:szCs w:val="24"/>
                <w:highlight w:val="none"/>
              </w:rPr>
            </w:pPr>
            <w:r>
              <w:rPr>
                <w:rFonts w:hint="eastAsia" w:hAnsi="宋体" w:eastAsia="宋体" w:cs="宋体"/>
                <w:b/>
                <w:bCs/>
                <w:color w:val="000000"/>
                <w:sz w:val="24"/>
                <w:szCs w:val="24"/>
                <w:highlight w:val="none"/>
              </w:rPr>
              <w:t>投标人条件：</w:t>
            </w:r>
          </w:p>
          <w:p>
            <w:pPr>
              <w:pStyle w:val="18"/>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1.拟标投人必须是在中华人民共和国境内注册的独立法人机构，具有独立承担民事责任能力；注册资金不少于</w:t>
            </w:r>
            <w:r>
              <w:rPr>
                <w:rFonts w:hint="eastAsia" w:hAnsi="宋体" w:eastAsia="宋体" w:cs="宋体"/>
                <w:b/>
                <w:bCs/>
                <w:color w:val="000000"/>
                <w:sz w:val="24"/>
                <w:szCs w:val="24"/>
                <w:highlight w:val="none"/>
                <w:u w:val="single"/>
                <w:lang w:val="en-US" w:eastAsia="zh-CN"/>
              </w:rPr>
              <w:t>5</w:t>
            </w:r>
            <w:r>
              <w:rPr>
                <w:rFonts w:hint="eastAsia" w:hAnsi="宋体" w:eastAsia="宋体" w:cs="宋体"/>
                <w:b/>
                <w:color w:val="000000"/>
                <w:sz w:val="24"/>
                <w:szCs w:val="24"/>
                <w:highlight w:val="none"/>
                <w:u w:val="single"/>
                <w:lang w:val="en-US" w:eastAsia="zh-CN"/>
              </w:rPr>
              <w:t>00</w:t>
            </w:r>
            <w:r>
              <w:rPr>
                <w:rFonts w:hint="eastAsia" w:ascii="宋体" w:hAnsi="宋体" w:eastAsia="宋体" w:cs="宋体"/>
                <w:b/>
                <w:color w:val="000000"/>
                <w:sz w:val="24"/>
                <w:szCs w:val="24"/>
                <w:highlight w:val="none"/>
                <w:u w:val="single"/>
              </w:rPr>
              <w:t>万</w:t>
            </w:r>
            <w:r>
              <w:rPr>
                <w:rFonts w:hint="eastAsia" w:ascii="宋体" w:hAnsi="宋体" w:eastAsia="宋体" w:cs="宋体"/>
                <w:color w:val="000000"/>
                <w:sz w:val="24"/>
                <w:szCs w:val="24"/>
                <w:highlight w:val="none"/>
              </w:rPr>
              <w:t>人民币（或等值其他货币）；公司成立</w:t>
            </w:r>
            <w:r>
              <w:rPr>
                <w:rFonts w:hint="eastAsia" w:ascii="宋体" w:hAnsi="宋体" w:eastAsia="宋体" w:cs="宋体"/>
                <w:b/>
                <w:color w:val="000000"/>
                <w:sz w:val="24"/>
                <w:szCs w:val="24"/>
                <w:highlight w:val="none"/>
                <w:u w:val="single"/>
              </w:rPr>
              <w:t>三年以上</w:t>
            </w:r>
            <w:r>
              <w:rPr>
                <w:rFonts w:hint="eastAsia" w:ascii="宋体" w:hAnsi="宋体" w:eastAsia="宋体" w:cs="宋体"/>
                <w:color w:val="000000"/>
                <w:sz w:val="24"/>
                <w:szCs w:val="24"/>
                <w:highlight w:val="none"/>
              </w:rPr>
              <w:t>（以营业执照成立日期到开标当日满三年为准），且经营范围满足招标人需求；并在人员、设备、资金等方面具有承担本项目的能力；</w:t>
            </w:r>
          </w:p>
          <w:p>
            <w:pPr>
              <w:pStyle w:val="18"/>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2.拟投标人应提供营业执照</w:t>
            </w:r>
            <w:r>
              <w:rPr>
                <w:rFonts w:hint="eastAsia" w:ascii="宋体" w:hAnsi="宋体" w:eastAsia="宋体" w:cs="宋体"/>
                <w:b/>
                <w:sz w:val="24"/>
                <w:szCs w:val="24"/>
                <w:highlight w:val="none"/>
              </w:rPr>
              <w:t>副本原件和扫描件（需盖章）</w:t>
            </w:r>
            <w:r>
              <w:rPr>
                <w:rFonts w:hint="eastAsia" w:ascii="宋体" w:hAnsi="宋体" w:eastAsia="宋体" w:cs="宋体"/>
                <w:color w:val="000000"/>
                <w:sz w:val="24"/>
                <w:szCs w:val="24"/>
                <w:highlight w:val="none"/>
              </w:rPr>
              <w:t>；</w:t>
            </w:r>
          </w:p>
          <w:p>
            <w:pPr>
              <w:pStyle w:val="18"/>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3.拟投标人应提供法定代表人资格证明文件；</w:t>
            </w:r>
          </w:p>
          <w:p>
            <w:pPr>
              <w:pStyle w:val="18"/>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w:t>
            </w:r>
            <w:r>
              <w:rPr>
                <w:rFonts w:ascii="宋体" w:hAnsi="宋体" w:eastAsia="宋体" w:cs="宋体"/>
                <w:sz w:val="24"/>
                <w:szCs w:val="24"/>
                <w:highlight w:val="none"/>
              </w:rPr>
              <w:t>拟投标人在国家市场监督管理总局的《国家企业信用信息公示系统》中查询不存在不良记录</w:t>
            </w:r>
            <w:r>
              <w:rPr>
                <w:rFonts w:hint="eastAsia" w:ascii="宋体" w:hAnsi="宋体" w:eastAsia="宋体" w:cs="宋体"/>
                <w:color w:val="000000"/>
                <w:sz w:val="24"/>
                <w:szCs w:val="24"/>
                <w:highlight w:val="none"/>
              </w:rPr>
              <w:t>；</w:t>
            </w:r>
          </w:p>
          <w:p>
            <w:pPr>
              <w:pStyle w:val="18"/>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5.拟投标人不存在严重违规或被列入招标人“黑名单”的声明；</w:t>
            </w:r>
          </w:p>
          <w:p>
            <w:pPr>
              <w:pStyle w:val="18"/>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none"/>
              </w:rPr>
              <w:t>20</w:t>
            </w:r>
            <w:r>
              <w:rPr>
                <w:rFonts w:hint="eastAsia" w:hAnsi="宋体" w:eastAsia="宋体" w:cs="宋体"/>
                <w:sz w:val="24"/>
                <w:szCs w:val="24"/>
                <w:highlight w:val="none"/>
                <w:lang w:val="en-US" w:eastAsia="zh-CN"/>
              </w:rPr>
              <w:t>22</w:t>
            </w:r>
            <w:r>
              <w:rPr>
                <w:rFonts w:hint="eastAsia" w:hAnsi="宋体" w:eastAsia="宋体" w:cs="宋体"/>
                <w:sz w:val="24"/>
                <w:szCs w:val="24"/>
                <w:highlight w:val="none"/>
              </w:rPr>
              <w:t>年1月1日至今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pPr>
              <w:pStyle w:val="18"/>
              <w:ind w:firstLine="480" w:firstLineChars="200"/>
              <w:rPr>
                <w:rFonts w:hAnsi="宋体" w:eastAsia="宋体" w:cs="宋体"/>
                <w:kern w:val="0"/>
                <w:sz w:val="24"/>
                <w:szCs w:val="24"/>
                <w:highlight w:val="none"/>
                <w:lang w:bidi="ar"/>
              </w:rPr>
            </w:pPr>
            <w:r>
              <w:rPr>
                <w:rFonts w:hint="eastAsia" w:hAnsi="宋体" w:eastAsia="宋体" w:cs="宋体"/>
                <w:color w:val="000000"/>
                <w:kern w:val="0"/>
                <w:sz w:val="24"/>
                <w:szCs w:val="24"/>
                <w:highlight w:val="none"/>
              </w:rPr>
              <w:t>7.</w:t>
            </w:r>
            <w:r>
              <w:rPr>
                <w:rFonts w:hint="eastAsia" w:hAnsi="宋体" w:eastAsia="宋体" w:cs="宋体"/>
                <w:color w:val="000000"/>
                <w:sz w:val="24"/>
                <w:szCs w:val="24"/>
                <w:highlight w:val="none"/>
              </w:rPr>
              <w:t>拟投标人有与本次招标内容相同或类似项目业绩，且近3年内无因服务不当而造成重大事故；</w:t>
            </w:r>
          </w:p>
          <w:p>
            <w:pPr>
              <w:pStyle w:val="18"/>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8.</w:t>
            </w:r>
            <w:r>
              <w:rPr>
                <w:rFonts w:ascii="宋体" w:hAnsi="宋体" w:eastAsia="宋体" w:cs="宋体"/>
                <w:sz w:val="24"/>
                <w:szCs w:val="24"/>
                <w:highlight w:val="none"/>
              </w:rPr>
              <w:t>拟投标人近三年内在经营活动中无与本项目有关的违法及重大违规情况</w:t>
            </w:r>
            <w:r>
              <w:rPr>
                <w:rFonts w:hint="eastAsia" w:hAnsi="宋体" w:eastAsia="宋体" w:cs="宋体"/>
                <w:color w:val="000000"/>
                <w:sz w:val="24"/>
                <w:szCs w:val="24"/>
                <w:highlight w:val="none"/>
              </w:rPr>
              <w:t>；</w:t>
            </w:r>
          </w:p>
          <w:p>
            <w:pPr>
              <w:pStyle w:val="18"/>
              <w:ind w:firstLine="480" w:firstLineChars="200"/>
              <w:rPr>
                <w:rFonts w:hint="eastAsia" w:ascii="宋体" w:hAnsi="宋体" w:eastAsia="宋体" w:cs="宋体"/>
                <w:color w:val="000000"/>
                <w:sz w:val="24"/>
                <w:szCs w:val="24"/>
                <w:highlight w:val="none"/>
              </w:rPr>
            </w:pPr>
            <w:r>
              <w:rPr>
                <w:rFonts w:hint="eastAsia" w:hAnsi="宋体" w:eastAsia="宋体" w:cs="宋体"/>
                <w:color w:val="000000"/>
                <w:sz w:val="24"/>
                <w:szCs w:val="24"/>
                <w:highlight w:val="none"/>
              </w:rPr>
              <w:t>9.拟</w:t>
            </w:r>
            <w:r>
              <w:rPr>
                <w:rFonts w:hint="eastAsia" w:ascii="宋体" w:hAnsi="宋体" w:eastAsia="宋体" w:cs="宋体"/>
                <w:color w:val="000000"/>
                <w:sz w:val="24"/>
                <w:szCs w:val="24"/>
                <w:highlight w:val="none"/>
              </w:rPr>
              <w:t>投标人须认可招标人的工作指令，包括节、假日能正常开展工作的要求；</w:t>
            </w:r>
          </w:p>
          <w:p>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highlight w:val="none"/>
              </w:rPr>
              <w:t>拟</w:t>
            </w:r>
            <w:r>
              <w:rPr>
                <w:rFonts w:hint="eastAsia" w:ascii="宋体" w:hAnsi="宋体" w:eastAsia="宋体" w:cs="宋体"/>
                <w:color w:val="000000"/>
                <w:sz w:val="24"/>
                <w:szCs w:val="24"/>
                <w:highlight w:val="none"/>
                <w:lang w:val="en-US" w:eastAsia="zh-CN"/>
              </w:rPr>
              <w:t>投标人最近半年纳税正常；</w:t>
            </w:r>
          </w:p>
          <w:p>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highlight w:val="none"/>
              </w:rPr>
              <w:t>拟</w:t>
            </w:r>
            <w:r>
              <w:rPr>
                <w:rFonts w:hint="eastAsia" w:ascii="宋体" w:hAnsi="宋体" w:eastAsia="宋体" w:cs="宋体"/>
                <w:color w:val="000000"/>
                <w:sz w:val="24"/>
                <w:szCs w:val="24"/>
                <w:highlight w:val="none"/>
                <w:lang w:val="en-US" w:eastAsia="zh-CN"/>
              </w:rPr>
              <w:t>投标人信用证明材料（征信报告）未显示异常；</w:t>
            </w:r>
          </w:p>
          <w:p>
            <w:pPr>
              <w:pStyle w:val="18"/>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highlight w:val="none"/>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8"/>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18"/>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应标</w:t>
            </w:r>
            <w:r>
              <w:rPr>
                <w:rFonts w:hint="eastAsia" w:ascii="宋体" w:hAnsi="宋体" w:eastAsia="宋体" w:cs="宋体"/>
                <w:b/>
                <w:bCs/>
                <w:sz w:val="24"/>
                <w:szCs w:val="24"/>
                <w:highlight w:val="none"/>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8</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u w:val="single"/>
                <w:lang w:val="en-US" w:eastAsia="zh-CN"/>
              </w:rPr>
              <w:t>11</w:t>
            </w:r>
            <w:r>
              <w:rPr>
                <w:rFonts w:hint="eastAsia" w:ascii="宋体" w:hAnsi="宋体" w:eastAsia="宋体" w:cs="宋体"/>
                <w:bCs/>
                <w:sz w:val="24"/>
                <w:szCs w:val="24"/>
                <w:highlight w:val="none"/>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8</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u w:val="single"/>
                <w:lang w:val="en-US" w:eastAsia="zh-CN"/>
              </w:rPr>
              <w:t>21</w:t>
            </w:r>
            <w:r>
              <w:rPr>
                <w:rFonts w:hint="eastAsia" w:ascii="宋体" w:hAnsi="宋体" w:eastAsia="宋体" w:cs="宋体"/>
                <w:bCs/>
                <w:sz w:val="24"/>
                <w:szCs w:val="24"/>
                <w:highlight w:val="none"/>
              </w:rPr>
              <w:t>日1</w:t>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领取答疑、澄清和修改文件时间：202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8</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lang w:val="en-US" w:eastAsia="zh-CN"/>
              </w:rPr>
              <w:t>26</w:t>
            </w:r>
            <w:r>
              <w:rPr>
                <w:rFonts w:hint="eastAsia" w:ascii="宋体" w:hAnsi="宋体" w:eastAsia="宋体" w:cs="宋体"/>
                <w:sz w:val="24"/>
                <w:szCs w:val="24"/>
                <w:highlight w:val="none"/>
              </w:rPr>
              <w:t>日1</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:00前；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w:t>
            </w:r>
            <w:r>
              <w:rPr>
                <w:rFonts w:hint="eastAsia" w:eastAsia="宋体" w:cs="宋体"/>
                <w:highlight w:val="none"/>
                <w:lang w:val="en-US" w:eastAsia="zh-CN"/>
              </w:rPr>
              <w:t>等公开媒体</w:t>
            </w:r>
            <w:r>
              <w:rPr>
                <w:rFonts w:hint="eastAsia" w:eastAsia="宋体" w:cs="宋体"/>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eastAsia="宋体" w:cs="宋体"/>
                <w:highlight w:val="none"/>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公示期间请尽快报名</w:t>
            </w:r>
            <w:r>
              <w:rPr>
                <w:rFonts w:hint="eastAsia" w:eastAsia="宋体" w:cs="宋体"/>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default" w:eastAsia="宋体" w:cs="宋体"/>
                <w:highlight w:val="none"/>
                <w:lang w:val="en-US" w:eastAsia="zh-CN"/>
              </w:rPr>
            </w:pPr>
            <w:r>
              <w:rPr>
                <w:rFonts w:hint="eastAsia" w:eastAsia="宋体" w:cs="宋体"/>
                <w:b/>
                <w:bCs/>
                <w:highlight w:val="none"/>
                <w:lang w:val="en-US" w:eastAsia="zh-CN"/>
              </w:rPr>
              <w:t>应标</w:t>
            </w:r>
            <w:r>
              <w:rPr>
                <w:rFonts w:hint="eastAsia" w:eastAsia="宋体" w:cs="宋体"/>
                <w:b/>
                <w:bCs/>
                <w:highlight w:val="none"/>
              </w:rPr>
              <w:t>截止时间：</w:t>
            </w:r>
            <w:r>
              <w:rPr>
                <w:rFonts w:hint="eastAsia" w:eastAsia="宋体" w:cs="宋体"/>
                <w:highlight w:val="none"/>
              </w:rPr>
              <w:t>202</w:t>
            </w:r>
            <w:r>
              <w:rPr>
                <w:rFonts w:hint="eastAsia" w:eastAsia="宋体" w:cs="宋体"/>
                <w:highlight w:val="none"/>
                <w:lang w:val="en-US" w:eastAsia="zh-CN"/>
              </w:rPr>
              <w:t>5</w:t>
            </w:r>
            <w:r>
              <w:rPr>
                <w:rFonts w:hint="eastAsia" w:eastAsia="宋体" w:cs="宋体"/>
                <w:highlight w:val="none"/>
              </w:rPr>
              <w:t>年</w:t>
            </w:r>
            <w:r>
              <w:rPr>
                <w:rFonts w:hint="eastAsia" w:eastAsia="宋体" w:cs="宋体"/>
                <w:highlight w:val="none"/>
                <w:lang w:val="en-US" w:eastAsia="zh-CN"/>
              </w:rPr>
              <w:t>8</w:t>
            </w:r>
            <w:r>
              <w:rPr>
                <w:rFonts w:hint="eastAsia" w:eastAsia="宋体" w:cs="宋体"/>
                <w:highlight w:val="none"/>
              </w:rPr>
              <w:t>月</w:t>
            </w:r>
            <w:r>
              <w:rPr>
                <w:rFonts w:hint="eastAsia" w:eastAsia="宋体" w:cs="宋体"/>
                <w:highlight w:val="none"/>
                <w:lang w:val="en-US" w:eastAsia="zh-CN"/>
              </w:rPr>
              <w:t>28</w:t>
            </w:r>
            <w:r>
              <w:rPr>
                <w:rFonts w:hint="eastAsia" w:eastAsia="宋体" w:cs="宋体"/>
                <w:highlight w:val="none"/>
              </w:rPr>
              <w:t>日</w:t>
            </w:r>
            <w:r>
              <w:rPr>
                <w:rFonts w:hint="eastAsia" w:eastAsia="宋体" w:cs="宋体"/>
                <w:highlight w:val="none"/>
                <w:lang w:val="en-US" w:eastAsia="zh-CN"/>
              </w:rPr>
              <w:t>16时00分00秒</w:t>
            </w:r>
          </w:p>
          <w:p>
            <w:pPr>
              <w:pStyle w:val="115"/>
              <w:spacing w:line="240" w:lineRule="auto"/>
              <w:ind w:firstLine="482"/>
              <w:rPr>
                <w:rFonts w:hint="default" w:eastAsia="宋体" w:cs="宋体"/>
                <w:highlight w:val="none"/>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3.投标文件的组成</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编制</w:t>
            </w:r>
            <w:r>
              <w:rPr>
                <w:rFonts w:hint="eastAsia" w:ascii="宋体" w:hAnsi="宋体" w:eastAsia="宋体" w:cs="宋体"/>
                <w:b/>
                <w:bCs/>
                <w:sz w:val="24"/>
                <w:szCs w:val="24"/>
                <w:highlight w:val="none"/>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投标文件（电子版为纸质盖章版的扫描件），均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w:t>
            </w:r>
            <w:r>
              <w:rPr>
                <w:rFonts w:hint="eastAsia" w:ascii="宋体" w:hAnsi="宋体" w:eastAsia="宋体" w:cs="宋体"/>
                <w:bCs/>
                <w:color w:val="000000"/>
                <w:sz w:val="24"/>
                <w:szCs w:val="24"/>
                <w:highlight w:val="none"/>
                <w:lang w:val="en-US" w:eastAsia="zh-CN"/>
              </w:rPr>
              <w:t>提供投标文件</w:t>
            </w:r>
            <w:r>
              <w:rPr>
                <w:rFonts w:hint="eastAsia" w:ascii="宋体" w:hAnsi="宋体" w:eastAsia="宋体" w:cs="宋体"/>
                <w:bCs/>
                <w:color w:val="000000"/>
                <w:sz w:val="24"/>
                <w:szCs w:val="24"/>
                <w:highlight w:val="none"/>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lang w:val="en-US" w:eastAsia="zh-CN"/>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lang w:val="en-US" w:eastAsia="zh-CN"/>
              </w:rPr>
              <w:t>平台</w:t>
            </w:r>
            <w:r>
              <w:rPr>
                <w:rFonts w:ascii="宋体" w:hAnsi="宋体" w:eastAsia="宋体" w:cs="宋体"/>
                <w:sz w:val="24"/>
                <w:szCs w:val="24"/>
                <w:highlight w:val="none"/>
              </w:rPr>
              <w:t>上传</w:t>
            </w:r>
            <w:r>
              <w:rPr>
                <w:rFonts w:hint="eastAsia" w:ascii="宋体" w:hAnsi="宋体" w:eastAsia="宋体" w:cs="宋体"/>
                <w:sz w:val="24"/>
                <w:szCs w:val="24"/>
                <w:highlight w:val="none"/>
                <w:lang w:val="en-US" w:eastAsia="zh-CN"/>
              </w:rPr>
              <w:t>电子</w:t>
            </w:r>
            <w:r>
              <w:rPr>
                <w:rFonts w:ascii="宋体" w:hAnsi="宋体" w:eastAsia="宋体" w:cs="宋体"/>
                <w:sz w:val="24"/>
                <w:szCs w:val="24"/>
                <w:highlight w:val="none"/>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highlight w:val="none"/>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ascii="宋体" w:hAnsi="宋体" w:eastAsia="宋体" w:cs="宋体"/>
                <w:b/>
                <w:bCs w:val="0"/>
                <w:color w:val="auto"/>
                <w:kern w:val="2"/>
                <w:sz w:val="24"/>
                <w:szCs w:val="24"/>
                <w:highlight w:val="none"/>
                <w:lang w:val="en-US" w:eastAsia="zh-CN" w:bidi="ar-SA"/>
              </w:rPr>
              <w:t>正本1份、副本1份。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8"/>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8"/>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8"/>
              <w:rPr>
                <w:rFonts w:hint="eastAsia" w:ascii="宋体" w:hAnsi="宋体" w:eastAsia="宋体" w:cs="Times New Roman"/>
                <w:color w:val="000000"/>
                <w:sz w:val="24"/>
                <w:szCs w:val="24"/>
                <w:highlight w:val="none"/>
                <w:lang w:eastAsia="zh-CN"/>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hAnsi="宋体" w:eastAsia="宋体" w:cs="Times New Roman"/>
                <w:color w:val="000000"/>
                <w:sz w:val="24"/>
                <w:szCs w:val="24"/>
                <w:highlight w:val="none"/>
                <w:lang w:eastAsia="zh-CN"/>
              </w:rPr>
              <w:t>杭州市萧山区萧山经济技术开发区红泰六路699号</w:t>
            </w:r>
          </w:p>
          <w:p>
            <w:pPr>
              <w:pStyle w:val="18"/>
              <w:rPr>
                <w:rFonts w:hint="default" w:ascii="宋体" w:hAnsi="宋体" w:eastAsia="宋体" w:cs="Times New Roman"/>
                <w:color w:val="000000"/>
                <w:sz w:val="24"/>
                <w:szCs w:val="24"/>
                <w:highlight w:val="none"/>
                <w:lang w:val="en-US" w:eastAsia="zh-CN"/>
              </w:rPr>
            </w:pPr>
            <w:r>
              <w:rPr>
                <w:rFonts w:hint="eastAsia" w:ascii="宋体" w:hAnsi="宋体" w:eastAsia="宋体" w:cs="Times New Roman"/>
                <w:b/>
                <w:bCs/>
                <w:color w:val="000000"/>
                <w:sz w:val="24"/>
                <w:szCs w:val="24"/>
                <w:highlight w:val="none"/>
                <w:lang w:val="en-US" w:eastAsia="zh-CN"/>
              </w:rPr>
              <w:t>联系人及联系方式：</w:t>
            </w:r>
            <w:r>
              <w:rPr>
                <w:rFonts w:hint="eastAsia" w:hAnsi="宋体" w:eastAsia="宋体" w:cs="Times New Roman"/>
                <w:b w:val="0"/>
                <w:bCs w:val="0"/>
                <w:color w:val="000000"/>
                <w:sz w:val="24"/>
                <w:szCs w:val="24"/>
                <w:highlight w:val="none"/>
                <w:lang w:val="en-US" w:eastAsia="zh-CN"/>
              </w:rPr>
              <w:t>司晓龙</w:t>
            </w:r>
            <w:r>
              <w:rPr>
                <w:rFonts w:hint="eastAsia" w:ascii="Times New Roman" w:hAnsi="Times New Roman" w:eastAsia="宋体" w:cs="Times New Roman"/>
                <w:b w:val="0"/>
                <w:bCs w:val="0"/>
                <w:color w:val="000000"/>
                <w:sz w:val="24"/>
                <w:szCs w:val="24"/>
                <w:highlight w:val="none"/>
                <w:lang w:val="en-US" w:eastAsia="zh-CN"/>
              </w:rPr>
              <w:t>/15142509638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ascii="宋体" w:hAnsi="宋体" w:eastAsia="宋体" w:cs="宋体"/>
                <w:b/>
                <w:bCs/>
                <w:kern w:val="2"/>
                <w:sz w:val="24"/>
                <w:szCs w:val="24"/>
                <w:highlight w:val="none"/>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w:t>
            </w:r>
            <w:r>
              <w:rPr>
                <w:rFonts w:hint="eastAsia" w:ascii="宋体" w:hAnsi="宋体" w:eastAsia="宋体" w:cs="宋体"/>
                <w:sz w:val="24"/>
                <w:szCs w:val="24"/>
                <w:highlight w:val="none"/>
                <w:lang w:val="en-US" w:eastAsia="zh-CN"/>
              </w:rPr>
              <w:t>资质标文件1册、</w:t>
            </w:r>
            <w:r>
              <w:rPr>
                <w:rFonts w:hint="eastAsia" w:ascii="宋体" w:hAnsi="宋体" w:eastAsia="宋体" w:cs="宋体"/>
                <w:sz w:val="24"/>
                <w:szCs w:val="24"/>
                <w:highlight w:val="none"/>
              </w:rPr>
              <w:t>技术标</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1册、商务标</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pPr>
              <w:pStyle w:val="18"/>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highlight w:val="none"/>
              </w:rPr>
              <w:t>技术标书和商务标书不单独装订的，投标文件做无效标处理</w:t>
            </w:r>
            <w:r>
              <w:rPr>
                <w:rFonts w:hint="eastAsia" w:hAnsi="宋体" w:eastAsia="宋体" w:cs="宋体"/>
                <w:b/>
                <w:bCs/>
                <w:kern w:val="2"/>
                <w:sz w:val="24"/>
                <w:szCs w:val="24"/>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投标文件递交截止时间：</w:t>
            </w:r>
            <w:r>
              <w:rPr>
                <w:rFonts w:hint="eastAsia" w:ascii="宋体" w:hAnsi="宋体" w:eastAsia="宋体" w:cs="宋体"/>
                <w:sz w:val="24"/>
                <w:szCs w:val="24"/>
                <w:highlight w:val="none"/>
                <w:u w:val="single"/>
              </w:rPr>
              <w:t>202</w:t>
            </w:r>
            <w:r>
              <w:rPr>
                <w:rFonts w:hint="eastAsia" w:hAnsi="宋体" w:eastAsia="宋体" w:cs="宋体"/>
                <w:sz w:val="24"/>
                <w:szCs w:val="24"/>
                <w:highlight w:val="none"/>
                <w:u w:val="single"/>
                <w:lang w:val="en-US" w:eastAsia="zh-CN"/>
              </w:rPr>
              <w:t>5</w:t>
            </w:r>
            <w:r>
              <w:rPr>
                <w:rFonts w:hint="eastAsia" w:ascii="宋体" w:hAnsi="宋体" w:eastAsia="宋体" w:cs="宋体"/>
                <w:sz w:val="24"/>
                <w:szCs w:val="24"/>
                <w:highlight w:val="none"/>
              </w:rPr>
              <w:t>年</w:t>
            </w:r>
            <w:r>
              <w:rPr>
                <w:rFonts w:hint="eastAsia" w:hAnsi="宋体" w:eastAsia="宋体" w:cs="宋体"/>
                <w:sz w:val="24"/>
                <w:szCs w:val="24"/>
                <w:highlight w:val="none"/>
                <w:u w:val="single"/>
                <w:lang w:val="en-US" w:eastAsia="zh-CN"/>
              </w:rPr>
              <w:t>8</w:t>
            </w:r>
            <w:r>
              <w:rPr>
                <w:rFonts w:hint="eastAsia" w:ascii="宋体" w:hAnsi="宋体" w:eastAsia="宋体" w:cs="宋体"/>
                <w:sz w:val="24"/>
                <w:szCs w:val="24"/>
                <w:highlight w:val="none"/>
              </w:rPr>
              <w:t>月</w:t>
            </w:r>
            <w:r>
              <w:rPr>
                <w:rFonts w:hint="eastAsia" w:hAnsi="宋体" w:eastAsia="宋体" w:cs="宋体"/>
                <w:sz w:val="24"/>
                <w:szCs w:val="24"/>
                <w:highlight w:val="none"/>
                <w:u w:val="single"/>
                <w:lang w:val="en-US" w:eastAsia="zh-CN"/>
              </w:rPr>
              <w:t>29</w:t>
            </w:r>
            <w:r>
              <w:rPr>
                <w:rFonts w:hint="eastAsia" w:ascii="宋体" w:hAnsi="宋体" w:eastAsia="宋体" w:cs="宋体"/>
                <w:sz w:val="24"/>
                <w:szCs w:val="24"/>
                <w:highlight w:val="none"/>
              </w:rPr>
              <w:t>日</w:t>
            </w:r>
            <w:r>
              <w:rPr>
                <w:rFonts w:hint="eastAsia" w:ascii="宋体" w:hAnsi="宋体" w:eastAsia="宋体" w:cs="宋体"/>
                <w:kern w:val="0"/>
                <w:sz w:val="24"/>
                <w:szCs w:val="24"/>
                <w:highlight w:val="none"/>
              </w:rPr>
              <w:t>上午9</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00</w:t>
            </w:r>
            <w:r>
              <w:rPr>
                <w:rFonts w:hint="eastAsia" w:hAnsi="宋体" w:eastAsia="宋体" w:cs="宋体"/>
                <w:sz w:val="24"/>
                <w:szCs w:val="24"/>
                <w:highlight w:val="none"/>
                <w:lang w:val="en-US" w:eastAsia="zh-CN"/>
              </w:rPr>
              <w:t>:00</w:t>
            </w:r>
            <w:r>
              <w:rPr>
                <w:rFonts w:hint="eastAsia" w:ascii="宋体" w:hAnsi="宋体" w:eastAsia="宋体" w:cs="宋体"/>
                <w:sz w:val="24"/>
                <w:szCs w:val="24"/>
                <w:highlight w:val="none"/>
              </w:rPr>
              <w:t>（北京时间）</w:t>
            </w:r>
          </w:p>
          <w:p>
            <w:pPr>
              <w:pStyle w:val="18"/>
              <w:ind w:firstLine="482" w:firstLineChars="200"/>
              <w:rPr>
                <w:rFonts w:hint="eastAsia" w:ascii="宋体" w:hAnsi="宋体" w:eastAsia="宋体" w:cs="宋体"/>
                <w:sz w:val="24"/>
                <w:szCs w:val="24"/>
                <w:highlight w:val="none"/>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highlight w:val="none"/>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个</w:t>
            </w:r>
            <w:r>
              <w:rPr>
                <w:rFonts w:hint="eastAsia" w:ascii="宋体" w:hAnsi="宋体" w:eastAsia="宋体" w:cs="宋体"/>
                <w:sz w:val="24"/>
                <w:szCs w:val="24"/>
                <w:highlight w:val="none"/>
              </w:rPr>
              <w:t>日历</w:t>
            </w:r>
            <w:r>
              <w:rPr>
                <w:rFonts w:hint="eastAsia" w:ascii="宋体" w:hAnsi="宋体" w:eastAsia="宋体" w:cs="宋体"/>
                <w:sz w:val="24"/>
                <w:szCs w:val="24"/>
                <w:highlight w:val="none"/>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1万</w:t>
            </w:r>
            <w:r>
              <w:rPr>
                <w:rFonts w:hint="eastAsia" w:ascii="宋体" w:hAnsi="宋体" w:eastAsia="宋体" w:cs="宋体"/>
                <w:sz w:val="24"/>
                <w:szCs w:val="24"/>
                <w:highlight w:val="none"/>
              </w:rPr>
              <w:t>元</w:t>
            </w:r>
          </w:p>
          <w:p>
            <w:pPr>
              <w:tabs>
                <w:tab w:val="left" w:pos="932"/>
              </w:tabs>
              <w:ind w:firstLine="482" w:firstLineChars="200"/>
              <w:rPr>
                <w:rFonts w:hint="eastAsia" w:ascii="宋体" w:hAnsi="宋体" w:eastAsia="宋体" w:cs="宋体"/>
                <w:color w:val="000000"/>
                <w:kern w:val="0"/>
                <w:sz w:val="24"/>
                <w:szCs w:val="24"/>
                <w:highlight w:val="none"/>
                <w:lang w:eastAsia="zh-CN"/>
              </w:rPr>
            </w:pPr>
            <w:r>
              <w:rPr>
                <w:rFonts w:hint="eastAsia" w:ascii="宋体" w:hAnsi="宋体" w:eastAsia="宋体" w:cs="宋体"/>
                <w:b/>
                <w:bCs/>
                <w:color w:val="000000"/>
                <w:kern w:val="0"/>
                <w:sz w:val="24"/>
                <w:szCs w:val="24"/>
                <w:highlight w:val="none"/>
              </w:rPr>
              <w:t>开户名称：中国重汽集团杭州发动机有限公司</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hint="eastAsia" w:ascii="宋体" w:hAnsi="宋体" w:eastAsia="宋体" w:cs="宋体"/>
                <w:color w:val="000000"/>
                <w:kern w:val="0"/>
                <w:sz w:val="24"/>
                <w:szCs w:val="24"/>
                <w:highlight w:val="none"/>
              </w:rPr>
              <w:t>工行半道红支行</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hint="eastAsia" w:ascii="宋体" w:hAnsi="宋体" w:eastAsia="宋体" w:cs="宋体"/>
                <w:color w:val="000000"/>
                <w:kern w:val="0"/>
                <w:sz w:val="24"/>
                <w:szCs w:val="24"/>
                <w:highlight w:val="none"/>
              </w:rPr>
              <w:t>1202051439900007785</w:t>
            </w:r>
          </w:p>
          <w:p>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none"/>
                <w:lang w:eastAsia="zh-CN"/>
              </w:rPr>
            </w:pPr>
            <w:r>
              <w:rPr>
                <w:rFonts w:hint="eastAsia" w:eastAsia="宋体" w:cs="Times New Roman"/>
                <w:sz w:val="24"/>
                <w:szCs w:val="28"/>
                <w:highlight w:val="none"/>
              </w:rPr>
              <w:t>转账附言：公司名称+项目名称+投标保证金</w:t>
            </w:r>
            <w:r>
              <w:rPr>
                <w:rFonts w:hint="eastAsia" w:eastAsia="宋体" w:cs="Times New Roman"/>
                <w:sz w:val="24"/>
                <w:szCs w:val="28"/>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none"/>
              </w:rPr>
              <w:t>202</w:t>
            </w:r>
            <w:r>
              <w:rPr>
                <w:rFonts w:hint="eastAsia" w:ascii="宋体" w:hAnsi="宋体" w:cs="宋体"/>
                <w:sz w:val="24"/>
                <w:szCs w:val="24"/>
                <w:highlight w:val="none"/>
                <w:lang w:val="en-US" w:eastAsia="zh-CN"/>
              </w:rPr>
              <w:t>5</w:t>
            </w:r>
            <w:r>
              <w:rPr>
                <w:rFonts w:hint="eastAsia" w:ascii="宋体" w:hAnsi="宋体" w:cs="宋体"/>
                <w:sz w:val="24"/>
                <w:szCs w:val="24"/>
                <w:highlight w:val="none"/>
              </w:rPr>
              <w:t>年</w:t>
            </w:r>
            <w:r>
              <w:rPr>
                <w:rFonts w:hint="eastAsia" w:ascii="宋体" w:hAnsi="宋体" w:cs="宋体"/>
                <w:sz w:val="24"/>
                <w:szCs w:val="24"/>
                <w:highlight w:val="none"/>
                <w:lang w:val="en-US" w:eastAsia="zh-CN"/>
              </w:rPr>
              <w:t>8</w:t>
            </w:r>
            <w:r>
              <w:rPr>
                <w:rFonts w:hint="eastAsia" w:ascii="宋体" w:hAnsi="宋体" w:cs="宋体"/>
                <w:sz w:val="24"/>
                <w:szCs w:val="24"/>
                <w:highlight w:val="none"/>
              </w:rPr>
              <w:t>月</w:t>
            </w:r>
            <w:r>
              <w:rPr>
                <w:rFonts w:hint="eastAsia" w:ascii="宋体" w:hAnsi="宋体" w:cs="宋体"/>
                <w:sz w:val="24"/>
                <w:szCs w:val="24"/>
                <w:highlight w:val="none"/>
                <w:lang w:val="en-US" w:eastAsia="zh-CN"/>
              </w:rPr>
              <w:t>28</w:t>
            </w:r>
            <w:r>
              <w:rPr>
                <w:rFonts w:hint="eastAsia" w:ascii="宋体" w:hAnsi="宋体" w:cs="宋体"/>
                <w:sz w:val="24"/>
                <w:szCs w:val="24"/>
                <w:highlight w:val="none"/>
              </w:rPr>
              <w:t>日16时00分00秒</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同应标截止时间</w:t>
            </w:r>
            <w:r>
              <w:rPr>
                <w:rFonts w:hint="eastAsia" w:ascii="宋体" w:hAnsi="宋体" w:cs="宋体"/>
                <w:sz w:val="24"/>
                <w:szCs w:val="24"/>
                <w:highlight w:val="none"/>
                <w:lang w:eastAsia="zh-CN"/>
              </w:rPr>
              <w:t>）</w:t>
            </w:r>
          </w:p>
          <w:p>
            <w:pPr>
              <w:pStyle w:val="38"/>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cs="宋体"/>
                <w:sz w:val="24"/>
                <w:szCs w:val="24"/>
                <w:highlight w:val="none"/>
              </w:rPr>
              <w:t>20</w:t>
            </w:r>
            <w:r>
              <w:rPr>
                <w:rFonts w:ascii="宋体" w:hAnsi="宋体" w:cs="宋体"/>
                <w:sz w:val="24"/>
                <w:szCs w:val="24"/>
                <w:highlight w:val="none"/>
              </w:rPr>
              <w:t>2</w:t>
            </w:r>
            <w:r>
              <w:rPr>
                <w:rFonts w:hint="eastAsia" w:ascii="宋体" w:hAnsi="宋体" w:cs="宋体"/>
                <w:sz w:val="24"/>
                <w:szCs w:val="24"/>
                <w:highlight w:val="none"/>
                <w:lang w:val="en-US" w:eastAsia="zh-CN"/>
              </w:rPr>
              <w:t>5</w:t>
            </w:r>
            <w:r>
              <w:rPr>
                <w:rFonts w:hint="eastAsia" w:ascii="宋体" w:hAnsi="宋体" w:cs="宋体"/>
                <w:sz w:val="24"/>
                <w:szCs w:val="24"/>
                <w:highlight w:val="none"/>
              </w:rPr>
              <w:t>年</w:t>
            </w:r>
            <w:r>
              <w:rPr>
                <w:rFonts w:hint="eastAsia" w:ascii="宋体" w:hAnsi="宋体" w:cs="宋体"/>
                <w:sz w:val="24"/>
                <w:szCs w:val="24"/>
                <w:highlight w:val="none"/>
                <w:lang w:val="en-US" w:eastAsia="zh-CN"/>
              </w:rPr>
              <w:t>8</w:t>
            </w:r>
            <w:r>
              <w:rPr>
                <w:rFonts w:hint="eastAsia" w:ascii="宋体" w:hAnsi="宋体" w:cs="宋体"/>
                <w:sz w:val="24"/>
                <w:szCs w:val="24"/>
                <w:highlight w:val="none"/>
              </w:rPr>
              <w:t>月</w:t>
            </w:r>
            <w:r>
              <w:rPr>
                <w:rFonts w:hint="eastAsia" w:ascii="宋体" w:hAnsi="宋体" w:cs="宋体"/>
                <w:sz w:val="24"/>
                <w:szCs w:val="24"/>
                <w:highlight w:val="none"/>
                <w:lang w:val="en-US" w:eastAsia="zh-CN"/>
              </w:rPr>
              <w:t>29</w:t>
            </w:r>
            <w:r>
              <w:rPr>
                <w:rFonts w:hint="eastAsia" w:ascii="宋体" w:hAnsi="宋体" w:cs="宋体"/>
                <w:sz w:val="24"/>
                <w:szCs w:val="24"/>
                <w:highlight w:val="none"/>
              </w:rPr>
              <w:t>日</w:t>
            </w:r>
            <w:r>
              <w:rPr>
                <w:rFonts w:hint="eastAsia" w:ascii="宋体" w:hAnsi="宋体" w:cs="宋体"/>
                <w:sz w:val="24"/>
                <w:szCs w:val="24"/>
                <w:highlight w:val="none"/>
                <w:lang w:val="en-US" w:eastAsia="zh-CN"/>
              </w:rPr>
              <w:t>9:3</w:t>
            </w:r>
            <w:r>
              <w:rPr>
                <w:rFonts w:hint="eastAsia" w:ascii="宋体" w:hAnsi="宋体" w:cs="宋体"/>
                <w:sz w:val="24"/>
                <w:szCs w:val="24"/>
                <w:highlight w:val="none"/>
              </w:rPr>
              <w:t>0</w:t>
            </w:r>
            <w:r>
              <w:rPr>
                <w:rFonts w:hint="eastAsia" w:ascii="宋体" w:hAnsi="宋体" w:cs="宋体"/>
                <w:sz w:val="24"/>
                <w:szCs w:val="24"/>
                <w:highlight w:val="none"/>
                <w:lang w:val="en-US" w:eastAsia="zh-CN"/>
              </w:rPr>
              <w:t>:00</w:t>
            </w:r>
            <w:r>
              <w:rPr>
                <w:rFonts w:hint="eastAsia" w:ascii="宋体" w:hAnsi="宋体" w:eastAsia="宋体" w:cs="宋体"/>
                <w:kern w:val="0"/>
                <w:sz w:val="24"/>
                <w:szCs w:val="24"/>
                <w:highlight w:val="none"/>
              </w:rPr>
              <w:t>。</w:t>
            </w:r>
          </w:p>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lang w:val="en-US" w:eastAsia="zh-CN"/>
              </w:rPr>
              <w:t>杭州市萧山区萧山经济技术开发区红泰六路699号铸造办公楼二楼会议室</w:t>
            </w:r>
            <w:r>
              <w:rPr>
                <w:rFonts w:hint="eastAsia" w:ascii="宋体" w:hAnsi="宋体" w:eastAsia="宋体" w:cs="宋体"/>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w:t>
            </w:r>
            <w:r>
              <w:rPr>
                <w:rFonts w:hint="eastAsia" w:ascii="宋体" w:hAnsi="宋体" w:eastAsia="宋体" w:cs="宋体"/>
                <w:b/>
                <w:bCs/>
                <w:sz w:val="24"/>
                <w:szCs w:val="24"/>
                <w:highlight w:val="none"/>
                <w:lang w:val="en-US" w:eastAsia="zh-CN"/>
              </w:rPr>
              <w:t>资质标审核→唱标→技术标评审→商务标评审。技术标入围后，原则上选取</w:t>
            </w:r>
            <w:r>
              <w:rPr>
                <w:rFonts w:hint="eastAsia" w:ascii="宋体" w:hAnsi="宋体" w:eastAsia="宋体" w:cs="Times New Roman"/>
                <w:b/>
                <w:bCs/>
                <w:color w:val="000000"/>
                <w:sz w:val="24"/>
                <w:szCs w:val="24"/>
                <w:highlight w:val="none"/>
                <w:lang w:val="en-US" w:eastAsia="zh-CN"/>
              </w:rPr>
              <w:t>合理最低价中标</w:t>
            </w:r>
            <w:r>
              <w:rPr>
                <w:rFonts w:hint="eastAsia" w:ascii="宋体" w:hAnsi="宋体" w:eastAsia="宋体" w:cs="宋体"/>
                <w:sz w:val="24"/>
                <w:szCs w:val="24"/>
                <w:highlight w:val="none"/>
              </w:rPr>
              <w:t>。具体详见“第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pPr>
              <w:pStyle w:val="18"/>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自</w:t>
            </w:r>
            <w:r>
              <w:rPr>
                <w:rFonts w:hint="eastAsia" w:hAnsi="宋体" w:eastAsia="宋体" w:cs="宋体"/>
                <w:color w:val="000000"/>
                <w:sz w:val="24"/>
                <w:szCs w:val="24"/>
                <w:highlight w:val="none"/>
                <w:lang w:val="en-US" w:eastAsia="zh-CN"/>
              </w:rPr>
              <w:t>接到中标通知日</w:t>
            </w:r>
            <w:r>
              <w:rPr>
                <w:rFonts w:hint="eastAsia" w:hAnsi="宋体" w:eastAsia="宋体" w:cs="宋体"/>
                <w:color w:val="000000"/>
                <w:sz w:val="24"/>
                <w:szCs w:val="24"/>
                <w:highlight w:val="none"/>
              </w:rPr>
              <w:t>起，</w:t>
            </w:r>
            <w:r>
              <w:rPr>
                <w:rFonts w:hint="eastAsia" w:hAnsi="宋体" w:eastAsia="宋体" w:cs="宋体"/>
                <w:color w:val="000000"/>
                <w:sz w:val="24"/>
                <w:szCs w:val="24"/>
                <w:highlight w:val="none"/>
                <w:lang w:val="en-US" w:eastAsia="zh-CN"/>
              </w:rPr>
              <w:t>2个月内</w:t>
            </w:r>
            <w:r>
              <w:rPr>
                <w:rFonts w:hint="eastAsia" w:hAnsi="宋体" w:eastAsia="宋体" w:cs="宋体"/>
                <w:color w:val="000000"/>
                <w:sz w:val="24"/>
                <w:szCs w:val="24"/>
                <w:highlight w:val="none"/>
              </w:rPr>
              <w:t>完成现场安装调试及培训服务。</w:t>
            </w:r>
          </w:p>
          <w:p>
            <w:pPr>
              <w:pStyle w:val="18"/>
              <w:ind w:firstLine="480" w:firstLineChars="200"/>
              <w:rPr>
                <w:rFonts w:hAnsi="宋体" w:eastAsia="宋体" w:cs="宋体"/>
                <w:color w:val="000000"/>
                <w:sz w:val="24"/>
                <w:szCs w:val="24"/>
                <w:highlight w:val="none"/>
              </w:rPr>
            </w:pPr>
            <w:r>
              <w:rPr>
                <w:rFonts w:hint="eastAsia" w:ascii="宋体" w:hAnsi="宋体" w:eastAsia="宋体" w:cs="宋体"/>
                <w:color w:val="000000"/>
                <w:sz w:val="24"/>
                <w:szCs w:val="24"/>
                <w:highlight w:val="none"/>
              </w:rPr>
              <w:t>安装调试工期超过</w:t>
            </w:r>
            <w:r>
              <w:rPr>
                <w:rFonts w:hint="eastAsia" w:ascii="宋体" w:hAnsi="宋体" w:eastAsia="宋体" w:cs="宋体"/>
                <w:color w:val="000000"/>
                <w:sz w:val="24"/>
                <w:szCs w:val="24"/>
                <w:highlight w:val="none"/>
                <w:u w:val="none"/>
              </w:rPr>
              <w:t>20个日历日</w:t>
            </w:r>
            <w:r>
              <w:rPr>
                <w:rFonts w:hint="eastAsia" w:ascii="宋体" w:hAnsi="宋体" w:eastAsia="宋体" w:cs="宋体"/>
                <w:color w:val="000000"/>
                <w:sz w:val="24"/>
                <w:szCs w:val="24"/>
                <w:highlight w:val="none"/>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pPr>
              <w:keepNext w:val="0"/>
              <w:keepLines w:val="0"/>
              <w:widowControl/>
              <w:suppressLineNumbers w:val="0"/>
              <w:ind w:firstLine="482" w:firstLineChars="200"/>
              <w:jc w:val="left"/>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ascii="宋体" w:hAnsi="宋体" w:eastAsia="宋体" w:cs="宋体"/>
                <w:color w:val="000000"/>
                <w:sz w:val="24"/>
                <w:szCs w:val="24"/>
                <w:highlight w:val="none"/>
                <w:u w:val="single"/>
                <w:lang w:eastAsia="zh-CN"/>
              </w:rPr>
              <w:t>中国重汽集团杭州发动机有限公司铸件制造部</w:t>
            </w:r>
            <w:r>
              <w:rPr>
                <w:rFonts w:hint="eastAsia" w:ascii="宋体" w:hAnsi="宋体" w:eastAsia="宋体" w:cs="宋体"/>
                <w:color w:val="000000"/>
                <w:kern w:val="2"/>
                <w:sz w:val="24"/>
                <w:szCs w:val="24"/>
                <w:highlight w:val="none"/>
                <w:lang w:val="en-US" w:eastAsia="zh-CN" w:bidi="ar-SA"/>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8"/>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pPr>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1)合同签订后，项目完成图纸会签后，卖方开具30%的合同款的增值税专用发票（税率13%）交买方后，买方在60个日历日内支付合同总价的30%款项作为项目的进度款。</w:t>
            </w:r>
          </w:p>
          <w:p>
            <w:pPr>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2)货物完成制造后，经双方预验收合格，卖方开具合同款的30%的增值税专用发票（税率13%）交买方后，买方在60个日历日内支付合同总价的30%款项作为项目的进度款。</w:t>
            </w:r>
          </w:p>
          <w:p>
            <w:pPr>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3)终验收合格后，卖方开具合同款的40%的增值税专用发票（税率13%）交买方后，买方在60个日历日内支付合同总价的30%款项作为项目的终验收款。</w:t>
            </w:r>
          </w:p>
          <w:p>
            <w:pPr>
              <w:ind w:firstLine="480" w:firstLineChars="200"/>
              <w:rPr>
                <w:rFonts w:ascii="宋体" w:hAnsi="宋体" w:eastAsia="宋体" w:cs="宋体"/>
                <w:sz w:val="24"/>
                <w:szCs w:val="24"/>
                <w:highlight w:val="none"/>
              </w:rPr>
            </w:pPr>
            <w:r>
              <w:rPr>
                <w:rFonts w:hint="eastAsia" w:ascii="宋体" w:hAnsi="宋体" w:eastAsia="宋体" w:cs="宋体"/>
                <w:color w:val="000000"/>
                <w:sz w:val="24"/>
                <w:szCs w:val="24"/>
                <w:highlight w:val="none"/>
              </w:rPr>
              <w:t>4)合同价款的10%作为质保金，质量保证期内不计利息。届满后，质保期内无质量问题，买方在60个日历日内支付尾款。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中国重汽集团杭州发动机有限公司</w:t>
            </w:r>
          </w:p>
          <w:p>
            <w:pPr>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91330109788257521W</w:t>
            </w:r>
          </w:p>
          <w:p>
            <w:pPr>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地址萧山区萧山经济技术开发区红垦农场红泰六路699号</w:t>
            </w:r>
          </w:p>
          <w:p>
            <w:pPr>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电话：</w:t>
            </w:r>
            <w:r>
              <w:rPr>
                <w:rFonts w:hint="eastAsia" w:ascii="宋体" w:hAnsi="宋体" w:eastAsia="宋体" w:cs="宋体"/>
                <w:color w:val="000000"/>
                <w:sz w:val="24"/>
                <w:szCs w:val="24"/>
                <w:highlight w:val="none"/>
              </w:rPr>
              <w:t>0571-88078888</w:t>
            </w:r>
          </w:p>
          <w:p>
            <w:pPr>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工行半道红支行</w:t>
            </w:r>
          </w:p>
          <w:p>
            <w:pPr>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帐号</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1202051439900007785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2"/>
              <w:jc w:val="center"/>
              <w:rPr>
                <w:rFonts w:ascii="宋体" w:hAnsi="宋体" w:eastAsia="宋体" w:cs="宋体"/>
                <w:sz w:val="24"/>
                <w:szCs w:val="24"/>
                <w:highlight w:val="none"/>
              </w:rPr>
            </w:pPr>
            <w:r>
              <w:rPr>
                <w:rFonts w:hint="eastAsia" w:ascii="宋体" w:hAnsi="宋体" w:eastAsia="宋体" w:cs="宋体"/>
                <w:b/>
                <w:bCs/>
                <w:sz w:val="24"/>
                <w:szCs w:val="24"/>
                <w:highlight w:val="none"/>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中标方应在合同签订后15日内需根据设计</w:t>
            </w:r>
            <w:r>
              <w:rPr>
                <w:rStyle w:val="45"/>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9"/>
    </w:tbl>
    <w:p>
      <w:pPr>
        <w:rPr>
          <w:rFonts w:hint="eastAsia" w:ascii="Calibri" w:hAnsi="Calibri" w:eastAsia="宋体" w:cs="Times New Roman"/>
          <w:b/>
          <w:bCs/>
          <w:kern w:val="44"/>
          <w:sz w:val="36"/>
          <w:szCs w:val="44"/>
        </w:rPr>
      </w:pPr>
      <w:bookmarkStart w:id="10" w:name="_Toc15609"/>
      <w:r>
        <w:rPr>
          <w:rFonts w:hint="eastAsia" w:ascii="Calibri" w:hAnsi="Calibri" w:eastAsia="宋体" w:cs="Times New Roman"/>
          <w:b/>
          <w:bCs/>
          <w:kern w:val="44"/>
          <w:sz w:val="36"/>
          <w:szCs w:val="44"/>
        </w:rPr>
        <w:br w:type="page"/>
      </w:r>
    </w:p>
    <w:p>
      <w:pPr>
        <w:pStyle w:val="18"/>
        <w:numPr>
          <w:ilvl w:val="0"/>
          <w:numId w:val="2"/>
        </w:numPr>
        <w:jc w:val="center"/>
        <w:outlineLvl w:val="0"/>
        <w:rPr>
          <w:rFonts w:hint="eastAsia" w:ascii="Calibri" w:hAnsi="Calibri" w:eastAsia="宋体" w:cs="Times New Roman"/>
          <w:b/>
          <w:bCs/>
          <w:kern w:val="44"/>
          <w:sz w:val="36"/>
          <w:szCs w:val="44"/>
        </w:rPr>
      </w:pPr>
      <w:bookmarkStart w:id="11" w:name="_Toc1080"/>
      <w:bookmarkStart w:id="12" w:name="_Toc5706"/>
      <w:r>
        <w:rPr>
          <w:rFonts w:hint="eastAsia" w:ascii="Calibri" w:hAnsi="Calibri" w:eastAsia="宋体" w:cs="Times New Roman"/>
          <w:b/>
          <w:bCs/>
          <w:kern w:val="44"/>
          <w:sz w:val="36"/>
          <w:szCs w:val="44"/>
        </w:rPr>
        <w:t>投标须知</w:t>
      </w:r>
      <w:bookmarkEnd w:id="10"/>
      <w:bookmarkEnd w:id="11"/>
      <w:bookmarkEnd w:id="12"/>
    </w:p>
    <w:p>
      <w:pPr>
        <w:pStyle w:val="18"/>
        <w:numPr>
          <w:ilvl w:val="-1"/>
          <w:numId w:val="0"/>
        </w:numPr>
        <w:jc w:val="both"/>
        <w:outlineLvl w:val="9"/>
        <w:rPr>
          <w:rFonts w:hint="eastAsia" w:ascii="Calibri" w:hAnsi="Calibri" w:eastAsia="宋体" w:cs="Times New Roman"/>
          <w:b/>
          <w:bCs/>
          <w:kern w:val="44"/>
          <w:sz w:val="36"/>
          <w:szCs w:val="44"/>
        </w:rPr>
      </w:pP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13" w:name="OLE_LINK1"/>
      <w:r>
        <w:rPr>
          <w:rFonts w:hint="eastAsia" w:ascii="宋体" w:hAnsi="宋体" w:eastAsia="宋体" w:cs="宋体"/>
          <w:color w:val="000000"/>
          <w:sz w:val="24"/>
          <w:szCs w:val="24"/>
          <w:highlight w:val="none"/>
        </w:rPr>
        <w:t>见《投标须知前附表》。</w:t>
      </w:r>
    </w:p>
    <w:bookmarkEnd w:id="13"/>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8"/>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8"/>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3.1</w:t>
      </w:r>
      <w:r>
        <w:rPr>
          <w:rFonts w:hint="eastAsia" w:ascii="宋体" w:hAnsi="宋体" w:eastAsia="宋体" w:cs="宋体"/>
          <w:sz w:val="24"/>
          <w:szCs w:val="24"/>
          <w:highlight w:val="none"/>
        </w:rPr>
        <w:t>本次招投标为</w:t>
      </w:r>
      <w:r>
        <w:rPr>
          <w:rFonts w:hint="eastAsia" w:ascii="宋体" w:hAnsi="宋体" w:eastAsia="宋体" w:cs="宋体"/>
          <w:color w:val="000000"/>
          <w:sz w:val="24"/>
          <w:szCs w:val="24"/>
          <w:highlight w:val="none"/>
        </w:rPr>
        <w:t>公开招标</w:t>
      </w:r>
      <w:r>
        <w:rPr>
          <w:rFonts w:hint="eastAsia" w:ascii="宋体" w:hAnsi="宋体" w:eastAsia="宋体" w:cs="宋体"/>
          <w:b/>
          <w:sz w:val="24"/>
          <w:szCs w:val="24"/>
          <w:highlight w:val="none"/>
        </w:rPr>
        <w:t>；</w:t>
      </w:r>
      <w:r>
        <w:rPr>
          <w:rFonts w:hint="eastAsia" w:ascii="宋体" w:hAnsi="宋体" w:eastAsia="宋体" w:cs="宋体"/>
          <w:color w:val="000000"/>
          <w:sz w:val="24"/>
          <w:szCs w:val="24"/>
          <w:highlight w:val="none"/>
        </w:rPr>
        <w:t>评标流程以及规则详见</w:t>
      </w:r>
      <w:r>
        <w:rPr>
          <w:rFonts w:hint="eastAsia" w:ascii="宋体" w:hAnsi="宋体" w:eastAsia="宋体" w:cs="宋体"/>
          <w:color w:val="000000"/>
          <w:sz w:val="24"/>
          <w:szCs w:val="24"/>
          <w:highlight w:val="none"/>
          <w:lang w:val="en-US" w:eastAsia="zh-CN"/>
        </w:rPr>
        <w:t>本部分第</w:t>
      </w:r>
      <w:r>
        <w:rPr>
          <w:rFonts w:hint="eastAsia" w:ascii="宋体" w:hAnsi="宋体" w:eastAsia="宋体" w:cs="宋体"/>
          <w:color w:val="000000"/>
          <w:sz w:val="24"/>
          <w:szCs w:val="24"/>
          <w:highlight w:val="none"/>
        </w:rPr>
        <w:t>六</w:t>
      </w:r>
      <w:r>
        <w:rPr>
          <w:rFonts w:hint="eastAsia" w:ascii="宋体" w:hAnsi="宋体" w:eastAsia="宋体" w:cs="宋体"/>
          <w:color w:val="000000"/>
          <w:sz w:val="24"/>
          <w:szCs w:val="24"/>
          <w:highlight w:val="none"/>
          <w:lang w:val="en-US" w:eastAsia="zh-CN"/>
        </w:rPr>
        <w:t>条</w:t>
      </w:r>
      <w:r>
        <w:rPr>
          <w:rFonts w:hint="eastAsia" w:ascii="宋体" w:hAnsi="宋体" w:eastAsia="宋体" w:cs="宋体"/>
          <w:color w:val="000000"/>
          <w:sz w:val="24"/>
          <w:szCs w:val="24"/>
          <w:highlight w:val="none"/>
        </w:rPr>
        <w:t>评标</w:t>
      </w:r>
      <w:r>
        <w:rPr>
          <w:rFonts w:hint="eastAsia" w:ascii="宋体" w:hAnsi="宋体" w:eastAsia="宋体" w:cs="宋体"/>
          <w:color w:val="000000"/>
          <w:sz w:val="24"/>
          <w:szCs w:val="24"/>
          <w:highlight w:val="none"/>
          <w:lang w:val="en-US" w:eastAsia="zh-CN"/>
        </w:rPr>
        <w:t>原则</w:t>
      </w:r>
      <w:r>
        <w:rPr>
          <w:rFonts w:hint="eastAsia" w:ascii="宋体" w:hAnsi="宋体" w:eastAsia="宋体" w:cs="宋体"/>
          <w:color w:val="000000"/>
          <w:sz w:val="24"/>
          <w:szCs w:val="24"/>
          <w:highlight w:val="none"/>
        </w:rPr>
        <w:t>。</w:t>
      </w:r>
    </w:p>
    <w:p>
      <w:pPr>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8"/>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4.7设备设施颜色严格执行我公司企业标准《设备设施颜色标识》（Q/ZZ30070</w:t>
      </w:r>
    </w:p>
    <w:p>
      <w:pPr>
        <w:pStyle w:val="18"/>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—2020）。</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5.其他要求</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6.询标</w:t>
      </w:r>
    </w:p>
    <w:p>
      <w:pPr>
        <w:keepNext/>
        <w:keepLines/>
        <w:spacing w:line="360" w:lineRule="auto"/>
        <w:ind w:firstLine="480" w:firstLineChars="200"/>
        <w:rPr>
          <w:rFonts w:hint="eastAsia" w:ascii="宋体" w:hAnsi="宋体" w:eastAsia="宋体" w:cs="宋体"/>
          <w:b/>
          <w:bCs/>
          <w:color w:val="000000"/>
          <w:sz w:val="24"/>
          <w:szCs w:val="24"/>
          <w:highlight w:val="none"/>
          <w:lang w:eastAsia="zh-CN"/>
        </w:rPr>
      </w:pPr>
      <w:r>
        <w:rPr>
          <w:rFonts w:hint="eastAsia" w:ascii="宋体" w:hAnsi="宋体" w:eastAsia="宋体" w:cs="宋体"/>
          <w:color w:val="000000"/>
          <w:sz w:val="24"/>
          <w:szCs w:val="24"/>
          <w:highlight w:val="none"/>
        </w:rPr>
        <w:t>凡对本次招标提出的询问，均以招标人的书面答复为准</w:t>
      </w:r>
      <w:r>
        <w:rPr>
          <w:rFonts w:hint="eastAsia" w:ascii="宋体" w:hAnsi="宋体" w:eastAsia="宋体" w:cs="宋体"/>
          <w:color w:val="000000"/>
          <w:sz w:val="24"/>
          <w:szCs w:val="24"/>
          <w:highlight w:val="none"/>
          <w:lang w:eastAsia="zh-CN"/>
        </w:rPr>
        <w:t>。</w:t>
      </w:r>
    </w:p>
    <w:p>
      <w:pPr>
        <w:keepNext/>
        <w:keepLines/>
        <w:spacing w:line="360" w:lineRule="auto"/>
        <w:outlineLvl w:val="1"/>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五、议程安排</w:t>
      </w:r>
    </w:p>
    <w:p>
      <w:pPr>
        <w:keepNext/>
        <w:keepLines/>
        <w:spacing w:line="360" w:lineRule="auto"/>
        <w:ind w:firstLine="482" w:firstLineChars="200"/>
        <w:outlineLvl w:val="2"/>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1.发标时间</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w:t>
      </w:r>
      <w:r>
        <w:rPr>
          <w:rFonts w:hint="eastAsia" w:ascii="宋体" w:hAnsi="宋体" w:eastAsia="宋体" w:cs="宋体"/>
          <w:color w:val="000000"/>
          <w:sz w:val="24"/>
          <w:szCs w:val="24"/>
          <w:highlight w:val="none"/>
          <w:lang w:val="en-US" w:eastAsia="zh-CN"/>
        </w:rPr>
        <w:t>第二条</w:t>
      </w:r>
      <w:r>
        <w:rPr>
          <w:rFonts w:hint="eastAsia" w:ascii="宋体" w:hAnsi="宋体" w:eastAsia="宋体" w:cs="宋体"/>
          <w:color w:val="000000"/>
          <w:sz w:val="24"/>
          <w:szCs w:val="24"/>
          <w:highlight w:val="none"/>
        </w:rPr>
        <w:t>，逾期不受理。</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4</w:t>
      </w:r>
      <w:r>
        <w:rPr>
          <w:rFonts w:hint="eastAsia" w:ascii="宋体" w:hAnsi="宋体" w:eastAsia="宋体" w:cs="宋体"/>
          <w:b/>
          <w:bCs/>
          <w:color w:val="000000"/>
          <w:sz w:val="24"/>
          <w:szCs w:val="24"/>
          <w:highlight w:val="none"/>
        </w:rPr>
        <w:t>.投标报名</w:t>
      </w:r>
    </w:p>
    <w:p>
      <w:pPr>
        <w:keepNext/>
        <w:keepLines/>
        <w:spacing w:line="360" w:lineRule="auto"/>
        <w:ind w:firstLine="482"/>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w:t>
      </w:r>
      <w:r>
        <w:rPr>
          <w:rFonts w:hint="eastAsia" w:ascii="宋体" w:hAnsi="宋体" w:eastAsia="宋体" w:cs="宋体"/>
          <w:sz w:val="24"/>
          <w:szCs w:val="24"/>
          <w:highlight w:val="none"/>
          <w:lang w:val="en-US" w:eastAsia="zh-CN"/>
        </w:rPr>
        <w:t>4.2和4.3</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p>
    <w:p>
      <w:pPr>
        <w:pStyle w:val="115"/>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5"/>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5"/>
        <w:spacing w:line="360" w:lineRule="auto"/>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报名方式：见《投标须知前附表》2.3</w:t>
      </w:r>
      <w:r>
        <w:rPr>
          <w:rFonts w:hint="eastAsia" w:ascii="宋体" w:hAnsi="宋体" w:eastAsia="宋体" w:cs="宋体"/>
          <w:sz w:val="24"/>
          <w:szCs w:val="24"/>
          <w:highlight w:val="none"/>
          <w:lang w:eastAsia="zh-CN"/>
        </w:rPr>
        <w:t>。</w:t>
      </w:r>
    </w:p>
    <w:p>
      <w:pPr>
        <w:pStyle w:val="115"/>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报名提交资料：均为</w:t>
      </w:r>
      <w:r>
        <w:rPr>
          <w:rFonts w:hint="eastAsia" w:ascii="宋体" w:hAnsi="宋体" w:eastAsia="宋体" w:cs="宋体"/>
          <w:sz w:val="24"/>
          <w:szCs w:val="24"/>
          <w:highlight w:val="none"/>
          <w:lang w:val="en-US" w:eastAsia="zh-CN"/>
        </w:rPr>
        <w:t>盖章</w:t>
      </w:r>
      <w:r>
        <w:rPr>
          <w:rFonts w:hint="eastAsia" w:ascii="宋体" w:hAnsi="宋体" w:eastAsia="宋体" w:cs="宋体"/>
          <w:sz w:val="24"/>
          <w:szCs w:val="24"/>
          <w:highlight w:val="none"/>
        </w:rPr>
        <w:t>电子扫描版，用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公司</w:t>
      </w:r>
      <w:r>
        <w:rPr>
          <w:rFonts w:hint="eastAsia" w:ascii="宋体" w:hAnsi="宋体" w:eastAsia="宋体" w:cs="宋体"/>
          <w:sz w:val="24"/>
          <w:szCs w:val="24"/>
          <w:highlight w:val="none"/>
          <w:lang w:val="en-US" w:eastAsia="zh-CN"/>
        </w:rPr>
        <w:t>名称+文件名称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命名</w:t>
      </w:r>
      <w:r>
        <w:rPr>
          <w:rFonts w:hint="eastAsia" w:ascii="宋体" w:hAnsi="宋体" w:eastAsia="宋体" w:cs="宋体"/>
          <w:sz w:val="24"/>
          <w:szCs w:val="24"/>
          <w:highlight w:val="none"/>
        </w:rPr>
        <w:t>。</w:t>
      </w:r>
    </w:p>
    <w:p>
      <w:pPr>
        <w:numPr>
          <w:ilvl w:val="0"/>
          <w:numId w:val="5"/>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pPr>
        <w:numPr>
          <w:ilvl w:val="0"/>
          <w:numId w:val="5"/>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如果是代理商投标</w:t>
      </w:r>
      <w:r>
        <w:rPr>
          <w:rFonts w:hint="eastAsia" w:ascii="宋体" w:hAnsi="宋体" w:eastAsia="宋体" w:cs="宋体"/>
          <w:color w:val="000000"/>
          <w:sz w:val="24"/>
          <w:szCs w:val="24"/>
          <w:highlight w:val="none"/>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rPr>
        <w:t>.开标时间</w:t>
      </w:r>
    </w:p>
    <w:p>
      <w:pPr>
        <w:keepNext/>
        <w:keepLines/>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b w:val="0"/>
          <w:bCs w:val="0"/>
          <w:color w:val="000000"/>
          <w:sz w:val="24"/>
          <w:szCs w:val="24"/>
          <w:highlight w:val="none"/>
        </w:rPr>
        <w:t>见《投标须知前附表》5.</w:t>
      </w:r>
      <w:r>
        <w:rPr>
          <w:rFonts w:hint="eastAsia" w:ascii="宋体" w:hAnsi="宋体" w:eastAsia="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，若有变动另行通知</w:t>
      </w:r>
      <w:r>
        <w:rPr>
          <w:rFonts w:hint="eastAsia" w:ascii="宋体" w:hAnsi="宋体" w:eastAsia="宋体" w:cs="宋体"/>
          <w:color w:val="000000"/>
          <w:sz w:val="24"/>
          <w:szCs w:val="24"/>
          <w:highlight w:val="none"/>
        </w:rPr>
        <w:t>。</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6</w:t>
      </w:r>
      <w:r>
        <w:rPr>
          <w:rFonts w:hint="eastAsia" w:ascii="宋体" w:hAnsi="宋体" w:eastAsia="宋体" w:cs="宋体"/>
          <w:b/>
          <w:bCs/>
          <w:color w:val="000000"/>
          <w:sz w:val="24"/>
          <w:szCs w:val="24"/>
          <w:highlight w:val="none"/>
        </w:rPr>
        <w:t>.开标方式</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原则上</w:t>
      </w:r>
      <w:r>
        <w:rPr>
          <w:rFonts w:hint="eastAsia" w:ascii="宋体" w:hAnsi="宋体" w:eastAsia="宋体" w:cs="宋体"/>
          <w:color w:val="000000"/>
          <w:sz w:val="24"/>
          <w:szCs w:val="24"/>
          <w:highlight w:val="none"/>
          <w:lang w:val="en-US"/>
        </w:rPr>
        <w:t>来现场参与</w:t>
      </w:r>
      <w:r>
        <w:rPr>
          <w:rFonts w:hint="eastAsia" w:ascii="宋体" w:hAnsi="宋体" w:eastAsia="宋体" w:cs="宋体"/>
          <w:color w:val="000000"/>
          <w:sz w:val="24"/>
          <w:szCs w:val="24"/>
          <w:highlight w:val="none"/>
          <w:lang w:val="en-US" w:eastAsia="zh-CN"/>
        </w:rPr>
        <w:t>开</w:t>
      </w:r>
      <w:r>
        <w:rPr>
          <w:rFonts w:hint="eastAsia" w:ascii="宋体" w:hAnsi="宋体" w:eastAsia="宋体" w:cs="宋体"/>
          <w:color w:val="000000"/>
          <w:sz w:val="24"/>
          <w:szCs w:val="24"/>
          <w:highlight w:val="none"/>
          <w:lang w:val="en-US"/>
        </w:rPr>
        <w:t>标。</w:t>
      </w:r>
      <w:r>
        <w:rPr>
          <w:rFonts w:hint="eastAsia" w:ascii="宋体" w:hAnsi="宋体" w:eastAsia="宋体" w:cs="宋体"/>
          <w:color w:val="000000"/>
          <w:sz w:val="24"/>
          <w:szCs w:val="24"/>
          <w:highlight w:val="none"/>
          <w:lang w:val="en-US" w:eastAsia="zh-CN"/>
        </w:rPr>
        <w:t>如因特殊情况无法现场参与，需在开标前三日，通知招标人，由招标人创建</w:t>
      </w:r>
      <w:r>
        <w:rPr>
          <w:rFonts w:hint="eastAsia" w:ascii="宋体" w:hAnsi="宋体" w:eastAsia="宋体" w:cs="宋体"/>
          <w:color w:val="000000"/>
          <w:sz w:val="24"/>
          <w:szCs w:val="24"/>
          <w:highlight w:val="none"/>
        </w:rPr>
        <w:t>视频链接</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并</w:t>
      </w:r>
      <w:r>
        <w:rPr>
          <w:rFonts w:hint="eastAsia" w:ascii="宋体" w:hAnsi="宋体" w:eastAsia="宋体" w:cs="宋体"/>
          <w:color w:val="000000"/>
          <w:sz w:val="24"/>
          <w:szCs w:val="24"/>
          <w:highlight w:val="none"/>
        </w:rPr>
        <w:t>在报名</w:t>
      </w:r>
      <w:r>
        <w:rPr>
          <w:rFonts w:hint="eastAsia" w:ascii="宋体" w:hAnsi="宋体" w:eastAsia="宋体" w:cs="宋体"/>
          <w:color w:val="000000"/>
          <w:sz w:val="24"/>
          <w:szCs w:val="24"/>
          <w:highlight w:val="none"/>
          <w:lang w:val="en-US" w:eastAsia="zh-CN"/>
        </w:rPr>
        <w:t>结束</w:t>
      </w:r>
      <w:r>
        <w:rPr>
          <w:rFonts w:hint="eastAsia" w:ascii="宋体" w:hAnsi="宋体" w:eastAsia="宋体" w:cs="宋体"/>
          <w:color w:val="000000"/>
          <w:sz w:val="24"/>
          <w:szCs w:val="24"/>
          <w:highlight w:val="none"/>
        </w:rPr>
        <w:t>后统一</w:t>
      </w:r>
      <w:r>
        <w:rPr>
          <w:rFonts w:hint="eastAsia" w:ascii="宋体" w:hAnsi="宋体" w:eastAsia="宋体" w:cs="宋体"/>
          <w:color w:val="000000"/>
          <w:sz w:val="24"/>
          <w:szCs w:val="24"/>
          <w:highlight w:val="none"/>
          <w:lang w:val="en-US" w:eastAsia="zh-CN"/>
        </w:rPr>
        <w:t>通知</w:t>
      </w:r>
      <w:r>
        <w:rPr>
          <w:rFonts w:hint="eastAsia" w:ascii="宋体" w:hAnsi="宋体" w:eastAsia="宋体" w:cs="宋体"/>
          <w:color w:val="000000"/>
          <w:sz w:val="24"/>
          <w:szCs w:val="24"/>
          <w:highlight w:val="none"/>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14" w:name="_Toc33265653"/>
      <w:bookmarkStart w:id="15" w:name="_Toc33265752"/>
      <w:bookmarkStart w:id="16" w:name="_Toc33285487"/>
      <w:bookmarkStart w:id="17" w:name="_Toc33266914"/>
      <w:bookmarkStart w:id="18" w:name="_Toc33267001"/>
      <w:bookmarkStart w:id="19" w:name="_Toc33266950"/>
      <w:bookmarkStart w:id="20" w:name="_Toc33266627"/>
      <w:r>
        <w:rPr>
          <w:rFonts w:hint="eastAsia" w:ascii="宋体" w:hAnsi="宋体" w:eastAsia="宋体" w:cs="宋体"/>
          <w:b/>
          <w:bCs w:val="0"/>
          <w:sz w:val="24"/>
          <w:szCs w:val="24"/>
        </w:rPr>
        <w:t>六、评价原则</w:t>
      </w:r>
      <w:bookmarkEnd w:id="14"/>
      <w:bookmarkEnd w:id="15"/>
      <w:bookmarkEnd w:id="16"/>
      <w:bookmarkEnd w:id="17"/>
      <w:bookmarkEnd w:id="18"/>
      <w:bookmarkEnd w:id="19"/>
      <w:bookmarkEnd w:id="20"/>
      <w:bookmarkStart w:id="21" w:name="_Toc395116633"/>
    </w:p>
    <w:bookmarkEnd w:id="21"/>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22" w:name="_Toc33266628"/>
      <w:bookmarkStart w:id="23" w:name="_Toc33266951"/>
      <w:bookmarkStart w:id="24" w:name="_Toc33265654"/>
      <w:bookmarkStart w:id="25" w:name="_Toc33265753"/>
      <w:bookmarkStart w:id="26" w:name="_Toc395116634"/>
      <w:bookmarkStart w:id="27" w:name="_Toc33266915"/>
      <w:bookmarkStart w:id="28" w:name="_Toc33285489"/>
      <w:bookmarkStart w:id="29" w:name="_Toc33267002"/>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22"/>
    <w:bookmarkEnd w:id="23"/>
    <w:bookmarkEnd w:id="24"/>
    <w:bookmarkEnd w:id="25"/>
    <w:bookmarkEnd w:id="26"/>
    <w:bookmarkEnd w:id="27"/>
    <w:bookmarkEnd w:id="28"/>
    <w:bookmarkEnd w:id="29"/>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8"/>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8"/>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r>
        <w:rPr>
          <w:rFonts w:hint="eastAsia" w:hAnsi="宋体" w:eastAsia="宋体" w:cs="宋体"/>
          <w:color w:val="000000"/>
          <w:sz w:val="24"/>
          <w:szCs w:val="24"/>
          <w:lang w:eastAsia="zh-CN"/>
        </w:rPr>
        <w:t>；</w:t>
      </w:r>
    </w:p>
    <w:p>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30" w:name="OLE_LINK28"/>
      <w:bookmarkStart w:id="31" w:name="OLE_LINK26"/>
      <w:bookmarkStart w:id="32" w:name="OLE_LINK25"/>
      <w:bookmarkStart w:id="33" w:name="OLE_LINK27"/>
      <w:bookmarkStart w:id="34" w:name="OLE_LINK29"/>
      <w:r>
        <w:rPr>
          <w:rFonts w:hint="eastAsia" w:ascii="宋体" w:hAnsi="宋体" w:eastAsia="宋体" w:cs="宋体"/>
          <w:bCs/>
          <w:sz w:val="24"/>
          <w:szCs w:val="24"/>
        </w:rPr>
        <w:t>；</w:t>
      </w:r>
      <w:bookmarkEnd w:id="30"/>
      <w:bookmarkEnd w:id="31"/>
      <w:bookmarkEnd w:id="32"/>
      <w:bookmarkEnd w:id="33"/>
      <w:bookmarkEnd w:id="34"/>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8"/>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中国重汽集团杭州发动机有限公司</w:t>
      </w:r>
      <w:r>
        <w:rPr>
          <w:rFonts w:hint="eastAsia" w:ascii="宋体" w:hAnsi="宋体" w:eastAsia="宋体" w:cs="宋体"/>
          <w:b/>
          <w:color w:val="000000"/>
          <w:sz w:val="24"/>
          <w:szCs w:val="24"/>
        </w:rPr>
        <w:t>。</w:t>
      </w:r>
    </w:p>
    <w:p>
      <w:pPr>
        <w:pStyle w:val="18"/>
        <w:spacing w:line="360" w:lineRule="auto"/>
        <w:jc w:val="center"/>
        <w:rPr>
          <w:rFonts w:hint="eastAsia" w:ascii="宋体" w:hAnsi="宋体" w:eastAsia="宋体" w:cs="宋体"/>
          <w:b/>
          <w:bCs/>
          <w:kern w:val="44"/>
          <w:sz w:val="24"/>
          <w:szCs w:val="24"/>
        </w:rPr>
        <w:sectPr>
          <w:headerReference r:id="rId6" w:type="default"/>
          <w:footerReference r:id="rId7" w:type="default"/>
          <w:pgSz w:w="11907" w:h="16840"/>
          <w:pgMar w:top="1304" w:right="1418" w:bottom="1304" w:left="1418" w:header="724" w:footer="851" w:gutter="0"/>
          <w:cols w:space="720" w:num="1"/>
          <w:docGrid w:linePitch="290" w:charSpace="-3931"/>
        </w:sectPr>
      </w:pPr>
    </w:p>
    <w:p>
      <w:pPr>
        <w:pStyle w:val="18"/>
        <w:numPr>
          <w:ilvl w:val="0"/>
          <w:numId w:val="2"/>
        </w:numPr>
        <w:jc w:val="center"/>
        <w:outlineLvl w:val="0"/>
        <w:rPr>
          <w:rFonts w:hint="eastAsia" w:ascii="Calibri" w:hAnsi="Calibri" w:eastAsia="宋体" w:cs="Times New Roman"/>
          <w:b/>
          <w:bCs/>
          <w:kern w:val="44"/>
          <w:sz w:val="36"/>
          <w:szCs w:val="44"/>
        </w:rPr>
      </w:pPr>
      <w:bookmarkStart w:id="35" w:name="_Toc19032"/>
      <w:bookmarkStart w:id="36" w:name="_Toc28748"/>
      <w:bookmarkStart w:id="37" w:name="_Toc22879"/>
      <w:r>
        <w:rPr>
          <w:rFonts w:hint="eastAsia" w:ascii="Calibri" w:hAnsi="Calibri" w:eastAsia="宋体" w:cs="Times New Roman"/>
          <w:b/>
          <w:bCs/>
          <w:kern w:val="44"/>
          <w:sz w:val="36"/>
          <w:szCs w:val="44"/>
        </w:rPr>
        <w:t>投标文件编制</w:t>
      </w:r>
      <w:bookmarkEnd w:id="35"/>
      <w:bookmarkEnd w:id="36"/>
      <w:bookmarkEnd w:id="37"/>
    </w:p>
    <w:p>
      <w:pPr>
        <w:pStyle w:val="18"/>
        <w:numPr>
          <w:ilvl w:val="-1"/>
          <w:numId w:val="0"/>
        </w:numPr>
        <w:jc w:val="both"/>
        <w:outlineLvl w:val="9"/>
        <w:rPr>
          <w:rFonts w:hint="eastAsia" w:ascii="Calibri" w:hAnsi="Calibri" w:eastAsia="宋体" w:cs="Times New Roman"/>
          <w:b/>
          <w:bCs/>
          <w:kern w:val="44"/>
          <w:sz w:val="36"/>
          <w:szCs w:val="44"/>
        </w:rPr>
      </w:pP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w:t>
      </w:r>
      <w:r>
        <w:rPr>
          <w:rFonts w:hint="eastAsia" w:ascii="宋体" w:hAnsi="宋体" w:eastAsia="宋体" w:cs="宋体"/>
          <w:b/>
          <w:color w:val="000000"/>
          <w:sz w:val="24"/>
          <w:szCs w:val="24"/>
          <w:highlight w:val="none"/>
        </w:rPr>
        <w:t>人身份证正反面复印件）</w:t>
      </w:r>
      <w:r>
        <w:rPr>
          <w:rFonts w:hint="eastAsia" w:ascii="宋体" w:hAnsi="宋体" w:eastAsia="宋体" w:cs="宋体"/>
          <w:b/>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w:t>
      </w:r>
      <w:r>
        <w:rPr>
          <w:rFonts w:hint="eastAsia" w:ascii="宋体" w:hAnsi="宋体" w:eastAsia="宋体" w:cs="宋体"/>
          <w:kern w:val="0"/>
          <w:sz w:val="24"/>
          <w:szCs w:val="24"/>
          <w:highlight w:val="none"/>
          <w:lang w:val="en-US" w:eastAsia="zh-CN" w:bidi="en-US"/>
        </w:rPr>
        <w:t>6</w:t>
      </w:r>
      <w:r>
        <w:rPr>
          <w:rFonts w:hint="eastAsia" w:ascii="宋体" w:hAnsi="宋体" w:eastAsia="宋体" w:cs="宋体"/>
          <w:kern w:val="0"/>
          <w:sz w:val="24"/>
          <w:szCs w:val="24"/>
          <w:highlight w:val="none"/>
          <w:lang w:bidi="en-US"/>
        </w:rPr>
        <w:t>个月</w:t>
      </w:r>
      <w:r>
        <w:rPr>
          <w:rFonts w:hint="eastAsia" w:ascii="宋体" w:hAnsi="宋体" w:eastAsia="宋体" w:cs="宋体"/>
          <w:kern w:val="0"/>
          <w:sz w:val="24"/>
          <w:szCs w:val="24"/>
          <w:highlight w:val="none"/>
          <w:lang w:val="en-US" w:eastAsia="zh-CN" w:bidi="en-US"/>
        </w:rPr>
        <w:t>及以上在授权单位的社保</w:t>
      </w:r>
      <w:r>
        <w:rPr>
          <w:rFonts w:hint="eastAsia" w:ascii="宋体" w:hAnsi="宋体" w:eastAsia="宋体" w:cs="宋体"/>
          <w:kern w:val="0"/>
          <w:sz w:val="24"/>
          <w:szCs w:val="24"/>
          <w:highlight w:val="none"/>
          <w:lang w:bidi="en-US"/>
        </w:rPr>
        <w:t>缴纳证明</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b/>
          <w:color w:val="000000"/>
          <w:sz w:val="24"/>
          <w:szCs w:val="24"/>
          <w:highlight w:val="none"/>
          <w:lang w:eastAsia="zh-CN"/>
        </w:rPr>
      </w:pPr>
      <w:r>
        <w:rPr>
          <w:rFonts w:hint="eastAsia" w:ascii="宋体" w:hAnsi="宋体" w:eastAsia="宋体" w:cs="宋体"/>
          <w:color w:val="000000"/>
          <w:sz w:val="24"/>
          <w:szCs w:val="24"/>
          <w:highlight w:val="none"/>
        </w:rPr>
        <w:t>1.4近</w:t>
      </w:r>
      <w:r>
        <w:rPr>
          <w:rFonts w:hint="eastAsia" w:ascii="宋体" w:hAnsi="宋体" w:eastAsia="宋体" w:cs="宋体"/>
          <w:color w:val="000000"/>
          <w:sz w:val="24"/>
          <w:szCs w:val="24"/>
          <w:highlight w:val="none"/>
          <w:lang w:val="en-US" w:eastAsia="zh-CN"/>
        </w:rPr>
        <w:t>三年经第三方机构审计的</w:t>
      </w:r>
      <w:r>
        <w:rPr>
          <w:rFonts w:hint="eastAsia" w:ascii="宋体" w:hAnsi="宋体" w:eastAsia="宋体" w:cs="宋体"/>
          <w:color w:val="000000"/>
          <w:sz w:val="24"/>
          <w:szCs w:val="24"/>
          <w:highlight w:val="none"/>
        </w:rPr>
        <w:t>财务报表（</w:t>
      </w:r>
      <w:r>
        <w:rPr>
          <w:rFonts w:hint="eastAsia" w:ascii="宋体" w:hAnsi="宋体" w:eastAsia="宋体" w:cs="宋体"/>
          <w:color w:val="000000"/>
          <w:sz w:val="24"/>
          <w:szCs w:val="24"/>
          <w:highlight w:val="none"/>
          <w:lang w:val="en-US" w:eastAsia="zh-CN"/>
        </w:rPr>
        <w:t>报告页、</w:t>
      </w:r>
      <w:r>
        <w:rPr>
          <w:rFonts w:hint="eastAsia" w:ascii="宋体" w:hAnsi="宋体" w:eastAsia="宋体" w:cs="宋体"/>
          <w:color w:val="000000"/>
          <w:sz w:val="24"/>
          <w:szCs w:val="24"/>
          <w:highlight w:val="none"/>
        </w:rPr>
        <w:t>资产负债表、损益表、现金流量表）复印件（需加盖公章），必须连续，同时填写投标人基本情况表（附件3）</w:t>
      </w:r>
      <w:r>
        <w:rPr>
          <w:rFonts w:hint="eastAsia" w:ascii="宋体" w:hAnsi="宋体" w:eastAsia="宋体" w:cs="宋体"/>
          <w:b/>
          <w:color w:val="000000"/>
          <w:sz w:val="24"/>
          <w:szCs w:val="24"/>
          <w:highlight w:val="none"/>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附投标当日系统内相关截图</w:t>
      </w:r>
      <w:r>
        <w:rPr>
          <w:rFonts w:hint="eastAsia" w:ascii="宋体" w:hAnsi="宋体" w:eastAsia="宋体" w:cs="宋体"/>
          <w:color w:val="000000"/>
          <w:sz w:val="24"/>
          <w:szCs w:val="24"/>
          <w:highlight w:val="none"/>
          <w:lang w:eastAsia="zh-CN"/>
        </w:rPr>
        <w:t>）</w:t>
      </w:r>
    </w:p>
    <w:p>
      <w:pPr>
        <w:spacing w:line="360" w:lineRule="auto"/>
        <w:ind w:firstLine="480" w:firstLineChars="200"/>
        <w:rPr>
          <w:rFonts w:hint="eastAsia"/>
          <w:highlight w:val="none"/>
          <w:lang w:eastAsia="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8企业信用证明材料（征信中心出具的信用报告）；</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1.9</w:t>
      </w:r>
      <w:r>
        <w:rPr>
          <w:rFonts w:hint="eastAsia" w:ascii="宋体" w:hAnsi="宋体" w:eastAsia="宋体" w:cs="宋体"/>
          <w:color w:val="000000"/>
          <w:sz w:val="24"/>
          <w:szCs w:val="24"/>
          <w:highlight w:val="none"/>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企业最近半年的完税证明</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11</w:t>
      </w:r>
      <w:r>
        <w:rPr>
          <w:rFonts w:hint="eastAsia" w:ascii="宋体" w:hAnsi="宋体" w:eastAsia="宋体" w:cs="宋体"/>
          <w:color w:val="000000"/>
          <w:sz w:val="24"/>
          <w:szCs w:val="24"/>
          <w:highlight w:val="none"/>
        </w:rPr>
        <w:t>保密承诺函（附件4）；</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1.12</w:t>
      </w:r>
      <w:r>
        <w:rPr>
          <w:rFonts w:hint="eastAsia" w:ascii="宋体" w:hAnsi="宋体" w:eastAsia="宋体" w:cs="宋体"/>
          <w:color w:val="000000"/>
          <w:sz w:val="24"/>
          <w:szCs w:val="24"/>
          <w:highlight w:val="none"/>
        </w:rPr>
        <w:t xml:space="preserve"> 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年1月1日至今，企业近</w:t>
      </w:r>
      <w:r>
        <w:rPr>
          <w:rFonts w:hint="eastAsia" w:ascii="宋体" w:hAnsi="宋体" w:eastAsia="宋体" w:cs="宋体"/>
          <w:color w:val="000000"/>
          <w:sz w:val="24"/>
          <w:szCs w:val="24"/>
          <w:highlight w:val="none"/>
          <w:lang w:val="en-US" w:eastAsia="zh-CN"/>
        </w:rPr>
        <w:t>三年</w:t>
      </w:r>
      <w:r>
        <w:rPr>
          <w:rFonts w:hint="eastAsia" w:ascii="宋体" w:hAnsi="宋体" w:eastAsia="宋体" w:cs="宋体"/>
          <w:color w:val="000000"/>
          <w:sz w:val="24"/>
          <w:szCs w:val="24"/>
          <w:highlight w:val="none"/>
        </w:rPr>
        <w:t>同类项目业绩证明</w:t>
      </w:r>
      <w:r>
        <w:rPr>
          <w:rFonts w:hint="eastAsia" w:ascii="宋体" w:hAnsi="宋体" w:eastAsia="宋体" w:cs="宋体"/>
          <w:color w:val="000000"/>
          <w:sz w:val="24"/>
          <w:szCs w:val="24"/>
          <w:highlight w:val="none"/>
          <w:lang w:eastAsia="zh-CN"/>
        </w:rPr>
        <w:t>，</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lang w:val="en-US" w:eastAsia="zh-CN"/>
        </w:rPr>
        <w:t>复印件</w:t>
      </w:r>
      <w:r>
        <w:rPr>
          <w:rFonts w:hint="eastAsia" w:ascii="宋体" w:hAnsi="宋体" w:eastAsia="宋体" w:cs="宋体"/>
          <w:color w:val="000000"/>
          <w:sz w:val="24"/>
          <w:szCs w:val="24"/>
          <w:highlight w:val="none"/>
        </w:rPr>
        <w:t>；</w:t>
      </w:r>
    </w:p>
    <w:p>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投标保证金缴纳凭证</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同时正文描述付款账号、户名、开户行名称、开户行行号、保证金金额</w:t>
      </w:r>
      <w:r>
        <w:rPr>
          <w:rFonts w:hint="eastAsia" w:ascii="宋体" w:hAnsi="宋体" w:eastAsia="宋体" w:cs="宋体"/>
          <w:color w:val="000000"/>
          <w:sz w:val="24"/>
          <w:szCs w:val="24"/>
          <w:highlight w:val="none"/>
        </w:rPr>
        <w:t>。</w:t>
      </w:r>
    </w:p>
    <w:p>
      <w:pPr>
        <w:spacing w:line="360" w:lineRule="auto"/>
        <w:ind w:firstLine="482" w:firstLineChars="200"/>
        <w:rPr>
          <w:rFonts w:hint="eastAsia" w:ascii="宋体" w:hAnsi="宋体" w:eastAsia="宋体" w:cs="宋体"/>
          <w:b/>
          <w:bCs/>
          <w:sz w:val="24"/>
          <w:szCs w:val="24"/>
          <w:highlight w:val="none"/>
        </w:rPr>
      </w:pPr>
      <w:bookmarkStart w:id="3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38"/>
    </w:p>
    <w:p>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w:t>
      </w:r>
      <w:r>
        <w:rPr>
          <w:rFonts w:hint="eastAsia" w:ascii="宋体" w:hAnsi="宋体" w:eastAsia="宋体" w:cs="宋体"/>
          <w:b/>
          <w:color w:val="000000"/>
          <w:sz w:val="24"/>
          <w:szCs w:val="24"/>
          <w:highlight w:val="none"/>
        </w:rPr>
        <w:t>无偏离；</w:t>
      </w:r>
    </w:p>
    <w:p>
      <w:pPr>
        <w:spacing w:line="360" w:lineRule="auto"/>
        <w:ind w:firstLine="480" w:firstLineChars="200"/>
        <w:rPr>
          <w:rFonts w:hint="eastAsia" w:hAnsi="宋体" w:eastAsia="宋体" w:cs="宋体"/>
          <w:b/>
          <w:color w:val="000000"/>
          <w:kern w:val="2"/>
          <w:sz w:val="24"/>
          <w:szCs w:val="24"/>
          <w:highlight w:val="none"/>
          <w:lang w:val="en-US" w:eastAsia="zh-CN" w:bidi="ar-SA"/>
        </w:rPr>
      </w:pPr>
      <w:r>
        <w:rPr>
          <w:rFonts w:hint="eastAsia" w:ascii="宋体" w:hAnsi="宋体" w:eastAsia="宋体" w:cs="宋体"/>
          <w:bCs/>
          <w:color w:val="000000"/>
          <w:sz w:val="24"/>
          <w:szCs w:val="24"/>
          <w:highlight w:val="none"/>
        </w:rPr>
        <w:t>2.2</w:t>
      </w:r>
      <w:r>
        <w:rPr>
          <w:rFonts w:hint="eastAsia" w:hAnsi="宋体" w:eastAsia="宋体" w:cs="宋体"/>
          <w:color w:val="000000"/>
          <w:kern w:val="2"/>
          <w:sz w:val="24"/>
          <w:szCs w:val="24"/>
          <w:highlight w:val="none"/>
          <w:lang w:val="en-US" w:eastAsia="zh-CN" w:bidi="ar-SA"/>
        </w:rPr>
        <w:t>工装模具及易损件明细表（附件5-2），列明项目工装模具及易损件规格型号、品牌等信息（要求分项明细与附表9-1完全对应），但</w:t>
      </w:r>
      <w:r>
        <w:rPr>
          <w:rFonts w:hint="eastAsia" w:ascii="宋体" w:hAnsi="宋体" w:eastAsia="宋体" w:cs="宋体"/>
          <w:b/>
          <w:color w:val="000000"/>
          <w:kern w:val="2"/>
          <w:sz w:val="24"/>
          <w:szCs w:val="24"/>
          <w:highlight w:val="none"/>
          <w:lang w:val="en-US" w:eastAsia="zh-CN" w:bidi="ar-SA"/>
        </w:rPr>
        <w:t>注意：</w:t>
      </w:r>
      <w:r>
        <w:rPr>
          <w:rFonts w:hint="eastAsia" w:hAnsi="宋体" w:eastAsia="宋体" w:cs="宋体"/>
          <w:b/>
          <w:color w:val="000000"/>
          <w:kern w:val="2"/>
          <w:sz w:val="24"/>
          <w:szCs w:val="24"/>
          <w:highlight w:val="none"/>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3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3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40" w:name="OLE_LINK19"/>
      <w:bookmarkStart w:id="41" w:name="OLE_LINK18"/>
      <w:r>
        <w:rPr>
          <w:rFonts w:hint="eastAsia" w:ascii="宋体" w:hAnsi="宋体" w:eastAsia="宋体" w:cs="宋体"/>
          <w:b/>
          <w:color w:val="000000"/>
          <w:sz w:val="24"/>
          <w:szCs w:val="24"/>
        </w:rPr>
        <w:t>；</w:t>
      </w:r>
      <w:bookmarkEnd w:id="40"/>
      <w:bookmarkEnd w:id="4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pPr>
        <w:pStyle w:val="18"/>
        <w:numPr>
          <w:ilvl w:val="0"/>
          <w:numId w:val="2"/>
        </w:numPr>
        <w:jc w:val="center"/>
        <w:outlineLvl w:val="0"/>
        <w:rPr>
          <w:rFonts w:hint="eastAsia" w:ascii="Calibri" w:hAnsi="Calibri" w:eastAsia="宋体" w:cs="Times New Roman"/>
          <w:b/>
          <w:bCs/>
          <w:kern w:val="44"/>
          <w:sz w:val="36"/>
          <w:szCs w:val="44"/>
        </w:rPr>
      </w:pPr>
      <w:bookmarkStart w:id="42" w:name="_Toc9849"/>
      <w:r>
        <w:rPr>
          <w:rFonts w:hint="eastAsia" w:ascii="Calibri" w:hAnsi="Calibri" w:eastAsia="宋体" w:cs="Times New Roman"/>
          <w:b/>
          <w:bCs/>
          <w:kern w:val="44"/>
          <w:sz w:val="36"/>
          <w:szCs w:val="44"/>
        </w:rPr>
        <w:t xml:space="preserve"> </w:t>
      </w:r>
      <w:bookmarkStart w:id="43" w:name="_Toc11019"/>
      <w:bookmarkStart w:id="44" w:name="_Toc20934"/>
      <w:r>
        <w:rPr>
          <w:rFonts w:hint="eastAsia" w:ascii="Calibri" w:hAnsi="Calibri" w:eastAsia="宋体" w:cs="Times New Roman"/>
          <w:b/>
          <w:bCs/>
          <w:kern w:val="44"/>
          <w:sz w:val="36"/>
          <w:szCs w:val="44"/>
        </w:rPr>
        <w:t>技术标书</w:t>
      </w:r>
      <w:bookmarkEnd w:id="42"/>
      <w:bookmarkEnd w:id="43"/>
      <w:bookmarkEnd w:id="44"/>
    </w:p>
    <w:p>
      <w:pPr>
        <w:pStyle w:val="18"/>
        <w:numPr>
          <w:ilvl w:val="-1"/>
          <w:numId w:val="0"/>
        </w:numPr>
        <w:rPr>
          <w:rFonts w:hint="eastAsia" w:ascii="Calibri" w:hAnsi="Calibri" w:eastAsia="宋体" w:cs="Times New Roman"/>
          <w:b/>
          <w:bCs/>
          <w:kern w:val="44"/>
          <w:sz w:val="36"/>
          <w:szCs w:val="44"/>
        </w:rPr>
      </w:pPr>
    </w:p>
    <w:p>
      <w:pPr>
        <w:pStyle w:val="18"/>
      </w:pPr>
    </w:p>
    <w:p>
      <w:pPr>
        <w:keepNext/>
        <w:keepLines/>
        <w:jc w:val="center"/>
        <w:outlineLvl w:val="9"/>
        <w:rPr>
          <w:rFonts w:ascii="Calibri" w:hAnsi="Calibri" w:eastAsia="宋体" w:cs="Times New Roman"/>
          <w:b/>
          <w:bCs/>
          <w:kern w:val="44"/>
          <w:sz w:val="36"/>
          <w:szCs w:val="44"/>
        </w:rPr>
      </w:pPr>
    </w:p>
    <w:p>
      <w:pPr>
        <w:pStyle w:val="18"/>
        <w:jc w:val="center"/>
        <w:rPr>
          <w:rFonts w:hint="eastAsia" w:eastAsiaTheme="minorEastAsia"/>
          <w:lang w:eastAsia="zh-CN"/>
        </w:rPr>
      </w:pPr>
      <w:r>
        <w:rPr>
          <w:rFonts w:hint="eastAsia" w:ascii="Calibri" w:hAnsi="宋体" w:eastAsia="宋体" w:cs="Times New Roman"/>
          <w:b/>
          <w:bCs/>
          <w:color w:val="000000"/>
          <w:spacing w:val="-8"/>
          <w:sz w:val="48"/>
          <w:szCs w:val="44"/>
          <w:lang w:eastAsia="zh-CN"/>
        </w:rPr>
        <w:t>中国重汽集团杭州发动机有限公司</w:t>
      </w: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8"/>
      </w:pPr>
    </w:p>
    <w:p>
      <w:pPr>
        <w:pStyle w:val="18"/>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w:t>
      </w:r>
      <w:r>
        <w:rPr>
          <w:rFonts w:hint="eastAsia" w:ascii="华文仿宋" w:hAnsi="华文仿宋" w:eastAsia="华文仿宋"/>
          <w:b/>
          <w:bCs/>
          <w:sz w:val="32"/>
          <w:szCs w:val="28"/>
          <w:lang w:val="en-US" w:eastAsia="zh-CN"/>
        </w:rPr>
        <w:t>侯桂林</w:t>
      </w: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w:t>
      </w:r>
      <w:r>
        <w:rPr>
          <w:rFonts w:hint="eastAsia" w:ascii="华文仿宋" w:hAnsi="华文仿宋" w:eastAsia="华文仿宋"/>
          <w:b/>
          <w:bCs/>
          <w:sz w:val="32"/>
          <w:szCs w:val="28"/>
          <w:lang w:val="en-US" w:eastAsia="zh-CN"/>
        </w:rPr>
        <w:t>薛少华</w:t>
      </w: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w:t>
      </w:r>
      <w:r>
        <w:rPr>
          <w:rFonts w:hint="eastAsia" w:ascii="华文仿宋" w:hAnsi="华文仿宋" w:eastAsia="华文仿宋"/>
          <w:b/>
          <w:bCs/>
          <w:sz w:val="32"/>
          <w:szCs w:val="28"/>
          <w:lang w:val="en-US" w:eastAsia="zh-CN"/>
        </w:rPr>
        <w:t>宋建武</w:t>
      </w:r>
      <w:r>
        <w:rPr>
          <w:rFonts w:hint="eastAsia" w:ascii="华文仿宋" w:hAnsi="华文仿宋" w:eastAsia="华文仿宋"/>
          <w:b/>
          <w:bCs/>
          <w:sz w:val="32"/>
          <w:szCs w:val="28"/>
        </w:rPr>
        <w:t xml:space="preserve">     </w:t>
      </w:r>
    </w:p>
    <w:p>
      <w:pPr>
        <w:pStyle w:val="18"/>
        <w:rPr>
          <w:b/>
          <w:bCs/>
        </w:rPr>
      </w:pPr>
    </w:p>
    <w:p>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中国重汽集团杭州发动机有限公司</w:t>
      </w:r>
    </w:p>
    <w:p>
      <w:pPr>
        <w:jc w:val="center"/>
        <w:rPr>
          <w:rFonts w:hint="eastAsia" w:ascii="Calibri" w:hAnsi="Calibri" w:eastAsia="宋体" w:cs="Times New Roman"/>
          <w:color w:val="000000"/>
          <w:sz w:val="28"/>
          <w:szCs w:val="28"/>
          <w:lang w:eastAsia="zh-CN"/>
        </w:rPr>
      </w:pPr>
      <w:r>
        <w:rPr>
          <w:rFonts w:hint="eastAsia" w:ascii="Calibri" w:hAnsi="Calibri" w:eastAsia="宋体" w:cs="Times New Roman"/>
          <w:color w:val="000000"/>
          <w:sz w:val="28"/>
          <w:szCs w:val="28"/>
          <w:lang w:eastAsia="zh-CN"/>
        </w:rPr>
        <w:t>202</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lang w:eastAsia="zh-CN"/>
        </w:rPr>
        <w:t xml:space="preserve">年 </w:t>
      </w:r>
      <w:r>
        <w:rPr>
          <w:rFonts w:hint="eastAsia" w:ascii="Calibri" w:hAnsi="Calibri" w:eastAsia="宋体" w:cs="Times New Roman"/>
          <w:color w:val="000000"/>
          <w:sz w:val="28"/>
          <w:szCs w:val="28"/>
          <w:lang w:val="en-US" w:eastAsia="zh-CN"/>
        </w:rPr>
        <w:t>8</w:t>
      </w:r>
      <w:r>
        <w:rPr>
          <w:rFonts w:hint="eastAsia" w:ascii="Calibri" w:hAnsi="Calibri" w:eastAsia="宋体" w:cs="Times New Roman"/>
          <w:color w:val="000000"/>
          <w:sz w:val="28"/>
          <w:szCs w:val="28"/>
          <w:lang w:eastAsia="zh-CN"/>
        </w:rPr>
        <w:t>月</w:t>
      </w:r>
    </w:p>
    <w:p>
      <w:pPr>
        <w:jc w:val="left"/>
        <w:rPr>
          <w:rFonts w:hint="eastAsia" w:ascii="Calibri" w:hAnsi="Calibri" w:eastAsia="宋体" w:cs="Times New Roman"/>
          <w:color w:val="000000"/>
          <w:sz w:val="28"/>
          <w:szCs w:val="28"/>
          <w:lang w:eastAsia="zh-CN"/>
        </w:rPr>
      </w:pPr>
      <w:r>
        <w:rPr>
          <w:rFonts w:hint="eastAsia" w:ascii="Calibri" w:hAnsi="Calibri" w:eastAsia="宋体" w:cs="Times New Roman"/>
          <w:color w:val="000000"/>
          <w:sz w:val="28"/>
          <w:szCs w:val="28"/>
          <w:lang w:eastAsia="zh-CN"/>
        </w:rPr>
        <w:br w:type="page"/>
      </w:r>
    </w:p>
    <w:p>
      <w:pPr>
        <w:tabs>
          <w:tab w:val="left" w:pos="1200"/>
        </w:tabs>
        <w:spacing w:line="360" w:lineRule="auto"/>
        <w:ind w:left="0" w:firstLine="0" w:firstLineChars="0"/>
        <w:jc w:val="center"/>
        <w:rPr>
          <w:rFonts w:hint="eastAsia" w:ascii="宋体" w:hAnsi="宋体" w:eastAsia="宋体" w:cs="宋体"/>
          <w:b/>
          <w:bCs/>
          <w:sz w:val="28"/>
        </w:rPr>
      </w:pPr>
      <w:bookmarkStart w:id="45" w:name="_Toc169605877"/>
      <w:r>
        <w:rPr>
          <w:rFonts w:hint="eastAsia" w:ascii="宋体" w:hAnsi="宋体" w:eastAsia="宋体" w:cs="宋体"/>
          <w:b/>
          <w:bCs/>
          <w:sz w:val="28"/>
          <w:lang w:val="en-US" w:eastAsia="zh-CN"/>
        </w:rPr>
        <w:t xml:space="preserve">第一章  </w:t>
      </w:r>
      <w:r>
        <w:rPr>
          <w:rFonts w:hint="eastAsia" w:ascii="宋体" w:hAnsi="宋体" w:eastAsia="宋体" w:cs="宋体"/>
          <w:b/>
          <w:bCs/>
          <w:sz w:val="28"/>
        </w:rPr>
        <w:t>采购货物概况</w:t>
      </w:r>
    </w:p>
    <w:bookmarkEnd w:id="45"/>
    <w:p>
      <w:pPr>
        <w:spacing w:line="360" w:lineRule="auto"/>
        <w:rPr>
          <w:rFonts w:hint="eastAsia" w:ascii="宋体" w:hAnsi="宋体" w:eastAsia="宋体" w:cs="宋体"/>
          <w:b/>
          <w:bCs/>
          <w:sz w:val="24"/>
        </w:rPr>
      </w:pPr>
      <w:r>
        <w:rPr>
          <w:rFonts w:hint="eastAsia" w:ascii="宋体" w:hAnsi="宋体" w:eastAsia="宋体" w:cs="宋体"/>
          <w:b/>
          <w:bCs/>
          <w:sz w:val="24"/>
        </w:rPr>
        <w:t>1．使用环境</w:t>
      </w:r>
    </w:p>
    <w:p>
      <w:pPr>
        <w:spacing w:line="560" w:lineRule="exact"/>
        <w:rPr>
          <w:rFonts w:hint="eastAsia" w:ascii="宋体" w:hAnsi="宋体" w:eastAsia="宋体" w:cs="宋体"/>
          <w:sz w:val="24"/>
          <w:u w:val="single"/>
          <w:lang w:val="en-US" w:eastAsia="zh-CN"/>
        </w:rPr>
      </w:pPr>
      <w:r>
        <w:rPr>
          <w:rFonts w:hint="eastAsia" w:ascii="宋体" w:hAnsi="宋体" w:eastAsia="宋体" w:cs="宋体"/>
          <w:sz w:val="24"/>
        </w:rPr>
        <w:t>1.1 项目名称：</w:t>
      </w:r>
      <w:r>
        <w:rPr>
          <w:rFonts w:hint="eastAsia" w:ascii="宋体" w:hAnsi="宋体" w:eastAsia="宋体" w:cs="宋体"/>
          <w:b/>
          <w:sz w:val="36"/>
          <w:szCs w:val="36"/>
        </w:rPr>
        <w:t xml:space="preserve"> </w:t>
      </w:r>
      <w:r>
        <w:rPr>
          <w:rFonts w:hint="eastAsia" w:ascii="宋体" w:hAnsi="宋体" w:eastAsia="宋体" w:cs="宋体"/>
          <w:sz w:val="24"/>
          <w:u w:val="single"/>
        </w:rPr>
        <w:t>MC07</w:t>
      </w:r>
      <w:r>
        <w:rPr>
          <w:rFonts w:hint="eastAsia" w:ascii="宋体" w:hAnsi="宋体" w:eastAsia="宋体" w:cs="宋体"/>
          <w:sz w:val="24"/>
          <w:u w:val="single"/>
          <w:lang w:val="en-US" w:eastAsia="zh-CN"/>
        </w:rPr>
        <w:t>缸盖下沉水套工装模具（2025）</w:t>
      </w:r>
    </w:p>
    <w:p>
      <w:pPr>
        <w:spacing w:line="560" w:lineRule="exact"/>
        <w:rPr>
          <w:rFonts w:hint="eastAsia" w:ascii="宋体" w:hAnsi="宋体" w:eastAsia="宋体" w:cs="宋体"/>
          <w:sz w:val="24"/>
        </w:rPr>
      </w:pPr>
      <w:r>
        <w:rPr>
          <w:rFonts w:hint="eastAsia" w:ascii="宋体" w:hAnsi="宋体" w:eastAsia="宋体" w:cs="宋体"/>
          <w:sz w:val="24"/>
        </w:rPr>
        <w:t>1.2 建设地点：</w:t>
      </w:r>
      <w:r>
        <w:rPr>
          <w:rFonts w:hint="eastAsia" w:ascii="宋体" w:hAnsi="宋体" w:eastAsia="宋体" w:cs="宋体"/>
          <w:sz w:val="24"/>
          <w:u w:val="single"/>
        </w:rPr>
        <w:t xml:space="preserve"> 杭州市萧山经济技术开发区红泰六路699号</w:t>
      </w:r>
    </w:p>
    <w:p>
      <w:pPr>
        <w:spacing w:line="560" w:lineRule="exact"/>
        <w:rPr>
          <w:rFonts w:hint="eastAsia" w:ascii="宋体" w:hAnsi="宋体" w:eastAsia="宋体" w:cs="宋体"/>
          <w:sz w:val="24"/>
          <w:u w:val="single"/>
        </w:rPr>
      </w:pPr>
      <w:r>
        <w:rPr>
          <w:rFonts w:hint="eastAsia" w:ascii="宋体" w:hAnsi="宋体" w:eastAsia="宋体" w:cs="宋体"/>
          <w:sz w:val="24"/>
        </w:rPr>
        <w:t>1.3 使用地点：</w:t>
      </w:r>
      <w:r>
        <w:rPr>
          <w:rFonts w:hint="eastAsia" w:ascii="宋体" w:hAnsi="宋体" w:eastAsia="宋体" w:cs="宋体"/>
          <w:sz w:val="24"/>
          <w:u w:val="single"/>
        </w:rPr>
        <w:t>中国重汽集团杭州发动机有限公司铸件制造部</w:t>
      </w:r>
    </w:p>
    <w:p>
      <w:pPr>
        <w:spacing w:line="560" w:lineRule="exact"/>
        <w:rPr>
          <w:rFonts w:hint="eastAsia" w:ascii="宋体" w:hAnsi="宋体" w:eastAsia="宋体" w:cs="宋体"/>
          <w:sz w:val="24"/>
        </w:rPr>
      </w:pPr>
      <w:r>
        <w:rPr>
          <w:rFonts w:hint="eastAsia" w:ascii="宋体" w:hAnsi="宋体" w:eastAsia="宋体" w:cs="宋体"/>
          <w:sz w:val="24"/>
        </w:rPr>
        <w:t>1.4 工作制度：</w:t>
      </w:r>
      <w:r>
        <w:rPr>
          <w:rFonts w:hint="eastAsia" w:ascii="宋体" w:hAnsi="宋体" w:eastAsia="宋体" w:cs="宋体"/>
          <w:color w:val="auto"/>
          <w:sz w:val="24"/>
        </w:rPr>
        <w:t>2班制</w:t>
      </w:r>
    </w:p>
    <w:p>
      <w:pPr>
        <w:spacing w:line="560" w:lineRule="exact"/>
        <w:rPr>
          <w:rFonts w:hint="eastAsia" w:ascii="宋体" w:hAnsi="宋体" w:eastAsia="宋体" w:cs="宋体"/>
          <w:sz w:val="24"/>
        </w:rPr>
      </w:pPr>
      <w:r>
        <w:rPr>
          <w:rFonts w:hint="eastAsia" w:ascii="宋体" w:hAnsi="宋体" w:eastAsia="宋体" w:cs="宋体"/>
          <w:sz w:val="24"/>
        </w:rPr>
        <w:t xml:space="preserve">1.5 使用地点区域自然环境： </w:t>
      </w:r>
    </w:p>
    <w:p>
      <w:pPr>
        <w:numPr>
          <w:ilvl w:val="0"/>
          <w:numId w:val="11"/>
        </w:numPr>
        <w:spacing w:line="560" w:lineRule="exact"/>
        <w:rPr>
          <w:rFonts w:hint="eastAsia" w:ascii="宋体" w:hAnsi="宋体" w:eastAsia="宋体" w:cs="宋体"/>
          <w:bCs/>
          <w:sz w:val="24"/>
        </w:rPr>
      </w:pPr>
      <w:r>
        <w:rPr>
          <w:rFonts w:hint="eastAsia" w:ascii="宋体" w:hAnsi="宋体" w:eastAsia="宋体" w:cs="宋体"/>
          <w:bCs/>
          <w:sz w:val="24"/>
        </w:rPr>
        <w:t>海拨高度：1000m以下</w:t>
      </w:r>
    </w:p>
    <w:p>
      <w:pPr>
        <w:numPr>
          <w:ilvl w:val="0"/>
          <w:numId w:val="11"/>
        </w:numPr>
        <w:spacing w:line="560" w:lineRule="exact"/>
        <w:rPr>
          <w:rFonts w:hint="eastAsia" w:ascii="宋体" w:hAnsi="宋体" w:eastAsia="宋体" w:cs="宋体"/>
          <w:sz w:val="24"/>
        </w:rPr>
      </w:pPr>
      <w:r>
        <w:rPr>
          <w:rFonts w:hint="eastAsia" w:ascii="宋体" w:hAnsi="宋体" w:eastAsia="宋体" w:cs="宋体"/>
          <w:sz w:val="24"/>
        </w:rPr>
        <w:t>环境温度：室外极端最低温度-10℃、极端最高温度45℃，</w:t>
      </w:r>
    </w:p>
    <w:p>
      <w:pPr>
        <w:spacing w:line="560" w:lineRule="exact"/>
        <w:ind w:firstLine="1920" w:firstLineChars="800"/>
        <w:rPr>
          <w:rFonts w:hint="eastAsia" w:ascii="宋体" w:hAnsi="宋体" w:eastAsia="宋体" w:cs="宋体"/>
          <w:sz w:val="24"/>
        </w:rPr>
      </w:pPr>
      <w:r>
        <w:rPr>
          <w:rFonts w:hint="eastAsia" w:ascii="宋体" w:hAnsi="宋体" w:eastAsia="宋体" w:cs="宋体"/>
          <w:sz w:val="24"/>
        </w:rPr>
        <w:t>昼夜最大温</w:t>
      </w:r>
      <w:r>
        <w:rPr>
          <w:rFonts w:hint="eastAsia" w:ascii="宋体" w:hAnsi="宋体" w:eastAsia="宋体" w:cs="宋体"/>
          <w:bCs/>
          <w:sz w:val="24"/>
        </w:rPr>
        <w:t>差25℃；室内温度0～45℃。</w:t>
      </w:r>
    </w:p>
    <w:p>
      <w:pPr>
        <w:numPr>
          <w:ilvl w:val="0"/>
          <w:numId w:val="11"/>
        </w:numPr>
        <w:spacing w:line="560" w:lineRule="exact"/>
        <w:rPr>
          <w:rFonts w:hint="eastAsia" w:ascii="宋体" w:hAnsi="宋体" w:eastAsia="宋体" w:cs="宋体"/>
          <w:sz w:val="24"/>
        </w:rPr>
      </w:pPr>
      <w:r>
        <w:rPr>
          <w:rFonts w:hint="eastAsia" w:ascii="宋体" w:hAnsi="宋体" w:eastAsia="宋体" w:cs="宋体"/>
          <w:sz w:val="24"/>
        </w:rPr>
        <w:t>相对湿度：年平均59%，</w:t>
      </w:r>
      <w:r>
        <w:rPr>
          <w:rFonts w:hint="eastAsia" w:ascii="宋体" w:hAnsi="宋体" w:eastAsia="宋体" w:cs="宋体"/>
          <w:bCs/>
          <w:sz w:val="24"/>
        </w:rPr>
        <w:t>最大95%、最小15%。</w:t>
      </w:r>
    </w:p>
    <w:p>
      <w:pPr>
        <w:spacing w:line="560" w:lineRule="exact"/>
        <w:rPr>
          <w:rFonts w:hint="eastAsia" w:ascii="宋体" w:hAnsi="宋体" w:eastAsia="宋体" w:cs="宋体"/>
          <w:sz w:val="24"/>
        </w:rPr>
      </w:pPr>
      <w:r>
        <w:rPr>
          <w:rFonts w:hint="eastAsia" w:ascii="宋体" w:hAnsi="宋体" w:eastAsia="宋体" w:cs="宋体"/>
          <w:sz w:val="24"/>
        </w:rPr>
        <w:t xml:space="preserve">1.6  能源环境： </w:t>
      </w:r>
    </w:p>
    <w:p>
      <w:pPr>
        <w:spacing w:line="560" w:lineRule="exact"/>
        <w:rPr>
          <w:rFonts w:hint="eastAsia" w:ascii="宋体" w:hAnsi="宋体" w:eastAsia="宋体" w:cs="宋体"/>
          <w:sz w:val="24"/>
        </w:rPr>
      </w:pPr>
      <w:r>
        <w:rPr>
          <w:rFonts w:hint="eastAsia" w:ascii="宋体" w:hAnsi="宋体" w:eastAsia="宋体" w:cs="宋体"/>
          <w:sz w:val="24"/>
        </w:rPr>
        <w:t>1.6.1  电力：中国制式，供电电压380V±15%/220V±15%，供电频率50Hz±2%。</w:t>
      </w:r>
    </w:p>
    <w:p>
      <w:pPr>
        <w:spacing w:line="560" w:lineRule="exact"/>
        <w:rPr>
          <w:rFonts w:hint="eastAsia" w:ascii="宋体" w:hAnsi="宋体" w:eastAsia="宋体" w:cs="宋体"/>
          <w:sz w:val="24"/>
        </w:rPr>
      </w:pPr>
      <w:r>
        <w:rPr>
          <w:rFonts w:hint="eastAsia" w:ascii="宋体" w:hAnsi="宋体" w:eastAsia="宋体" w:cs="宋体"/>
          <w:sz w:val="24"/>
        </w:rPr>
        <w:t>1.6.2  给水：市政自来水，</w:t>
      </w:r>
    </w:p>
    <w:p>
      <w:pPr>
        <w:spacing w:line="560" w:lineRule="exact"/>
        <w:rPr>
          <w:rFonts w:hint="eastAsia" w:ascii="宋体" w:hAnsi="宋体" w:eastAsia="宋体" w:cs="宋体"/>
          <w:sz w:val="24"/>
        </w:rPr>
      </w:pPr>
      <w:r>
        <w:rPr>
          <w:rFonts w:hint="eastAsia" w:ascii="宋体" w:hAnsi="宋体" w:eastAsia="宋体" w:cs="宋体"/>
          <w:sz w:val="24"/>
        </w:rPr>
        <w:t>1.6.3  压缩空气：自备空压机自产压缩空气，0.5 MPa－0.7 MPa</w:t>
      </w:r>
    </w:p>
    <w:p>
      <w:pPr>
        <w:spacing w:line="560" w:lineRule="exact"/>
        <w:rPr>
          <w:rFonts w:hint="eastAsia" w:ascii="宋体" w:hAnsi="宋体" w:eastAsia="宋体" w:cs="宋体"/>
          <w:b/>
          <w:bCs/>
          <w:sz w:val="24"/>
        </w:rPr>
      </w:pPr>
      <w:r>
        <w:rPr>
          <w:rFonts w:hint="eastAsia" w:ascii="宋体" w:hAnsi="宋体" w:eastAsia="宋体" w:cs="宋体"/>
          <w:b/>
          <w:bCs/>
          <w:sz w:val="24"/>
        </w:rPr>
        <w:t>2．采购货物概况</w:t>
      </w:r>
    </w:p>
    <w:p>
      <w:pPr>
        <w:spacing w:line="360" w:lineRule="auto"/>
        <w:rPr>
          <w:rFonts w:hint="eastAsia" w:ascii="宋体" w:hAnsi="宋体" w:eastAsia="宋体" w:cs="宋体"/>
          <w:color w:val="FF0000"/>
          <w:sz w:val="24"/>
        </w:rPr>
      </w:pPr>
      <w:r>
        <w:rPr>
          <w:rFonts w:hint="eastAsia" w:ascii="宋体" w:hAnsi="宋体" w:eastAsia="宋体" w:cs="宋体"/>
          <w:sz w:val="24"/>
        </w:rPr>
        <w:t>2.1　货物（或生产线）名称：</w:t>
      </w:r>
      <w:r>
        <w:rPr>
          <w:rFonts w:hint="eastAsia" w:ascii="宋体" w:hAnsi="宋体" w:eastAsia="宋体" w:cs="宋体"/>
          <w:sz w:val="24"/>
          <w:u w:val="single"/>
        </w:rPr>
        <w:t>MC07</w:t>
      </w:r>
      <w:r>
        <w:rPr>
          <w:rFonts w:hint="eastAsia" w:ascii="宋体" w:hAnsi="宋体" w:eastAsia="宋体" w:cs="宋体"/>
          <w:sz w:val="24"/>
          <w:u w:val="single"/>
          <w:lang w:val="en-US" w:eastAsia="zh-CN"/>
        </w:rPr>
        <w:t>缸盖下沉水套工装模具（2025）</w:t>
      </w:r>
      <w:r>
        <w:rPr>
          <w:rFonts w:hint="eastAsia" w:ascii="宋体" w:hAnsi="宋体" w:eastAsia="宋体" w:cs="宋体"/>
          <w:color w:val="auto"/>
          <w:kern w:val="0"/>
          <w:sz w:val="24"/>
          <w:u w:val="none"/>
        </w:rPr>
        <w:t>（</w:t>
      </w:r>
      <w:r>
        <w:rPr>
          <w:rFonts w:hint="eastAsia" w:ascii="宋体" w:hAnsi="宋体" w:eastAsia="宋体" w:cs="宋体"/>
          <w:color w:val="auto"/>
          <w:sz w:val="24"/>
        </w:rPr>
        <w:t>详见供货范围）</w:t>
      </w:r>
    </w:p>
    <w:p>
      <w:pPr>
        <w:spacing w:line="360" w:lineRule="auto"/>
        <w:rPr>
          <w:rFonts w:hint="eastAsia" w:ascii="宋体" w:hAnsi="宋体" w:eastAsia="宋体" w:cs="宋体"/>
          <w:sz w:val="24"/>
        </w:rPr>
      </w:pPr>
      <w:r>
        <w:rPr>
          <w:rFonts w:hint="eastAsia" w:ascii="宋体" w:hAnsi="宋体" w:eastAsia="宋体" w:cs="宋体"/>
          <w:sz w:val="24"/>
        </w:rPr>
        <w:t>2.2　货物（或生产线）数量：（详见供货范围）</w:t>
      </w:r>
    </w:p>
    <w:p>
      <w:pPr>
        <w:pStyle w:val="137"/>
        <w:rPr>
          <w:rFonts w:hint="eastAsia" w:ascii="宋体" w:hAnsi="宋体" w:eastAsia="宋体" w:cs="宋体"/>
        </w:rPr>
      </w:pPr>
      <w:bookmarkStart w:id="46" w:name="_Hlk530553879"/>
      <w:r>
        <w:rPr>
          <w:rFonts w:hint="eastAsia" w:ascii="宋体" w:hAnsi="宋体" w:eastAsia="宋体" w:cs="宋体"/>
        </w:rPr>
        <w:t>采购货物主要构成一览表</w:t>
      </w:r>
    </w:p>
    <w:tbl>
      <w:tblPr>
        <w:tblStyle w:val="39"/>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2643"/>
        <w:gridCol w:w="1514"/>
        <w:gridCol w:w="1800"/>
        <w:gridCol w:w="1260"/>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dxa"/>
            <w:vAlign w:val="center"/>
          </w:tcPr>
          <w:p>
            <w:pPr>
              <w:jc w:val="center"/>
              <w:rPr>
                <w:rFonts w:hint="eastAsia" w:ascii="宋体" w:hAnsi="宋体" w:eastAsia="宋体" w:cs="宋体"/>
              </w:rPr>
            </w:pPr>
            <w:r>
              <w:rPr>
                <w:rFonts w:hint="eastAsia" w:ascii="宋体" w:hAnsi="宋体" w:eastAsia="宋体" w:cs="宋体"/>
              </w:rPr>
              <w:t>序号</w:t>
            </w:r>
          </w:p>
        </w:tc>
        <w:tc>
          <w:tcPr>
            <w:tcW w:w="2643" w:type="dxa"/>
            <w:vAlign w:val="center"/>
          </w:tcPr>
          <w:p>
            <w:pPr>
              <w:jc w:val="center"/>
              <w:rPr>
                <w:rFonts w:hint="eastAsia" w:ascii="宋体" w:hAnsi="宋体" w:eastAsia="宋体" w:cs="宋体"/>
              </w:rPr>
            </w:pPr>
            <w:r>
              <w:rPr>
                <w:rFonts w:hint="eastAsia" w:ascii="宋体" w:hAnsi="宋体" w:eastAsia="宋体" w:cs="宋体"/>
              </w:rPr>
              <w:t>货物名称</w:t>
            </w:r>
          </w:p>
        </w:tc>
        <w:tc>
          <w:tcPr>
            <w:tcW w:w="1514" w:type="dxa"/>
            <w:vAlign w:val="center"/>
          </w:tcPr>
          <w:p>
            <w:pPr>
              <w:jc w:val="center"/>
              <w:rPr>
                <w:rFonts w:hint="eastAsia" w:ascii="宋体" w:hAnsi="宋体" w:eastAsia="宋体" w:cs="宋体"/>
              </w:rPr>
            </w:pPr>
            <w:r>
              <w:rPr>
                <w:rFonts w:hint="eastAsia" w:ascii="宋体" w:hAnsi="宋体" w:eastAsia="宋体" w:cs="宋体"/>
              </w:rPr>
              <w:t>数量</w:t>
            </w:r>
            <w:r>
              <w:rPr>
                <w:rFonts w:hint="eastAsia" w:ascii="宋体" w:hAnsi="宋体" w:eastAsia="宋体" w:cs="宋体"/>
                <w:szCs w:val="21"/>
              </w:rPr>
              <w:t>（台/套）</w:t>
            </w:r>
          </w:p>
        </w:tc>
        <w:tc>
          <w:tcPr>
            <w:tcW w:w="1800" w:type="dxa"/>
            <w:vAlign w:val="center"/>
          </w:tcPr>
          <w:p>
            <w:pPr>
              <w:jc w:val="center"/>
              <w:rPr>
                <w:rFonts w:hint="eastAsia" w:ascii="宋体" w:hAnsi="宋体" w:eastAsia="宋体" w:cs="宋体"/>
              </w:rPr>
            </w:pPr>
            <w:r>
              <w:rPr>
                <w:rFonts w:hint="eastAsia" w:ascii="宋体" w:hAnsi="宋体" w:eastAsia="宋体" w:cs="宋体"/>
              </w:rPr>
              <w:t>主要技术规格</w:t>
            </w:r>
          </w:p>
        </w:tc>
        <w:tc>
          <w:tcPr>
            <w:tcW w:w="1260" w:type="dxa"/>
            <w:vAlign w:val="center"/>
          </w:tcPr>
          <w:p>
            <w:pPr>
              <w:jc w:val="center"/>
              <w:rPr>
                <w:rFonts w:hint="eastAsia" w:ascii="宋体" w:hAnsi="宋体" w:eastAsia="宋体" w:cs="宋体"/>
              </w:rPr>
            </w:pPr>
            <w:r>
              <w:rPr>
                <w:rFonts w:hint="eastAsia" w:ascii="宋体" w:hAnsi="宋体" w:eastAsia="宋体" w:cs="宋体"/>
              </w:rPr>
              <w:t>交货期</w:t>
            </w:r>
          </w:p>
        </w:tc>
        <w:tc>
          <w:tcPr>
            <w:tcW w:w="1063" w:type="dxa"/>
            <w:vAlign w:val="center"/>
          </w:tcPr>
          <w:p>
            <w:pPr>
              <w:jc w:val="center"/>
              <w:rPr>
                <w:rFonts w:hint="eastAsia" w:ascii="宋体" w:hAnsi="宋体" w:eastAsia="宋体" w:cs="宋体"/>
              </w:rPr>
            </w:pPr>
            <w:r>
              <w:rPr>
                <w:rFonts w:hint="eastAsia" w:ascii="宋体" w:hAnsi="宋体" w:eastAsia="宋体" w:cs="宋体"/>
              </w:rPr>
              <w:t>供货方式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540" w:type="dxa"/>
            <w:vAlign w:val="center"/>
          </w:tcPr>
          <w:p>
            <w:pPr>
              <w:jc w:val="center"/>
              <w:rPr>
                <w:rFonts w:hint="eastAsia" w:ascii="宋体" w:hAnsi="宋体" w:eastAsia="宋体" w:cs="宋体"/>
              </w:rPr>
            </w:pPr>
            <w:r>
              <w:rPr>
                <w:rFonts w:hint="eastAsia" w:ascii="宋体" w:hAnsi="宋体" w:eastAsia="宋体" w:cs="宋体"/>
              </w:rPr>
              <w:t>1</w:t>
            </w:r>
          </w:p>
        </w:tc>
        <w:tc>
          <w:tcPr>
            <w:tcW w:w="2643" w:type="dxa"/>
            <w:vAlign w:val="center"/>
          </w:tcPr>
          <w:p>
            <w:pPr>
              <w:jc w:val="center"/>
              <w:rPr>
                <w:rFonts w:hint="eastAsia" w:ascii="宋体" w:hAnsi="宋体" w:eastAsia="宋体" w:cs="宋体"/>
                <w:kern w:val="0"/>
                <w:szCs w:val="21"/>
                <w:lang w:val="en-US" w:eastAsia="zh-CN"/>
              </w:rPr>
            </w:pPr>
            <w:r>
              <w:rPr>
                <w:rFonts w:hint="eastAsia" w:ascii="宋体" w:hAnsi="宋体" w:eastAsia="宋体" w:cs="宋体"/>
              </w:rPr>
              <w:t>MC07</w:t>
            </w:r>
            <w:r>
              <w:rPr>
                <w:rFonts w:hint="eastAsia" w:ascii="宋体" w:hAnsi="宋体" w:eastAsia="宋体" w:cs="宋体"/>
                <w:lang w:val="en-US" w:eastAsia="zh-CN"/>
              </w:rPr>
              <w:t>缸盖下沉下水套、托盘芯冷芯盒</w:t>
            </w:r>
          </w:p>
        </w:tc>
        <w:tc>
          <w:tcPr>
            <w:tcW w:w="1514" w:type="dxa"/>
            <w:vAlign w:val="center"/>
          </w:tcPr>
          <w:p>
            <w:pPr>
              <w:jc w:val="center"/>
              <w:rPr>
                <w:rFonts w:hint="eastAsia" w:ascii="宋体" w:hAnsi="宋体" w:eastAsia="宋体" w:cs="宋体"/>
              </w:rPr>
            </w:pPr>
            <w:r>
              <w:rPr>
                <w:rFonts w:hint="eastAsia" w:ascii="宋体" w:hAnsi="宋体" w:eastAsia="宋体" w:cs="宋体"/>
              </w:rPr>
              <w:t>见“</w:t>
            </w:r>
            <w:r>
              <w:rPr>
                <w:rFonts w:hint="eastAsia" w:ascii="宋体" w:hAnsi="宋体" w:eastAsia="宋体" w:cs="宋体"/>
                <w:bCs/>
              </w:rPr>
              <w:t>供货范围”</w:t>
            </w:r>
          </w:p>
        </w:tc>
        <w:tc>
          <w:tcPr>
            <w:tcW w:w="1800" w:type="dxa"/>
            <w:vAlign w:val="center"/>
          </w:tcPr>
          <w:p>
            <w:pPr>
              <w:rPr>
                <w:rFonts w:hint="eastAsia" w:ascii="宋体" w:hAnsi="宋体" w:eastAsia="宋体" w:cs="宋体"/>
              </w:rPr>
            </w:pPr>
            <w:r>
              <w:rPr>
                <w:rFonts w:hint="eastAsia" w:ascii="宋体" w:hAnsi="宋体" w:eastAsia="宋体" w:cs="宋体"/>
              </w:rPr>
              <w:t>见“</w:t>
            </w:r>
            <w:r>
              <w:rPr>
                <w:rFonts w:hint="eastAsia" w:ascii="宋体" w:hAnsi="宋体" w:eastAsia="宋体" w:cs="宋体"/>
                <w:bCs/>
              </w:rPr>
              <w:t>技术要求”</w:t>
            </w:r>
          </w:p>
        </w:tc>
        <w:tc>
          <w:tcPr>
            <w:tcW w:w="1260" w:type="dxa"/>
            <w:vMerge w:val="restart"/>
            <w:vAlign w:val="center"/>
          </w:tcPr>
          <w:p>
            <w:pPr>
              <w:rPr>
                <w:rFonts w:hint="eastAsia" w:ascii="宋体" w:hAnsi="宋体" w:eastAsia="宋体" w:cs="宋体"/>
              </w:rPr>
            </w:pPr>
            <w:r>
              <w:rPr>
                <w:rFonts w:hint="eastAsia" w:ascii="宋体" w:hAnsi="宋体" w:eastAsia="宋体" w:cs="宋体"/>
                <w:bCs/>
              </w:rPr>
              <w:t>中标通知发布后60个日历日内交货</w:t>
            </w:r>
          </w:p>
        </w:tc>
        <w:tc>
          <w:tcPr>
            <w:tcW w:w="1063" w:type="dxa"/>
            <w:vMerge w:val="restart"/>
            <w:vAlign w:val="center"/>
          </w:tcPr>
          <w:p>
            <w:pPr>
              <w:rPr>
                <w:rFonts w:hint="eastAsia" w:ascii="宋体" w:hAnsi="宋体" w:eastAsia="宋体" w:cs="宋体"/>
              </w:rPr>
            </w:pPr>
            <w:r>
              <w:rPr>
                <w:rFonts w:hint="eastAsia" w:ascii="宋体" w:hAnsi="宋体" w:eastAsia="宋体" w:cs="宋体"/>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jc w:val="center"/>
        </w:trPr>
        <w:tc>
          <w:tcPr>
            <w:tcW w:w="540"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2643" w:type="dxa"/>
            <w:vAlign w:val="center"/>
          </w:tcPr>
          <w:p>
            <w:pPr>
              <w:jc w:val="center"/>
              <w:rPr>
                <w:rFonts w:hint="eastAsia" w:ascii="宋体" w:hAnsi="宋体" w:eastAsia="宋体" w:cs="宋体"/>
              </w:rPr>
            </w:pPr>
            <w:r>
              <w:rPr>
                <w:rFonts w:hint="eastAsia" w:ascii="宋体" w:hAnsi="宋体" w:eastAsia="宋体" w:cs="宋体"/>
              </w:rPr>
              <w:t>MC07</w:t>
            </w:r>
            <w:r>
              <w:rPr>
                <w:rFonts w:hint="eastAsia" w:ascii="宋体" w:hAnsi="宋体" w:eastAsia="宋体" w:cs="宋体"/>
                <w:lang w:val="en-US" w:eastAsia="zh-CN"/>
              </w:rPr>
              <w:t>缸盖上水套芯冷芯盒</w:t>
            </w:r>
          </w:p>
        </w:tc>
        <w:tc>
          <w:tcPr>
            <w:tcW w:w="1514" w:type="dxa"/>
            <w:vAlign w:val="center"/>
          </w:tcPr>
          <w:p>
            <w:pPr>
              <w:jc w:val="center"/>
              <w:rPr>
                <w:rFonts w:hint="eastAsia" w:ascii="宋体" w:hAnsi="宋体" w:eastAsia="宋体" w:cs="宋体"/>
                <w:kern w:val="2"/>
                <w:sz w:val="21"/>
                <w:szCs w:val="24"/>
                <w:lang w:val="en-US" w:eastAsia="zh-CN" w:bidi="ar-SA"/>
              </w:rPr>
            </w:pPr>
            <w:r>
              <w:rPr>
                <w:rFonts w:hint="eastAsia" w:ascii="宋体" w:hAnsi="宋体" w:eastAsia="宋体" w:cs="宋体"/>
              </w:rPr>
              <w:t>见“</w:t>
            </w:r>
            <w:r>
              <w:rPr>
                <w:rFonts w:hint="eastAsia" w:ascii="宋体" w:hAnsi="宋体" w:eastAsia="宋体" w:cs="宋体"/>
                <w:bCs/>
              </w:rPr>
              <w:t>供货范围”</w:t>
            </w:r>
          </w:p>
        </w:tc>
        <w:tc>
          <w:tcPr>
            <w:tcW w:w="1800" w:type="dxa"/>
            <w:vAlign w:val="center"/>
          </w:tcPr>
          <w:p>
            <w:pPr>
              <w:rPr>
                <w:rFonts w:hint="eastAsia" w:ascii="宋体" w:hAnsi="宋体" w:eastAsia="宋体" w:cs="宋体"/>
                <w:kern w:val="2"/>
                <w:sz w:val="21"/>
                <w:szCs w:val="24"/>
                <w:lang w:val="en-US" w:eastAsia="zh-CN" w:bidi="ar-SA"/>
              </w:rPr>
            </w:pPr>
            <w:r>
              <w:rPr>
                <w:rFonts w:hint="eastAsia" w:ascii="宋体" w:hAnsi="宋体" w:eastAsia="宋体" w:cs="宋体"/>
              </w:rPr>
              <w:t>见“</w:t>
            </w:r>
            <w:r>
              <w:rPr>
                <w:rFonts w:hint="eastAsia" w:ascii="宋体" w:hAnsi="宋体" w:eastAsia="宋体" w:cs="宋体"/>
                <w:bCs/>
              </w:rPr>
              <w:t>技术要求”</w:t>
            </w:r>
          </w:p>
        </w:tc>
        <w:tc>
          <w:tcPr>
            <w:tcW w:w="1260" w:type="dxa"/>
            <w:vMerge w:val="continue"/>
            <w:vAlign w:val="center"/>
          </w:tcPr>
          <w:p>
            <w:pPr>
              <w:rPr>
                <w:rFonts w:hint="eastAsia" w:ascii="宋体" w:hAnsi="宋体" w:eastAsia="宋体" w:cs="宋体"/>
              </w:rPr>
            </w:pPr>
          </w:p>
        </w:tc>
        <w:tc>
          <w:tcPr>
            <w:tcW w:w="1063" w:type="dxa"/>
            <w:vMerge w:val="continue"/>
            <w:vAlign w:val="center"/>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jc w:val="center"/>
        </w:trPr>
        <w:tc>
          <w:tcPr>
            <w:tcW w:w="540"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3</w:t>
            </w:r>
          </w:p>
        </w:tc>
        <w:tc>
          <w:tcPr>
            <w:tcW w:w="2643" w:type="dxa"/>
            <w:vAlign w:val="center"/>
          </w:tcPr>
          <w:p>
            <w:pPr>
              <w:jc w:val="center"/>
              <w:rPr>
                <w:rFonts w:hint="eastAsia" w:ascii="宋体" w:hAnsi="宋体" w:eastAsia="宋体" w:cs="宋体"/>
                <w:lang w:val="en-US"/>
              </w:rPr>
            </w:pPr>
            <w:r>
              <w:rPr>
                <w:rFonts w:hint="eastAsia" w:ascii="宋体" w:hAnsi="宋体" w:eastAsia="宋体" w:cs="宋体"/>
              </w:rPr>
              <w:t>MC07</w:t>
            </w:r>
            <w:r>
              <w:rPr>
                <w:rFonts w:hint="eastAsia" w:ascii="宋体" w:hAnsi="宋体" w:eastAsia="宋体" w:cs="宋体"/>
                <w:lang w:val="en-US" w:eastAsia="zh-CN"/>
              </w:rPr>
              <w:t>缸盖下沉水套上型板模</w:t>
            </w:r>
          </w:p>
        </w:tc>
        <w:tc>
          <w:tcPr>
            <w:tcW w:w="1514" w:type="dxa"/>
            <w:vAlign w:val="center"/>
          </w:tcPr>
          <w:p>
            <w:pPr>
              <w:jc w:val="center"/>
              <w:rPr>
                <w:rFonts w:hint="eastAsia" w:ascii="宋体" w:hAnsi="宋体" w:eastAsia="宋体" w:cs="宋体"/>
              </w:rPr>
            </w:pPr>
          </w:p>
        </w:tc>
        <w:tc>
          <w:tcPr>
            <w:tcW w:w="1800" w:type="dxa"/>
            <w:vAlign w:val="center"/>
          </w:tcPr>
          <w:p>
            <w:pPr>
              <w:rPr>
                <w:rFonts w:hint="eastAsia" w:ascii="宋体" w:hAnsi="宋体" w:eastAsia="宋体" w:cs="宋体"/>
              </w:rPr>
            </w:pPr>
          </w:p>
        </w:tc>
        <w:tc>
          <w:tcPr>
            <w:tcW w:w="1260" w:type="dxa"/>
            <w:vMerge w:val="continue"/>
            <w:vAlign w:val="center"/>
          </w:tcPr>
          <w:p>
            <w:pPr>
              <w:rPr>
                <w:rFonts w:hint="eastAsia" w:ascii="宋体" w:hAnsi="宋体" w:eastAsia="宋体" w:cs="宋体"/>
              </w:rPr>
            </w:pPr>
          </w:p>
        </w:tc>
        <w:tc>
          <w:tcPr>
            <w:tcW w:w="1063" w:type="dxa"/>
            <w:vMerge w:val="continue"/>
            <w:vAlign w:val="center"/>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jc w:val="center"/>
        </w:trPr>
        <w:tc>
          <w:tcPr>
            <w:tcW w:w="540" w:type="dxa"/>
            <w:vAlign w:val="center"/>
          </w:tcPr>
          <w:p>
            <w:pPr>
              <w:jc w:val="center"/>
              <w:rPr>
                <w:rFonts w:hint="eastAsia" w:ascii="宋体" w:hAnsi="宋体" w:eastAsia="宋体" w:cs="宋体"/>
                <w:lang w:eastAsia="zh-CN"/>
              </w:rPr>
            </w:pPr>
            <w:r>
              <w:rPr>
                <w:rFonts w:hint="eastAsia" w:ascii="宋体" w:hAnsi="宋体" w:eastAsia="宋体" w:cs="宋体"/>
                <w:lang w:val="en-US" w:eastAsia="zh-CN"/>
              </w:rPr>
              <w:t>4</w:t>
            </w:r>
          </w:p>
        </w:tc>
        <w:tc>
          <w:tcPr>
            <w:tcW w:w="2643" w:type="dxa"/>
            <w:vAlign w:val="center"/>
          </w:tcPr>
          <w:p>
            <w:pPr>
              <w:jc w:val="center"/>
              <w:rPr>
                <w:rFonts w:hint="eastAsia" w:ascii="宋体" w:hAnsi="宋体" w:eastAsia="宋体" w:cs="宋体"/>
              </w:rPr>
            </w:pPr>
            <w:r>
              <w:rPr>
                <w:rFonts w:hint="eastAsia" w:ascii="宋体" w:hAnsi="宋体" w:eastAsia="宋体" w:cs="宋体"/>
              </w:rPr>
              <w:t>技术资料</w:t>
            </w:r>
          </w:p>
        </w:tc>
        <w:tc>
          <w:tcPr>
            <w:tcW w:w="1514" w:type="dxa"/>
            <w:vAlign w:val="center"/>
          </w:tcPr>
          <w:p>
            <w:pPr>
              <w:rPr>
                <w:rFonts w:hint="eastAsia" w:ascii="宋体" w:hAnsi="宋体" w:eastAsia="宋体" w:cs="宋体"/>
              </w:rPr>
            </w:pPr>
            <w:r>
              <w:rPr>
                <w:rFonts w:hint="eastAsia" w:ascii="宋体" w:hAnsi="宋体" w:eastAsia="宋体" w:cs="宋体"/>
              </w:rPr>
              <w:t>光盘</w:t>
            </w:r>
            <w:r>
              <w:rPr>
                <w:rFonts w:hint="eastAsia" w:ascii="宋体" w:hAnsi="宋体" w:eastAsia="宋体" w:cs="宋体"/>
                <w:lang w:eastAsia="zh-CN"/>
              </w:rPr>
              <w:t>（</w:t>
            </w:r>
            <w:r>
              <w:rPr>
                <w:rFonts w:hint="eastAsia" w:ascii="宋体" w:hAnsi="宋体" w:eastAsia="宋体" w:cs="宋体"/>
                <w:lang w:val="en-US" w:eastAsia="zh-CN"/>
              </w:rPr>
              <w:t>U盘</w:t>
            </w:r>
            <w:r>
              <w:rPr>
                <w:rFonts w:hint="eastAsia" w:ascii="宋体" w:hAnsi="宋体" w:eastAsia="宋体" w:cs="宋体"/>
                <w:lang w:eastAsia="zh-CN"/>
              </w:rPr>
              <w:t>）</w:t>
            </w:r>
            <w:r>
              <w:rPr>
                <w:rFonts w:hint="eastAsia" w:ascii="宋体" w:hAnsi="宋体" w:eastAsia="宋体" w:cs="宋体"/>
              </w:rPr>
              <w:t>1份</w:t>
            </w:r>
          </w:p>
        </w:tc>
        <w:tc>
          <w:tcPr>
            <w:tcW w:w="1800" w:type="dxa"/>
            <w:vAlign w:val="center"/>
          </w:tcPr>
          <w:p>
            <w:pPr>
              <w:rPr>
                <w:rFonts w:hint="eastAsia" w:ascii="宋体" w:hAnsi="宋体" w:eastAsia="宋体" w:cs="宋体"/>
              </w:rPr>
            </w:pPr>
            <w:r>
              <w:rPr>
                <w:rFonts w:hint="eastAsia" w:ascii="宋体" w:hAnsi="宋体" w:eastAsia="宋体" w:cs="宋体"/>
              </w:rPr>
              <w:t>各工装模具设计图档</w:t>
            </w:r>
          </w:p>
        </w:tc>
        <w:tc>
          <w:tcPr>
            <w:tcW w:w="1260" w:type="dxa"/>
            <w:vMerge w:val="continue"/>
            <w:vAlign w:val="center"/>
          </w:tcPr>
          <w:p>
            <w:pPr>
              <w:rPr>
                <w:rFonts w:hint="eastAsia" w:ascii="宋体" w:hAnsi="宋体" w:eastAsia="宋体" w:cs="宋体"/>
              </w:rPr>
            </w:pPr>
          </w:p>
        </w:tc>
        <w:tc>
          <w:tcPr>
            <w:tcW w:w="1063" w:type="dxa"/>
            <w:vMerge w:val="continue"/>
            <w:vAlign w:val="center"/>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540" w:type="dxa"/>
            <w:vAlign w:val="center"/>
          </w:tcPr>
          <w:p>
            <w:pPr>
              <w:jc w:val="center"/>
              <w:rPr>
                <w:rFonts w:hint="eastAsia" w:ascii="宋体" w:hAnsi="宋体" w:eastAsia="宋体" w:cs="宋体"/>
                <w:lang w:eastAsia="zh-CN"/>
              </w:rPr>
            </w:pPr>
            <w:r>
              <w:rPr>
                <w:rFonts w:hint="eastAsia" w:ascii="宋体" w:hAnsi="宋体" w:eastAsia="宋体" w:cs="宋体"/>
                <w:lang w:val="en-US" w:eastAsia="zh-CN"/>
              </w:rPr>
              <w:t>5</w:t>
            </w:r>
          </w:p>
        </w:tc>
        <w:tc>
          <w:tcPr>
            <w:tcW w:w="2643" w:type="dxa"/>
            <w:vAlign w:val="center"/>
          </w:tcPr>
          <w:p>
            <w:pPr>
              <w:jc w:val="center"/>
              <w:rPr>
                <w:rFonts w:hint="eastAsia" w:ascii="宋体" w:hAnsi="宋体" w:eastAsia="宋体" w:cs="宋体"/>
              </w:rPr>
            </w:pPr>
            <w:r>
              <w:rPr>
                <w:rFonts w:hint="eastAsia" w:ascii="宋体" w:hAnsi="宋体" w:eastAsia="宋体" w:cs="宋体"/>
              </w:rPr>
              <w:t>投标人认为</w:t>
            </w:r>
          </w:p>
          <w:p>
            <w:pPr>
              <w:jc w:val="center"/>
              <w:rPr>
                <w:rFonts w:hint="eastAsia" w:ascii="宋体" w:hAnsi="宋体" w:eastAsia="宋体" w:cs="宋体"/>
              </w:rPr>
            </w:pPr>
            <w:r>
              <w:rPr>
                <w:rFonts w:hint="eastAsia" w:ascii="宋体" w:hAnsi="宋体" w:eastAsia="宋体" w:cs="宋体"/>
              </w:rPr>
              <w:t>必须提供的其他货物</w:t>
            </w:r>
          </w:p>
        </w:tc>
        <w:tc>
          <w:tcPr>
            <w:tcW w:w="1514" w:type="dxa"/>
            <w:vAlign w:val="center"/>
          </w:tcPr>
          <w:p>
            <w:pPr>
              <w:rPr>
                <w:rFonts w:hint="eastAsia" w:ascii="宋体" w:hAnsi="宋体" w:eastAsia="宋体" w:cs="宋体"/>
              </w:rPr>
            </w:pPr>
          </w:p>
        </w:tc>
        <w:tc>
          <w:tcPr>
            <w:tcW w:w="1800" w:type="dxa"/>
            <w:vAlign w:val="center"/>
          </w:tcPr>
          <w:p>
            <w:pPr>
              <w:rPr>
                <w:rFonts w:hint="eastAsia" w:ascii="宋体" w:hAnsi="宋体" w:eastAsia="宋体" w:cs="宋体"/>
              </w:rPr>
            </w:pPr>
          </w:p>
        </w:tc>
        <w:tc>
          <w:tcPr>
            <w:tcW w:w="1260" w:type="dxa"/>
            <w:vMerge w:val="continue"/>
            <w:vAlign w:val="center"/>
          </w:tcPr>
          <w:p>
            <w:pPr>
              <w:rPr>
                <w:rFonts w:hint="eastAsia" w:ascii="宋体" w:hAnsi="宋体" w:eastAsia="宋体" w:cs="宋体"/>
              </w:rPr>
            </w:pPr>
          </w:p>
        </w:tc>
        <w:tc>
          <w:tcPr>
            <w:tcW w:w="1063" w:type="dxa"/>
            <w:vMerge w:val="continue"/>
            <w:vAlign w:val="center"/>
          </w:tcPr>
          <w:p>
            <w:pPr>
              <w:rPr>
                <w:rFonts w:hint="eastAsia" w:ascii="宋体" w:hAnsi="宋体" w:eastAsia="宋体" w:cs="宋体"/>
              </w:rPr>
            </w:pPr>
          </w:p>
        </w:tc>
      </w:tr>
    </w:tbl>
    <w:p>
      <w:pPr>
        <w:spacing w:line="360" w:lineRule="auto"/>
        <w:ind w:left="630" w:hanging="630" w:hangingChars="300"/>
        <w:rPr>
          <w:rFonts w:hint="eastAsia" w:ascii="宋体" w:hAnsi="宋体" w:eastAsia="宋体" w:cs="宋体"/>
          <w:szCs w:val="21"/>
        </w:rPr>
      </w:pPr>
      <w:r>
        <w:rPr>
          <w:rFonts w:hint="eastAsia" w:ascii="宋体" w:hAnsi="宋体" w:eastAsia="宋体" w:cs="宋体"/>
          <w:szCs w:val="21"/>
        </w:rPr>
        <w:t>备注：①.本表所列采购货物仅为货物的主要构成部分，应包含配套供货以及招标人所列其它货物（或设备）和服务，请投标人认真阅读“供货范围”。若有异议，不管是多么微小，都应在投标文件“商务偏离”章节中予以详细说明。</w:t>
      </w:r>
    </w:p>
    <w:p>
      <w:pPr>
        <w:spacing w:line="480" w:lineRule="exact"/>
        <w:ind w:left="630" w:leftChars="300"/>
        <w:rPr>
          <w:rFonts w:hint="eastAsia" w:ascii="宋体" w:hAnsi="宋体" w:eastAsia="宋体" w:cs="宋体"/>
          <w:szCs w:val="21"/>
        </w:rPr>
      </w:pPr>
      <w:r>
        <w:rPr>
          <w:rFonts w:hint="eastAsia" w:ascii="宋体" w:hAnsi="宋体" w:eastAsia="宋体" w:cs="宋体"/>
          <w:szCs w:val="21"/>
        </w:rPr>
        <w:t>②本表“供货方式”指：</w:t>
      </w:r>
      <w:r>
        <w:rPr>
          <w:rFonts w:hint="eastAsia" w:ascii="宋体" w:hAnsi="宋体" w:eastAsia="宋体" w:cs="宋体"/>
          <w:color w:val="auto"/>
          <w:szCs w:val="21"/>
        </w:rPr>
        <w:t>交钥匙方式——包括制造、运输、定点卸货、安装、调试和协助验收以及约定培训等</w:t>
      </w:r>
      <w:r>
        <w:rPr>
          <w:rFonts w:hint="eastAsia" w:ascii="宋体" w:hAnsi="宋体" w:eastAsia="宋体" w:cs="宋体"/>
          <w:szCs w:val="21"/>
        </w:rPr>
        <w:t>，指导安装——包括制造、运输、定点卸货、指导安装和调试、协助验收和约定培训等。</w:t>
      </w:r>
    </w:p>
    <w:bookmarkEnd w:id="46"/>
    <w:p>
      <w:pPr>
        <w:tabs>
          <w:tab w:val="left" w:pos="1200"/>
        </w:tabs>
        <w:spacing w:line="360" w:lineRule="auto"/>
        <w:ind w:left="1200" w:firstLine="3092" w:firstLineChars="1100"/>
        <w:rPr>
          <w:rFonts w:hint="eastAsia" w:ascii="宋体" w:hAnsi="宋体" w:eastAsia="宋体" w:cs="宋体"/>
          <w:b/>
          <w:bCs/>
          <w:sz w:val="28"/>
        </w:rPr>
      </w:pPr>
      <w:r>
        <w:rPr>
          <w:rFonts w:hint="eastAsia" w:ascii="宋体" w:hAnsi="宋体" w:eastAsia="宋体" w:cs="宋体"/>
          <w:b/>
          <w:bCs/>
          <w:sz w:val="28"/>
        </w:rPr>
        <w:t>技术要求</w:t>
      </w:r>
    </w:p>
    <w:p>
      <w:pPr>
        <w:spacing w:line="360" w:lineRule="auto"/>
        <w:rPr>
          <w:rFonts w:hint="eastAsia" w:ascii="宋体" w:hAnsi="宋体" w:eastAsia="宋体" w:cs="宋体"/>
          <w:b/>
          <w:bCs/>
          <w:sz w:val="24"/>
        </w:rPr>
      </w:pPr>
      <w:r>
        <w:rPr>
          <w:rFonts w:hint="eastAsia" w:ascii="宋体" w:hAnsi="宋体" w:eastAsia="宋体" w:cs="宋体"/>
          <w:b/>
          <w:bCs/>
          <w:sz w:val="24"/>
        </w:rPr>
        <w:t>1．基本要求</w:t>
      </w:r>
    </w:p>
    <w:p>
      <w:pPr>
        <w:numPr>
          <w:ilvl w:val="1"/>
          <w:numId w:val="12"/>
        </w:numPr>
        <w:spacing w:line="360" w:lineRule="auto"/>
        <w:rPr>
          <w:rFonts w:hint="eastAsia" w:ascii="宋体" w:hAnsi="宋体" w:eastAsia="宋体" w:cs="宋体"/>
          <w:sz w:val="24"/>
        </w:rPr>
      </w:pPr>
      <w:r>
        <w:rPr>
          <w:rFonts w:hint="eastAsia" w:ascii="宋体" w:hAnsi="宋体" w:eastAsia="宋体" w:cs="宋体"/>
          <w:sz w:val="24"/>
        </w:rPr>
        <w:t>投标人所供的货物，必须符合中国最新版的法律、法规和相关标准、规范的要求，符合项目所在地政府有关特殊要求。</w:t>
      </w:r>
    </w:p>
    <w:p>
      <w:pPr>
        <w:numPr>
          <w:ilvl w:val="1"/>
          <w:numId w:val="12"/>
        </w:numPr>
        <w:spacing w:line="360" w:lineRule="auto"/>
        <w:rPr>
          <w:rFonts w:hint="eastAsia" w:ascii="宋体" w:hAnsi="宋体" w:eastAsia="宋体" w:cs="宋体"/>
          <w:sz w:val="24"/>
        </w:rPr>
      </w:pPr>
      <w:r>
        <w:rPr>
          <w:rFonts w:hint="eastAsia" w:ascii="宋体" w:hAnsi="宋体" w:eastAsia="宋体" w:cs="宋体"/>
          <w:sz w:val="24"/>
        </w:rPr>
        <w:t>投标人所供货物涉及的、招标人有权使用的专利权技术以及知识产权保护的其它技术等，应保证招标人不因此受到任何侵权指控以及实际损失。</w:t>
      </w:r>
    </w:p>
    <w:p>
      <w:pPr>
        <w:numPr>
          <w:ilvl w:val="1"/>
          <w:numId w:val="12"/>
        </w:numPr>
        <w:spacing w:line="360" w:lineRule="auto"/>
        <w:rPr>
          <w:rFonts w:hint="eastAsia" w:ascii="宋体" w:hAnsi="宋体" w:eastAsia="宋体" w:cs="宋体"/>
          <w:sz w:val="24"/>
        </w:rPr>
      </w:pPr>
      <w:r>
        <w:rPr>
          <w:rFonts w:hint="eastAsia" w:ascii="宋体" w:hAnsi="宋体" w:eastAsia="宋体" w:cs="宋体"/>
          <w:sz w:val="24"/>
        </w:rPr>
        <w:t>投标人应保证所供货物的先进性、可靠性、经济性和实用性，并为全新货物（或设备）。</w:t>
      </w:r>
    </w:p>
    <w:p>
      <w:pPr>
        <w:numPr>
          <w:ilvl w:val="1"/>
          <w:numId w:val="12"/>
        </w:numPr>
        <w:spacing w:line="360" w:lineRule="auto"/>
        <w:rPr>
          <w:rFonts w:hint="eastAsia" w:ascii="宋体" w:hAnsi="宋体" w:eastAsia="宋体" w:cs="宋体"/>
          <w:sz w:val="24"/>
        </w:rPr>
      </w:pPr>
      <w:r>
        <w:rPr>
          <w:rFonts w:hint="eastAsia" w:ascii="宋体" w:hAnsi="宋体" w:eastAsia="宋体" w:cs="宋体"/>
          <w:sz w:val="24"/>
        </w:rPr>
        <w:t>投标人应满足招标人提出的各项技术要求，必要时应当免费提供技术承诺或担保。</w:t>
      </w:r>
    </w:p>
    <w:p>
      <w:pPr>
        <w:numPr>
          <w:ilvl w:val="1"/>
          <w:numId w:val="12"/>
        </w:numPr>
        <w:spacing w:line="360" w:lineRule="auto"/>
        <w:rPr>
          <w:rFonts w:hint="eastAsia" w:ascii="宋体" w:hAnsi="宋体" w:eastAsia="宋体" w:cs="宋体"/>
          <w:sz w:val="24"/>
        </w:rPr>
      </w:pPr>
      <w:r>
        <w:rPr>
          <w:rFonts w:hint="eastAsia" w:ascii="宋体" w:hAnsi="宋体" w:eastAsia="宋体" w:cs="宋体"/>
          <w:sz w:val="24"/>
        </w:rPr>
        <w:t>投标人应保证所供货物的完整性和成套性，能保证货物的正常运行、使用。</w:t>
      </w:r>
    </w:p>
    <w:p>
      <w:pPr>
        <w:numPr>
          <w:ilvl w:val="1"/>
          <w:numId w:val="12"/>
        </w:numPr>
        <w:spacing w:line="360" w:lineRule="auto"/>
        <w:rPr>
          <w:rFonts w:hint="eastAsia" w:ascii="宋体" w:hAnsi="宋体" w:eastAsia="宋体" w:cs="宋体"/>
          <w:sz w:val="24"/>
        </w:rPr>
      </w:pPr>
      <w:r>
        <w:rPr>
          <w:rFonts w:hint="eastAsia" w:ascii="宋体" w:hAnsi="宋体" w:eastAsia="宋体" w:cs="宋体"/>
          <w:sz w:val="24"/>
        </w:rPr>
        <w:t>投标人应对招标人采购的货物所涉及的技术、产能等信息负有保密义务，并按招标人的要求签署保密协议。</w:t>
      </w:r>
    </w:p>
    <w:p>
      <w:pPr>
        <w:spacing w:line="360" w:lineRule="auto"/>
        <w:rPr>
          <w:rFonts w:hint="eastAsia" w:ascii="宋体" w:hAnsi="宋体" w:eastAsia="宋体" w:cs="宋体"/>
          <w:b/>
          <w:bCs/>
          <w:sz w:val="24"/>
        </w:rPr>
      </w:pPr>
      <w:r>
        <w:rPr>
          <w:rFonts w:hint="eastAsia" w:ascii="宋体" w:hAnsi="宋体" w:eastAsia="宋体" w:cs="宋体"/>
          <w:b/>
          <w:bCs/>
          <w:sz w:val="24"/>
        </w:rPr>
        <w:t>2． 执行标准</w:t>
      </w:r>
    </w:p>
    <w:p>
      <w:pPr>
        <w:numPr>
          <w:ilvl w:val="1"/>
          <w:numId w:val="13"/>
        </w:numPr>
        <w:spacing w:line="360" w:lineRule="auto"/>
        <w:rPr>
          <w:rFonts w:hint="eastAsia" w:ascii="宋体" w:hAnsi="宋体" w:eastAsia="宋体" w:cs="宋体"/>
          <w:sz w:val="24"/>
        </w:rPr>
      </w:pPr>
      <w:r>
        <w:rPr>
          <w:rFonts w:hint="eastAsia" w:ascii="宋体" w:hAnsi="宋体" w:eastAsia="宋体" w:cs="宋体"/>
          <w:sz w:val="24"/>
        </w:rPr>
        <w:t>合同产品的质量、技术标准如在招投标文件中无相应说明，则按中华人民共和国有关部门颁发的最新的国标或专业（部）标准执行及相应的国际标准。没有国家或专业（部）标准的，按企业标准执行。</w:t>
      </w:r>
    </w:p>
    <w:p>
      <w:pPr>
        <w:numPr>
          <w:ilvl w:val="1"/>
          <w:numId w:val="13"/>
        </w:numPr>
        <w:spacing w:line="360" w:lineRule="auto"/>
        <w:rPr>
          <w:rFonts w:hint="eastAsia" w:ascii="宋体" w:hAnsi="宋体" w:eastAsia="宋体" w:cs="宋体"/>
          <w:sz w:val="24"/>
        </w:rPr>
      </w:pPr>
      <w:r>
        <w:rPr>
          <w:rFonts w:hint="eastAsia" w:ascii="宋体" w:hAnsi="宋体" w:eastAsia="宋体" w:cs="宋体"/>
          <w:sz w:val="24"/>
        </w:rPr>
        <w:t>投标人需要执行的标准，应当以所供货物通过招标人将来组织的最终验收之日后需要执行的标准。</w:t>
      </w:r>
    </w:p>
    <w:p>
      <w:pPr>
        <w:numPr>
          <w:ilvl w:val="1"/>
          <w:numId w:val="13"/>
        </w:numPr>
        <w:spacing w:line="360" w:lineRule="auto"/>
        <w:rPr>
          <w:rFonts w:hint="eastAsia" w:ascii="宋体" w:hAnsi="宋体" w:eastAsia="宋体" w:cs="宋体"/>
          <w:sz w:val="24"/>
        </w:rPr>
      </w:pPr>
      <w:r>
        <w:rPr>
          <w:rFonts w:hint="eastAsia" w:ascii="宋体" w:hAnsi="宋体" w:eastAsia="宋体" w:cs="宋体"/>
          <w:sz w:val="24"/>
        </w:rPr>
        <w:t>如果有采用国际标准的货物，其执行标准由投标人提供、招标人确认。</w:t>
      </w:r>
    </w:p>
    <w:p>
      <w:pPr>
        <w:spacing w:line="360" w:lineRule="auto"/>
        <w:rPr>
          <w:rFonts w:hint="eastAsia" w:ascii="宋体" w:hAnsi="宋体" w:eastAsia="宋体" w:cs="宋体"/>
          <w:b/>
          <w:sz w:val="24"/>
        </w:rPr>
      </w:pPr>
      <w:r>
        <w:rPr>
          <w:rFonts w:hint="eastAsia" w:ascii="宋体" w:hAnsi="宋体" w:eastAsia="宋体" w:cs="宋体"/>
          <w:b/>
          <w:bCs/>
          <w:sz w:val="24"/>
        </w:rPr>
        <w:t>3．</w:t>
      </w:r>
      <w:r>
        <w:rPr>
          <w:rFonts w:hint="eastAsia" w:ascii="宋体" w:hAnsi="宋体" w:eastAsia="宋体" w:cs="宋体"/>
          <w:b/>
          <w:sz w:val="24"/>
        </w:rPr>
        <w:t>技术规格及工艺要求</w:t>
      </w:r>
    </w:p>
    <w:p>
      <w:pPr>
        <w:spacing w:line="360" w:lineRule="auto"/>
        <w:rPr>
          <w:rFonts w:hint="eastAsia" w:ascii="宋体" w:hAnsi="宋体" w:eastAsia="宋体" w:cs="宋体"/>
          <w:kern w:val="44"/>
          <w:sz w:val="24"/>
          <w:szCs w:val="44"/>
        </w:rPr>
      </w:pPr>
      <w:bookmarkStart w:id="47" w:name="_Hlk530553746"/>
      <w:r>
        <w:rPr>
          <w:rFonts w:hint="eastAsia" w:ascii="宋体" w:hAnsi="宋体" w:eastAsia="宋体" w:cs="宋体"/>
          <w:kern w:val="44"/>
          <w:sz w:val="24"/>
          <w:szCs w:val="44"/>
        </w:rPr>
        <w:t>3.1 技术规格及要求</w:t>
      </w:r>
    </w:p>
    <w:p>
      <w:pPr>
        <w:spacing w:line="360" w:lineRule="auto"/>
        <w:ind w:left="1260" w:leftChars="0" w:hanging="1260" w:hangingChars="525"/>
        <w:rPr>
          <w:rFonts w:hint="eastAsia" w:ascii="宋体" w:hAnsi="宋体" w:eastAsia="宋体" w:cs="宋体"/>
          <w:kern w:val="44"/>
          <w:sz w:val="24"/>
        </w:rPr>
      </w:pPr>
      <w:r>
        <w:rPr>
          <w:rFonts w:hint="eastAsia" w:ascii="宋体" w:hAnsi="宋体" w:eastAsia="宋体" w:cs="宋体"/>
          <w:kern w:val="44"/>
          <w:sz w:val="24"/>
          <w:szCs w:val="44"/>
        </w:rPr>
        <w:t>3.1.1</w:t>
      </w:r>
      <w:r>
        <w:rPr>
          <w:rFonts w:hint="eastAsia" w:ascii="宋体" w:hAnsi="宋体" w:eastAsia="宋体" w:cs="宋体"/>
          <w:kern w:val="44"/>
          <w:sz w:val="24"/>
          <w:szCs w:val="44"/>
          <w:lang w:val="en-US" w:eastAsia="zh-CN"/>
        </w:rPr>
        <w:t>模具</w:t>
      </w:r>
      <w:r>
        <w:rPr>
          <w:rFonts w:hint="eastAsia" w:ascii="宋体" w:hAnsi="宋体" w:eastAsia="宋体" w:cs="宋体"/>
          <w:kern w:val="44"/>
          <w:sz w:val="24"/>
        </w:rPr>
        <w:t>模型部分：芯盒</w:t>
      </w:r>
      <w:r>
        <w:rPr>
          <w:rFonts w:hint="eastAsia" w:ascii="宋体" w:hAnsi="宋体" w:eastAsia="宋体" w:cs="宋体"/>
          <w:kern w:val="44"/>
          <w:sz w:val="24"/>
          <w:lang w:val="en-US" w:eastAsia="zh-CN"/>
        </w:rPr>
        <w:t>模体及型板模</w:t>
      </w:r>
      <w:r>
        <w:rPr>
          <w:rFonts w:hint="eastAsia" w:ascii="宋体" w:hAnsi="宋体" w:eastAsia="宋体" w:cs="宋体"/>
          <w:kern w:val="44"/>
          <w:sz w:val="24"/>
        </w:rPr>
        <w:t>模体部分，材料为模具钢P20（要求宝钢生产），硬度大于HRC35。</w:t>
      </w:r>
      <w:r>
        <w:rPr>
          <w:rFonts w:hint="eastAsia" w:ascii="宋体" w:hAnsi="宋体" w:eastAsia="宋体" w:cs="宋体"/>
          <w:kern w:val="44"/>
          <w:sz w:val="24"/>
          <w:lang w:val="en-US" w:eastAsia="zh-CN"/>
        </w:rPr>
        <w:t>型板为QT600-3材料，</w:t>
      </w:r>
      <w:r>
        <w:rPr>
          <w:rFonts w:hint="eastAsia" w:ascii="宋体" w:hAnsi="宋体" w:eastAsia="宋体" w:cs="宋体"/>
          <w:kern w:val="44"/>
          <w:sz w:val="24"/>
          <w:szCs w:val="44"/>
        </w:rPr>
        <w:t>表面硬度不低于HB230</w:t>
      </w:r>
      <w:r>
        <w:rPr>
          <w:rFonts w:hint="eastAsia" w:ascii="宋体" w:hAnsi="宋体" w:eastAsia="宋体" w:cs="宋体"/>
          <w:kern w:val="44"/>
          <w:sz w:val="24"/>
          <w:szCs w:val="44"/>
          <w:lang w:eastAsia="zh-CN"/>
        </w:rPr>
        <w:t>，</w:t>
      </w:r>
      <w:r>
        <w:rPr>
          <w:rFonts w:hint="eastAsia" w:ascii="宋体" w:hAnsi="宋体" w:eastAsia="宋体" w:cs="宋体"/>
          <w:kern w:val="44"/>
          <w:sz w:val="24"/>
        </w:rPr>
        <w:t>其余材料为合金铸铁HT250和45钢，合金铸铁铸件硬度大于HB200。</w:t>
      </w:r>
    </w:p>
    <w:p>
      <w:pPr>
        <w:spacing w:line="360" w:lineRule="auto"/>
        <w:ind w:left="1110" w:leftChars="300" w:hanging="480" w:hangingChars="200"/>
        <w:rPr>
          <w:rFonts w:hint="eastAsia" w:ascii="宋体" w:hAnsi="宋体" w:eastAsia="宋体" w:cs="宋体"/>
          <w:kern w:val="44"/>
          <w:sz w:val="24"/>
        </w:rPr>
      </w:pPr>
      <w:r>
        <w:rPr>
          <w:rFonts w:hint="eastAsia" w:ascii="宋体" w:hAnsi="宋体" w:eastAsia="宋体" w:cs="宋体"/>
          <w:kern w:val="44"/>
          <w:sz w:val="24"/>
        </w:rPr>
        <w:t>其他材料，由卖方设计确定，但必须得到买方认可。</w:t>
      </w:r>
    </w:p>
    <w:p>
      <w:pPr>
        <w:spacing w:line="360" w:lineRule="auto"/>
        <w:ind w:left="850" w:hanging="849" w:hangingChars="354"/>
        <w:rPr>
          <w:rFonts w:hint="eastAsia" w:ascii="宋体" w:hAnsi="宋体" w:eastAsia="宋体" w:cs="宋体"/>
          <w:kern w:val="44"/>
          <w:sz w:val="24"/>
          <w:szCs w:val="44"/>
        </w:rPr>
      </w:pPr>
      <w:r>
        <w:rPr>
          <w:rFonts w:hint="eastAsia" w:ascii="宋体" w:hAnsi="宋体" w:eastAsia="宋体" w:cs="宋体"/>
          <w:kern w:val="44"/>
          <w:sz w:val="24"/>
          <w:szCs w:val="44"/>
        </w:rPr>
        <w:t>3.1.2卖方向买方提供芯盒模体及其他工装关键部件铸件的化学成分、机械性能和金相组织的理化报告单。</w:t>
      </w:r>
    </w:p>
    <w:p>
      <w:pPr>
        <w:spacing w:line="360" w:lineRule="auto"/>
        <w:ind w:left="840" w:hanging="840" w:hangingChars="350"/>
        <w:rPr>
          <w:rFonts w:hint="eastAsia" w:ascii="宋体" w:hAnsi="宋体" w:eastAsia="宋体" w:cs="宋体"/>
          <w:kern w:val="44"/>
          <w:sz w:val="24"/>
          <w:szCs w:val="44"/>
        </w:rPr>
      </w:pPr>
      <w:r>
        <w:rPr>
          <w:rFonts w:hint="eastAsia" w:ascii="宋体" w:hAnsi="宋体" w:eastAsia="宋体" w:cs="宋体"/>
          <w:kern w:val="44"/>
          <w:sz w:val="24"/>
          <w:szCs w:val="44"/>
        </w:rPr>
        <w:t>3.1.3 铸件表面的粘砂、夹砂、飞边、毛刺等应清理干净，不允许有影响使用性能的裂纹、冷隔、缩孔、夹渣、气孔等铸造缺陷。</w:t>
      </w:r>
    </w:p>
    <w:p>
      <w:pPr>
        <w:spacing w:line="360" w:lineRule="auto"/>
        <w:ind w:left="720" w:hanging="720" w:hangingChars="300"/>
        <w:rPr>
          <w:rFonts w:hint="eastAsia" w:ascii="宋体" w:hAnsi="宋体" w:eastAsia="宋体" w:cs="宋体"/>
          <w:kern w:val="44"/>
          <w:sz w:val="24"/>
          <w:szCs w:val="44"/>
        </w:rPr>
      </w:pPr>
      <w:r>
        <w:rPr>
          <w:rFonts w:hint="eastAsia" w:ascii="宋体" w:hAnsi="宋体" w:eastAsia="宋体" w:cs="宋体"/>
          <w:kern w:val="44"/>
          <w:sz w:val="24"/>
          <w:szCs w:val="44"/>
        </w:rPr>
        <w:t>3.1.4 销、套等配套零件，按图纸要求制作，并提供材质成分、热处理后的硬度检测报告。</w:t>
      </w:r>
    </w:p>
    <w:p>
      <w:pPr>
        <w:spacing w:line="360" w:lineRule="auto"/>
        <w:ind w:left="720" w:hanging="720" w:hangingChars="300"/>
        <w:rPr>
          <w:rFonts w:hint="eastAsia" w:ascii="宋体" w:hAnsi="宋体" w:eastAsia="宋体" w:cs="宋体"/>
          <w:kern w:val="44"/>
          <w:sz w:val="24"/>
          <w:szCs w:val="44"/>
        </w:rPr>
      </w:pPr>
      <w:r>
        <w:rPr>
          <w:rFonts w:hint="eastAsia" w:ascii="宋体" w:hAnsi="宋体" w:eastAsia="宋体" w:cs="宋体"/>
          <w:kern w:val="44"/>
          <w:sz w:val="24"/>
          <w:szCs w:val="44"/>
        </w:rPr>
        <w:t>3.1.5 投标人按买方提供的三维产品图进行工装设计，得到买方确认后方可加工制造，保证尺寸、粗糙度和公差精度。工装尺寸须进行全检，并经买方复检确认。</w:t>
      </w:r>
    </w:p>
    <w:p>
      <w:pPr>
        <w:spacing w:line="360" w:lineRule="auto"/>
        <w:ind w:left="600" w:hanging="600" w:hangingChars="250"/>
        <w:rPr>
          <w:rFonts w:hint="eastAsia" w:ascii="宋体" w:hAnsi="宋体" w:eastAsia="宋体" w:cs="宋体"/>
          <w:kern w:val="44"/>
          <w:sz w:val="24"/>
          <w:szCs w:val="44"/>
        </w:rPr>
      </w:pPr>
      <w:r>
        <w:rPr>
          <w:rFonts w:hint="eastAsia" w:ascii="宋体" w:hAnsi="宋体" w:eastAsia="宋体" w:cs="宋体"/>
          <w:kern w:val="44"/>
          <w:sz w:val="24"/>
          <w:szCs w:val="44"/>
        </w:rPr>
        <w:t>3.1.6 铸件在加工前必须进行退火热处理，消除铸件应力。热处理规范：500℃～550℃，升温速度不大于50℃/h，保温3.5小时，随炉冷却到250℃后空冷。</w:t>
      </w:r>
    </w:p>
    <w:p>
      <w:pPr>
        <w:spacing w:line="360" w:lineRule="auto"/>
        <w:rPr>
          <w:rFonts w:hint="eastAsia" w:ascii="宋体" w:hAnsi="宋体" w:eastAsia="宋体" w:cs="宋体"/>
          <w:kern w:val="44"/>
          <w:sz w:val="24"/>
          <w:szCs w:val="44"/>
        </w:rPr>
      </w:pPr>
      <w:r>
        <w:rPr>
          <w:rFonts w:hint="eastAsia" w:ascii="宋体" w:hAnsi="宋体" w:eastAsia="宋体" w:cs="宋体"/>
          <w:kern w:val="44"/>
          <w:sz w:val="24"/>
          <w:szCs w:val="44"/>
        </w:rPr>
        <w:t>3.1.7 买方提供的所有图纸资料卖方不得向第三方扩散，否则按技术合同法及保密合同法有关规定处理。卖方如提出修改图纸尺寸、公差或材料变更，需征得买方同意，不得擅自修改。</w:t>
      </w:r>
    </w:p>
    <w:p>
      <w:pPr>
        <w:spacing w:line="360" w:lineRule="auto"/>
        <w:rPr>
          <w:rFonts w:hint="eastAsia" w:ascii="宋体" w:hAnsi="宋体" w:eastAsia="宋体" w:cs="宋体"/>
          <w:kern w:val="44"/>
          <w:sz w:val="24"/>
        </w:rPr>
      </w:pPr>
      <w:r>
        <w:rPr>
          <w:rFonts w:hint="eastAsia" w:ascii="宋体" w:hAnsi="宋体" w:eastAsia="宋体" w:cs="宋体"/>
          <w:kern w:val="44"/>
          <w:sz w:val="24"/>
        </w:rPr>
        <w:t>3.1.8为保证制芯时砂芯免修芯，模体必须采用高速加工中心加工，加工精度高于0.05mm，分型面配合间隙小于0.05mm，制作过程免抛光处理。</w:t>
      </w:r>
    </w:p>
    <w:p>
      <w:pPr>
        <w:spacing w:line="360" w:lineRule="auto"/>
        <w:rPr>
          <w:rFonts w:hint="eastAsia" w:ascii="宋体" w:hAnsi="宋体" w:eastAsia="宋体" w:cs="宋体"/>
          <w:color w:val="auto"/>
          <w:kern w:val="44"/>
          <w:sz w:val="24"/>
          <w:lang w:val="en-US" w:eastAsia="zh-CN"/>
        </w:rPr>
      </w:pPr>
      <w:r>
        <w:rPr>
          <w:rFonts w:hint="eastAsia" w:ascii="宋体" w:hAnsi="宋体" w:eastAsia="宋体" w:cs="宋体"/>
          <w:color w:val="auto"/>
          <w:kern w:val="44"/>
          <w:sz w:val="24"/>
          <w:lang w:val="en-US" w:eastAsia="zh-CN"/>
        </w:rPr>
        <w:t>3.1.9 上型板模设计除前述要求外，其余部分参照</w:t>
      </w:r>
      <w:r>
        <w:rPr>
          <w:rFonts w:ascii="宋体" w:hAnsi="宋体" w:eastAsia="宋体" w:cs="宋体"/>
          <w:color w:val="auto"/>
          <w:sz w:val="24"/>
          <w:szCs w:val="24"/>
        </w:rPr>
        <w:t>Q/ZZ30180-2023砂型铸造模具技术条件</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kern w:val="44"/>
          <w:sz w:val="24"/>
          <w:szCs w:val="44"/>
        </w:rPr>
      </w:pPr>
      <w:r>
        <w:rPr>
          <w:rFonts w:hint="eastAsia" w:ascii="宋体" w:hAnsi="宋体" w:eastAsia="宋体" w:cs="宋体"/>
          <w:kern w:val="44"/>
          <w:sz w:val="24"/>
          <w:szCs w:val="44"/>
        </w:rPr>
        <w:t>3.2 投标厂家须说明模具制作关键工艺流程。</w:t>
      </w:r>
    </w:p>
    <w:p>
      <w:pPr>
        <w:spacing w:line="360" w:lineRule="auto"/>
        <w:rPr>
          <w:rFonts w:hint="eastAsia" w:ascii="宋体" w:hAnsi="宋体" w:eastAsia="宋体" w:cs="宋体"/>
          <w:kern w:val="44"/>
          <w:sz w:val="24"/>
          <w:szCs w:val="44"/>
        </w:rPr>
      </w:pPr>
      <w:r>
        <w:rPr>
          <w:rFonts w:hint="eastAsia" w:ascii="宋体" w:hAnsi="宋体" w:eastAsia="宋体" w:cs="宋体"/>
          <w:kern w:val="44"/>
          <w:sz w:val="24"/>
          <w:szCs w:val="44"/>
        </w:rPr>
        <w:t>3.3设计认可：</w:t>
      </w:r>
    </w:p>
    <w:p>
      <w:pPr>
        <w:spacing w:line="360" w:lineRule="auto"/>
        <w:ind w:firstLine="480" w:firstLineChars="200"/>
        <w:rPr>
          <w:rFonts w:hint="eastAsia" w:ascii="宋体" w:hAnsi="宋体" w:eastAsia="宋体" w:cs="宋体"/>
          <w:kern w:val="44"/>
          <w:sz w:val="24"/>
        </w:rPr>
      </w:pPr>
      <w:r>
        <w:rPr>
          <w:rFonts w:hint="eastAsia" w:ascii="宋体" w:hAnsi="宋体" w:eastAsia="宋体" w:cs="宋体"/>
          <w:bCs/>
          <w:color w:val="000000"/>
          <w:sz w:val="24"/>
        </w:rPr>
        <w:t>合同签订后</w:t>
      </w:r>
      <w:r>
        <w:rPr>
          <w:rFonts w:hint="eastAsia" w:ascii="宋体" w:hAnsi="宋体" w:eastAsia="宋体" w:cs="宋体"/>
          <w:bCs/>
          <w:sz w:val="24"/>
        </w:rPr>
        <w:t>1周内</w:t>
      </w:r>
      <w:r>
        <w:rPr>
          <w:rFonts w:hint="eastAsia" w:ascii="宋体" w:hAnsi="宋体" w:eastAsia="宋体" w:cs="宋体"/>
          <w:bCs/>
          <w:color w:val="000000"/>
          <w:sz w:val="24"/>
        </w:rPr>
        <w:t>在买方所在地举行卖方和买方的技术联络会议。讨论和确认铸造工艺、设备与货物（</w:t>
      </w:r>
      <w:r>
        <w:rPr>
          <w:rFonts w:hint="eastAsia" w:ascii="宋体" w:hAnsi="宋体" w:eastAsia="宋体" w:cs="宋体"/>
          <w:bCs/>
          <w:color w:val="000000"/>
          <w:sz w:val="24"/>
          <w:lang w:val="en-US" w:eastAsia="zh-CN"/>
        </w:rPr>
        <w:t>工装</w:t>
      </w:r>
      <w:r>
        <w:rPr>
          <w:rFonts w:hint="eastAsia" w:ascii="宋体" w:hAnsi="宋体" w:eastAsia="宋体" w:cs="宋体"/>
          <w:sz w:val="24"/>
        </w:rPr>
        <w:t>模具</w:t>
      </w:r>
      <w:r>
        <w:rPr>
          <w:rFonts w:hint="eastAsia" w:ascii="宋体" w:hAnsi="宋体" w:eastAsia="宋体" w:cs="宋体"/>
          <w:bCs/>
          <w:color w:val="000000"/>
          <w:sz w:val="24"/>
        </w:rPr>
        <w:t>）的衔接等问</w:t>
      </w:r>
      <w:r>
        <w:rPr>
          <w:rFonts w:hint="eastAsia" w:ascii="宋体" w:hAnsi="宋体" w:eastAsia="宋体" w:cs="宋体"/>
          <w:bCs/>
          <w:sz w:val="24"/>
        </w:rPr>
        <w:t>题，并签署一份备忘录</w:t>
      </w:r>
      <w:r>
        <w:rPr>
          <w:rFonts w:hint="eastAsia" w:ascii="宋体" w:hAnsi="宋体" w:eastAsia="宋体" w:cs="宋体"/>
          <w:kern w:val="44"/>
          <w:sz w:val="24"/>
        </w:rPr>
        <w:t>。</w:t>
      </w:r>
    </w:p>
    <w:p>
      <w:pPr>
        <w:spacing w:line="360" w:lineRule="auto"/>
        <w:rPr>
          <w:rFonts w:hint="eastAsia" w:ascii="宋体" w:hAnsi="宋体" w:eastAsia="宋体" w:cs="宋体"/>
          <w:kern w:val="44"/>
          <w:sz w:val="24"/>
          <w:szCs w:val="44"/>
        </w:rPr>
      </w:pPr>
      <w:r>
        <w:rPr>
          <w:rFonts w:hint="eastAsia" w:ascii="宋体" w:hAnsi="宋体" w:eastAsia="宋体" w:cs="宋体"/>
          <w:kern w:val="44"/>
          <w:sz w:val="24"/>
          <w:szCs w:val="44"/>
        </w:rPr>
        <w:t>3.4铸造图审核</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卖方在全套工装图设计完成后，要将全部设计图纸送给买方，由买方评审、审核后开始制作。</w:t>
      </w:r>
    </w:p>
    <w:bookmarkEnd w:id="47"/>
    <w:p>
      <w:pPr>
        <w:tabs>
          <w:tab w:val="left" w:pos="1200"/>
        </w:tabs>
        <w:spacing w:line="360" w:lineRule="auto"/>
        <w:ind w:left="1200" w:firstLine="1968" w:firstLineChars="700"/>
        <w:rPr>
          <w:rFonts w:hint="eastAsia" w:ascii="宋体" w:hAnsi="宋体" w:eastAsia="宋体" w:cs="宋体"/>
          <w:b/>
          <w:bCs/>
          <w:sz w:val="28"/>
        </w:rPr>
      </w:pPr>
      <w:r>
        <w:rPr>
          <w:rFonts w:hint="eastAsia" w:ascii="宋体" w:hAnsi="宋体" w:eastAsia="宋体" w:cs="宋体"/>
          <w:b/>
          <w:bCs/>
          <w:sz w:val="28"/>
        </w:rPr>
        <w:t>供货范围及供货方式</w:t>
      </w:r>
    </w:p>
    <w:p>
      <w:pPr>
        <w:spacing w:line="500" w:lineRule="exact"/>
        <w:rPr>
          <w:rFonts w:hint="eastAsia" w:ascii="宋体" w:hAnsi="宋体" w:eastAsia="宋体" w:cs="宋体"/>
          <w:b/>
          <w:bCs/>
          <w:sz w:val="24"/>
        </w:rPr>
      </w:pPr>
      <w:r>
        <w:rPr>
          <w:rFonts w:hint="eastAsia" w:ascii="宋体" w:hAnsi="宋体" w:eastAsia="宋体" w:cs="宋体"/>
          <w:b/>
          <w:bCs/>
          <w:sz w:val="24"/>
        </w:rPr>
        <w:t>1．供货范围</w:t>
      </w:r>
    </w:p>
    <w:p>
      <w:pPr>
        <w:numPr>
          <w:ilvl w:val="1"/>
          <w:numId w:val="14"/>
        </w:numPr>
        <w:spacing w:line="500" w:lineRule="exact"/>
        <w:rPr>
          <w:rFonts w:hint="eastAsia" w:ascii="宋体" w:hAnsi="宋体" w:eastAsia="宋体" w:cs="宋体"/>
          <w:sz w:val="24"/>
        </w:rPr>
      </w:pPr>
      <w:r>
        <w:rPr>
          <w:rFonts w:hint="eastAsia" w:ascii="宋体" w:hAnsi="宋体" w:eastAsia="宋体" w:cs="宋体"/>
          <w:sz w:val="24"/>
        </w:rPr>
        <w:t>本</w:t>
      </w:r>
      <w:r>
        <w:rPr>
          <w:rFonts w:hint="eastAsia" w:ascii="宋体" w:hAnsi="宋体" w:eastAsia="宋体" w:cs="宋体"/>
          <w:b/>
          <w:bCs/>
          <w:sz w:val="24"/>
        </w:rPr>
        <w:t>项目</w:t>
      </w:r>
      <w:r>
        <w:rPr>
          <w:rFonts w:hint="eastAsia" w:ascii="宋体" w:hAnsi="宋体" w:eastAsia="宋体" w:cs="宋体"/>
          <w:sz w:val="24"/>
        </w:rPr>
        <w:t>为交钥匙工程</w:t>
      </w:r>
      <w:r>
        <w:rPr>
          <w:rFonts w:hint="eastAsia" w:ascii="宋体" w:hAnsi="宋体" w:eastAsia="宋体" w:cs="宋体"/>
          <w:sz w:val="24"/>
          <w:lang w:eastAsia="zh-CN"/>
        </w:rPr>
        <w:t>，</w:t>
      </w:r>
      <w:r>
        <w:rPr>
          <w:rFonts w:hint="eastAsia" w:ascii="宋体" w:hAnsi="宋体" w:eastAsia="宋体" w:cs="宋体"/>
          <w:sz w:val="24"/>
          <w:lang w:val="en-US" w:eastAsia="zh-CN"/>
        </w:rPr>
        <w:t>属复制工装。</w:t>
      </w:r>
      <w:r>
        <w:rPr>
          <w:rFonts w:hint="eastAsia" w:ascii="宋体" w:hAnsi="宋体" w:eastAsia="宋体" w:cs="宋体"/>
          <w:sz w:val="24"/>
        </w:rPr>
        <w:t>由买方向卖方提供设计</w:t>
      </w:r>
      <w:r>
        <w:rPr>
          <w:rFonts w:hint="eastAsia" w:ascii="宋体" w:hAnsi="宋体" w:eastAsia="宋体" w:cs="宋体"/>
          <w:sz w:val="24"/>
          <w:lang w:val="en-US" w:eastAsia="zh-CN"/>
        </w:rPr>
        <w:t>图，局部结构按买方要求对设计图纸进行优化</w:t>
      </w:r>
      <w:r>
        <w:rPr>
          <w:rFonts w:hint="eastAsia" w:ascii="宋体" w:hAnsi="宋体" w:eastAsia="宋体" w:cs="宋体"/>
          <w:sz w:val="24"/>
        </w:rPr>
        <w:t>。铸件模样由卖方设计制造，卖方用完后交给买方。工装所需材料全部由卖方负责。卖方负责设计、货物（设备）制造、运输、调试、人员培训直至交付使用。</w:t>
      </w:r>
    </w:p>
    <w:p>
      <w:pPr>
        <w:numPr>
          <w:ilvl w:val="1"/>
          <w:numId w:val="14"/>
        </w:numPr>
        <w:spacing w:line="500" w:lineRule="exact"/>
        <w:rPr>
          <w:rFonts w:hint="eastAsia" w:ascii="宋体" w:hAnsi="宋体" w:eastAsia="宋体" w:cs="宋体"/>
          <w:sz w:val="24"/>
        </w:rPr>
      </w:pPr>
      <w:bookmarkStart w:id="48" w:name="_Hlk530553706"/>
      <w:r>
        <w:rPr>
          <w:rFonts w:hint="eastAsia" w:ascii="宋体" w:hAnsi="宋体" w:eastAsia="宋体" w:cs="宋体"/>
          <w:sz w:val="24"/>
        </w:rPr>
        <w:t>本次招标货物清单如下：</w:t>
      </w:r>
    </w:p>
    <w:p>
      <w:pPr>
        <w:widowControl/>
        <w:spacing w:line="360" w:lineRule="auto"/>
        <w:jc w:val="center"/>
        <w:rPr>
          <w:rFonts w:hint="eastAsia" w:ascii="宋体" w:hAnsi="宋体" w:eastAsia="宋体" w:cs="宋体"/>
          <w:b/>
          <w:bCs/>
          <w:color w:val="auto"/>
          <w:kern w:val="0"/>
          <w:sz w:val="28"/>
          <w:szCs w:val="28"/>
        </w:rPr>
      </w:pPr>
      <w:r>
        <w:rPr>
          <w:rFonts w:hint="eastAsia" w:ascii="宋体" w:hAnsi="宋体" w:eastAsia="宋体" w:cs="宋体"/>
          <w:color w:val="auto"/>
          <w:kern w:val="0"/>
          <w:sz w:val="24"/>
        </w:rPr>
        <w:t>《</w:t>
      </w:r>
      <w:r>
        <w:rPr>
          <w:rFonts w:hint="eastAsia" w:ascii="宋体" w:hAnsi="宋体" w:eastAsia="宋体" w:cs="宋体"/>
          <w:sz w:val="24"/>
          <w:u w:val="none"/>
        </w:rPr>
        <w:t>MC07</w:t>
      </w:r>
      <w:r>
        <w:rPr>
          <w:rFonts w:hint="eastAsia" w:ascii="宋体" w:hAnsi="宋体" w:eastAsia="宋体" w:cs="宋体"/>
          <w:sz w:val="24"/>
          <w:u w:val="none"/>
          <w:lang w:val="en-US" w:eastAsia="zh-CN"/>
        </w:rPr>
        <w:t>缸盖下沉水套工装模具（2025）</w:t>
      </w:r>
      <w:r>
        <w:rPr>
          <w:rFonts w:hint="eastAsia" w:ascii="宋体" w:hAnsi="宋体" w:eastAsia="宋体" w:cs="宋体"/>
          <w:color w:val="auto"/>
          <w:kern w:val="0"/>
          <w:sz w:val="24"/>
        </w:rPr>
        <w:t>》</w:t>
      </w:r>
    </w:p>
    <w:tbl>
      <w:tblPr>
        <w:tblStyle w:val="39"/>
        <w:tblW w:w="8805" w:type="dxa"/>
        <w:tblInd w:w="96" w:type="dxa"/>
        <w:tblLayout w:type="fixed"/>
        <w:tblCellMar>
          <w:top w:w="0" w:type="dxa"/>
          <w:left w:w="108" w:type="dxa"/>
          <w:bottom w:w="0" w:type="dxa"/>
          <w:right w:w="108" w:type="dxa"/>
        </w:tblCellMar>
      </w:tblPr>
      <w:tblGrid>
        <w:gridCol w:w="870"/>
        <w:gridCol w:w="2430"/>
        <w:gridCol w:w="1365"/>
        <w:gridCol w:w="1050"/>
        <w:gridCol w:w="3090"/>
      </w:tblGrid>
      <w:tr>
        <w:tblPrEx>
          <w:tblCellMar>
            <w:top w:w="0" w:type="dxa"/>
            <w:left w:w="108" w:type="dxa"/>
            <w:bottom w:w="0" w:type="dxa"/>
            <w:right w:w="108" w:type="dxa"/>
          </w:tblCellMar>
        </w:tblPrEx>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序号</w:t>
            </w:r>
          </w:p>
        </w:tc>
        <w:tc>
          <w:tcPr>
            <w:tcW w:w="2430"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工装名称</w:t>
            </w:r>
          </w:p>
        </w:tc>
        <w:tc>
          <w:tcPr>
            <w:tcW w:w="1365"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所用设备</w:t>
            </w:r>
          </w:p>
        </w:tc>
        <w:tc>
          <w:tcPr>
            <w:tcW w:w="1050"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数量</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（副）</w:t>
            </w:r>
          </w:p>
        </w:tc>
        <w:tc>
          <w:tcPr>
            <w:tcW w:w="3090"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备注</w:t>
            </w:r>
          </w:p>
        </w:tc>
      </w:tr>
      <w:tr>
        <w:tblPrEx>
          <w:tblCellMar>
            <w:top w:w="0" w:type="dxa"/>
            <w:left w:w="108" w:type="dxa"/>
            <w:bottom w:w="0" w:type="dxa"/>
            <w:right w:w="108" w:type="dxa"/>
          </w:tblCellMar>
        </w:tblPrEx>
        <w:trPr>
          <w:trHeight w:val="826"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430" w:type="dxa"/>
            <w:tcBorders>
              <w:top w:val="single" w:color="000000" w:sz="4" w:space="0"/>
              <w:left w:val="nil"/>
              <w:bottom w:val="single" w:color="000000" w:sz="4" w:space="0"/>
              <w:right w:val="single" w:color="000000" w:sz="4" w:space="0"/>
            </w:tcBorders>
            <w:vAlign w:val="center"/>
          </w:tcPr>
          <w:p>
            <w:pPr>
              <w:widowControl/>
              <w:jc w:val="left"/>
              <w:rPr>
                <w:rFonts w:hint="eastAsia" w:ascii="宋体" w:hAnsi="宋体" w:eastAsia="宋体" w:cs="宋体"/>
                <w:color w:val="auto"/>
                <w:kern w:val="0"/>
                <w:sz w:val="24"/>
                <w:szCs w:val="24"/>
                <w:lang w:val="en-US" w:eastAsia="zh-CN" w:bidi="ar-SA"/>
              </w:rPr>
            </w:pPr>
            <w:r>
              <w:rPr>
                <w:rFonts w:hint="eastAsia" w:ascii="宋体" w:hAnsi="宋体" w:eastAsia="宋体" w:cs="宋体"/>
              </w:rPr>
              <w:t>MC07</w:t>
            </w:r>
            <w:r>
              <w:rPr>
                <w:rFonts w:hint="eastAsia" w:ascii="宋体" w:hAnsi="宋体" w:eastAsia="宋体" w:cs="宋体"/>
                <w:lang w:val="en-US" w:eastAsia="zh-CN"/>
              </w:rPr>
              <w:t>缸盖下沉下水套、托盘芯冷芯盒</w:t>
            </w:r>
          </w:p>
        </w:tc>
        <w:tc>
          <w:tcPr>
            <w:tcW w:w="1365"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lang w:val="en-US" w:eastAsia="zh-CN"/>
              </w:rPr>
              <w:t>LORAMENDI(60L+60L)</w:t>
            </w:r>
          </w:p>
        </w:tc>
        <w:tc>
          <w:tcPr>
            <w:tcW w:w="1050"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lang w:val="en-US" w:eastAsia="zh-CN"/>
              </w:rPr>
              <w:t>1</w:t>
            </w:r>
          </w:p>
        </w:tc>
        <w:tc>
          <w:tcPr>
            <w:tcW w:w="3090" w:type="dxa"/>
            <w:tcBorders>
              <w:top w:val="single" w:color="000000" w:sz="4" w:space="0"/>
              <w:left w:val="nil"/>
              <w:bottom w:val="single" w:color="000000" w:sz="4" w:space="0"/>
              <w:right w:val="single" w:color="000000" w:sz="4" w:space="0"/>
            </w:tcBorders>
            <w:vAlign w:val="center"/>
          </w:tcPr>
          <w:p>
            <w:pPr>
              <w:rPr>
                <w:rFonts w:hint="eastAsia" w:ascii="宋体" w:hAnsi="宋体" w:eastAsia="宋体" w:cs="宋体"/>
                <w:color w:val="auto"/>
                <w:sz w:val="24"/>
                <w:lang w:eastAsia="zh-CN"/>
              </w:rPr>
            </w:pPr>
            <w:r>
              <w:rPr>
                <w:rFonts w:hint="eastAsia" w:ascii="宋体" w:hAnsi="宋体" w:eastAsia="宋体" w:cs="宋体"/>
                <w:color w:val="auto"/>
                <w:sz w:val="24"/>
              </w:rPr>
              <w:t>模具下顶杆孔全部镶套</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芯盒需含配套芯盒存放架</w:t>
            </w:r>
            <w:r>
              <w:rPr>
                <w:rFonts w:hint="eastAsia" w:ascii="宋体" w:hAnsi="宋体" w:eastAsia="宋体" w:cs="宋体"/>
                <w:color w:val="auto"/>
                <w:sz w:val="24"/>
                <w:lang w:eastAsia="zh-CN"/>
              </w:rPr>
              <w:t>。</w:t>
            </w:r>
          </w:p>
          <w:p>
            <w:pP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另提供全套易损</w:t>
            </w:r>
            <w:r>
              <w:rPr>
                <w:rFonts w:hint="eastAsia" w:ascii="宋体" w:hAnsi="宋体" w:eastAsia="宋体" w:cs="宋体"/>
                <w:color w:val="auto"/>
                <w:sz w:val="24"/>
              </w:rPr>
              <w:t>备件</w:t>
            </w:r>
            <w:r>
              <w:rPr>
                <w:rFonts w:hint="eastAsia" w:ascii="宋体" w:hAnsi="宋体" w:eastAsia="宋体" w:cs="宋体"/>
                <w:color w:val="auto"/>
                <w:sz w:val="24"/>
                <w:lang w:val="en-US" w:eastAsia="zh-CN"/>
              </w:rPr>
              <w:t>一套（见下方易损备件清单）</w:t>
            </w:r>
            <w:r>
              <w:rPr>
                <w:rFonts w:hint="eastAsia" w:ascii="宋体" w:hAnsi="宋体" w:eastAsia="宋体" w:cs="宋体"/>
                <w:color w:val="auto"/>
                <w:sz w:val="24"/>
              </w:rPr>
              <w:t>。</w:t>
            </w:r>
          </w:p>
        </w:tc>
      </w:tr>
      <w:tr>
        <w:tblPrEx>
          <w:tblCellMar>
            <w:top w:w="0" w:type="dxa"/>
            <w:left w:w="108" w:type="dxa"/>
            <w:bottom w:w="0" w:type="dxa"/>
            <w:right w:w="108" w:type="dxa"/>
          </w:tblCellMar>
        </w:tblPrEx>
        <w:trPr>
          <w:trHeight w:val="826"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val="en-US" w:eastAsia="zh-CN"/>
              </w:rPr>
              <w:t>2</w:t>
            </w:r>
          </w:p>
        </w:tc>
        <w:tc>
          <w:tcPr>
            <w:tcW w:w="2430" w:type="dxa"/>
            <w:tcBorders>
              <w:top w:val="single" w:color="000000" w:sz="4" w:space="0"/>
              <w:left w:val="nil"/>
              <w:bottom w:val="single" w:color="000000" w:sz="4" w:space="0"/>
              <w:right w:val="single" w:color="000000" w:sz="4" w:space="0"/>
            </w:tcBorders>
            <w:vAlign w:val="center"/>
          </w:tcPr>
          <w:p>
            <w:pPr>
              <w:widowControl/>
              <w:jc w:val="left"/>
              <w:rPr>
                <w:rFonts w:hint="eastAsia" w:ascii="宋体" w:hAnsi="宋体" w:eastAsia="宋体" w:cs="宋体"/>
                <w:color w:val="auto"/>
                <w:kern w:val="0"/>
                <w:sz w:val="24"/>
                <w:lang w:val="en-US" w:eastAsia="zh-CN"/>
              </w:rPr>
            </w:pPr>
            <w:r>
              <w:rPr>
                <w:rFonts w:hint="eastAsia" w:ascii="宋体" w:hAnsi="宋体" w:eastAsia="宋体" w:cs="宋体"/>
              </w:rPr>
              <w:t>MC07</w:t>
            </w:r>
            <w:r>
              <w:rPr>
                <w:rFonts w:hint="eastAsia" w:ascii="宋体" w:hAnsi="宋体" w:eastAsia="宋体" w:cs="宋体"/>
                <w:lang w:val="en-US" w:eastAsia="zh-CN"/>
              </w:rPr>
              <w:t>缸盖上水套芯冷芯盒</w:t>
            </w:r>
          </w:p>
        </w:tc>
        <w:tc>
          <w:tcPr>
            <w:tcW w:w="1365"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LORAMENDI(60L+60L)</w:t>
            </w:r>
          </w:p>
        </w:tc>
        <w:tc>
          <w:tcPr>
            <w:tcW w:w="1050"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val="en-US" w:eastAsia="zh-CN"/>
              </w:rPr>
              <w:t>1</w:t>
            </w:r>
          </w:p>
        </w:tc>
        <w:tc>
          <w:tcPr>
            <w:tcW w:w="3090" w:type="dxa"/>
            <w:tcBorders>
              <w:top w:val="single" w:color="000000" w:sz="4" w:space="0"/>
              <w:left w:val="nil"/>
              <w:bottom w:val="single" w:color="000000" w:sz="4" w:space="0"/>
              <w:right w:val="single" w:color="000000" w:sz="4" w:space="0"/>
            </w:tcBorders>
            <w:vAlign w:val="center"/>
          </w:tcPr>
          <w:p>
            <w:pPr>
              <w:rPr>
                <w:rFonts w:hint="eastAsia" w:ascii="宋体" w:hAnsi="宋体" w:eastAsia="宋体" w:cs="宋体"/>
                <w:color w:val="auto"/>
                <w:sz w:val="24"/>
                <w:lang w:eastAsia="zh-CN"/>
              </w:rPr>
            </w:pPr>
            <w:r>
              <w:rPr>
                <w:rFonts w:hint="eastAsia" w:ascii="宋体" w:hAnsi="宋体" w:eastAsia="宋体" w:cs="宋体"/>
                <w:color w:val="auto"/>
                <w:sz w:val="24"/>
              </w:rPr>
              <w:t>模具下顶杆孔全部镶套</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芯盒需含配套芯盒存放架</w:t>
            </w:r>
            <w:r>
              <w:rPr>
                <w:rFonts w:hint="eastAsia" w:ascii="宋体" w:hAnsi="宋体" w:eastAsia="宋体" w:cs="宋体"/>
                <w:color w:val="auto"/>
                <w:sz w:val="24"/>
                <w:lang w:eastAsia="zh-CN"/>
              </w:rPr>
              <w:t>。</w:t>
            </w:r>
          </w:p>
          <w:p>
            <w:pP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另提供全套易损</w:t>
            </w:r>
            <w:r>
              <w:rPr>
                <w:rFonts w:hint="eastAsia" w:ascii="宋体" w:hAnsi="宋体" w:eastAsia="宋体" w:cs="宋体"/>
                <w:color w:val="auto"/>
                <w:sz w:val="24"/>
              </w:rPr>
              <w:t>备件</w:t>
            </w:r>
            <w:r>
              <w:rPr>
                <w:rFonts w:hint="eastAsia" w:ascii="宋体" w:hAnsi="宋体" w:eastAsia="宋体" w:cs="宋体"/>
                <w:color w:val="auto"/>
                <w:sz w:val="24"/>
                <w:lang w:val="en-US" w:eastAsia="zh-CN"/>
              </w:rPr>
              <w:t>一套（见下方易损备件清单）</w:t>
            </w:r>
            <w:r>
              <w:rPr>
                <w:rFonts w:hint="eastAsia" w:ascii="宋体" w:hAnsi="宋体" w:eastAsia="宋体" w:cs="宋体"/>
                <w:color w:val="auto"/>
                <w:sz w:val="24"/>
              </w:rPr>
              <w:t>。</w:t>
            </w:r>
          </w:p>
        </w:tc>
      </w:tr>
      <w:tr>
        <w:tblPrEx>
          <w:tblCellMar>
            <w:top w:w="0" w:type="dxa"/>
            <w:left w:w="108" w:type="dxa"/>
            <w:bottom w:w="0" w:type="dxa"/>
            <w:right w:w="108" w:type="dxa"/>
          </w:tblCellMar>
        </w:tblPrEx>
        <w:trPr>
          <w:trHeight w:val="826"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3</w:t>
            </w:r>
          </w:p>
        </w:tc>
        <w:tc>
          <w:tcPr>
            <w:tcW w:w="2430" w:type="dxa"/>
            <w:tcBorders>
              <w:top w:val="single" w:color="000000" w:sz="4" w:space="0"/>
              <w:left w:val="nil"/>
              <w:bottom w:val="single" w:color="000000" w:sz="4" w:space="0"/>
              <w:right w:val="single" w:color="000000" w:sz="4" w:space="0"/>
            </w:tcBorders>
            <w:vAlign w:val="center"/>
          </w:tcPr>
          <w:p>
            <w:pPr>
              <w:widowControl/>
              <w:jc w:val="left"/>
              <w:rPr>
                <w:rFonts w:hint="eastAsia" w:ascii="宋体" w:hAnsi="宋体" w:eastAsia="宋体" w:cs="宋体"/>
              </w:rPr>
            </w:pPr>
            <w:r>
              <w:rPr>
                <w:rFonts w:hint="eastAsia" w:ascii="宋体" w:hAnsi="宋体" w:eastAsia="宋体" w:cs="宋体"/>
              </w:rPr>
              <w:t>MC07</w:t>
            </w:r>
            <w:r>
              <w:rPr>
                <w:rFonts w:hint="eastAsia" w:ascii="宋体" w:hAnsi="宋体" w:eastAsia="宋体" w:cs="宋体"/>
                <w:lang w:val="en-US" w:eastAsia="zh-CN"/>
              </w:rPr>
              <w:t>缸盖下沉水套上型板模</w:t>
            </w:r>
          </w:p>
        </w:tc>
        <w:tc>
          <w:tcPr>
            <w:tcW w:w="1365"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BMD</w:t>
            </w:r>
          </w:p>
        </w:tc>
        <w:tc>
          <w:tcPr>
            <w:tcW w:w="1050" w:type="dxa"/>
            <w:tcBorders>
              <w:top w:val="single" w:color="000000" w:sz="4" w:space="0"/>
              <w:left w:val="nil"/>
              <w:bottom w:val="single" w:color="000000" w:sz="4" w:space="0"/>
              <w:right w:val="single" w:color="000000"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3090" w:type="dxa"/>
            <w:tcBorders>
              <w:top w:val="single" w:color="000000" w:sz="4" w:space="0"/>
              <w:left w:val="nil"/>
              <w:bottom w:val="single" w:color="000000" w:sz="4" w:space="0"/>
              <w:right w:val="single" w:color="000000" w:sz="4" w:space="0"/>
            </w:tcBorders>
            <w:vAlign w:val="center"/>
          </w:tcPr>
          <w:p>
            <w:pP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另提供全套易损</w:t>
            </w:r>
            <w:r>
              <w:rPr>
                <w:rFonts w:hint="eastAsia" w:ascii="宋体" w:hAnsi="宋体" w:eastAsia="宋体" w:cs="宋体"/>
                <w:color w:val="auto"/>
                <w:sz w:val="24"/>
              </w:rPr>
              <w:t>备件</w:t>
            </w:r>
            <w:r>
              <w:rPr>
                <w:rFonts w:hint="eastAsia" w:ascii="宋体" w:hAnsi="宋体" w:eastAsia="宋体" w:cs="宋体"/>
                <w:color w:val="auto"/>
                <w:sz w:val="24"/>
                <w:lang w:val="en-US" w:eastAsia="zh-CN"/>
              </w:rPr>
              <w:t>一套</w:t>
            </w:r>
          </w:p>
          <w:p>
            <w:pP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（见下方易损备件清单）</w:t>
            </w:r>
            <w:r>
              <w:rPr>
                <w:rFonts w:hint="eastAsia" w:ascii="宋体" w:hAnsi="宋体" w:eastAsia="宋体" w:cs="宋体"/>
                <w:color w:val="auto"/>
                <w:sz w:val="24"/>
              </w:rPr>
              <w:t>。</w:t>
            </w:r>
          </w:p>
        </w:tc>
      </w:tr>
    </w:tbl>
    <w:p>
      <w:pPr>
        <w:spacing w:line="500" w:lineRule="exact"/>
        <w:rPr>
          <w:rFonts w:hint="eastAsia" w:ascii="宋体" w:hAnsi="宋体" w:eastAsia="宋体" w:cs="宋体"/>
          <w:szCs w:val="21"/>
        </w:rPr>
      </w:pPr>
    </w:p>
    <w:p>
      <w:pPr>
        <w:spacing w:line="500" w:lineRule="exact"/>
        <w:rPr>
          <w:rFonts w:hint="eastAsia" w:ascii="宋体" w:hAnsi="宋体" w:eastAsia="宋体" w:cs="宋体"/>
          <w:sz w:val="24"/>
        </w:rPr>
      </w:pPr>
      <w:r>
        <w:rPr>
          <w:rFonts w:hint="eastAsia" w:ascii="宋体" w:hAnsi="宋体" w:eastAsia="宋体" w:cs="宋体"/>
          <w:szCs w:val="21"/>
          <w:lang w:val="en-US" w:eastAsia="zh-CN"/>
        </w:rPr>
        <w:t>易损备</w:t>
      </w:r>
      <w:r>
        <w:rPr>
          <w:rFonts w:hint="eastAsia" w:ascii="宋体" w:hAnsi="宋体" w:eastAsia="宋体" w:cs="宋体"/>
          <w:szCs w:val="21"/>
        </w:rPr>
        <w:t>件清单：</w:t>
      </w:r>
    </w:p>
    <w:tbl>
      <w:tblPr>
        <w:tblStyle w:val="40"/>
        <w:tblW w:w="7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928"/>
        <w:gridCol w:w="2019"/>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spacing w:line="276" w:lineRule="auto"/>
              <w:jc w:val="center"/>
              <w:rPr>
                <w:rFonts w:hint="eastAsia" w:ascii="宋体" w:hAnsi="宋体" w:eastAsia="宋体" w:cs="宋体"/>
                <w:b/>
                <w:szCs w:val="21"/>
              </w:rPr>
            </w:pPr>
            <w:r>
              <w:rPr>
                <w:rFonts w:hint="eastAsia" w:ascii="宋体" w:hAnsi="宋体" w:eastAsia="宋体" w:cs="宋体"/>
                <w:b/>
                <w:szCs w:val="21"/>
              </w:rPr>
              <w:t>序号</w:t>
            </w:r>
          </w:p>
        </w:tc>
        <w:tc>
          <w:tcPr>
            <w:tcW w:w="2928" w:type="dxa"/>
            <w:vAlign w:val="center"/>
          </w:tcPr>
          <w:p>
            <w:pPr>
              <w:spacing w:line="276" w:lineRule="auto"/>
              <w:jc w:val="center"/>
              <w:rPr>
                <w:rFonts w:hint="eastAsia" w:ascii="宋体" w:hAnsi="宋体" w:eastAsia="宋体" w:cs="宋体"/>
                <w:b/>
                <w:szCs w:val="21"/>
              </w:rPr>
            </w:pPr>
            <w:r>
              <w:rPr>
                <w:rFonts w:hint="eastAsia" w:ascii="宋体" w:hAnsi="宋体" w:eastAsia="宋体" w:cs="宋体"/>
                <w:b/>
                <w:szCs w:val="21"/>
                <w:lang w:val="en-US" w:eastAsia="zh-CN"/>
              </w:rPr>
              <w:t>易损件</w:t>
            </w:r>
            <w:r>
              <w:rPr>
                <w:rFonts w:hint="eastAsia" w:ascii="宋体" w:hAnsi="宋体" w:eastAsia="宋体" w:cs="宋体"/>
                <w:b/>
                <w:szCs w:val="21"/>
              </w:rPr>
              <w:t>名称</w:t>
            </w:r>
          </w:p>
        </w:tc>
        <w:tc>
          <w:tcPr>
            <w:tcW w:w="2019" w:type="dxa"/>
            <w:vAlign w:val="center"/>
          </w:tcPr>
          <w:p>
            <w:pPr>
              <w:spacing w:line="276" w:lineRule="auto"/>
              <w:ind w:left="-107" w:leftChars="-51" w:right="-107" w:rightChars="-51"/>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数量</w:t>
            </w:r>
          </w:p>
        </w:tc>
        <w:tc>
          <w:tcPr>
            <w:tcW w:w="1487" w:type="dxa"/>
            <w:vAlign w:val="center"/>
          </w:tcPr>
          <w:p>
            <w:pPr>
              <w:spacing w:line="276" w:lineRule="auto"/>
              <w:ind w:left="-107" w:leftChars="-51" w:right="-107" w:rightChars="-51"/>
              <w:jc w:val="center"/>
              <w:rPr>
                <w:rFonts w:hint="eastAsia" w:ascii="宋体" w:hAnsi="宋体" w:eastAsia="宋体" w:cs="宋体"/>
                <w:b/>
                <w:szCs w:val="21"/>
              </w:rPr>
            </w:pPr>
            <w:r>
              <w:rPr>
                <w:rFonts w:hint="eastAsia" w:ascii="宋体" w:hAnsi="宋体" w:eastAsia="宋体" w:cs="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spacing w:line="276" w:lineRule="auto"/>
              <w:ind w:right="-107" w:rightChars="-51"/>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2928" w:type="dxa"/>
            <w:vAlign w:val="center"/>
          </w:tcPr>
          <w:p>
            <w:pPr>
              <w:spacing w:line="276" w:lineRule="auto"/>
              <w:ind w:right="-107" w:rightChars="-51"/>
              <w:jc w:val="center"/>
              <w:rPr>
                <w:rFonts w:hint="eastAsia" w:ascii="宋体" w:hAnsi="宋体" w:eastAsia="宋体" w:cs="宋体"/>
                <w:szCs w:val="21"/>
                <w:lang w:val="en-US" w:eastAsia="zh-CN"/>
              </w:rPr>
            </w:pPr>
            <w:r>
              <w:rPr>
                <w:rFonts w:hint="eastAsia" w:ascii="宋体" w:hAnsi="宋体" w:eastAsia="宋体" w:cs="宋体"/>
                <w:szCs w:val="21"/>
                <w:lang w:val="en-US" w:eastAsia="zh-CN"/>
              </w:rPr>
              <w:t>芯盒合模销子</w:t>
            </w:r>
          </w:p>
        </w:tc>
        <w:tc>
          <w:tcPr>
            <w:tcW w:w="2019" w:type="dxa"/>
            <w:vAlign w:val="center"/>
          </w:tcPr>
          <w:p>
            <w:pPr>
              <w:spacing w:line="276" w:lineRule="auto"/>
              <w:ind w:right="-107" w:rightChars="-51"/>
              <w:jc w:val="center"/>
              <w:rPr>
                <w:rFonts w:hint="eastAsia" w:ascii="宋体" w:hAnsi="宋体" w:eastAsia="宋体" w:cs="宋体"/>
                <w:szCs w:val="21"/>
                <w:lang w:val="en-US" w:eastAsia="zh-CN"/>
              </w:rPr>
            </w:pPr>
            <w:r>
              <w:rPr>
                <w:rFonts w:hint="eastAsia" w:ascii="宋体" w:hAnsi="宋体" w:eastAsia="宋体" w:cs="宋体"/>
                <w:szCs w:val="21"/>
                <w:lang w:val="en-US" w:eastAsia="zh-CN"/>
              </w:rPr>
              <w:t>模具同等用量备1套</w:t>
            </w:r>
          </w:p>
        </w:tc>
        <w:tc>
          <w:tcPr>
            <w:tcW w:w="1487" w:type="dxa"/>
            <w:vMerge w:val="restart"/>
            <w:vAlign w:val="center"/>
          </w:tcPr>
          <w:p>
            <w:pPr>
              <w:spacing w:line="276" w:lineRule="auto"/>
              <w:ind w:right="-107" w:rightChars="-51"/>
              <w:jc w:val="center"/>
              <w:rPr>
                <w:rFonts w:hint="eastAsia" w:ascii="宋体" w:hAnsi="宋体" w:eastAsia="宋体" w:cs="宋体"/>
                <w:szCs w:val="21"/>
                <w:lang w:val="en-US" w:eastAsia="zh-CN"/>
              </w:rPr>
            </w:pPr>
            <w:r>
              <w:rPr>
                <w:rFonts w:hint="eastAsia" w:ascii="宋体" w:hAnsi="宋体" w:eastAsia="宋体" w:cs="宋体"/>
                <w:szCs w:val="21"/>
                <w:lang w:val="en-US" w:eastAsia="zh-CN"/>
              </w:rPr>
              <w:t>冷芯盒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spacing w:line="276" w:lineRule="auto"/>
              <w:ind w:right="-107" w:rightChars="-51"/>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2928" w:type="dxa"/>
            <w:vAlign w:val="center"/>
          </w:tcPr>
          <w:p>
            <w:pPr>
              <w:spacing w:line="276" w:lineRule="auto"/>
              <w:ind w:right="-107" w:rightChars="-51"/>
              <w:jc w:val="center"/>
              <w:rPr>
                <w:rFonts w:hint="eastAsia" w:ascii="宋体" w:hAnsi="宋体" w:eastAsia="宋体" w:cs="宋体"/>
                <w:szCs w:val="21"/>
                <w:lang w:val="en-US" w:eastAsia="zh-CN"/>
              </w:rPr>
            </w:pPr>
            <w:r>
              <w:rPr>
                <w:rFonts w:hint="eastAsia" w:ascii="宋体" w:hAnsi="宋体" w:eastAsia="宋体" w:cs="宋体"/>
                <w:szCs w:val="21"/>
                <w:lang w:val="en-US" w:eastAsia="zh-CN"/>
              </w:rPr>
              <w:t>芯盒合模销套</w:t>
            </w:r>
          </w:p>
        </w:tc>
        <w:tc>
          <w:tcPr>
            <w:tcW w:w="2019" w:type="dxa"/>
            <w:vAlign w:val="center"/>
          </w:tcPr>
          <w:p>
            <w:pPr>
              <w:spacing w:line="276" w:lineRule="auto"/>
              <w:ind w:right="-107" w:rightChars="-51"/>
              <w:jc w:val="center"/>
              <w:rPr>
                <w:rFonts w:hint="eastAsia" w:ascii="宋体" w:hAnsi="宋体" w:eastAsia="宋体" w:cs="宋体"/>
                <w:szCs w:val="21"/>
              </w:rPr>
            </w:pPr>
            <w:r>
              <w:rPr>
                <w:rFonts w:hint="eastAsia" w:ascii="宋体" w:hAnsi="宋体" w:eastAsia="宋体" w:cs="宋体"/>
                <w:szCs w:val="21"/>
                <w:lang w:val="en-US" w:eastAsia="zh-CN"/>
              </w:rPr>
              <w:t>模具同等用量备1套</w:t>
            </w:r>
          </w:p>
        </w:tc>
        <w:tc>
          <w:tcPr>
            <w:tcW w:w="1487" w:type="dxa"/>
            <w:vMerge w:val="continue"/>
            <w:vAlign w:val="center"/>
          </w:tcPr>
          <w:p>
            <w:pPr>
              <w:spacing w:line="276" w:lineRule="auto"/>
              <w:ind w:right="-107" w:rightChars="-51"/>
              <w:jc w:val="center"/>
              <w:rPr>
                <w:rFonts w:hint="eastAsia" w:ascii="宋体" w:hAnsi="宋体" w:eastAsia="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spacing w:line="276" w:lineRule="auto"/>
              <w:ind w:right="-107" w:rightChars="-51"/>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2928" w:type="dxa"/>
            <w:vAlign w:val="center"/>
          </w:tcPr>
          <w:p>
            <w:pPr>
              <w:spacing w:line="276" w:lineRule="auto"/>
              <w:ind w:right="-107" w:rightChars="-51"/>
              <w:jc w:val="center"/>
              <w:rPr>
                <w:rFonts w:hint="eastAsia" w:ascii="宋体" w:hAnsi="宋体" w:eastAsia="宋体" w:cs="宋体"/>
                <w:szCs w:val="21"/>
                <w:lang w:val="en-US" w:eastAsia="zh-CN"/>
              </w:rPr>
            </w:pPr>
            <w:r>
              <w:rPr>
                <w:rFonts w:hint="eastAsia" w:ascii="宋体" w:hAnsi="宋体" w:eastAsia="宋体" w:cs="宋体"/>
                <w:szCs w:val="21"/>
                <w:lang w:val="en-US" w:eastAsia="zh-CN"/>
              </w:rPr>
              <w:t>射砂嘴（含密封圈）</w:t>
            </w:r>
          </w:p>
        </w:tc>
        <w:tc>
          <w:tcPr>
            <w:tcW w:w="2019" w:type="dxa"/>
            <w:vAlign w:val="center"/>
          </w:tcPr>
          <w:p>
            <w:pPr>
              <w:spacing w:line="276" w:lineRule="auto"/>
              <w:ind w:right="-107" w:rightChars="-51"/>
              <w:jc w:val="center"/>
              <w:rPr>
                <w:rFonts w:hint="eastAsia" w:ascii="宋体" w:hAnsi="宋体" w:eastAsia="宋体" w:cs="宋体"/>
                <w:szCs w:val="21"/>
              </w:rPr>
            </w:pPr>
            <w:r>
              <w:rPr>
                <w:rFonts w:hint="eastAsia" w:ascii="宋体" w:hAnsi="宋体" w:eastAsia="宋体" w:cs="宋体"/>
                <w:szCs w:val="21"/>
                <w:lang w:val="en-US" w:eastAsia="zh-CN"/>
              </w:rPr>
              <w:t>模具同等用量备1套</w:t>
            </w:r>
          </w:p>
        </w:tc>
        <w:tc>
          <w:tcPr>
            <w:tcW w:w="1487" w:type="dxa"/>
            <w:vMerge w:val="continue"/>
            <w:vAlign w:val="center"/>
          </w:tcPr>
          <w:p>
            <w:pPr>
              <w:spacing w:line="276" w:lineRule="auto"/>
              <w:ind w:right="-107" w:rightChars="-51"/>
              <w:jc w:val="center"/>
              <w:rPr>
                <w:rFonts w:hint="eastAsia" w:ascii="宋体" w:hAnsi="宋体" w:eastAsia="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spacing w:line="276" w:lineRule="auto"/>
              <w:ind w:right="-107" w:rightChars="-51"/>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2928" w:type="dxa"/>
            <w:vAlign w:val="center"/>
          </w:tcPr>
          <w:p>
            <w:pPr>
              <w:spacing w:line="276" w:lineRule="auto"/>
              <w:ind w:right="-107" w:rightChars="-51"/>
              <w:jc w:val="center"/>
              <w:rPr>
                <w:rFonts w:hint="eastAsia" w:ascii="宋体" w:hAnsi="宋体" w:eastAsia="宋体" w:cs="宋体"/>
                <w:szCs w:val="21"/>
                <w:lang w:val="en-US" w:eastAsia="zh-CN"/>
              </w:rPr>
            </w:pPr>
            <w:r>
              <w:rPr>
                <w:rFonts w:hint="eastAsia" w:ascii="宋体" w:hAnsi="宋体" w:eastAsia="宋体" w:cs="宋体"/>
                <w:szCs w:val="21"/>
                <w:lang w:val="en-US" w:eastAsia="zh-CN"/>
              </w:rPr>
              <w:t>下顶芯杆</w:t>
            </w:r>
          </w:p>
        </w:tc>
        <w:tc>
          <w:tcPr>
            <w:tcW w:w="2019" w:type="dxa"/>
            <w:vAlign w:val="center"/>
          </w:tcPr>
          <w:p>
            <w:pPr>
              <w:spacing w:line="276" w:lineRule="auto"/>
              <w:ind w:left="-107" w:leftChars="-51" w:right="-107" w:rightChars="-51"/>
              <w:jc w:val="center"/>
              <w:rPr>
                <w:rFonts w:hint="eastAsia" w:ascii="宋体" w:hAnsi="宋体" w:eastAsia="宋体" w:cs="宋体"/>
                <w:szCs w:val="21"/>
              </w:rPr>
            </w:pPr>
            <w:r>
              <w:rPr>
                <w:rFonts w:hint="eastAsia" w:ascii="宋体" w:hAnsi="宋体" w:eastAsia="宋体" w:cs="宋体"/>
                <w:szCs w:val="21"/>
                <w:lang w:val="en-US" w:eastAsia="zh-CN"/>
              </w:rPr>
              <w:t>模具同等用量备1套</w:t>
            </w:r>
          </w:p>
        </w:tc>
        <w:tc>
          <w:tcPr>
            <w:tcW w:w="1487" w:type="dxa"/>
            <w:vMerge w:val="continue"/>
            <w:vAlign w:val="center"/>
          </w:tcPr>
          <w:p>
            <w:pPr>
              <w:spacing w:line="276" w:lineRule="auto"/>
              <w:ind w:right="-107" w:rightChars="-51"/>
              <w:jc w:val="center"/>
              <w:rPr>
                <w:rFonts w:hint="eastAsia" w:ascii="宋体" w:hAnsi="宋体" w:eastAsia="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spacing w:line="276" w:lineRule="auto"/>
              <w:ind w:right="-107" w:rightChars="-51"/>
              <w:jc w:val="center"/>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2928" w:type="dxa"/>
            <w:vAlign w:val="center"/>
          </w:tcPr>
          <w:p>
            <w:pPr>
              <w:spacing w:line="276" w:lineRule="auto"/>
              <w:ind w:right="-107" w:rightChars="-51"/>
              <w:jc w:val="center"/>
              <w:rPr>
                <w:rFonts w:hint="eastAsia" w:ascii="宋体" w:hAnsi="宋体" w:eastAsia="宋体" w:cs="宋体"/>
                <w:szCs w:val="21"/>
                <w:lang w:val="en-US" w:eastAsia="zh-CN"/>
              </w:rPr>
            </w:pPr>
            <w:r>
              <w:rPr>
                <w:rFonts w:hint="eastAsia" w:ascii="宋体" w:hAnsi="宋体" w:eastAsia="宋体" w:cs="宋体"/>
                <w:szCs w:val="21"/>
                <w:lang w:val="en-US" w:eastAsia="zh-CN"/>
              </w:rPr>
              <w:t>下顶芯杆孔镶套</w:t>
            </w:r>
          </w:p>
        </w:tc>
        <w:tc>
          <w:tcPr>
            <w:tcW w:w="2019" w:type="dxa"/>
            <w:vAlign w:val="center"/>
          </w:tcPr>
          <w:p>
            <w:pPr>
              <w:spacing w:line="276" w:lineRule="auto"/>
              <w:ind w:left="-107" w:leftChars="-51" w:right="-107" w:rightChars="-51"/>
              <w:jc w:val="center"/>
              <w:rPr>
                <w:rFonts w:hint="eastAsia" w:ascii="宋体" w:hAnsi="宋体" w:eastAsia="宋体" w:cs="宋体"/>
                <w:szCs w:val="21"/>
              </w:rPr>
            </w:pPr>
            <w:r>
              <w:rPr>
                <w:rFonts w:hint="eastAsia" w:ascii="宋体" w:hAnsi="宋体" w:eastAsia="宋体" w:cs="宋体"/>
                <w:szCs w:val="21"/>
                <w:lang w:val="en-US" w:eastAsia="zh-CN"/>
              </w:rPr>
              <w:t>模具同等用量备1套</w:t>
            </w:r>
          </w:p>
        </w:tc>
        <w:tc>
          <w:tcPr>
            <w:tcW w:w="1487" w:type="dxa"/>
            <w:vMerge w:val="continue"/>
            <w:vAlign w:val="center"/>
          </w:tcPr>
          <w:p>
            <w:pPr>
              <w:spacing w:line="276" w:lineRule="auto"/>
              <w:ind w:right="-107" w:rightChars="-51"/>
              <w:jc w:val="center"/>
              <w:rPr>
                <w:rFonts w:hint="eastAsia" w:ascii="宋体" w:hAnsi="宋体" w:eastAsia="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spacing w:line="276" w:lineRule="auto"/>
              <w:ind w:right="-107" w:rightChars="-51"/>
              <w:jc w:val="center"/>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2928" w:type="dxa"/>
            <w:vAlign w:val="center"/>
          </w:tcPr>
          <w:p>
            <w:pPr>
              <w:spacing w:line="276" w:lineRule="auto"/>
              <w:ind w:right="-107" w:rightChars="-51"/>
              <w:jc w:val="center"/>
              <w:rPr>
                <w:rFonts w:hint="eastAsia" w:ascii="宋体" w:hAnsi="宋体" w:eastAsia="宋体" w:cs="宋体"/>
                <w:szCs w:val="21"/>
                <w:lang w:val="en-US" w:eastAsia="zh-CN"/>
              </w:rPr>
            </w:pPr>
            <w:r>
              <w:rPr>
                <w:rFonts w:hint="eastAsia" w:ascii="宋体" w:hAnsi="宋体" w:eastAsia="宋体" w:cs="宋体"/>
                <w:szCs w:val="21"/>
                <w:lang w:val="en-US" w:eastAsia="zh-CN"/>
              </w:rPr>
              <w:t>直径大于20通气塞</w:t>
            </w:r>
          </w:p>
        </w:tc>
        <w:tc>
          <w:tcPr>
            <w:tcW w:w="2019" w:type="dxa"/>
            <w:vAlign w:val="center"/>
          </w:tcPr>
          <w:p>
            <w:pPr>
              <w:spacing w:line="276" w:lineRule="auto"/>
              <w:ind w:left="-107" w:leftChars="-51" w:right="-107" w:rightChars="-51"/>
              <w:jc w:val="center"/>
              <w:rPr>
                <w:rFonts w:hint="eastAsia" w:ascii="宋体" w:hAnsi="宋体" w:eastAsia="宋体" w:cs="宋体"/>
                <w:szCs w:val="21"/>
              </w:rPr>
            </w:pPr>
            <w:r>
              <w:rPr>
                <w:rFonts w:hint="eastAsia" w:ascii="宋体" w:hAnsi="宋体" w:eastAsia="宋体" w:cs="宋体"/>
                <w:szCs w:val="21"/>
                <w:lang w:val="en-US" w:eastAsia="zh-CN"/>
              </w:rPr>
              <w:t>模具同等用量备1套</w:t>
            </w:r>
          </w:p>
        </w:tc>
        <w:tc>
          <w:tcPr>
            <w:tcW w:w="1487" w:type="dxa"/>
            <w:vMerge w:val="continue"/>
            <w:vAlign w:val="center"/>
          </w:tcPr>
          <w:p>
            <w:pPr>
              <w:spacing w:line="276" w:lineRule="auto"/>
              <w:ind w:right="-107" w:rightChars="-51"/>
              <w:jc w:val="center"/>
              <w:rPr>
                <w:rFonts w:hint="eastAsia" w:ascii="宋体" w:hAnsi="宋体" w:eastAsia="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spacing w:line="276" w:lineRule="auto"/>
              <w:ind w:right="-107" w:rightChars="-51"/>
              <w:jc w:val="center"/>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2928" w:type="dxa"/>
            <w:vAlign w:val="center"/>
          </w:tcPr>
          <w:p>
            <w:pPr>
              <w:spacing w:line="276" w:lineRule="auto"/>
              <w:ind w:right="-107" w:rightChars="-51"/>
              <w:jc w:val="center"/>
              <w:rPr>
                <w:rFonts w:hint="eastAsia" w:ascii="宋体" w:hAnsi="宋体" w:eastAsia="宋体" w:cs="宋体"/>
                <w:szCs w:val="21"/>
                <w:lang w:val="en-US" w:eastAsia="zh-CN"/>
              </w:rPr>
            </w:pPr>
            <w:r>
              <w:rPr>
                <w:rFonts w:hint="eastAsia" w:ascii="宋体" w:hAnsi="宋体" w:eastAsia="宋体" w:cs="宋体"/>
                <w:szCs w:val="21"/>
                <w:lang w:val="en-US" w:eastAsia="zh-CN"/>
              </w:rPr>
              <w:t>气针</w:t>
            </w:r>
          </w:p>
        </w:tc>
        <w:tc>
          <w:tcPr>
            <w:tcW w:w="2019" w:type="dxa"/>
            <w:vAlign w:val="center"/>
          </w:tcPr>
          <w:p>
            <w:pPr>
              <w:spacing w:line="276" w:lineRule="auto"/>
              <w:ind w:left="-107" w:leftChars="-51" w:right="-107" w:rightChars="-51"/>
              <w:jc w:val="center"/>
              <w:rPr>
                <w:rFonts w:hint="eastAsia" w:ascii="宋体" w:hAnsi="宋体" w:eastAsia="宋体" w:cs="宋体"/>
                <w:szCs w:val="21"/>
                <w:lang w:val="en-US" w:eastAsia="zh-CN"/>
              </w:rPr>
            </w:pPr>
            <w:r>
              <w:rPr>
                <w:rFonts w:hint="eastAsia" w:ascii="宋体" w:hAnsi="宋体" w:eastAsia="宋体" w:cs="宋体"/>
                <w:szCs w:val="21"/>
                <w:lang w:val="en-US" w:eastAsia="zh-CN"/>
              </w:rPr>
              <w:t>模具同等用量备1套</w:t>
            </w:r>
          </w:p>
        </w:tc>
        <w:tc>
          <w:tcPr>
            <w:tcW w:w="1487" w:type="dxa"/>
            <w:vAlign w:val="center"/>
          </w:tcPr>
          <w:p>
            <w:pPr>
              <w:spacing w:line="276" w:lineRule="auto"/>
              <w:ind w:right="-107" w:rightChars="-51"/>
              <w:jc w:val="center"/>
              <w:rPr>
                <w:rFonts w:hint="eastAsia" w:ascii="宋体" w:hAnsi="宋体" w:eastAsia="宋体" w:cs="宋体"/>
                <w:szCs w:val="21"/>
                <w:lang w:val="en-US" w:eastAsia="zh-CN"/>
              </w:rPr>
            </w:pPr>
            <w:r>
              <w:rPr>
                <w:rFonts w:hint="eastAsia" w:ascii="宋体" w:hAnsi="宋体" w:eastAsia="宋体" w:cs="宋体"/>
                <w:szCs w:val="21"/>
                <w:lang w:val="en-US" w:eastAsia="zh-CN"/>
              </w:rPr>
              <w:t>上型板模</w:t>
            </w:r>
          </w:p>
        </w:tc>
      </w:tr>
    </w:tbl>
    <w:p>
      <w:pPr>
        <w:tabs>
          <w:tab w:val="left" w:pos="735"/>
        </w:tabs>
        <w:spacing w:line="500" w:lineRule="exact"/>
        <w:rPr>
          <w:rFonts w:hint="eastAsia" w:ascii="宋体" w:hAnsi="宋体" w:eastAsia="宋体" w:cs="宋体"/>
          <w:sz w:val="24"/>
        </w:rPr>
      </w:pPr>
    </w:p>
    <w:bookmarkEnd w:id="48"/>
    <w:p>
      <w:pPr>
        <w:numPr>
          <w:ilvl w:val="1"/>
          <w:numId w:val="14"/>
        </w:numPr>
        <w:spacing w:line="500" w:lineRule="exact"/>
        <w:rPr>
          <w:rFonts w:hint="eastAsia" w:ascii="宋体" w:hAnsi="宋体" w:eastAsia="宋体" w:cs="宋体"/>
          <w:b/>
          <w:bCs/>
          <w:sz w:val="24"/>
        </w:rPr>
      </w:pPr>
      <w:r>
        <w:rPr>
          <w:rFonts w:hint="eastAsia" w:ascii="宋体" w:hAnsi="宋体" w:eastAsia="宋体" w:cs="宋体"/>
          <w:b/>
          <w:bCs/>
          <w:sz w:val="24"/>
        </w:rPr>
        <w:t>备品备件、易损件和专用耗材供货范围</w:t>
      </w:r>
    </w:p>
    <w:p>
      <w:pPr>
        <w:numPr>
          <w:ilvl w:val="2"/>
          <w:numId w:val="14"/>
        </w:numPr>
        <w:spacing w:line="500" w:lineRule="exact"/>
        <w:rPr>
          <w:rFonts w:hint="eastAsia" w:ascii="宋体" w:hAnsi="宋体" w:eastAsia="宋体" w:cs="宋体"/>
          <w:sz w:val="24"/>
        </w:rPr>
      </w:pPr>
      <w:r>
        <w:rPr>
          <w:rFonts w:hint="eastAsia" w:ascii="宋体" w:hAnsi="宋体" w:eastAsia="宋体" w:cs="宋体"/>
          <w:sz w:val="24"/>
        </w:rPr>
        <w:t>招标人招标文件所指备品备件、易损件和专用耗材，是招标人为保证货物（或生产线）质保期之后正常运行一年所自备自用的备品备件、易损件和专用耗材</w:t>
      </w:r>
      <w:r>
        <w:rPr>
          <w:rFonts w:hint="eastAsia" w:ascii="宋体" w:hAnsi="宋体" w:eastAsia="宋体" w:cs="宋体"/>
          <w:sz w:val="24"/>
          <w:lang w:eastAsia="zh-CN"/>
        </w:rPr>
        <w:t>（</w:t>
      </w:r>
      <w:r>
        <w:rPr>
          <w:rFonts w:hint="eastAsia" w:ascii="宋体" w:hAnsi="宋体" w:eastAsia="宋体" w:cs="宋体"/>
          <w:sz w:val="24"/>
          <w:lang w:val="en-US" w:eastAsia="zh-CN"/>
        </w:rPr>
        <w:t>另行说明除外</w:t>
      </w:r>
      <w:r>
        <w:rPr>
          <w:rFonts w:hint="eastAsia" w:ascii="宋体" w:hAnsi="宋体" w:eastAsia="宋体" w:cs="宋体"/>
          <w:sz w:val="24"/>
          <w:lang w:eastAsia="zh-CN"/>
        </w:rPr>
        <w:t>）</w:t>
      </w:r>
      <w:r>
        <w:rPr>
          <w:rFonts w:hint="eastAsia" w:ascii="宋体" w:hAnsi="宋体" w:eastAsia="宋体" w:cs="宋体"/>
          <w:sz w:val="24"/>
        </w:rPr>
        <w:t>。</w:t>
      </w:r>
    </w:p>
    <w:p>
      <w:pPr>
        <w:numPr>
          <w:ilvl w:val="2"/>
          <w:numId w:val="14"/>
        </w:numPr>
        <w:spacing w:line="500" w:lineRule="exact"/>
        <w:rPr>
          <w:rFonts w:hint="eastAsia" w:ascii="宋体" w:hAnsi="宋体" w:eastAsia="宋体" w:cs="宋体"/>
          <w:sz w:val="24"/>
        </w:rPr>
      </w:pPr>
      <w:r>
        <w:rPr>
          <w:rFonts w:hint="eastAsia" w:ascii="宋体" w:hAnsi="宋体" w:eastAsia="宋体" w:cs="宋体"/>
          <w:sz w:val="24"/>
        </w:rPr>
        <w:t>投标人按照招标文件要求提供、或投标人认为招标人应当储备的备品备件、易损件和专用耗材。</w:t>
      </w:r>
    </w:p>
    <w:p>
      <w:pPr>
        <w:numPr>
          <w:ilvl w:val="2"/>
          <w:numId w:val="14"/>
        </w:numPr>
        <w:spacing w:line="500" w:lineRule="exact"/>
        <w:rPr>
          <w:rFonts w:hint="eastAsia" w:ascii="宋体" w:hAnsi="宋体" w:eastAsia="宋体" w:cs="宋体"/>
          <w:sz w:val="24"/>
        </w:rPr>
      </w:pPr>
      <w:r>
        <w:rPr>
          <w:rFonts w:hint="eastAsia" w:ascii="宋体" w:hAnsi="宋体" w:eastAsia="宋体" w:cs="宋体"/>
          <w:sz w:val="24"/>
        </w:rPr>
        <w:t>投标人应提供易损件和专用耗材的制造图纸及其技术要求等资料。</w:t>
      </w:r>
    </w:p>
    <w:p>
      <w:pPr>
        <w:numPr>
          <w:ilvl w:val="2"/>
          <w:numId w:val="14"/>
        </w:numPr>
        <w:spacing w:line="500" w:lineRule="exact"/>
        <w:rPr>
          <w:rFonts w:hint="eastAsia" w:ascii="宋体" w:hAnsi="宋体" w:eastAsia="宋体" w:cs="宋体"/>
          <w:sz w:val="24"/>
        </w:rPr>
      </w:pPr>
      <w:r>
        <w:rPr>
          <w:rFonts w:hint="eastAsia" w:ascii="宋体" w:hAnsi="宋体" w:eastAsia="宋体" w:cs="宋体"/>
          <w:sz w:val="24"/>
        </w:rPr>
        <w:t>投标文件中，应当有备品备件、易损件和专用耗材的详细清单（内容包括名称、型号、规格、单位、数量、生产厂家、单价、总价等）。</w:t>
      </w:r>
    </w:p>
    <w:p>
      <w:pPr>
        <w:numPr>
          <w:ilvl w:val="2"/>
          <w:numId w:val="14"/>
        </w:numPr>
        <w:spacing w:line="500" w:lineRule="exact"/>
        <w:rPr>
          <w:rFonts w:hint="eastAsia" w:ascii="宋体" w:hAnsi="宋体" w:eastAsia="宋体" w:cs="宋体"/>
          <w:sz w:val="24"/>
        </w:rPr>
      </w:pPr>
      <w:r>
        <w:rPr>
          <w:rFonts w:hint="eastAsia" w:ascii="宋体" w:hAnsi="宋体" w:eastAsia="宋体" w:cs="宋体"/>
          <w:sz w:val="24"/>
        </w:rPr>
        <w:t>备品备件、易损件和专用耗材的费用应分类单列，并计入投标总报价之内。</w:t>
      </w:r>
    </w:p>
    <w:p>
      <w:pPr>
        <w:numPr>
          <w:ilvl w:val="1"/>
          <w:numId w:val="14"/>
        </w:numPr>
        <w:spacing w:line="500" w:lineRule="exact"/>
        <w:rPr>
          <w:rFonts w:hint="eastAsia" w:ascii="宋体" w:hAnsi="宋体" w:eastAsia="宋体" w:cs="宋体"/>
          <w:b/>
          <w:bCs/>
          <w:sz w:val="24"/>
        </w:rPr>
      </w:pPr>
      <w:r>
        <w:rPr>
          <w:rFonts w:hint="eastAsia" w:ascii="宋体" w:hAnsi="宋体" w:eastAsia="宋体" w:cs="宋体"/>
          <w:b/>
          <w:bCs/>
          <w:sz w:val="24"/>
        </w:rPr>
        <w:t>技术资料供货范围</w:t>
      </w:r>
    </w:p>
    <w:p>
      <w:pPr>
        <w:numPr>
          <w:ilvl w:val="2"/>
          <w:numId w:val="14"/>
        </w:numPr>
        <w:spacing w:line="500" w:lineRule="exact"/>
        <w:rPr>
          <w:rFonts w:hint="eastAsia" w:ascii="宋体" w:hAnsi="宋体" w:eastAsia="宋体" w:cs="宋体"/>
          <w:sz w:val="24"/>
        </w:rPr>
      </w:pPr>
      <w:r>
        <w:rPr>
          <w:rFonts w:hint="eastAsia" w:ascii="宋体" w:hAnsi="宋体" w:eastAsia="宋体" w:cs="宋体"/>
          <w:sz w:val="24"/>
        </w:rPr>
        <w:t>卖方设计完成后，所有设计资料设计完毕后需全部移交买方。</w:t>
      </w:r>
    </w:p>
    <w:p>
      <w:pPr>
        <w:numPr>
          <w:ilvl w:val="2"/>
          <w:numId w:val="14"/>
        </w:numPr>
        <w:spacing w:line="500" w:lineRule="exact"/>
        <w:rPr>
          <w:rFonts w:hint="eastAsia" w:ascii="宋体" w:hAnsi="宋体" w:eastAsia="宋体" w:cs="宋体"/>
          <w:sz w:val="24"/>
        </w:rPr>
      </w:pPr>
      <w:r>
        <w:rPr>
          <w:rFonts w:hint="eastAsia" w:ascii="宋体" w:hAnsi="宋体" w:eastAsia="宋体" w:cs="宋体"/>
          <w:sz w:val="24"/>
        </w:rPr>
        <w:t>本条款所列要求，如招标人认为投标人提供的资料不能满足要求时，有权要求投标人免费补充或增加。</w:t>
      </w:r>
    </w:p>
    <w:p>
      <w:pPr>
        <w:spacing w:line="500" w:lineRule="exact"/>
        <w:rPr>
          <w:rFonts w:hint="eastAsia" w:ascii="宋体" w:hAnsi="宋体" w:eastAsia="宋体" w:cs="宋体"/>
          <w:b/>
          <w:bCs/>
          <w:sz w:val="24"/>
        </w:rPr>
      </w:pPr>
      <w:r>
        <w:rPr>
          <w:rFonts w:hint="eastAsia" w:ascii="宋体" w:hAnsi="宋体" w:eastAsia="宋体" w:cs="宋体"/>
          <w:b/>
          <w:bCs/>
          <w:sz w:val="24"/>
        </w:rPr>
        <w:t>2．供货方式</w:t>
      </w:r>
    </w:p>
    <w:p>
      <w:pPr>
        <w:spacing w:line="500" w:lineRule="exact"/>
        <w:rPr>
          <w:rFonts w:hint="eastAsia" w:ascii="宋体" w:hAnsi="宋体" w:eastAsia="宋体" w:cs="宋体"/>
          <w:b/>
          <w:bCs/>
          <w:sz w:val="24"/>
        </w:rPr>
      </w:pPr>
      <w:r>
        <w:rPr>
          <w:rFonts w:hint="eastAsia" w:ascii="宋体" w:hAnsi="宋体" w:eastAsia="宋体" w:cs="宋体"/>
          <w:b/>
          <w:bCs/>
          <w:sz w:val="24"/>
        </w:rPr>
        <w:t>2.1供货地点</w:t>
      </w:r>
    </w:p>
    <w:p>
      <w:pPr>
        <w:spacing w:line="360" w:lineRule="auto"/>
        <w:ind w:firstLine="720" w:firstLineChars="300"/>
        <w:rPr>
          <w:rFonts w:hint="eastAsia" w:ascii="宋体" w:hAnsi="宋体" w:eastAsia="宋体" w:cs="宋体"/>
          <w:color w:val="000000"/>
          <w:sz w:val="24"/>
        </w:rPr>
      </w:pPr>
      <w:r>
        <w:rPr>
          <w:rFonts w:hint="eastAsia" w:ascii="宋体" w:hAnsi="宋体" w:eastAsia="宋体" w:cs="宋体"/>
          <w:color w:val="000000"/>
          <w:sz w:val="24"/>
          <w:lang w:val="en-US" w:eastAsia="zh-CN"/>
        </w:rPr>
        <w:t>货物</w:t>
      </w:r>
      <w:r>
        <w:rPr>
          <w:rFonts w:hint="eastAsia" w:ascii="宋体" w:hAnsi="宋体" w:eastAsia="宋体" w:cs="宋体"/>
          <w:color w:val="000000"/>
          <w:sz w:val="24"/>
        </w:rPr>
        <w:t>送到买方工厂。</w:t>
      </w:r>
    </w:p>
    <w:p>
      <w:pPr>
        <w:spacing w:line="500" w:lineRule="exact"/>
        <w:jc w:val="left"/>
        <w:rPr>
          <w:rFonts w:hint="eastAsia" w:ascii="宋体" w:hAnsi="宋体" w:eastAsia="宋体" w:cs="宋体"/>
          <w:b/>
          <w:bCs/>
          <w:color w:val="000000"/>
          <w:sz w:val="24"/>
        </w:rPr>
      </w:pPr>
      <w:r>
        <w:rPr>
          <w:rFonts w:hint="eastAsia" w:ascii="宋体" w:hAnsi="宋体" w:eastAsia="宋体" w:cs="宋体"/>
          <w:b/>
          <w:bCs/>
          <w:color w:val="000000"/>
          <w:sz w:val="24"/>
        </w:rPr>
        <w:t>2.2供货时间</w:t>
      </w:r>
    </w:p>
    <w:p>
      <w:pPr>
        <w:spacing w:line="500" w:lineRule="exact"/>
        <w:ind w:firstLine="720" w:firstLineChars="300"/>
        <w:jc w:val="left"/>
        <w:rPr>
          <w:rFonts w:hint="eastAsia" w:ascii="宋体" w:hAnsi="宋体" w:eastAsia="宋体" w:cs="宋体"/>
          <w:b/>
          <w:bCs/>
          <w:color w:val="000000"/>
          <w:sz w:val="24"/>
        </w:rPr>
      </w:pPr>
      <w:r>
        <w:rPr>
          <w:rFonts w:hint="eastAsia" w:ascii="宋体" w:hAnsi="宋体" w:eastAsia="宋体" w:cs="宋体"/>
          <w:color w:val="000000"/>
          <w:sz w:val="24"/>
        </w:rPr>
        <w:t>请按招标货物清单所要求日期供货。</w:t>
      </w:r>
    </w:p>
    <w:p>
      <w:pPr>
        <w:spacing w:line="500" w:lineRule="exact"/>
        <w:rPr>
          <w:rFonts w:hint="eastAsia" w:ascii="宋体" w:hAnsi="宋体" w:eastAsia="宋体" w:cs="宋体"/>
          <w:b/>
          <w:bCs/>
          <w:sz w:val="24"/>
        </w:rPr>
      </w:pPr>
      <w:r>
        <w:rPr>
          <w:rFonts w:hint="eastAsia" w:ascii="宋体" w:hAnsi="宋体" w:eastAsia="宋体" w:cs="宋体"/>
          <w:b/>
          <w:bCs/>
          <w:sz w:val="24"/>
        </w:rPr>
        <w:t>2</w:t>
      </w:r>
      <w:r>
        <w:rPr>
          <w:rFonts w:hint="eastAsia" w:ascii="宋体" w:hAnsi="宋体" w:eastAsia="宋体" w:cs="宋体"/>
          <w:b/>
          <w:bCs/>
          <w:color w:val="000000"/>
          <w:sz w:val="24"/>
        </w:rPr>
        <w:t>.</w:t>
      </w:r>
      <w:r>
        <w:rPr>
          <w:rFonts w:hint="eastAsia" w:ascii="宋体" w:hAnsi="宋体" w:eastAsia="宋体" w:cs="宋体"/>
          <w:b/>
          <w:bCs/>
          <w:sz w:val="24"/>
        </w:rPr>
        <w:t>3包装</w:t>
      </w:r>
    </w:p>
    <w:p>
      <w:pPr>
        <w:spacing w:line="360" w:lineRule="auto"/>
        <w:ind w:left="600" w:hanging="600" w:hangingChars="250"/>
        <w:rPr>
          <w:rFonts w:hint="eastAsia" w:ascii="宋体" w:hAnsi="宋体" w:eastAsia="宋体" w:cs="宋体"/>
          <w:sz w:val="24"/>
        </w:rPr>
      </w:pPr>
      <w:r>
        <w:rPr>
          <w:rFonts w:hint="eastAsia" w:ascii="宋体" w:hAnsi="宋体" w:eastAsia="宋体" w:cs="宋体"/>
          <w:sz w:val="24"/>
        </w:rPr>
        <w:t>2.3.1包装箱应用新的坚固的经过熏蒸的木箱或者铁皮箱，适于长途运输、防潮、防锈、防震、防粗暴装卸，适于海、陆、空运输和整体吊装。产品的包装需确保产品到达之后各项功能完好；</w:t>
      </w:r>
    </w:p>
    <w:p>
      <w:pPr>
        <w:spacing w:line="360" w:lineRule="auto"/>
        <w:rPr>
          <w:rFonts w:hint="eastAsia" w:ascii="宋体" w:hAnsi="宋体" w:eastAsia="宋体" w:cs="宋体"/>
          <w:color w:val="000000"/>
          <w:sz w:val="24"/>
        </w:rPr>
      </w:pPr>
      <w:r>
        <w:rPr>
          <w:rFonts w:hint="eastAsia" w:ascii="宋体" w:hAnsi="宋体" w:eastAsia="宋体" w:cs="宋体"/>
          <w:sz w:val="24"/>
        </w:rPr>
        <w:t>2.3.2</w:t>
      </w:r>
      <w:r>
        <w:rPr>
          <w:rFonts w:hint="eastAsia" w:ascii="宋体" w:hAnsi="宋体" w:eastAsia="宋体" w:cs="宋体"/>
          <w:color w:val="000000"/>
          <w:sz w:val="24"/>
        </w:rPr>
        <w:t>包装材料须符合中华人民共和国有关动植物检疫的规定；</w:t>
      </w:r>
    </w:p>
    <w:p>
      <w:pPr>
        <w:spacing w:line="360" w:lineRule="auto"/>
        <w:ind w:left="600" w:hanging="600" w:hangingChars="250"/>
        <w:rPr>
          <w:rFonts w:hint="eastAsia" w:ascii="宋体" w:hAnsi="宋体" w:eastAsia="宋体" w:cs="宋体"/>
          <w:sz w:val="24"/>
        </w:rPr>
      </w:pPr>
      <w:r>
        <w:rPr>
          <w:rFonts w:hint="eastAsia" w:ascii="宋体" w:hAnsi="宋体" w:eastAsia="宋体" w:cs="宋体"/>
          <w:sz w:val="24"/>
        </w:rPr>
        <w:t>2.3.3每个包装件应有装箱单，并至少标明名称、型号规格、数量、净重和毛重、供货商名称和制造日期等相关内容；</w:t>
      </w:r>
    </w:p>
    <w:p>
      <w:pPr>
        <w:spacing w:line="360" w:lineRule="auto"/>
        <w:ind w:left="600" w:hanging="600" w:hangingChars="250"/>
        <w:rPr>
          <w:rFonts w:hint="eastAsia" w:ascii="宋体" w:hAnsi="宋体" w:eastAsia="宋体" w:cs="宋体"/>
          <w:sz w:val="24"/>
        </w:rPr>
      </w:pPr>
      <w:r>
        <w:rPr>
          <w:rFonts w:hint="eastAsia" w:ascii="宋体" w:hAnsi="宋体" w:eastAsia="宋体" w:cs="宋体"/>
          <w:sz w:val="24"/>
        </w:rPr>
        <w:t>2.3.4每个包装箱应有明显标志，并有中英文书写的合同号、装运标志、发货和到货地点名称、发货人和收货人名称、货物名称、箱号和外型尺寸等内容。</w:t>
      </w:r>
    </w:p>
    <w:p>
      <w:pPr>
        <w:spacing w:line="360" w:lineRule="auto"/>
        <w:ind w:left="600" w:hanging="600" w:hangingChars="250"/>
        <w:rPr>
          <w:rFonts w:hint="eastAsia" w:ascii="宋体" w:hAnsi="宋体" w:eastAsia="宋体" w:cs="宋体"/>
          <w:sz w:val="24"/>
        </w:rPr>
      </w:pPr>
      <w:r>
        <w:rPr>
          <w:rFonts w:hint="eastAsia" w:ascii="宋体" w:hAnsi="宋体" w:eastAsia="宋体" w:cs="宋体"/>
          <w:sz w:val="24"/>
        </w:rPr>
        <w:t>2.3.5货物（设备）发出后，投标人应立即通知招标人；通知中应指明：合同号、货运单号、件数、重量和货物（设备）发出日期等相关内容。</w:t>
      </w:r>
    </w:p>
    <w:p>
      <w:pPr>
        <w:adjustRightInd w:val="0"/>
        <w:snapToGrid w:val="0"/>
        <w:spacing w:line="500" w:lineRule="exact"/>
        <w:ind w:left="600" w:hanging="600" w:hangingChars="250"/>
        <w:rPr>
          <w:rFonts w:hint="eastAsia" w:ascii="宋体" w:hAnsi="宋体" w:eastAsia="宋体" w:cs="宋体"/>
          <w:sz w:val="24"/>
        </w:rPr>
      </w:pPr>
      <w:r>
        <w:rPr>
          <w:rFonts w:hint="eastAsia" w:ascii="宋体" w:hAnsi="宋体" w:eastAsia="宋体" w:cs="宋体"/>
          <w:sz w:val="24"/>
        </w:rPr>
        <w:t>2.3.6投标人所提供货物（或设备）的包装，应能防止其一般性被窃或受外力破坏；一般不得采用有大缝隙的板条包装。</w:t>
      </w:r>
    </w:p>
    <w:p>
      <w:pPr>
        <w:tabs>
          <w:tab w:val="left" w:pos="1620"/>
        </w:tabs>
        <w:adjustRightInd w:val="0"/>
        <w:snapToGrid w:val="0"/>
        <w:spacing w:line="500" w:lineRule="exact"/>
        <w:rPr>
          <w:rFonts w:hint="eastAsia" w:ascii="宋体" w:hAnsi="宋体" w:eastAsia="宋体" w:cs="宋体"/>
          <w:sz w:val="24"/>
        </w:rPr>
      </w:pPr>
      <w:r>
        <w:rPr>
          <w:rFonts w:hint="eastAsia" w:ascii="宋体" w:hAnsi="宋体" w:eastAsia="宋体" w:cs="宋体"/>
          <w:sz w:val="24"/>
        </w:rPr>
        <w:t>2.3.7投标人应对包装件做必要的加固和固定，以防止运输可能造成的损坏。</w:t>
      </w:r>
    </w:p>
    <w:p>
      <w:pPr>
        <w:adjustRightInd w:val="0"/>
        <w:snapToGrid w:val="0"/>
        <w:spacing w:line="500" w:lineRule="exact"/>
        <w:rPr>
          <w:rFonts w:hint="eastAsia" w:ascii="宋体" w:hAnsi="宋体" w:eastAsia="宋体" w:cs="宋体"/>
          <w:b/>
          <w:bCs/>
          <w:sz w:val="24"/>
        </w:rPr>
      </w:pPr>
      <w:r>
        <w:rPr>
          <w:rFonts w:hint="eastAsia" w:ascii="宋体" w:hAnsi="宋体" w:eastAsia="宋体" w:cs="宋体"/>
          <w:b/>
          <w:bCs/>
          <w:sz w:val="24"/>
        </w:rPr>
        <w:t>2.4运输</w:t>
      </w:r>
    </w:p>
    <w:p>
      <w:pPr>
        <w:numPr>
          <w:ilvl w:val="2"/>
          <w:numId w:val="15"/>
        </w:numPr>
        <w:adjustRightInd w:val="0"/>
        <w:snapToGrid w:val="0"/>
        <w:spacing w:line="500" w:lineRule="exact"/>
        <w:rPr>
          <w:rFonts w:hint="eastAsia" w:ascii="宋体" w:hAnsi="宋体" w:eastAsia="宋体" w:cs="宋体"/>
          <w:sz w:val="24"/>
        </w:rPr>
      </w:pPr>
      <w:r>
        <w:rPr>
          <w:rFonts w:hint="eastAsia" w:ascii="宋体" w:hAnsi="宋体" w:eastAsia="宋体" w:cs="宋体"/>
          <w:sz w:val="24"/>
        </w:rPr>
        <w:t>将货物（或设备）运到目的地，并必须做到货物（或设备）在任何运输过程中不受损坏和遗失。</w:t>
      </w:r>
    </w:p>
    <w:p>
      <w:pPr>
        <w:numPr>
          <w:ilvl w:val="2"/>
          <w:numId w:val="15"/>
        </w:numPr>
        <w:adjustRightInd w:val="0"/>
        <w:snapToGrid w:val="0"/>
        <w:spacing w:line="500" w:lineRule="exact"/>
        <w:rPr>
          <w:rFonts w:hint="eastAsia" w:ascii="宋体" w:hAnsi="宋体" w:eastAsia="宋体" w:cs="宋体"/>
          <w:sz w:val="24"/>
        </w:rPr>
      </w:pPr>
      <w:r>
        <w:rPr>
          <w:rFonts w:hint="eastAsia" w:ascii="宋体" w:hAnsi="宋体" w:eastAsia="宋体" w:cs="宋体"/>
          <w:sz w:val="24"/>
        </w:rPr>
        <w:t>同批货物（或设备）应统一包装、编号运输。</w:t>
      </w:r>
    </w:p>
    <w:p>
      <w:pPr>
        <w:numPr>
          <w:ilvl w:val="2"/>
          <w:numId w:val="15"/>
        </w:numPr>
        <w:adjustRightInd w:val="0"/>
        <w:snapToGrid w:val="0"/>
        <w:spacing w:line="500" w:lineRule="exact"/>
        <w:rPr>
          <w:rFonts w:hint="eastAsia" w:ascii="宋体" w:hAnsi="宋体" w:eastAsia="宋体" w:cs="宋体"/>
          <w:sz w:val="24"/>
        </w:rPr>
      </w:pPr>
      <w:r>
        <w:rPr>
          <w:rFonts w:hint="eastAsia" w:ascii="宋体" w:hAnsi="宋体" w:eastAsia="宋体" w:cs="宋体"/>
          <w:sz w:val="24"/>
        </w:rPr>
        <w:t>一般情况下，经由铁路、公路运输的包装件尺寸和重量不应超过国家所规定的尺寸限制。特殊情况应予以说明。</w:t>
      </w:r>
    </w:p>
    <w:p>
      <w:pPr>
        <w:numPr>
          <w:ilvl w:val="2"/>
          <w:numId w:val="15"/>
        </w:numPr>
        <w:adjustRightInd w:val="0"/>
        <w:snapToGrid w:val="0"/>
        <w:spacing w:line="500" w:lineRule="exact"/>
        <w:rPr>
          <w:rFonts w:hint="eastAsia" w:ascii="宋体" w:hAnsi="宋体" w:eastAsia="宋体" w:cs="宋体"/>
          <w:sz w:val="24"/>
        </w:rPr>
      </w:pPr>
      <w:r>
        <w:rPr>
          <w:rFonts w:hint="eastAsia" w:ascii="宋体" w:hAnsi="宋体" w:eastAsia="宋体" w:cs="宋体"/>
          <w:sz w:val="24"/>
        </w:rPr>
        <w:t>在每批货物（或设备）发出后，投标人应立即通知招标人；通知中应指明：合同号、货运单号、件数、重量和货物（或设备）发出日期等相关内容。</w:t>
      </w:r>
    </w:p>
    <w:p>
      <w:pPr>
        <w:widowControl/>
        <w:numPr>
          <w:ilvl w:val="-1"/>
          <w:numId w:val="0"/>
        </w:numPr>
        <w:adjustRightInd w:val="0"/>
        <w:snapToGrid w:val="0"/>
        <w:spacing w:line="500" w:lineRule="exact"/>
        <w:ind w:left="0" w:firstLine="0"/>
        <w:jc w:val="left"/>
        <w:rPr>
          <w:rFonts w:hint="eastAsia" w:ascii="Calibri" w:hAnsi="Calibri" w:eastAsia="宋体" w:cs="Times New Roman"/>
          <w:b/>
          <w:bCs/>
          <w:kern w:val="44"/>
          <w:sz w:val="36"/>
          <w:szCs w:val="44"/>
        </w:rPr>
      </w:pPr>
    </w:p>
    <w:p>
      <w:pPr>
        <w:rPr>
          <w:rFonts w:hint="eastAsia" w:ascii="Calibri" w:hAnsi="Calibri" w:eastAsia="宋体" w:cs="Times New Roman"/>
          <w:b/>
          <w:bCs/>
          <w:kern w:val="44"/>
          <w:sz w:val="36"/>
          <w:szCs w:val="44"/>
          <w:lang w:val="en-US" w:eastAsia="zh-CN"/>
        </w:rPr>
      </w:pPr>
      <w:r>
        <w:rPr>
          <w:rFonts w:hint="eastAsia" w:ascii="Calibri" w:hAnsi="Calibri" w:eastAsia="宋体" w:cs="Times New Roman"/>
          <w:b/>
          <w:bCs/>
          <w:kern w:val="44"/>
          <w:sz w:val="36"/>
          <w:szCs w:val="44"/>
          <w:lang w:val="en-US" w:eastAsia="zh-CN"/>
        </w:rPr>
        <w:br w:type="page"/>
      </w:r>
    </w:p>
    <w:p>
      <w:pPr>
        <w:pStyle w:val="18"/>
        <w:numPr>
          <w:ilvl w:val="0"/>
          <w:numId w:val="2"/>
        </w:numPr>
        <w:jc w:val="center"/>
        <w:outlineLvl w:val="0"/>
        <w:rPr>
          <w:rFonts w:hint="eastAsia" w:ascii="Calibri" w:hAnsi="Calibri" w:eastAsia="宋体" w:cs="Times New Roman"/>
          <w:b/>
          <w:bCs/>
          <w:kern w:val="44"/>
          <w:sz w:val="36"/>
          <w:szCs w:val="44"/>
          <w:lang w:val="en-US" w:eastAsia="zh-CN"/>
        </w:rPr>
      </w:pPr>
      <w:bookmarkStart w:id="49" w:name="_Toc21636"/>
      <w:r>
        <w:rPr>
          <w:rFonts w:hint="eastAsia" w:ascii="Calibri" w:hAnsi="Calibri" w:eastAsia="宋体" w:cs="Times New Roman"/>
          <w:b/>
          <w:bCs/>
          <w:kern w:val="44"/>
          <w:sz w:val="36"/>
          <w:szCs w:val="44"/>
          <w:lang w:val="en-US" w:eastAsia="zh-CN"/>
        </w:rPr>
        <w:t>合同主要条款</w:t>
      </w:r>
      <w:bookmarkEnd w:id="49"/>
    </w:p>
    <w:p>
      <w:pPr>
        <w:pStyle w:val="18"/>
        <w:numPr>
          <w:ilvl w:val="-1"/>
          <w:numId w:val="0"/>
        </w:numPr>
        <w:jc w:val="both"/>
        <w:rPr>
          <w:rFonts w:hint="eastAsia" w:ascii="Calibri" w:hAnsi="Calibri" w:eastAsia="宋体" w:cs="Times New Roman"/>
          <w:b/>
          <w:bCs/>
          <w:kern w:val="44"/>
          <w:sz w:val="36"/>
          <w:szCs w:val="44"/>
          <w:lang w:val="en-US" w:eastAsia="zh-CN"/>
        </w:rPr>
      </w:pPr>
    </w:p>
    <w:p>
      <w:pPr>
        <w:adjustRightInd w:val="0"/>
        <w:snapToGrid w:val="0"/>
        <w:spacing w:line="360" w:lineRule="auto"/>
        <w:jc w:val="left"/>
        <w:rPr>
          <w:b/>
        </w:rPr>
      </w:pPr>
      <w:r>
        <w:rPr>
          <w:rFonts w:hint="eastAsia"/>
          <w:b/>
        </w:rPr>
        <w:t xml:space="preserve">1 </w:t>
      </w:r>
      <w:r>
        <w:rPr>
          <w:b/>
        </w:rPr>
        <w:t>一般条款</w:t>
      </w:r>
    </w:p>
    <w:p>
      <w:pPr>
        <w:spacing w:line="360" w:lineRule="auto"/>
      </w:pPr>
      <w:r>
        <w:t>1.1本次招标为交钥匙工程，</w:t>
      </w:r>
      <w:r>
        <w:rPr>
          <w:rFonts w:hint="eastAsia"/>
        </w:rPr>
        <w:t>卖方</w:t>
      </w:r>
      <w:r>
        <w:t>应提供完整的的货物规格、型号、数量、单价及对技术要求中每一条款做出有效响应。</w:t>
      </w:r>
    </w:p>
    <w:p>
      <w:pPr>
        <w:spacing w:line="360" w:lineRule="auto"/>
      </w:pPr>
      <w:r>
        <w:t>1.</w:t>
      </w:r>
      <w:r>
        <w:rPr>
          <w:rFonts w:hint="eastAsia"/>
        </w:rPr>
        <w:t xml:space="preserve">2 </w:t>
      </w:r>
      <w:r>
        <w:t>本标的物应包括的伴随服务：</w:t>
      </w:r>
    </w:p>
    <w:p>
      <w:pPr>
        <w:numPr>
          <w:ilvl w:val="0"/>
          <w:numId w:val="16"/>
        </w:numPr>
        <w:spacing w:line="360" w:lineRule="auto"/>
      </w:pPr>
      <w:r>
        <w:t>所供</w:t>
      </w:r>
      <w:r>
        <w:rPr>
          <w:rFonts w:hint="eastAsia"/>
        </w:rPr>
        <w:t>货物</w:t>
      </w:r>
      <w:r>
        <w:t>的现场安装、调试</w:t>
      </w:r>
      <w:r>
        <w:rPr>
          <w:rFonts w:hint="eastAsia"/>
        </w:rPr>
        <w:t>、</w:t>
      </w:r>
      <w:r>
        <w:t>指导</w:t>
      </w:r>
      <w:r>
        <w:rPr>
          <w:rFonts w:hint="eastAsia"/>
        </w:rPr>
        <w:t>及培训</w:t>
      </w:r>
      <w:r>
        <w:t>；</w:t>
      </w:r>
    </w:p>
    <w:p>
      <w:pPr>
        <w:numPr>
          <w:ilvl w:val="0"/>
          <w:numId w:val="16"/>
        </w:numPr>
        <w:spacing w:line="360" w:lineRule="auto"/>
      </w:pPr>
      <w:r>
        <w:t>提供现场安装、调试和维修所需的工具、指令、软件；</w:t>
      </w:r>
    </w:p>
    <w:p>
      <w:pPr>
        <w:numPr>
          <w:ilvl w:val="0"/>
          <w:numId w:val="16"/>
        </w:numPr>
        <w:spacing w:line="360" w:lineRule="auto"/>
      </w:pPr>
      <w:r>
        <w:t>提供详细的操作和维护手册；</w:t>
      </w:r>
    </w:p>
    <w:p>
      <w:pPr>
        <w:spacing w:line="360" w:lineRule="auto"/>
      </w:pPr>
      <w:r>
        <w:t>1.</w:t>
      </w:r>
      <w:r>
        <w:rPr>
          <w:rFonts w:hint="eastAsia"/>
        </w:rPr>
        <w:t xml:space="preserve">3 </w:t>
      </w:r>
      <w:r>
        <w:t>要求的备件：</w:t>
      </w:r>
      <w:r>
        <w:rPr>
          <w:rFonts w:hint="eastAsia"/>
        </w:rPr>
        <w:t>货物</w:t>
      </w:r>
      <w:r>
        <w:t>终验收合格后正常运行</w:t>
      </w:r>
      <w:r>
        <w:rPr>
          <w:rFonts w:hint="eastAsia"/>
          <w:lang w:val="en-US" w:eastAsia="zh-CN"/>
        </w:rPr>
        <w:t>1</w:t>
      </w:r>
      <w:r>
        <w:t>年内所需的备件。要求列出备件清单并单独报价。</w:t>
      </w:r>
    </w:p>
    <w:p>
      <w:pPr>
        <w:spacing w:line="360" w:lineRule="auto"/>
      </w:pPr>
      <w:r>
        <w:t>1.</w:t>
      </w:r>
      <w:r>
        <w:rPr>
          <w:rFonts w:hint="eastAsia"/>
        </w:rPr>
        <w:t xml:space="preserve">4 </w:t>
      </w:r>
      <w:r>
        <w:t>质保期：</w:t>
      </w:r>
    </w:p>
    <w:p>
      <w:pPr>
        <w:spacing w:line="360" w:lineRule="auto"/>
        <w:rPr>
          <w:color w:val="auto"/>
        </w:rPr>
      </w:pPr>
      <w:r>
        <w:rPr>
          <w:color w:val="auto"/>
        </w:rPr>
        <w:t>1.</w:t>
      </w:r>
      <w:r>
        <w:rPr>
          <w:rFonts w:hint="eastAsia"/>
          <w:color w:val="auto"/>
        </w:rPr>
        <w:t>4</w:t>
      </w:r>
      <w:r>
        <w:rPr>
          <w:color w:val="auto"/>
        </w:rPr>
        <w:t>.1质保期时间从终验收合格之日起应为</w:t>
      </w:r>
      <w:r>
        <w:rPr>
          <w:rFonts w:hint="eastAsia"/>
          <w:color w:val="C00000"/>
          <w:lang w:val="en-US" w:eastAsia="zh-CN"/>
        </w:rPr>
        <w:t>1</w:t>
      </w:r>
      <w:r>
        <w:rPr>
          <w:rFonts w:hint="eastAsia"/>
          <w:color w:val="auto"/>
        </w:rPr>
        <w:t>年</w:t>
      </w:r>
      <w:r>
        <w:rPr>
          <w:color w:val="auto"/>
        </w:rPr>
        <w:t>，质保期内免费提供零件和及时有效的技术服务。</w:t>
      </w:r>
    </w:p>
    <w:p>
      <w:pPr>
        <w:spacing w:line="360" w:lineRule="auto"/>
      </w:pPr>
      <w:r>
        <w:t>1.</w:t>
      </w:r>
      <w:r>
        <w:rPr>
          <w:rFonts w:hint="eastAsia"/>
        </w:rPr>
        <w:t>4</w:t>
      </w:r>
      <w:r>
        <w:t>.2</w:t>
      </w:r>
      <w:r>
        <w:rPr>
          <w:rFonts w:hint="eastAsia"/>
        </w:rPr>
        <w:t xml:space="preserve"> </w:t>
      </w:r>
      <w:r>
        <w:t>质保期内因货物本身缺陷造成各种故障应由卖方免费技术服务和维修。</w:t>
      </w:r>
    </w:p>
    <w:p>
      <w:pPr>
        <w:spacing w:line="360" w:lineRule="auto"/>
      </w:pPr>
      <w:r>
        <w:t>1.</w:t>
      </w:r>
      <w:r>
        <w:rPr>
          <w:rFonts w:hint="eastAsia"/>
        </w:rPr>
        <w:t>4</w:t>
      </w:r>
      <w:r>
        <w:t>.3</w:t>
      </w:r>
      <w:r>
        <w:rPr>
          <w:rFonts w:hint="eastAsia"/>
        </w:rPr>
        <w:t xml:space="preserve"> </w:t>
      </w:r>
      <w:r>
        <w:t>质保期后</w:t>
      </w:r>
      <w:r>
        <w:rPr>
          <w:rFonts w:hint="eastAsia"/>
          <w:lang w:val="en-US" w:eastAsia="zh-CN"/>
        </w:rPr>
        <w:t>1</w:t>
      </w:r>
      <w:r>
        <w:t>年内重复出现质保期内出现过的故障，仍属质保范围。</w:t>
      </w:r>
    </w:p>
    <w:p>
      <w:pPr>
        <w:spacing w:line="360" w:lineRule="auto"/>
      </w:pPr>
      <w:r>
        <w:t>1.</w:t>
      </w:r>
      <w:r>
        <w:rPr>
          <w:rFonts w:hint="eastAsia"/>
        </w:rPr>
        <w:t>4</w:t>
      </w:r>
      <w:r>
        <w:t>.4质保期之内，如果货物出现总成、关键零部件或者多处一般零部件的更换或维修行为，则质保期自更换或维修行为结束、货物重新正常运行使用之日起重新计算。</w:t>
      </w:r>
    </w:p>
    <w:p>
      <w:pPr>
        <w:spacing w:line="360" w:lineRule="auto"/>
      </w:pPr>
      <w:r>
        <w:t>1.</w:t>
      </w:r>
      <w:r>
        <w:rPr>
          <w:rFonts w:hint="eastAsia"/>
        </w:rPr>
        <w:t xml:space="preserve">5 </w:t>
      </w:r>
      <w:r>
        <w:t>技术服务及培训</w:t>
      </w:r>
    </w:p>
    <w:p>
      <w:pPr>
        <w:spacing w:line="360" w:lineRule="auto"/>
      </w:pPr>
      <w:r>
        <w:t>1.</w:t>
      </w:r>
      <w:r>
        <w:rPr>
          <w:rFonts w:hint="eastAsia"/>
        </w:rPr>
        <w:t>5</w:t>
      </w:r>
      <w:r>
        <w:t>.1</w:t>
      </w:r>
      <w:r>
        <w:rPr>
          <w:rFonts w:hint="eastAsia"/>
        </w:rPr>
        <w:t xml:space="preserve"> </w:t>
      </w:r>
      <w:r>
        <w:t>卖方应提供整个合同执行期间的免费的技术服务和培训。</w:t>
      </w:r>
    </w:p>
    <w:p>
      <w:pPr>
        <w:spacing w:line="360" w:lineRule="auto"/>
      </w:pPr>
      <w:r>
        <w:t>1.</w:t>
      </w:r>
      <w:r>
        <w:rPr>
          <w:rFonts w:hint="eastAsia"/>
        </w:rPr>
        <w:t>5</w:t>
      </w:r>
      <w:r>
        <w:t>.2在货物整个使用期内，卖方应提供确保货物的正常使用所需的售后服务（含配件）。如货物发生故障，卖方应在收到用户通知后4小时内给予有效响应，</w:t>
      </w:r>
      <w:r>
        <w:rPr>
          <w:rFonts w:hint="eastAsia"/>
        </w:rPr>
        <w:t>2</w:t>
      </w:r>
      <w:r>
        <w:t>4小时内服务人员到达买方现场。</w:t>
      </w:r>
    </w:p>
    <w:p>
      <w:pPr>
        <w:spacing w:line="360" w:lineRule="auto"/>
      </w:pPr>
      <w:r>
        <w:t>1.</w:t>
      </w:r>
      <w:r>
        <w:rPr>
          <w:rFonts w:hint="eastAsia"/>
        </w:rPr>
        <w:t>5</w:t>
      </w:r>
      <w:r>
        <w:t>.3</w:t>
      </w:r>
      <w:r>
        <w:rPr>
          <w:rFonts w:hint="eastAsia"/>
        </w:rPr>
        <w:t xml:space="preserve"> </w:t>
      </w:r>
      <w:r>
        <w:t>当货物质保期满之后，卖方依然能提供全面的技术支持及备件供应。</w:t>
      </w:r>
    </w:p>
    <w:p>
      <w:pPr>
        <w:spacing w:line="360" w:lineRule="auto"/>
      </w:pPr>
      <w:r>
        <w:t>1.</w:t>
      </w:r>
      <w:r>
        <w:rPr>
          <w:rFonts w:hint="eastAsia"/>
        </w:rPr>
        <w:t xml:space="preserve">6 </w:t>
      </w:r>
      <w:r>
        <w:t>验收</w:t>
      </w:r>
    </w:p>
    <w:p>
      <w:pPr>
        <w:spacing w:line="360" w:lineRule="auto"/>
      </w:pPr>
      <w:r>
        <w:t>1.</w:t>
      </w:r>
      <w:r>
        <w:rPr>
          <w:rFonts w:hint="eastAsia"/>
        </w:rPr>
        <w:t>6</w:t>
      </w:r>
      <w:r>
        <w:t>.1货物试验、验收依据有关国际标准和规范及双方签订的技术协议和合同的规定进行，买方代表有权参与有关验收试验，卖方应向买方的验收代表提交试验数据和报告。</w:t>
      </w:r>
    </w:p>
    <w:p>
      <w:pPr>
        <w:spacing w:line="360" w:lineRule="auto"/>
      </w:pPr>
      <w:r>
        <w:t>1.</w:t>
      </w:r>
      <w:r>
        <w:rPr>
          <w:rFonts w:hint="eastAsia"/>
        </w:rPr>
        <w:t>6</w:t>
      </w:r>
      <w:r>
        <w:t>.2货物到买方现场后拆箱验收，应符合合同及装箱清单的要求。</w:t>
      </w:r>
    </w:p>
    <w:p>
      <w:pPr>
        <w:spacing w:line="360" w:lineRule="auto"/>
      </w:pPr>
      <w:r>
        <w:t>1.</w:t>
      </w:r>
      <w:r>
        <w:rPr>
          <w:rFonts w:hint="eastAsia"/>
        </w:rPr>
        <w:t>6</w:t>
      </w:r>
      <w:r>
        <w:t>.3卖方提供的所有合同货物部件出厂时，应有卖方授权人员签字的产品质量合格证书和出厂试验记录等质量证明文件。</w:t>
      </w:r>
    </w:p>
    <w:p>
      <w:pPr>
        <w:spacing w:line="360" w:lineRule="auto"/>
      </w:pPr>
      <w:r>
        <w:t>1.</w:t>
      </w:r>
      <w:r>
        <w:rPr>
          <w:rFonts w:hint="eastAsia"/>
        </w:rPr>
        <w:t>6</w:t>
      </w:r>
      <w:r>
        <w:t>.4卖方须提供货物试验、验收的有关国际和/或企业标准、规范和方法及本机所用软件合法证书。</w:t>
      </w:r>
    </w:p>
    <w:p>
      <w:pPr>
        <w:spacing w:line="360" w:lineRule="auto"/>
        <w:rPr>
          <w:rFonts w:hint="eastAsia"/>
          <w:color w:val="auto"/>
          <w:lang w:val="en-US" w:eastAsia="zh-CN"/>
        </w:rPr>
      </w:pPr>
      <w:r>
        <w:rPr>
          <w:rFonts w:hint="eastAsia"/>
          <w:color w:val="auto"/>
          <w:lang w:val="en-US" w:eastAsia="zh-CN"/>
        </w:rPr>
        <w:t>1.6.5 卖方提供的货物在买方现场安装调试前，买方通知卖方到场参与现场调试，调试时卖方如未到场，视为默认调试中发现的所有卖方货物相关问题为卖方责任，并承担全部维修费用（含来</w:t>
      </w:r>
      <w:bookmarkStart w:id="66" w:name="_GoBack"/>
      <w:bookmarkEnd w:id="66"/>
      <w:r>
        <w:rPr>
          <w:rFonts w:hint="eastAsia"/>
          <w:color w:val="auto"/>
          <w:lang w:val="en-US" w:eastAsia="zh-CN"/>
        </w:rPr>
        <w:t>回运输费用）。</w:t>
      </w:r>
    </w:p>
    <w:p>
      <w:pPr>
        <w:spacing w:line="360" w:lineRule="auto"/>
        <w:rPr>
          <w:rFonts w:hint="eastAsia"/>
          <w:color w:val="auto"/>
          <w:lang w:val="en-US" w:eastAsia="zh-CN"/>
        </w:rPr>
      </w:pPr>
      <w:r>
        <w:rPr>
          <w:rFonts w:hint="eastAsia"/>
          <w:color w:val="auto"/>
          <w:lang w:val="en-US" w:eastAsia="zh-CN"/>
        </w:rPr>
        <w:t>1.6.6 对于芯盒及型板模等工装模具，买方现场验收不低于连续生产10模次，现场验收及后续试制过程发现的所有非买方责任问题由卖方负责返厂维修，维修及来回运输费用由买方承担。调试试制过程发现因买方问题造成的返厂维修，买方承担来回运输费用，卖方负责免费维修。</w:t>
      </w:r>
    </w:p>
    <w:p>
      <w:pPr>
        <w:spacing w:line="360" w:lineRule="auto"/>
        <w:rPr>
          <w:rFonts w:hint="default"/>
          <w:color w:val="auto"/>
          <w:lang w:val="en-US" w:eastAsia="zh-CN"/>
        </w:rPr>
      </w:pPr>
      <w:r>
        <w:rPr>
          <w:rFonts w:hint="eastAsia"/>
          <w:color w:val="auto"/>
          <w:lang w:val="en-US" w:eastAsia="zh-CN"/>
        </w:rPr>
        <w:t>1.6.7 芯盒及型板模等工装模具免费调试次数不超过两轮，因卖方的原因造成的调试第三次开始需卖方承担相应的人工工时及材料损失费用。</w:t>
      </w:r>
    </w:p>
    <w:p>
      <w:pPr>
        <w:spacing w:line="360" w:lineRule="auto"/>
        <w:rPr>
          <w:b/>
        </w:rPr>
      </w:pPr>
      <w:r>
        <w:rPr>
          <w:rFonts w:hint="eastAsia"/>
          <w:b/>
        </w:rPr>
        <w:t>2、</w:t>
      </w:r>
      <w:r>
        <w:rPr>
          <w:b/>
        </w:rPr>
        <w:t>特殊条款</w:t>
      </w:r>
    </w:p>
    <w:p>
      <w:pPr>
        <w:spacing w:line="360" w:lineRule="auto"/>
      </w:pPr>
      <w:r>
        <w:t>2.1投标报价</w:t>
      </w:r>
    </w:p>
    <w:p>
      <w:pPr>
        <w:spacing w:line="360" w:lineRule="auto"/>
      </w:pPr>
      <w:r>
        <w:t>2.</w:t>
      </w:r>
      <w:r>
        <w:rPr>
          <w:rFonts w:hint="eastAsia"/>
        </w:rPr>
        <w:t>1</w:t>
      </w:r>
      <w:r>
        <w:t>.1投标人应按招标文件中</w:t>
      </w:r>
      <w:r>
        <w:rPr>
          <w:rFonts w:hint="eastAsia"/>
        </w:rPr>
        <w:t>规定的格式</w:t>
      </w:r>
      <w:r>
        <w:t>填写。</w:t>
      </w:r>
    </w:p>
    <w:p>
      <w:pPr>
        <w:spacing w:line="360" w:lineRule="auto"/>
      </w:pPr>
      <w:r>
        <w:t>2.</w:t>
      </w:r>
      <w:r>
        <w:rPr>
          <w:rFonts w:hint="eastAsia"/>
        </w:rPr>
        <w:t>1</w:t>
      </w:r>
      <w:r>
        <w:t>.</w:t>
      </w:r>
      <w:r>
        <w:rPr>
          <w:rFonts w:hint="eastAsia"/>
        </w:rPr>
        <w:t>2</w:t>
      </w:r>
      <w:r>
        <w:t>招标人要求分类报价是为了方便评标，但在任何情况下不限制招标人以其认为最合适的条款签订合同的权利。</w:t>
      </w:r>
    </w:p>
    <w:p>
      <w:pPr>
        <w:spacing w:line="360" w:lineRule="auto"/>
        <w:rPr>
          <w:rFonts w:hint="eastAsia"/>
          <w:lang w:eastAsia="zh-CN"/>
        </w:rPr>
      </w:pPr>
      <w:r>
        <w:t>2.</w:t>
      </w:r>
      <w:r>
        <w:rPr>
          <w:rFonts w:hint="eastAsia"/>
        </w:rPr>
        <w:t>1</w:t>
      </w:r>
      <w:r>
        <w:t>.</w:t>
      </w:r>
      <w:r>
        <w:rPr>
          <w:rFonts w:hint="eastAsia"/>
        </w:rPr>
        <w:t>3</w:t>
      </w:r>
      <w:r>
        <w:t>投标报价中须含货物费、配套费,包装运输、保险、税收、利润、验收、各种办证费用，以及资料费、培训费用、质保期内维护保养所需的零件、杂费、不可预见费等均在内（不包括人为因素、自然灾害不可抗力所造成的损坏所需维修费用）</w:t>
      </w:r>
      <w:r>
        <w:rPr>
          <w:rFonts w:hint="eastAsia"/>
          <w:lang w:eastAsia="zh-CN"/>
        </w:rPr>
        <w:t>。</w:t>
      </w:r>
    </w:p>
    <w:p>
      <w:pPr>
        <w:spacing w:line="360" w:lineRule="auto"/>
        <w:rPr>
          <w:rFonts w:hint="eastAsia" w:eastAsia="宋体"/>
          <w:color w:val="auto"/>
          <w:lang w:eastAsia="zh-CN"/>
        </w:rPr>
      </w:pPr>
      <w:r>
        <w:rPr>
          <w:rFonts w:hint="eastAsia"/>
          <w:color w:val="auto"/>
          <w:lang w:val="en-US" w:eastAsia="zh-CN"/>
        </w:rPr>
        <w:t>2.1.4</w:t>
      </w:r>
      <w:r>
        <w:rPr>
          <w:rFonts w:ascii="Times New Roman" w:hAnsi="Times New Roman" w:eastAsia="宋体" w:cs="Times New Roman"/>
          <w:color w:val="auto"/>
        </w:rPr>
        <w:t>报价</w:t>
      </w:r>
      <w:r>
        <w:rPr>
          <w:rFonts w:hint="eastAsia" w:ascii="Times New Roman" w:hAnsi="Times New Roman" w:eastAsia="宋体" w:cs="Times New Roman"/>
          <w:color w:val="auto"/>
          <w:lang w:val="en-US" w:eastAsia="zh-CN"/>
        </w:rPr>
        <w:t>须</w:t>
      </w:r>
      <w:r>
        <w:rPr>
          <w:rFonts w:ascii="Times New Roman" w:hAnsi="Times New Roman" w:eastAsia="宋体" w:cs="Times New Roman"/>
          <w:color w:val="auto"/>
        </w:rPr>
        <w:t>包含不含税金额、税率及价税合计金额。</w:t>
      </w:r>
    </w:p>
    <w:p>
      <w:pPr>
        <w:spacing w:line="360" w:lineRule="auto"/>
        <w:rPr>
          <w:color w:val="auto"/>
        </w:rPr>
      </w:pPr>
      <w:r>
        <w:rPr>
          <w:color w:val="auto"/>
        </w:rPr>
        <w:t>2.</w:t>
      </w:r>
      <w:r>
        <w:rPr>
          <w:rFonts w:hint="eastAsia"/>
          <w:color w:val="auto"/>
        </w:rPr>
        <w:t>1</w:t>
      </w:r>
      <w:r>
        <w:rPr>
          <w:color w:val="auto"/>
        </w:rPr>
        <w:t>.</w:t>
      </w:r>
      <w:r>
        <w:rPr>
          <w:rFonts w:hint="eastAsia"/>
          <w:color w:val="auto"/>
          <w:lang w:val="en-US" w:eastAsia="zh-CN"/>
        </w:rPr>
        <w:t>5</w:t>
      </w:r>
      <w:r>
        <w:rPr>
          <w:color w:val="auto"/>
        </w:rPr>
        <w:t>货物款报价中各系统、主要零部件须列明单价、生产厂商。</w:t>
      </w:r>
    </w:p>
    <w:p>
      <w:pPr>
        <w:spacing w:line="360" w:lineRule="auto"/>
        <w:rPr>
          <w:color w:val="auto"/>
        </w:rPr>
      </w:pPr>
      <w:r>
        <w:rPr>
          <w:color w:val="auto"/>
        </w:rPr>
        <w:t>2.</w:t>
      </w:r>
      <w:r>
        <w:rPr>
          <w:rFonts w:hint="eastAsia"/>
          <w:color w:val="auto"/>
        </w:rPr>
        <w:t xml:space="preserve">2 </w:t>
      </w:r>
      <w:r>
        <w:rPr>
          <w:color w:val="auto"/>
        </w:rPr>
        <w:t>付款条件和方式</w:t>
      </w:r>
    </w:p>
    <w:p>
      <w:pPr>
        <w:spacing w:line="360" w:lineRule="auto"/>
        <w:rPr>
          <w:rFonts w:ascii="Times New Roman" w:hAnsi="Times New Roman" w:eastAsia="宋体" w:cs="Times New Roman"/>
          <w:color w:val="auto"/>
        </w:rPr>
      </w:pPr>
      <w:r>
        <w:rPr>
          <w:color w:val="auto"/>
        </w:rPr>
        <w:t>2.</w:t>
      </w:r>
      <w:r>
        <w:rPr>
          <w:rFonts w:hint="eastAsia"/>
          <w:color w:val="auto"/>
        </w:rPr>
        <w:t>2</w:t>
      </w:r>
      <w:r>
        <w:rPr>
          <w:color w:val="auto"/>
        </w:rPr>
        <w:t>.</w:t>
      </w:r>
      <w:r>
        <w:rPr>
          <w:rFonts w:hint="eastAsia"/>
          <w:color w:val="auto"/>
        </w:rPr>
        <w:t>1</w:t>
      </w:r>
      <w:r>
        <w:rPr>
          <w:color w:val="auto"/>
        </w:rPr>
        <w:t>支付方式：</w:t>
      </w:r>
      <w:r>
        <w:rPr>
          <w:rFonts w:hint="eastAsia"/>
          <w:color w:val="auto"/>
          <w:lang w:val="en-US" w:eastAsia="zh-CN"/>
        </w:rPr>
        <w:t>原则上采用</w:t>
      </w:r>
      <w:r>
        <w:rPr>
          <w:rFonts w:ascii="Times New Roman" w:hAnsi="Times New Roman" w:eastAsia="宋体" w:cs="Times New Roman"/>
          <w:color w:val="auto"/>
        </w:rPr>
        <w:t>半年期商业汇票（包括银行承兑汇票和商业承兑汇票）。</w:t>
      </w:r>
    </w:p>
    <w:p>
      <w:pPr>
        <w:spacing w:line="360" w:lineRule="auto"/>
        <w:rPr>
          <w:color w:val="auto"/>
        </w:rPr>
      </w:pPr>
      <w:r>
        <w:rPr>
          <w:color w:val="auto"/>
        </w:rPr>
        <w:t>2.</w:t>
      </w:r>
      <w:r>
        <w:rPr>
          <w:rFonts w:hint="eastAsia"/>
          <w:color w:val="auto"/>
        </w:rPr>
        <w:t>2</w:t>
      </w:r>
      <w:r>
        <w:rPr>
          <w:color w:val="auto"/>
        </w:rPr>
        <w:t>.</w:t>
      </w:r>
      <w:r>
        <w:rPr>
          <w:rFonts w:hint="eastAsia"/>
          <w:color w:val="auto"/>
        </w:rPr>
        <w:t>2</w:t>
      </w:r>
      <w:r>
        <w:rPr>
          <w:color w:val="auto"/>
        </w:rPr>
        <w:t>付款条件</w:t>
      </w:r>
    </w:p>
    <w:p>
      <w:pPr>
        <w:numPr>
          <w:ilvl w:val="0"/>
          <w:numId w:val="17"/>
        </w:numPr>
        <w:spacing w:line="360" w:lineRule="auto"/>
        <w:rPr>
          <w:color w:val="auto"/>
        </w:rPr>
      </w:pPr>
      <w:r>
        <w:rPr>
          <w:rFonts w:hint="eastAsia"/>
          <w:color w:val="auto"/>
        </w:rPr>
        <w:t>合同签订后，项目完成图纸会签后，卖方开具30%的合同款的增值税专用发票（税率13%）交买方后，买方在6</w:t>
      </w:r>
      <w:r>
        <w:rPr>
          <w:color w:val="auto"/>
        </w:rPr>
        <w:t>0个日历日内</w:t>
      </w:r>
      <w:r>
        <w:rPr>
          <w:rFonts w:hint="eastAsia"/>
          <w:color w:val="auto"/>
        </w:rPr>
        <w:t>支付合同总价的30%款项作为项目的进度款。</w:t>
      </w:r>
    </w:p>
    <w:p>
      <w:pPr>
        <w:numPr>
          <w:ilvl w:val="0"/>
          <w:numId w:val="17"/>
        </w:numPr>
        <w:spacing w:line="360" w:lineRule="auto"/>
        <w:rPr>
          <w:color w:val="auto"/>
        </w:rPr>
      </w:pPr>
      <w:r>
        <w:rPr>
          <w:rFonts w:hint="eastAsia"/>
          <w:color w:val="auto"/>
        </w:rPr>
        <w:t>货物完成制造后，经双方预验收合格，卖方开具合同款的30%的增值税专用发票（税率13%）交买方后，买方在6</w:t>
      </w:r>
      <w:r>
        <w:rPr>
          <w:color w:val="auto"/>
        </w:rPr>
        <w:t>0个日历日内</w:t>
      </w:r>
      <w:r>
        <w:rPr>
          <w:rFonts w:hint="eastAsia"/>
          <w:color w:val="auto"/>
        </w:rPr>
        <w:t>支付合同总价的30%款项作为项目的进度款。</w:t>
      </w:r>
    </w:p>
    <w:p>
      <w:pPr>
        <w:numPr>
          <w:ilvl w:val="0"/>
          <w:numId w:val="17"/>
        </w:numPr>
        <w:spacing w:line="360" w:lineRule="auto"/>
        <w:rPr>
          <w:color w:val="auto"/>
        </w:rPr>
      </w:pPr>
      <w:r>
        <w:rPr>
          <w:rFonts w:hint="eastAsia"/>
          <w:color w:val="auto"/>
        </w:rPr>
        <w:t>终验收合格后，卖方开具合同款的40%的增值税专用发票（税率13%）交买方后，买方在6</w:t>
      </w:r>
      <w:r>
        <w:rPr>
          <w:color w:val="auto"/>
        </w:rPr>
        <w:t>0个日历日内</w:t>
      </w:r>
      <w:r>
        <w:rPr>
          <w:rFonts w:hint="eastAsia"/>
          <w:color w:val="auto"/>
        </w:rPr>
        <w:t>支付合同总价的30%款项作为项目的终验收款。</w:t>
      </w:r>
    </w:p>
    <w:p>
      <w:pPr>
        <w:numPr>
          <w:ilvl w:val="0"/>
          <w:numId w:val="17"/>
        </w:numPr>
        <w:spacing w:line="360" w:lineRule="auto"/>
        <w:rPr>
          <w:color w:val="auto"/>
        </w:rPr>
      </w:pPr>
      <w:r>
        <w:rPr>
          <w:rFonts w:hint="eastAsia"/>
          <w:color w:val="auto"/>
        </w:rPr>
        <w:t>合同价款的10%作为质保金，质量保证期内不计利息。届满后，质保期内无质量问题，买方在6</w:t>
      </w:r>
      <w:r>
        <w:rPr>
          <w:color w:val="auto"/>
        </w:rPr>
        <w:t>0个日历日内</w:t>
      </w:r>
      <w:r>
        <w:rPr>
          <w:rFonts w:hint="eastAsia"/>
          <w:color w:val="auto"/>
        </w:rPr>
        <w:t>支付尾款。</w:t>
      </w:r>
    </w:p>
    <w:p>
      <w:pPr>
        <w:spacing w:line="360" w:lineRule="auto"/>
      </w:pPr>
      <w:r>
        <w:t>2.</w:t>
      </w:r>
      <w:r>
        <w:rPr>
          <w:rFonts w:hint="eastAsia"/>
        </w:rPr>
        <w:t xml:space="preserve">3 </w:t>
      </w:r>
      <w:r>
        <w:t>　合同</w:t>
      </w:r>
      <w:r>
        <w:rPr>
          <w:rFonts w:hint="eastAsia"/>
        </w:rPr>
        <w:t>的</w:t>
      </w:r>
      <w:r>
        <w:t>转让和分包</w:t>
      </w:r>
    </w:p>
    <w:p>
      <w:pPr>
        <w:spacing w:line="360" w:lineRule="auto"/>
      </w:pPr>
      <w:r>
        <w:t>2.</w:t>
      </w:r>
      <w:r>
        <w:rPr>
          <w:rFonts w:hint="eastAsia"/>
        </w:rPr>
        <w:t>3</w:t>
      </w:r>
      <w:r>
        <w:t>.1</w:t>
      </w:r>
      <w:r>
        <w:rPr>
          <w:rFonts w:hint="eastAsia"/>
        </w:rPr>
        <w:t xml:space="preserve"> </w:t>
      </w:r>
      <w:r>
        <w:t>未经买方书面同意，卖方不得将合同产品转包或分包给第三方。</w:t>
      </w:r>
    </w:p>
    <w:p>
      <w:pPr>
        <w:spacing w:line="360" w:lineRule="auto"/>
      </w:pPr>
      <w:r>
        <w:t>2.</w:t>
      </w:r>
      <w:r>
        <w:rPr>
          <w:rFonts w:hint="eastAsia"/>
        </w:rPr>
        <w:t>3</w:t>
      </w:r>
      <w:r>
        <w:t>.2</w:t>
      </w:r>
      <w:r>
        <w:rPr>
          <w:rFonts w:hint="eastAsia"/>
        </w:rPr>
        <w:t xml:space="preserve"> </w:t>
      </w:r>
      <w:r>
        <w:t>重要和关键部分的分包方必须得到买方的书面认可。</w:t>
      </w:r>
    </w:p>
    <w:p>
      <w:pPr>
        <w:spacing w:line="360" w:lineRule="auto"/>
      </w:pPr>
      <w:r>
        <w:t>2.</w:t>
      </w:r>
      <w:r>
        <w:rPr>
          <w:rFonts w:hint="eastAsia"/>
        </w:rPr>
        <w:t>3</w:t>
      </w:r>
      <w:r>
        <w:t>.3</w:t>
      </w:r>
      <w:r>
        <w:rPr>
          <w:rFonts w:hint="eastAsia"/>
        </w:rPr>
        <w:t xml:space="preserve"> </w:t>
      </w:r>
      <w:r>
        <w:t>卖方在投标文件中说明自制的零部件不得扩散到其他厂生产。</w:t>
      </w:r>
    </w:p>
    <w:p>
      <w:pPr>
        <w:spacing w:line="360" w:lineRule="auto"/>
      </w:pPr>
      <w:r>
        <w:t>2.</w:t>
      </w:r>
      <w:r>
        <w:rPr>
          <w:rFonts w:hint="eastAsia"/>
        </w:rPr>
        <w:t>3</w:t>
      </w:r>
      <w:r>
        <w:t>.4如果卖方在投标文件中对外购或外协的零部件作了说明且得到买方认可，但卖方仍应对这些零部件的质量和技术性能负全部责任。</w:t>
      </w:r>
    </w:p>
    <w:p>
      <w:pPr>
        <w:spacing w:line="360" w:lineRule="auto"/>
      </w:pPr>
      <w:r>
        <w:t>2.</w:t>
      </w:r>
      <w:r>
        <w:rPr>
          <w:rFonts w:hint="eastAsia"/>
        </w:rPr>
        <w:t xml:space="preserve">4 </w:t>
      </w:r>
      <w:r>
        <w:t>　合同修改</w:t>
      </w:r>
    </w:p>
    <w:p>
      <w:pPr>
        <w:spacing w:line="360" w:lineRule="auto"/>
      </w:pPr>
      <w:r>
        <w:t>2.</w:t>
      </w:r>
      <w:r>
        <w:rPr>
          <w:rFonts w:hint="eastAsia"/>
        </w:rPr>
        <w:t>4</w:t>
      </w:r>
      <w:r>
        <w:t>.1买卖双方的任何一方对合同内容提出修改，均应以书面形式通知对方，并达成由双方签署的合同修改书或备忘录。</w:t>
      </w:r>
    </w:p>
    <w:p>
      <w:pPr>
        <w:spacing w:line="360" w:lineRule="auto"/>
      </w:pPr>
      <w:r>
        <w:t>2.</w:t>
      </w:r>
      <w:r>
        <w:rPr>
          <w:rFonts w:hint="eastAsia"/>
        </w:rPr>
        <w:t>4</w:t>
      </w:r>
      <w:r>
        <w:t>.2除非买方对货物的型号、规格和涉及价格因素的技术参数和配套件提出修改，卖方不得对合同价格提出修改要求。</w:t>
      </w:r>
    </w:p>
    <w:p>
      <w:pPr>
        <w:spacing w:line="360" w:lineRule="auto"/>
      </w:pPr>
      <w:r>
        <w:t>2.</w:t>
      </w:r>
      <w:r>
        <w:rPr>
          <w:rFonts w:hint="eastAsia"/>
        </w:rPr>
        <w:t>5</w:t>
      </w:r>
      <w:r>
        <w:t>　违约责任</w:t>
      </w:r>
    </w:p>
    <w:p>
      <w:pPr>
        <w:spacing w:line="360" w:lineRule="auto"/>
      </w:pPr>
      <w:r>
        <w:t>2.</w:t>
      </w:r>
      <w:r>
        <w:rPr>
          <w:rFonts w:hint="eastAsia"/>
        </w:rPr>
        <w:t>5</w:t>
      </w:r>
      <w:r>
        <w:t>.1　产品质量责任</w:t>
      </w:r>
    </w:p>
    <w:p>
      <w:pPr>
        <w:spacing w:line="360" w:lineRule="auto"/>
      </w:pPr>
      <w:r>
        <w:t>（1）产品质量保证期内，凡货物在开箱检验、安装调试、货物试运转过程中发现的货物质量问题，由卖方负责处理，实行包修、包换、包退，直至产品符合质量要求。卖方承担修理、调换、退货发生的一切费用和买方的直接经济损失。</w:t>
      </w:r>
    </w:p>
    <w:p>
      <w:pPr>
        <w:spacing w:line="360" w:lineRule="auto"/>
      </w:pPr>
      <w:r>
        <w:t xml:space="preserve">（2）由于买方使用不当造成货物短缺、故障或损坏，由买方负责。但卖方保证及时给予补齐或修复。 </w:t>
      </w:r>
    </w:p>
    <w:p>
      <w:pPr>
        <w:spacing w:line="360" w:lineRule="auto"/>
      </w:pPr>
      <w:r>
        <w:t>（3）伴随服务缺陷视作产品质量缺陷和履约延期。</w:t>
      </w:r>
    </w:p>
    <w:p>
      <w:pPr>
        <w:spacing w:line="360" w:lineRule="auto"/>
      </w:pPr>
      <w:r>
        <w:t>2.</w:t>
      </w:r>
      <w:r>
        <w:rPr>
          <w:rFonts w:hint="eastAsia"/>
        </w:rPr>
        <w:t>5</w:t>
      </w:r>
      <w:r>
        <w:t>.2　违约赔偿</w:t>
      </w:r>
    </w:p>
    <w:p>
      <w:pPr>
        <w:spacing w:line="360" w:lineRule="auto"/>
        <w:ind w:firstLine="420" w:firstLineChars="200"/>
      </w:pPr>
      <w:r>
        <w:t>（1）逾期交货</w:t>
      </w:r>
    </w:p>
    <w:p>
      <w:pPr>
        <w:spacing w:line="360" w:lineRule="auto"/>
      </w:pPr>
      <w:r>
        <w:t xml:space="preserve">    卖方逾期交付使用（终验收合格），每逾期一天，按货物合同总价的1‰支付违约金。逾期交付使用的违约赔偿最高限度为货物合同总价的20％。整系统中的单机和零部件逾期交货，按整系统逾期交货计算违约金。</w:t>
      </w:r>
    </w:p>
    <w:p>
      <w:pPr>
        <w:spacing w:line="360" w:lineRule="auto"/>
        <w:ind w:firstLine="420" w:firstLineChars="200"/>
      </w:pPr>
      <w:r>
        <w:t>（2）卖方不能交付使用</w:t>
      </w:r>
      <w:r>
        <w:rPr>
          <w:rFonts w:hint="eastAsia"/>
        </w:rPr>
        <w:t xml:space="preserve">  </w:t>
      </w:r>
    </w:p>
    <w:p>
      <w:pPr>
        <w:spacing w:line="360" w:lineRule="auto"/>
      </w:pPr>
      <w:r>
        <w:t>如果卖方超过合同规定的交付时间3个月不能交付，视为卖方不能交付使用；不能交付使用</w:t>
      </w:r>
      <w:r>
        <w:rPr>
          <w:rFonts w:hint="eastAsia"/>
        </w:rPr>
        <w:t>视为不能实现合同目的情形</w:t>
      </w:r>
      <w:r>
        <w:t>，买方有权直接通过法律途径维护买方权益。</w:t>
      </w:r>
    </w:p>
    <w:p>
      <w:pPr>
        <w:spacing w:line="360" w:lineRule="auto"/>
        <w:ind w:firstLine="420" w:firstLineChars="200"/>
      </w:pPr>
      <w:r>
        <w:t>（3）经买卖双方协商同意延期交付使用者不在此列。</w:t>
      </w:r>
    </w:p>
    <w:p>
      <w:pPr>
        <w:spacing w:line="360" w:lineRule="auto"/>
      </w:pPr>
      <w:r>
        <w:t>2.</w:t>
      </w:r>
      <w:r>
        <w:rPr>
          <w:rFonts w:hint="eastAsia"/>
        </w:rPr>
        <w:t>5</w:t>
      </w:r>
      <w:r>
        <w:t>.</w:t>
      </w:r>
      <w:r>
        <w:rPr>
          <w:rFonts w:hint="eastAsia"/>
        </w:rPr>
        <w:t>3</w:t>
      </w:r>
      <w:r>
        <w:t>　违约终止合同</w:t>
      </w:r>
    </w:p>
    <w:p>
      <w:pPr>
        <w:spacing w:line="360" w:lineRule="auto"/>
        <w:ind w:firstLine="315" w:firstLineChars="150"/>
      </w:pPr>
      <w:r>
        <w:t>买方在卖方存在如下违约情况时，有权考虑并提出终止全部或部分合同：</w:t>
      </w:r>
    </w:p>
    <w:p>
      <w:pPr>
        <w:spacing w:line="360" w:lineRule="auto"/>
      </w:pPr>
      <w:r>
        <w:t>（1）卖方未能在合同规定期限或买方同意延长的期限内交付使用全部或部分货物。</w:t>
      </w:r>
    </w:p>
    <w:p>
      <w:pPr>
        <w:spacing w:line="360" w:lineRule="auto"/>
      </w:pPr>
      <w:r>
        <w:t>（2）卖方未能履行合同规定的义务。</w:t>
      </w:r>
    </w:p>
    <w:p>
      <w:pPr>
        <w:spacing w:line="360" w:lineRule="auto"/>
      </w:pPr>
      <w:r>
        <w:t>（3）在发生上述情况后，卖方收到买方的违约通知后30天内未能纠正其过失。</w:t>
      </w:r>
    </w:p>
    <w:p>
      <w:pPr>
        <w:spacing w:line="360" w:lineRule="auto"/>
      </w:pPr>
      <w:r>
        <w:t xml:space="preserve">（4）如违约金达到最高限额时卖方仍不能交货。 </w:t>
      </w:r>
    </w:p>
    <w:p>
      <w:pPr>
        <w:spacing w:line="360" w:lineRule="auto"/>
      </w:pPr>
      <w:r>
        <w:t>2.6　争议解决方法</w:t>
      </w:r>
    </w:p>
    <w:p>
      <w:pPr>
        <w:spacing w:line="360" w:lineRule="auto"/>
      </w:pPr>
      <w:r>
        <w:t>2.6.1凡有关本合同或执行本合同中发生的争端，买卖双方应通过友好协商，妥善解决。如通过协商仍不能解决时，可向合同签约地的人民法院进行诉讼。</w:t>
      </w:r>
    </w:p>
    <w:p>
      <w:pPr>
        <w:spacing w:line="360" w:lineRule="auto"/>
      </w:pPr>
      <w:r>
        <w:t>2.6.2</w:t>
      </w:r>
      <w:r>
        <w:rPr>
          <w:rFonts w:hint="eastAsia"/>
        </w:rPr>
        <w:t xml:space="preserve"> </w:t>
      </w:r>
      <w:r>
        <w:t>在诉讼期间，除正在进行诉讼的部分外，合同其他部分应继续执行。</w:t>
      </w:r>
    </w:p>
    <w:p>
      <w:pPr>
        <w:spacing w:line="360" w:lineRule="auto"/>
      </w:pPr>
      <w:r>
        <w:t>2.7　适用法律</w:t>
      </w:r>
    </w:p>
    <w:p>
      <w:pPr>
        <w:spacing w:line="360" w:lineRule="auto"/>
      </w:pPr>
      <w:r>
        <w:t xml:space="preserve">    本合同按照中华人民共和国的法律进行解释。</w:t>
      </w:r>
    </w:p>
    <w:p>
      <w:pPr>
        <w:spacing w:line="360" w:lineRule="auto"/>
      </w:pPr>
      <w:r>
        <w:t>2.8　合同生效及其他</w:t>
      </w:r>
    </w:p>
    <w:p>
      <w:pPr>
        <w:spacing w:line="360" w:lineRule="auto"/>
      </w:pPr>
      <w:r>
        <w:t>2.8.1、合同应在双方签字盖章并在买方收到卖方提供的履约保证金</w:t>
      </w:r>
      <w:r>
        <w:rPr>
          <w:rFonts w:hint="eastAsia"/>
        </w:rPr>
        <w:t>当日</w:t>
      </w:r>
      <w:r>
        <w:t>开始生效。</w:t>
      </w:r>
    </w:p>
    <w:p>
      <w:pPr>
        <w:spacing w:line="360" w:lineRule="auto"/>
      </w:pPr>
      <w:r>
        <w:t>2.8.2、合同一式6份，买方执4份，卖方执2份。</w:t>
      </w:r>
    </w:p>
    <w:p>
      <w:pPr>
        <w:wordWrap/>
        <w:adjustRightInd/>
        <w:snapToGrid/>
        <w:spacing w:line="240" w:lineRule="auto"/>
        <w:jc w:val="left"/>
        <w:rPr>
          <w:rFonts w:hint="eastAsia" w:ascii="方正小标宋简体" w:hAnsi="宋体" w:eastAsia="方正小标宋简体"/>
          <w:sz w:val="24"/>
          <w:szCs w:val="24"/>
        </w:rPr>
      </w:pPr>
      <w:r>
        <w:rPr>
          <w:b/>
          <w:color w:val="FF0000"/>
          <w:sz w:val="28"/>
          <w:szCs w:val="28"/>
        </w:rPr>
        <w:t>特别说明</w:t>
      </w:r>
      <w:r>
        <w:rPr>
          <w:rFonts w:hint="eastAsia"/>
          <w:b/>
          <w:color w:val="FF0000"/>
          <w:sz w:val="28"/>
          <w:szCs w:val="28"/>
        </w:rPr>
        <w:t>：</w:t>
      </w:r>
      <w:r>
        <w:rPr>
          <w:b/>
          <w:color w:val="FF0000"/>
          <w:sz w:val="28"/>
          <w:szCs w:val="28"/>
        </w:rPr>
        <w:t>合同条款以最终签署版本为准</w:t>
      </w:r>
      <w:r>
        <w:rPr>
          <w:rFonts w:hint="eastAsia"/>
          <w:b/>
          <w:color w:val="FF0000"/>
          <w:sz w:val="28"/>
          <w:szCs w:val="28"/>
        </w:rPr>
        <w:t>。</w:t>
      </w:r>
    </w:p>
    <w:p>
      <w:pPr>
        <w:rPr>
          <w:rFonts w:hint="eastAsia" w:ascii="黑体" w:hAnsi="黑体" w:eastAsia="黑体" w:cstheme="minorEastAsia"/>
          <w:b w:val="0"/>
          <w:sz w:val="28"/>
          <w:szCs w:val="28"/>
        </w:rPr>
      </w:pPr>
      <w:bookmarkStart w:id="50" w:name="_Toc29691"/>
    </w:p>
    <w:p>
      <w:pPr>
        <w:rPr>
          <w:rFonts w:hint="eastAsia" w:ascii="黑体" w:hAnsi="黑体" w:eastAsia="黑体" w:cstheme="minorEastAsia"/>
          <w:b w:val="0"/>
          <w:sz w:val="28"/>
          <w:szCs w:val="28"/>
        </w:rPr>
      </w:pPr>
      <w:r>
        <w:rPr>
          <w:rFonts w:hint="eastAsia" w:ascii="黑体" w:hAnsi="黑体" w:eastAsia="黑体" w:cstheme="minorEastAsia"/>
          <w:b w:val="0"/>
          <w:sz w:val="28"/>
          <w:szCs w:val="28"/>
        </w:rPr>
        <w:br w:type="page"/>
      </w:r>
    </w:p>
    <w:p>
      <w:pPr>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8"/>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8"/>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黑体" w:hAnsi="黑体" w:eastAsia="黑体" w:cstheme="minorEastAsia"/>
          <w:b w:val="0"/>
          <w:bCs/>
          <w:i/>
          <w:iCs w:val="0"/>
          <w:sz w:val="28"/>
          <w:szCs w:val="28"/>
        </w:rPr>
      </w:pPr>
      <w:bookmarkStart w:id="51" w:name="_Toc3778"/>
      <w:bookmarkStart w:id="52" w:name="_Toc25120"/>
      <w:bookmarkStart w:id="53" w:name="_Toc16330037"/>
      <w:bookmarkStart w:id="54" w:name="_Toc5379"/>
      <w:bookmarkStart w:id="55" w:name="_Toc24623"/>
      <w:r>
        <w:rPr>
          <w:rFonts w:hint="eastAsia" w:ascii="黑体" w:hAnsi="黑体" w:eastAsia="黑体" w:cstheme="minorEastAsia"/>
          <w:b w:val="0"/>
          <w:sz w:val="28"/>
          <w:szCs w:val="28"/>
        </w:rPr>
        <w:br w:type="page"/>
      </w:r>
      <w:r>
        <w:rPr>
          <w:rFonts w:hint="eastAsia" w:ascii="黑体" w:hAnsi="黑体" w:eastAsia="黑体" w:cstheme="minorEastAsia"/>
          <w:b w:val="0"/>
          <w:sz w:val="28"/>
          <w:szCs w:val="28"/>
        </w:rPr>
        <w:t xml:space="preserve">附件二 </w:t>
      </w:r>
      <w:bookmarkEnd w:id="51"/>
      <w:bookmarkEnd w:id="52"/>
      <w:bookmarkEnd w:id="53"/>
      <w:bookmarkEnd w:id="54"/>
      <w:bookmarkEnd w:id="55"/>
      <w:r>
        <w:rPr>
          <w:rFonts w:hint="eastAsia" w:ascii="黑体" w:hAnsi="黑体" w:eastAsia="黑体" w:cstheme="minorEastAsia"/>
          <w:b w:val="0"/>
          <w:sz w:val="28"/>
          <w:szCs w:val="28"/>
        </w:rPr>
        <w:t>技术协议书</w:t>
      </w:r>
    </w:p>
    <w:p>
      <w:pPr>
        <w:spacing w:line="420" w:lineRule="exact"/>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参照技术标书。</w:t>
      </w:r>
    </w:p>
    <w:p>
      <w:pPr>
        <w:spacing w:line="420" w:lineRule="exact"/>
        <w:ind w:firstLine="0" w:firstLineChars="0"/>
        <w:jc w:val="both"/>
        <w:rPr>
          <w:rFonts w:hint="eastAsia" w:ascii="宋体" w:hAnsi="宋体" w:eastAsia="宋体" w:cs="宋体"/>
          <w:sz w:val="28"/>
          <w:szCs w:val="28"/>
          <w:lang w:val="en-US" w:eastAsia="zh-CN"/>
        </w:rPr>
      </w:pPr>
    </w:p>
    <w:p>
      <w:pPr>
        <w:spacing w:before="0" w:line="420" w:lineRule="exact"/>
        <w:ind w:left="0" w:right="0" w:rightChars="0" w:firstLine="0" w:firstLineChars="0"/>
        <w:jc w:val="both"/>
        <w:outlineLvl w:val="9"/>
        <w:rPr>
          <w:rFonts w:hint="eastAsia" w:ascii="方正小标宋简体" w:hAnsi="方正小标宋简体" w:eastAsia="方正小标宋简体" w:cs="方正小标宋简体"/>
          <w:b/>
          <w:bCs/>
          <w:color w:val="FF0000"/>
          <w:sz w:val="40"/>
          <w:szCs w:val="21"/>
        </w:rPr>
      </w:pPr>
      <w:r>
        <w:rPr>
          <w:rFonts w:hint="eastAsia" w:ascii="宋体" w:hAnsi="宋体" w:eastAsia="宋体" w:cs="宋体"/>
          <w:b/>
          <w:bCs/>
          <w:color w:val="FF0000"/>
          <w:sz w:val="28"/>
          <w:szCs w:val="28"/>
          <w:lang w:val="en-US" w:eastAsia="zh-CN"/>
        </w:rPr>
        <w:t>特别说明：技术协议条款以最终签署版本为准。</w:t>
      </w:r>
    </w:p>
    <w:p>
      <w:pPr>
        <w:spacing w:before="0"/>
        <w:ind w:left="0" w:right="0" w:rightChars="0"/>
        <w:jc w:val="left"/>
        <w:outlineLvl w:val="9"/>
        <w:rPr>
          <w:rFonts w:hint="eastAsia" w:ascii="方正小标宋简体" w:hAnsi="方正小标宋简体" w:eastAsia="方正小标宋简体" w:cs="方正小标宋简体"/>
          <w:b/>
          <w:bCs/>
          <w:sz w:val="40"/>
          <w:szCs w:val="21"/>
        </w:rPr>
      </w:pPr>
      <w:r>
        <w:rPr>
          <w:rFonts w:hint="eastAsia" w:ascii="方正小标宋简体" w:hAnsi="方正小标宋简体" w:eastAsia="方正小标宋简体" w:cs="方正小标宋简体"/>
          <w:b/>
          <w:bCs/>
          <w:sz w:val="40"/>
          <w:szCs w:val="21"/>
        </w:rPr>
        <w:br w:type="page"/>
      </w:r>
    </w:p>
    <w:p>
      <w:pPr>
        <w:spacing w:before="118"/>
        <w:ind w:left="0" w:right="30" w:rightChars="0"/>
        <w:jc w:val="center"/>
        <w:outlineLvl w:val="0"/>
        <w:rPr>
          <w:rFonts w:ascii="楷体" w:hAnsi="楷体" w:eastAsia="楷体" w:cs="楷体"/>
          <w:sz w:val="40"/>
          <w:szCs w:val="21"/>
        </w:rPr>
      </w:pPr>
      <w:bookmarkStart w:id="56" w:name="_Toc22958"/>
      <w:bookmarkStart w:id="57" w:name="_Toc13752"/>
      <w:r>
        <w:rPr>
          <w:rFonts w:hint="eastAsia" w:ascii="方正小标宋简体" w:hAnsi="方正小标宋简体" w:eastAsia="方正小标宋简体" w:cs="方正小标宋简体"/>
          <w:sz w:val="40"/>
          <w:szCs w:val="21"/>
        </w:rPr>
        <w:t>廉洁诚信协议</w:t>
      </w:r>
      <w:bookmarkEnd w:id="56"/>
      <w:bookmarkEnd w:id="57"/>
    </w:p>
    <w:p>
      <w:pPr>
        <w:pStyle w:val="14"/>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4"/>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4"/>
        <w:ind w:left="0" w:firstLine="0"/>
        <w:rPr>
          <w:rFonts w:ascii="楷体" w:hAnsi="楷体" w:eastAsia="楷体" w:cs="楷体"/>
          <w:b/>
          <w:sz w:val="24"/>
          <w:szCs w:val="28"/>
        </w:rPr>
      </w:pPr>
    </w:p>
    <w:p>
      <w:pPr>
        <w:pStyle w:val="14"/>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4"/>
        <w:ind w:left="0" w:firstLine="0"/>
        <w:rPr>
          <w:rFonts w:ascii="楷体" w:hAnsi="楷体" w:eastAsia="楷体" w:cs="楷体"/>
          <w:b/>
          <w:sz w:val="24"/>
          <w:szCs w:val="28"/>
        </w:rPr>
      </w:pPr>
    </w:p>
    <w:p>
      <w:pPr>
        <w:pStyle w:val="14"/>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9"/>
        <w:rPr>
          <w:rFonts w:hint="eastAsia" w:ascii="Calibri" w:hAnsi="Calibri" w:eastAsia="宋体" w:cs="Times New Roman"/>
          <w:b/>
          <w:bCs/>
          <w:kern w:val="44"/>
          <w:sz w:val="36"/>
          <w:szCs w:val="44"/>
        </w:rPr>
        <w:sectPr>
          <w:headerReference r:id="rId9" w:type="first"/>
          <w:footerReference r:id="rId11" w:type="first"/>
          <w:headerReference r:id="rId8" w:type="default"/>
          <w:footerReference r:id="rId10" w:type="default"/>
          <w:pgSz w:w="11906" w:h="16838"/>
          <w:pgMar w:top="1588" w:right="1418" w:bottom="1134" w:left="1418" w:header="851" w:footer="992" w:gutter="0"/>
          <w:pgNumType w:fmt="decimal"/>
          <w:cols w:space="720" w:num="1"/>
          <w:titlePg/>
          <w:docGrid w:type="lines" w:linePitch="312" w:charSpace="0"/>
        </w:sectPr>
      </w:pPr>
    </w:p>
    <w:p>
      <w:pPr>
        <w:pStyle w:val="18"/>
        <w:numPr>
          <w:ilvl w:val="0"/>
          <w:numId w:val="2"/>
        </w:numPr>
        <w:jc w:val="center"/>
        <w:outlineLvl w:val="0"/>
        <w:rPr>
          <w:rFonts w:hint="eastAsia" w:ascii="Calibri" w:hAnsi="Calibri" w:eastAsia="宋体" w:cs="Times New Roman"/>
          <w:b/>
          <w:bCs/>
          <w:kern w:val="44"/>
          <w:sz w:val="36"/>
          <w:szCs w:val="44"/>
        </w:rPr>
      </w:pPr>
      <w:bookmarkStart w:id="58" w:name="_Toc24003"/>
      <w:bookmarkStart w:id="59" w:name="_Toc30977"/>
      <w:r>
        <w:rPr>
          <w:rFonts w:hint="default" w:ascii="Calibri" w:hAnsi="Calibri" w:eastAsia="宋体" w:cs="Times New Roman"/>
          <w:b/>
          <w:bCs/>
          <w:kern w:val="44"/>
          <w:sz w:val="36"/>
          <w:szCs w:val="44"/>
        </w:rPr>
        <w:t>投标文件附件</w:t>
      </w:r>
      <w:bookmarkEnd w:id="50"/>
      <w:bookmarkEnd w:id="58"/>
      <w:bookmarkEnd w:id="59"/>
    </w:p>
    <w:p>
      <w:pPr>
        <w:pStyle w:val="18"/>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8"/>
        <w:rPr>
          <w:rFonts w:hint="eastAsia" w:ascii="Times New Roman" w:hAnsi="Times New Roman" w:eastAsia="宋体" w:cs="Times New Roman"/>
          <w:b/>
          <w:bCs/>
          <w:color w:val="000000"/>
          <w:sz w:val="24"/>
          <w:szCs w:val="24"/>
        </w:rPr>
        <w:sectPr>
          <w:footerReference r:id="rId14" w:type="first"/>
          <w:headerReference r:id="rId12" w:type="default"/>
          <w:footerReference r:id="rId1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60" w:name="_Toc212369550"/>
      <w:bookmarkStart w:id="61" w:name="_Toc353881012"/>
      <w:bookmarkStart w:id="62" w:name="_Toc639004"/>
      <w:bookmarkStart w:id="63"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60"/>
      <w:bookmarkEnd w:id="61"/>
      <w:bookmarkEnd w:id="62"/>
      <w:bookmarkEnd w:id="63"/>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中国重汽集团杭州发动机有限公司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黑体" w:hAnsi="黑体" w:eastAsia="黑体"/>
          <w:sz w:val="24"/>
          <w:u w:val="single"/>
        </w:rPr>
        <w:t>M</w:t>
      </w:r>
      <w:r>
        <w:rPr>
          <w:rFonts w:hint="eastAsia" w:ascii="宋体" w:hAnsi="宋体" w:eastAsia="宋体" w:cs="Times New Roman"/>
          <w:bCs/>
          <w:snapToGrid w:val="0"/>
          <w:color w:val="000000"/>
          <w:kern w:val="0"/>
          <w:sz w:val="24"/>
          <w:szCs w:val="24"/>
          <w:u w:val="single"/>
        </w:rPr>
        <w:t>C07</w:t>
      </w:r>
      <w:r>
        <w:rPr>
          <w:rFonts w:hint="eastAsia" w:ascii="宋体" w:hAnsi="宋体" w:eastAsia="宋体" w:cs="Times New Roman"/>
          <w:bCs/>
          <w:snapToGrid w:val="0"/>
          <w:color w:val="000000"/>
          <w:kern w:val="0"/>
          <w:sz w:val="24"/>
          <w:szCs w:val="24"/>
          <w:u w:val="single"/>
          <w:lang w:val="en-US" w:eastAsia="zh-CN"/>
        </w:rPr>
        <w:t>缸盖下沉水套工装模具（2025）</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highlight w:val="none"/>
        </w:rPr>
        <w:t>正本</w:t>
      </w:r>
      <w:r>
        <w:rPr>
          <w:rFonts w:hint="eastAsia" w:ascii="宋体" w:hAnsi="宋体" w:eastAsia="宋体" w:cs="Times New Roman"/>
          <w:color w:val="000000"/>
          <w:sz w:val="24"/>
          <w:szCs w:val="24"/>
          <w:highlight w:val="none"/>
          <w:lang w:val="en-US" w:eastAsia="zh-CN"/>
        </w:rPr>
        <w:t>1</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lang w:val="en-US" w:eastAsia="zh-CN"/>
        </w:rPr>
        <w:t>副本1份</w:t>
      </w:r>
      <w:r>
        <w:rPr>
          <w:rFonts w:hint="eastAsia" w:ascii="宋体" w:hAnsi="宋体" w:eastAsia="宋体" w:cs="Times New Roman"/>
          <w:color w:val="000000"/>
          <w:sz w:val="24"/>
          <w:szCs w:val="24"/>
        </w:rPr>
        <w:t>；电子版投标文件</w:t>
      </w:r>
      <w:r>
        <w:rPr>
          <w:rFonts w:hint="eastAsia" w:ascii="宋体" w:hAnsi="宋体" w:eastAsia="宋体" w:cs="Times New Roman"/>
          <w:color w:val="000000"/>
          <w:sz w:val="24"/>
          <w:szCs w:val="24"/>
          <w:lang w:val="en-US" w:eastAsia="zh-CN"/>
        </w:rPr>
        <w:t>1</w:t>
      </w:r>
      <w:r>
        <w:rPr>
          <w:rFonts w:hint="eastAsia" w:ascii="宋体" w:hAnsi="宋体" w:eastAsia="宋体" w:cs="Times New Roman"/>
          <w:color w:val="000000"/>
          <w:sz w:val="24"/>
          <w:szCs w:val="24"/>
        </w:rPr>
        <w:t>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eastAsia="宋体" w:cs="Times New Roman"/>
          <w:bCs/>
          <w:color w:val="000000"/>
          <w:sz w:val="24"/>
          <w:szCs w:val="24"/>
          <w:u w:val="single"/>
          <w:lang w:val="en-US" w:eastAsia="zh-CN"/>
        </w:rPr>
        <w:t>9</w:t>
      </w:r>
      <w:r>
        <w:rPr>
          <w:rFonts w:ascii="宋体" w:hAnsi="宋体" w:eastAsia="宋体" w:cs="Times New Roman"/>
          <w:bCs/>
          <w:color w:val="000000"/>
          <w:sz w:val="24"/>
          <w:szCs w:val="24"/>
          <w:u w:val="single"/>
        </w:rPr>
        <w:t>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黑体" w:hAnsi="黑体" w:eastAsia="黑体"/>
          <w:sz w:val="24"/>
          <w:u w:val="single"/>
        </w:rPr>
        <w:t>M</w:t>
      </w:r>
      <w:r>
        <w:rPr>
          <w:rFonts w:hint="eastAsia" w:ascii="宋体" w:hAnsi="宋体" w:eastAsia="宋体" w:cs="Times New Roman"/>
          <w:bCs/>
          <w:snapToGrid w:val="0"/>
          <w:color w:val="000000"/>
          <w:kern w:val="0"/>
          <w:sz w:val="24"/>
          <w:szCs w:val="24"/>
          <w:u w:val="single"/>
        </w:rPr>
        <w:t>C07</w:t>
      </w:r>
      <w:r>
        <w:rPr>
          <w:rFonts w:hint="eastAsia" w:ascii="宋体" w:hAnsi="宋体" w:eastAsia="宋体" w:cs="Times New Roman"/>
          <w:bCs/>
          <w:snapToGrid w:val="0"/>
          <w:color w:val="000000"/>
          <w:kern w:val="0"/>
          <w:sz w:val="24"/>
          <w:szCs w:val="24"/>
          <w:u w:val="single"/>
          <w:lang w:val="en-US" w:eastAsia="zh-CN"/>
        </w:rPr>
        <w:t>缸盖下沉水套工装模具（2025）</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val="en-US" w:eastAsia="zh-CN"/>
        </w:rPr>
        <w:t>CGZX2025070225</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3"/>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3"/>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3"/>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3"/>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outlineLvl w:val="9"/>
              <w:rPr>
                <w:rFonts w:ascii="宋体" w:hAnsi="宋体" w:cs="宋体"/>
                <w:color w:val="000000" w:themeColor="text1"/>
                <w14:textFill>
                  <w14:solidFill>
                    <w14:schemeClr w14:val="tx1"/>
                  </w14:solidFill>
                </w14:textFill>
              </w:rPr>
            </w:pPr>
          </w:p>
        </w:tc>
        <w:tc>
          <w:tcPr>
            <w:tcW w:w="1310" w:type="dxa"/>
          </w:tcPr>
          <w:p>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14"/>
              <w:ind w:left="720"/>
            </w:pPr>
            <w:r>
              <w:t xml:space="preserve">品牌区分 </w:t>
            </w:r>
          </w:p>
        </w:tc>
        <w:tc>
          <w:tcPr>
            <w:tcW w:w="7500" w:type="dxa"/>
            <w:gridSpan w:val="6"/>
          </w:tcPr>
          <w:p>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3"/>
              <w:spacing w:before="15"/>
              <w:ind w:left="279"/>
            </w:pPr>
            <w:r>
              <w:rPr>
                <w:spacing w:val="-2"/>
              </w:rPr>
              <w:t>质量</w:t>
            </w:r>
            <w:r>
              <w:t xml:space="preserve"> </w:t>
            </w:r>
          </w:p>
          <w:p>
            <w:pPr>
              <w:pStyle w:val="133"/>
              <w:spacing w:before="30" w:line="277" w:lineRule="exact"/>
              <w:ind w:left="279"/>
            </w:pPr>
            <w:r>
              <w:rPr>
                <w:rFonts w:hint="eastAsia"/>
              </w:rPr>
              <w:t>体系</w:t>
            </w:r>
          </w:p>
        </w:tc>
        <w:tc>
          <w:tcPr>
            <w:tcW w:w="2820" w:type="dxa"/>
            <w:gridSpan w:val="2"/>
          </w:tcPr>
          <w:p>
            <w:pPr>
              <w:pStyle w:val="133"/>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3"/>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8"/>
        <w:rPr>
          <w:rFonts w:ascii="Times New Roman" w:hAnsi="Times New Roman" w:eastAsia="宋体" w:cs="Times New Roman"/>
          <w:b/>
          <w:bCs/>
          <w:color w:val="000000"/>
          <w:sz w:val="24"/>
          <w:szCs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u w:val="single"/>
        </w:rPr>
        <w:t>MC07</w:t>
      </w:r>
      <w:r>
        <w:rPr>
          <w:rFonts w:hint="eastAsia" w:ascii="宋体" w:hAnsi="宋体" w:eastAsia="宋体" w:cs="宋体"/>
          <w:sz w:val="24"/>
          <w:u w:val="single"/>
          <w:lang w:val="en-US" w:eastAsia="zh-CN"/>
        </w:rPr>
        <w:t>缸盖下沉水套工装模具（2025）</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中国重汽集团杭州发动机有限公司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rPr>
        <w:t>MC07</w:t>
      </w:r>
      <w:r>
        <w:rPr>
          <w:rFonts w:hint="eastAsia" w:ascii="宋体" w:hAnsi="宋体" w:eastAsia="宋体" w:cs="宋体"/>
          <w:sz w:val="24"/>
          <w:u w:val="single"/>
          <w:lang w:val="en-US" w:eastAsia="zh-CN"/>
        </w:rPr>
        <w:t>缸盖下沉水套工装模具（2025）</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hint="eastAsia" w:ascii="Times New Roman" w:hAnsi="Times New Roman" w:eastAsia="宋体" w:cs="Times New Roman"/>
          <w:b/>
          <w:bCs/>
          <w:color w:val="000000"/>
          <w:sz w:val="24"/>
          <w:szCs w:val="24"/>
          <w:lang w:eastAsia="zh-CN"/>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hint="eastAsia" w:ascii="宋体" w:hAnsi="宋体" w:eastAsia="宋体" w:cs="宋体"/>
          <w:spacing w:val="13"/>
          <w:sz w:val="24"/>
          <w:szCs w:val="24"/>
          <w:lang w:eastAsia="zh-CN"/>
          <w14:textOutline w14:w="5791" w14:cap="flat" w14:cmpd="sng" w14:algn="ctr">
            <w14:solidFill>
              <w14:srgbClr w14:val="000000"/>
            </w14:solidFill>
            <w14:prstDash w14:val="solid"/>
            <w14:miter w14:val="0"/>
          </w14:textOutline>
        </w:rPr>
        <w:t>工装模具及易损件明细表</w:t>
      </w:r>
    </w:p>
    <w:p>
      <w:pPr>
        <w:keepNext/>
        <w:keepLines/>
        <w:spacing w:line="400" w:lineRule="exact"/>
        <w:jc w:val="center"/>
        <w:rPr>
          <w:rFonts w:ascii="宋体" w:hAnsi="宋体" w:eastAsia="宋体" w:cs="Times New Roman"/>
          <w:b/>
          <w:bCs/>
          <w:sz w:val="24"/>
          <w:szCs w:val="24"/>
        </w:rPr>
      </w:pPr>
      <w:r>
        <w:rPr>
          <w:rFonts w:hint="eastAsia" w:ascii="宋体" w:hAnsi="宋体" w:eastAsia="宋体" w:cs="宋体"/>
          <w:spacing w:val="13"/>
          <w:sz w:val="24"/>
          <w:szCs w:val="24"/>
          <w:lang w:eastAsia="zh-CN"/>
          <w14:textOutline w14:w="5791" w14:cap="flat" w14:cmpd="sng" w14:algn="ctr">
            <w14:solidFill>
              <w14:srgbClr w14:val="000000"/>
            </w14:solidFill>
            <w14:prstDash w14:val="solid"/>
            <w14:miter w14:val="0"/>
          </w14:textOutline>
        </w:rPr>
        <w:t>工装模具及易损件明细</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ascii="宋体" w:hAnsi="宋体" w:eastAsia="宋体" w:cs="宋体"/>
                <w:sz w:val="24"/>
                <w:szCs w:val="24"/>
              </w:rPr>
            </w:pPr>
            <w:r>
              <w:rPr>
                <w:rFonts w:hint="eastAsia" w:ascii="宋体" w:hAnsi="宋体" w:eastAsia="宋体" w:cs="宋体"/>
                <w:b w:val="0"/>
                <w:bCs w:val="0"/>
                <w:i w:val="0"/>
                <w:iCs w:val="0"/>
                <w:color w:val="000000"/>
                <w:kern w:val="0"/>
                <w:sz w:val="24"/>
                <w:szCs w:val="24"/>
                <w:u w:val="none"/>
                <w:lang w:val="en-US" w:eastAsia="zh-CN" w:bidi="ar"/>
              </w:rPr>
              <w:t>1</w:t>
            </w:r>
          </w:p>
        </w:tc>
        <w:tc>
          <w:tcPr>
            <w:tcW w:w="2238" w:type="dxa"/>
            <w:vAlign w:val="center"/>
          </w:tcPr>
          <w:p>
            <w:pPr>
              <w:spacing w:line="240" w:lineRule="auto"/>
              <w:jc w:val="center"/>
              <w:rPr>
                <w:rFonts w:hint="eastAsia" w:ascii="宋体" w:hAnsi="宋体" w:eastAsia="宋体" w:cstheme="minorBidi"/>
                <w:b w:val="0"/>
                <w:bCs/>
                <w:kern w:val="2"/>
                <w:sz w:val="24"/>
                <w:szCs w:val="24"/>
                <w:lang w:val="en-US" w:eastAsia="zh-CN" w:bidi="ar-SA"/>
              </w:rPr>
            </w:pPr>
          </w:p>
        </w:tc>
        <w:tc>
          <w:tcPr>
            <w:tcW w:w="2239" w:type="dxa"/>
            <w:vAlign w:val="center"/>
          </w:tcPr>
          <w:p>
            <w:pPr>
              <w:spacing w:line="240" w:lineRule="auto"/>
              <w:jc w:val="center"/>
              <w:rPr>
                <w:rFonts w:ascii="Arial"/>
                <w:sz w:val="24"/>
                <w:szCs w:val="24"/>
              </w:rPr>
            </w:pPr>
          </w:p>
        </w:tc>
        <w:tc>
          <w:tcPr>
            <w:tcW w:w="1335" w:type="dxa"/>
            <w:vAlign w:val="center"/>
          </w:tcPr>
          <w:p>
            <w:pPr>
              <w:spacing w:line="240" w:lineRule="auto"/>
              <w:jc w:val="center"/>
              <w:textAlignment w:val="center"/>
              <w:rPr>
                <w:rFonts w:hint="eastAsia" w:ascii="Arial" w:eastAsiaTheme="minorEastAsia"/>
                <w:sz w:val="24"/>
                <w:szCs w:val="24"/>
                <w:lang w:eastAsia="zh-CN"/>
              </w:rPr>
            </w:pPr>
          </w:p>
        </w:tc>
        <w:tc>
          <w:tcPr>
            <w:tcW w:w="1824" w:type="dxa"/>
            <w:vAlign w:val="center"/>
          </w:tcPr>
          <w:p>
            <w:pPr>
              <w:spacing w:line="240" w:lineRule="auto"/>
              <w:jc w:val="center"/>
              <w:rPr>
                <w:rFonts w:ascii="Arial"/>
                <w:sz w:val="24"/>
                <w:szCs w:val="24"/>
              </w:rPr>
            </w:pPr>
          </w:p>
        </w:tc>
        <w:tc>
          <w:tcPr>
            <w:tcW w:w="2362" w:type="dxa"/>
            <w:tcBorders>
              <w:left w:val="single" w:color="000000" w:sz="4" w:space="0"/>
            </w:tcBorders>
            <w:vAlign w:val="center"/>
          </w:tcPr>
          <w:p>
            <w:pPr>
              <w:spacing w:line="240" w:lineRule="auto"/>
              <w:jc w:val="center"/>
              <w:rPr>
                <w:rFonts w:ascii="Arial"/>
                <w:sz w:val="24"/>
                <w:szCs w:val="24"/>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ascii="宋体" w:hAnsi="宋体" w:eastAsia="宋体" w:cs="宋体"/>
                <w:sz w:val="24"/>
                <w:szCs w:val="24"/>
              </w:rPr>
            </w:pPr>
            <w:r>
              <w:rPr>
                <w:rFonts w:hint="eastAsia" w:ascii="宋体" w:hAnsi="宋体" w:eastAsia="宋体" w:cs="宋体"/>
                <w:b w:val="0"/>
                <w:bCs w:val="0"/>
                <w:i w:val="0"/>
                <w:iCs w:val="0"/>
                <w:color w:val="000000"/>
                <w:kern w:val="0"/>
                <w:sz w:val="24"/>
                <w:szCs w:val="24"/>
                <w:u w:val="none"/>
                <w:lang w:val="en-US" w:eastAsia="zh-CN" w:bidi="ar"/>
              </w:rPr>
              <w:t>2</w:t>
            </w:r>
          </w:p>
        </w:tc>
        <w:tc>
          <w:tcPr>
            <w:tcW w:w="2238" w:type="dxa"/>
            <w:vAlign w:val="center"/>
          </w:tcPr>
          <w:p>
            <w:pPr>
              <w:spacing w:line="240" w:lineRule="auto"/>
              <w:jc w:val="center"/>
              <w:rPr>
                <w:rFonts w:hint="eastAsia" w:ascii="宋体" w:hAnsi="宋体" w:eastAsia="宋体" w:cstheme="minorBidi"/>
                <w:b w:val="0"/>
                <w:bCs/>
                <w:kern w:val="2"/>
                <w:sz w:val="24"/>
                <w:szCs w:val="24"/>
                <w:lang w:val="en-US" w:eastAsia="zh-CN" w:bidi="ar-SA"/>
              </w:rPr>
            </w:pPr>
          </w:p>
        </w:tc>
        <w:tc>
          <w:tcPr>
            <w:tcW w:w="2239" w:type="dxa"/>
            <w:vAlign w:val="center"/>
          </w:tcPr>
          <w:p>
            <w:pPr>
              <w:spacing w:line="240" w:lineRule="auto"/>
              <w:jc w:val="center"/>
              <w:rPr>
                <w:rFonts w:ascii="Arial"/>
                <w:sz w:val="24"/>
                <w:szCs w:val="24"/>
              </w:rPr>
            </w:pPr>
          </w:p>
        </w:tc>
        <w:tc>
          <w:tcPr>
            <w:tcW w:w="1335" w:type="dxa"/>
            <w:vAlign w:val="center"/>
          </w:tcPr>
          <w:p>
            <w:pPr>
              <w:spacing w:line="240" w:lineRule="auto"/>
              <w:jc w:val="center"/>
              <w:textAlignment w:val="center"/>
              <w:rPr>
                <w:rFonts w:hint="eastAsia" w:ascii="Arial" w:eastAsiaTheme="minorEastAsia"/>
                <w:sz w:val="24"/>
                <w:szCs w:val="24"/>
                <w:lang w:eastAsia="zh-CN"/>
              </w:rPr>
            </w:pPr>
          </w:p>
        </w:tc>
        <w:tc>
          <w:tcPr>
            <w:tcW w:w="1824" w:type="dxa"/>
            <w:vAlign w:val="center"/>
          </w:tcPr>
          <w:p>
            <w:pPr>
              <w:spacing w:line="240" w:lineRule="auto"/>
              <w:jc w:val="center"/>
              <w:rPr>
                <w:rFonts w:ascii="Arial"/>
                <w:sz w:val="24"/>
                <w:szCs w:val="24"/>
              </w:rPr>
            </w:pPr>
          </w:p>
        </w:tc>
        <w:tc>
          <w:tcPr>
            <w:tcW w:w="2362" w:type="dxa"/>
            <w:tcBorders>
              <w:left w:val="single" w:color="000000" w:sz="4" w:space="0"/>
            </w:tcBorders>
            <w:vAlign w:val="center"/>
          </w:tcPr>
          <w:p>
            <w:pPr>
              <w:spacing w:line="240" w:lineRule="auto"/>
              <w:jc w:val="center"/>
              <w:rPr>
                <w:rFonts w:ascii="Arial"/>
                <w:sz w:val="24"/>
                <w:szCs w:val="24"/>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ascii="宋体" w:hAnsi="宋体" w:eastAsia="宋体" w:cs="宋体"/>
                <w:sz w:val="24"/>
                <w:szCs w:val="24"/>
              </w:rPr>
            </w:pPr>
            <w:r>
              <w:rPr>
                <w:rFonts w:hint="eastAsia" w:ascii="宋体" w:hAnsi="宋体" w:eastAsia="宋体" w:cs="宋体"/>
                <w:b w:val="0"/>
                <w:bCs w:val="0"/>
                <w:i w:val="0"/>
                <w:iCs w:val="0"/>
                <w:color w:val="000000"/>
                <w:kern w:val="0"/>
                <w:sz w:val="24"/>
                <w:szCs w:val="24"/>
                <w:u w:val="none"/>
                <w:lang w:val="en-US" w:eastAsia="zh-CN" w:bidi="ar"/>
              </w:rPr>
              <w:t>3</w:t>
            </w:r>
          </w:p>
        </w:tc>
        <w:tc>
          <w:tcPr>
            <w:tcW w:w="2238" w:type="dxa"/>
            <w:vAlign w:val="center"/>
          </w:tcPr>
          <w:p>
            <w:pPr>
              <w:spacing w:line="240" w:lineRule="auto"/>
              <w:jc w:val="center"/>
              <w:rPr>
                <w:rFonts w:hint="eastAsia" w:ascii="宋体" w:hAnsi="宋体" w:eastAsia="宋体" w:cstheme="minorBidi"/>
                <w:b w:val="0"/>
                <w:bCs/>
                <w:kern w:val="2"/>
                <w:sz w:val="24"/>
                <w:szCs w:val="24"/>
                <w:lang w:val="en-US" w:eastAsia="zh-CN" w:bidi="ar-SA"/>
              </w:rPr>
            </w:pPr>
          </w:p>
        </w:tc>
        <w:tc>
          <w:tcPr>
            <w:tcW w:w="2239" w:type="dxa"/>
            <w:vAlign w:val="center"/>
          </w:tcPr>
          <w:p>
            <w:pPr>
              <w:spacing w:line="240" w:lineRule="auto"/>
              <w:jc w:val="center"/>
              <w:rPr>
                <w:rFonts w:ascii="Arial"/>
                <w:sz w:val="24"/>
                <w:szCs w:val="24"/>
              </w:rPr>
            </w:pPr>
          </w:p>
        </w:tc>
        <w:tc>
          <w:tcPr>
            <w:tcW w:w="1335" w:type="dxa"/>
            <w:vAlign w:val="center"/>
          </w:tcPr>
          <w:p>
            <w:pPr>
              <w:spacing w:line="240" w:lineRule="auto"/>
              <w:jc w:val="center"/>
              <w:rPr>
                <w:rFonts w:hint="eastAsia" w:ascii="Arial" w:eastAsiaTheme="minorEastAsia"/>
                <w:sz w:val="24"/>
                <w:szCs w:val="24"/>
                <w:lang w:eastAsia="zh-CN"/>
              </w:rPr>
            </w:pPr>
          </w:p>
        </w:tc>
        <w:tc>
          <w:tcPr>
            <w:tcW w:w="1824" w:type="dxa"/>
            <w:vAlign w:val="center"/>
          </w:tcPr>
          <w:p>
            <w:pPr>
              <w:spacing w:line="240" w:lineRule="auto"/>
              <w:jc w:val="center"/>
              <w:rPr>
                <w:rFonts w:ascii="Arial"/>
                <w:sz w:val="24"/>
                <w:szCs w:val="24"/>
              </w:rPr>
            </w:pPr>
          </w:p>
        </w:tc>
        <w:tc>
          <w:tcPr>
            <w:tcW w:w="2362" w:type="dxa"/>
            <w:tcBorders>
              <w:left w:val="single" w:color="000000" w:sz="4" w:space="0"/>
            </w:tcBorders>
            <w:vAlign w:val="center"/>
          </w:tcPr>
          <w:p>
            <w:pPr>
              <w:spacing w:line="240" w:lineRule="auto"/>
              <w:jc w:val="center"/>
              <w:rPr>
                <w:rFonts w:ascii="Arial"/>
                <w:sz w:val="24"/>
                <w:szCs w:val="24"/>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pPr>
              <w:rPr>
                <w:rFonts w:ascii="Arial"/>
              </w:rPr>
            </w:pPr>
            <w:r>
              <w:rPr>
                <w:rFonts w:hint="eastAsia" w:ascii="宋体" w:hAnsi="宋体" w:eastAsia="宋体" w:cs="宋体"/>
              </w:rPr>
              <w:t>以上投标设备不足之处请往下添加序号自行补充</w:t>
            </w: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lang w:val="en-US" w:eastAsia="zh-CN"/>
        </w:rPr>
        <w:t>1</w:t>
      </w:r>
      <w:r>
        <w:rPr>
          <w:rFonts w:hint="eastAsia" w:ascii="宋体" w:hAnsi="宋体" w:eastAsia="宋体" w:cs="宋体"/>
          <w:spacing w:val="-6"/>
          <w:szCs w:val="21"/>
          <w:highlight w:val="none"/>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none"/>
          <w:lang w:val="en-US" w:eastAsia="zh-CN"/>
        </w:rPr>
      </w:pPr>
      <w:r>
        <w:rPr>
          <w:rFonts w:hint="eastAsia" w:ascii="宋体" w:hAnsi="宋体" w:eastAsia="宋体" w:cs="宋体"/>
          <w:b/>
          <w:bCs/>
          <w:spacing w:val="-6"/>
          <w:szCs w:val="21"/>
          <w:highlight w:val="none"/>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3.此表分项明细需要和附表9-1完全对应。</w:t>
      </w:r>
    </w:p>
    <w:p>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1"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rPr>
        <w:t>MC07</w:t>
      </w:r>
      <w:r>
        <w:rPr>
          <w:rFonts w:hint="eastAsia" w:ascii="宋体" w:hAnsi="宋体" w:eastAsia="宋体" w:cs="宋体"/>
          <w:sz w:val="24"/>
          <w:u w:val="single"/>
          <w:lang w:val="en-US" w:eastAsia="zh-CN"/>
        </w:rPr>
        <w:t>缸盖下沉水套工装模具（2025）</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highlight w:val="none"/>
              </w:rPr>
            </w:pPr>
            <w:r>
              <w:rPr>
                <w:rFonts w:ascii="宋体" w:hAnsi="宋体" w:eastAsia="宋体" w:cs="宋体"/>
                <w:sz w:val="24"/>
                <w:szCs w:val="24"/>
                <w:highlight w:val="none"/>
              </w:rPr>
              <w:t>20</w:t>
            </w:r>
            <w:r>
              <w:rPr>
                <w:rFonts w:hint="eastAsia" w:ascii="宋体" w:hAnsi="宋体" w:eastAsia="宋体" w:cs="宋体"/>
                <w:sz w:val="24"/>
                <w:szCs w:val="24"/>
                <w:highlight w:val="none"/>
                <w:lang w:val="en-US" w:eastAsia="zh-CN"/>
              </w:rPr>
              <w:t>22</w:t>
            </w:r>
            <w:r>
              <w:rPr>
                <w:rFonts w:ascii="宋体" w:hAnsi="宋体" w:eastAsia="宋体" w:cs="宋体"/>
                <w:sz w:val="24"/>
                <w:szCs w:val="24"/>
                <w:highlight w:val="none"/>
              </w:rPr>
              <w:t>年1月1日至今所有业绩合同总额汇总（必填）</w:t>
            </w:r>
          </w:p>
        </w:tc>
        <w:tc>
          <w:tcPr>
            <w:tcW w:w="826" w:type="dxa"/>
          </w:tcPr>
          <w:p>
            <w:pPr>
              <w:ind w:left="420" w:hanging="420"/>
              <w:rPr>
                <w:rFonts w:ascii="宋体" w:hAnsi="Times New Roman" w:eastAsia="宋体" w:cs="Times New Roman"/>
                <w:b/>
                <w:szCs w:val="20"/>
                <w:highlight w:val="none"/>
              </w:rPr>
            </w:pPr>
          </w:p>
        </w:tc>
        <w:tc>
          <w:tcPr>
            <w:tcW w:w="1320" w:type="dxa"/>
          </w:tcPr>
          <w:p>
            <w:pPr>
              <w:ind w:left="420" w:hanging="420"/>
              <w:rPr>
                <w:rFonts w:ascii="宋体" w:hAnsi="Times New Roman" w:eastAsia="宋体" w:cs="Times New Roman"/>
                <w:b/>
                <w:szCs w:val="20"/>
                <w:highlight w:val="none"/>
              </w:rPr>
            </w:pPr>
          </w:p>
        </w:tc>
        <w:tc>
          <w:tcPr>
            <w:tcW w:w="1023" w:type="dxa"/>
          </w:tcPr>
          <w:p>
            <w:pPr>
              <w:ind w:left="420" w:hanging="420"/>
              <w:rPr>
                <w:rFonts w:ascii="宋体" w:hAnsi="Times New Roman" w:eastAsia="宋体" w:cs="Times New Roman"/>
                <w:b/>
                <w:szCs w:val="20"/>
                <w:highlight w:val="none"/>
              </w:rPr>
            </w:pPr>
          </w:p>
        </w:tc>
        <w:tc>
          <w:tcPr>
            <w:tcW w:w="1590" w:type="dxa"/>
          </w:tcPr>
          <w:p>
            <w:pPr>
              <w:ind w:left="420" w:hanging="420"/>
              <w:rPr>
                <w:rFonts w:ascii="宋体" w:hAnsi="Times New Roman" w:eastAsia="宋体" w:cs="Times New Roman"/>
                <w:b/>
                <w:szCs w:val="20"/>
                <w:highlight w:val="none"/>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rPr>
        <w:t>MC07</w:t>
      </w:r>
      <w:r>
        <w:rPr>
          <w:rFonts w:hint="eastAsia" w:ascii="宋体" w:hAnsi="宋体" w:eastAsia="宋体" w:cs="宋体"/>
          <w:sz w:val="24"/>
          <w:u w:val="single"/>
          <w:lang w:val="en-US" w:eastAsia="zh-CN"/>
        </w:rPr>
        <w:t>缸盖下沉水套工装模具（2025）</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中国重汽集团杭州发动机有限公司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rPr>
        <w:t>MC07</w:t>
      </w:r>
      <w:r>
        <w:rPr>
          <w:rFonts w:hint="eastAsia" w:ascii="宋体" w:hAnsi="宋体" w:eastAsia="宋体" w:cs="宋体"/>
          <w:sz w:val="24"/>
          <w:u w:val="single"/>
          <w:lang w:val="en-US" w:eastAsia="zh-CN"/>
        </w:rPr>
        <w:t>缸盖下沉水套工装模具（2025）</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MC07</w:t>
            </w:r>
            <w:r>
              <w:rPr>
                <w:rFonts w:hint="eastAsia" w:ascii="等线" w:hAnsi="等线" w:eastAsia="等线" w:cs="Times New Roman"/>
                <w:b/>
                <w:szCs w:val="20"/>
                <w:lang w:val="en-US" w:eastAsia="zh-CN"/>
              </w:rPr>
              <w:t>缸盖下沉水套工装模具（2025）</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8"/>
        <w:rPr>
          <w:rFonts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8"/>
        <w:sectPr>
          <w:pgSz w:w="11906" w:h="16838"/>
          <w:pgMar w:top="1588" w:right="1418" w:bottom="1134" w:left="1418" w:header="851" w:footer="992" w:gutter="0"/>
          <w:cols w:space="720" w:num="1"/>
          <w:titlePg/>
          <w:docGrid w:type="lines" w:linePitch="312" w:charSpace="0"/>
        </w:sectPr>
      </w:pPr>
    </w:p>
    <w:p>
      <w:pPr>
        <w:pStyle w:val="6"/>
        <w:keepNext/>
        <w:keepLines/>
        <w:pageBreakBefore w:val="0"/>
        <w:widowControl w:val="0"/>
        <w:kinsoku/>
        <w:wordWrap/>
        <w:overflowPunct/>
        <w:topLinePunct w:val="0"/>
        <w:autoSpaceDE/>
        <w:autoSpaceDN/>
        <w:bidi w:val="0"/>
        <w:adjustRightInd/>
        <w:snapToGrid/>
        <w:spacing w:before="0"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附件9 </w:t>
      </w:r>
      <w:r>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t>工装模具及易损件</w:t>
      </w: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分项报价表</w:t>
      </w:r>
    </w:p>
    <w:p>
      <w:pPr>
        <w:pStyle w:val="5"/>
        <w:jc w:val="center"/>
        <w:rPr>
          <w:rFonts w:ascii="宋体" w:hAnsi="宋体" w:eastAsia="宋体" w:cs="Times New Roman"/>
          <w:b/>
          <w:bCs/>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cs="宋体"/>
          <w:spacing w:val="13"/>
          <w:sz w:val="24"/>
          <w:szCs w:val="24"/>
          <w:lang w:eastAsia="zh-CN"/>
          <w14:textOutline w14:w="5791" w14:cap="flat" w14:cmpd="sng" w14:algn="ctr">
            <w14:solidFill>
              <w14:srgbClr w14:val="000000"/>
            </w14:solidFill>
            <w14:prstDash w14:val="solid"/>
            <w14:miter w14:val="0"/>
          </w14:textOutline>
        </w:rPr>
        <w:t>工装模具及易损件</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1790"/>
        <w:gridCol w:w="2239"/>
        <w:gridCol w:w="1120"/>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vAlign w:val="top"/>
          </w:tcPr>
          <w:p>
            <w:pPr>
              <w:spacing w:before="97" w:line="186" w:lineRule="auto"/>
              <w:ind w:left="304"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gridSpan w:val="2"/>
            <w:vAlign w:val="top"/>
          </w:tcPr>
          <w:p>
            <w:pPr>
              <w:spacing w:before="98" w:line="185" w:lineRule="auto"/>
              <w:ind w:left="1071"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vAlign w:val="top"/>
          </w:tcPr>
          <w:p>
            <w:pPr>
              <w:spacing w:before="99" w:line="183" w:lineRule="auto"/>
              <w:ind w:left="1075"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pPr>
              <w:spacing w:before="98" w:line="185" w:lineRule="auto"/>
              <w:ind w:left="511" w:leftChars="0"/>
              <w:rPr>
                <w:rFonts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pPr>
              <w:spacing w:before="100" w:line="182"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pPr>
              <w:spacing w:before="98" w:line="185"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pPr>
              <w:spacing w:before="98" w:line="185"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pPr>
              <w:spacing w:before="100" w:line="182"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pPr>
              <w:spacing w:before="99" w:line="183" w:lineRule="auto"/>
              <w:ind w:firstLine="422" w:firstLineChars="200"/>
              <w:rPr>
                <w:rFonts w:ascii="宋体" w:hAnsi="宋体" w:eastAsia="宋体" w:cs="宋体"/>
                <w:kern w:val="2"/>
                <w:sz w:val="21"/>
                <w:szCs w:val="21"/>
                <w:lang w:val="en-US" w:eastAsia="zh-CN" w:bidi="ar-SA"/>
              </w:rPr>
            </w:pPr>
            <w:r>
              <w:rPr>
                <w:rFonts w:hint="eastAsia" w:ascii="宋体" w:hAnsi="宋体" w:eastAsia="宋体" w:cs="宋体"/>
                <w:b/>
                <w:bCs/>
                <w:szCs w:val="21"/>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gridSpan w:val="2"/>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Cs w:val="21"/>
              </w:rPr>
            </w:pPr>
            <w:r>
              <w:rPr>
                <w:rFonts w:ascii="宋体" w:hAnsi="宋体" w:eastAsia="宋体" w:cs="宋体"/>
                <w:szCs w:val="21"/>
              </w:rPr>
              <w:t>1</w:t>
            </w:r>
          </w:p>
        </w:tc>
        <w:tc>
          <w:tcPr>
            <w:tcW w:w="2238" w:type="dxa"/>
            <w:gridSpan w:val="2"/>
            <w:vAlign w:val="center"/>
          </w:tcPr>
          <w:p>
            <w:pPr>
              <w:spacing w:line="240" w:lineRule="auto"/>
              <w:jc w:val="center"/>
              <w:rPr>
                <w:rFonts w:hint="eastAsia" w:ascii="宋体" w:hAnsi="宋体" w:eastAsia="宋体" w:cstheme="minorBidi"/>
                <w:b w:val="0"/>
                <w:bCs/>
                <w:kern w:val="2"/>
                <w:sz w:val="21"/>
                <w:szCs w:val="21"/>
                <w:lang w:val="en-US" w:eastAsia="zh-CN" w:bidi="ar-SA"/>
              </w:rPr>
            </w:pPr>
          </w:p>
        </w:tc>
        <w:tc>
          <w:tcPr>
            <w:tcW w:w="2239" w:type="dxa"/>
            <w:vAlign w:val="center"/>
          </w:tcPr>
          <w:p>
            <w:pPr>
              <w:spacing w:line="240" w:lineRule="auto"/>
              <w:jc w:val="center"/>
              <w:rPr>
                <w:rFonts w:ascii="Arial"/>
              </w:rPr>
            </w:pPr>
          </w:p>
        </w:tc>
        <w:tc>
          <w:tcPr>
            <w:tcW w:w="1120" w:type="dxa"/>
            <w:vAlign w:val="center"/>
          </w:tcPr>
          <w:p>
            <w:pPr>
              <w:spacing w:line="240" w:lineRule="auto"/>
              <w:jc w:val="center"/>
              <w:textAlignment w:val="center"/>
              <w:rPr>
                <w:rFonts w:ascii="宋体" w:hAnsi="宋体" w:eastAsia="宋体" w:cs="宋体"/>
                <w:kern w:val="2"/>
                <w:sz w:val="24"/>
                <w:szCs w:val="24"/>
                <w:highlight w:val="yellow"/>
                <w:lang w:val="en-US" w:eastAsia="zh-CN" w:bidi="ar-SA"/>
              </w:rPr>
            </w:pPr>
          </w:p>
        </w:tc>
        <w:tc>
          <w:tcPr>
            <w:tcW w:w="1120" w:type="dxa"/>
            <w:vAlign w:val="center"/>
          </w:tcPr>
          <w:p>
            <w:pPr>
              <w:spacing w:line="240" w:lineRule="auto"/>
              <w:jc w:val="center"/>
              <w:rPr>
                <w:rFonts w:ascii="宋体" w:hAnsi="宋体" w:eastAsia="宋体" w:cs="宋体"/>
                <w:kern w:val="2"/>
                <w:sz w:val="24"/>
                <w:szCs w:val="24"/>
                <w:highlight w:val="yellow"/>
                <w:lang w:val="en-US" w:eastAsia="zh-CN" w:bidi="ar-SA"/>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1" w:line="185" w:lineRule="auto"/>
              <w:ind w:left="291"/>
              <w:rPr>
                <w:rFonts w:ascii="宋体" w:hAnsi="宋体" w:eastAsia="宋体" w:cs="宋体"/>
                <w:szCs w:val="21"/>
              </w:rPr>
            </w:pPr>
            <w:r>
              <w:rPr>
                <w:rFonts w:ascii="宋体" w:hAnsi="宋体" w:eastAsia="宋体" w:cs="宋体"/>
                <w:szCs w:val="21"/>
              </w:rPr>
              <w:t>2</w:t>
            </w:r>
          </w:p>
        </w:tc>
        <w:tc>
          <w:tcPr>
            <w:tcW w:w="2238" w:type="dxa"/>
            <w:gridSpan w:val="2"/>
            <w:vAlign w:val="center"/>
          </w:tcPr>
          <w:p>
            <w:pPr>
              <w:spacing w:line="240" w:lineRule="auto"/>
              <w:jc w:val="center"/>
              <w:rPr>
                <w:rFonts w:hint="eastAsia" w:ascii="宋体" w:hAnsi="宋体" w:eastAsia="宋体" w:cstheme="minorBidi"/>
                <w:b w:val="0"/>
                <w:bCs/>
                <w:kern w:val="2"/>
                <w:sz w:val="21"/>
                <w:szCs w:val="21"/>
                <w:lang w:val="en-US" w:eastAsia="zh-CN" w:bidi="ar-SA"/>
              </w:rPr>
            </w:pPr>
          </w:p>
        </w:tc>
        <w:tc>
          <w:tcPr>
            <w:tcW w:w="2239" w:type="dxa"/>
            <w:vAlign w:val="center"/>
          </w:tcPr>
          <w:p>
            <w:pPr>
              <w:spacing w:line="240" w:lineRule="auto"/>
              <w:jc w:val="center"/>
              <w:rPr>
                <w:rFonts w:ascii="Arial"/>
              </w:rPr>
            </w:pPr>
          </w:p>
        </w:tc>
        <w:tc>
          <w:tcPr>
            <w:tcW w:w="1120" w:type="dxa"/>
            <w:vAlign w:val="center"/>
          </w:tcPr>
          <w:p>
            <w:pPr>
              <w:spacing w:line="240" w:lineRule="auto"/>
              <w:jc w:val="center"/>
              <w:textAlignment w:val="center"/>
              <w:rPr>
                <w:rFonts w:ascii="宋体" w:hAnsi="宋体" w:eastAsia="宋体" w:cs="宋体"/>
                <w:kern w:val="2"/>
                <w:sz w:val="24"/>
                <w:szCs w:val="24"/>
                <w:highlight w:val="yellow"/>
                <w:lang w:val="en-US" w:eastAsia="zh-CN" w:bidi="ar-SA"/>
              </w:rPr>
            </w:pPr>
          </w:p>
        </w:tc>
        <w:tc>
          <w:tcPr>
            <w:tcW w:w="1120" w:type="dxa"/>
            <w:vAlign w:val="center"/>
          </w:tcPr>
          <w:p>
            <w:pPr>
              <w:spacing w:line="240" w:lineRule="auto"/>
              <w:jc w:val="center"/>
              <w:rPr>
                <w:rFonts w:ascii="宋体" w:hAnsi="宋体" w:eastAsia="宋体" w:cs="宋体"/>
                <w:kern w:val="2"/>
                <w:sz w:val="24"/>
                <w:szCs w:val="24"/>
                <w:highlight w:val="yellow"/>
                <w:lang w:val="en-US" w:eastAsia="zh-CN" w:bidi="ar-SA"/>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2" w:line="183" w:lineRule="auto"/>
              <w:ind w:left="293"/>
              <w:rPr>
                <w:rFonts w:ascii="宋体" w:hAnsi="宋体" w:eastAsia="宋体" w:cs="宋体"/>
                <w:szCs w:val="21"/>
              </w:rPr>
            </w:pPr>
            <w:r>
              <w:rPr>
                <w:rFonts w:ascii="宋体" w:hAnsi="宋体" w:eastAsia="宋体" w:cs="宋体"/>
                <w:szCs w:val="21"/>
              </w:rPr>
              <w:t>3</w:t>
            </w:r>
          </w:p>
        </w:tc>
        <w:tc>
          <w:tcPr>
            <w:tcW w:w="2238" w:type="dxa"/>
            <w:gridSpan w:val="2"/>
            <w:vAlign w:val="center"/>
          </w:tcPr>
          <w:p>
            <w:pPr>
              <w:spacing w:line="240" w:lineRule="auto"/>
              <w:jc w:val="center"/>
              <w:rPr>
                <w:rFonts w:hint="eastAsia" w:ascii="宋体" w:hAnsi="宋体" w:eastAsia="宋体" w:cstheme="minorBidi"/>
                <w:b w:val="0"/>
                <w:bCs/>
                <w:kern w:val="2"/>
                <w:sz w:val="21"/>
                <w:szCs w:val="21"/>
                <w:lang w:val="en-US" w:eastAsia="zh-CN" w:bidi="ar-SA"/>
              </w:rPr>
            </w:pPr>
          </w:p>
        </w:tc>
        <w:tc>
          <w:tcPr>
            <w:tcW w:w="2239" w:type="dxa"/>
            <w:vAlign w:val="center"/>
          </w:tcPr>
          <w:p>
            <w:pPr>
              <w:spacing w:line="240" w:lineRule="auto"/>
              <w:jc w:val="center"/>
              <w:rPr>
                <w:rFonts w:ascii="Arial"/>
              </w:rPr>
            </w:pPr>
          </w:p>
        </w:tc>
        <w:tc>
          <w:tcPr>
            <w:tcW w:w="1120" w:type="dxa"/>
            <w:vAlign w:val="center"/>
          </w:tcPr>
          <w:p>
            <w:pPr>
              <w:spacing w:line="240" w:lineRule="auto"/>
              <w:jc w:val="center"/>
              <w:rPr>
                <w:rFonts w:ascii="宋体" w:hAnsi="宋体" w:eastAsia="宋体" w:cs="宋体"/>
                <w:kern w:val="2"/>
                <w:sz w:val="24"/>
                <w:szCs w:val="24"/>
                <w:highlight w:val="yellow"/>
                <w:lang w:val="en-US" w:eastAsia="zh-CN" w:bidi="ar-SA"/>
              </w:rPr>
            </w:pPr>
          </w:p>
        </w:tc>
        <w:tc>
          <w:tcPr>
            <w:tcW w:w="1120" w:type="dxa"/>
            <w:vAlign w:val="center"/>
          </w:tcPr>
          <w:p>
            <w:pPr>
              <w:spacing w:line="240" w:lineRule="auto"/>
              <w:jc w:val="center"/>
              <w:rPr>
                <w:rFonts w:ascii="宋体" w:hAnsi="宋体" w:eastAsia="宋体" w:cs="宋体"/>
                <w:kern w:val="2"/>
                <w:sz w:val="24"/>
                <w:szCs w:val="24"/>
                <w:highlight w:val="yellow"/>
                <w:lang w:val="en-US" w:eastAsia="zh-CN" w:bidi="ar-SA"/>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gridSpan w:val="2"/>
          </w:tcPr>
          <w:p>
            <w:pPr>
              <w:rPr>
                <w:rFonts w:ascii="Arial"/>
              </w:rPr>
            </w:pPr>
            <w:r>
              <w:rPr>
                <w:rFonts w:hint="eastAsia" w:ascii="宋体" w:hAnsi="宋体" w:eastAsia="宋体" w:cs="宋体"/>
              </w:rPr>
              <w:t>以上投标</w:t>
            </w:r>
            <w:r>
              <w:rPr>
                <w:rFonts w:hint="eastAsia" w:ascii="宋体" w:hAnsi="宋体" w:eastAsia="宋体" w:cs="宋体"/>
                <w:lang w:eastAsia="zh-CN"/>
              </w:rPr>
              <w:t>工装模具及易损件</w:t>
            </w:r>
            <w:r>
              <w:rPr>
                <w:rFonts w:hint="eastAsia" w:ascii="宋体" w:hAnsi="宋体" w:eastAsia="宋体" w:cs="宋体"/>
              </w:rPr>
              <w:t>不足之处请往下添加序号自行补充</w:t>
            </w:r>
          </w:p>
        </w:tc>
        <w:tc>
          <w:tcPr>
            <w:tcW w:w="2239" w:type="dxa"/>
          </w:tcPr>
          <w:p>
            <w:pPr>
              <w:rPr>
                <w:rFonts w:ascii="Arial"/>
              </w:rPr>
            </w:pPr>
          </w:p>
        </w:tc>
        <w:tc>
          <w:tcPr>
            <w:tcW w:w="1120"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pPr>
              <w:jc w:val="center"/>
              <w:rPr>
                <w:rFonts w:ascii="宋体" w:hAnsi="宋体" w:eastAsia="宋体" w:cs="宋体"/>
                <w:spacing w:val="-6"/>
                <w:szCs w:val="21"/>
              </w:rPr>
            </w:pPr>
          </w:p>
        </w:tc>
        <w:tc>
          <w:tcPr>
            <w:tcW w:w="10470"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w:t>
      </w:r>
      <w:r>
        <w:rPr>
          <w:rFonts w:hint="eastAsia" w:ascii="宋体" w:hAnsi="宋体" w:eastAsia="宋体" w:cs="宋体"/>
          <w:spacing w:val="-4"/>
          <w:szCs w:val="21"/>
          <w:lang w:eastAsia="zh-CN"/>
        </w:rPr>
        <w:t>工装模具及易损件</w:t>
      </w:r>
      <w:r>
        <w:rPr>
          <w:rFonts w:ascii="宋体" w:hAnsi="宋体" w:eastAsia="宋体" w:cs="宋体"/>
          <w:spacing w:val="-4"/>
          <w:szCs w:val="21"/>
        </w:rPr>
        <w:t>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4"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keepNext/>
        <w:keepLines/>
        <w:pageBreakBefore w:val="0"/>
        <w:widowControl w:val="0"/>
        <w:kinsoku/>
        <w:wordWrap/>
        <w:overflowPunct/>
        <w:topLinePunct w:val="0"/>
        <w:autoSpaceDE/>
        <w:autoSpaceDN/>
        <w:bidi w:val="0"/>
        <w:adjustRightInd/>
        <w:snapToGrid/>
        <w:spacing w:before="0" w:after="0"/>
        <w:jc w:val="left"/>
        <w:textAlignment w:val="auto"/>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5" w:type="default"/>
          <w:pgSz w:w="16841" w:h="11907"/>
          <w:pgMar w:top="400" w:right="1699" w:bottom="1184" w:left="1481" w:header="0" w:footer="1022" w:gutter="0"/>
          <w:cols w:space="720" w:num="1"/>
        </w:sectPr>
      </w:pPr>
    </w:p>
    <w:p>
      <w:pPr>
        <w:pStyle w:val="6"/>
        <w:keepNext/>
        <w:keepLines/>
        <w:pageBreakBefore w:val="0"/>
        <w:widowControl w:val="0"/>
        <w:kinsoku/>
        <w:wordWrap/>
        <w:overflowPunct/>
        <w:topLinePunct w:val="0"/>
        <w:autoSpaceDE/>
        <w:autoSpaceDN/>
        <w:bidi w:val="0"/>
        <w:adjustRightInd/>
        <w:snapToGrid/>
        <w:spacing w:before="0" w:after="0"/>
        <w:jc w:val="left"/>
        <w:textAlignment w:val="auto"/>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top"/>
          </w:tcPr>
          <w:p>
            <w:pPr>
              <w:spacing w:before="266" w:line="221" w:lineRule="auto"/>
              <w:jc w:val="center"/>
              <w:rPr>
                <w:rFonts w:ascii="宋体" w:hAnsi="宋体" w:eastAsia="宋体" w:cs="宋体"/>
                <w:szCs w:val="21"/>
                <w:highlight w:val="none"/>
              </w:rPr>
            </w:pPr>
            <w:r>
              <w:rPr>
                <w:rFonts w:hint="eastAsia" w:ascii="宋体" w:hAnsi="宋体" w:eastAsia="宋体" w:cs="宋体"/>
                <w:spacing w:val="-1"/>
                <w:szCs w:val="21"/>
                <w:highlight w:val="none"/>
                <w:lang w:val="en-US" w:eastAsia="zh-CN"/>
              </w:rPr>
              <w:t>现场安装调试费</w:t>
            </w:r>
          </w:p>
        </w:tc>
        <w:tc>
          <w:tcPr>
            <w:tcW w:w="1126" w:type="dxa"/>
            <w:vAlign w:val="top"/>
          </w:tcPr>
          <w:p>
            <w:pPr>
              <w:spacing w:before="266" w:line="221" w:lineRule="auto"/>
              <w:jc w:val="center"/>
              <w:rPr>
                <w:rFonts w:hint="eastAsia" w:ascii="宋体" w:hAnsi="宋体" w:eastAsia="宋体" w:cs="宋体"/>
                <w:spacing w:val="-2"/>
                <w:szCs w:val="21"/>
                <w:highlight w:val="none"/>
                <w:lang w:val="en-US" w:eastAsia="zh-CN"/>
              </w:rPr>
            </w:pPr>
            <w:r>
              <w:rPr>
                <w:rFonts w:ascii="宋体" w:hAnsi="宋体" w:eastAsia="宋体" w:cs="宋体"/>
                <w:spacing w:val="-1"/>
                <w:sz w:val="21"/>
                <w:szCs w:val="21"/>
                <w:highlight w:val="none"/>
              </w:rPr>
              <w:t>人</w:t>
            </w:r>
            <w:r>
              <w:rPr>
                <w:rFonts w:hint="eastAsia" w:ascii="宋体" w:hAnsi="宋体" w:eastAsia="宋体" w:cs="宋体"/>
                <w:spacing w:val="-1"/>
                <w:sz w:val="21"/>
                <w:szCs w:val="21"/>
                <w:highlight w:val="none"/>
              </w:rPr>
              <w:t>·</w:t>
            </w:r>
            <w:r>
              <w:rPr>
                <w:rFonts w:ascii="宋体" w:hAnsi="宋体" w:eastAsia="宋体" w:cs="宋体"/>
                <w:spacing w:val="-1"/>
                <w:sz w:val="21"/>
                <w:szCs w:val="21"/>
                <w:highlight w:val="none"/>
              </w:rPr>
              <w:t>天</w:t>
            </w:r>
          </w:p>
        </w:tc>
        <w:tc>
          <w:tcPr>
            <w:tcW w:w="1138" w:type="dxa"/>
          </w:tcPr>
          <w:p>
            <w:pPr>
              <w:spacing w:before="266" w:line="221" w:lineRule="auto"/>
              <w:jc w:val="center"/>
              <w:rPr>
                <w:rFonts w:ascii="宋体" w:hAnsi="宋体" w:eastAsia="宋体" w:cs="宋体"/>
                <w:spacing w:val="-2"/>
                <w:szCs w:val="21"/>
                <w:highlight w:val="none"/>
              </w:rPr>
            </w:pPr>
          </w:p>
        </w:tc>
        <w:tc>
          <w:tcPr>
            <w:tcW w:w="1138" w:type="dxa"/>
          </w:tcPr>
          <w:p>
            <w:pPr>
              <w:spacing w:before="266" w:line="221" w:lineRule="auto"/>
              <w:jc w:val="center"/>
              <w:rPr>
                <w:rFonts w:ascii="宋体" w:hAnsi="宋体" w:eastAsia="宋体" w:cs="宋体"/>
                <w:spacing w:val="-2"/>
                <w:szCs w:val="21"/>
                <w:highlight w:val="none"/>
              </w:rPr>
            </w:pPr>
          </w:p>
        </w:tc>
        <w:tc>
          <w:tcPr>
            <w:tcW w:w="2449" w:type="dxa"/>
          </w:tcPr>
          <w:p>
            <w:pPr>
              <w:rPr>
                <w:rFonts w:ascii="Arial"/>
                <w:highlight w:val="none"/>
              </w:rPr>
            </w:pPr>
          </w:p>
        </w:tc>
        <w:tc>
          <w:tcPr>
            <w:tcW w:w="3328" w:type="dxa"/>
          </w:tcPr>
          <w:p>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top"/>
          </w:tcPr>
          <w:p>
            <w:pPr>
              <w:spacing w:before="266" w:line="221" w:lineRule="auto"/>
              <w:jc w:val="center"/>
              <w:rPr>
                <w:rFonts w:ascii="宋体" w:hAnsi="宋体" w:eastAsia="宋体" w:cs="宋体"/>
                <w:szCs w:val="21"/>
                <w:highlight w:val="none"/>
              </w:rPr>
            </w:pPr>
            <w:r>
              <w:rPr>
                <w:rFonts w:hint="eastAsia" w:ascii="宋体" w:hAnsi="宋体" w:eastAsia="宋体" w:cs="宋体"/>
                <w:szCs w:val="21"/>
                <w:highlight w:val="none"/>
                <w:lang w:val="en-US" w:eastAsia="zh-CN"/>
              </w:rPr>
              <w:t>技术培训费</w:t>
            </w:r>
          </w:p>
        </w:tc>
        <w:tc>
          <w:tcPr>
            <w:tcW w:w="1126" w:type="dxa"/>
            <w:vAlign w:val="top"/>
          </w:tcPr>
          <w:p>
            <w:pPr>
              <w:spacing w:before="266" w:line="221" w:lineRule="auto"/>
              <w:jc w:val="center"/>
              <w:rPr>
                <w:rFonts w:ascii="宋体" w:hAnsi="宋体" w:eastAsia="宋体" w:cs="宋体"/>
                <w:spacing w:val="-2"/>
                <w:szCs w:val="21"/>
                <w:highlight w:val="none"/>
              </w:rPr>
            </w:pPr>
            <w:r>
              <w:rPr>
                <w:rFonts w:ascii="宋体" w:hAnsi="宋体" w:eastAsia="宋体" w:cs="宋体"/>
                <w:spacing w:val="-1"/>
                <w:sz w:val="21"/>
                <w:szCs w:val="21"/>
                <w:highlight w:val="none"/>
              </w:rPr>
              <w:t>人</w:t>
            </w:r>
            <w:r>
              <w:rPr>
                <w:rFonts w:hint="eastAsia" w:ascii="宋体" w:hAnsi="宋体" w:eastAsia="宋体" w:cs="宋体"/>
                <w:spacing w:val="-1"/>
                <w:sz w:val="21"/>
                <w:szCs w:val="21"/>
                <w:highlight w:val="none"/>
              </w:rPr>
              <w:t>·</w:t>
            </w:r>
            <w:r>
              <w:rPr>
                <w:rFonts w:ascii="宋体" w:hAnsi="宋体" w:eastAsia="宋体" w:cs="宋体"/>
                <w:spacing w:val="-1"/>
                <w:sz w:val="21"/>
                <w:szCs w:val="21"/>
                <w:highlight w:val="none"/>
              </w:rPr>
              <w:t>天</w:t>
            </w:r>
          </w:p>
        </w:tc>
        <w:tc>
          <w:tcPr>
            <w:tcW w:w="1138" w:type="dxa"/>
          </w:tcPr>
          <w:p>
            <w:pPr>
              <w:spacing w:before="266" w:line="221" w:lineRule="auto"/>
              <w:jc w:val="center"/>
              <w:rPr>
                <w:rFonts w:ascii="宋体" w:hAnsi="宋体" w:eastAsia="宋体" w:cs="宋体"/>
                <w:spacing w:val="-2"/>
                <w:szCs w:val="21"/>
                <w:highlight w:val="none"/>
              </w:rPr>
            </w:pPr>
          </w:p>
        </w:tc>
        <w:tc>
          <w:tcPr>
            <w:tcW w:w="1138" w:type="dxa"/>
          </w:tcPr>
          <w:p>
            <w:pPr>
              <w:spacing w:before="266" w:line="221" w:lineRule="auto"/>
              <w:jc w:val="center"/>
              <w:rPr>
                <w:rFonts w:ascii="宋体" w:hAnsi="宋体" w:eastAsia="宋体" w:cs="宋体"/>
                <w:spacing w:val="-2"/>
                <w:szCs w:val="21"/>
                <w:highlight w:val="none"/>
              </w:rPr>
            </w:pPr>
          </w:p>
        </w:tc>
        <w:tc>
          <w:tcPr>
            <w:tcW w:w="2449" w:type="dxa"/>
          </w:tcPr>
          <w:p>
            <w:pPr>
              <w:rPr>
                <w:rFonts w:ascii="Arial"/>
                <w:highlight w:val="none"/>
              </w:rPr>
            </w:pPr>
          </w:p>
        </w:tc>
        <w:tc>
          <w:tcPr>
            <w:tcW w:w="3328" w:type="dxa"/>
          </w:tcPr>
          <w:p>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8"/>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6" w:type="default"/>
          <w:pgSz w:w="16841" w:h="11907"/>
          <w:pgMar w:top="400" w:right="1699" w:bottom="1184" w:left="1481" w:header="0" w:footer="1022" w:gutter="0"/>
          <w:cols w:space="720" w:num="1"/>
        </w:sectPr>
      </w:pPr>
    </w:p>
    <w:p>
      <w:pPr>
        <w:pStyle w:val="6"/>
        <w:keepNext/>
        <w:keepLines/>
        <w:pageBreakBefore w:val="0"/>
        <w:widowControl w:val="0"/>
        <w:kinsoku/>
        <w:wordWrap/>
        <w:overflowPunct/>
        <w:topLinePunct w:val="0"/>
        <w:autoSpaceDE/>
        <w:autoSpaceDN/>
        <w:bidi w:val="0"/>
        <w:adjustRightInd/>
        <w:snapToGrid/>
        <w:spacing w:before="0" w:after="0"/>
        <w:jc w:val="left"/>
        <w:textAlignment w:val="auto"/>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7" w:type="default"/>
          <w:pgSz w:w="16841" w:h="11907"/>
          <w:pgMar w:top="400" w:right="1500" w:bottom="1184" w:left="1480" w:header="0" w:footer="1022" w:gutter="0"/>
          <w:cols w:space="720" w:num="1"/>
        </w:sectPr>
      </w:pPr>
    </w:p>
    <w:p>
      <w:pPr>
        <w:pStyle w:val="6"/>
        <w:keepNext/>
        <w:keepLines/>
        <w:pageBreakBefore w:val="0"/>
        <w:widowControl w:val="0"/>
        <w:kinsoku/>
        <w:wordWrap/>
        <w:overflowPunct/>
        <w:topLinePunct w:val="0"/>
        <w:autoSpaceDE/>
        <w:autoSpaceDN/>
        <w:bidi w:val="0"/>
        <w:adjustRightInd/>
        <w:snapToGrid/>
        <w:spacing w:before="0"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8"/>
      </w:pPr>
    </w:p>
    <w:p>
      <w:pPr>
        <w:pStyle w:val="18"/>
      </w:pPr>
    </w:p>
    <w:p>
      <w:pPr>
        <w:spacing w:before="140" w:line="220" w:lineRule="auto"/>
        <w:ind w:left="2" w:firstLine="464" w:firstLineChars="200"/>
        <w:rPr>
          <w:rFonts w:ascii="宋体" w:hAnsi="宋体" w:eastAsia="宋体" w:cs="宋体"/>
          <w:spacing w:val="-2"/>
          <w:szCs w:val="21"/>
        </w:rPr>
        <w:sectPr>
          <w:footerReference r:id="rId28"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u w:val="single"/>
              </w:rPr>
              <w:t>MC07</w:t>
            </w:r>
            <w:r>
              <w:rPr>
                <w:rFonts w:hint="eastAsia" w:ascii="宋体" w:hAnsi="宋体" w:eastAsia="宋体" w:cs="宋体"/>
                <w:sz w:val="24"/>
                <w:u w:val="single"/>
                <w:lang w:val="en-US" w:eastAsia="zh-CN"/>
              </w:rPr>
              <w:t>缸盖下沉水套工装模具（2025）</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rPr>
        <w:t>MC07</w:t>
      </w:r>
      <w:r>
        <w:rPr>
          <w:rFonts w:hint="eastAsia" w:ascii="宋体" w:hAnsi="宋体" w:eastAsia="宋体" w:cs="宋体"/>
          <w:sz w:val="24"/>
          <w:u w:val="single"/>
          <w:lang w:val="en-US" w:eastAsia="zh-CN"/>
        </w:rPr>
        <w:t>缸盖下沉水套工装模具（2025）</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29"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u w:val="single"/>
        </w:rPr>
        <w:t>MC07</w:t>
      </w:r>
      <w:r>
        <w:rPr>
          <w:rFonts w:hint="eastAsia" w:ascii="宋体" w:hAnsi="宋体" w:eastAsia="宋体" w:cs="宋体"/>
          <w:sz w:val="24"/>
          <w:u w:val="single"/>
          <w:lang w:val="en-US" w:eastAsia="zh-CN"/>
        </w:rPr>
        <w:t>缸盖下沉水套工装模具（2025）</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中国重汽集团杭州发动机有限公司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8"/>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1</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u w:val="single"/>
              </w:rPr>
              <w:t>MC07</w:t>
            </w:r>
            <w:r>
              <w:rPr>
                <w:rFonts w:hint="eastAsia" w:ascii="宋体" w:hAnsi="宋体" w:eastAsia="宋体" w:cs="宋体"/>
                <w:sz w:val="24"/>
                <w:u w:val="single"/>
                <w:lang w:val="en-US" w:eastAsia="zh-CN"/>
              </w:rPr>
              <w:t>缸盖下沉水套工装模具（2025）</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8"/>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1" w:type="first"/>
          <w:footerReference r:id="rId33" w:type="first"/>
          <w:headerReference r:id="rId30" w:type="default"/>
          <w:footerReference r:id="rId32"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pPr>
        <w:keepNext/>
        <w:keepLines/>
        <w:spacing w:line="240" w:lineRule="auto"/>
        <w:ind w:right="0" w:firstLine="0" w:firstLineChars="0"/>
        <w:jc w:val="center"/>
        <w:rPr>
          <w:rFonts w:hint="eastAsia" w:ascii="宋体" w:hAnsi="宋体" w:eastAsia="宋体" w:cs="宋体"/>
          <w:b/>
          <w:bCs/>
          <w:color w:val="000000"/>
          <w:sz w:val="24"/>
          <w:szCs w:val="24"/>
          <w:lang w:val="en-US" w:eastAsia="zh-CN"/>
        </w:rPr>
      </w:pPr>
      <w:r>
        <w:rPr>
          <w:rFonts w:hint="eastAsia" w:ascii="宋体" w:hAnsi="宋体" w:eastAsia="宋体" w:cs="Times New Roman"/>
          <w:b/>
          <w:bCs/>
          <w:sz w:val="24"/>
          <w:szCs w:val="24"/>
        </w:rPr>
        <w:t>技术标评审表（100分）</w:t>
      </w:r>
    </w:p>
    <w:tbl>
      <w:tblPr>
        <w:tblStyle w:val="39"/>
        <w:tblpPr w:leftFromText="180" w:rightFromText="180" w:vertAnchor="text" w:horzAnchor="page" w:tblpX="1174" w:tblpY="320"/>
        <w:tblOverlap w:val="never"/>
        <w:tblW w:w="14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615"/>
        <w:gridCol w:w="2865"/>
        <w:gridCol w:w="885"/>
        <w:gridCol w:w="9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940" w:type="dxa"/>
            <w:noWrap w:val="0"/>
            <w:vAlign w:val="center"/>
          </w:tcPr>
          <w:p>
            <w:pPr>
              <w:tabs>
                <w:tab w:val="left" w:pos="13965"/>
              </w:tabs>
              <w:spacing w:line="240" w:lineRule="auto"/>
              <w:ind w:right="0" w:firstLine="0" w:firstLineChars="0"/>
              <w:jc w:val="center"/>
              <w:rPr>
                <w:rFonts w:ascii="宋体" w:hAnsi="宋体" w:eastAsia="宋体" w:cs="宋体"/>
                <w:sz w:val="18"/>
                <w:szCs w:val="18"/>
              </w:rPr>
            </w:pPr>
            <w:r>
              <w:rPr>
                <w:rFonts w:hint="eastAsia" w:ascii="宋体" w:hAnsi="宋体" w:eastAsia="宋体" w:cs="宋体"/>
                <w:sz w:val="18"/>
                <w:szCs w:val="18"/>
              </w:rPr>
              <w:t>评价类型</w:t>
            </w:r>
          </w:p>
        </w:tc>
        <w:tc>
          <w:tcPr>
            <w:tcW w:w="615" w:type="dxa"/>
            <w:noWrap w:val="0"/>
            <w:vAlign w:val="center"/>
          </w:tcPr>
          <w:p>
            <w:pPr>
              <w:tabs>
                <w:tab w:val="left" w:pos="13965"/>
              </w:tabs>
              <w:spacing w:line="240" w:lineRule="auto"/>
              <w:ind w:right="0" w:firstLine="0" w:firstLineChars="0"/>
              <w:jc w:val="center"/>
              <w:rPr>
                <w:rFonts w:ascii="宋体" w:hAnsi="宋体" w:eastAsia="宋体" w:cs="宋体"/>
                <w:sz w:val="18"/>
                <w:szCs w:val="18"/>
              </w:rPr>
            </w:pPr>
            <w:r>
              <w:rPr>
                <w:rFonts w:hint="eastAsia" w:ascii="宋体" w:hAnsi="宋体" w:eastAsia="宋体" w:cs="宋体"/>
                <w:sz w:val="18"/>
                <w:szCs w:val="18"/>
              </w:rPr>
              <w:t>序号</w:t>
            </w:r>
          </w:p>
        </w:tc>
        <w:tc>
          <w:tcPr>
            <w:tcW w:w="2865" w:type="dxa"/>
            <w:noWrap w:val="0"/>
            <w:vAlign w:val="center"/>
          </w:tcPr>
          <w:p>
            <w:pPr>
              <w:tabs>
                <w:tab w:val="left" w:pos="13965"/>
              </w:tabs>
              <w:spacing w:line="240" w:lineRule="auto"/>
              <w:ind w:right="0" w:firstLine="0" w:firstLineChars="0"/>
              <w:jc w:val="center"/>
              <w:rPr>
                <w:rFonts w:ascii="宋体" w:hAnsi="宋体" w:eastAsia="宋体" w:cs="宋体"/>
                <w:sz w:val="18"/>
                <w:szCs w:val="18"/>
              </w:rPr>
            </w:pPr>
            <w:r>
              <w:rPr>
                <w:rFonts w:hint="eastAsia" w:ascii="宋体" w:hAnsi="宋体" w:eastAsia="宋体" w:cs="宋体"/>
                <w:sz w:val="18"/>
                <w:szCs w:val="18"/>
              </w:rPr>
              <w:t>内   容</w:t>
            </w:r>
          </w:p>
        </w:tc>
        <w:tc>
          <w:tcPr>
            <w:tcW w:w="885" w:type="dxa"/>
            <w:noWrap w:val="0"/>
            <w:vAlign w:val="center"/>
          </w:tcPr>
          <w:p>
            <w:pPr>
              <w:tabs>
                <w:tab w:val="left" w:pos="13965"/>
              </w:tabs>
              <w:spacing w:line="240" w:lineRule="auto"/>
              <w:ind w:right="0" w:firstLine="0" w:firstLineChars="0"/>
              <w:jc w:val="center"/>
              <w:rPr>
                <w:rFonts w:ascii="宋体" w:hAnsi="宋体" w:eastAsia="宋体" w:cs="宋体"/>
                <w:sz w:val="18"/>
                <w:szCs w:val="18"/>
              </w:rPr>
            </w:pPr>
            <w:r>
              <w:rPr>
                <w:rFonts w:hint="eastAsia" w:ascii="宋体" w:hAnsi="宋体" w:eastAsia="宋体" w:cs="宋体"/>
                <w:sz w:val="18"/>
                <w:szCs w:val="18"/>
              </w:rPr>
              <w:t>标准分</w:t>
            </w:r>
          </w:p>
        </w:tc>
        <w:tc>
          <w:tcPr>
            <w:tcW w:w="9369" w:type="dxa"/>
            <w:noWrap w:val="0"/>
            <w:vAlign w:val="center"/>
          </w:tcPr>
          <w:p>
            <w:pPr>
              <w:tabs>
                <w:tab w:val="left" w:pos="13965"/>
              </w:tabs>
              <w:spacing w:line="240" w:lineRule="auto"/>
              <w:ind w:right="0" w:firstLine="0" w:firstLineChars="0"/>
              <w:jc w:val="center"/>
              <w:rPr>
                <w:rFonts w:ascii="宋体" w:hAnsi="宋体" w:eastAsia="宋体" w:cs="宋体"/>
                <w:sz w:val="18"/>
                <w:szCs w:val="18"/>
              </w:rPr>
            </w:pPr>
            <w:r>
              <w:rPr>
                <w:rFonts w:hint="eastAsia" w:ascii="宋体" w:hAnsi="宋体" w:eastAsia="宋体" w:cs="宋体"/>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5" w:hRule="atLeast"/>
        </w:trPr>
        <w:tc>
          <w:tcPr>
            <w:tcW w:w="940" w:type="dxa"/>
            <w:vMerge w:val="restart"/>
            <w:noWrap w:val="0"/>
            <w:vAlign w:val="center"/>
          </w:tcPr>
          <w:p>
            <w:pPr>
              <w:tabs>
                <w:tab w:val="left" w:pos="13965"/>
              </w:tabs>
              <w:spacing w:line="240" w:lineRule="auto"/>
              <w:ind w:right="0" w:firstLine="0" w:firstLineChars="0"/>
              <w:jc w:val="center"/>
              <w:rPr>
                <w:rFonts w:ascii="宋体" w:hAnsi="宋体" w:eastAsia="宋体" w:cs="宋体"/>
                <w:sz w:val="18"/>
                <w:szCs w:val="18"/>
              </w:rPr>
            </w:pPr>
            <w:r>
              <w:rPr>
                <w:rFonts w:hint="eastAsia" w:ascii="宋体" w:hAnsi="宋体" w:eastAsia="宋体" w:cs="宋体"/>
                <w:sz w:val="18"/>
                <w:szCs w:val="18"/>
              </w:rPr>
              <w:t>技术</w:t>
            </w:r>
          </w:p>
          <w:p>
            <w:pPr>
              <w:tabs>
                <w:tab w:val="left" w:pos="13965"/>
              </w:tabs>
              <w:spacing w:line="240" w:lineRule="auto"/>
              <w:ind w:right="0" w:firstLine="0" w:firstLineChars="0"/>
              <w:jc w:val="center"/>
              <w:rPr>
                <w:rFonts w:ascii="宋体" w:hAnsi="宋体" w:eastAsia="宋体" w:cs="宋体"/>
                <w:sz w:val="18"/>
                <w:szCs w:val="18"/>
              </w:rPr>
            </w:pPr>
            <w:r>
              <w:rPr>
                <w:rFonts w:ascii="宋体" w:hAnsi="宋体" w:eastAsia="宋体" w:cs="宋体"/>
                <w:sz w:val="18"/>
                <w:szCs w:val="18"/>
              </w:rPr>
              <w:t>10</w:t>
            </w:r>
            <w:r>
              <w:rPr>
                <w:rFonts w:hint="eastAsia" w:ascii="宋体" w:hAnsi="宋体" w:eastAsia="宋体" w:cs="宋体"/>
                <w:sz w:val="18"/>
                <w:szCs w:val="18"/>
              </w:rPr>
              <w:t>0分</w:t>
            </w:r>
          </w:p>
        </w:tc>
        <w:tc>
          <w:tcPr>
            <w:tcW w:w="615" w:type="dxa"/>
            <w:noWrap w:val="0"/>
            <w:vAlign w:val="center"/>
          </w:tcPr>
          <w:p>
            <w:pPr>
              <w:tabs>
                <w:tab w:val="left" w:pos="13965"/>
              </w:tabs>
              <w:spacing w:line="240" w:lineRule="auto"/>
              <w:ind w:right="0" w:firstLine="0" w:firstLineChars="0"/>
              <w:jc w:val="center"/>
              <w:rPr>
                <w:rFonts w:ascii="宋体" w:hAnsi="宋体" w:eastAsia="宋体" w:cs="宋体"/>
                <w:sz w:val="18"/>
                <w:szCs w:val="18"/>
              </w:rPr>
            </w:pPr>
            <w:r>
              <w:rPr>
                <w:rFonts w:hint="eastAsia" w:ascii="宋体" w:hAnsi="宋体" w:eastAsia="宋体" w:cs="宋体"/>
                <w:sz w:val="18"/>
                <w:szCs w:val="18"/>
              </w:rPr>
              <w:t>1</w:t>
            </w:r>
          </w:p>
        </w:tc>
        <w:tc>
          <w:tcPr>
            <w:tcW w:w="2865" w:type="dxa"/>
            <w:noWrap w:val="0"/>
            <w:vAlign w:val="center"/>
          </w:tcPr>
          <w:p>
            <w:pPr>
              <w:tabs>
                <w:tab w:val="left" w:pos="13965"/>
              </w:tabs>
              <w:spacing w:line="240" w:lineRule="auto"/>
              <w:ind w:right="0" w:firstLine="0" w:firstLineChars="0"/>
              <w:jc w:val="center"/>
              <w:rPr>
                <w:rFonts w:ascii="宋体" w:hAnsi="宋体" w:eastAsia="宋体" w:cs="宋体"/>
                <w:sz w:val="18"/>
                <w:szCs w:val="18"/>
              </w:rPr>
            </w:pPr>
            <w:r>
              <w:rPr>
                <w:rFonts w:hint="eastAsia" w:ascii="宋体" w:hAnsi="宋体" w:cs="宋体"/>
                <w:sz w:val="18"/>
                <w:szCs w:val="18"/>
                <w:lang w:val="en-US" w:eastAsia="zh-CN"/>
              </w:rPr>
              <w:t>模具</w:t>
            </w:r>
            <w:r>
              <w:rPr>
                <w:rFonts w:hint="eastAsia" w:ascii="宋体" w:hAnsi="宋体" w:eastAsia="宋体" w:cs="宋体"/>
                <w:sz w:val="18"/>
                <w:szCs w:val="18"/>
              </w:rPr>
              <w:t>制造商同类型项目业绩</w:t>
            </w:r>
          </w:p>
        </w:tc>
        <w:tc>
          <w:tcPr>
            <w:tcW w:w="885" w:type="dxa"/>
            <w:noWrap w:val="0"/>
            <w:vAlign w:val="center"/>
          </w:tcPr>
          <w:p>
            <w:pPr>
              <w:tabs>
                <w:tab w:val="left" w:pos="13965"/>
              </w:tabs>
              <w:spacing w:line="240" w:lineRule="auto"/>
              <w:ind w:right="0"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8</w:t>
            </w:r>
          </w:p>
        </w:tc>
        <w:tc>
          <w:tcPr>
            <w:tcW w:w="9369" w:type="dxa"/>
            <w:noWrap w:val="0"/>
            <w:vAlign w:val="center"/>
          </w:tcPr>
          <w:p>
            <w:pPr>
              <w:tabs>
                <w:tab w:val="left" w:pos="13965"/>
              </w:tabs>
              <w:spacing w:line="240" w:lineRule="auto"/>
              <w:ind w:right="0" w:firstLine="0" w:firstLineChars="0"/>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由评标委员会成员独立进行客观、公正的评价，按照业绩数量进行赋分，相同业绩每一个得1分，类似业绩,每一个得0.5分。本条款得分最高</w:t>
            </w:r>
            <w:r>
              <w:rPr>
                <w:rFonts w:hint="eastAsia" w:ascii="宋体" w:hAnsi="宋体" w:cs="宋体"/>
                <w:sz w:val="18"/>
                <w:szCs w:val="18"/>
                <w:lang w:val="en-US" w:eastAsia="zh-CN"/>
              </w:rPr>
              <w:t>8</w:t>
            </w:r>
            <w:r>
              <w:rPr>
                <w:rFonts w:hint="eastAsia" w:ascii="宋体" w:hAnsi="宋体" w:eastAsia="宋体" w:cs="宋体"/>
                <w:sz w:val="18"/>
                <w:szCs w:val="18"/>
              </w:rPr>
              <w:t>分。</w:t>
            </w:r>
            <w:r>
              <w:rPr>
                <w:rFonts w:hint="eastAsia" w:ascii="宋体" w:hAnsi="宋体" w:eastAsia="宋体" w:cs="宋体"/>
                <w:sz w:val="18"/>
                <w:szCs w:val="18"/>
                <w:lang w:val="en-US" w:eastAsia="zh-CN"/>
              </w:rPr>
              <w:t>同类型</w:t>
            </w:r>
            <w:r>
              <w:rPr>
                <w:rFonts w:hint="eastAsia" w:ascii="宋体" w:hAnsi="宋体" w:eastAsia="宋体" w:cs="宋体"/>
                <w:sz w:val="18"/>
                <w:szCs w:val="18"/>
              </w:rPr>
              <w:t>业绩:投标人在20</w:t>
            </w:r>
            <w:r>
              <w:rPr>
                <w:rFonts w:hint="eastAsia" w:ascii="宋体" w:hAnsi="宋体" w:cs="宋体"/>
                <w:sz w:val="18"/>
                <w:szCs w:val="18"/>
                <w:lang w:val="en-US" w:eastAsia="zh-CN"/>
              </w:rPr>
              <w:t>18</w:t>
            </w:r>
            <w:r>
              <w:rPr>
                <w:rFonts w:hint="eastAsia" w:ascii="宋体" w:hAnsi="宋体" w:eastAsia="宋体" w:cs="宋体"/>
                <w:sz w:val="18"/>
                <w:szCs w:val="18"/>
              </w:rPr>
              <w:t>年</w:t>
            </w:r>
            <w:r>
              <w:rPr>
                <w:rFonts w:hint="eastAsia" w:ascii="宋体" w:hAnsi="宋体" w:cs="宋体"/>
                <w:sz w:val="18"/>
                <w:szCs w:val="18"/>
                <w:lang w:val="en-US" w:eastAsia="zh-CN"/>
              </w:rPr>
              <w:t>1</w:t>
            </w:r>
            <w:r>
              <w:rPr>
                <w:rFonts w:hint="eastAsia" w:ascii="宋体" w:hAnsi="宋体" w:eastAsia="宋体" w:cs="宋体"/>
                <w:sz w:val="18"/>
                <w:szCs w:val="18"/>
              </w:rPr>
              <w:t>月1日（时间以签订日期为准）以来在中国与本标同类型且参数规格相符的产品,以合同复印件加盖公章为准（须有客户联系方式及联系人以供招标人核实确认）。与本标同类型但参数规格明显不同的产品,属于类似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940" w:type="dxa"/>
            <w:vMerge w:val="continue"/>
            <w:noWrap w:val="0"/>
            <w:vAlign w:val="center"/>
          </w:tcPr>
          <w:p>
            <w:pPr>
              <w:spacing w:line="240" w:lineRule="auto"/>
              <w:ind w:right="0" w:firstLine="0" w:firstLineChars="0"/>
              <w:jc w:val="center"/>
              <w:rPr>
                <w:rFonts w:ascii="宋体" w:hAnsi="宋体" w:eastAsia="宋体" w:cs="宋体"/>
                <w:sz w:val="18"/>
                <w:szCs w:val="18"/>
              </w:rPr>
            </w:pPr>
          </w:p>
        </w:tc>
        <w:tc>
          <w:tcPr>
            <w:tcW w:w="615" w:type="dxa"/>
            <w:noWrap w:val="0"/>
            <w:vAlign w:val="center"/>
          </w:tcPr>
          <w:p>
            <w:pPr>
              <w:spacing w:line="240" w:lineRule="auto"/>
              <w:ind w:right="0" w:firstLine="0" w:firstLineChars="0"/>
              <w:jc w:val="center"/>
              <w:rPr>
                <w:rFonts w:ascii="宋体" w:hAnsi="宋体" w:eastAsia="宋体" w:cs="宋体"/>
                <w:sz w:val="18"/>
                <w:szCs w:val="18"/>
              </w:rPr>
            </w:pPr>
            <w:r>
              <w:rPr>
                <w:rFonts w:hint="eastAsia" w:ascii="宋体" w:hAnsi="宋体" w:eastAsia="宋体" w:cs="宋体"/>
                <w:sz w:val="18"/>
                <w:szCs w:val="18"/>
              </w:rPr>
              <w:t>2</w:t>
            </w:r>
          </w:p>
        </w:tc>
        <w:tc>
          <w:tcPr>
            <w:tcW w:w="2865" w:type="dxa"/>
            <w:noWrap w:val="0"/>
            <w:vAlign w:val="center"/>
          </w:tcPr>
          <w:p>
            <w:pPr>
              <w:tabs>
                <w:tab w:val="left" w:pos="13965"/>
              </w:tabs>
              <w:spacing w:line="240" w:lineRule="auto"/>
              <w:ind w:right="0" w:firstLine="0" w:firstLineChars="0"/>
              <w:jc w:val="center"/>
              <w:rPr>
                <w:rFonts w:ascii="宋体" w:hAnsi="宋体" w:eastAsia="宋体" w:cs="宋体"/>
                <w:sz w:val="18"/>
                <w:szCs w:val="18"/>
              </w:rPr>
            </w:pPr>
            <w:r>
              <w:rPr>
                <w:rFonts w:hint="eastAsia" w:ascii="宋体" w:hAnsi="宋体" w:eastAsia="宋体" w:cs="宋体"/>
                <w:sz w:val="18"/>
                <w:szCs w:val="18"/>
              </w:rPr>
              <w:t>供货周期及工期进度计划</w:t>
            </w:r>
          </w:p>
        </w:tc>
        <w:tc>
          <w:tcPr>
            <w:tcW w:w="885" w:type="dxa"/>
            <w:noWrap w:val="0"/>
            <w:vAlign w:val="center"/>
          </w:tcPr>
          <w:p>
            <w:pPr>
              <w:tabs>
                <w:tab w:val="left" w:pos="13965"/>
              </w:tabs>
              <w:spacing w:line="240" w:lineRule="auto"/>
              <w:ind w:right="0"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8</w:t>
            </w:r>
          </w:p>
        </w:tc>
        <w:tc>
          <w:tcPr>
            <w:tcW w:w="9369" w:type="dxa"/>
            <w:noWrap w:val="0"/>
            <w:vAlign w:val="center"/>
          </w:tcPr>
          <w:p>
            <w:pPr>
              <w:tabs>
                <w:tab w:val="left" w:pos="13965"/>
              </w:tabs>
              <w:spacing w:line="240" w:lineRule="auto"/>
              <w:ind w:right="0" w:firstLine="0" w:firstLineChars="0"/>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由评标委员会成员独立进行客观、公正的评价，按照到货周期进行赋分，到货期≤</w:t>
            </w:r>
            <w:r>
              <w:rPr>
                <w:rFonts w:hint="eastAsia" w:ascii="宋体" w:hAnsi="宋体" w:eastAsia="宋体" w:cs="宋体"/>
                <w:sz w:val="18"/>
                <w:szCs w:val="18"/>
                <w:lang w:val="en-US" w:eastAsia="zh-CN"/>
              </w:rPr>
              <w:t>2</w:t>
            </w:r>
            <w:r>
              <w:rPr>
                <w:rFonts w:hint="eastAsia" w:ascii="宋体" w:hAnsi="宋体" w:eastAsia="宋体" w:cs="宋体"/>
                <w:sz w:val="18"/>
                <w:szCs w:val="18"/>
              </w:rPr>
              <w:t>个月得</w:t>
            </w:r>
            <w:r>
              <w:rPr>
                <w:rFonts w:hint="eastAsia" w:ascii="宋体" w:hAnsi="宋体" w:cs="宋体"/>
                <w:sz w:val="18"/>
                <w:szCs w:val="18"/>
                <w:lang w:val="en-US" w:eastAsia="zh-CN"/>
              </w:rPr>
              <w:t>8</w:t>
            </w:r>
            <w:r>
              <w:rPr>
                <w:rFonts w:hint="eastAsia" w:ascii="宋体" w:hAnsi="宋体" w:eastAsia="宋体" w:cs="宋体"/>
                <w:sz w:val="18"/>
                <w:szCs w:val="18"/>
              </w:rPr>
              <w:t>分，</w:t>
            </w:r>
            <w:r>
              <w:rPr>
                <w:rFonts w:hint="eastAsia" w:ascii="宋体" w:hAnsi="宋体" w:eastAsia="宋体" w:cs="宋体"/>
                <w:sz w:val="18"/>
                <w:szCs w:val="18"/>
                <w:lang w:val="en-US" w:eastAsia="zh-CN"/>
              </w:rPr>
              <w:t>2</w:t>
            </w:r>
            <w:r>
              <w:rPr>
                <w:rFonts w:hint="eastAsia" w:ascii="宋体" w:hAnsi="宋体" w:eastAsia="宋体" w:cs="宋体"/>
                <w:sz w:val="18"/>
                <w:szCs w:val="18"/>
              </w:rPr>
              <w:t>＜到货期≤</w:t>
            </w:r>
            <w:r>
              <w:rPr>
                <w:rFonts w:hint="eastAsia" w:ascii="宋体" w:hAnsi="宋体" w:eastAsia="宋体" w:cs="宋体"/>
                <w:sz w:val="18"/>
                <w:szCs w:val="18"/>
                <w:lang w:val="en-US" w:eastAsia="zh-CN"/>
              </w:rPr>
              <w:t>3</w:t>
            </w:r>
            <w:r>
              <w:rPr>
                <w:rFonts w:hint="eastAsia" w:ascii="宋体" w:hAnsi="宋体" w:eastAsia="宋体" w:cs="宋体"/>
                <w:sz w:val="18"/>
                <w:szCs w:val="18"/>
              </w:rPr>
              <w:t>个月得</w:t>
            </w:r>
            <w:r>
              <w:rPr>
                <w:rFonts w:hint="eastAsia" w:ascii="宋体" w:hAnsi="宋体" w:cs="宋体"/>
                <w:sz w:val="18"/>
                <w:szCs w:val="18"/>
                <w:lang w:val="en-US" w:eastAsia="zh-CN"/>
              </w:rPr>
              <w:t>5</w:t>
            </w:r>
            <w:r>
              <w:rPr>
                <w:rFonts w:hint="eastAsia" w:ascii="宋体" w:hAnsi="宋体" w:eastAsia="宋体" w:cs="宋体"/>
                <w:sz w:val="18"/>
                <w:szCs w:val="18"/>
              </w:rPr>
              <w:t>分，</w:t>
            </w:r>
            <w:r>
              <w:rPr>
                <w:rFonts w:hint="eastAsia" w:ascii="宋体" w:hAnsi="宋体" w:eastAsia="宋体" w:cs="宋体"/>
                <w:sz w:val="18"/>
                <w:szCs w:val="18"/>
                <w:lang w:val="en-US" w:eastAsia="zh-CN"/>
              </w:rPr>
              <w:t>3</w:t>
            </w:r>
            <w:r>
              <w:rPr>
                <w:rFonts w:hint="eastAsia" w:ascii="宋体" w:hAnsi="宋体" w:eastAsia="宋体" w:cs="宋体"/>
                <w:sz w:val="18"/>
                <w:szCs w:val="18"/>
              </w:rPr>
              <w:t>＜到货期≤</w:t>
            </w:r>
            <w:r>
              <w:rPr>
                <w:rFonts w:hint="eastAsia" w:ascii="宋体" w:hAnsi="宋体" w:eastAsia="宋体" w:cs="宋体"/>
                <w:sz w:val="18"/>
                <w:szCs w:val="18"/>
                <w:lang w:val="en-US" w:eastAsia="zh-CN"/>
              </w:rPr>
              <w:t>4</w:t>
            </w:r>
            <w:r>
              <w:rPr>
                <w:rFonts w:hint="eastAsia" w:ascii="宋体" w:hAnsi="宋体" w:eastAsia="宋体" w:cs="宋体"/>
                <w:sz w:val="18"/>
                <w:szCs w:val="18"/>
              </w:rPr>
              <w:t>个月得</w:t>
            </w:r>
            <w:r>
              <w:rPr>
                <w:rFonts w:hint="eastAsia" w:ascii="宋体" w:hAnsi="宋体" w:cs="宋体"/>
                <w:sz w:val="18"/>
                <w:szCs w:val="18"/>
                <w:lang w:val="en-US" w:eastAsia="zh-CN"/>
              </w:rPr>
              <w:t>2</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940" w:type="dxa"/>
            <w:vMerge w:val="continue"/>
            <w:noWrap w:val="0"/>
            <w:vAlign w:val="center"/>
          </w:tcPr>
          <w:p>
            <w:pPr>
              <w:spacing w:line="240" w:lineRule="auto"/>
              <w:ind w:right="0" w:firstLine="0" w:firstLineChars="0"/>
              <w:jc w:val="center"/>
              <w:rPr>
                <w:rFonts w:ascii="宋体" w:hAnsi="宋体" w:eastAsia="宋体" w:cs="宋体"/>
                <w:sz w:val="18"/>
                <w:szCs w:val="18"/>
              </w:rPr>
            </w:pPr>
          </w:p>
        </w:tc>
        <w:tc>
          <w:tcPr>
            <w:tcW w:w="615" w:type="dxa"/>
            <w:noWrap w:val="0"/>
            <w:vAlign w:val="center"/>
          </w:tcPr>
          <w:p>
            <w:pPr>
              <w:spacing w:line="240" w:lineRule="auto"/>
              <w:ind w:right="0" w:firstLine="0" w:firstLineChars="0"/>
              <w:jc w:val="center"/>
              <w:rPr>
                <w:rFonts w:ascii="宋体" w:hAnsi="宋体" w:eastAsia="宋体" w:cs="宋体"/>
                <w:sz w:val="18"/>
                <w:szCs w:val="18"/>
              </w:rPr>
            </w:pPr>
            <w:r>
              <w:rPr>
                <w:rFonts w:hint="eastAsia" w:ascii="宋体" w:hAnsi="宋体" w:eastAsia="宋体" w:cs="宋体"/>
                <w:sz w:val="18"/>
                <w:szCs w:val="18"/>
              </w:rPr>
              <w:t>3</w:t>
            </w:r>
          </w:p>
        </w:tc>
        <w:tc>
          <w:tcPr>
            <w:tcW w:w="2865" w:type="dxa"/>
            <w:noWrap w:val="0"/>
            <w:vAlign w:val="center"/>
          </w:tcPr>
          <w:p>
            <w:pPr>
              <w:tabs>
                <w:tab w:val="left" w:pos="13965"/>
              </w:tabs>
              <w:spacing w:line="240" w:lineRule="auto"/>
              <w:ind w:right="0" w:firstLine="0" w:firstLineChars="0"/>
              <w:jc w:val="center"/>
              <w:rPr>
                <w:rFonts w:ascii="宋体" w:hAnsi="宋体" w:eastAsia="宋体" w:cs="宋体"/>
                <w:sz w:val="18"/>
                <w:szCs w:val="18"/>
              </w:rPr>
            </w:pPr>
            <w:r>
              <w:rPr>
                <w:rFonts w:hint="eastAsia" w:ascii="宋体" w:hAnsi="宋体" w:eastAsia="宋体" w:cs="宋体"/>
                <w:sz w:val="18"/>
                <w:szCs w:val="18"/>
              </w:rPr>
              <w:t>现场答疑</w:t>
            </w:r>
          </w:p>
        </w:tc>
        <w:tc>
          <w:tcPr>
            <w:tcW w:w="885" w:type="dxa"/>
            <w:noWrap w:val="0"/>
            <w:vAlign w:val="center"/>
          </w:tcPr>
          <w:p>
            <w:pPr>
              <w:tabs>
                <w:tab w:val="left" w:pos="13965"/>
              </w:tabs>
              <w:spacing w:line="240" w:lineRule="auto"/>
              <w:ind w:right="0" w:firstLine="0" w:firstLineChars="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10</w:t>
            </w:r>
          </w:p>
        </w:tc>
        <w:tc>
          <w:tcPr>
            <w:tcW w:w="9369" w:type="dxa"/>
            <w:noWrap w:val="0"/>
            <w:vAlign w:val="center"/>
          </w:tcPr>
          <w:p>
            <w:pPr>
              <w:tabs>
                <w:tab w:val="left" w:pos="13965"/>
              </w:tabs>
              <w:spacing w:line="240" w:lineRule="auto"/>
              <w:ind w:right="0" w:firstLine="0" w:firstLineChars="0"/>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由评标委员会成员独立进行客观、公正的评价，针对投标人代表对方案、技术优势的讲解，以及就该项目难点对于评标专家现场提问的回答，打分1-</w:t>
            </w:r>
            <w:r>
              <w:rPr>
                <w:rFonts w:hint="eastAsia" w:ascii="宋体" w:hAnsi="宋体" w:cs="宋体"/>
                <w:sz w:val="18"/>
                <w:szCs w:val="18"/>
                <w:lang w:val="en-US" w:eastAsia="zh-CN"/>
              </w:rPr>
              <w:t>10</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5" w:hRule="atLeast"/>
        </w:trPr>
        <w:tc>
          <w:tcPr>
            <w:tcW w:w="940" w:type="dxa"/>
            <w:vMerge w:val="continue"/>
            <w:noWrap w:val="0"/>
            <w:vAlign w:val="center"/>
          </w:tcPr>
          <w:p>
            <w:pPr>
              <w:spacing w:line="240" w:lineRule="auto"/>
              <w:ind w:right="0" w:firstLine="0" w:firstLineChars="0"/>
              <w:jc w:val="center"/>
              <w:rPr>
                <w:rFonts w:ascii="宋体" w:hAnsi="宋体" w:eastAsia="宋体" w:cs="宋体"/>
                <w:sz w:val="18"/>
                <w:szCs w:val="18"/>
              </w:rPr>
            </w:pPr>
          </w:p>
        </w:tc>
        <w:tc>
          <w:tcPr>
            <w:tcW w:w="615" w:type="dxa"/>
            <w:noWrap w:val="0"/>
            <w:vAlign w:val="center"/>
          </w:tcPr>
          <w:p>
            <w:pPr>
              <w:spacing w:line="240" w:lineRule="auto"/>
              <w:ind w:right="0" w:firstLine="0" w:firstLineChars="0"/>
              <w:jc w:val="center"/>
              <w:rPr>
                <w:rFonts w:ascii="宋体" w:hAnsi="宋体" w:eastAsia="宋体" w:cs="宋体"/>
                <w:sz w:val="18"/>
                <w:szCs w:val="18"/>
              </w:rPr>
            </w:pPr>
            <w:r>
              <w:rPr>
                <w:rFonts w:hint="eastAsia" w:ascii="宋体" w:hAnsi="宋体" w:eastAsia="宋体" w:cs="宋体"/>
                <w:sz w:val="18"/>
                <w:szCs w:val="18"/>
              </w:rPr>
              <w:t>4</w:t>
            </w:r>
          </w:p>
        </w:tc>
        <w:tc>
          <w:tcPr>
            <w:tcW w:w="2865" w:type="dxa"/>
            <w:noWrap w:val="0"/>
            <w:vAlign w:val="center"/>
          </w:tcPr>
          <w:p>
            <w:pPr>
              <w:tabs>
                <w:tab w:val="left" w:pos="13965"/>
              </w:tabs>
              <w:spacing w:line="240" w:lineRule="auto"/>
              <w:ind w:right="0" w:firstLine="0" w:firstLineChars="0"/>
              <w:jc w:val="center"/>
              <w:rPr>
                <w:rFonts w:ascii="宋体" w:hAnsi="宋体" w:eastAsia="宋体" w:cs="宋体"/>
                <w:sz w:val="18"/>
                <w:szCs w:val="18"/>
              </w:rPr>
            </w:pPr>
            <w:r>
              <w:rPr>
                <w:rFonts w:hint="eastAsia" w:ascii="宋体" w:hAnsi="宋体" w:eastAsia="宋体" w:cs="宋体"/>
                <w:sz w:val="18"/>
                <w:szCs w:val="18"/>
              </w:rPr>
              <w:t>产品方案技术先进、</w:t>
            </w:r>
            <w:r>
              <w:rPr>
                <w:rFonts w:hint="eastAsia" w:ascii="宋体" w:hAnsi="宋体" w:cs="宋体"/>
                <w:sz w:val="18"/>
                <w:szCs w:val="18"/>
                <w:lang w:val="en-US" w:eastAsia="zh-CN"/>
              </w:rPr>
              <w:t>产品模具具备的</w:t>
            </w:r>
            <w:r>
              <w:rPr>
                <w:rFonts w:hint="eastAsia" w:ascii="宋体" w:hAnsi="宋体" w:eastAsia="宋体" w:cs="宋体"/>
                <w:sz w:val="18"/>
                <w:szCs w:val="18"/>
              </w:rPr>
              <w:t>技术优势</w:t>
            </w:r>
          </w:p>
        </w:tc>
        <w:tc>
          <w:tcPr>
            <w:tcW w:w="885" w:type="dxa"/>
            <w:noWrap w:val="0"/>
            <w:vAlign w:val="center"/>
          </w:tcPr>
          <w:p>
            <w:pPr>
              <w:tabs>
                <w:tab w:val="left" w:pos="13965"/>
              </w:tabs>
              <w:spacing w:line="240" w:lineRule="auto"/>
              <w:ind w:right="0" w:firstLine="0" w:firstLineChars="0"/>
              <w:jc w:val="center"/>
              <w:rPr>
                <w:rFonts w:ascii="宋体" w:hAnsi="宋体" w:eastAsia="宋体" w:cs="宋体"/>
                <w:sz w:val="18"/>
                <w:szCs w:val="18"/>
              </w:rPr>
            </w:pPr>
            <w:r>
              <w:rPr>
                <w:rFonts w:ascii="宋体" w:hAnsi="宋体" w:eastAsia="宋体" w:cs="宋体"/>
                <w:sz w:val="18"/>
                <w:szCs w:val="18"/>
              </w:rPr>
              <w:t>50</w:t>
            </w:r>
          </w:p>
        </w:tc>
        <w:tc>
          <w:tcPr>
            <w:tcW w:w="9369" w:type="dxa"/>
            <w:noWrap w:val="0"/>
            <w:vAlign w:val="center"/>
          </w:tcPr>
          <w:p>
            <w:pPr>
              <w:tabs>
                <w:tab w:val="left" w:pos="13965"/>
              </w:tabs>
              <w:spacing w:line="240" w:lineRule="auto"/>
              <w:ind w:right="0" w:firstLine="0" w:firstLine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1</w:t>
            </w:r>
            <w:r>
              <w:rPr>
                <w:rFonts w:hint="eastAsia" w:ascii="宋体" w:hAnsi="宋体" w:eastAsia="宋体" w:cs="宋体"/>
                <w:sz w:val="18"/>
                <w:szCs w:val="18"/>
                <w:lang w:eastAsia="zh-CN"/>
              </w:rPr>
              <w:t>）</w:t>
            </w:r>
            <w:r>
              <w:rPr>
                <w:rFonts w:hint="eastAsia" w:ascii="宋体" w:hAnsi="宋体" w:eastAsia="宋体" w:cs="宋体"/>
                <w:sz w:val="18"/>
                <w:szCs w:val="18"/>
              </w:rPr>
              <w:t>定制系统方案达到招标要求，关键加工</w:t>
            </w:r>
            <w:r>
              <w:rPr>
                <w:rFonts w:hint="eastAsia" w:ascii="宋体" w:hAnsi="宋体" w:eastAsia="宋体" w:cs="宋体"/>
                <w:sz w:val="18"/>
                <w:szCs w:val="18"/>
                <w:lang w:eastAsia="zh-CN"/>
              </w:rPr>
              <w:t>工装模具及易损件</w:t>
            </w:r>
            <w:r>
              <w:rPr>
                <w:rFonts w:hint="eastAsia" w:ascii="宋体" w:hAnsi="宋体" w:eastAsia="宋体" w:cs="宋体"/>
                <w:sz w:val="18"/>
                <w:szCs w:val="18"/>
              </w:rPr>
              <w:t>、检测设备，具备自身技术优势，打分1-</w:t>
            </w:r>
            <w:r>
              <w:rPr>
                <w:rFonts w:ascii="宋体" w:hAnsi="宋体" w:eastAsia="宋体" w:cs="宋体"/>
                <w:sz w:val="18"/>
                <w:szCs w:val="18"/>
              </w:rPr>
              <w:t>10</w:t>
            </w:r>
            <w:r>
              <w:rPr>
                <w:rFonts w:hint="eastAsia" w:ascii="宋体" w:hAnsi="宋体" w:eastAsia="宋体" w:cs="宋体"/>
                <w:sz w:val="18"/>
                <w:szCs w:val="18"/>
              </w:rPr>
              <w:t>分。</w:t>
            </w:r>
          </w:p>
          <w:p>
            <w:pPr>
              <w:numPr>
                <w:ilvl w:val="0"/>
                <w:numId w:val="0"/>
              </w:numPr>
              <w:tabs>
                <w:tab w:val="left" w:pos="13965"/>
              </w:tabs>
              <w:spacing w:line="240" w:lineRule="auto"/>
              <w:ind w:leftChars="0" w:right="0" w:rightChars="0" w:firstLine="0" w:firstLine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rPr>
              <w:t>达到招标要求的前提下，工装模具设计能力</w:t>
            </w:r>
            <w:r>
              <w:rPr>
                <w:rFonts w:hint="eastAsia" w:ascii="宋体" w:hAnsi="宋体" w:cs="宋体"/>
                <w:sz w:val="18"/>
                <w:szCs w:val="18"/>
                <w:lang w:eastAsia="zh-CN"/>
              </w:rPr>
              <w:t>、</w:t>
            </w:r>
            <w:r>
              <w:rPr>
                <w:rFonts w:hint="eastAsia" w:ascii="宋体" w:hAnsi="宋体" w:eastAsia="宋体" w:cs="宋体"/>
                <w:sz w:val="18"/>
                <w:szCs w:val="18"/>
              </w:rPr>
              <w:t>工装模具制作工艺水平等优势明显，打分1-</w:t>
            </w:r>
            <w:r>
              <w:rPr>
                <w:rFonts w:ascii="宋体" w:hAnsi="宋体" w:eastAsia="宋体" w:cs="宋体"/>
                <w:sz w:val="18"/>
                <w:szCs w:val="18"/>
              </w:rPr>
              <w:t>10</w:t>
            </w:r>
            <w:r>
              <w:rPr>
                <w:rFonts w:hint="eastAsia" w:ascii="宋体" w:hAnsi="宋体" w:eastAsia="宋体" w:cs="宋体"/>
                <w:sz w:val="18"/>
                <w:szCs w:val="18"/>
              </w:rPr>
              <w:t>分。</w:t>
            </w:r>
          </w:p>
          <w:p>
            <w:pPr>
              <w:numPr>
                <w:ilvl w:val="0"/>
                <w:numId w:val="0"/>
              </w:numPr>
              <w:tabs>
                <w:tab w:val="left" w:pos="13965"/>
              </w:tabs>
              <w:spacing w:line="240" w:lineRule="auto"/>
              <w:ind w:leftChars="0" w:right="0" w:rightChars="0" w:firstLine="0" w:firstLine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w:t>
            </w:r>
            <w:r>
              <w:rPr>
                <w:rFonts w:hint="eastAsia" w:ascii="宋体" w:hAnsi="宋体" w:eastAsia="宋体" w:cs="宋体"/>
                <w:sz w:val="18"/>
                <w:szCs w:val="18"/>
              </w:rPr>
              <w:t>应具有专业化</w:t>
            </w:r>
            <w:r>
              <w:rPr>
                <w:rFonts w:hint="eastAsia" w:ascii="宋体" w:hAnsi="宋体" w:cs="宋体"/>
                <w:sz w:val="18"/>
                <w:szCs w:val="18"/>
                <w:lang w:val="en-US" w:eastAsia="zh-CN"/>
              </w:rPr>
              <w:t>模拟</w:t>
            </w:r>
            <w:r>
              <w:rPr>
                <w:rFonts w:hint="eastAsia" w:ascii="宋体" w:hAnsi="宋体" w:eastAsia="宋体" w:cs="宋体"/>
                <w:sz w:val="18"/>
                <w:szCs w:val="18"/>
              </w:rPr>
              <w:t>软件，模拟能力</w:t>
            </w:r>
            <w:r>
              <w:rPr>
                <w:rFonts w:hint="eastAsia" w:ascii="宋体" w:hAnsi="宋体" w:cs="宋体"/>
                <w:sz w:val="18"/>
                <w:szCs w:val="18"/>
                <w:lang w:eastAsia="zh-CN"/>
              </w:rPr>
              <w:t>、</w:t>
            </w:r>
            <w:r>
              <w:rPr>
                <w:rFonts w:hint="eastAsia" w:ascii="宋体" w:hAnsi="宋体" w:eastAsia="宋体" w:cs="宋体"/>
                <w:sz w:val="18"/>
                <w:szCs w:val="18"/>
              </w:rPr>
              <w:t>数据处理有独到之处，打分1-</w:t>
            </w:r>
            <w:r>
              <w:rPr>
                <w:rFonts w:ascii="宋体" w:hAnsi="宋体" w:eastAsia="宋体" w:cs="宋体"/>
                <w:sz w:val="18"/>
                <w:szCs w:val="18"/>
              </w:rPr>
              <w:t>10</w:t>
            </w:r>
            <w:r>
              <w:rPr>
                <w:rFonts w:hint="eastAsia" w:ascii="宋体" w:hAnsi="宋体" w:eastAsia="宋体" w:cs="宋体"/>
                <w:sz w:val="18"/>
                <w:szCs w:val="18"/>
              </w:rPr>
              <w:t>分。</w:t>
            </w:r>
          </w:p>
          <w:p>
            <w:pPr>
              <w:numPr>
                <w:ilvl w:val="0"/>
                <w:numId w:val="0"/>
              </w:numPr>
              <w:tabs>
                <w:tab w:val="left" w:pos="13965"/>
              </w:tabs>
              <w:spacing w:line="240" w:lineRule="auto"/>
              <w:ind w:leftChars="0" w:right="0" w:rightChars="0" w:firstLine="0" w:firstLine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4</w:t>
            </w:r>
            <w:r>
              <w:rPr>
                <w:rFonts w:hint="eastAsia" w:ascii="宋体" w:hAnsi="宋体" w:eastAsia="宋体" w:cs="宋体"/>
                <w:sz w:val="18"/>
                <w:szCs w:val="18"/>
                <w:lang w:eastAsia="zh-CN"/>
              </w:rPr>
              <w:t>）</w:t>
            </w:r>
            <w:r>
              <w:rPr>
                <w:rFonts w:hint="eastAsia" w:ascii="宋体" w:hAnsi="宋体" w:cs="宋体"/>
                <w:sz w:val="18"/>
                <w:szCs w:val="18"/>
                <w:lang w:val="en-US" w:eastAsia="zh-CN"/>
              </w:rPr>
              <w:t>模具检测能力及</w:t>
            </w:r>
            <w:r>
              <w:rPr>
                <w:rFonts w:hint="eastAsia" w:ascii="宋体" w:hAnsi="宋体" w:eastAsia="宋体" w:cs="宋体"/>
                <w:sz w:val="18"/>
                <w:szCs w:val="18"/>
              </w:rPr>
              <w:t>数据说明、操作说明详细完整，打分1-</w:t>
            </w:r>
            <w:r>
              <w:rPr>
                <w:rFonts w:ascii="宋体" w:hAnsi="宋体" w:eastAsia="宋体" w:cs="宋体"/>
                <w:sz w:val="18"/>
                <w:szCs w:val="18"/>
              </w:rPr>
              <w:t>10</w:t>
            </w:r>
            <w:r>
              <w:rPr>
                <w:rFonts w:hint="eastAsia" w:ascii="宋体" w:hAnsi="宋体" w:eastAsia="宋体" w:cs="宋体"/>
                <w:sz w:val="18"/>
                <w:szCs w:val="18"/>
              </w:rPr>
              <w:t>分。</w:t>
            </w:r>
          </w:p>
          <w:p>
            <w:pPr>
              <w:numPr>
                <w:ilvl w:val="0"/>
                <w:numId w:val="0"/>
              </w:numPr>
              <w:tabs>
                <w:tab w:val="left" w:pos="13965"/>
              </w:tabs>
              <w:spacing w:line="240" w:lineRule="auto"/>
              <w:ind w:leftChars="0" w:right="0" w:rightChars="0" w:firstLine="0" w:firstLine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5</w:t>
            </w:r>
            <w:r>
              <w:rPr>
                <w:rFonts w:hint="eastAsia" w:ascii="宋体" w:hAnsi="宋体" w:eastAsia="宋体" w:cs="宋体"/>
                <w:sz w:val="18"/>
                <w:szCs w:val="18"/>
                <w:lang w:eastAsia="zh-CN"/>
              </w:rPr>
              <w:t>）</w:t>
            </w:r>
            <w:r>
              <w:rPr>
                <w:rFonts w:hint="eastAsia" w:ascii="宋体" w:hAnsi="宋体" w:eastAsia="宋体" w:cs="宋体"/>
                <w:sz w:val="18"/>
                <w:szCs w:val="18"/>
              </w:rPr>
              <w:t>综合评价，打分</w:t>
            </w:r>
            <w:r>
              <w:rPr>
                <w:rFonts w:ascii="宋体" w:hAnsi="宋体" w:eastAsia="宋体" w:cs="宋体"/>
                <w:sz w:val="18"/>
                <w:szCs w:val="18"/>
              </w:rPr>
              <w:t>1</w:t>
            </w:r>
            <w:r>
              <w:rPr>
                <w:rFonts w:hint="eastAsia" w:ascii="宋体" w:hAnsi="宋体" w:eastAsia="宋体" w:cs="宋体"/>
                <w:sz w:val="18"/>
                <w:szCs w:val="18"/>
              </w:rPr>
              <w:t>-</w:t>
            </w:r>
            <w:r>
              <w:rPr>
                <w:rFonts w:ascii="宋体" w:hAnsi="宋体" w:eastAsia="宋体" w:cs="宋体"/>
                <w:sz w:val="18"/>
                <w:szCs w:val="18"/>
              </w:rPr>
              <w:t>10</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940" w:type="dxa"/>
            <w:vMerge w:val="continue"/>
            <w:noWrap w:val="0"/>
            <w:vAlign w:val="center"/>
          </w:tcPr>
          <w:p>
            <w:pPr>
              <w:spacing w:line="240" w:lineRule="auto"/>
              <w:ind w:right="0" w:firstLine="0" w:firstLineChars="0"/>
              <w:jc w:val="center"/>
              <w:rPr>
                <w:rFonts w:ascii="宋体" w:hAnsi="宋体" w:eastAsia="宋体" w:cs="宋体"/>
                <w:sz w:val="18"/>
                <w:szCs w:val="18"/>
              </w:rPr>
            </w:pPr>
          </w:p>
        </w:tc>
        <w:tc>
          <w:tcPr>
            <w:tcW w:w="615" w:type="dxa"/>
            <w:noWrap w:val="0"/>
            <w:vAlign w:val="center"/>
          </w:tcPr>
          <w:p>
            <w:pPr>
              <w:spacing w:line="240" w:lineRule="auto"/>
              <w:ind w:right="0" w:firstLine="0" w:firstLineChars="0"/>
              <w:jc w:val="center"/>
              <w:rPr>
                <w:rFonts w:ascii="宋体" w:hAnsi="宋体" w:eastAsia="宋体" w:cs="宋体"/>
                <w:sz w:val="18"/>
                <w:szCs w:val="18"/>
              </w:rPr>
            </w:pPr>
            <w:r>
              <w:rPr>
                <w:rFonts w:hint="eastAsia" w:ascii="宋体" w:hAnsi="宋体" w:eastAsia="宋体" w:cs="宋体"/>
                <w:sz w:val="18"/>
                <w:szCs w:val="18"/>
              </w:rPr>
              <w:t>5</w:t>
            </w:r>
          </w:p>
        </w:tc>
        <w:tc>
          <w:tcPr>
            <w:tcW w:w="2865" w:type="dxa"/>
            <w:noWrap w:val="0"/>
            <w:vAlign w:val="center"/>
          </w:tcPr>
          <w:p>
            <w:pPr>
              <w:tabs>
                <w:tab w:val="left" w:pos="13965"/>
              </w:tabs>
              <w:spacing w:line="240" w:lineRule="auto"/>
              <w:ind w:right="0" w:firstLine="0" w:firstLineChars="0"/>
              <w:jc w:val="center"/>
              <w:rPr>
                <w:rFonts w:ascii="宋体" w:hAnsi="宋体" w:eastAsia="宋体" w:cs="宋体"/>
                <w:sz w:val="18"/>
                <w:szCs w:val="18"/>
              </w:rPr>
            </w:pPr>
            <w:r>
              <w:rPr>
                <w:rFonts w:hint="eastAsia" w:ascii="宋体" w:hAnsi="宋体" w:cs="宋体"/>
                <w:sz w:val="18"/>
                <w:szCs w:val="18"/>
                <w:lang w:val="en-US" w:eastAsia="zh-CN"/>
              </w:rPr>
              <w:t>产品尺寸</w:t>
            </w:r>
            <w:r>
              <w:rPr>
                <w:rFonts w:hint="eastAsia" w:ascii="宋体" w:hAnsi="宋体" w:eastAsia="宋体" w:cs="宋体"/>
                <w:sz w:val="18"/>
                <w:szCs w:val="18"/>
              </w:rPr>
              <w:t>偏离</w:t>
            </w:r>
          </w:p>
        </w:tc>
        <w:tc>
          <w:tcPr>
            <w:tcW w:w="885" w:type="dxa"/>
            <w:noWrap w:val="0"/>
            <w:vAlign w:val="center"/>
          </w:tcPr>
          <w:p>
            <w:pPr>
              <w:tabs>
                <w:tab w:val="left" w:pos="13965"/>
              </w:tabs>
              <w:spacing w:line="240" w:lineRule="auto"/>
              <w:ind w:right="0" w:firstLine="0" w:firstLineChars="0"/>
              <w:jc w:val="center"/>
              <w:rPr>
                <w:rFonts w:ascii="宋体" w:hAnsi="宋体" w:eastAsia="宋体" w:cs="宋体"/>
                <w:sz w:val="18"/>
                <w:szCs w:val="18"/>
              </w:rPr>
            </w:pPr>
            <w:r>
              <w:rPr>
                <w:rFonts w:ascii="宋体" w:hAnsi="宋体" w:eastAsia="宋体" w:cs="宋体"/>
                <w:sz w:val="18"/>
                <w:szCs w:val="18"/>
              </w:rPr>
              <w:t>16</w:t>
            </w:r>
          </w:p>
        </w:tc>
        <w:tc>
          <w:tcPr>
            <w:tcW w:w="9369" w:type="dxa"/>
            <w:noWrap w:val="0"/>
            <w:vAlign w:val="center"/>
          </w:tcPr>
          <w:p>
            <w:pPr>
              <w:tabs>
                <w:tab w:val="left" w:pos="13965"/>
              </w:tabs>
              <w:spacing w:line="240" w:lineRule="auto"/>
              <w:ind w:right="0" w:firstLine="0" w:firstLineChars="0"/>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由评标委员会成员独立进行客观、公正的评价，在满足我司</w:t>
            </w:r>
            <w:r>
              <w:rPr>
                <w:rFonts w:hint="eastAsia" w:ascii="宋体" w:hAnsi="宋体" w:cs="宋体"/>
                <w:sz w:val="18"/>
                <w:szCs w:val="18"/>
                <w:lang w:val="en-US" w:eastAsia="zh-CN"/>
              </w:rPr>
              <w:t>产品</w:t>
            </w:r>
            <w:r>
              <w:rPr>
                <w:rFonts w:hint="eastAsia" w:ascii="宋体" w:hAnsi="宋体" w:eastAsia="宋体" w:cs="宋体"/>
                <w:sz w:val="18"/>
                <w:szCs w:val="18"/>
              </w:rPr>
              <w:t>基本要求的前提下偏离，无偏离得满分</w:t>
            </w:r>
            <w:r>
              <w:rPr>
                <w:rFonts w:hint="eastAsia" w:ascii="宋体" w:hAnsi="宋体" w:eastAsia="宋体" w:cs="宋体"/>
                <w:sz w:val="18"/>
                <w:szCs w:val="18"/>
                <w:lang w:val="en-US" w:eastAsia="zh-CN"/>
              </w:rPr>
              <w:t>16</w:t>
            </w:r>
            <w:r>
              <w:rPr>
                <w:rFonts w:hint="eastAsia" w:ascii="宋体" w:hAnsi="宋体" w:eastAsia="宋体" w:cs="宋体"/>
                <w:sz w:val="18"/>
                <w:szCs w:val="18"/>
              </w:rPr>
              <w:t>分，较大偏离每一项扣</w:t>
            </w:r>
            <w:r>
              <w:rPr>
                <w:rFonts w:hint="eastAsia" w:ascii="宋体" w:hAnsi="宋体" w:eastAsia="宋体" w:cs="宋体"/>
                <w:sz w:val="18"/>
                <w:szCs w:val="18"/>
                <w:lang w:val="en-US" w:eastAsia="zh-CN"/>
              </w:rPr>
              <w:t>2</w:t>
            </w:r>
            <w:r>
              <w:rPr>
                <w:rFonts w:hint="eastAsia" w:ascii="宋体" w:hAnsi="宋体" w:eastAsia="宋体" w:cs="宋体"/>
                <w:sz w:val="18"/>
                <w:szCs w:val="18"/>
              </w:rPr>
              <w:t>分，一般偏离每一项扣1分，最低0分。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940" w:type="dxa"/>
            <w:vMerge w:val="continue"/>
            <w:noWrap w:val="0"/>
            <w:vAlign w:val="center"/>
          </w:tcPr>
          <w:p>
            <w:pPr>
              <w:spacing w:line="240" w:lineRule="auto"/>
              <w:ind w:right="0" w:firstLine="0" w:firstLineChars="0"/>
              <w:jc w:val="center"/>
              <w:rPr>
                <w:rFonts w:ascii="宋体" w:hAnsi="宋体" w:eastAsia="宋体" w:cs="宋体"/>
                <w:sz w:val="18"/>
                <w:szCs w:val="18"/>
              </w:rPr>
            </w:pPr>
          </w:p>
        </w:tc>
        <w:tc>
          <w:tcPr>
            <w:tcW w:w="615" w:type="dxa"/>
            <w:noWrap w:val="0"/>
            <w:vAlign w:val="center"/>
          </w:tcPr>
          <w:p>
            <w:pPr>
              <w:spacing w:line="240" w:lineRule="auto"/>
              <w:ind w:right="0"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6</w:t>
            </w:r>
          </w:p>
        </w:tc>
        <w:tc>
          <w:tcPr>
            <w:tcW w:w="2865" w:type="dxa"/>
            <w:noWrap w:val="0"/>
            <w:vAlign w:val="center"/>
          </w:tcPr>
          <w:p>
            <w:pPr>
              <w:tabs>
                <w:tab w:val="left" w:pos="13965"/>
              </w:tabs>
              <w:spacing w:line="240" w:lineRule="auto"/>
              <w:ind w:right="0" w:rightChars="0" w:firstLine="0" w:firstLineChars="0"/>
              <w:jc w:val="center"/>
              <w:rPr>
                <w:rFonts w:ascii="宋体" w:hAnsi="宋体" w:eastAsia="宋体" w:cs="宋体"/>
                <w:sz w:val="18"/>
                <w:szCs w:val="18"/>
              </w:rPr>
            </w:pPr>
            <w:r>
              <w:rPr>
                <w:rFonts w:hint="eastAsia" w:ascii="宋体" w:hAnsi="宋体" w:eastAsia="宋体" w:cs="宋体"/>
                <w:sz w:val="18"/>
                <w:szCs w:val="18"/>
              </w:rPr>
              <w:t>售后服务及时周到</w:t>
            </w:r>
          </w:p>
        </w:tc>
        <w:tc>
          <w:tcPr>
            <w:tcW w:w="885" w:type="dxa"/>
            <w:noWrap w:val="0"/>
            <w:vAlign w:val="center"/>
          </w:tcPr>
          <w:p>
            <w:pPr>
              <w:tabs>
                <w:tab w:val="left" w:pos="13965"/>
              </w:tabs>
              <w:spacing w:line="240" w:lineRule="auto"/>
              <w:ind w:right="0" w:rightChars="0" w:firstLine="0" w:firstLineChars="0"/>
              <w:jc w:val="center"/>
              <w:rPr>
                <w:rFonts w:hint="eastAsia" w:ascii="宋体" w:hAnsi="宋体" w:eastAsia="宋体" w:cs="宋体"/>
                <w:sz w:val="18"/>
                <w:szCs w:val="18"/>
                <w:lang w:eastAsia="zh-CN"/>
              </w:rPr>
            </w:pPr>
            <w:r>
              <w:rPr>
                <w:rFonts w:hint="eastAsia" w:ascii="宋体" w:hAnsi="宋体" w:cs="宋体"/>
                <w:sz w:val="18"/>
                <w:szCs w:val="18"/>
                <w:lang w:val="en-US" w:eastAsia="zh-CN"/>
              </w:rPr>
              <w:t>8</w:t>
            </w:r>
          </w:p>
        </w:tc>
        <w:tc>
          <w:tcPr>
            <w:tcW w:w="9369" w:type="dxa"/>
            <w:noWrap w:val="0"/>
            <w:vAlign w:val="center"/>
          </w:tcPr>
          <w:p>
            <w:pPr>
              <w:tabs>
                <w:tab w:val="left" w:pos="13965"/>
              </w:tabs>
              <w:spacing w:line="240" w:lineRule="auto"/>
              <w:ind w:right="0" w:rightChars="0" w:firstLine="0" w:firstLineChars="0"/>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hint="eastAsia" w:ascii="宋体" w:hAnsi="宋体" w:cs="宋体"/>
                <w:sz w:val="18"/>
                <w:szCs w:val="18"/>
                <w:lang w:val="en-US" w:eastAsia="zh-CN"/>
              </w:rPr>
              <w:t>8</w:t>
            </w:r>
            <w:r>
              <w:rPr>
                <w:rFonts w:hint="eastAsia" w:ascii="宋体" w:hAnsi="宋体" w:eastAsia="宋体" w:cs="宋体"/>
                <w:sz w:val="18"/>
                <w:szCs w:val="18"/>
              </w:rPr>
              <w:t>分，良得</w:t>
            </w:r>
            <w:r>
              <w:rPr>
                <w:rFonts w:hint="eastAsia" w:ascii="宋体" w:hAnsi="宋体" w:cs="宋体"/>
                <w:sz w:val="18"/>
                <w:szCs w:val="18"/>
                <w:lang w:val="en-US" w:eastAsia="zh-CN"/>
              </w:rPr>
              <w:t>6</w:t>
            </w:r>
            <w:r>
              <w:rPr>
                <w:rFonts w:hint="eastAsia" w:ascii="宋体" w:hAnsi="宋体" w:eastAsia="宋体" w:cs="宋体"/>
                <w:sz w:val="18"/>
                <w:szCs w:val="18"/>
              </w:rPr>
              <w:t>分，一般得</w:t>
            </w:r>
            <w:r>
              <w:rPr>
                <w:rFonts w:hint="eastAsia" w:ascii="宋体" w:hAnsi="宋体" w:cs="宋体"/>
                <w:sz w:val="18"/>
                <w:szCs w:val="18"/>
                <w:lang w:val="en-US" w:eastAsia="zh-CN"/>
              </w:rPr>
              <w:t>4</w:t>
            </w:r>
            <w:r>
              <w:rPr>
                <w:rFonts w:hint="eastAsia" w:ascii="宋体" w:hAnsi="宋体" w:eastAsia="宋体" w:cs="宋体"/>
                <w:sz w:val="18"/>
                <w:szCs w:val="18"/>
              </w:rPr>
              <w:t>分。</w:t>
            </w:r>
          </w:p>
        </w:tc>
      </w:tr>
    </w:tbl>
    <w:p>
      <w:pPr>
        <w:spacing w:line="240" w:lineRule="auto"/>
        <w:ind w:right="0" w:firstLine="0" w:firstLineChars="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240" w:lineRule="auto"/>
        <w:ind w:right="0" w:firstLine="0" w:firstLineChars="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240" w:lineRule="auto"/>
        <w:ind w:right="0" w:firstLine="0" w:firstLineChars="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spacing w:line="240" w:lineRule="auto"/>
        <w:ind w:right="0" w:firstLine="0" w:firstLineChars="0"/>
        <w:rPr>
          <w:rFonts w:hint="eastAsia" w:ascii="黑体" w:hAnsi="黑体" w:eastAsia="黑体"/>
          <w:sz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r>
        <w:rPr>
          <w:rFonts w:hint="eastAsia" w:ascii="宋体" w:hAnsi="宋体" w:eastAsia="宋体" w:cs="宋体"/>
          <w:color w:val="000000"/>
          <w:sz w:val="24"/>
          <w:szCs w:val="24"/>
          <w:lang w:eastAsia="zh-CN"/>
        </w:rPr>
        <w:t>。</w:t>
      </w:r>
    </w:p>
    <w:p>
      <w:pPr>
        <w:ind w:firstLine="420" w:firstLineChars="200"/>
        <w:rPr>
          <w:rFonts w:hint="eastAsia"/>
          <w:lang w:val="en-US" w:eastAsia="zh-CN"/>
        </w:rPr>
        <w:sectPr>
          <w:headerReference r:id="rId35" w:type="first"/>
          <w:footerReference r:id="rId37" w:type="first"/>
          <w:headerReference r:id="rId34" w:type="default"/>
          <w:footerReference r:id="rId36" w:type="default"/>
          <w:pgSz w:w="16838" w:h="11906" w:orient="landscape"/>
          <w:pgMar w:top="1418" w:right="1588" w:bottom="1418" w:left="1134" w:header="851" w:footer="992" w:gutter="0"/>
          <w:cols w:space="720" w:num="1"/>
          <w:titlePg/>
          <w:docGrid w:type="lines" w:linePitch="312" w:charSpace="0"/>
        </w:sectPr>
      </w:pPr>
    </w:p>
    <w:p>
      <w:pPr>
        <w:pStyle w:val="18"/>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8"/>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9"/>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0"/>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1"/>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2"/>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8"/>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3"/>
                    <a:stretch>
                      <a:fillRect/>
                    </a:stretch>
                  </pic:blipFill>
                  <pic:spPr>
                    <a:xfrm>
                      <a:off x="0" y="0"/>
                      <a:ext cx="5760085" cy="2810122"/>
                    </a:xfrm>
                    <a:prstGeom prst="rect">
                      <a:avLst/>
                    </a:prstGeom>
                  </pic:spPr>
                </pic:pic>
              </a:graphicData>
            </a:graphic>
          </wp:inline>
        </w:drawing>
      </w:r>
    </w:p>
    <w:p>
      <w:pPr>
        <w:pStyle w:val="1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4"/>
                    <a:stretch>
                      <a:fillRect/>
                    </a:stretch>
                  </pic:blipFill>
                  <pic:spPr>
                    <a:xfrm>
                      <a:off x="0" y="0"/>
                      <a:ext cx="5760085" cy="2820042"/>
                    </a:xfrm>
                    <a:prstGeom prst="rect">
                      <a:avLst/>
                    </a:prstGeom>
                  </pic:spPr>
                </pic:pic>
              </a:graphicData>
            </a:graphic>
          </wp:inline>
        </w:drawing>
      </w:r>
    </w:p>
    <w:p>
      <w:pPr>
        <w:pStyle w:val="18"/>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1.“项目名称”和“采购形式编号”见投标须知前附表1.1；</w:t>
      </w:r>
    </w:p>
    <w:p>
      <w:pPr>
        <w:pStyle w:val="18"/>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2.</w:t>
      </w:r>
      <w:r>
        <w:rPr>
          <w:rFonts w:hint="eastAsia" w:hAnsi="宋体" w:eastAsia="宋体" w:cs="宋体"/>
          <w:b/>
          <w:bCs/>
          <w:i w:val="0"/>
          <w:strike w:val="0"/>
          <w:color w:val="000000"/>
          <w:sz w:val="24"/>
          <w:szCs w:val="28"/>
          <w:highlight w:val="none"/>
          <w:u w:val="none"/>
          <w:lang w:val="en-US" w:eastAsia="zh-CN"/>
        </w:rPr>
        <w:t>配套能力“供货类别”填“货物”，</w:t>
      </w:r>
      <w:r>
        <w:rPr>
          <w:rFonts w:hint="eastAsia" w:ascii="宋体" w:hAnsi="宋体" w:eastAsia="宋体" w:cs="宋体"/>
          <w:b/>
          <w:bCs/>
          <w:i w:val="0"/>
          <w:strike w:val="0"/>
          <w:color w:val="000000"/>
          <w:sz w:val="24"/>
          <w:szCs w:val="28"/>
          <w:highlight w:val="none"/>
          <w:u w:val="none"/>
          <w:lang w:val="en-US" w:eastAsia="zh-CN"/>
        </w:rPr>
        <w:t>业务主管部门选择“</w:t>
      </w:r>
      <w:r>
        <w:rPr>
          <w:rFonts w:hint="eastAsia" w:hAnsi="宋体" w:eastAsia="宋体" w:cs="宋体"/>
          <w:b/>
          <w:bCs/>
          <w:i w:val="0"/>
          <w:strike w:val="0"/>
          <w:color w:val="000000"/>
          <w:sz w:val="24"/>
          <w:szCs w:val="28"/>
          <w:highlight w:val="none"/>
          <w:u w:val="none"/>
          <w:lang w:val="en-US" w:eastAsia="zh-CN"/>
        </w:rPr>
        <w:t>工艺工匠研究院</w:t>
      </w:r>
      <w:r>
        <w:rPr>
          <w:rFonts w:hint="eastAsia" w:ascii="宋体" w:hAnsi="宋体" w:eastAsia="宋体" w:cs="宋体"/>
          <w:b/>
          <w:bCs/>
          <w:i w:val="0"/>
          <w:strike w:val="0"/>
          <w:color w:val="000000"/>
          <w:sz w:val="24"/>
          <w:szCs w:val="28"/>
          <w:highlight w:val="none"/>
          <w:u w:val="none"/>
          <w:lang w:val="en-US" w:eastAsia="zh-CN"/>
        </w:rPr>
        <w:t>”</w:t>
      </w:r>
      <w:r>
        <w:rPr>
          <w:rFonts w:hint="eastAsia" w:hAnsi="宋体" w:eastAsia="宋体" w:cs="宋体"/>
          <w:b/>
          <w:bCs/>
          <w:i w:val="0"/>
          <w:strike w:val="0"/>
          <w:color w:val="000000"/>
          <w:sz w:val="24"/>
          <w:szCs w:val="28"/>
          <w:highlight w:val="none"/>
          <w:u w:val="none"/>
          <w:lang w:val="en-US" w:eastAsia="zh-CN"/>
        </w:rPr>
        <w:t>。</w:t>
      </w:r>
    </w:p>
    <w:p>
      <w:pPr>
        <w:pStyle w:val="18"/>
        <w:rPr>
          <w:highlight w:val="none"/>
        </w:rPr>
        <w:sectPr>
          <w:pgSz w:w="11906" w:h="16838"/>
          <w:pgMar w:top="1588" w:right="1418" w:bottom="1134" w:left="1418" w:header="851" w:footer="992" w:gutter="0"/>
          <w:cols w:space="720" w:num="1"/>
          <w:titlePg/>
          <w:docGrid w:type="lines" w:linePitch="312" w:charSpace="0"/>
        </w:sectPr>
      </w:pPr>
    </w:p>
    <w:p>
      <w:pPr>
        <w:pStyle w:val="18"/>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7"/>
          <w:rFonts w:hint="eastAsia" w:ascii="宋体" w:hAnsi="宋体" w:eastAsia="宋体" w:cs="宋体"/>
          <w:sz w:val="24"/>
          <w:szCs w:val="24"/>
        </w:rPr>
        <w:fldChar w:fldCharType="begin"/>
      </w:r>
      <w:r>
        <w:rPr>
          <w:rStyle w:val="4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7"/>
          <w:rFonts w:hint="eastAsia" w:ascii="宋体" w:hAnsi="宋体" w:eastAsia="宋体" w:cs="宋体"/>
          <w:sz w:val="24"/>
          <w:szCs w:val="24"/>
        </w:rP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5"/>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6"/>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8"/>
        <w:rPr>
          <w:color w:val="FF0000"/>
          <w:highlight w:val="none"/>
        </w:rPr>
      </w:pPr>
      <w:r>
        <w:rPr>
          <w:rFonts w:hint="eastAsia" w:ascii="宋体" w:hAnsi="宋体" w:eastAsia="宋体" w:cs="宋体"/>
          <w:i w:val="0"/>
          <w:strike w:val="0"/>
          <w:color w:val="FF0000"/>
          <w:sz w:val="24"/>
          <w:szCs w:val="28"/>
          <w:highlight w:val="none"/>
          <w:u w:val="none"/>
          <w:lang w:val="en-US" w:eastAsia="zh-CN"/>
        </w:rPr>
        <w:t>注意：系统内的投标报价单位为“万元”，如开标现场发现填错报价，即直接淘汰</w:t>
      </w:r>
      <w:r>
        <w:rPr>
          <w:rFonts w:hint="eastAsia" w:hAnsi="宋体" w:eastAsia="宋体" w:cs="宋体"/>
          <w:i w:val="0"/>
          <w:strike w:val="0"/>
          <w:color w:val="FF0000"/>
          <w:sz w:val="24"/>
          <w:szCs w:val="28"/>
          <w:highlight w:val="none"/>
          <w:u w:val="none"/>
          <w:lang w:val="en-US" w:eastAsia="zh-CN"/>
        </w:rPr>
        <w:t>。</w:t>
      </w:r>
    </w:p>
    <w:p>
      <w:pPr>
        <w:pStyle w:val="6"/>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7"/>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8"/>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9"/>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outlineLvl w:val="0"/>
        <w:rPr>
          <w:rFonts w:hint="eastAsia" w:ascii="宋体" w:hAnsi="宋体" w:eastAsia="宋体" w:cs="宋体"/>
          <w:sz w:val="24"/>
          <w:szCs w:val="24"/>
        </w:rPr>
      </w:pPr>
      <w:bookmarkStart w:id="64" w:name="_Toc20717"/>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bookmarkEnd w:id="64"/>
    </w:p>
    <w:p>
      <w:pPr>
        <w:snapToGrid/>
        <w:spacing w:before="0" w:after="0" w:line="360" w:lineRule="auto"/>
        <w:ind w:left="0" w:right="0"/>
        <w:jc w:val="both"/>
        <w:outlineLvl w:val="0"/>
        <w:rPr>
          <w:rFonts w:hint="eastAsia" w:ascii="宋体" w:hAnsi="宋体" w:eastAsia="宋体" w:cs="宋体"/>
          <w:sz w:val="24"/>
          <w:szCs w:val="24"/>
        </w:rPr>
      </w:pPr>
      <w:bookmarkStart w:id="65" w:name="_Toc8322"/>
      <w:r>
        <w:rPr>
          <w:rFonts w:ascii="宋体" w:hAnsi="宋体" w:eastAsia="宋体" w:cs="宋体"/>
          <w:i w:val="0"/>
          <w:strike w:val="0"/>
          <w:color w:val="000000"/>
          <w:sz w:val="24"/>
          <w:szCs w:val="24"/>
          <w:u w:val="none"/>
        </w:rPr>
        <w:t>点击查看进入查看中标项目详情</w:t>
      </w:r>
      <w:bookmarkEnd w:id="65"/>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0"/>
                    <a:stretch>
                      <a:fillRect/>
                    </a:stretch>
                  </pic:blipFill>
                  <pic:spPr>
                    <a:xfrm>
                      <a:off x="0" y="0"/>
                      <a:ext cx="5760085" cy="1956600"/>
                    </a:xfrm>
                    <a:prstGeom prst="rect">
                      <a:avLst/>
                    </a:prstGeom>
                  </pic:spPr>
                </pic:pic>
              </a:graphicData>
            </a:graphic>
          </wp:inline>
        </w:drawing>
      </w:r>
    </w:p>
    <w:p>
      <w:pPr>
        <w:pStyle w:val="18"/>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left"/>
    </w:pPr>
    <w:r>
      <w:object>
        <v:shape id="_x0000_i1025" o:spt="75" type="#_x0000_t75" style="height:28.5pt;width:115.5pt;" o:ole="t" filled="f" o:preferrelative="t" stroked="f" coordsize="21600,21600">
          <v:path/>
          <v:fill on="f" focussize="0,0"/>
          <v:stroke on="f"/>
          <v:imagedata r:id="rId2" o:title=""/>
          <o:lock v:ext="edit" aspectratio="t"/>
          <w10:wrap type="none"/>
          <w10:anchorlock/>
        </v:shape>
        <o:OLEObject Type="Embed" ProgID="PBrush" ShapeID="_x0000_i1025" DrawAspect="Content" ObjectID="_1468075725" r:id="rId1">
          <o:LockedField>false</o:LockedField>
        </o:OLEObject>
      </w:object>
    </w:r>
    <w:r>
      <w:rPr>
        <w:rFonts w:hint="eastAsia"/>
        <w:lang w:val="en-US" w:eastAsia="zh-CN"/>
      </w:rPr>
      <w:t xml:space="preserve">    </w:t>
    </w:r>
    <w:r>
      <w:rPr>
        <w:rFonts w:hint="eastAsia" w:ascii="黑体" w:eastAsia="黑体"/>
        <w:b/>
        <w:bCs/>
        <w:sz w:val="32"/>
        <w:szCs w:val="24"/>
      </w:rPr>
      <w:t>中国重汽集团杭州发动机有限公司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single" w:color="auto" w:sz="4" w:space="0"/>
      </w:pBdr>
      <w:jc w:val="left"/>
    </w:pPr>
    <w:r>
      <w:object>
        <v:shape id="_x0000_i1026" o:spt="75" type="#_x0000_t75" style="height:28.5pt;width:115.5pt;" o:ole="t" filled="f" o:preferrelative="t" stroked="f" coordsize="21600,21600">
          <v:path/>
          <v:fill on="f" focussize="0,0"/>
          <v:stroke on="f"/>
          <v:imagedata r:id="rId2" o:title=""/>
          <o:lock v:ext="edit" aspectratio="t"/>
          <w10:wrap type="none"/>
          <w10:anchorlock/>
        </v:shape>
        <o:OLEObject Type="Embed" ProgID="PBrush" ShapeID="_x0000_i1026" DrawAspect="Content" ObjectID="_1468075726" r:id="rId1">
          <o:LockedField>false</o:LockedField>
        </o:OLEObject>
      </w:object>
    </w:r>
    <w:r>
      <w:rPr>
        <w:rFonts w:hint="eastAsia"/>
        <w:lang w:val="en-US" w:eastAsia="zh-CN"/>
      </w:rPr>
      <w:t xml:space="preserve">    </w:t>
    </w:r>
    <w:r>
      <w:rPr>
        <w:rFonts w:hint="eastAsia" w:ascii="黑体" w:eastAsia="黑体"/>
        <w:b/>
        <w:bCs/>
        <w:sz w:val="32"/>
        <w:szCs w:val="24"/>
      </w:rPr>
      <w:t>中国重汽集团杭州发动机有限公司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left"/>
    </w:pPr>
    <w:r>
      <w:object>
        <v:shape id="_x0000_i1028" o:spt="75" type="#_x0000_t75" style="height:28.5pt;width:115.5pt;" o:ole="t" filled="f" o:preferrelative="t" stroked="f" coordsize="21600,21600">
          <v:path/>
          <v:fill on="f" focussize="0,0"/>
          <v:stroke on="f"/>
          <v:imagedata r:id="rId2" o:title=""/>
          <o:lock v:ext="edit" aspectratio="t"/>
          <w10:wrap type="none"/>
          <w10:anchorlock/>
        </v:shape>
        <o:OLEObject Type="Embed" ProgID="PBrush" ShapeID="_x0000_i1028" DrawAspect="Content" ObjectID="_1468075727" r:id="rId1">
          <o:LockedField>false</o:LockedField>
        </o:OLEObject>
      </w:object>
    </w:r>
    <w:r>
      <w:rPr>
        <w:rFonts w:hint="eastAsia"/>
        <w:lang w:val="en-US" w:eastAsia="zh-CN"/>
      </w:rPr>
      <w:t xml:space="preserve">    </w:t>
    </w:r>
    <w:r>
      <w:rPr>
        <w:rFonts w:hint="eastAsia" w:ascii="黑体" w:eastAsia="黑体"/>
        <w:b/>
        <w:bCs/>
        <w:sz w:val="32"/>
        <w:szCs w:val="24"/>
      </w:rPr>
      <w:t>中国重汽集团杭州发动机有限公司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single" w:color="auto" w:sz="4" w:space="1"/>
      </w:pBdr>
      <w:jc w:val="left"/>
    </w:pPr>
    <w:r>
      <w:object>
        <v:shape id="_x0000_i1027" o:spt="75" type="#_x0000_t75" style="height:28.5pt;width:115.5pt;" o:ole="t" filled="f" o:preferrelative="t" stroked="f" coordsize="21600,21600">
          <v:path/>
          <v:fill on="f" focussize="0,0"/>
          <v:stroke on="f"/>
          <v:imagedata r:id="rId2" o:title=""/>
          <o:lock v:ext="edit" aspectratio="t"/>
          <w10:wrap type="none"/>
          <w10:anchorlock/>
        </v:shape>
        <o:OLEObject Type="Embed" ProgID="PBrush" ShapeID="_x0000_i1027" DrawAspect="Content" ObjectID="_1468075728" r:id="rId1">
          <o:LockedField>false</o:LockedField>
        </o:OLEObject>
      </w:object>
    </w:r>
    <w:r>
      <w:rPr>
        <w:rFonts w:hint="eastAsia"/>
        <w:lang w:val="en-US" w:eastAsia="zh-CN"/>
      </w:rPr>
      <w:t xml:space="preserve">    </w:t>
    </w:r>
    <w:r>
      <w:rPr>
        <w:rFonts w:hint="eastAsia" w:ascii="黑体" w:eastAsia="黑体"/>
        <w:b/>
        <w:bCs/>
        <w:sz w:val="32"/>
        <w:szCs w:val="24"/>
      </w:rPr>
      <w:t>中国重汽集团杭州发动机有限公司</w:t>
    </w:r>
    <w:r>
      <w:rPr>
        <w:sz w:val="18"/>
      </w:rPr>
      <w:pict>
        <v:shape id="_x0000_s4153" o:spid="_x0000_s4153" o:spt="136" type="#_x0000_t136" style="position:absolute;left:0pt;margin-left:711.4pt;margin-top:169.4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_x0000_s4154" o:spid="_x0000_s4154" o:spt="136" type="#_x0000_t136" style="position:absolute;left:0pt;margin-left:599pt;margin-top:281.8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_x0000_s4155" o:spid="_x0000_s4155" o:spt="136" type="#_x0000_t136" style="position:absolute;left:0pt;margin-left:486.55pt;margin-top:394.2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_x0000_s4156" o:spid="_x0000_s4156" o:spt="136" type="#_x0000_t136" style="position:absolute;left:0pt;margin-left:374.15pt;margin-top:506.7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_x0000_s4157" o:spid="_x0000_s4157" o:spt="136" type="#_x0000_t136" style="position:absolute;left:0pt;margin-left:599pt;margin-top:-77.4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_x0000_s4158" o:spid="_x0000_s4158" o:spt="136" type="#_x0000_t136" style="position:absolute;left:0pt;margin-left:486.55pt;margin-top:34.9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_x0000_s4159" o:spid="_x0000_s4159" o:spt="136" type="#_x0000_t136" style="position:absolute;left:0pt;margin-left:374.15pt;margin-top:147.4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_x0000_s4160" o:spid="_x0000_s4160" o:spt="136" type="#_x0000_t136" style="position:absolute;left:0pt;margin-left:261.7pt;margin-top:259.8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_x0000_s4161" o:spid="_x0000_s4161" o:spt="136" type="#_x0000_t136" style="position:absolute;left:0pt;margin-left:149.25pt;margin-top:372.2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_x0000_s4162" o:spid="_x0000_s4162" o:spt="136" type="#_x0000_t136" style="position:absolute;left:0pt;margin-left:36.85pt;margin-top:484.7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_x0000_s4163" o:spid="_x0000_s4163" o:spt="136" type="#_x0000_t136" style="position:absolute;left:0pt;margin-left:261.7pt;margin-top:-99.5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_x0000_s4164" o:spid="_x0000_s4164" o:spt="136" type="#_x0000_t136" style="position:absolute;left:0pt;margin-left:149.25pt;margin-top:12.95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_x0000_s4165" o:spid="_x0000_s4165" o:spt="136" type="#_x0000_t136" style="position:absolute;left:0pt;margin-left:36.85pt;margin-top:125.4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_x0000_s4166" o:spid="_x0000_s4166" o:spt="136" type="#_x0000_t136" style="position:absolute;left:0pt;margin-left:-75.6pt;margin-top:237.8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keepNext w:val="0"/>
      <w:keepLines w:val="0"/>
      <w:pageBreakBefore w:val="0"/>
      <w:widowControl w:val="0"/>
      <w:kinsoku/>
      <w:wordWrap/>
      <w:overflowPunct/>
      <w:topLinePunct w:val="0"/>
      <w:bidi w:val="0"/>
      <w:adjustRightInd/>
      <w:snapToGrid w:val="0"/>
      <w:spacing w:before="0" w:beforeLines="100"/>
      <w:jc w:val="left"/>
      <w:textAlignment w:val="auto"/>
    </w:pPr>
    <w:r>
      <w:object>
        <v:shape id="_x0000_i1029" o:spt="75" type="#_x0000_t75" style="height:28.5pt;width:115.5pt;" o:ole="t" filled="f" o:preferrelative="t" stroked="f" coordsize="21600,21600">
          <v:path/>
          <v:fill on="f" focussize="0,0"/>
          <v:stroke on="f"/>
          <v:imagedata r:id="rId2" o:title=""/>
          <o:lock v:ext="edit" aspectratio="t"/>
          <w10:wrap type="none"/>
          <w10:anchorlock/>
        </v:shape>
        <o:OLEObject Type="Embed" ProgID="PBrush" ShapeID="_x0000_i1029" DrawAspect="Content" ObjectID="_1468075729" r:id="rId1">
          <o:LockedField>false</o:LockedField>
        </o:OLEObject>
      </w:object>
    </w:r>
    <w:r>
      <w:rPr>
        <w:rFonts w:hint="eastAsia"/>
        <w:lang w:val="en-US" w:eastAsia="zh-CN"/>
      </w:rPr>
      <w:t xml:space="preserve">    </w:t>
    </w:r>
    <w:r>
      <w:rPr>
        <w:rFonts w:hint="eastAsia" w:ascii="黑体" w:eastAsia="黑体"/>
        <w:b/>
        <w:bCs/>
        <w:sz w:val="32"/>
        <w:szCs w:val="24"/>
      </w:rPr>
      <w:t>中国重汽集团杭州发动机有限公司</w:t>
    </w:r>
  </w:p>
  <w:p>
    <w:pPr>
      <w:pStyle w:val="24"/>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keepNext w:val="0"/>
      <w:keepLines w:val="0"/>
      <w:pageBreakBefore w:val="0"/>
      <w:widowControl w:val="0"/>
      <w:kinsoku/>
      <w:wordWrap/>
      <w:overflowPunct/>
      <w:topLinePunct w:val="0"/>
      <w:bidi w:val="0"/>
      <w:adjustRightInd/>
      <w:snapToGrid w:val="0"/>
      <w:spacing w:before="0" w:beforeLines="100"/>
      <w:jc w:val="left"/>
      <w:textAlignment w:val="auto"/>
    </w:pPr>
    <w:r>
      <w:object>
        <v:shape id="_x0000_i1031" o:spt="75" type="#_x0000_t75" style="height:28.5pt;width:115.5pt;" o:ole="t" filled="f" o:preferrelative="t" stroked="f" coordsize="21600,21600">
          <v:path/>
          <v:fill on="f" focussize="0,0"/>
          <v:stroke on="f"/>
          <v:imagedata r:id="rId2" o:title=""/>
          <o:lock v:ext="edit" aspectratio="t"/>
          <w10:wrap type="none"/>
          <w10:anchorlock/>
        </v:shape>
        <o:OLEObject Type="Embed" ProgID="PBrush" ShapeID="_x0000_i1031" DrawAspect="Content" ObjectID="_1468075730" r:id="rId1">
          <o:LockedField>false</o:LockedField>
        </o:OLEObject>
      </w:object>
    </w:r>
    <w:r>
      <w:rPr>
        <w:rFonts w:hint="eastAsia"/>
        <w:lang w:val="en-US" w:eastAsia="zh-CN"/>
      </w:rPr>
      <w:t xml:space="preserve">    </w:t>
    </w:r>
    <w:r>
      <w:rPr>
        <w:rFonts w:hint="eastAsia" w:ascii="黑体" w:eastAsia="黑体"/>
        <w:b/>
        <w:bCs/>
        <w:sz w:val="32"/>
        <w:szCs w:val="24"/>
      </w:rPr>
      <w:t>中国重汽集团杭州发动机有限公司</w:t>
    </w:r>
  </w:p>
  <w:p>
    <w:pPr>
      <w:pStyle w:val="2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keepNext w:val="0"/>
      <w:keepLines w:val="0"/>
      <w:pageBreakBefore w:val="0"/>
      <w:widowControl w:val="0"/>
      <w:kinsoku/>
      <w:wordWrap/>
      <w:overflowPunct/>
      <w:topLinePunct w:val="0"/>
      <w:bidi w:val="0"/>
      <w:adjustRightInd/>
      <w:snapToGrid w:val="0"/>
      <w:spacing w:before="0" w:beforeLines="100"/>
      <w:jc w:val="left"/>
      <w:textAlignment w:val="auto"/>
    </w:pPr>
    <w:r>
      <w:object>
        <v:shape id="_x0000_i1030" o:spt="75" type="#_x0000_t75" style="height:28.5pt;width:115.5pt;" o:ole="t" filled="f" o:preferrelative="t" stroked="f" coordsize="21600,21600">
          <v:path/>
          <v:fill on="f" focussize="0,0"/>
          <v:stroke on="f"/>
          <v:imagedata r:id="rId2" o:title=""/>
          <o:lock v:ext="edit" aspectratio="t"/>
          <w10:wrap type="none"/>
          <w10:anchorlock/>
        </v:shape>
        <o:OLEObject Type="Embed" ProgID="PBrush" ShapeID="_x0000_i1030" DrawAspect="Content" ObjectID="_1468075731" r:id="rId1">
          <o:LockedField>false</o:LockedField>
        </o:OLEObject>
      </w:object>
    </w:r>
    <w:r>
      <w:rPr>
        <w:rFonts w:hint="eastAsia"/>
        <w:lang w:val="en-US" w:eastAsia="zh-CN"/>
      </w:rPr>
      <w:t xml:space="preserve">    </w:t>
    </w:r>
    <w:r>
      <w:rPr>
        <w:rFonts w:hint="eastAsia" w:ascii="黑体" w:eastAsia="黑体"/>
        <w:b/>
        <w:bCs/>
        <w:sz w:val="32"/>
        <w:szCs w:val="24"/>
      </w:rPr>
      <w:t>中国重汽集团杭州发动机有限公司</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keepNext w:val="0"/>
      <w:keepLines w:val="0"/>
      <w:pageBreakBefore w:val="0"/>
      <w:widowControl w:val="0"/>
      <w:pBdr>
        <w:bottom w:val="none" w:color="auto" w:sz="0" w:space="1"/>
      </w:pBdr>
      <w:kinsoku/>
      <w:wordWrap/>
      <w:overflowPunct/>
      <w:topLinePunct w:val="0"/>
      <w:bidi w:val="0"/>
      <w:adjustRightInd/>
      <w:snapToGrid w:val="0"/>
      <w:spacing w:before="0" w:beforeLines="100"/>
      <w:jc w:val="left"/>
      <w:textAlignment w:val="auto"/>
    </w:pPr>
    <w:r>
      <w:object>
        <v:shape id="_x0000_i1033" o:spt="75" type="#_x0000_t75" style="height:28.5pt;width:115.5pt;" o:ole="t" filled="f" o:preferrelative="t" stroked="f" coordsize="21600,21600">
          <v:path/>
          <v:fill on="f" focussize="0,0"/>
          <v:stroke on="f"/>
          <v:imagedata r:id="rId2" o:title=""/>
          <o:lock v:ext="edit" aspectratio="t"/>
          <w10:wrap type="none"/>
          <w10:anchorlock/>
        </v:shape>
        <o:OLEObject Type="Embed" ProgID="PBrush" ShapeID="_x0000_i1033" DrawAspect="Content" ObjectID="_1468075732" r:id="rId1">
          <o:LockedField>false</o:LockedField>
        </o:OLEObject>
      </w:object>
    </w:r>
    <w:r>
      <w:rPr>
        <w:rFonts w:hint="eastAsia"/>
        <w:lang w:val="en-US" w:eastAsia="zh-CN"/>
      </w:rPr>
      <w:t xml:space="preserve">    </w:t>
    </w:r>
    <w:r>
      <w:rPr>
        <w:rFonts w:hint="eastAsia" w:ascii="黑体" w:eastAsia="黑体"/>
        <w:b/>
        <w:bCs/>
        <w:sz w:val="32"/>
        <w:szCs w:val="24"/>
      </w:rPr>
      <w:t>中国重汽集团杭州发动机有限公司</w:t>
    </w:r>
  </w:p>
  <w:p>
    <w:pPr>
      <w:pStyle w:val="24"/>
      <w:pBdr>
        <w:bottom w:val="single" w:color="auto" w:sz="4"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keepNext w:val="0"/>
      <w:keepLines w:val="0"/>
      <w:pageBreakBefore w:val="0"/>
      <w:widowControl w:val="0"/>
      <w:kinsoku/>
      <w:wordWrap/>
      <w:overflowPunct/>
      <w:topLinePunct w:val="0"/>
      <w:bidi w:val="0"/>
      <w:adjustRightInd/>
      <w:snapToGrid w:val="0"/>
      <w:spacing w:before="0" w:beforeLines="100"/>
      <w:jc w:val="left"/>
      <w:textAlignment w:val="auto"/>
    </w:pPr>
    <w:r>
      <w:object>
        <v:shape id="_x0000_i1032" o:spt="75" type="#_x0000_t75" style="height:28.5pt;width:115.5pt;" o:ole="t" filled="f" o:preferrelative="t" stroked="f" coordsize="21600,21600">
          <v:path/>
          <v:fill on="f" focussize="0,0"/>
          <v:stroke on="f"/>
          <v:imagedata r:id="rId2" o:title=""/>
          <o:lock v:ext="edit" aspectratio="t"/>
          <w10:wrap type="none"/>
          <w10:anchorlock/>
        </v:shape>
        <o:OLEObject Type="Embed" ProgID="PBrush" ShapeID="_x0000_i1032" DrawAspect="Content" ObjectID="_1468075733" r:id="rId1">
          <o:LockedField>false</o:LockedField>
        </o:OLEObject>
      </w:object>
    </w:r>
    <w:r>
      <w:rPr>
        <w:rFonts w:hint="eastAsia"/>
        <w:lang w:val="en-US" w:eastAsia="zh-CN"/>
      </w:rPr>
      <w:t xml:space="preserve">    </w:t>
    </w:r>
    <w:r>
      <w:rPr>
        <w:rFonts w:hint="eastAsia" w:ascii="黑体" w:eastAsia="黑体"/>
        <w:b/>
        <w:bCs/>
        <w:sz w:val="32"/>
        <w:szCs w:val="24"/>
      </w:rPr>
      <w:t>中国重汽集团杭州发动机有限公司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5"/>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276908"/>
    <w:multiLevelType w:val="multilevel"/>
    <w:tmpl w:val="05276908"/>
    <w:lvl w:ilvl="0" w:tentative="0">
      <w:start w:val="1"/>
      <w:numFmt w:val="decimal"/>
      <w:lvlText w:val="1.5.%1"/>
      <w:lvlJc w:val="left"/>
      <w:pPr>
        <w:tabs>
          <w:tab w:val="left" w:pos="737"/>
        </w:tabs>
        <w:ind w:left="737" w:hanging="737"/>
      </w:pPr>
      <w:rPr>
        <w:rFonts w:hint="eastAsia"/>
      </w:rPr>
    </w:lvl>
    <w:lvl w:ilvl="1" w:tentative="0">
      <w:start w:val="1"/>
      <w:numFmt w:val="decimal"/>
      <w:lvlText w:val="3.1.%2."/>
      <w:lvlJc w:val="left"/>
      <w:pPr>
        <w:tabs>
          <w:tab w:val="left" w:pos="720"/>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1852259F"/>
    <w:multiLevelType w:val="multilevel"/>
    <w:tmpl w:val="1852259F"/>
    <w:lvl w:ilvl="0" w:tentative="0">
      <w:start w:val="1"/>
      <w:numFmt w:val="lowerLetter"/>
      <w:lvlText w:val="%1)"/>
      <w:lvlJc w:val="left"/>
      <w:pPr>
        <w:tabs>
          <w:tab w:val="left" w:pos="780"/>
        </w:tabs>
        <w:ind w:left="780" w:hanging="420"/>
      </w:p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4266F4C"/>
    <w:multiLevelType w:val="multilevel"/>
    <w:tmpl w:val="24266F4C"/>
    <w:lvl w:ilvl="0" w:tentative="0">
      <w:start w:val="1"/>
      <w:numFmt w:val="decimal"/>
      <w:lvlText w:val="%1"/>
      <w:lvlJc w:val="left"/>
      <w:pPr>
        <w:tabs>
          <w:tab w:val="left" w:pos="600"/>
        </w:tabs>
        <w:ind w:left="600" w:hanging="600"/>
      </w:pPr>
      <w:rPr>
        <w:rFonts w:hint="eastAsia"/>
      </w:rPr>
    </w:lvl>
    <w:lvl w:ilvl="1" w:tentative="0">
      <w:start w:val="1"/>
      <w:numFmt w:val="decimal"/>
      <w:lvlText w:val="%1.%2"/>
      <w:lvlJc w:val="left"/>
      <w:pPr>
        <w:tabs>
          <w:tab w:val="left" w:pos="600"/>
        </w:tabs>
        <w:ind w:left="600" w:hanging="600"/>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4857057E"/>
    <w:multiLevelType w:val="multilevel"/>
    <w:tmpl w:val="4857057E"/>
    <w:lvl w:ilvl="0" w:tentative="0">
      <w:start w:val="1"/>
      <w:numFmt w:val="decimal"/>
      <w:lvlText w:val="%1)"/>
      <w:lvlJc w:val="left"/>
      <w:pPr>
        <w:tabs>
          <w:tab w:val="left" w:pos="600"/>
        </w:tabs>
        <w:ind w:left="600" w:hanging="420"/>
      </w:pPr>
    </w:lvl>
    <w:lvl w:ilvl="1" w:tentative="0">
      <w:start w:val="1"/>
      <w:numFmt w:val="lowerLetter"/>
      <w:lvlText w:val="%2)"/>
      <w:lvlJc w:val="left"/>
      <w:pPr>
        <w:tabs>
          <w:tab w:val="left" w:pos="1020"/>
        </w:tabs>
        <w:ind w:left="1020" w:hanging="420"/>
      </w:pPr>
    </w:lvl>
    <w:lvl w:ilvl="2" w:tentative="0">
      <w:start w:val="1"/>
      <w:numFmt w:val="lowerRoman"/>
      <w:lvlText w:val="%3."/>
      <w:lvlJc w:val="right"/>
      <w:pPr>
        <w:tabs>
          <w:tab w:val="left" w:pos="1440"/>
        </w:tabs>
        <w:ind w:left="1440" w:hanging="420"/>
      </w:pPr>
    </w:lvl>
    <w:lvl w:ilvl="3" w:tentative="0">
      <w:start w:val="1"/>
      <w:numFmt w:val="decimal"/>
      <w:lvlText w:val="%4."/>
      <w:lvlJc w:val="left"/>
      <w:pPr>
        <w:tabs>
          <w:tab w:val="left" w:pos="1860"/>
        </w:tabs>
        <w:ind w:left="1860" w:hanging="420"/>
      </w:pPr>
    </w:lvl>
    <w:lvl w:ilvl="4" w:tentative="0">
      <w:start w:val="1"/>
      <w:numFmt w:val="lowerLetter"/>
      <w:lvlText w:val="%5)"/>
      <w:lvlJc w:val="left"/>
      <w:pPr>
        <w:tabs>
          <w:tab w:val="left" w:pos="2280"/>
        </w:tabs>
        <w:ind w:left="2280" w:hanging="420"/>
      </w:pPr>
    </w:lvl>
    <w:lvl w:ilvl="5" w:tentative="0">
      <w:start w:val="1"/>
      <w:numFmt w:val="lowerRoman"/>
      <w:lvlText w:val="%6."/>
      <w:lvlJc w:val="right"/>
      <w:pPr>
        <w:tabs>
          <w:tab w:val="left" w:pos="2700"/>
        </w:tabs>
        <w:ind w:left="2700" w:hanging="420"/>
      </w:pPr>
    </w:lvl>
    <w:lvl w:ilvl="6" w:tentative="0">
      <w:start w:val="1"/>
      <w:numFmt w:val="decimal"/>
      <w:lvlText w:val="%7."/>
      <w:lvlJc w:val="left"/>
      <w:pPr>
        <w:tabs>
          <w:tab w:val="left" w:pos="3120"/>
        </w:tabs>
        <w:ind w:left="3120" w:hanging="420"/>
      </w:pPr>
    </w:lvl>
    <w:lvl w:ilvl="7" w:tentative="0">
      <w:start w:val="1"/>
      <w:numFmt w:val="lowerLetter"/>
      <w:lvlText w:val="%8)"/>
      <w:lvlJc w:val="left"/>
      <w:pPr>
        <w:tabs>
          <w:tab w:val="left" w:pos="3540"/>
        </w:tabs>
        <w:ind w:left="3540" w:hanging="420"/>
      </w:pPr>
    </w:lvl>
    <w:lvl w:ilvl="8" w:tentative="0">
      <w:start w:val="1"/>
      <w:numFmt w:val="lowerRoman"/>
      <w:lvlText w:val="%9."/>
      <w:lvlJc w:val="right"/>
      <w:pPr>
        <w:tabs>
          <w:tab w:val="left" w:pos="3960"/>
        </w:tabs>
        <w:ind w:left="3960" w:hanging="420"/>
      </w:pPr>
    </w:lvl>
  </w:abstractNum>
  <w:abstractNum w:abstractNumId="12">
    <w:nsid w:val="4E0671FE"/>
    <w:multiLevelType w:val="multilevel"/>
    <w:tmpl w:val="4E0671FE"/>
    <w:lvl w:ilvl="0" w:tentative="0">
      <w:start w:val="2"/>
      <w:numFmt w:val="decimal"/>
      <w:lvlText w:val="%1"/>
      <w:lvlJc w:val="left"/>
      <w:pPr>
        <w:tabs>
          <w:tab w:val="left" w:pos="600"/>
        </w:tabs>
        <w:ind w:left="600" w:hanging="600"/>
      </w:pPr>
      <w:rPr>
        <w:rFonts w:hint="eastAsia"/>
      </w:rPr>
    </w:lvl>
    <w:lvl w:ilvl="1" w:tentative="0">
      <w:start w:val="4"/>
      <w:numFmt w:val="decimal"/>
      <w:lvlText w:val="%1.%2"/>
      <w:lvlJc w:val="left"/>
      <w:pPr>
        <w:tabs>
          <w:tab w:val="left" w:pos="600"/>
        </w:tabs>
        <w:ind w:left="600" w:hanging="600"/>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13">
    <w:nsid w:val="6B6143C9"/>
    <w:multiLevelType w:val="multilevel"/>
    <w:tmpl w:val="6B6143C9"/>
    <w:lvl w:ilvl="0" w:tentative="0">
      <w:start w:val="1"/>
      <w:numFmt w:val="decimal"/>
      <w:lvlText w:val="%1"/>
      <w:lvlJc w:val="left"/>
      <w:pPr>
        <w:tabs>
          <w:tab w:val="left" w:pos="735"/>
        </w:tabs>
        <w:ind w:left="735" w:hanging="735"/>
      </w:pPr>
      <w:rPr>
        <w:rFonts w:hint="eastAsia"/>
      </w:rPr>
    </w:lvl>
    <w:lvl w:ilvl="1" w:tentative="0">
      <w:start w:val="1"/>
      <w:numFmt w:val="decimal"/>
      <w:lvlText w:val="%1.%2"/>
      <w:lvlJc w:val="left"/>
      <w:pPr>
        <w:tabs>
          <w:tab w:val="left" w:pos="735"/>
        </w:tabs>
        <w:ind w:left="735" w:hanging="735"/>
      </w:pPr>
      <w:rPr>
        <w:rFonts w:hint="eastAsia"/>
      </w:rPr>
    </w:lvl>
    <w:lvl w:ilvl="2" w:tentative="0">
      <w:start w:val="1"/>
      <w:numFmt w:val="decimal"/>
      <w:lvlText w:val="%1.%2.%3"/>
      <w:lvlJc w:val="left"/>
      <w:pPr>
        <w:tabs>
          <w:tab w:val="left" w:pos="735"/>
        </w:tabs>
        <w:ind w:left="735" w:hanging="735"/>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1800"/>
        </w:tabs>
        <w:ind w:left="1800" w:hanging="1800"/>
      </w:pPr>
      <w:rPr>
        <w:rFonts w:hint="eastAsia"/>
      </w:rPr>
    </w:lvl>
  </w:abstractNum>
  <w:abstractNum w:abstractNumId="14">
    <w:nsid w:val="6E8C6948"/>
    <w:multiLevelType w:val="singleLevel"/>
    <w:tmpl w:val="6E8C6948"/>
    <w:lvl w:ilvl="0" w:tentative="0">
      <w:start w:val="1"/>
      <w:numFmt w:val="chineseCounting"/>
      <w:suff w:val="space"/>
      <w:lvlText w:val="第%1部分"/>
      <w:lvlJc w:val="left"/>
      <w:rPr>
        <w:rFonts w:hint="eastAsia"/>
      </w:rPr>
    </w:lvl>
  </w:abstractNum>
  <w:abstractNum w:abstractNumId="15">
    <w:nsid w:val="7A612DE2"/>
    <w:multiLevelType w:val="singleLevel"/>
    <w:tmpl w:val="7A612DE2"/>
    <w:lvl w:ilvl="0" w:tentative="0">
      <w:start w:val="2"/>
      <w:numFmt w:val="decimal"/>
      <w:lvlText w:val="%1."/>
      <w:lvlJc w:val="left"/>
      <w:pPr>
        <w:tabs>
          <w:tab w:val="left" w:pos="312"/>
        </w:tabs>
      </w:pPr>
    </w:lvl>
  </w:abstractNum>
  <w:abstractNum w:abstractNumId="16">
    <w:nsid w:val="7BBC35B4"/>
    <w:multiLevelType w:val="multilevel"/>
    <w:tmpl w:val="7BBC35B4"/>
    <w:lvl w:ilvl="0" w:tentative="0">
      <w:start w:val="2"/>
      <w:numFmt w:val="decimal"/>
      <w:lvlText w:val="%1"/>
      <w:lvlJc w:val="left"/>
      <w:pPr>
        <w:tabs>
          <w:tab w:val="left" w:pos="600"/>
        </w:tabs>
        <w:ind w:left="600" w:hanging="600"/>
      </w:pPr>
      <w:rPr>
        <w:rFonts w:hint="eastAsia"/>
      </w:rPr>
    </w:lvl>
    <w:lvl w:ilvl="1" w:tentative="0">
      <w:start w:val="1"/>
      <w:numFmt w:val="decimal"/>
      <w:lvlText w:val="%1.%2"/>
      <w:lvlJc w:val="left"/>
      <w:pPr>
        <w:tabs>
          <w:tab w:val="left" w:pos="600"/>
        </w:tabs>
        <w:ind w:left="600" w:hanging="600"/>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num w:numId="1">
    <w:abstractNumId w:val="2"/>
  </w:num>
  <w:num w:numId="2">
    <w:abstractNumId w:val="14"/>
  </w:num>
  <w:num w:numId="3">
    <w:abstractNumId w:val="0"/>
  </w:num>
  <w:num w:numId="4">
    <w:abstractNumId w:val="15"/>
  </w:num>
  <w:num w:numId="5">
    <w:abstractNumId w:val="7"/>
  </w:num>
  <w:num w:numId="6">
    <w:abstractNumId w:val="3"/>
  </w:num>
  <w:num w:numId="7">
    <w:abstractNumId w:val="10"/>
  </w:num>
  <w:num w:numId="8">
    <w:abstractNumId w:val="1"/>
  </w:num>
  <w:num w:numId="9">
    <w:abstractNumId w:val="9"/>
  </w:num>
  <w:num w:numId="10">
    <w:abstractNumId w:val="6"/>
  </w:num>
  <w:num w:numId="11">
    <w:abstractNumId w:val="4"/>
  </w:num>
  <w:num w:numId="12">
    <w:abstractNumId w:val="8"/>
  </w:num>
  <w:num w:numId="13">
    <w:abstractNumId w:val="16"/>
  </w:num>
  <w:num w:numId="14">
    <w:abstractNumId w:val="13"/>
  </w:num>
  <w:num w:numId="15">
    <w:abstractNumId w:val="12"/>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lMWUwNmUwZjQ4OTViOGQ0MzE4YzFlYjc0MGM0YW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E040F"/>
    <w:rsid w:val="00FE42B3"/>
    <w:rsid w:val="014832F2"/>
    <w:rsid w:val="014D51C1"/>
    <w:rsid w:val="01714809"/>
    <w:rsid w:val="018B5B2B"/>
    <w:rsid w:val="01C52478"/>
    <w:rsid w:val="025C7FF6"/>
    <w:rsid w:val="027408EE"/>
    <w:rsid w:val="02963F39"/>
    <w:rsid w:val="02B3095A"/>
    <w:rsid w:val="02BA7274"/>
    <w:rsid w:val="02C32E43"/>
    <w:rsid w:val="03251978"/>
    <w:rsid w:val="0325718A"/>
    <w:rsid w:val="035317A3"/>
    <w:rsid w:val="042921B6"/>
    <w:rsid w:val="043B72BB"/>
    <w:rsid w:val="04461EC1"/>
    <w:rsid w:val="04504B3F"/>
    <w:rsid w:val="046422DC"/>
    <w:rsid w:val="04AD02B8"/>
    <w:rsid w:val="04DE51C8"/>
    <w:rsid w:val="04DF17D4"/>
    <w:rsid w:val="05412745"/>
    <w:rsid w:val="05491761"/>
    <w:rsid w:val="055A5241"/>
    <w:rsid w:val="055C1AD8"/>
    <w:rsid w:val="05A351AD"/>
    <w:rsid w:val="05F9748A"/>
    <w:rsid w:val="061D547E"/>
    <w:rsid w:val="06266F78"/>
    <w:rsid w:val="063E7B7A"/>
    <w:rsid w:val="06582413"/>
    <w:rsid w:val="067E33B8"/>
    <w:rsid w:val="068E28EB"/>
    <w:rsid w:val="06E82FCB"/>
    <w:rsid w:val="06F34B95"/>
    <w:rsid w:val="07571DAC"/>
    <w:rsid w:val="07F44A66"/>
    <w:rsid w:val="084859A3"/>
    <w:rsid w:val="08862B80"/>
    <w:rsid w:val="08DD171B"/>
    <w:rsid w:val="08E64121"/>
    <w:rsid w:val="090D588C"/>
    <w:rsid w:val="0942017F"/>
    <w:rsid w:val="09BA1FBB"/>
    <w:rsid w:val="09CB139F"/>
    <w:rsid w:val="0A0106F5"/>
    <w:rsid w:val="0A112AB7"/>
    <w:rsid w:val="0A4E5482"/>
    <w:rsid w:val="0AAA504A"/>
    <w:rsid w:val="0AD332EB"/>
    <w:rsid w:val="0AD71BC7"/>
    <w:rsid w:val="0AF420EB"/>
    <w:rsid w:val="0B2B2BF5"/>
    <w:rsid w:val="0B2F3908"/>
    <w:rsid w:val="0B3F6206"/>
    <w:rsid w:val="0B6E15DE"/>
    <w:rsid w:val="0BC029E7"/>
    <w:rsid w:val="0BE12DB6"/>
    <w:rsid w:val="0BFC6504"/>
    <w:rsid w:val="0C345AD1"/>
    <w:rsid w:val="0C626CE4"/>
    <w:rsid w:val="0D0C2B7B"/>
    <w:rsid w:val="0D9308F8"/>
    <w:rsid w:val="0DE76C3D"/>
    <w:rsid w:val="0E1A1D85"/>
    <w:rsid w:val="0E750568"/>
    <w:rsid w:val="0E9C3C97"/>
    <w:rsid w:val="0F2D7A80"/>
    <w:rsid w:val="0F4277E5"/>
    <w:rsid w:val="0F4C5227"/>
    <w:rsid w:val="0F684B57"/>
    <w:rsid w:val="0FA75561"/>
    <w:rsid w:val="0FB83603"/>
    <w:rsid w:val="0FCA77F1"/>
    <w:rsid w:val="0FCD5DCC"/>
    <w:rsid w:val="10043197"/>
    <w:rsid w:val="10270545"/>
    <w:rsid w:val="103409DF"/>
    <w:rsid w:val="108A1D4B"/>
    <w:rsid w:val="10A10111"/>
    <w:rsid w:val="10A17FC7"/>
    <w:rsid w:val="10BE093E"/>
    <w:rsid w:val="10E20BD8"/>
    <w:rsid w:val="111B0FE9"/>
    <w:rsid w:val="112C77F4"/>
    <w:rsid w:val="114755AB"/>
    <w:rsid w:val="11567578"/>
    <w:rsid w:val="115F67A8"/>
    <w:rsid w:val="119604A6"/>
    <w:rsid w:val="119A7465"/>
    <w:rsid w:val="11C07DA5"/>
    <w:rsid w:val="11C2491E"/>
    <w:rsid w:val="11D85FCC"/>
    <w:rsid w:val="11F36B75"/>
    <w:rsid w:val="12491386"/>
    <w:rsid w:val="12751983"/>
    <w:rsid w:val="12887F77"/>
    <w:rsid w:val="12E60579"/>
    <w:rsid w:val="12E66E96"/>
    <w:rsid w:val="12EB0F02"/>
    <w:rsid w:val="13695B36"/>
    <w:rsid w:val="1372609F"/>
    <w:rsid w:val="13D73572"/>
    <w:rsid w:val="14504752"/>
    <w:rsid w:val="145A6A37"/>
    <w:rsid w:val="1467440F"/>
    <w:rsid w:val="14B34E6F"/>
    <w:rsid w:val="153955DC"/>
    <w:rsid w:val="15400323"/>
    <w:rsid w:val="15433A9B"/>
    <w:rsid w:val="15FC2F04"/>
    <w:rsid w:val="16181FAC"/>
    <w:rsid w:val="168756A0"/>
    <w:rsid w:val="16F94849"/>
    <w:rsid w:val="17045E51"/>
    <w:rsid w:val="172011D4"/>
    <w:rsid w:val="17252C3B"/>
    <w:rsid w:val="173F0A2E"/>
    <w:rsid w:val="17770BC2"/>
    <w:rsid w:val="17860E2F"/>
    <w:rsid w:val="17A119AA"/>
    <w:rsid w:val="17C957B1"/>
    <w:rsid w:val="18586F2B"/>
    <w:rsid w:val="19442DF9"/>
    <w:rsid w:val="19491F1F"/>
    <w:rsid w:val="19A766B9"/>
    <w:rsid w:val="19CE76BA"/>
    <w:rsid w:val="19F26070"/>
    <w:rsid w:val="19F97C8B"/>
    <w:rsid w:val="1A1523CE"/>
    <w:rsid w:val="1A6A6939"/>
    <w:rsid w:val="1AA730BD"/>
    <w:rsid w:val="1B333D5D"/>
    <w:rsid w:val="1B587618"/>
    <w:rsid w:val="1B5F19C7"/>
    <w:rsid w:val="1B8F790E"/>
    <w:rsid w:val="1C1C709B"/>
    <w:rsid w:val="1C4F6795"/>
    <w:rsid w:val="1C9F6814"/>
    <w:rsid w:val="1CCB626F"/>
    <w:rsid w:val="1D5C514E"/>
    <w:rsid w:val="1D6D1BDA"/>
    <w:rsid w:val="1D865D14"/>
    <w:rsid w:val="1D8705EC"/>
    <w:rsid w:val="1DD872E4"/>
    <w:rsid w:val="1DEC0E7D"/>
    <w:rsid w:val="1E3B51AE"/>
    <w:rsid w:val="1E43150B"/>
    <w:rsid w:val="1EA93E80"/>
    <w:rsid w:val="1ED33FB6"/>
    <w:rsid w:val="1EE81332"/>
    <w:rsid w:val="1F32415A"/>
    <w:rsid w:val="1F542F9A"/>
    <w:rsid w:val="1F702632"/>
    <w:rsid w:val="1F7E2174"/>
    <w:rsid w:val="1FDC6454"/>
    <w:rsid w:val="1FED1E9F"/>
    <w:rsid w:val="20107567"/>
    <w:rsid w:val="20AB56C6"/>
    <w:rsid w:val="20D3400E"/>
    <w:rsid w:val="21492561"/>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3A0491"/>
    <w:rsid w:val="254E0478"/>
    <w:rsid w:val="25E036B2"/>
    <w:rsid w:val="25E9082A"/>
    <w:rsid w:val="25F42473"/>
    <w:rsid w:val="269C17B8"/>
    <w:rsid w:val="26AF2D79"/>
    <w:rsid w:val="26B34B91"/>
    <w:rsid w:val="270D66E8"/>
    <w:rsid w:val="27514612"/>
    <w:rsid w:val="278B0DAB"/>
    <w:rsid w:val="279C6B0E"/>
    <w:rsid w:val="27A64735"/>
    <w:rsid w:val="27CC4DF2"/>
    <w:rsid w:val="281864F2"/>
    <w:rsid w:val="286903EF"/>
    <w:rsid w:val="287F5DD3"/>
    <w:rsid w:val="288047CB"/>
    <w:rsid w:val="289E62FA"/>
    <w:rsid w:val="28FD6E90"/>
    <w:rsid w:val="291E2CA6"/>
    <w:rsid w:val="29331862"/>
    <w:rsid w:val="299741EC"/>
    <w:rsid w:val="299E147F"/>
    <w:rsid w:val="29C32A87"/>
    <w:rsid w:val="29CF26DC"/>
    <w:rsid w:val="2A1C5DA0"/>
    <w:rsid w:val="2A200D39"/>
    <w:rsid w:val="2A280AB9"/>
    <w:rsid w:val="2A351FC9"/>
    <w:rsid w:val="2A507EFF"/>
    <w:rsid w:val="2ADC05A4"/>
    <w:rsid w:val="2AEF2177"/>
    <w:rsid w:val="2AF4184D"/>
    <w:rsid w:val="2B6F0D7F"/>
    <w:rsid w:val="2B8716BD"/>
    <w:rsid w:val="2B8B76FF"/>
    <w:rsid w:val="2BD5034F"/>
    <w:rsid w:val="2C924AE7"/>
    <w:rsid w:val="2D025012"/>
    <w:rsid w:val="2D4178F0"/>
    <w:rsid w:val="2D7711AA"/>
    <w:rsid w:val="2D7D58EB"/>
    <w:rsid w:val="2DA45D22"/>
    <w:rsid w:val="2DAE631A"/>
    <w:rsid w:val="2DD877E0"/>
    <w:rsid w:val="2DE616C9"/>
    <w:rsid w:val="2DE801DF"/>
    <w:rsid w:val="2DFC2451"/>
    <w:rsid w:val="2E3422F8"/>
    <w:rsid w:val="2E3D68D2"/>
    <w:rsid w:val="2E6E566D"/>
    <w:rsid w:val="2E7F188E"/>
    <w:rsid w:val="2EA91D49"/>
    <w:rsid w:val="2EBC0905"/>
    <w:rsid w:val="2EC73739"/>
    <w:rsid w:val="2EFB1B0E"/>
    <w:rsid w:val="2F5C684F"/>
    <w:rsid w:val="2F63756E"/>
    <w:rsid w:val="2FE6553A"/>
    <w:rsid w:val="307776D1"/>
    <w:rsid w:val="30862574"/>
    <w:rsid w:val="309D1AAC"/>
    <w:rsid w:val="30AD52F3"/>
    <w:rsid w:val="30B631E1"/>
    <w:rsid w:val="311933AA"/>
    <w:rsid w:val="317D15BB"/>
    <w:rsid w:val="31D07E6C"/>
    <w:rsid w:val="323F65DA"/>
    <w:rsid w:val="32412074"/>
    <w:rsid w:val="32DE0199"/>
    <w:rsid w:val="333C2963"/>
    <w:rsid w:val="33456687"/>
    <w:rsid w:val="335B2774"/>
    <w:rsid w:val="33A4642E"/>
    <w:rsid w:val="33D4039C"/>
    <w:rsid w:val="33D47E05"/>
    <w:rsid w:val="33DF460E"/>
    <w:rsid w:val="3413677D"/>
    <w:rsid w:val="342B544B"/>
    <w:rsid w:val="34382B26"/>
    <w:rsid w:val="345E036E"/>
    <w:rsid w:val="34C47852"/>
    <w:rsid w:val="34DE1E4F"/>
    <w:rsid w:val="34F07DB1"/>
    <w:rsid w:val="357E6FD1"/>
    <w:rsid w:val="359009FB"/>
    <w:rsid w:val="35D354B8"/>
    <w:rsid w:val="35D4025C"/>
    <w:rsid w:val="362666BC"/>
    <w:rsid w:val="363646D4"/>
    <w:rsid w:val="368A6B11"/>
    <w:rsid w:val="36F44712"/>
    <w:rsid w:val="37085B1F"/>
    <w:rsid w:val="372E04CB"/>
    <w:rsid w:val="38E070F2"/>
    <w:rsid w:val="390D33AB"/>
    <w:rsid w:val="391E6D06"/>
    <w:rsid w:val="39573D9E"/>
    <w:rsid w:val="3A074847"/>
    <w:rsid w:val="3A3F7562"/>
    <w:rsid w:val="3A830B2E"/>
    <w:rsid w:val="3AA90FE6"/>
    <w:rsid w:val="3AA9318F"/>
    <w:rsid w:val="3AB62DA0"/>
    <w:rsid w:val="3B69577B"/>
    <w:rsid w:val="3B702D85"/>
    <w:rsid w:val="3B7D3FD5"/>
    <w:rsid w:val="3B823DDF"/>
    <w:rsid w:val="3BD827B4"/>
    <w:rsid w:val="3C237ED3"/>
    <w:rsid w:val="3C4D2D59"/>
    <w:rsid w:val="3CAA596A"/>
    <w:rsid w:val="3CAF1D22"/>
    <w:rsid w:val="3CB1587B"/>
    <w:rsid w:val="3CB735F2"/>
    <w:rsid w:val="3D186684"/>
    <w:rsid w:val="3D260E6E"/>
    <w:rsid w:val="3D363C36"/>
    <w:rsid w:val="3D833E79"/>
    <w:rsid w:val="3D8B2178"/>
    <w:rsid w:val="3DB34909"/>
    <w:rsid w:val="3DD115F5"/>
    <w:rsid w:val="3DE435F0"/>
    <w:rsid w:val="3DE5122C"/>
    <w:rsid w:val="3DF37E53"/>
    <w:rsid w:val="3E173A67"/>
    <w:rsid w:val="3ED26DE9"/>
    <w:rsid w:val="3EED17D0"/>
    <w:rsid w:val="3F0C0304"/>
    <w:rsid w:val="3F774839"/>
    <w:rsid w:val="3FBD02CF"/>
    <w:rsid w:val="3FEC147E"/>
    <w:rsid w:val="3FED7DE8"/>
    <w:rsid w:val="40376375"/>
    <w:rsid w:val="412732B7"/>
    <w:rsid w:val="4127791F"/>
    <w:rsid w:val="41281794"/>
    <w:rsid w:val="413C1FDF"/>
    <w:rsid w:val="415B274D"/>
    <w:rsid w:val="41806A69"/>
    <w:rsid w:val="41B0259C"/>
    <w:rsid w:val="41B77686"/>
    <w:rsid w:val="41BC6F1C"/>
    <w:rsid w:val="41EF2363"/>
    <w:rsid w:val="41F77860"/>
    <w:rsid w:val="424A4B98"/>
    <w:rsid w:val="42581D3A"/>
    <w:rsid w:val="428E23A1"/>
    <w:rsid w:val="42ED2EA4"/>
    <w:rsid w:val="42F6649D"/>
    <w:rsid w:val="42FE0080"/>
    <w:rsid w:val="43315D2E"/>
    <w:rsid w:val="43670C99"/>
    <w:rsid w:val="43824A1C"/>
    <w:rsid w:val="438F5E4E"/>
    <w:rsid w:val="43D110E1"/>
    <w:rsid w:val="43E873C9"/>
    <w:rsid w:val="44905B1F"/>
    <w:rsid w:val="45316885"/>
    <w:rsid w:val="45A95EE9"/>
    <w:rsid w:val="45FB0F21"/>
    <w:rsid w:val="46167166"/>
    <w:rsid w:val="4636719A"/>
    <w:rsid w:val="465859F2"/>
    <w:rsid w:val="47200EE3"/>
    <w:rsid w:val="47435AC2"/>
    <w:rsid w:val="47544B78"/>
    <w:rsid w:val="47587AF7"/>
    <w:rsid w:val="47745A86"/>
    <w:rsid w:val="47E239AC"/>
    <w:rsid w:val="480F4B73"/>
    <w:rsid w:val="487974BD"/>
    <w:rsid w:val="487D0EB7"/>
    <w:rsid w:val="48DB38E3"/>
    <w:rsid w:val="49001B5E"/>
    <w:rsid w:val="49376DB0"/>
    <w:rsid w:val="49804BB7"/>
    <w:rsid w:val="49826DCB"/>
    <w:rsid w:val="499013E7"/>
    <w:rsid w:val="49A22843"/>
    <w:rsid w:val="49C8088A"/>
    <w:rsid w:val="4A0F6D68"/>
    <w:rsid w:val="4A233384"/>
    <w:rsid w:val="4A301C93"/>
    <w:rsid w:val="4A3302AB"/>
    <w:rsid w:val="4A572A17"/>
    <w:rsid w:val="4A6F2535"/>
    <w:rsid w:val="4AC85D49"/>
    <w:rsid w:val="4AE308A9"/>
    <w:rsid w:val="4B260F2D"/>
    <w:rsid w:val="4B9049B6"/>
    <w:rsid w:val="4B9A1456"/>
    <w:rsid w:val="4BA32C82"/>
    <w:rsid w:val="4BE70627"/>
    <w:rsid w:val="4C0A5AE1"/>
    <w:rsid w:val="4C130AB8"/>
    <w:rsid w:val="4C5A284D"/>
    <w:rsid w:val="4C5C0673"/>
    <w:rsid w:val="4CB96B43"/>
    <w:rsid w:val="4CC75FCC"/>
    <w:rsid w:val="4CC87A5E"/>
    <w:rsid w:val="4CD63947"/>
    <w:rsid w:val="4CF957AB"/>
    <w:rsid w:val="4CFC49F4"/>
    <w:rsid w:val="4D073D73"/>
    <w:rsid w:val="4D1E27BA"/>
    <w:rsid w:val="4D23574A"/>
    <w:rsid w:val="4D4C4DB0"/>
    <w:rsid w:val="4D7322D5"/>
    <w:rsid w:val="4DD7034C"/>
    <w:rsid w:val="4DE312CB"/>
    <w:rsid w:val="4DF5318E"/>
    <w:rsid w:val="4E1F4862"/>
    <w:rsid w:val="4E2E4393"/>
    <w:rsid w:val="4E535EF2"/>
    <w:rsid w:val="4F08773C"/>
    <w:rsid w:val="4F102B4E"/>
    <w:rsid w:val="4F31409F"/>
    <w:rsid w:val="4F5E670E"/>
    <w:rsid w:val="4F846A83"/>
    <w:rsid w:val="50070E2C"/>
    <w:rsid w:val="501112F3"/>
    <w:rsid w:val="504B57F2"/>
    <w:rsid w:val="508A518C"/>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47483C"/>
    <w:rsid w:val="54942CAE"/>
    <w:rsid w:val="54A61722"/>
    <w:rsid w:val="54B31FAF"/>
    <w:rsid w:val="54C211D8"/>
    <w:rsid w:val="54E97446"/>
    <w:rsid w:val="551F3E29"/>
    <w:rsid w:val="55326D63"/>
    <w:rsid w:val="555D1A10"/>
    <w:rsid w:val="56AC4A78"/>
    <w:rsid w:val="56DB16B9"/>
    <w:rsid w:val="577A3463"/>
    <w:rsid w:val="57F967AD"/>
    <w:rsid w:val="58052975"/>
    <w:rsid w:val="584D1A65"/>
    <w:rsid w:val="584F5C44"/>
    <w:rsid w:val="58504D6C"/>
    <w:rsid w:val="58E525CA"/>
    <w:rsid w:val="58E55347"/>
    <w:rsid w:val="58EE7372"/>
    <w:rsid w:val="593D045A"/>
    <w:rsid w:val="5960739E"/>
    <w:rsid w:val="59896D0A"/>
    <w:rsid w:val="59B72684"/>
    <w:rsid w:val="5A9579AE"/>
    <w:rsid w:val="5AC468CD"/>
    <w:rsid w:val="5B342B9A"/>
    <w:rsid w:val="5B5953B0"/>
    <w:rsid w:val="5B630802"/>
    <w:rsid w:val="5B807F68"/>
    <w:rsid w:val="5BA72CE5"/>
    <w:rsid w:val="5C034D53"/>
    <w:rsid w:val="5CC81D66"/>
    <w:rsid w:val="5D722852"/>
    <w:rsid w:val="5E1D6F56"/>
    <w:rsid w:val="5E52187F"/>
    <w:rsid w:val="5E6A13CD"/>
    <w:rsid w:val="5E705D15"/>
    <w:rsid w:val="5E93326C"/>
    <w:rsid w:val="5E9F1A7A"/>
    <w:rsid w:val="5EAF3818"/>
    <w:rsid w:val="5EFB4BA4"/>
    <w:rsid w:val="5EFE2597"/>
    <w:rsid w:val="5F025452"/>
    <w:rsid w:val="5F0C439F"/>
    <w:rsid w:val="5F5F46B5"/>
    <w:rsid w:val="5F6762C1"/>
    <w:rsid w:val="5FB25360"/>
    <w:rsid w:val="5FBA3CC0"/>
    <w:rsid w:val="5FD90D61"/>
    <w:rsid w:val="60177697"/>
    <w:rsid w:val="602329DB"/>
    <w:rsid w:val="607777D6"/>
    <w:rsid w:val="609A56B8"/>
    <w:rsid w:val="60BC76A1"/>
    <w:rsid w:val="610B7637"/>
    <w:rsid w:val="612279BA"/>
    <w:rsid w:val="615F5624"/>
    <w:rsid w:val="61786FF4"/>
    <w:rsid w:val="61D215CF"/>
    <w:rsid w:val="62593D9F"/>
    <w:rsid w:val="625C563D"/>
    <w:rsid w:val="626A1704"/>
    <w:rsid w:val="627921C2"/>
    <w:rsid w:val="62B362C8"/>
    <w:rsid w:val="62C1330E"/>
    <w:rsid w:val="6342085E"/>
    <w:rsid w:val="636F415C"/>
    <w:rsid w:val="63D22876"/>
    <w:rsid w:val="63F21DB5"/>
    <w:rsid w:val="64917820"/>
    <w:rsid w:val="64AA1CC5"/>
    <w:rsid w:val="6528341F"/>
    <w:rsid w:val="655D3A5F"/>
    <w:rsid w:val="656B2909"/>
    <w:rsid w:val="65A3045D"/>
    <w:rsid w:val="65D97752"/>
    <w:rsid w:val="65E25E59"/>
    <w:rsid w:val="66307F76"/>
    <w:rsid w:val="66391F1D"/>
    <w:rsid w:val="66580EAF"/>
    <w:rsid w:val="66694D0D"/>
    <w:rsid w:val="667B4472"/>
    <w:rsid w:val="66F041A8"/>
    <w:rsid w:val="6721178A"/>
    <w:rsid w:val="6739399A"/>
    <w:rsid w:val="673F39DE"/>
    <w:rsid w:val="674C5D22"/>
    <w:rsid w:val="67663AF8"/>
    <w:rsid w:val="67762CFD"/>
    <w:rsid w:val="677A678D"/>
    <w:rsid w:val="67AA2321"/>
    <w:rsid w:val="68011379"/>
    <w:rsid w:val="681E1720"/>
    <w:rsid w:val="68252C37"/>
    <w:rsid w:val="68817BAC"/>
    <w:rsid w:val="689A5E59"/>
    <w:rsid w:val="68A94E70"/>
    <w:rsid w:val="68E40DA4"/>
    <w:rsid w:val="68EE72DF"/>
    <w:rsid w:val="690B4C92"/>
    <w:rsid w:val="69485FEA"/>
    <w:rsid w:val="69677DC0"/>
    <w:rsid w:val="69937EC7"/>
    <w:rsid w:val="69D64558"/>
    <w:rsid w:val="69E00902"/>
    <w:rsid w:val="69E3623E"/>
    <w:rsid w:val="6A042548"/>
    <w:rsid w:val="6A471EFD"/>
    <w:rsid w:val="6AB57116"/>
    <w:rsid w:val="6AEB57B0"/>
    <w:rsid w:val="6B17424A"/>
    <w:rsid w:val="6B2218FA"/>
    <w:rsid w:val="6B686C59"/>
    <w:rsid w:val="6B691672"/>
    <w:rsid w:val="6B6B6F58"/>
    <w:rsid w:val="6BE97F42"/>
    <w:rsid w:val="6C2063E9"/>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240921"/>
    <w:rsid w:val="6F7F7CB0"/>
    <w:rsid w:val="6FC32969"/>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2D4B5D"/>
    <w:rsid w:val="73393C88"/>
    <w:rsid w:val="7362513F"/>
    <w:rsid w:val="73771D49"/>
    <w:rsid w:val="73A1354E"/>
    <w:rsid w:val="73E035D5"/>
    <w:rsid w:val="743D0241"/>
    <w:rsid w:val="74A11E7D"/>
    <w:rsid w:val="7550071B"/>
    <w:rsid w:val="75590B0A"/>
    <w:rsid w:val="7582279F"/>
    <w:rsid w:val="75843EB5"/>
    <w:rsid w:val="75912FA2"/>
    <w:rsid w:val="75BB71AF"/>
    <w:rsid w:val="75F01962"/>
    <w:rsid w:val="760E19DF"/>
    <w:rsid w:val="764E52E0"/>
    <w:rsid w:val="76557F3E"/>
    <w:rsid w:val="76676A53"/>
    <w:rsid w:val="76944574"/>
    <w:rsid w:val="76A3294D"/>
    <w:rsid w:val="76B620A1"/>
    <w:rsid w:val="76D61240"/>
    <w:rsid w:val="76D766A5"/>
    <w:rsid w:val="76E84269"/>
    <w:rsid w:val="76F20814"/>
    <w:rsid w:val="76F92565"/>
    <w:rsid w:val="77462524"/>
    <w:rsid w:val="77501DCD"/>
    <w:rsid w:val="779A6594"/>
    <w:rsid w:val="77A21064"/>
    <w:rsid w:val="77E34EB2"/>
    <w:rsid w:val="781564B8"/>
    <w:rsid w:val="78224ACF"/>
    <w:rsid w:val="78CD6DCC"/>
    <w:rsid w:val="78D07CAF"/>
    <w:rsid w:val="78DE12D7"/>
    <w:rsid w:val="79210683"/>
    <w:rsid w:val="79430E61"/>
    <w:rsid w:val="799C3465"/>
    <w:rsid w:val="79B14EC4"/>
    <w:rsid w:val="7A025270"/>
    <w:rsid w:val="7A2A6B4A"/>
    <w:rsid w:val="7A681070"/>
    <w:rsid w:val="7A7C01D3"/>
    <w:rsid w:val="7A860C7C"/>
    <w:rsid w:val="7AB879FE"/>
    <w:rsid w:val="7B3264DD"/>
    <w:rsid w:val="7B81188A"/>
    <w:rsid w:val="7B9E2902"/>
    <w:rsid w:val="7BC854E2"/>
    <w:rsid w:val="7C0562EC"/>
    <w:rsid w:val="7C067A45"/>
    <w:rsid w:val="7C0D2ED7"/>
    <w:rsid w:val="7C1C072C"/>
    <w:rsid w:val="7C27683F"/>
    <w:rsid w:val="7CB14B4D"/>
    <w:rsid w:val="7CF26969"/>
    <w:rsid w:val="7D25523C"/>
    <w:rsid w:val="7DB23041"/>
    <w:rsid w:val="7E3862DC"/>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9"/>
    <w:qFormat/>
    <w:uiPriority w:val="9"/>
    <w:pPr>
      <w:keepNext/>
      <w:keepLines/>
      <w:jc w:val="center"/>
      <w:outlineLvl w:val="0"/>
    </w:pPr>
    <w:rPr>
      <w:b/>
      <w:bCs/>
      <w:kern w:val="44"/>
      <w:sz w:val="36"/>
      <w:szCs w:val="44"/>
    </w:rPr>
  </w:style>
  <w:style w:type="paragraph" w:styleId="4">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next w:val="1"/>
    <w:qFormat/>
    <w:uiPriority w:val="99"/>
    <w:pPr>
      <w:ind w:firstLine="420" w:firstLineChars="200"/>
    </w:pPr>
    <w:rPr>
      <w:kern w:val="0"/>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2"/>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3"/>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81"/>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Plain Text"/>
    <w:basedOn w:val="1"/>
    <w:link w:val="74"/>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2"/>
    <w:next w:val="12"/>
    <w:link w:val="54"/>
    <w:qFormat/>
    <w:uiPriority w:val="0"/>
    <w:rPr>
      <w:b/>
    </w:rPr>
  </w:style>
  <w:style w:type="paragraph" w:styleId="38">
    <w:name w:val="Body Text First Indent 2"/>
    <w:basedOn w:val="15"/>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2"/>
    <w:qFormat/>
    <w:uiPriority w:val="9"/>
    <w:rPr>
      <w:rFonts w:ascii="Calibri" w:hAnsi="Calibri" w:eastAsia="宋体" w:cs="Times New Roman"/>
      <w:b/>
      <w:bCs/>
      <w:kern w:val="44"/>
      <w:sz w:val="36"/>
      <w:szCs w:val="44"/>
    </w:rPr>
  </w:style>
  <w:style w:type="character" w:customStyle="1" w:styleId="50">
    <w:name w:val="标题 2 字符"/>
    <w:basedOn w:val="41"/>
    <w:link w:val="4"/>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4"/>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2"/>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0"/>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8"/>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5"/>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4"/>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8"/>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5">
    <w:name w:val="标题 5（有编号）（绿盟科技）"/>
    <w:basedOn w:val="1"/>
    <w:next w:val="136"/>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6">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 w:type="paragraph" w:customStyle="1" w:styleId="137">
    <w:name w:val="表内文字"/>
    <w:basedOn w:val="1"/>
    <w:qFormat/>
    <w:uiPriority w:val="0"/>
    <w:pPr>
      <w:spacing w:line="360" w:lineRule="auto"/>
      <w:jc w:val="center"/>
    </w:pPr>
    <w:rPr>
      <w:rFonts w:ascii="宋体" w:hAnsi="宋体"/>
      <w:b/>
      <w:bCs/>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13.png"/><Relationship Id="rId5" Type="http://schemas.openxmlformats.org/officeDocument/2006/relationships/footer" Target="footer2.xml"/><Relationship Id="rId49" Type="http://schemas.openxmlformats.org/officeDocument/2006/relationships/image" Target="media/image12.png"/><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footer" Target="footer1.xml"/><Relationship Id="rId39" Type="http://schemas.openxmlformats.org/officeDocument/2006/relationships/image" Target="media/image2.png"/><Relationship Id="rId38" Type="http://schemas.openxmlformats.org/officeDocument/2006/relationships/theme" Target="theme/theme1.xml"/><Relationship Id="rId37" Type="http://schemas.openxmlformats.org/officeDocument/2006/relationships/footer" Target="footer26.xml"/><Relationship Id="rId36" Type="http://schemas.openxmlformats.org/officeDocument/2006/relationships/footer" Target="footer25.xml"/><Relationship Id="rId35" Type="http://schemas.openxmlformats.org/officeDocument/2006/relationships/header" Target="header9.xml"/><Relationship Id="rId34" Type="http://schemas.openxmlformats.org/officeDocument/2006/relationships/header" Target="header8.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header" Target="header7.xml"/><Relationship Id="rId30" Type="http://schemas.openxmlformats.org/officeDocument/2006/relationships/header" Target="header6.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oleObject" Target="embeddings/oleObject3.bin"/></Relationships>
</file>

<file path=word/_rels/header4.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oleObject" Target="embeddings/oleObject4.bin"/></Relationships>
</file>

<file path=word/_rels/header5.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oleObject" Target="embeddings/oleObject5.bin"/></Relationships>
</file>

<file path=word/_rels/header6.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oleObject" Target="embeddings/oleObject6.bin"/></Relationships>
</file>

<file path=word/_rels/header7.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oleObject" Target="embeddings/oleObject7.bin"/></Relationships>
</file>

<file path=word/_rels/header8.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oleObject" Target="embeddings/oleObject8.bin"/></Relationships>
</file>

<file path=word/_rels/header9.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oleObject" Target="embeddings/oleObject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153"/>
    <customShpInfo spid="_x0000_s4154"/>
    <customShpInfo spid="_x0000_s4155"/>
    <customShpInfo spid="_x0000_s4156"/>
    <customShpInfo spid="_x0000_s4157"/>
    <customShpInfo spid="_x0000_s4158"/>
    <customShpInfo spid="_x0000_s4159"/>
    <customShpInfo spid="_x0000_s4160"/>
    <customShpInfo spid="_x0000_s4161"/>
    <customShpInfo spid="_x0000_s4162"/>
    <customShpInfo spid="_x0000_s4163"/>
    <customShpInfo spid="_x0000_s4164"/>
    <customShpInfo spid="_x0000_s4165"/>
    <customShpInfo spid="_x0000_s416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60</Pages>
  <Words>23823</Words>
  <Characters>25245</Characters>
  <Lines>305</Lines>
  <Paragraphs>86</Paragraphs>
  <TotalTime>73</TotalTime>
  <ScaleCrop>false</ScaleCrop>
  <LinksUpToDate>false</LinksUpToDate>
  <CharactersWithSpaces>30762</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200544</cp:lastModifiedBy>
  <cp:lastPrinted>2022-07-01T03:19:00Z</cp:lastPrinted>
  <dcterms:modified xsi:type="dcterms:W3CDTF">2025-08-06T05:22:36Z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0A7B7B1143A84818B808E1E105CB7898</vt:lpwstr>
  </property>
</Properties>
</file>