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BA81B">
      <w:pPr>
        <w:keepNext w:val="0"/>
        <w:keepLines w:val="0"/>
        <w:pageBreakBefore w:val="0"/>
        <w:widowControl w:val="0"/>
        <w:kinsoku/>
        <w:wordWrap/>
        <w:overflowPunct/>
        <w:topLinePunct w:val="0"/>
        <w:autoSpaceDE/>
        <w:autoSpaceDN/>
        <w:bidi w:val="0"/>
        <w:adjustRightInd/>
        <w:snapToGrid/>
        <w:spacing w:line="401" w:lineRule="auto"/>
        <w:ind w:left="0"/>
        <w:jc w:val="center"/>
        <w:textAlignment w:val="auto"/>
        <w:rPr>
          <w:rFonts w:hint="eastAsia" w:ascii="仿宋" w:hAnsi="仿宋" w:eastAsia="仿宋"/>
          <w:b/>
          <w:sz w:val="48"/>
          <w:szCs w:val="48"/>
          <w:lang w:val="en-US" w:eastAsia="zh-CN"/>
        </w:rPr>
      </w:pPr>
    </w:p>
    <w:p w14:paraId="6756E21D">
      <w:pPr>
        <w:keepNext w:val="0"/>
        <w:keepLines w:val="0"/>
        <w:pageBreakBefore w:val="0"/>
        <w:widowControl w:val="0"/>
        <w:kinsoku/>
        <w:wordWrap/>
        <w:overflowPunct/>
        <w:topLinePunct w:val="0"/>
        <w:autoSpaceDE/>
        <w:autoSpaceDN/>
        <w:bidi w:val="0"/>
        <w:adjustRightInd/>
        <w:snapToGrid/>
        <w:spacing w:line="401" w:lineRule="auto"/>
        <w:ind w:left="0"/>
        <w:jc w:val="center"/>
        <w:textAlignment w:val="auto"/>
        <w:rPr>
          <w:rFonts w:hint="eastAsia" w:ascii="仿宋" w:hAnsi="仿宋" w:eastAsia="仿宋"/>
          <w:b/>
          <w:sz w:val="48"/>
          <w:szCs w:val="48"/>
          <w:lang w:val="en-US" w:eastAsia="zh-CN"/>
        </w:rPr>
      </w:pPr>
      <w:r>
        <w:rPr>
          <w:rFonts w:hint="eastAsia" w:ascii="仿宋" w:hAnsi="仿宋" w:eastAsia="仿宋"/>
          <w:b/>
          <w:sz w:val="48"/>
          <w:szCs w:val="48"/>
          <w:lang w:val="en-US" w:eastAsia="zh-CN"/>
        </w:rPr>
        <w:t>中国重汽集团济南动力有限公司</w:t>
      </w:r>
    </w:p>
    <w:p w14:paraId="728AE019">
      <w:pPr>
        <w:keepNext w:val="0"/>
        <w:keepLines w:val="0"/>
        <w:pageBreakBefore w:val="0"/>
        <w:widowControl w:val="0"/>
        <w:kinsoku/>
        <w:wordWrap/>
        <w:overflowPunct/>
        <w:topLinePunct w:val="0"/>
        <w:autoSpaceDE/>
        <w:autoSpaceDN/>
        <w:bidi w:val="0"/>
        <w:adjustRightInd/>
        <w:snapToGrid/>
        <w:spacing w:line="401" w:lineRule="auto"/>
        <w:ind w:left="0"/>
        <w:jc w:val="center"/>
        <w:textAlignment w:val="auto"/>
        <w:rPr>
          <w:rFonts w:ascii="仿宋" w:hAnsi="仿宋" w:eastAsia="仿宋"/>
          <w:b/>
          <w:sz w:val="44"/>
          <w:szCs w:val="44"/>
        </w:rPr>
      </w:pPr>
      <w:r>
        <w:rPr>
          <w:rFonts w:hint="eastAsia" w:ascii="仿宋" w:hAnsi="仿宋" w:eastAsia="仿宋"/>
          <w:b/>
          <w:sz w:val="48"/>
          <w:szCs w:val="48"/>
          <w:lang w:val="en-US" w:eastAsia="zh-CN"/>
        </w:rPr>
        <w:t>2025年消防类培训服务项目</w:t>
      </w:r>
    </w:p>
    <w:p w14:paraId="45FA8107">
      <w:pPr>
        <w:spacing w:line="400" w:lineRule="auto"/>
        <w:ind w:left="1000"/>
        <w:jc w:val="center"/>
        <w:rPr>
          <w:rFonts w:hint="eastAsia" w:ascii="仿宋" w:hAnsi="仿宋" w:eastAsia="仿宋"/>
          <w:b/>
          <w:sz w:val="48"/>
          <w:szCs w:val="48"/>
        </w:rPr>
      </w:pPr>
    </w:p>
    <w:p w14:paraId="06517BFC">
      <w:pPr>
        <w:spacing w:line="400" w:lineRule="auto"/>
        <w:ind w:left="1000"/>
        <w:jc w:val="center"/>
        <w:rPr>
          <w:rFonts w:hint="eastAsia" w:ascii="仿宋" w:hAnsi="仿宋" w:eastAsia="仿宋"/>
          <w:b/>
          <w:sz w:val="48"/>
          <w:szCs w:val="48"/>
        </w:rPr>
      </w:pPr>
    </w:p>
    <w:p w14:paraId="077649DB">
      <w:pPr>
        <w:spacing w:line="400" w:lineRule="auto"/>
        <w:ind w:left="1000"/>
        <w:jc w:val="center"/>
        <w:rPr>
          <w:rFonts w:ascii="仿宋" w:hAnsi="仿宋" w:eastAsia="仿宋"/>
          <w:b/>
          <w:sz w:val="48"/>
          <w:szCs w:val="48"/>
        </w:rPr>
      </w:pPr>
    </w:p>
    <w:p w14:paraId="780190A9">
      <w:pPr>
        <w:spacing w:line="400" w:lineRule="auto"/>
        <w:jc w:val="center"/>
        <w:rPr>
          <w:rFonts w:hint="eastAsia" w:ascii="仿宋" w:hAnsi="仿宋" w:eastAsia="仿宋"/>
          <w:b/>
          <w:sz w:val="48"/>
          <w:szCs w:val="48"/>
        </w:rPr>
      </w:pPr>
      <w:r>
        <w:rPr>
          <w:rFonts w:ascii="仿宋" w:hAnsi="仿宋" w:eastAsia="仿宋"/>
          <w:b/>
          <w:sz w:val="48"/>
          <w:szCs w:val="48"/>
        </w:rPr>
        <w:t>招</w:t>
      </w:r>
    </w:p>
    <w:p w14:paraId="378D335F">
      <w:pPr>
        <w:spacing w:line="400" w:lineRule="auto"/>
        <w:ind w:left="1000"/>
        <w:jc w:val="center"/>
        <w:rPr>
          <w:rFonts w:hint="eastAsia" w:ascii="仿宋" w:hAnsi="仿宋" w:eastAsia="仿宋"/>
          <w:b/>
          <w:sz w:val="48"/>
          <w:szCs w:val="48"/>
        </w:rPr>
      </w:pPr>
    </w:p>
    <w:p w14:paraId="389AECCF">
      <w:pPr>
        <w:spacing w:line="400" w:lineRule="auto"/>
        <w:jc w:val="center"/>
        <w:rPr>
          <w:rFonts w:hint="eastAsia" w:ascii="仿宋" w:hAnsi="仿宋" w:eastAsia="仿宋"/>
          <w:b/>
          <w:sz w:val="48"/>
          <w:szCs w:val="48"/>
        </w:rPr>
      </w:pPr>
      <w:r>
        <w:rPr>
          <w:rFonts w:ascii="仿宋" w:hAnsi="仿宋" w:eastAsia="仿宋"/>
          <w:b/>
          <w:sz w:val="48"/>
          <w:szCs w:val="48"/>
        </w:rPr>
        <w:t>标</w:t>
      </w:r>
    </w:p>
    <w:p w14:paraId="2C52F61A">
      <w:pPr>
        <w:spacing w:line="400" w:lineRule="auto"/>
        <w:ind w:left="1000"/>
        <w:jc w:val="center"/>
        <w:rPr>
          <w:rFonts w:hint="eastAsia" w:ascii="仿宋" w:hAnsi="仿宋" w:eastAsia="仿宋"/>
          <w:b/>
          <w:sz w:val="48"/>
          <w:szCs w:val="48"/>
        </w:rPr>
      </w:pPr>
    </w:p>
    <w:p w14:paraId="55518FE5">
      <w:pPr>
        <w:spacing w:line="400" w:lineRule="auto"/>
        <w:jc w:val="center"/>
        <w:rPr>
          <w:rFonts w:hint="eastAsia" w:ascii="仿宋" w:hAnsi="仿宋" w:eastAsia="仿宋"/>
          <w:b/>
          <w:sz w:val="48"/>
          <w:szCs w:val="48"/>
        </w:rPr>
      </w:pPr>
      <w:r>
        <w:rPr>
          <w:rFonts w:hint="eastAsia" w:ascii="仿宋" w:hAnsi="仿宋" w:eastAsia="仿宋"/>
          <w:b/>
          <w:sz w:val="48"/>
          <w:szCs w:val="48"/>
        </w:rPr>
        <w:t>文</w:t>
      </w:r>
    </w:p>
    <w:p w14:paraId="5952DE6B">
      <w:pPr>
        <w:spacing w:line="400" w:lineRule="auto"/>
        <w:ind w:left="1000"/>
        <w:jc w:val="center"/>
        <w:rPr>
          <w:rFonts w:hint="eastAsia" w:ascii="仿宋" w:hAnsi="仿宋" w:eastAsia="仿宋"/>
          <w:b/>
          <w:sz w:val="48"/>
          <w:szCs w:val="48"/>
        </w:rPr>
      </w:pPr>
    </w:p>
    <w:p w14:paraId="5FCAA82D">
      <w:pPr>
        <w:spacing w:line="400" w:lineRule="auto"/>
        <w:jc w:val="center"/>
        <w:rPr>
          <w:rFonts w:ascii="仿宋" w:hAnsi="仿宋" w:eastAsia="仿宋"/>
          <w:b/>
          <w:sz w:val="48"/>
          <w:szCs w:val="48"/>
        </w:rPr>
      </w:pPr>
      <w:r>
        <w:rPr>
          <w:rFonts w:hint="eastAsia" w:ascii="仿宋" w:hAnsi="仿宋" w:eastAsia="仿宋"/>
          <w:b/>
          <w:sz w:val="48"/>
          <w:szCs w:val="48"/>
        </w:rPr>
        <w:t>件</w:t>
      </w:r>
    </w:p>
    <w:p w14:paraId="4401BD12">
      <w:pPr>
        <w:spacing w:line="400" w:lineRule="auto"/>
        <w:ind w:left="1000"/>
        <w:jc w:val="center"/>
        <w:rPr>
          <w:rFonts w:eastAsia="黑体"/>
          <w:b/>
          <w:sz w:val="36"/>
        </w:rPr>
      </w:pPr>
    </w:p>
    <w:p w14:paraId="6C856767">
      <w:pPr>
        <w:spacing w:line="400" w:lineRule="auto"/>
        <w:jc w:val="center"/>
        <w:rPr>
          <w:rFonts w:hint="eastAsia" w:eastAsia="黑体"/>
          <w:b/>
          <w:sz w:val="36"/>
        </w:rPr>
      </w:pPr>
    </w:p>
    <w:p w14:paraId="261EF953">
      <w:pPr>
        <w:spacing w:line="400" w:lineRule="auto"/>
        <w:ind w:left="1000"/>
        <w:jc w:val="center"/>
        <w:rPr>
          <w:rFonts w:hint="eastAsia" w:eastAsia="黑体"/>
          <w:b/>
          <w:sz w:val="36"/>
        </w:rPr>
      </w:pPr>
    </w:p>
    <w:p w14:paraId="53DFB4CC">
      <w:pPr>
        <w:spacing w:line="400" w:lineRule="auto"/>
        <w:ind w:left="1000"/>
        <w:jc w:val="center"/>
        <w:rPr>
          <w:rFonts w:eastAsia="黑体"/>
          <w:b/>
          <w:sz w:val="36"/>
        </w:rPr>
      </w:pPr>
    </w:p>
    <w:p w14:paraId="363A0E0F">
      <w:pPr>
        <w:spacing w:line="400" w:lineRule="auto"/>
        <w:jc w:val="center"/>
        <w:rPr>
          <w:rFonts w:hint="eastAsia" w:eastAsia="黑体"/>
          <w:b/>
          <w:sz w:val="36"/>
        </w:rPr>
      </w:pPr>
    </w:p>
    <w:p w14:paraId="5B3844F3">
      <w:pPr>
        <w:spacing w:line="400" w:lineRule="auto"/>
        <w:jc w:val="center"/>
        <w:rPr>
          <w:rFonts w:eastAsia="黑体"/>
          <w:b/>
          <w:sz w:val="36"/>
        </w:rPr>
      </w:pPr>
    </w:p>
    <w:p w14:paraId="04EF8A76">
      <w:pPr>
        <w:spacing w:line="400" w:lineRule="auto"/>
        <w:jc w:val="center"/>
        <w:rPr>
          <w:rFonts w:hint="eastAsia" w:ascii="仿宋" w:hAnsi="仿宋" w:eastAsia="仿宋"/>
          <w:b/>
          <w:color w:val="000000"/>
          <w:sz w:val="36"/>
        </w:rPr>
      </w:pPr>
      <w:r>
        <w:rPr>
          <w:rFonts w:hint="eastAsia" w:ascii="仿宋" w:hAnsi="仿宋" w:eastAsia="仿宋"/>
          <w:b/>
          <w:color w:val="000000"/>
          <w:sz w:val="36"/>
        </w:rPr>
        <w:t>中国重汽集团济南动力有限公司</w:t>
      </w:r>
    </w:p>
    <w:p w14:paraId="6384D147">
      <w:pPr>
        <w:spacing w:line="400" w:lineRule="auto"/>
        <w:jc w:val="center"/>
        <w:rPr>
          <w:rFonts w:ascii="仿宋" w:hAnsi="仿宋" w:eastAsia="仿宋"/>
        </w:rPr>
      </w:pPr>
      <w:r>
        <w:rPr>
          <w:rFonts w:hint="eastAsia" w:ascii="仿宋" w:hAnsi="仿宋" w:eastAsia="仿宋"/>
          <w:b/>
          <w:color w:val="000000"/>
          <w:sz w:val="36"/>
        </w:rPr>
        <w:t>202</w:t>
      </w:r>
      <w:r>
        <w:rPr>
          <w:rFonts w:hint="eastAsia" w:ascii="仿宋" w:hAnsi="仿宋" w:eastAsia="仿宋"/>
          <w:b/>
          <w:color w:val="000000"/>
          <w:sz w:val="36"/>
          <w:lang w:val="en-US" w:eastAsia="zh-CN"/>
        </w:rPr>
        <w:t>5</w:t>
      </w:r>
      <w:r>
        <w:rPr>
          <w:rFonts w:hint="eastAsia" w:ascii="仿宋" w:hAnsi="仿宋" w:eastAsia="仿宋"/>
          <w:b/>
          <w:color w:val="000000"/>
          <w:sz w:val="36"/>
        </w:rPr>
        <w:t>年</w:t>
      </w:r>
      <w:r>
        <w:rPr>
          <w:rFonts w:hint="eastAsia" w:ascii="仿宋" w:hAnsi="仿宋" w:eastAsia="仿宋"/>
          <w:b/>
          <w:color w:val="000000"/>
          <w:sz w:val="36"/>
          <w:lang w:val="en-US" w:eastAsia="zh-CN"/>
        </w:rPr>
        <w:t xml:space="preserve"> 9</w:t>
      </w:r>
      <w:r>
        <w:rPr>
          <w:rFonts w:hint="eastAsia" w:ascii="仿宋" w:hAnsi="仿宋" w:eastAsia="仿宋"/>
          <w:b/>
          <w:color w:val="000000"/>
          <w:sz w:val="36"/>
        </w:rPr>
        <w:t>月</w:t>
      </w:r>
    </w:p>
    <w:p w14:paraId="30ED6782">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A9D0D6">
      <w:pPr>
        <w:pStyle w:val="2"/>
        <w:keepNext w:val="0"/>
        <w:keepLines w:val="0"/>
        <w:pageBreakBefore w:val="0"/>
        <w:widowControl w:val="0"/>
        <w:kinsoku/>
        <w:wordWrap/>
        <w:overflowPunct/>
        <w:topLinePunct w:val="0"/>
        <w:autoSpaceDE/>
        <w:autoSpaceDN/>
        <w:bidi w:val="0"/>
        <w:adjustRightInd/>
        <w:snapToGrid/>
        <w:ind w:left="0" w:leftChars="0" w:firstLine="883" w:firstLineChars="200"/>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第一章 招标公告</w:t>
      </w:r>
    </w:p>
    <w:p w14:paraId="1488CE30">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一、项目名称</w:t>
      </w:r>
    </w:p>
    <w:p w14:paraId="7546FF05">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2025年消防类培训服务项目。</w:t>
      </w:r>
    </w:p>
    <w:p w14:paraId="38B5192F">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二、项目编号</w:t>
      </w:r>
    </w:p>
    <w:p w14:paraId="0862B26D">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CGZX2025090054。</w:t>
      </w:r>
    </w:p>
    <w:p w14:paraId="04BAD7B9">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三、招标内容</w:t>
      </w:r>
    </w:p>
    <w:p w14:paraId="202795BF">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消防人员培训项目</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000"/>
        <w:gridCol w:w="1744"/>
        <w:gridCol w:w="2979"/>
      </w:tblGrid>
      <w:tr w14:paraId="6A2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67"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1B192987">
            <w:pPr>
              <w:jc w:val="center"/>
              <w:rPr>
                <w:rFonts w:ascii="仿宋_GB2312" w:hAnsi="仿宋_GB2312" w:eastAsia="仿宋_GB2312" w:cs="仿宋_GB2312"/>
                <w:b/>
                <w:bCs/>
                <w:color w:val="FFFFFF"/>
                <w:kern w:val="0"/>
                <w:sz w:val="24"/>
              </w:rPr>
            </w:pPr>
            <w:r>
              <w:rPr>
                <w:rFonts w:hint="eastAsia" w:ascii="仿宋_GB2312" w:hAnsi="仿宋_GB2312" w:eastAsia="仿宋_GB2312" w:cs="仿宋_GB2312"/>
                <w:b/>
                <w:bCs/>
                <w:color w:val="FFFFFF"/>
                <w:kern w:val="0"/>
                <w:sz w:val="24"/>
              </w:rPr>
              <w:t>序号</w:t>
            </w:r>
          </w:p>
        </w:tc>
        <w:tc>
          <w:tcPr>
            <w:tcW w:w="1760"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038E0C6B">
            <w:pPr>
              <w:jc w:val="center"/>
              <w:rPr>
                <w:rFonts w:hint="eastAsia" w:ascii="仿宋_GB2312" w:hAnsi="仿宋_GB2312" w:eastAsia="仿宋_GB2312" w:cs="仿宋_GB2312"/>
                <w:b/>
                <w:bCs/>
                <w:color w:val="FFFFFF"/>
                <w:kern w:val="0"/>
                <w:sz w:val="24"/>
                <w:lang w:eastAsia="zh-CN"/>
              </w:rPr>
            </w:pPr>
            <w:r>
              <w:rPr>
                <w:rFonts w:hint="eastAsia" w:ascii="仿宋_GB2312" w:hAnsi="仿宋_GB2312" w:eastAsia="仿宋_GB2312" w:cs="仿宋_GB2312"/>
                <w:b/>
                <w:bCs/>
                <w:color w:val="FFFFFF"/>
                <w:kern w:val="0"/>
                <w:sz w:val="24"/>
              </w:rPr>
              <w:t>培训</w:t>
            </w:r>
            <w:r>
              <w:rPr>
                <w:rFonts w:hint="eastAsia" w:ascii="仿宋_GB2312" w:hAnsi="仿宋_GB2312" w:eastAsia="仿宋_GB2312" w:cs="仿宋_GB2312"/>
                <w:b/>
                <w:bCs/>
                <w:color w:val="FFFFFF"/>
                <w:kern w:val="0"/>
                <w:sz w:val="24"/>
                <w:lang w:eastAsia="zh-CN"/>
              </w:rPr>
              <w:t>内容</w:t>
            </w:r>
          </w:p>
        </w:tc>
        <w:tc>
          <w:tcPr>
            <w:tcW w:w="1023"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59AF98B4">
            <w:pPr>
              <w:jc w:val="center"/>
              <w:rPr>
                <w:rFonts w:hint="eastAsia" w:ascii="仿宋_GB2312" w:hAnsi="仿宋_GB2312" w:eastAsia="仿宋_GB2312" w:cs="仿宋_GB2312"/>
                <w:b/>
                <w:bCs/>
                <w:color w:val="FFFFFF"/>
                <w:kern w:val="0"/>
                <w:sz w:val="24"/>
                <w:lang w:eastAsia="zh-CN"/>
              </w:rPr>
            </w:pPr>
            <w:r>
              <w:rPr>
                <w:rFonts w:hint="eastAsia" w:ascii="仿宋_GB2312" w:hAnsi="仿宋_GB2312" w:eastAsia="仿宋_GB2312" w:cs="仿宋_GB2312"/>
                <w:b/>
                <w:bCs/>
                <w:color w:val="FFFFFF"/>
                <w:kern w:val="0"/>
                <w:sz w:val="24"/>
                <w:lang w:eastAsia="zh-CN"/>
              </w:rPr>
              <w:t>培训人数</w:t>
            </w:r>
          </w:p>
        </w:tc>
        <w:tc>
          <w:tcPr>
            <w:tcW w:w="1747"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1980E87F">
            <w:pPr>
              <w:jc w:val="center"/>
              <w:rPr>
                <w:rFonts w:hint="eastAsia" w:ascii="仿宋_GB2312" w:hAnsi="仿宋_GB2312" w:eastAsia="仿宋_GB2312" w:cs="仿宋_GB2312"/>
                <w:b/>
                <w:bCs/>
                <w:color w:val="FFFFFF"/>
                <w:kern w:val="0"/>
                <w:sz w:val="24"/>
                <w:lang w:eastAsia="zh-CN"/>
              </w:rPr>
            </w:pPr>
            <w:r>
              <w:rPr>
                <w:rFonts w:hint="eastAsia" w:ascii="仿宋_GB2312" w:hAnsi="仿宋_GB2312" w:eastAsia="仿宋_GB2312" w:cs="仿宋_GB2312"/>
                <w:b/>
                <w:bCs/>
                <w:color w:val="FFFFFF"/>
                <w:kern w:val="0"/>
                <w:sz w:val="24"/>
                <w:lang w:eastAsia="zh-CN"/>
              </w:rPr>
              <w:t>备注</w:t>
            </w:r>
          </w:p>
        </w:tc>
      </w:tr>
      <w:tr w14:paraId="061B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67" w:type="pct"/>
            <w:noWrap w:val="0"/>
            <w:vAlign w:val="center"/>
          </w:tcPr>
          <w:p w14:paraId="355CED2F">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1760" w:type="pct"/>
            <w:noWrap w:val="0"/>
            <w:vAlign w:val="center"/>
          </w:tcPr>
          <w:p w14:paraId="6495E4BD">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消防安全管理人员(中级）</w:t>
            </w:r>
          </w:p>
        </w:tc>
        <w:tc>
          <w:tcPr>
            <w:tcW w:w="1023" w:type="pct"/>
            <w:noWrap w:val="0"/>
            <w:vAlign w:val="center"/>
          </w:tcPr>
          <w:p w14:paraId="362E330D">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106</w:t>
            </w:r>
          </w:p>
        </w:tc>
        <w:tc>
          <w:tcPr>
            <w:tcW w:w="1747" w:type="pct"/>
            <w:noWrap w:val="0"/>
            <w:vAlign w:val="center"/>
          </w:tcPr>
          <w:p w14:paraId="67AFD0BA">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按人数结算费用</w:t>
            </w:r>
          </w:p>
        </w:tc>
      </w:tr>
      <w:tr w14:paraId="27C7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67" w:type="pct"/>
            <w:noWrap w:val="0"/>
            <w:vAlign w:val="center"/>
          </w:tcPr>
          <w:p w14:paraId="697D7F3E">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p>
        </w:tc>
        <w:tc>
          <w:tcPr>
            <w:tcW w:w="1760" w:type="pct"/>
            <w:noWrap w:val="0"/>
            <w:vAlign w:val="center"/>
          </w:tcPr>
          <w:p w14:paraId="2F4764BB">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消防设施操作员(中级）</w:t>
            </w:r>
          </w:p>
        </w:tc>
        <w:tc>
          <w:tcPr>
            <w:tcW w:w="1023" w:type="pct"/>
            <w:noWrap w:val="0"/>
            <w:vAlign w:val="center"/>
          </w:tcPr>
          <w:p w14:paraId="6F5B40FA">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16</w:t>
            </w:r>
          </w:p>
        </w:tc>
        <w:tc>
          <w:tcPr>
            <w:tcW w:w="1747" w:type="pct"/>
            <w:noWrap w:val="0"/>
            <w:vAlign w:val="center"/>
          </w:tcPr>
          <w:p w14:paraId="4C4D6CE2">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按人数结算费用</w:t>
            </w:r>
          </w:p>
        </w:tc>
      </w:tr>
    </w:tbl>
    <w:p w14:paraId="2AE7DC59">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四、招标形式</w:t>
      </w:r>
    </w:p>
    <w:p w14:paraId="235015FC">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公开招标。</w:t>
      </w:r>
    </w:p>
    <w:p w14:paraId="6B354D5E">
      <w:pPr>
        <w:pStyle w:val="2"/>
        <w:keepNext w:val="0"/>
        <w:keepLines w:val="0"/>
        <w:pageBreakBefore w:val="0"/>
        <w:widowControl w:val="0"/>
        <w:kinsoku/>
        <w:wordWrap/>
        <w:overflowPunct/>
        <w:topLinePunct w:val="0"/>
        <w:autoSpaceDE/>
        <w:autoSpaceDN/>
        <w:bidi w:val="0"/>
        <w:adjustRightInd/>
        <w:snapToGrid/>
        <w:ind w:left="0" w:leftChars="0" w:firstLine="883" w:firstLineChars="200"/>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第二章、投标人须知</w:t>
      </w:r>
    </w:p>
    <w:p w14:paraId="2C0BB621">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一、投标单位资格要求</w:t>
      </w:r>
    </w:p>
    <w:p w14:paraId="2FC44F84">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default" w:ascii="仿宋_GB2312" w:hAnsi="仿宋_GB2312" w:eastAsia="仿宋_GB2312" w:cs="仿宋_GB2312"/>
          <w:b w:val="0"/>
          <w:bCs w:val="0"/>
          <w:sz w:val="28"/>
          <w:szCs w:val="28"/>
          <w:lang w:val="en-US" w:eastAsia="zh-CN"/>
        </w:rPr>
        <w:t>参加投标的单位，必须是在中华人民共和国合法注册，具有独立法人资格的公司，且成立三年以上（含三年，以注册日期开始计算，至开标之日不少于三年），营业范围包括须具有国家承认的相关培训资质</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且注册资金</w:t>
      </w:r>
      <w:r>
        <w:rPr>
          <w:rFonts w:hint="eastAsia" w:ascii="仿宋_GB2312" w:hAnsi="仿宋_GB2312" w:eastAsia="仿宋_GB2312" w:cs="仿宋_GB2312"/>
          <w:b w:val="0"/>
          <w:bCs w:val="0"/>
          <w:sz w:val="28"/>
          <w:szCs w:val="28"/>
          <w:lang w:val="en-US" w:eastAsia="zh-CN"/>
        </w:rPr>
        <w:t>500</w:t>
      </w:r>
      <w:r>
        <w:rPr>
          <w:rFonts w:hint="default" w:ascii="仿宋_GB2312" w:hAnsi="仿宋_GB2312" w:eastAsia="仿宋_GB2312" w:cs="仿宋_GB2312"/>
          <w:b w:val="0"/>
          <w:bCs w:val="0"/>
          <w:sz w:val="28"/>
          <w:szCs w:val="28"/>
          <w:lang w:val="en-US" w:eastAsia="zh-CN"/>
        </w:rPr>
        <w:t>万元及以上</w:t>
      </w:r>
      <w:r>
        <w:rPr>
          <w:rFonts w:hint="eastAsia" w:ascii="仿宋_GB2312" w:hAnsi="仿宋_GB2312" w:eastAsia="仿宋_GB2312" w:cs="仿宋_GB2312"/>
          <w:b w:val="0"/>
          <w:bCs w:val="0"/>
          <w:sz w:val="28"/>
          <w:szCs w:val="28"/>
          <w:lang w:val="en-US" w:eastAsia="zh-CN"/>
        </w:rPr>
        <w:t>且</w:t>
      </w:r>
      <w:r>
        <w:rPr>
          <w:rFonts w:hint="default" w:ascii="仿宋_GB2312" w:hAnsi="仿宋_GB2312" w:eastAsia="仿宋_GB2312" w:cs="仿宋_GB2312"/>
          <w:b w:val="0"/>
          <w:bCs w:val="0"/>
          <w:sz w:val="28"/>
          <w:szCs w:val="28"/>
          <w:lang w:val="en-US" w:eastAsia="zh-CN"/>
        </w:rPr>
        <w:t>经营范围满足招标项目需求；</w:t>
      </w:r>
    </w:p>
    <w:p w14:paraId="62D1057E">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default" w:ascii="仿宋_GB2312" w:hAnsi="仿宋_GB2312" w:eastAsia="仿宋_GB2312" w:cs="仿宋_GB2312"/>
          <w:b w:val="0"/>
          <w:bCs w:val="0"/>
          <w:sz w:val="28"/>
          <w:szCs w:val="28"/>
          <w:lang w:val="en-US" w:eastAsia="zh-CN"/>
        </w:rPr>
        <w:t>具有良好的企业信誉和健全的财务会计制度；</w:t>
      </w:r>
    </w:p>
    <w:p w14:paraId="744473BB">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3.投标人须具有完全履行招标文件的所有要求的能力；</w:t>
      </w:r>
    </w:p>
    <w:p w14:paraId="2AC38867">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4.投标人必须是最终投标、签订合同的单位，不得以任何理由将已中标项目以任何形式转包给其他单位；</w:t>
      </w:r>
    </w:p>
    <w:p w14:paraId="38E218FA">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r>
        <w:rPr>
          <w:rFonts w:hint="default" w:ascii="仿宋_GB2312" w:hAnsi="仿宋_GB2312" w:eastAsia="仿宋_GB2312" w:cs="仿宋_GB2312"/>
          <w:b w:val="0"/>
          <w:bCs w:val="0"/>
          <w:sz w:val="28"/>
          <w:szCs w:val="28"/>
          <w:lang w:val="en-US" w:eastAsia="zh-CN"/>
        </w:rPr>
        <w:t>有依法缴纳税收和社会保障金的良好纪录；</w:t>
      </w:r>
    </w:p>
    <w:p w14:paraId="4B966AF9">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r>
        <w:rPr>
          <w:rFonts w:hint="default" w:ascii="仿宋_GB2312" w:hAnsi="仿宋_GB2312" w:eastAsia="仿宋_GB2312" w:cs="仿宋_GB2312"/>
          <w:b w:val="0"/>
          <w:bCs w:val="0"/>
          <w:sz w:val="28"/>
          <w:szCs w:val="28"/>
          <w:lang w:val="en-US" w:eastAsia="zh-CN"/>
        </w:rPr>
        <w:t>投标单位三年内无违法及重大违规记录；</w:t>
      </w:r>
    </w:p>
    <w:p w14:paraId="599F9759">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r>
        <w:rPr>
          <w:rFonts w:hint="default" w:ascii="仿宋_GB2312" w:hAnsi="仿宋_GB2312" w:eastAsia="仿宋_GB2312" w:cs="仿宋_GB2312"/>
          <w:b w:val="0"/>
          <w:bCs w:val="0"/>
          <w:sz w:val="28"/>
          <w:szCs w:val="28"/>
          <w:lang w:val="en-US" w:eastAsia="zh-CN"/>
        </w:rPr>
        <w:t>投标单位在国家市场监督管理总局的《国家企业信用信息公示系统》</w:t>
      </w:r>
      <w:r>
        <w:rPr>
          <w:rFonts w:hint="eastAsia" w:ascii="仿宋_GB2312" w:hAnsi="仿宋_GB2312" w:eastAsia="仿宋_GB2312" w:cs="仿宋_GB2312"/>
          <w:b w:val="0"/>
          <w:bCs w:val="0"/>
          <w:sz w:val="28"/>
          <w:szCs w:val="28"/>
          <w:lang w:val="en-US" w:eastAsia="zh-CN"/>
        </w:rPr>
        <w:t>、天眼查、中国信用等网站</w:t>
      </w:r>
      <w:r>
        <w:rPr>
          <w:rFonts w:hint="default" w:ascii="仿宋_GB2312" w:hAnsi="仿宋_GB2312" w:eastAsia="仿宋_GB2312" w:cs="仿宋_GB2312"/>
          <w:b w:val="0"/>
          <w:bCs w:val="0"/>
          <w:sz w:val="28"/>
          <w:szCs w:val="28"/>
          <w:lang w:val="en-US" w:eastAsia="zh-CN"/>
        </w:rPr>
        <w:t>中无</w:t>
      </w:r>
      <w:r>
        <w:rPr>
          <w:rFonts w:hint="eastAsia" w:ascii="仿宋_GB2312" w:hAnsi="仿宋_GB2312" w:eastAsia="仿宋_GB2312" w:cs="仿宋_GB2312"/>
          <w:b w:val="0"/>
          <w:bCs w:val="0"/>
          <w:sz w:val="28"/>
          <w:szCs w:val="28"/>
          <w:lang w:val="en-US" w:eastAsia="zh-CN"/>
        </w:rPr>
        <w:t>与本次招标业务相关的</w:t>
      </w:r>
      <w:r>
        <w:rPr>
          <w:rFonts w:hint="default" w:ascii="仿宋_GB2312" w:hAnsi="仿宋_GB2312" w:eastAsia="仿宋_GB2312" w:cs="仿宋_GB2312"/>
          <w:b w:val="0"/>
          <w:bCs w:val="0"/>
          <w:sz w:val="28"/>
          <w:szCs w:val="28"/>
          <w:lang w:val="en-US" w:eastAsia="zh-CN"/>
        </w:rPr>
        <w:t>行政处罚及失信记录等信息，无招标违规、谎报年度报告信息、提供虚假资质资料等行为或其他行政处罚记录；</w:t>
      </w:r>
    </w:p>
    <w:p w14:paraId="38F7AAA4">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r>
        <w:rPr>
          <w:rFonts w:hint="default" w:ascii="仿宋_GB2312" w:hAnsi="仿宋_GB2312" w:eastAsia="仿宋_GB2312" w:cs="仿宋_GB2312"/>
          <w:b w:val="0"/>
          <w:bCs w:val="0"/>
          <w:sz w:val="28"/>
          <w:szCs w:val="28"/>
          <w:lang w:val="en-US" w:eastAsia="zh-CN"/>
        </w:rPr>
        <w:t>未被中国重型汽车集团有限公司列入黑名单；</w:t>
      </w:r>
    </w:p>
    <w:p w14:paraId="502F5299">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r>
        <w:rPr>
          <w:rFonts w:hint="default" w:ascii="仿宋_GB2312" w:hAnsi="仿宋_GB2312" w:eastAsia="仿宋_GB2312" w:cs="仿宋_GB2312"/>
          <w:b w:val="0"/>
          <w:bCs w:val="0"/>
          <w:sz w:val="28"/>
          <w:szCs w:val="28"/>
          <w:lang w:val="en-US" w:eastAsia="zh-CN"/>
        </w:rPr>
        <w:t>供方的直接或间接股东、法定代表人、董事、监事、高管非重汽员工及其亲属；</w:t>
      </w:r>
    </w:p>
    <w:p w14:paraId="6784969D">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10.投标人须认可招标人终止合同后3个月退还履约保证金的招标要求；</w:t>
      </w:r>
    </w:p>
    <w:p w14:paraId="4EF6D4F0">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11.</w:t>
      </w:r>
      <w:r>
        <w:rPr>
          <w:rFonts w:hint="default" w:ascii="仿宋_GB2312" w:hAnsi="仿宋_GB2312" w:eastAsia="仿宋_GB2312" w:cs="仿宋_GB2312"/>
          <w:b w:val="0"/>
          <w:bCs w:val="0"/>
          <w:sz w:val="28"/>
          <w:szCs w:val="28"/>
          <w:lang w:val="en-US" w:eastAsia="zh-CN"/>
        </w:rPr>
        <w:t>相关法律法规对合格投标单位的其他要求</w:t>
      </w:r>
      <w:r>
        <w:rPr>
          <w:rFonts w:hint="eastAsia" w:ascii="仿宋_GB2312" w:hAnsi="仿宋_GB2312" w:eastAsia="仿宋_GB2312" w:cs="仿宋_GB2312"/>
          <w:b w:val="0"/>
          <w:bCs w:val="0"/>
          <w:sz w:val="28"/>
          <w:szCs w:val="28"/>
          <w:lang w:val="en-US" w:eastAsia="zh-CN"/>
        </w:rPr>
        <w:t>；</w:t>
      </w:r>
    </w:p>
    <w:p w14:paraId="0DD3094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12.本次招标项目不接受联合体投标。</w:t>
      </w:r>
    </w:p>
    <w:p w14:paraId="6F86CFA9">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二、议程安排</w:t>
      </w:r>
    </w:p>
    <w:p w14:paraId="3E07EF6E">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1.发标时间：2025</w:t>
      </w:r>
      <w:r>
        <w:rPr>
          <w:rFonts w:hint="eastAsia" w:ascii="仿宋_GB2312" w:hAnsi="仿宋_GB2312" w:eastAsia="仿宋_GB2312" w:cs="仿宋_GB2312"/>
          <w:b w:val="0"/>
          <w:bCs w:val="0"/>
          <w:sz w:val="28"/>
          <w:szCs w:val="28"/>
          <w:highlight w:val="none"/>
          <w:lang w:val="en-US" w:eastAsia="zh-CN"/>
        </w:rPr>
        <w:t>年9月28日</w:t>
      </w:r>
    </w:p>
    <w:p w14:paraId="023803F2">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发标方式：</w:t>
      </w:r>
    </w:p>
    <w:p w14:paraId="6D877F37">
      <w:pPr>
        <w:pStyle w:val="8"/>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重汽官方网站：</w:t>
      </w:r>
    </w:p>
    <w:p w14:paraId="45110BFD">
      <w:pPr>
        <w:pStyle w:val="8"/>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http://www.cnhtc.com.cn/View/NewsLists.aspx?key=29</w:t>
      </w:r>
    </w:p>
    <w:p w14:paraId="2D104E34">
      <w:pPr>
        <w:pStyle w:val="8"/>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rPr>
        <w:t>联系人：卜剑锋</w:t>
      </w:r>
      <w:r>
        <w:rPr>
          <w:rFonts w:hint="eastAsia" w:ascii="仿宋" w:hAnsi="仿宋" w:eastAsia="仿宋"/>
          <w:sz w:val="28"/>
          <w:szCs w:val="24"/>
        </w:rPr>
        <w:tab/>
      </w:r>
    </w:p>
    <w:p w14:paraId="1AA1F21C">
      <w:pPr>
        <w:pStyle w:val="8"/>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szCs w:val="24"/>
        </w:rPr>
      </w:pPr>
      <w:r>
        <w:rPr>
          <w:rFonts w:hint="eastAsia" w:ascii="仿宋" w:hAnsi="仿宋" w:eastAsia="仿宋"/>
          <w:sz w:val="28"/>
          <w:szCs w:val="24"/>
          <w:lang w:val="en-US" w:eastAsia="zh-CN"/>
        </w:rPr>
        <w:t>邮箱</w:t>
      </w:r>
      <w:r>
        <w:rPr>
          <w:rFonts w:hint="eastAsia" w:ascii="仿宋" w:hAnsi="仿宋" w:eastAsia="仿宋"/>
          <w:sz w:val="28"/>
          <w:szCs w:val="24"/>
        </w:rPr>
        <w:t>：bujianfeng@sinotruk.com</w:t>
      </w:r>
    </w:p>
    <w:p w14:paraId="2DE48918">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default" w:ascii="仿宋_GB2312" w:hAnsi="仿宋_GB2312" w:eastAsia="仿宋_GB2312" w:cs="仿宋_GB2312"/>
          <w:b w:val="0"/>
          <w:bCs w:val="0"/>
          <w:sz w:val="28"/>
          <w:szCs w:val="28"/>
          <w:lang w:val="en-US" w:eastAsia="zh-CN"/>
        </w:rPr>
        <w:t>答疑时间：2</w:t>
      </w:r>
      <w:r>
        <w:rPr>
          <w:rFonts w:hint="default" w:ascii="仿宋_GB2312" w:hAnsi="仿宋_GB2312" w:eastAsia="仿宋_GB2312" w:cs="仿宋_GB2312"/>
          <w:b w:val="0"/>
          <w:bCs w:val="0"/>
          <w:sz w:val="28"/>
          <w:szCs w:val="28"/>
          <w:highlight w:val="none"/>
          <w:lang w:val="en-US" w:eastAsia="zh-CN"/>
        </w:rPr>
        <w:t>02</w:t>
      </w:r>
      <w:r>
        <w:rPr>
          <w:rFonts w:hint="eastAsia" w:ascii="仿宋_GB2312" w:hAnsi="仿宋_GB2312" w:eastAsia="仿宋_GB2312" w:cs="仿宋_GB2312"/>
          <w:b w:val="0"/>
          <w:bCs w:val="0"/>
          <w:sz w:val="28"/>
          <w:szCs w:val="28"/>
          <w:highlight w:val="none"/>
          <w:lang w:val="en-US" w:eastAsia="zh-CN"/>
        </w:rPr>
        <w:t>5</w:t>
      </w:r>
      <w:r>
        <w:rPr>
          <w:rFonts w:hint="default" w:ascii="仿宋_GB2312" w:hAnsi="仿宋_GB2312" w:eastAsia="仿宋_GB2312" w:cs="仿宋_GB2312"/>
          <w:b w:val="0"/>
          <w:bCs w:val="0"/>
          <w:sz w:val="28"/>
          <w:szCs w:val="28"/>
          <w:highlight w:val="none"/>
          <w:lang w:val="en-US" w:eastAsia="zh-CN"/>
        </w:rPr>
        <w:t>年</w:t>
      </w:r>
      <w:r>
        <w:rPr>
          <w:rFonts w:hint="eastAsia" w:ascii="仿宋_GB2312" w:hAnsi="仿宋_GB2312" w:eastAsia="仿宋_GB2312" w:cs="仿宋_GB2312"/>
          <w:b w:val="0"/>
          <w:bCs w:val="0"/>
          <w:sz w:val="28"/>
          <w:szCs w:val="28"/>
          <w:highlight w:val="none"/>
          <w:lang w:val="en-US" w:eastAsia="zh-CN"/>
        </w:rPr>
        <w:t>10月12日17点前</w:t>
      </w:r>
    </w:p>
    <w:p w14:paraId="400F487A">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答疑方式：书面及邮件（电话不受理）</w:t>
      </w:r>
    </w:p>
    <w:p w14:paraId="3530B74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联 系 人：</w:t>
      </w:r>
      <w:r>
        <w:rPr>
          <w:rFonts w:hint="eastAsia" w:ascii="仿宋_GB2312" w:hAnsi="仿宋_GB2312" w:eastAsia="仿宋_GB2312" w:cs="仿宋_GB2312"/>
          <w:b w:val="0"/>
          <w:bCs w:val="0"/>
          <w:sz w:val="28"/>
          <w:szCs w:val="28"/>
          <w:lang w:val="en-US" w:eastAsia="zh-CN"/>
        </w:rPr>
        <w:t>卜剑锋</w:t>
      </w:r>
    </w:p>
    <w:p w14:paraId="17D0CEC8">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邮    箱：</w:t>
      </w:r>
      <w:r>
        <w:rPr>
          <w:rFonts w:hint="eastAsia" w:ascii="仿宋_GB2312" w:hAnsi="仿宋_GB2312" w:eastAsia="仿宋_GB2312" w:cs="仿宋_GB2312"/>
          <w:b w:val="0"/>
          <w:bCs w:val="0"/>
          <w:sz w:val="28"/>
          <w:szCs w:val="28"/>
          <w:lang w:val="en-US" w:eastAsia="zh-CN"/>
        </w:rPr>
        <w:t>bujianfeng@sinotruk.com</w:t>
      </w:r>
    </w:p>
    <w:p w14:paraId="309E3B2F">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3.注册重汽e采通账号进行项目应标，注册账号网址为：https://ecaitong.sinotruk.com:8012/#/login（已注册过重汽e采通账号的，可以通过原注册账号进行登陆应标）。</w:t>
      </w:r>
    </w:p>
    <w:p w14:paraId="771757AB">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4.“应标”截止时间：</w:t>
      </w:r>
      <w:r>
        <w:rPr>
          <w:rFonts w:hint="eastAsia" w:ascii="仿宋_GB2312" w:hAnsi="仿宋_GB2312" w:eastAsia="仿宋_GB2312" w:cs="仿宋_GB2312"/>
          <w:b w:val="0"/>
          <w:bCs w:val="0"/>
          <w:sz w:val="28"/>
          <w:szCs w:val="28"/>
          <w:highlight w:val="none"/>
          <w:lang w:val="en-US" w:eastAsia="zh-CN"/>
        </w:rPr>
        <w:t>2025年10月11日17点</w:t>
      </w:r>
      <w:r>
        <w:rPr>
          <w:rFonts w:hint="eastAsia" w:ascii="仿宋_GB2312" w:hAnsi="仿宋_GB2312" w:eastAsia="仿宋_GB2312" w:cs="仿宋_GB2312"/>
          <w:b w:val="0"/>
          <w:bCs w:val="0"/>
          <w:sz w:val="28"/>
          <w:szCs w:val="28"/>
          <w:lang w:val="en-US" w:eastAsia="zh-CN"/>
        </w:rPr>
        <w:t>以前，在重汽e采通网站内，找到本项目进行“应标”操作，规定时间未进行“应标”操作将无法参标。</w:t>
      </w:r>
    </w:p>
    <w:p w14:paraId="24D5B23A">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“应标”所上传资料：</w:t>
      </w:r>
    </w:p>
    <w:p w14:paraId="6882315B">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sz w:val="28"/>
          <w:lang w:val="en-US" w:eastAsia="zh-CN"/>
        </w:rPr>
      </w:pPr>
      <w:r>
        <w:rPr>
          <w:rFonts w:hint="eastAsia" w:ascii="仿宋" w:hAnsi="仿宋" w:eastAsia="仿宋" w:cs="Times New Roman"/>
          <w:kern w:val="0"/>
          <w:sz w:val="28"/>
          <w:szCs w:val="24"/>
          <w:lang w:val="en-US" w:eastAsia="zh-CN" w:bidi="ar-SA"/>
        </w:rPr>
        <w:t>（1）</w:t>
      </w:r>
      <w:r>
        <w:rPr>
          <w:rFonts w:hint="eastAsia" w:ascii="仿宋" w:hAnsi="仿宋" w:eastAsia="仿宋"/>
          <w:sz w:val="28"/>
          <w:lang w:val="en-US" w:eastAsia="zh-CN"/>
        </w:rPr>
        <w:t>企业资质：</w:t>
      </w:r>
      <w:r>
        <w:rPr>
          <w:rFonts w:hint="eastAsia" w:ascii="仿宋" w:hAnsi="仿宋" w:eastAsia="仿宋"/>
          <w:b/>
          <w:bCs/>
          <w:sz w:val="28"/>
          <w:lang w:eastAsia="zh-CN"/>
        </w:rPr>
        <w:t>同“八、投标文件构成”部分资质文件构成</w:t>
      </w:r>
      <w:r>
        <w:rPr>
          <w:rFonts w:hint="eastAsia" w:ascii="仿宋" w:hAnsi="仿宋" w:eastAsia="仿宋"/>
          <w:sz w:val="28"/>
          <w:lang w:eastAsia="zh-CN"/>
        </w:rPr>
        <w:t>；</w:t>
      </w:r>
    </w:p>
    <w:p w14:paraId="3D60F4C3">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sz w:val="28"/>
          <w:lang w:val="en-US" w:eastAsia="zh-CN"/>
        </w:rPr>
      </w:pPr>
      <w:r>
        <w:rPr>
          <w:rFonts w:hint="default" w:ascii="仿宋" w:hAnsi="仿宋" w:eastAsia="仿宋" w:cs="Times New Roman"/>
          <w:kern w:val="0"/>
          <w:sz w:val="28"/>
          <w:szCs w:val="24"/>
          <w:lang w:val="en-US" w:eastAsia="zh-CN" w:bidi="ar-SA"/>
        </w:rPr>
        <w:t>（2）</w:t>
      </w:r>
      <w:r>
        <w:rPr>
          <w:rFonts w:hint="eastAsia" w:ascii="仿宋" w:hAnsi="仿宋" w:eastAsia="仿宋"/>
          <w:sz w:val="28"/>
          <w:lang w:val="en-US" w:eastAsia="zh-CN"/>
        </w:rPr>
        <w:t>企业简介：PDF版企业简介；</w:t>
      </w:r>
    </w:p>
    <w:p w14:paraId="463B7C3F">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（3）企业业绩：相关业绩合同；</w:t>
      </w:r>
    </w:p>
    <w:p w14:paraId="42F8FE88">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（4）其他：投标报名表等。</w:t>
      </w:r>
    </w:p>
    <w:p w14:paraId="2DA381C0">
      <w:pPr>
        <w:pStyle w:val="2"/>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备注：提供上述资料均须加盖单位公章，以PDF的形式在规定时间内上传至重汽e采通内。</w:t>
      </w:r>
    </w:p>
    <w:p w14:paraId="65DA48F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应标”后，招标方进行资料审核，如“应标”资质不符合要求，“淘汰”；如“应标”资料不完整，“驳回”，补充资料，被“驳回”的单位，应在“应标”时间截止前补充完资料上传，否则视为“淘汰”；如资料无问题，视为“应标”成功，开放“投标”环节。</w:t>
      </w:r>
    </w:p>
    <w:p w14:paraId="3374A784">
      <w:pPr>
        <w:pStyle w:val="2"/>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备注：“淘汰”、“驳回”不予做任何解释。</w:t>
      </w:r>
    </w:p>
    <w:p w14:paraId="0E73C2AE">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6.“投标”截止时间：</w:t>
      </w:r>
      <w:r>
        <w:rPr>
          <w:rFonts w:hint="eastAsia" w:ascii="仿宋_GB2312" w:hAnsi="仿宋_GB2312" w:eastAsia="仿宋_GB2312" w:cs="仿宋_GB2312"/>
          <w:b w:val="0"/>
          <w:bCs w:val="0"/>
          <w:sz w:val="28"/>
          <w:szCs w:val="28"/>
          <w:highlight w:val="none"/>
          <w:lang w:val="en-US" w:eastAsia="zh-CN"/>
        </w:rPr>
        <w:t>2025年10月12日17点以</w:t>
      </w:r>
      <w:r>
        <w:rPr>
          <w:rFonts w:hint="eastAsia" w:ascii="仿宋_GB2312" w:hAnsi="仿宋_GB2312" w:eastAsia="仿宋_GB2312" w:cs="仿宋_GB2312"/>
          <w:b w:val="0"/>
          <w:bCs w:val="0"/>
          <w:sz w:val="28"/>
          <w:szCs w:val="28"/>
          <w:lang w:val="en-US" w:eastAsia="zh-CN"/>
        </w:rPr>
        <w:t>前，在重汽e采通网站内，招标单位对投标单位进行资质初审，合格单位开放“投标”，不合格单位资料退回（不予做任何解释），投标单位进行“投标”操作，规定时间未进行“投标”操作将无法参标。</w:t>
      </w:r>
    </w:p>
    <w:p w14:paraId="7B6B948F">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7.“投标”时，请将技术标部分（1）和商务标部分（2）以PDF的形式上传，并加盖公章。</w:t>
      </w:r>
    </w:p>
    <w:p w14:paraId="1AA02AE1">
      <w:pPr>
        <w:pStyle w:val="8"/>
        <w:pageBreakBefore w:val="0"/>
        <w:kinsoku/>
        <w:wordWrap/>
        <w:overflowPunct/>
        <w:topLinePunct w:val="0"/>
        <w:bidi w:val="0"/>
        <w:adjustRightInd w:val="0"/>
        <w:snapToGrid w:val="0"/>
        <w:spacing w:line="540" w:lineRule="exact"/>
        <w:ind w:left="0" w:leftChars="0" w:right="0" w:firstLine="560" w:firstLineChars="200"/>
        <w:rPr>
          <w:rFonts w:hint="default" w:ascii="仿宋" w:hAnsi="仿宋" w:eastAsia="仿宋"/>
          <w:sz w:val="28"/>
          <w:lang w:val="en-US" w:eastAsia="zh-CN"/>
        </w:rPr>
      </w:pPr>
      <w:r>
        <w:rPr>
          <w:rFonts w:hint="eastAsia" w:ascii="仿宋" w:hAnsi="仿宋" w:eastAsia="仿宋"/>
          <w:sz w:val="28"/>
          <w:lang w:eastAsia="zh-CN"/>
        </w:rPr>
        <w:t>（</w:t>
      </w:r>
      <w:r>
        <w:rPr>
          <w:rFonts w:hint="eastAsia" w:ascii="仿宋" w:hAnsi="仿宋" w:eastAsia="仿宋"/>
          <w:sz w:val="28"/>
          <w:lang w:val="en-US" w:eastAsia="zh-CN"/>
        </w:rPr>
        <w:t>1</w:t>
      </w:r>
      <w:r>
        <w:rPr>
          <w:rFonts w:hint="eastAsia" w:ascii="仿宋" w:hAnsi="仿宋" w:eastAsia="仿宋"/>
          <w:sz w:val="28"/>
          <w:lang w:eastAsia="zh-CN"/>
        </w:rPr>
        <w:t>）</w:t>
      </w:r>
      <w:r>
        <w:rPr>
          <w:rFonts w:hint="eastAsia" w:ascii="仿宋" w:hAnsi="仿宋" w:eastAsia="仿宋"/>
          <w:sz w:val="28"/>
          <w:lang w:val="en-US" w:eastAsia="zh-CN"/>
        </w:rPr>
        <w:t>资质部分上传文件：</w:t>
      </w:r>
      <w:r>
        <w:rPr>
          <w:rFonts w:hint="eastAsia" w:ascii="仿宋" w:hAnsi="仿宋" w:eastAsia="仿宋"/>
          <w:b/>
          <w:bCs/>
          <w:sz w:val="28"/>
          <w:szCs w:val="24"/>
          <w:lang w:val="en-US" w:eastAsia="zh-CN"/>
        </w:rPr>
        <w:t>同“八、投标文件构成”部分资质文件构成；</w:t>
      </w:r>
    </w:p>
    <w:p w14:paraId="442929E5">
      <w:pPr>
        <w:pStyle w:val="8"/>
        <w:pageBreakBefore w:val="0"/>
        <w:kinsoku/>
        <w:wordWrap/>
        <w:overflowPunct/>
        <w:topLinePunct w:val="0"/>
        <w:bidi w:val="0"/>
        <w:adjustRightInd w:val="0"/>
        <w:snapToGrid w:val="0"/>
        <w:spacing w:line="540" w:lineRule="exact"/>
        <w:ind w:left="0" w:leftChars="0" w:right="0" w:firstLine="560" w:firstLineChars="200"/>
        <w:rPr>
          <w:rFonts w:hint="eastAsia" w:ascii="仿宋_GB2312" w:hAnsi="仿宋_GB2312" w:eastAsia="仿宋_GB2312" w:cs="仿宋_GB2312"/>
          <w:b w:val="0"/>
          <w:bCs w:val="0"/>
          <w:sz w:val="28"/>
          <w:szCs w:val="28"/>
          <w:lang w:val="en-US" w:eastAsia="zh-CN"/>
        </w:rPr>
      </w:pPr>
      <w:r>
        <w:rPr>
          <w:rFonts w:hint="eastAsia" w:ascii="仿宋" w:hAnsi="仿宋" w:eastAsia="仿宋"/>
          <w:sz w:val="28"/>
          <w:szCs w:val="24"/>
        </w:rPr>
        <w:t>（</w:t>
      </w:r>
      <w:r>
        <w:rPr>
          <w:rFonts w:hint="eastAsia" w:ascii="仿宋" w:hAnsi="仿宋" w:eastAsia="仿宋"/>
          <w:sz w:val="28"/>
          <w:szCs w:val="24"/>
          <w:lang w:val="en-US" w:eastAsia="zh-CN"/>
        </w:rPr>
        <w:t>2</w:t>
      </w:r>
      <w:r>
        <w:rPr>
          <w:rFonts w:hint="eastAsia" w:ascii="仿宋" w:hAnsi="仿宋" w:eastAsia="仿宋"/>
          <w:sz w:val="28"/>
          <w:szCs w:val="24"/>
        </w:rPr>
        <w:t>）技术标部分上传内容：</w:t>
      </w:r>
      <w:r>
        <w:rPr>
          <w:rFonts w:hint="eastAsia" w:ascii="仿宋" w:hAnsi="仿宋" w:eastAsia="仿宋"/>
          <w:b/>
          <w:bCs/>
          <w:sz w:val="28"/>
          <w:szCs w:val="24"/>
          <w:lang w:val="en-US" w:eastAsia="zh-CN"/>
        </w:rPr>
        <w:t>同“八、投标文件构成”部分技术标文件构成</w:t>
      </w:r>
      <w:r>
        <w:rPr>
          <w:rFonts w:hint="eastAsia" w:ascii="仿宋_GB2312" w:hAnsi="仿宋_GB2312" w:eastAsia="仿宋_GB2312" w:cs="仿宋_GB2312"/>
          <w:b w:val="0"/>
          <w:bCs w:val="0"/>
          <w:sz w:val="28"/>
          <w:szCs w:val="28"/>
          <w:lang w:val="en-US" w:eastAsia="zh-CN"/>
        </w:rPr>
        <w:t>。</w:t>
      </w:r>
    </w:p>
    <w:p w14:paraId="134237A9">
      <w:pPr>
        <w:pStyle w:val="8"/>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lang w:eastAsia="zh-CN"/>
        </w:rPr>
      </w:pPr>
      <w:r>
        <w:rPr>
          <w:rFonts w:hint="eastAsia" w:ascii="仿宋" w:hAnsi="仿宋" w:eastAsia="仿宋"/>
          <w:sz w:val="28"/>
          <w:lang w:eastAsia="zh-CN"/>
        </w:rPr>
        <w:t>（</w:t>
      </w:r>
      <w:r>
        <w:rPr>
          <w:rFonts w:hint="eastAsia" w:ascii="仿宋" w:hAnsi="仿宋" w:eastAsia="仿宋"/>
          <w:sz w:val="28"/>
          <w:lang w:val="en-US" w:eastAsia="zh-CN"/>
        </w:rPr>
        <w:t>3</w:t>
      </w:r>
      <w:r>
        <w:rPr>
          <w:rFonts w:hint="eastAsia" w:ascii="仿宋" w:hAnsi="仿宋" w:eastAsia="仿宋"/>
          <w:sz w:val="28"/>
          <w:lang w:eastAsia="zh-CN"/>
        </w:rPr>
        <w:t>）商务标部分内容：</w:t>
      </w:r>
      <w:r>
        <w:rPr>
          <w:rFonts w:hint="eastAsia" w:ascii="仿宋" w:hAnsi="仿宋" w:eastAsia="仿宋"/>
          <w:b/>
          <w:bCs/>
          <w:sz w:val="28"/>
          <w:szCs w:val="24"/>
          <w:lang w:val="en-US" w:eastAsia="zh-CN"/>
        </w:rPr>
        <w:t>同“八、投标文件构成”部分商务标文件构成</w:t>
      </w:r>
      <w:r>
        <w:rPr>
          <w:rFonts w:hint="eastAsia" w:ascii="仿宋" w:hAnsi="仿宋" w:eastAsia="仿宋"/>
          <w:sz w:val="28"/>
          <w:lang w:eastAsia="zh-CN"/>
        </w:rPr>
        <w:t>；</w:t>
      </w:r>
    </w:p>
    <w:p w14:paraId="35F70E56">
      <w:pPr>
        <w:pStyle w:val="2"/>
        <w:pageBreakBefore w:val="0"/>
        <w:kinsoku/>
        <w:wordWrap/>
        <w:overflowPunct/>
        <w:topLinePunct w:val="0"/>
        <w:bidi w:val="0"/>
        <w:ind w:left="0" w:leftChars="0" w:right="0" w:firstLine="560"/>
        <w:rPr>
          <w:rFonts w:ascii="仿宋" w:hAnsi="仿宋" w:eastAsia="仿宋"/>
          <w:sz w:val="28"/>
          <w:lang w:eastAsia="zh-CN"/>
        </w:rPr>
      </w:pPr>
      <w:r>
        <w:rPr>
          <w:rFonts w:hint="eastAsia" w:ascii="仿宋" w:hAnsi="仿宋" w:eastAsia="仿宋"/>
          <w:sz w:val="28"/>
          <w:lang w:eastAsia="zh-CN"/>
        </w:rPr>
        <w:t>（</w:t>
      </w:r>
      <w:r>
        <w:rPr>
          <w:rFonts w:hint="eastAsia" w:ascii="仿宋" w:hAnsi="仿宋" w:eastAsia="仿宋"/>
          <w:sz w:val="28"/>
          <w:lang w:val="en-US" w:eastAsia="zh-CN"/>
        </w:rPr>
        <w:t>4</w:t>
      </w:r>
      <w:r>
        <w:rPr>
          <w:rFonts w:hint="eastAsia" w:ascii="仿宋" w:hAnsi="仿宋" w:eastAsia="仿宋"/>
          <w:sz w:val="28"/>
          <w:lang w:eastAsia="zh-CN"/>
        </w:rPr>
        <w:t>）其他内容：</w:t>
      </w:r>
      <w:r>
        <w:rPr>
          <w:rFonts w:hint="eastAsia" w:ascii="仿宋" w:hAnsi="仿宋" w:eastAsia="仿宋"/>
          <w:b/>
          <w:bCs/>
          <w:sz w:val="28"/>
          <w:lang w:eastAsia="zh-CN"/>
        </w:rPr>
        <w:t>投标保证金银行回执单。</w:t>
      </w:r>
    </w:p>
    <w:p w14:paraId="7590A3D2">
      <w:pPr>
        <w:pStyle w:val="2"/>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备注：提供上述资料均须加盖单位公章，以PDF的形式在规定间内上传至重汽e采通内。</w:t>
      </w:r>
    </w:p>
    <w:p w14:paraId="5D4DBAD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8.开标时间：</w:t>
      </w:r>
    </w:p>
    <w:p w14:paraId="33B7E16A">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（1）商务标开标时间：</w:t>
      </w:r>
      <w:r>
        <w:rPr>
          <w:rFonts w:hint="eastAsia" w:ascii="仿宋_GB2312" w:hAnsi="仿宋_GB2312" w:eastAsia="仿宋_GB2312" w:cs="仿宋_GB2312"/>
          <w:b w:val="0"/>
          <w:bCs w:val="0"/>
          <w:sz w:val="28"/>
          <w:szCs w:val="28"/>
          <w:highlight w:val="none"/>
          <w:lang w:val="en-US" w:eastAsia="zh-CN"/>
        </w:rPr>
        <w:t>2025年10月13日(</w:t>
      </w:r>
      <w:r>
        <w:rPr>
          <w:rFonts w:hint="eastAsia" w:ascii="仿宋_GB2312" w:hAnsi="仿宋_GB2312" w:eastAsia="仿宋_GB2312" w:cs="仿宋_GB2312"/>
          <w:b w:val="0"/>
          <w:bCs w:val="0"/>
          <w:sz w:val="28"/>
          <w:szCs w:val="28"/>
          <w:lang w:val="en-US" w:eastAsia="zh-CN"/>
        </w:rPr>
        <w:t>具体开标以实际电话通知为准，请留好联系方式)</w:t>
      </w:r>
    </w:p>
    <w:p w14:paraId="5A758A04">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开标地点：山东省济南市历城区世纪大道7777号重汽工业园5号门济南商用车制造公司会议室（暂定）</w:t>
      </w:r>
    </w:p>
    <w:p w14:paraId="42795E6D">
      <w:pPr>
        <w:pStyle w:val="2"/>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备注：开标时，参标人员及单位自带能够上网的笔记本电脑，请提前</w:t>
      </w:r>
      <w:r>
        <w:rPr>
          <w:rFonts w:hint="eastAsia" w:ascii="仿宋_GB2312" w:hAnsi="仿宋_GB2312" w:eastAsia="仿宋_GB2312" w:cs="仿宋_GB2312"/>
          <w:b/>
          <w:bCs/>
          <w:color w:val="auto"/>
          <w:sz w:val="28"/>
          <w:szCs w:val="28"/>
          <w:lang w:val="en-US" w:eastAsia="zh-CN"/>
        </w:rPr>
        <w:t>调试</w:t>
      </w:r>
      <w:r>
        <w:rPr>
          <w:rFonts w:hint="eastAsia" w:ascii="仿宋_GB2312" w:hAnsi="仿宋_GB2312" w:eastAsia="仿宋_GB2312" w:cs="仿宋_GB2312"/>
          <w:b/>
          <w:bCs/>
          <w:sz w:val="28"/>
          <w:szCs w:val="28"/>
          <w:lang w:val="en-US" w:eastAsia="zh-CN"/>
        </w:rPr>
        <w:t>好笔记本电脑，商务标报价采取网上标价的形式，在有效时间内未进行报价，视为弃权。</w:t>
      </w:r>
    </w:p>
    <w:p w14:paraId="3F7B3AAA">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三、投标保证金</w:t>
      </w:r>
    </w:p>
    <w:p w14:paraId="51131D01">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投标人向招标人财务部门缴纳</w:t>
      </w:r>
      <w:r>
        <w:rPr>
          <w:rFonts w:hint="eastAsia" w:ascii="仿宋_GB2312" w:hAnsi="仿宋_GB2312" w:eastAsia="仿宋_GB2312" w:cs="仿宋_GB2312"/>
          <w:b w:val="0"/>
          <w:bCs w:val="0"/>
          <w:sz w:val="28"/>
          <w:szCs w:val="28"/>
          <w:lang w:val="en-US" w:eastAsia="zh-CN"/>
        </w:rPr>
        <w:t>5000</w:t>
      </w:r>
      <w:r>
        <w:rPr>
          <w:rFonts w:hint="default" w:ascii="仿宋_GB2312" w:hAnsi="仿宋_GB2312" w:eastAsia="仿宋_GB2312" w:cs="仿宋_GB2312"/>
          <w:b w:val="0"/>
          <w:bCs w:val="0"/>
          <w:sz w:val="28"/>
          <w:szCs w:val="28"/>
          <w:lang w:val="en-US" w:eastAsia="zh-CN"/>
        </w:rPr>
        <w:t>元（人民币），作为投标人本次投标的保证金，需从投标人基本账户转出。</w:t>
      </w:r>
    </w:p>
    <w:p w14:paraId="6584CB12">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2、接收单位：中国重汽集团济南动力有限公司。</w:t>
      </w:r>
    </w:p>
    <w:p w14:paraId="1FB60FF9">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3、转账信息：</w:t>
      </w:r>
    </w:p>
    <w:tbl>
      <w:tblPr>
        <w:tblStyle w:val="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F6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332492E4">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开户银行：中国建设银行济南天桥支行</w:t>
            </w:r>
          </w:p>
        </w:tc>
      </w:tr>
      <w:tr w14:paraId="0874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0F10EF65">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户名：中国重汽集团济南动力有限公司</w:t>
            </w:r>
          </w:p>
        </w:tc>
      </w:tr>
      <w:tr w14:paraId="07BA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4A4D9172">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账号：37001616508050150300</w:t>
            </w:r>
          </w:p>
        </w:tc>
      </w:tr>
      <w:tr w14:paraId="6107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23A8A77C">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纳税人识别号：</w:t>
            </w:r>
            <w:r>
              <w:rPr>
                <w:rFonts w:hint="default" w:ascii="仿宋_GB2312" w:hAnsi="仿宋_GB2312" w:eastAsia="仿宋_GB2312" w:cs="仿宋_GB2312"/>
                <w:b w:val="0"/>
                <w:bCs w:val="0"/>
                <w:sz w:val="28"/>
                <w:szCs w:val="28"/>
                <w:lang w:val="en-US" w:eastAsia="zh-CN"/>
              </w:rPr>
              <w:t>91370100787411873C</w:t>
            </w:r>
          </w:p>
        </w:tc>
      </w:tr>
    </w:tbl>
    <w:p w14:paraId="40CBECAB">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说明：</w:t>
      </w:r>
    </w:p>
    <w:p w14:paraId="17C44912">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highlight w:val="none"/>
          <w:lang w:eastAsia="zh-CN"/>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1</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highlight w:val="none"/>
        </w:rPr>
        <w:t>出现以</w:t>
      </w:r>
      <w:r>
        <w:rPr>
          <w:rFonts w:hint="eastAsia" w:ascii="仿宋_GB2312" w:hAnsi="宋体" w:eastAsia="仿宋_GB2312" w:cs="宋体"/>
          <w:color w:val="000000"/>
          <w:kern w:val="0"/>
          <w:sz w:val="28"/>
          <w:szCs w:val="28"/>
          <w:highlight w:val="none"/>
          <w:lang w:val="en-US" w:eastAsia="zh-CN"/>
        </w:rPr>
        <w:t>下</w:t>
      </w:r>
      <w:r>
        <w:rPr>
          <w:rFonts w:hint="eastAsia" w:ascii="仿宋_GB2312" w:hAnsi="宋体" w:eastAsia="仿宋_GB2312" w:cs="宋体"/>
          <w:color w:val="000000"/>
          <w:kern w:val="0"/>
          <w:sz w:val="28"/>
          <w:szCs w:val="28"/>
          <w:highlight w:val="none"/>
        </w:rPr>
        <w:t>情况，投标保证金不予返还，该投标人3年不得参与消防类招投标项目</w:t>
      </w:r>
      <w:r>
        <w:rPr>
          <w:rFonts w:hint="eastAsia" w:ascii="仿宋_GB2312" w:hAnsi="宋体" w:eastAsia="仿宋_GB2312" w:cs="宋体"/>
          <w:color w:val="000000"/>
          <w:kern w:val="0"/>
          <w:sz w:val="28"/>
          <w:szCs w:val="28"/>
          <w:highlight w:val="none"/>
          <w:lang w:eastAsia="zh-CN"/>
        </w:rPr>
        <w:t>：</w:t>
      </w:r>
    </w:p>
    <w:p w14:paraId="77280761">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(1)供应商在提交响应文件截止时间后撤回响应文件的；</w:t>
      </w:r>
    </w:p>
    <w:p w14:paraId="22178159">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(2)供应商在响应文件中提供虚假材料的；</w:t>
      </w:r>
    </w:p>
    <w:p w14:paraId="26CCB29E">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(3)除因不可抗力或谈判文件、询价通知书认可的情形以外，成交供应商不与采购人签订合同的；</w:t>
      </w:r>
    </w:p>
    <w:p w14:paraId="2AA1A010">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(4)供应商与采购人、其他供应商或者采购代理机构恶意串通、围标、陪标的；</w:t>
      </w:r>
    </w:p>
    <w:p w14:paraId="05556C19">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(5)供应商有违约违规行为或被投诉、举报的，在调查处理期间，保证金暂不退还，待调查处理结束后按有关规定处理。</w:t>
      </w:r>
    </w:p>
    <w:p w14:paraId="57B277C5">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(6)截至开标前3天，投标人无正当理由、未以书面形式向招标人递交说明而在投标截止日不来投标的。</w:t>
      </w:r>
    </w:p>
    <w:p w14:paraId="12AB10CC">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(7)自中标通知书发出之日起30日内，中标人无正当理由投标人无正当签订合同的；</w:t>
      </w:r>
    </w:p>
    <w:p w14:paraId="03CA3B28">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(8)采购文件规定的其他情形；</w:t>
      </w:r>
    </w:p>
    <w:p w14:paraId="240F4974">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不存在以上违规情况的投标人，招标人在确定中标人后45个工作日内按投标人所提供的投标保证金退付表（附件五）退还投标保证金（本金，不计息）。</w:t>
      </w:r>
    </w:p>
    <w:p w14:paraId="576C5429">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四、评标原则及评标标准</w:t>
      </w:r>
    </w:p>
    <w:p w14:paraId="50DC20D6">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评标</w:t>
      </w:r>
    </w:p>
    <w:p w14:paraId="1E1C940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为保证项目顺利实施，由招标人组织、按国家法律法规及公司相关规章制度要求，设立三人及以上单数成员（视标的额大小按规定确定专家人数）组成的评标工作小组，同时依据以下评分标准，本着公平、公正、公开的原则，在最大限度地满足招标文件实质性要求的前提下，对招标文件中规定的各项因素进行综合评审，确定中标候选供应商或者中标供应商（原则上按照评标合理最低价选择中标单位，对未中标单位不做任何解释）。</w:t>
      </w:r>
    </w:p>
    <w:p w14:paraId="4409BC7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开标程序</w:t>
      </w:r>
    </w:p>
    <w:p w14:paraId="400A3B2D">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rPr>
        <w:t>为保证项目顺利实施，由招标人组织、按国家法律法规及公司相关规章制度要求，设立评标工作小组，同时依据以下评分标准，本着公平、公正、公开的原则，</w:t>
      </w:r>
      <w:r>
        <w:rPr>
          <w:rFonts w:hint="eastAsia" w:ascii="仿宋_GB2312" w:hAnsi="宋体" w:eastAsia="仿宋_GB2312" w:cs="宋体"/>
          <w:color w:val="000000"/>
          <w:kern w:val="0"/>
          <w:sz w:val="28"/>
          <w:szCs w:val="28"/>
          <w:lang w:val="en-US" w:eastAsia="zh-CN"/>
        </w:rPr>
        <w:t>在</w:t>
      </w:r>
      <w:r>
        <w:rPr>
          <w:rFonts w:hint="eastAsia" w:ascii="仿宋_GB2312" w:hAnsi="宋体" w:eastAsia="仿宋_GB2312" w:cs="宋体"/>
          <w:color w:val="000000"/>
          <w:kern w:val="0"/>
          <w:sz w:val="28"/>
          <w:szCs w:val="28"/>
          <w:highlight w:val="none"/>
          <w:lang w:val="en-US" w:eastAsia="zh-CN"/>
        </w:rPr>
        <w:t>符合技术要求的前提下，按照评标合理最低价选择推荐中标人。</w:t>
      </w:r>
    </w:p>
    <w:p w14:paraId="71614142">
      <w:pPr>
        <w:pageBreakBefore w:val="0"/>
        <w:kinsoku/>
        <w:wordWrap/>
        <w:overflowPunct/>
        <w:topLinePunct w:val="0"/>
        <w:bidi w:val="0"/>
        <w:ind w:left="0" w:leftChars="0" w:right="0" w:firstLine="560" w:firstLineChars="20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lang w:val="en-US" w:eastAsia="zh-CN"/>
        </w:rPr>
        <w:t>3.</w:t>
      </w:r>
      <w:r>
        <w:rPr>
          <w:rFonts w:hint="eastAsia" w:ascii="仿宋_GB2312" w:hAnsi="宋体" w:eastAsia="仿宋_GB2312" w:cs="宋体"/>
          <w:color w:val="000000"/>
          <w:kern w:val="0"/>
          <w:sz w:val="28"/>
          <w:szCs w:val="28"/>
          <w:highlight w:val="none"/>
        </w:rPr>
        <w:t>开</w:t>
      </w:r>
      <w:r>
        <w:rPr>
          <w:rFonts w:hint="eastAsia" w:ascii="仿宋_GB2312" w:hAnsi="宋体" w:eastAsia="仿宋_GB2312" w:cs="宋体"/>
          <w:color w:val="000000"/>
          <w:kern w:val="0"/>
          <w:sz w:val="28"/>
          <w:szCs w:val="28"/>
          <w:highlight w:val="none"/>
          <w:lang w:val="en-US" w:eastAsia="zh-CN"/>
        </w:rPr>
        <w:t>评</w:t>
      </w:r>
      <w:r>
        <w:rPr>
          <w:rFonts w:hint="eastAsia" w:ascii="仿宋_GB2312" w:hAnsi="宋体" w:eastAsia="仿宋_GB2312" w:cs="宋体"/>
          <w:color w:val="000000"/>
          <w:kern w:val="0"/>
          <w:sz w:val="28"/>
          <w:szCs w:val="28"/>
          <w:highlight w:val="none"/>
        </w:rPr>
        <w:t>标程序</w:t>
      </w:r>
    </w:p>
    <w:p w14:paraId="1FFFFC05">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(1)开标前项目实施单位须完成投标人资质审核工作，确保投标人满足招标文件相关要求，出具资质审核报告，向专家组推荐审核通过的投标人。</w:t>
      </w:r>
    </w:p>
    <w:p w14:paraId="78AEE107">
      <w:pPr>
        <w:pageBreakBefore w:val="0"/>
        <w:kinsoku/>
        <w:wordWrap/>
        <w:overflowPunct/>
        <w:topLinePunct w:val="0"/>
        <w:bidi w:val="0"/>
        <w:ind w:left="0" w:leftChars="0" w:right="0" w:firstLine="560" w:firstLineChars="20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(2)经资质审查通过后，先进行开唱标工作，并须统一报价要求</w:t>
      </w:r>
      <w:r>
        <w:rPr>
          <w:rFonts w:hint="eastAsia" w:ascii="仿宋_GB2312" w:hAnsi="宋体" w:eastAsia="仿宋_GB2312" w:cs="宋体"/>
          <w:color w:val="000000"/>
          <w:kern w:val="0"/>
          <w:sz w:val="28"/>
          <w:szCs w:val="28"/>
          <w:lang w:eastAsia="zh-CN"/>
        </w:rPr>
        <w:t>。</w:t>
      </w:r>
    </w:p>
    <w:p w14:paraId="5BB57C0A">
      <w:pPr>
        <w:keepNext w:val="0"/>
        <w:keepLines w:val="0"/>
        <w:pageBreakBefore w:val="0"/>
        <w:widowControl w:val="0"/>
        <w:numPr>
          <w:ilvl w:val="0"/>
          <w:numId w:val="0"/>
        </w:numPr>
        <w:kinsoku/>
        <w:wordWrap/>
        <w:overflowPunct/>
        <w:topLinePunct w:val="0"/>
        <w:autoSpaceDE/>
        <w:autoSpaceDN/>
        <w:bidi w:val="0"/>
        <w:adjustRightInd/>
        <w:snapToGrid/>
        <w:ind w:leftChars="0" w:right="0" w:rightChars="0" w:firstLine="560" w:firstLineChars="200"/>
        <w:textAlignment w:val="auto"/>
        <w:rPr>
          <w:rFonts w:hint="eastAsia"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highlight w:val="none"/>
        </w:rPr>
        <w:t>商务标根据时间安排进行开标，开标后，</w:t>
      </w:r>
      <w:r>
        <w:rPr>
          <w:rFonts w:hint="eastAsia" w:ascii="仿宋_GB2312" w:hAnsi="宋体" w:eastAsia="仿宋_GB2312" w:cs="宋体"/>
          <w:b/>
          <w:bCs/>
          <w:color w:val="000000"/>
          <w:kern w:val="0"/>
          <w:sz w:val="28"/>
          <w:szCs w:val="28"/>
          <w:highlight w:val="none"/>
        </w:rPr>
        <w:t>商务标专家组与有效投标人在其开标报价的基础上开展</w:t>
      </w:r>
      <w:r>
        <w:rPr>
          <w:rFonts w:hint="eastAsia" w:ascii="仿宋_GB2312" w:hAnsi="宋体" w:eastAsia="仿宋_GB2312" w:cs="宋体"/>
          <w:b/>
          <w:bCs/>
          <w:color w:val="000000"/>
          <w:kern w:val="0"/>
          <w:sz w:val="28"/>
          <w:szCs w:val="28"/>
          <w:highlight w:val="none"/>
          <w:lang w:val="en-US" w:eastAsia="zh-CN"/>
        </w:rPr>
        <w:t>多</w:t>
      </w:r>
      <w:r>
        <w:rPr>
          <w:rFonts w:hint="eastAsia" w:ascii="仿宋_GB2312" w:hAnsi="宋体" w:eastAsia="仿宋_GB2312" w:cs="宋体"/>
          <w:b/>
          <w:bCs/>
          <w:color w:val="000000"/>
          <w:kern w:val="0"/>
          <w:sz w:val="28"/>
          <w:szCs w:val="28"/>
          <w:highlight w:val="none"/>
        </w:rPr>
        <w:t>轮商务谈判</w:t>
      </w:r>
      <w:r>
        <w:rPr>
          <w:rFonts w:hint="eastAsia" w:ascii="仿宋_GB2312" w:hAnsi="宋体" w:eastAsia="仿宋_GB2312" w:cs="宋体"/>
          <w:color w:val="000000"/>
          <w:kern w:val="0"/>
          <w:sz w:val="28"/>
          <w:szCs w:val="28"/>
          <w:highlight w:val="none"/>
        </w:rPr>
        <w:t>，专家组形成意见汇总，按照</w:t>
      </w:r>
      <w:r>
        <w:rPr>
          <w:rFonts w:hint="eastAsia" w:ascii="仿宋_GB2312" w:hAnsi="宋体" w:eastAsia="仿宋_GB2312" w:cs="宋体"/>
          <w:color w:val="000000"/>
          <w:kern w:val="0"/>
          <w:sz w:val="28"/>
          <w:szCs w:val="28"/>
          <w:highlight w:val="none"/>
          <w:lang w:val="en-US" w:eastAsia="zh-CN"/>
        </w:rPr>
        <w:t>合理最低价</w:t>
      </w:r>
      <w:r>
        <w:rPr>
          <w:rFonts w:hint="eastAsia" w:ascii="仿宋_GB2312" w:hAnsi="宋体" w:eastAsia="仿宋_GB2312" w:cs="宋体"/>
          <w:color w:val="000000"/>
          <w:kern w:val="0"/>
          <w:sz w:val="28"/>
          <w:szCs w:val="28"/>
          <w:highlight w:val="none"/>
        </w:rPr>
        <w:t>确定</w:t>
      </w:r>
      <w:r>
        <w:rPr>
          <w:rFonts w:hint="eastAsia" w:ascii="仿宋_GB2312" w:hAnsi="宋体" w:eastAsia="仿宋_GB2312" w:cs="宋体"/>
          <w:color w:val="000000"/>
          <w:kern w:val="0"/>
          <w:sz w:val="28"/>
          <w:szCs w:val="28"/>
          <w:highlight w:val="none"/>
          <w:lang w:val="en-US" w:eastAsia="zh-CN"/>
        </w:rPr>
        <w:t>推荐中标人。</w:t>
      </w:r>
    </w:p>
    <w:p w14:paraId="2084A1A2">
      <w:pPr>
        <w:pStyle w:val="2"/>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备注：开标时，参标人员及单位自带能够上网的笔记本电脑，请提前</w:t>
      </w:r>
      <w:r>
        <w:rPr>
          <w:rFonts w:hint="eastAsia" w:ascii="仿宋_GB2312" w:hAnsi="仿宋_GB2312" w:eastAsia="仿宋_GB2312" w:cs="仿宋_GB2312"/>
          <w:b/>
          <w:bCs/>
          <w:color w:val="auto"/>
          <w:sz w:val="28"/>
          <w:szCs w:val="28"/>
          <w:lang w:val="en-US" w:eastAsia="zh-CN"/>
        </w:rPr>
        <w:t>调试</w:t>
      </w:r>
      <w:r>
        <w:rPr>
          <w:rFonts w:hint="eastAsia" w:ascii="仿宋_GB2312" w:hAnsi="仿宋_GB2312" w:eastAsia="仿宋_GB2312" w:cs="仿宋_GB2312"/>
          <w:b/>
          <w:bCs/>
          <w:sz w:val="28"/>
          <w:szCs w:val="28"/>
          <w:lang w:val="en-US" w:eastAsia="zh-CN"/>
        </w:rPr>
        <w:t>好笔记本电脑，商务标报价采取网上标价的形式，在有效时间内未进行报价，视为弃权。</w:t>
      </w:r>
    </w:p>
    <w:p w14:paraId="169FDDBB">
      <w:pPr>
        <w:pStyle w:val="6"/>
        <w:rPr>
          <w:rFonts w:hint="eastAsia"/>
          <w:lang w:val="en-US" w:eastAsia="zh-CN"/>
        </w:rPr>
      </w:pPr>
      <w:r>
        <w:rPr>
          <w:rFonts w:hint="eastAsia" w:ascii="仿宋_GB2312" w:hAnsi="宋体" w:eastAsia="仿宋_GB2312" w:cs="宋体"/>
          <w:color w:val="000000"/>
          <w:kern w:val="0"/>
          <w:sz w:val="28"/>
          <w:szCs w:val="28"/>
        </w:rPr>
        <w:t>投标前请各投标方按照招标文件要求对项目方案进行充分准备，投标单位已默认认可上述开标、评标过程，无异议。招标人无义务对未入围投标方及未中标方做任何解释。</w:t>
      </w:r>
    </w:p>
    <w:p w14:paraId="786FC149">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4.评分标准</w:t>
      </w:r>
    </w:p>
    <w:tbl>
      <w:tblPr>
        <w:tblStyle w:val="9"/>
        <w:tblW w:w="9087" w:type="dxa"/>
        <w:tblInd w:w="93" w:type="dxa"/>
        <w:tblLayout w:type="fixed"/>
        <w:tblCellMar>
          <w:top w:w="0" w:type="dxa"/>
          <w:left w:w="108" w:type="dxa"/>
          <w:bottom w:w="0" w:type="dxa"/>
          <w:right w:w="108" w:type="dxa"/>
        </w:tblCellMar>
      </w:tblPr>
      <w:tblGrid>
        <w:gridCol w:w="653"/>
        <w:gridCol w:w="638"/>
        <w:gridCol w:w="1250"/>
        <w:gridCol w:w="593"/>
        <w:gridCol w:w="5953"/>
      </w:tblGrid>
      <w:tr w14:paraId="6815AFD3">
        <w:tblPrEx>
          <w:tblCellMar>
            <w:top w:w="0" w:type="dxa"/>
            <w:left w:w="108" w:type="dxa"/>
            <w:bottom w:w="0" w:type="dxa"/>
            <w:right w:w="108" w:type="dxa"/>
          </w:tblCellMar>
        </w:tblPrEx>
        <w:trPr>
          <w:trHeight w:val="69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81A66B">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评价因素</w:t>
            </w:r>
          </w:p>
        </w:tc>
        <w:tc>
          <w:tcPr>
            <w:tcW w:w="638" w:type="dxa"/>
            <w:tcBorders>
              <w:top w:val="single" w:color="auto" w:sz="4" w:space="0"/>
              <w:left w:val="nil"/>
              <w:bottom w:val="single" w:color="auto" w:sz="4" w:space="0"/>
              <w:right w:val="single" w:color="auto" w:sz="4" w:space="0"/>
            </w:tcBorders>
            <w:shd w:val="clear" w:color="auto" w:fill="auto"/>
            <w:vAlign w:val="center"/>
          </w:tcPr>
          <w:p w14:paraId="39555393">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总分</w:t>
            </w:r>
          </w:p>
        </w:tc>
        <w:tc>
          <w:tcPr>
            <w:tcW w:w="1250" w:type="dxa"/>
            <w:tcBorders>
              <w:top w:val="single" w:color="auto" w:sz="4" w:space="0"/>
              <w:left w:val="nil"/>
              <w:bottom w:val="single" w:color="auto" w:sz="4" w:space="0"/>
              <w:right w:val="single" w:color="auto" w:sz="4" w:space="0"/>
            </w:tcBorders>
            <w:shd w:val="clear" w:color="auto" w:fill="auto"/>
            <w:vAlign w:val="center"/>
          </w:tcPr>
          <w:p w14:paraId="1C7E7171">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评分项目</w:t>
            </w:r>
          </w:p>
        </w:tc>
        <w:tc>
          <w:tcPr>
            <w:tcW w:w="593" w:type="dxa"/>
            <w:tcBorders>
              <w:top w:val="single" w:color="auto" w:sz="4" w:space="0"/>
              <w:left w:val="nil"/>
              <w:bottom w:val="single" w:color="auto" w:sz="4" w:space="0"/>
              <w:right w:val="single" w:color="auto" w:sz="4" w:space="0"/>
            </w:tcBorders>
            <w:shd w:val="clear" w:color="auto" w:fill="auto"/>
            <w:vAlign w:val="center"/>
          </w:tcPr>
          <w:p w14:paraId="1309A278">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得分</w:t>
            </w:r>
          </w:p>
        </w:tc>
        <w:tc>
          <w:tcPr>
            <w:tcW w:w="5953" w:type="dxa"/>
            <w:tcBorders>
              <w:top w:val="single" w:color="auto" w:sz="4" w:space="0"/>
              <w:left w:val="nil"/>
              <w:bottom w:val="single" w:color="auto" w:sz="4" w:space="0"/>
              <w:right w:val="single" w:color="auto" w:sz="4" w:space="0"/>
            </w:tcBorders>
            <w:shd w:val="clear" w:color="auto" w:fill="auto"/>
            <w:vAlign w:val="center"/>
          </w:tcPr>
          <w:p w14:paraId="3446A0B7">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评分标准</w:t>
            </w:r>
          </w:p>
        </w:tc>
      </w:tr>
      <w:tr w14:paraId="39E52CC8">
        <w:tblPrEx>
          <w:tblCellMar>
            <w:top w:w="0" w:type="dxa"/>
            <w:left w:w="108" w:type="dxa"/>
            <w:bottom w:w="0" w:type="dxa"/>
            <w:right w:w="108" w:type="dxa"/>
          </w:tblCellMar>
        </w:tblPrEx>
        <w:trPr>
          <w:trHeight w:val="39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E2EB48">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商务标</w:t>
            </w:r>
          </w:p>
        </w:tc>
        <w:tc>
          <w:tcPr>
            <w:tcW w:w="638" w:type="dxa"/>
            <w:tcBorders>
              <w:top w:val="nil"/>
              <w:left w:val="nil"/>
              <w:bottom w:val="single" w:color="auto" w:sz="4" w:space="0"/>
              <w:right w:val="single" w:color="auto" w:sz="4" w:space="0"/>
            </w:tcBorders>
            <w:shd w:val="clear" w:color="auto" w:fill="auto"/>
            <w:vAlign w:val="center"/>
          </w:tcPr>
          <w:p w14:paraId="584721EC">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1250" w:type="dxa"/>
            <w:tcBorders>
              <w:top w:val="nil"/>
              <w:left w:val="nil"/>
              <w:bottom w:val="single" w:color="auto" w:sz="4" w:space="0"/>
              <w:right w:val="single" w:color="auto" w:sz="4" w:space="0"/>
            </w:tcBorders>
            <w:shd w:val="clear" w:color="auto" w:fill="auto"/>
            <w:vAlign w:val="center"/>
          </w:tcPr>
          <w:p w14:paraId="315DB7D1">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价格</w:t>
            </w:r>
          </w:p>
        </w:tc>
        <w:tc>
          <w:tcPr>
            <w:tcW w:w="593" w:type="dxa"/>
            <w:tcBorders>
              <w:top w:val="nil"/>
              <w:left w:val="nil"/>
              <w:bottom w:val="single" w:color="auto" w:sz="4" w:space="0"/>
              <w:right w:val="single" w:color="auto" w:sz="4" w:space="0"/>
            </w:tcBorders>
            <w:shd w:val="clear" w:color="auto" w:fill="auto"/>
            <w:vAlign w:val="center"/>
          </w:tcPr>
          <w:p w14:paraId="23C06757">
            <w:pPr>
              <w:jc w:val="center"/>
              <w:rPr>
                <w:rFonts w:hint="eastAsia" w:ascii="仿宋_GB2312" w:hAnsi="仿宋_GB2312" w:eastAsia="仿宋_GB2312" w:cs="仿宋_GB2312"/>
                <w:sz w:val="22"/>
                <w:szCs w:val="22"/>
              </w:rPr>
            </w:pPr>
          </w:p>
        </w:tc>
        <w:tc>
          <w:tcPr>
            <w:tcW w:w="5953" w:type="dxa"/>
            <w:tcBorders>
              <w:top w:val="nil"/>
              <w:left w:val="nil"/>
              <w:bottom w:val="single" w:color="auto" w:sz="4" w:space="0"/>
              <w:right w:val="single" w:color="auto" w:sz="4" w:space="0"/>
            </w:tcBorders>
            <w:shd w:val="clear" w:color="auto" w:fill="auto"/>
            <w:vAlign w:val="center"/>
          </w:tcPr>
          <w:p w14:paraId="003E9D2C">
            <w:pP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本次为</w:t>
            </w:r>
            <w:r>
              <w:rPr>
                <w:rFonts w:hint="eastAsia" w:ascii="仿宋_GB2312" w:hAnsi="仿宋_GB2312" w:eastAsia="仿宋_GB2312" w:cs="仿宋_GB2312"/>
                <w:sz w:val="20"/>
                <w:szCs w:val="20"/>
                <w:lang w:val="en-US" w:eastAsia="zh-CN"/>
              </w:rPr>
              <w:t>一</w:t>
            </w:r>
            <w:r>
              <w:rPr>
                <w:rFonts w:hint="eastAsia" w:ascii="仿宋_GB2312" w:hAnsi="仿宋_GB2312" w:eastAsia="仿宋_GB2312" w:cs="仿宋_GB2312"/>
                <w:sz w:val="20"/>
                <w:szCs w:val="20"/>
              </w:rPr>
              <w:t>家中标单位，按照评标合理最低价最终确定中标单位</w:t>
            </w:r>
            <w:r>
              <w:rPr>
                <w:rFonts w:hint="eastAsia" w:ascii="仿宋_GB2312" w:hAnsi="仿宋_GB2312" w:eastAsia="仿宋_GB2312" w:cs="仿宋_GB2312"/>
                <w:sz w:val="20"/>
                <w:szCs w:val="20"/>
                <w:lang w:val="en-US" w:eastAsia="zh-CN"/>
              </w:rPr>
              <w:t>。</w:t>
            </w:r>
          </w:p>
        </w:tc>
      </w:tr>
      <w:tr w14:paraId="05DFC19D">
        <w:tblPrEx>
          <w:tblCellMar>
            <w:top w:w="0" w:type="dxa"/>
            <w:left w:w="108" w:type="dxa"/>
            <w:bottom w:w="0" w:type="dxa"/>
            <w:right w:w="108" w:type="dxa"/>
          </w:tblCellMar>
        </w:tblPrEx>
        <w:trPr>
          <w:trHeight w:val="7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6F373D">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备注</w:t>
            </w:r>
          </w:p>
        </w:tc>
        <w:tc>
          <w:tcPr>
            <w:tcW w:w="8434" w:type="dxa"/>
            <w:gridSpan w:val="4"/>
            <w:tcBorders>
              <w:top w:val="single" w:color="auto" w:sz="4" w:space="0"/>
              <w:left w:val="nil"/>
              <w:bottom w:val="single" w:color="auto" w:sz="4" w:space="0"/>
              <w:right w:val="single" w:color="000000" w:sz="4" w:space="0"/>
            </w:tcBorders>
            <w:shd w:val="clear" w:color="auto" w:fill="auto"/>
            <w:vAlign w:val="center"/>
          </w:tcPr>
          <w:p w14:paraId="28AD0741">
            <w:pPr>
              <w:rPr>
                <w:rFonts w:hint="default" w:ascii="仿宋_GB2312" w:hAnsi="仿宋_GB2312" w:eastAsia="仿宋_GB2312" w:cs="仿宋_GB2312"/>
                <w:b/>
                <w:bCs/>
                <w:sz w:val="22"/>
                <w:szCs w:val="22"/>
                <w:lang w:val="en-US" w:eastAsia="zh-CN"/>
              </w:rPr>
            </w:pPr>
          </w:p>
        </w:tc>
      </w:tr>
    </w:tbl>
    <w:p w14:paraId="39F952A7">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五、报价及有效期</w:t>
      </w:r>
    </w:p>
    <w:p w14:paraId="43B6731A">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r>
        <w:rPr>
          <w:rFonts w:hint="default" w:ascii="仿宋_GB2312" w:hAnsi="仿宋_GB2312" w:eastAsia="仿宋_GB2312" w:cs="仿宋_GB2312"/>
          <w:b w:val="0"/>
          <w:bCs w:val="0"/>
          <w:sz w:val="28"/>
          <w:szCs w:val="28"/>
          <w:lang w:val="en-US" w:eastAsia="zh-CN"/>
        </w:rPr>
        <w:t>本次招标为公开招标，报价应为：</w:t>
      </w:r>
    </w:p>
    <w:p w14:paraId="0E08C4A0">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经与招标人或其指派的答疑人员充分沟通确认基础上，由投标人在满足招标人所提出的，与本项目所有相关环节有关的所有费用；</w:t>
      </w:r>
    </w:p>
    <w:p w14:paraId="24A86CB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default" w:ascii="仿宋_GB2312" w:hAnsi="仿宋_GB2312" w:eastAsia="仿宋_GB2312" w:cs="仿宋_GB2312"/>
          <w:b w:val="0"/>
          <w:bCs w:val="0"/>
          <w:sz w:val="28"/>
          <w:szCs w:val="28"/>
          <w:lang w:val="en-US" w:eastAsia="zh-CN"/>
        </w:rPr>
        <w:t>所有报价货币单位为：元（人民币），含税；</w:t>
      </w:r>
    </w:p>
    <w:p w14:paraId="41985EC5">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default" w:ascii="仿宋_GB2312" w:hAnsi="仿宋_GB2312" w:eastAsia="仿宋_GB2312" w:cs="仿宋_GB2312"/>
          <w:b w:val="0"/>
          <w:bCs w:val="0"/>
          <w:sz w:val="28"/>
          <w:szCs w:val="28"/>
          <w:lang w:val="en-US" w:eastAsia="zh-CN"/>
        </w:rPr>
        <w:t>按照甲方要求培训完毕，考试通过，取得相应证书后，</w:t>
      </w:r>
      <w:r>
        <w:rPr>
          <w:rFonts w:hint="eastAsia" w:ascii="仿宋_GB2312" w:hAnsi="仿宋_GB2312" w:eastAsia="仿宋_GB2312" w:cs="仿宋_GB2312"/>
          <w:b w:val="0"/>
          <w:bCs w:val="0"/>
          <w:sz w:val="28"/>
          <w:szCs w:val="28"/>
          <w:lang w:val="en-US" w:eastAsia="zh-CN"/>
        </w:rPr>
        <w:t>3</w:t>
      </w:r>
      <w:r>
        <w:rPr>
          <w:rFonts w:hint="default" w:ascii="仿宋_GB2312" w:hAnsi="仿宋_GB2312" w:eastAsia="仿宋_GB2312" w:cs="仿宋_GB2312"/>
          <w:b w:val="0"/>
          <w:bCs w:val="0"/>
          <w:sz w:val="28"/>
          <w:szCs w:val="28"/>
          <w:lang w:val="en-US" w:eastAsia="zh-CN"/>
        </w:rPr>
        <w:t>0天内结算半年期商业汇票（银行承兑或商业承兑）；重汽</w:t>
      </w:r>
      <w:r>
        <w:rPr>
          <w:rFonts w:hint="eastAsia" w:ascii="仿宋_GB2312" w:hAnsi="仿宋_GB2312" w:eastAsia="仿宋_GB2312" w:cs="仿宋_GB2312"/>
          <w:b w:val="0"/>
          <w:bCs w:val="0"/>
          <w:sz w:val="28"/>
          <w:szCs w:val="28"/>
          <w:lang w:val="en-US" w:eastAsia="zh-CN"/>
        </w:rPr>
        <w:t>各</w:t>
      </w:r>
      <w:r>
        <w:rPr>
          <w:rFonts w:hint="default" w:ascii="仿宋_GB2312" w:hAnsi="仿宋_GB2312" w:eastAsia="仿宋_GB2312" w:cs="仿宋_GB2312"/>
          <w:b w:val="0"/>
          <w:bCs w:val="0"/>
          <w:sz w:val="28"/>
          <w:szCs w:val="28"/>
          <w:lang w:val="en-US" w:eastAsia="zh-CN"/>
        </w:rPr>
        <w:t>二级单位根据各公司付款规定，进行</w:t>
      </w:r>
      <w:r>
        <w:rPr>
          <w:rFonts w:hint="eastAsia" w:ascii="仿宋_GB2312" w:hAnsi="仿宋_GB2312" w:eastAsia="仿宋_GB2312" w:cs="仿宋_GB2312"/>
          <w:b w:val="0"/>
          <w:bCs w:val="0"/>
          <w:sz w:val="28"/>
          <w:szCs w:val="28"/>
          <w:lang w:val="en-US" w:eastAsia="zh-CN"/>
        </w:rPr>
        <w:t>半年期商业汇票（银行承兑或商业承兑）</w:t>
      </w:r>
      <w:r>
        <w:rPr>
          <w:rFonts w:hint="default" w:ascii="仿宋_GB2312" w:hAnsi="仿宋_GB2312" w:eastAsia="仿宋_GB2312" w:cs="仿宋_GB2312"/>
          <w:b w:val="0"/>
          <w:bCs w:val="0"/>
          <w:sz w:val="28"/>
          <w:szCs w:val="28"/>
          <w:lang w:val="en-US" w:eastAsia="zh-CN"/>
        </w:rPr>
        <w:t>付款</w:t>
      </w:r>
      <w:r>
        <w:rPr>
          <w:rFonts w:hint="eastAsia" w:ascii="仿宋_GB2312" w:hAnsi="仿宋_GB2312" w:eastAsia="仿宋_GB2312" w:cs="仿宋_GB2312"/>
          <w:b w:val="0"/>
          <w:bCs w:val="0"/>
          <w:sz w:val="28"/>
          <w:szCs w:val="28"/>
          <w:lang w:val="en-US" w:eastAsia="zh-CN"/>
        </w:rPr>
        <w:t>。</w:t>
      </w:r>
    </w:p>
    <w:p w14:paraId="615D7EE8">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4.本项目报价有效期为规定的递交报价截止日期后的30个工作日，如报价有效期不足规定的30个工作日，其报价将被视为无效报价；</w:t>
      </w:r>
    </w:p>
    <w:p w14:paraId="562A34EB">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在原定报价有效期满之前，如果出现特殊情况，经相关机构核准，招标单位可以书面形式向投标单位提出延长报价有效期的要求。投标单位须以书面形式予以答复。同意延长报价有效期的投标单位不允许修改其报价文件。</w:t>
      </w:r>
    </w:p>
    <w:p w14:paraId="1240145F">
      <w:pPr>
        <w:tabs>
          <w:tab w:val="left" w:pos="861"/>
          <w:tab w:val="left" w:pos="966"/>
          <w:tab w:val="left" w:pos="1113"/>
          <w:tab w:val="left" w:pos="1176"/>
          <w:tab w:val="left" w:pos="1336"/>
        </w:tabs>
        <w:adjustRightInd w:val="0"/>
        <w:snapToGrid w:val="0"/>
        <w:spacing w:line="540" w:lineRule="exact"/>
        <w:ind w:firstLine="560" w:firstLineChars="200"/>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6、本项目报价上限为31.08万元（含税）。</w:t>
      </w:r>
    </w:p>
    <w:p w14:paraId="011AD655">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六、法律责任</w:t>
      </w:r>
    </w:p>
    <w:p w14:paraId="5A16A6D2">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出现下列情形时，视为中标方不遵守甲方关于招标的要求，造成经济损失的，需予以赔偿。</w:t>
      </w:r>
    </w:p>
    <w:p w14:paraId="7E232651">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投标单位收到中标通知后，拒绝签署合同及执行。</w:t>
      </w:r>
    </w:p>
    <w:p w14:paraId="4B206FFC">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2.投标单位提供服务不符合要求，给甲方名誉、安全造成损失的，依据相应情况予以赔偿。</w:t>
      </w:r>
    </w:p>
    <w:p w14:paraId="3136B585">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七、招标文件的澄清</w:t>
      </w:r>
    </w:p>
    <w:p w14:paraId="6F100087">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投标单位要求对招标资料进行澄清时，均应以书面形式通知招标单位。招标单位对其招标资料的澄清要求将视情况确定采用适当方式予以澄清，或以书面形式予以答复；必要时，可将答复内容包括原提出的问题（但不标明问题查询的来源），分发给所有取得同一招标资料的投标单位。</w:t>
      </w:r>
    </w:p>
    <w:p w14:paraId="24943D4E">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八、投标资料的签署及规定</w:t>
      </w:r>
    </w:p>
    <w:p w14:paraId="1FDB8859">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投标文件由以下部分组成（请按照下述组织投标书各章节内容）</w:t>
      </w:r>
    </w:p>
    <w:p w14:paraId="474ECC95">
      <w:pPr>
        <w:pStyle w:val="8"/>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1.资质文件</w:t>
      </w:r>
    </w:p>
    <w:p w14:paraId="679DAD69">
      <w:pPr>
        <w:pStyle w:val="8"/>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1</w:t>
      </w:r>
      <w:r>
        <w:rPr>
          <w:rFonts w:hint="eastAsia" w:ascii="仿宋" w:hAnsi="仿宋" w:eastAsia="仿宋"/>
          <w:sz w:val="28"/>
          <w:szCs w:val="24"/>
          <w:highlight w:val="none"/>
          <w:lang w:eastAsia="zh-CN"/>
        </w:rPr>
        <w:t>）</w:t>
      </w:r>
      <w:r>
        <w:rPr>
          <w:rFonts w:hint="eastAsia" w:ascii="仿宋" w:hAnsi="仿宋" w:eastAsia="仿宋"/>
          <w:sz w:val="28"/>
          <w:szCs w:val="24"/>
          <w:highlight w:val="none"/>
        </w:rPr>
        <w:t>公司简介；</w:t>
      </w:r>
    </w:p>
    <w:p w14:paraId="565825E3">
      <w:pPr>
        <w:pStyle w:val="8"/>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2</w:t>
      </w:r>
      <w:r>
        <w:rPr>
          <w:rFonts w:hint="eastAsia" w:ascii="仿宋" w:hAnsi="仿宋" w:eastAsia="仿宋"/>
          <w:sz w:val="28"/>
          <w:szCs w:val="24"/>
          <w:highlight w:val="none"/>
          <w:lang w:eastAsia="zh-CN"/>
        </w:rPr>
        <w:t>）</w:t>
      </w:r>
      <w:r>
        <w:rPr>
          <w:rFonts w:hint="eastAsia" w:ascii="仿宋" w:hAnsi="仿宋" w:eastAsia="仿宋"/>
          <w:sz w:val="28"/>
          <w:szCs w:val="24"/>
          <w:highlight w:val="none"/>
        </w:rPr>
        <w:t>营业执照副本复印件；</w:t>
      </w:r>
    </w:p>
    <w:p w14:paraId="7ECFB64A">
      <w:pPr>
        <w:pStyle w:val="8"/>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3</w:t>
      </w:r>
      <w:r>
        <w:rPr>
          <w:rFonts w:hint="eastAsia" w:ascii="仿宋" w:hAnsi="仿宋" w:eastAsia="仿宋"/>
          <w:sz w:val="28"/>
          <w:szCs w:val="24"/>
          <w:highlight w:val="none"/>
          <w:lang w:eastAsia="zh-CN"/>
        </w:rPr>
        <w:t>）</w:t>
      </w:r>
      <w:r>
        <w:rPr>
          <w:rFonts w:hint="eastAsia" w:ascii="仿宋" w:hAnsi="仿宋" w:eastAsia="仿宋"/>
          <w:sz w:val="28"/>
          <w:szCs w:val="24"/>
          <w:highlight w:val="none"/>
        </w:rPr>
        <w:t>法人代表授权书原件（附件二）；</w:t>
      </w:r>
    </w:p>
    <w:p w14:paraId="7943DE49">
      <w:pPr>
        <w:pStyle w:val="8"/>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4</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投标单位需提供近三年审计报告；</w:t>
      </w:r>
    </w:p>
    <w:p w14:paraId="3B88A510">
      <w:pPr>
        <w:pStyle w:val="8"/>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5</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法人代表或授权代表有效身份证；（盖有法人单位公章的复印件，包括正反两面）</w:t>
      </w:r>
    </w:p>
    <w:p w14:paraId="7470F61F">
      <w:pPr>
        <w:pStyle w:val="8"/>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6</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投标单位类似项目案例介绍，与本次项目相关或类似的合同扫描件；</w:t>
      </w:r>
    </w:p>
    <w:p w14:paraId="70D6FD7A">
      <w:pPr>
        <w:pStyle w:val="8"/>
        <w:adjustRightInd w:val="0"/>
        <w:snapToGrid w:val="0"/>
        <w:spacing w:line="540" w:lineRule="exact"/>
        <w:ind w:firstLine="560" w:firstLineChars="200"/>
        <w:rPr>
          <w:rFonts w:hint="eastAsia" w:ascii="仿宋" w:hAnsi="仿宋" w:eastAsia="仿宋"/>
          <w:sz w:val="28"/>
          <w:szCs w:val="24"/>
          <w:highlight w:val="none"/>
          <w:lang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7</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投标单位三年内无违法及重大违规记录证明；</w:t>
      </w:r>
    </w:p>
    <w:p w14:paraId="54A8BA70">
      <w:pPr>
        <w:pStyle w:val="8"/>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8</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投标认为需提供的其他资质证明；</w:t>
      </w:r>
    </w:p>
    <w:p w14:paraId="11A344A3">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9</w:t>
      </w: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保证金缴纳证明；</w:t>
      </w:r>
    </w:p>
    <w:p w14:paraId="6AADBE54">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（10）企业最近半年完税证明、信用证明材料（征信报告）；</w:t>
      </w:r>
    </w:p>
    <w:p w14:paraId="1EDDA33A">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（11）年度纳税信用评价信息（可从电子税务局查询截图，需加盖公章）；</w:t>
      </w:r>
    </w:p>
    <w:p w14:paraId="07B73609">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（12）企业对外担保说明（写明贵单位对外有无对外担保和质押业务，需加盖公章）；</w:t>
      </w:r>
    </w:p>
    <w:p w14:paraId="04865469">
      <w:pPr>
        <w:pStyle w:val="8"/>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（13）项目报名表（附件四）。</w:t>
      </w:r>
    </w:p>
    <w:p w14:paraId="51CC28E5">
      <w:pPr>
        <w:pStyle w:val="8"/>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2.技术标文件</w:t>
      </w:r>
    </w:p>
    <w:p w14:paraId="06CBA25D">
      <w:pPr>
        <w:pStyle w:val="8"/>
        <w:adjustRightInd w:val="0"/>
        <w:snapToGrid w:val="0"/>
        <w:spacing w:line="540" w:lineRule="exact"/>
        <w:ind w:firstLine="560" w:firstLineChars="200"/>
        <w:rPr>
          <w:rFonts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1</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w:t>
      </w:r>
      <w:r>
        <w:rPr>
          <w:rFonts w:hint="eastAsia" w:ascii="仿宋" w:hAnsi="仿宋" w:eastAsia="仿宋"/>
          <w:sz w:val="28"/>
          <w:szCs w:val="24"/>
          <w:highlight w:val="none"/>
          <w:lang w:val="en-US" w:eastAsia="zh-CN"/>
        </w:rPr>
        <w:t>技术</w:t>
      </w:r>
      <w:r>
        <w:rPr>
          <w:rFonts w:hint="eastAsia" w:ascii="仿宋" w:hAnsi="仿宋" w:eastAsia="仿宋"/>
          <w:sz w:val="28"/>
          <w:szCs w:val="24"/>
          <w:highlight w:val="none"/>
        </w:rPr>
        <w:t>方案；</w:t>
      </w:r>
    </w:p>
    <w:p w14:paraId="04068FE0">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（2）技术规格、相关条款偏离表（附件六）；</w:t>
      </w:r>
    </w:p>
    <w:p w14:paraId="40EE02C1">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（3）综合说明；</w:t>
      </w:r>
    </w:p>
    <w:p w14:paraId="2546F1F6">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（4）服务承诺；</w:t>
      </w:r>
    </w:p>
    <w:p w14:paraId="19533E85">
      <w:pPr>
        <w:pStyle w:val="8"/>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（5）投标人要求买方提供何种配合，需在标书中说明；</w:t>
      </w:r>
    </w:p>
    <w:p w14:paraId="0D29268D">
      <w:pPr>
        <w:pStyle w:val="8"/>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6</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投标单位认为其他需要提供的材料。</w:t>
      </w:r>
    </w:p>
    <w:p w14:paraId="2786175C">
      <w:pPr>
        <w:pStyle w:val="8"/>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3.商务标文件</w:t>
      </w:r>
    </w:p>
    <w:p w14:paraId="4AB45E1C">
      <w:pPr>
        <w:pStyle w:val="8"/>
        <w:adjustRightInd w:val="0"/>
        <w:snapToGrid w:val="0"/>
        <w:spacing w:line="540" w:lineRule="exact"/>
        <w:ind w:firstLine="560" w:firstLineChars="200"/>
        <w:rPr>
          <w:rFonts w:hint="eastAsia" w:ascii="仿宋" w:hAnsi="仿宋" w:eastAsia="仿宋"/>
          <w:sz w:val="28"/>
          <w:szCs w:val="24"/>
          <w:highlight w:val="none"/>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1</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投标函(附件一)；</w:t>
      </w:r>
    </w:p>
    <w:p w14:paraId="568D57F8">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（2）投标报价明细表（附件三）；</w:t>
      </w:r>
    </w:p>
    <w:p w14:paraId="2C79B223">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（3）服务承诺及优惠条件；</w:t>
      </w:r>
    </w:p>
    <w:p w14:paraId="187E745A">
      <w:pPr>
        <w:pStyle w:val="8"/>
        <w:adjustRightInd w:val="0"/>
        <w:snapToGrid w:val="0"/>
        <w:spacing w:line="540" w:lineRule="exact"/>
        <w:ind w:firstLine="560" w:firstLineChars="200"/>
        <w:rPr>
          <w:rFonts w:hint="eastAsia" w:ascii="仿宋" w:hAnsi="仿宋" w:eastAsia="仿宋"/>
          <w:sz w:val="28"/>
          <w:szCs w:val="24"/>
          <w:highlight w:val="none"/>
          <w:lang w:val="en-US" w:eastAsia="zh-CN"/>
        </w:rPr>
      </w:pPr>
      <w:r>
        <w:rPr>
          <w:rFonts w:hint="eastAsia" w:ascii="仿宋" w:hAnsi="仿宋" w:eastAsia="仿宋"/>
          <w:sz w:val="28"/>
          <w:szCs w:val="24"/>
          <w:highlight w:val="none"/>
          <w:lang w:val="en-US" w:eastAsia="zh-CN"/>
        </w:rPr>
        <w:t>（4）相关条款偏离表（附件六）；</w:t>
      </w:r>
    </w:p>
    <w:p w14:paraId="1F829C12">
      <w:pPr>
        <w:pStyle w:val="8"/>
        <w:adjustRightInd w:val="0"/>
        <w:snapToGrid w:val="0"/>
        <w:spacing w:line="540" w:lineRule="exact"/>
        <w:ind w:firstLine="560" w:firstLineChars="200"/>
        <w:rPr>
          <w:rFonts w:hint="default" w:ascii="仿宋" w:hAnsi="仿宋" w:eastAsia="仿宋"/>
          <w:sz w:val="28"/>
          <w:szCs w:val="24"/>
          <w:highlight w:val="none"/>
          <w:lang w:val="en-US" w:eastAsia="zh-CN"/>
        </w:rPr>
      </w:pPr>
      <w:r>
        <w:rPr>
          <w:rFonts w:hint="eastAsia" w:ascii="仿宋" w:hAnsi="仿宋" w:eastAsia="仿宋"/>
          <w:sz w:val="28"/>
          <w:szCs w:val="24"/>
          <w:highlight w:val="none"/>
          <w:lang w:val="en-US" w:eastAsia="zh-CN"/>
        </w:rPr>
        <w:t>（5）其他需要说明的事项。</w:t>
      </w:r>
    </w:p>
    <w:p w14:paraId="11C07BDF">
      <w:pPr>
        <w:pStyle w:val="8"/>
        <w:adjustRightInd w:val="0"/>
        <w:snapToGrid w:val="0"/>
        <w:spacing w:line="540" w:lineRule="exact"/>
        <w:ind w:firstLine="560" w:firstLineChars="200"/>
        <w:rPr>
          <w:rFonts w:hint="default" w:ascii="仿宋" w:hAnsi="仿宋" w:eastAsia="仿宋"/>
          <w:sz w:val="28"/>
          <w:lang w:val="en-US" w:eastAsia="zh-CN"/>
        </w:rPr>
      </w:pPr>
      <w:r>
        <w:rPr>
          <w:rFonts w:hint="eastAsia" w:ascii="仿宋" w:hAnsi="仿宋" w:eastAsia="仿宋"/>
          <w:sz w:val="28"/>
          <w:szCs w:val="24"/>
        </w:rPr>
        <w:t>备注：提供上述资料均须加盖单位公章，统一使用A4纸装订成册。</w:t>
      </w:r>
    </w:p>
    <w:p w14:paraId="2738D9DF">
      <w:pPr>
        <w:pStyle w:val="8"/>
        <w:pageBreakBefore w:val="0"/>
        <w:kinsoku/>
        <w:wordWrap/>
        <w:overflowPunct/>
        <w:topLinePunct w:val="0"/>
        <w:bidi w:val="0"/>
        <w:adjustRightInd w:val="0"/>
        <w:snapToGrid w:val="0"/>
        <w:spacing w:line="540" w:lineRule="exact"/>
        <w:ind w:right="0"/>
        <w:outlineLvl w:val="1"/>
        <w:rPr>
          <w:rFonts w:ascii="仿宋" w:hAnsi="仿宋" w:eastAsia="仿宋"/>
          <w:b/>
          <w:bCs/>
          <w:sz w:val="28"/>
          <w:szCs w:val="24"/>
        </w:rPr>
      </w:pPr>
      <w:r>
        <w:rPr>
          <w:rFonts w:hint="eastAsia" w:ascii="仿宋" w:hAnsi="仿宋" w:eastAsia="仿宋"/>
          <w:b/>
          <w:bCs/>
          <w:sz w:val="28"/>
          <w:szCs w:val="24"/>
          <w:lang w:val="en-US" w:eastAsia="zh-CN"/>
        </w:rPr>
        <w:t>九</w:t>
      </w:r>
      <w:r>
        <w:rPr>
          <w:rFonts w:hint="eastAsia" w:ascii="仿宋" w:hAnsi="仿宋" w:eastAsia="仿宋"/>
          <w:b/>
          <w:bCs/>
          <w:sz w:val="28"/>
          <w:szCs w:val="24"/>
        </w:rPr>
        <w:t>、投标资料的签署及规定</w:t>
      </w:r>
    </w:p>
    <w:p w14:paraId="16DD8091">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w:t>
      </w:r>
      <w:r>
        <w:rPr>
          <w:rFonts w:hint="eastAsia" w:ascii="仿宋" w:hAnsi="仿宋" w:eastAsia="仿宋"/>
          <w:sz w:val="28"/>
        </w:rPr>
        <w:t>投标单位应填写全称，同时加盖公司印章。</w:t>
      </w:r>
    </w:p>
    <w:p w14:paraId="684E8E4B">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w:t>
      </w:r>
      <w:r>
        <w:rPr>
          <w:rFonts w:hint="eastAsia" w:ascii="仿宋" w:hAnsi="仿宋" w:eastAsia="仿宋"/>
          <w:sz w:val="28"/>
        </w:rPr>
        <w:t>投标资料必须由法人代表或授权代表签署。</w:t>
      </w:r>
    </w:p>
    <w:p w14:paraId="6069B6E7">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3</w:t>
      </w:r>
      <w:r>
        <w:rPr>
          <w:rFonts w:hint="eastAsia" w:ascii="仿宋" w:hAnsi="仿宋" w:eastAsia="仿宋"/>
          <w:sz w:val="28"/>
          <w:lang w:eastAsia="zh-CN"/>
        </w:rPr>
        <w:t>.</w:t>
      </w:r>
      <w:r>
        <w:rPr>
          <w:rFonts w:hint="eastAsia" w:ascii="仿宋" w:hAnsi="仿宋" w:eastAsia="仿宋"/>
          <w:sz w:val="28"/>
        </w:rPr>
        <w:t>投标资料不得涂改和增删，如有修改错漏处，必须由同一签署人签字或盖章。</w:t>
      </w:r>
    </w:p>
    <w:p w14:paraId="29D1D073">
      <w:pPr>
        <w:pageBreakBefore w:val="0"/>
        <w:kinsoku/>
        <w:wordWrap/>
        <w:overflowPunct/>
        <w:topLinePunct w:val="0"/>
        <w:bidi w:val="0"/>
        <w:adjustRightInd w:val="0"/>
        <w:snapToGrid w:val="0"/>
        <w:spacing w:line="540" w:lineRule="exact"/>
        <w:ind w:left="0" w:leftChars="0" w:right="0" w:firstLine="560" w:firstLineChars="200"/>
        <w:rPr>
          <w:rFonts w:hint="eastAsia" w:ascii="仿宋" w:hAnsi="仿宋" w:eastAsia="仿宋"/>
          <w:sz w:val="28"/>
        </w:rPr>
      </w:pPr>
      <w:r>
        <w:rPr>
          <w:rFonts w:hint="eastAsia" w:ascii="仿宋" w:hAnsi="仿宋" w:eastAsia="仿宋"/>
          <w:sz w:val="28"/>
        </w:rPr>
        <w:t>4</w:t>
      </w:r>
      <w:r>
        <w:rPr>
          <w:rFonts w:hint="eastAsia" w:ascii="仿宋" w:hAnsi="仿宋" w:eastAsia="仿宋"/>
          <w:sz w:val="28"/>
          <w:lang w:eastAsia="zh-CN"/>
        </w:rPr>
        <w:t>.</w:t>
      </w:r>
      <w:r>
        <w:rPr>
          <w:rFonts w:hint="eastAsia" w:ascii="仿宋" w:hAnsi="仿宋" w:eastAsia="仿宋"/>
          <w:sz w:val="28"/>
        </w:rPr>
        <w:t>投标资料因字迹潦草或表达不清所引起的后果由投标单位负责。</w:t>
      </w:r>
    </w:p>
    <w:p w14:paraId="7C93045D">
      <w:pPr>
        <w:adjustRightInd w:val="0"/>
        <w:snapToGrid w:val="0"/>
        <w:spacing w:line="540" w:lineRule="exact"/>
        <w:ind w:firstLine="560" w:firstLineChars="200"/>
        <w:rPr>
          <w:rFonts w:hint="eastAsia" w:ascii="仿宋" w:hAnsi="仿宋" w:eastAsia="仿宋"/>
          <w:sz w:val="28"/>
          <w:highlight w:val="none"/>
          <w:lang w:eastAsia="zh-CN"/>
        </w:rPr>
      </w:pPr>
      <w:r>
        <w:rPr>
          <w:rFonts w:hint="eastAsia" w:ascii="仿宋" w:hAnsi="仿宋" w:eastAsia="仿宋" w:cs="Times New Roman"/>
          <w:kern w:val="2"/>
          <w:sz w:val="28"/>
          <w:szCs w:val="24"/>
          <w:highlight w:val="none"/>
          <w:lang w:val="en-US" w:eastAsia="zh-CN" w:bidi="ar-SA"/>
        </w:rPr>
        <w:t>5.</w:t>
      </w:r>
      <w:r>
        <w:rPr>
          <w:rFonts w:hint="eastAsia" w:ascii="仿宋" w:hAnsi="仿宋" w:eastAsia="仿宋"/>
          <w:sz w:val="28"/>
          <w:highlight w:val="none"/>
        </w:rPr>
        <w:t>投标文件一式</w:t>
      </w:r>
      <w:r>
        <w:rPr>
          <w:rFonts w:hint="eastAsia" w:ascii="仿宋" w:hAnsi="仿宋" w:eastAsia="仿宋"/>
          <w:sz w:val="28"/>
          <w:highlight w:val="none"/>
          <w:lang w:val="en-US" w:eastAsia="zh-CN"/>
        </w:rPr>
        <w:t>3</w:t>
      </w:r>
      <w:r>
        <w:rPr>
          <w:rFonts w:hint="eastAsia" w:ascii="仿宋" w:hAnsi="仿宋" w:eastAsia="仿宋"/>
          <w:sz w:val="28"/>
          <w:highlight w:val="none"/>
        </w:rPr>
        <w:t xml:space="preserve">份。其中正本 1 份，副本 </w:t>
      </w:r>
      <w:r>
        <w:rPr>
          <w:rFonts w:hint="eastAsia" w:ascii="仿宋" w:hAnsi="仿宋" w:eastAsia="仿宋"/>
          <w:sz w:val="28"/>
          <w:highlight w:val="none"/>
          <w:lang w:val="en-US" w:eastAsia="zh-CN"/>
        </w:rPr>
        <w:t>2</w:t>
      </w:r>
      <w:r>
        <w:rPr>
          <w:rFonts w:hint="eastAsia" w:ascii="仿宋" w:hAnsi="仿宋" w:eastAsia="仿宋"/>
          <w:sz w:val="28"/>
          <w:highlight w:val="none"/>
        </w:rPr>
        <w:t>份（如果正本与副本不符，以正本为准）</w:t>
      </w:r>
      <w:r>
        <w:rPr>
          <w:rFonts w:hint="eastAsia" w:ascii="仿宋" w:hAnsi="仿宋" w:eastAsia="仿宋"/>
          <w:sz w:val="28"/>
          <w:highlight w:val="none"/>
          <w:lang w:eastAsia="zh-CN"/>
        </w:rPr>
        <w:t>。</w:t>
      </w:r>
    </w:p>
    <w:p w14:paraId="41D57FB6">
      <w:pPr>
        <w:adjustRightInd w:val="0"/>
        <w:snapToGrid w:val="0"/>
        <w:spacing w:line="540" w:lineRule="exact"/>
        <w:ind w:firstLine="560" w:firstLineChars="200"/>
        <w:rPr>
          <w:rFonts w:hint="eastAsia" w:ascii="仿宋" w:hAnsi="仿宋" w:eastAsia="仿宋"/>
          <w:sz w:val="28"/>
        </w:rPr>
      </w:pPr>
      <w:r>
        <w:rPr>
          <w:rFonts w:hint="eastAsia" w:ascii="仿宋" w:hAnsi="仿宋" w:eastAsia="仿宋"/>
          <w:sz w:val="28"/>
          <w:lang w:val="en-US" w:eastAsia="zh-CN"/>
        </w:rPr>
        <w:t>6</w:t>
      </w:r>
      <w:r>
        <w:rPr>
          <w:rFonts w:hint="eastAsia" w:ascii="仿宋" w:hAnsi="仿宋" w:eastAsia="仿宋"/>
          <w:sz w:val="28"/>
          <w:lang w:eastAsia="zh-CN"/>
        </w:rPr>
        <w:t>.</w:t>
      </w:r>
      <w:r>
        <w:rPr>
          <w:rFonts w:hint="eastAsia" w:ascii="仿宋" w:hAnsi="仿宋" w:eastAsia="仿宋"/>
          <w:sz w:val="28"/>
        </w:rPr>
        <w:t>投标文件的正本必须用不褪色的墨水填写或打印，注明“正本”字样，副本可以用复印件。</w:t>
      </w:r>
    </w:p>
    <w:p w14:paraId="1C31F1A6">
      <w:pPr>
        <w:pStyle w:val="8"/>
        <w:pageBreakBefore w:val="0"/>
        <w:kinsoku/>
        <w:wordWrap/>
        <w:overflowPunct/>
        <w:topLinePunct w:val="0"/>
        <w:bidi w:val="0"/>
        <w:adjustRightInd w:val="0"/>
        <w:snapToGrid w:val="0"/>
        <w:spacing w:line="540" w:lineRule="exact"/>
        <w:ind w:right="0"/>
        <w:outlineLvl w:val="1"/>
        <w:rPr>
          <w:rFonts w:hint="eastAsia" w:ascii="仿宋" w:hAnsi="仿宋" w:eastAsia="仿宋"/>
          <w:b/>
          <w:bCs/>
          <w:sz w:val="28"/>
          <w:szCs w:val="24"/>
        </w:rPr>
      </w:pPr>
      <w:r>
        <w:rPr>
          <w:rFonts w:hint="eastAsia" w:ascii="仿宋" w:hAnsi="仿宋" w:eastAsia="仿宋"/>
          <w:b/>
          <w:bCs/>
          <w:sz w:val="28"/>
          <w:szCs w:val="24"/>
          <w:lang w:val="en-US" w:eastAsia="zh-CN"/>
        </w:rPr>
        <w:t>十</w:t>
      </w:r>
      <w:r>
        <w:rPr>
          <w:rFonts w:hint="eastAsia" w:ascii="仿宋" w:hAnsi="仿宋" w:eastAsia="仿宋"/>
          <w:b/>
          <w:bCs/>
          <w:sz w:val="28"/>
          <w:szCs w:val="24"/>
        </w:rPr>
        <w:t>、投</w:t>
      </w:r>
      <w:r>
        <w:rPr>
          <w:rFonts w:hint="eastAsia" w:ascii="仿宋" w:hAnsi="仿宋" w:eastAsia="仿宋"/>
          <w:b/>
          <w:bCs/>
          <w:sz w:val="28"/>
          <w:szCs w:val="24"/>
          <w:highlight w:val="none"/>
        </w:rPr>
        <w:t>标文件的密封和标</w:t>
      </w:r>
      <w:r>
        <w:rPr>
          <w:rFonts w:hint="eastAsia" w:ascii="仿宋" w:hAnsi="仿宋" w:eastAsia="仿宋"/>
          <w:b/>
          <w:bCs/>
          <w:sz w:val="28"/>
          <w:szCs w:val="24"/>
        </w:rPr>
        <w:t>记</w:t>
      </w:r>
    </w:p>
    <w:p w14:paraId="3A703D07">
      <w:pPr>
        <w:adjustRightInd w:val="0"/>
        <w:snapToGrid w:val="0"/>
        <w:spacing w:line="540" w:lineRule="exact"/>
        <w:ind w:firstLine="560" w:firstLineChars="200"/>
        <w:rPr>
          <w:rFonts w:hint="eastAsia" w:ascii="仿宋" w:hAnsi="仿宋" w:eastAsia="仿宋"/>
          <w:sz w:val="28"/>
          <w:highlight w:val="none"/>
          <w:lang w:eastAsia="zh-CN"/>
        </w:rPr>
      </w:pPr>
      <w:r>
        <w:rPr>
          <w:rFonts w:hint="eastAsia" w:ascii="仿宋" w:hAnsi="仿宋" w:eastAsia="仿宋"/>
          <w:sz w:val="28"/>
          <w:highlight w:val="none"/>
        </w:rPr>
        <w:t>1</w:t>
      </w:r>
      <w:r>
        <w:rPr>
          <w:rFonts w:hint="eastAsia" w:ascii="仿宋" w:hAnsi="仿宋" w:eastAsia="仿宋"/>
          <w:sz w:val="28"/>
          <w:highlight w:val="none"/>
          <w:lang w:eastAsia="zh-CN"/>
        </w:rPr>
        <w:t>.</w:t>
      </w:r>
      <w:r>
        <w:rPr>
          <w:rFonts w:hint="eastAsia" w:ascii="仿宋" w:hAnsi="仿宋" w:eastAsia="仿宋"/>
          <w:sz w:val="28"/>
          <w:highlight w:val="none"/>
        </w:rPr>
        <w:t>投标文件密封袋内装投标文件正副本共一式</w:t>
      </w:r>
      <w:r>
        <w:rPr>
          <w:rFonts w:hint="eastAsia" w:ascii="仿宋" w:hAnsi="仿宋" w:eastAsia="仿宋"/>
          <w:sz w:val="28"/>
          <w:highlight w:val="none"/>
          <w:lang w:val="en-US" w:eastAsia="zh-CN"/>
        </w:rPr>
        <w:t>3</w:t>
      </w:r>
      <w:r>
        <w:rPr>
          <w:rFonts w:hint="eastAsia" w:ascii="仿宋" w:hAnsi="仿宋" w:eastAsia="仿宋"/>
          <w:sz w:val="28"/>
          <w:highlight w:val="none"/>
        </w:rPr>
        <w:t>份。封口处应有授权代表的签字或投标单位公章，封皮上写明招标项目名称及投标单位名称，并注明“投标文件”字样。</w:t>
      </w:r>
      <w:r>
        <w:rPr>
          <w:rFonts w:hint="eastAsia" w:ascii="仿宋" w:hAnsi="仿宋" w:eastAsia="仿宋"/>
          <w:sz w:val="28"/>
          <w:highlight w:val="none"/>
          <w:lang w:eastAsia="zh-CN"/>
        </w:rPr>
        <w:t>（</w:t>
      </w:r>
      <w:r>
        <w:rPr>
          <w:rFonts w:hint="eastAsia" w:ascii="仿宋" w:hAnsi="仿宋" w:eastAsia="仿宋"/>
          <w:sz w:val="28"/>
          <w:highlight w:val="none"/>
          <w:lang w:val="en-US" w:eastAsia="zh-CN"/>
        </w:rPr>
        <w:t>资质文件与商务标分别封存</w:t>
      </w:r>
      <w:r>
        <w:rPr>
          <w:rFonts w:hint="eastAsia" w:ascii="仿宋" w:hAnsi="仿宋" w:eastAsia="仿宋"/>
          <w:sz w:val="28"/>
          <w:highlight w:val="none"/>
          <w:lang w:eastAsia="zh-CN"/>
        </w:rPr>
        <w:t>）</w:t>
      </w:r>
    </w:p>
    <w:p w14:paraId="620D0F21">
      <w:pPr>
        <w:adjustRightInd w:val="0"/>
        <w:snapToGrid w:val="0"/>
        <w:spacing w:line="540" w:lineRule="exact"/>
        <w:ind w:firstLine="560" w:firstLineChars="200"/>
        <w:rPr>
          <w:rFonts w:hint="default"/>
          <w:lang w:val="en-US" w:eastAsia="zh-CN"/>
        </w:rPr>
      </w:pPr>
      <w:r>
        <w:rPr>
          <w:rFonts w:hint="eastAsia" w:ascii="仿宋" w:hAnsi="仿宋" w:eastAsia="仿宋"/>
          <w:sz w:val="28"/>
        </w:rPr>
        <w:t>2</w:t>
      </w:r>
      <w:r>
        <w:rPr>
          <w:rFonts w:hint="eastAsia" w:ascii="仿宋" w:hAnsi="仿宋" w:eastAsia="仿宋"/>
          <w:sz w:val="28"/>
          <w:lang w:eastAsia="zh-CN"/>
        </w:rPr>
        <w:t>.</w:t>
      </w:r>
      <w:r>
        <w:rPr>
          <w:rFonts w:hint="eastAsia" w:ascii="仿宋" w:hAnsi="仿宋" w:eastAsia="仿宋"/>
          <w:sz w:val="28"/>
        </w:rPr>
        <w:t>如果投标单位未按上述要求密封及加写标记，招标单位对投标文件的误投和提前启封概不负责。</w:t>
      </w:r>
    </w:p>
    <w:p w14:paraId="09D2D690">
      <w:pPr>
        <w:pageBreakBefore w:val="0"/>
        <w:kinsoku/>
        <w:wordWrap/>
        <w:overflowPunct/>
        <w:topLinePunct w:val="0"/>
        <w:bidi w:val="0"/>
        <w:adjustRightInd w:val="0"/>
        <w:snapToGrid w:val="0"/>
        <w:spacing w:line="540" w:lineRule="exact"/>
        <w:ind w:right="0"/>
        <w:rPr>
          <w:rFonts w:ascii="仿宋" w:hAnsi="仿宋" w:eastAsia="仿宋"/>
          <w:b/>
          <w:sz w:val="28"/>
        </w:rPr>
      </w:pPr>
      <w:bookmarkStart w:id="0" w:name="_Toc449097060"/>
      <w:bookmarkStart w:id="1" w:name="_Toc447799407"/>
      <w:r>
        <w:rPr>
          <w:rFonts w:hint="eastAsia" w:ascii="仿宋" w:hAnsi="仿宋" w:eastAsia="仿宋"/>
          <w:b/>
          <w:bCs/>
          <w:sz w:val="28"/>
          <w:lang w:val="en-US" w:eastAsia="zh-CN"/>
        </w:rPr>
        <w:t>十一</w:t>
      </w:r>
      <w:r>
        <w:rPr>
          <w:rFonts w:hint="eastAsia" w:ascii="仿宋" w:hAnsi="仿宋" w:eastAsia="仿宋"/>
          <w:b/>
          <w:bCs/>
          <w:sz w:val="28"/>
        </w:rPr>
        <w:t>、</w:t>
      </w:r>
      <w:bookmarkEnd w:id="0"/>
      <w:bookmarkEnd w:id="1"/>
      <w:bookmarkStart w:id="2" w:name="_Toc449097061"/>
      <w:bookmarkStart w:id="3" w:name="_Toc447799408"/>
      <w:r>
        <w:rPr>
          <w:rFonts w:hint="eastAsia" w:ascii="仿宋" w:hAnsi="仿宋" w:eastAsia="仿宋"/>
          <w:b/>
          <w:bCs/>
          <w:sz w:val="28"/>
          <w:highlight w:val="none"/>
        </w:rPr>
        <w:t>投标时限</w:t>
      </w:r>
      <w:r>
        <w:rPr>
          <w:rFonts w:hint="eastAsia" w:ascii="仿宋" w:hAnsi="仿宋" w:eastAsia="仿宋"/>
          <w:b/>
          <w:bCs/>
          <w:sz w:val="28"/>
        </w:rPr>
        <w:t>及投标截止时间</w:t>
      </w:r>
      <w:bookmarkEnd w:id="2"/>
      <w:bookmarkEnd w:id="3"/>
    </w:p>
    <w:p w14:paraId="74EC854A">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w:t>
      </w:r>
      <w:r>
        <w:rPr>
          <w:rFonts w:hint="eastAsia" w:ascii="仿宋" w:hAnsi="仿宋" w:eastAsia="仿宋"/>
          <w:sz w:val="28"/>
        </w:rPr>
        <w:t>投标单位按招标文件</w:t>
      </w:r>
      <w:r>
        <w:rPr>
          <w:rFonts w:hint="eastAsia" w:ascii="仿宋" w:hAnsi="仿宋" w:eastAsia="仿宋"/>
          <w:sz w:val="28"/>
          <w:lang w:val="en-US" w:eastAsia="zh-CN"/>
        </w:rPr>
        <w:t>在2025年10月12日17时前于</w:t>
      </w:r>
      <w:r>
        <w:rPr>
          <w:rFonts w:hint="eastAsia" w:ascii="仿宋" w:hAnsi="仿宋" w:eastAsia="仿宋"/>
          <w:sz w:val="28"/>
        </w:rPr>
        <w:t>招标网站（重汽e采通）上传投标资料。</w:t>
      </w:r>
    </w:p>
    <w:p w14:paraId="314E4220">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lang w:eastAsia="zh-CN"/>
        </w:rPr>
        <w:t>.</w:t>
      </w:r>
      <w:r>
        <w:rPr>
          <w:rFonts w:hint="eastAsia" w:ascii="仿宋" w:hAnsi="仿宋" w:eastAsia="仿宋"/>
          <w:sz w:val="28"/>
        </w:rPr>
        <w:t>招标单位推迟投标截止时间时，应以书面的形式通知所有投标单位，在这种情况下，招标单位及投标单位的权利和义务将受到新的截止期约束。</w:t>
      </w:r>
    </w:p>
    <w:p w14:paraId="6072548B">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lang w:val="en-US" w:eastAsia="zh-CN"/>
        </w:rPr>
        <w:t>3</w:t>
      </w:r>
      <w:r>
        <w:rPr>
          <w:rFonts w:hint="eastAsia" w:ascii="仿宋" w:hAnsi="仿宋" w:eastAsia="仿宋"/>
          <w:sz w:val="28"/>
          <w:lang w:eastAsia="zh-CN"/>
        </w:rPr>
        <w:t>.</w:t>
      </w:r>
      <w:r>
        <w:rPr>
          <w:rFonts w:hint="eastAsia" w:ascii="仿宋" w:hAnsi="仿宋" w:eastAsia="仿宋"/>
          <w:sz w:val="28"/>
        </w:rPr>
        <w:t>在投标截止时间以后规定网址投标关闭，招标单位拒绝接受其他形式的投标。</w:t>
      </w:r>
    </w:p>
    <w:p w14:paraId="49CB3918">
      <w:pPr>
        <w:pStyle w:val="8"/>
        <w:pageBreakBefore w:val="0"/>
        <w:kinsoku/>
        <w:wordWrap/>
        <w:overflowPunct/>
        <w:topLinePunct w:val="0"/>
        <w:bidi w:val="0"/>
        <w:adjustRightInd w:val="0"/>
        <w:snapToGrid w:val="0"/>
        <w:spacing w:line="540" w:lineRule="exact"/>
        <w:ind w:right="0"/>
        <w:outlineLvl w:val="1"/>
        <w:rPr>
          <w:rFonts w:ascii="仿宋" w:hAnsi="仿宋" w:eastAsia="仿宋"/>
          <w:b/>
          <w:bCs/>
          <w:sz w:val="28"/>
          <w:szCs w:val="24"/>
        </w:rPr>
      </w:pPr>
      <w:bookmarkStart w:id="4" w:name="_Toc447799409"/>
      <w:bookmarkStart w:id="5" w:name="_Toc449097062"/>
      <w:r>
        <w:rPr>
          <w:rFonts w:hint="eastAsia" w:ascii="仿宋" w:hAnsi="仿宋" w:eastAsia="仿宋"/>
          <w:b/>
          <w:bCs/>
          <w:sz w:val="28"/>
          <w:szCs w:val="24"/>
        </w:rPr>
        <w:t>十</w:t>
      </w:r>
      <w:r>
        <w:rPr>
          <w:rFonts w:hint="eastAsia" w:ascii="仿宋" w:hAnsi="仿宋" w:eastAsia="仿宋"/>
          <w:b/>
          <w:bCs/>
          <w:sz w:val="28"/>
          <w:szCs w:val="24"/>
          <w:lang w:val="en-US" w:eastAsia="zh-CN"/>
        </w:rPr>
        <w:t>二</w:t>
      </w:r>
      <w:r>
        <w:rPr>
          <w:rFonts w:hint="eastAsia" w:ascii="仿宋" w:hAnsi="仿宋" w:eastAsia="仿宋"/>
          <w:b/>
          <w:bCs/>
          <w:sz w:val="28"/>
          <w:szCs w:val="24"/>
        </w:rPr>
        <w:t>、投标资料的修改和撤回</w:t>
      </w:r>
      <w:bookmarkEnd w:id="4"/>
      <w:bookmarkEnd w:id="5"/>
    </w:p>
    <w:p w14:paraId="24577E7D">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w:t>
      </w:r>
      <w:r>
        <w:rPr>
          <w:rFonts w:hint="eastAsia" w:ascii="仿宋" w:hAnsi="仿宋" w:eastAsia="仿宋"/>
          <w:sz w:val="28"/>
        </w:rPr>
        <w:t>上传投标资料以后，未到投标截止时间，投标单位可以自动编辑修改、撤回，到达截止时间后，将无法进行修改、撤回。</w:t>
      </w:r>
    </w:p>
    <w:p w14:paraId="24E29362">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w:t>
      </w:r>
      <w:r>
        <w:rPr>
          <w:rFonts w:hint="eastAsia" w:ascii="仿宋" w:hAnsi="仿宋" w:eastAsia="仿宋"/>
          <w:sz w:val="28"/>
        </w:rPr>
        <w:t>开标后，无论中标与否，投标资料将在规定网站留档，不予修改、撤回，请投标单位自留底稿。</w:t>
      </w:r>
    </w:p>
    <w:p w14:paraId="19797156">
      <w:pPr>
        <w:pStyle w:val="8"/>
        <w:keepNext w:val="0"/>
        <w:keepLines w:val="0"/>
        <w:pageBreakBefore w:val="0"/>
        <w:widowControl w:val="0"/>
        <w:kinsoku/>
        <w:wordWrap/>
        <w:overflowPunct/>
        <w:topLinePunct w:val="0"/>
        <w:autoSpaceDE/>
        <w:autoSpaceDN/>
        <w:bidi w:val="0"/>
        <w:adjustRightInd w:val="0"/>
        <w:snapToGrid w:val="0"/>
        <w:spacing w:line="540" w:lineRule="exact"/>
        <w:ind w:right="0" w:firstLine="0" w:firstLineChars="0"/>
        <w:textAlignment w:val="auto"/>
        <w:outlineLvl w:val="1"/>
        <w:rPr>
          <w:rFonts w:hint="eastAsia" w:ascii="仿宋" w:hAnsi="仿宋" w:eastAsia="仿宋"/>
          <w:b/>
          <w:bCs/>
          <w:sz w:val="28"/>
          <w:szCs w:val="24"/>
          <w:highlight w:val="none"/>
          <w:lang w:eastAsia="zh-CN"/>
        </w:rPr>
      </w:pPr>
      <w:bookmarkStart w:id="6" w:name="_Toc449097063"/>
      <w:bookmarkStart w:id="7" w:name="_Toc447799410"/>
      <w:r>
        <w:rPr>
          <w:rFonts w:hint="eastAsia" w:ascii="仿宋" w:hAnsi="仿宋" w:eastAsia="仿宋"/>
          <w:b/>
          <w:bCs/>
          <w:sz w:val="28"/>
          <w:szCs w:val="24"/>
          <w:highlight w:val="none"/>
        </w:rPr>
        <w:t>十</w:t>
      </w:r>
      <w:r>
        <w:rPr>
          <w:rFonts w:hint="eastAsia" w:ascii="仿宋" w:hAnsi="仿宋" w:eastAsia="仿宋"/>
          <w:b/>
          <w:bCs/>
          <w:sz w:val="28"/>
          <w:szCs w:val="24"/>
          <w:highlight w:val="none"/>
          <w:lang w:val="en-US" w:eastAsia="zh-CN"/>
        </w:rPr>
        <w:t>三</w:t>
      </w:r>
      <w:r>
        <w:rPr>
          <w:rFonts w:hint="eastAsia" w:ascii="仿宋" w:hAnsi="仿宋" w:eastAsia="仿宋"/>
          <w:b/>
          <w:bCs/>
          <w:sz w:val="28"/>
          <w:szCs w:val="24"/>
          <w:highlight w:val="none"/>
        </w:rPr>
        <w:t>、</w:t>
      </w:r>
      <w:r>
        <w:rPr>
          <w:rFonts w:hint="eastAsia" w:ascii="仿宋" w:hAnsi="仿宋" w:eastAsia="仿宋"/>
          <w:b/>
          <w:bCs/>
          <w:sz w:val="28"/>
          <w:szCs w:val="24"/>
          <w:highlight w:val="none"/>
          <w:lang w:val="en-US" w:eastAsia="zh-CN"/>
        </w:rPr>
        <w:t>废标</w:t>
      </w:r>
    </w:p>
    <w:p w14:paraId="50ADCB8D">
      <w:pPr>
        <w:pStyle w:val="8"/>
        <w:pageBreakBefore w:val="0"/>
        <w:kinsoku/>
        <w:wordWrap/>
        <w:overflowPunct/>
        <w:topLinePunct w:val="0"/>
        <w:bidi w:val="0"/>
        <w:adjustRightInd w:val="0"/>
        <w:snapToGrid w:val="0"/>
        <w:spacing w:line="540" w:lineRule="exact"/>
        <w:ind w:left="0" w:leftChars="0" w:right="0" w:firstLine="560" w:firstLineChars="200"/>
        <w:outlineLvl w:val="1"/>
        <w:rPr>
          <w:rFonts w:ascii="仿宋" w:hAnsi="仿宋" w:eastAsia="仿宋"/>
          <w:sz w:val="28"/>
          <w:szCs w:val="24"/>
        </w:rPr>
      </w:pPr>
      <w:r>
        <w:rPr>
          <w:rFonts w:hint="eastAsia" w:ascii="仿宋" w:hAnsi="仿宋" w:eastAsia="仿宋"/>
          <w:sz w:val="28"/>
          <w:szCs w:val="24"/>
        </w:rPr>
        <w:t>出现下列情形之一，招标单位有权否决所有投标人的投标，并</w:t>
      </w:r>
      <w:r>
        <w:rPr>
          <w:rFonts w:hint="eastAsia" w:ascii="仿宋" w:hAnsi="仿宋" w:eastAsia="仿宋"/>
          <w:sz w:val="28"/>
          <w:szCs w:val="24"/>
          <w:lang w:val="en-US" w:eastAsia="zh-CN"/>
        </w:rPr>
        <w:t>进行废标</w:t>
      </w:r>
      <w:r>
        <w:rPr>
          <w:rFonts w:hint="eastAsia" w:ascii="仿宋" w:hAnsi="仿宋" w:eastAsia="仿宋"/>
          <w:sz w:val="28"/>
          <w:szCs w:val="24"/>
        </w:rPr>
        <w:t>：</w:t>
      </w:r>
    </w:p>
    <w:p w14:paraId="298CC5BF">
      <w:pPr>
        <w:pStyle w:val="8"/>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sz w:val="28"/>
          <w:szCs w:val="24"/>
          <w:lang w:eastAsia="zh-CN"/>
        </w:rPr>
      </w:pPr>
      <w:r>
        <w:rPr>
          <w:rFonts w:hint="eastAsia" w:ascii="仿宋" w:hAnsi="仿宋" w:eastAsia="仿宋"/>
          <w:sz w:val="28"/>
          <w:szCs w:val="24"/>
        </w:rPr>
        <w:t>（1）符合条件、或对招标文件做实质响应的供应商不足 3 家的</w:t>
      </w:r>
      <w:r>
        <w:rPr>
          <w:rFonts w:hint="eastAsia" w:ascii="仿宋" w:hAnsi="仿宋" w:eastAsia="仿宋"/>
          <w:sz w:val="28"/>
          <w:szCs w:val="24"/>
          <w:lang w:eastAsia="zh-CN"/>
        </w:rPr>
        <w:t>。</w:t>
      </w:r>
    </w:p>
    <w:p w14:paraId="3F39DB07">
      <w:pPr>
        <w:pStyle w:val="8"/>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sz w:val="28"/>
          <w:szCs w:val="24"/>
          <w:lang w:eastAsia="zh-CN"/>
        </w:rPr>
      </w:pPr>
      <w:r>
        <w:rPr>
          <w:rFonts w:hint="eastAsia" w:ascii="仿宋" w:hAnsi="仿宋" w:eastAsia="仿宋"/>
          <w:sz w:val="28"/>
          <w:szCs w:val="24"/>
          <w:lang w:eastAsia="zh-CN"/>
        </w:rPr>
        <w:t>（</w:t>
      </w:r>
      <w:r>
        <w:rPr>
          <w:rFonts w:hint="eastAsia" w:ascii="仿宋" w:hAnsi="仿宋" w:eastAsia="仿宋"/>
          <w:sz w:val="28"/>
          <w:szCs w:val="24"/>
          <w:lang w:val="en-US" w:eastAsia="zh-CN"/>
        </w:rPr>
        <w:t>2</w:t>
      </w:r>
      <w:r>
        <w:rPr>
          <w:rFonts w:hint="eastAsia" w:ascii="仿宋" w:hAnsi="仿宋" w:eastAsia="仿宋"/>
          <w:sz w:val="28"/>
          <w:szCs w:val="24"/>
          <w:lang w:eastAsia="zh-CN"/>
        </w:rPr>
        <w:t>）</w:t>
      </w:r>
      <w:r>
        <w:rPr>
          <w:rFonts w:hint="eastAsia" w:ascii="仿宋" w:hAnsi="仿宋" w:eastAsia="仿宋"/>
          <w:sz w:val="28"/>
          <w:szCs w:val="24"/>
        </w:rPr>
        <w:t>出现影响采购公正的违法违规行为的</w:t>
      </w:r>
      <w:r>
        <w:rPr>
          <w:rFonts w:hint="eastAsia" w:ascii="仿宋" w:hAnsi="仿宋" w:eastAsia="仿宋"/>
          <w:sz w:val="28"/>
          <w:szCs w:val="24"/>
          <w:lang w:eastAsia="zh-CN"/>
        </w:rPr>
        <w:t>。</w:t>
      </w:r>
    </w:p>
    <w:p w14:paraId="2E42E04B">
      <w:pPr>
        <w:pStyle w:val="8"/>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sz w:val="28"/>
          <w:szCs w:val="24"/>
          <w:lang w:eastAsia="zh-CN"/>
        </w:rPr>
      </w:pPr>
      <w:r>
        <w:rPr>
          <w:rFonts w:hint="eastAsia" w:ascii="仿宋" w:hAnsi="仿宋" w:eastAsia="仿宋"/>
          <w:sz w:val="28"/>
          <w:szCs w:val="24"/>
          <w:lang w:eastAsia="zh-CN"/>
        </w:rPr>
        <w:t>（</w:t>
      </w:r>
      <w:r>
        <w:rPr>
          <w:rFonts w:hint="eastAsia" w:ascii="仿宋" w:hAnsi="仿宋" w:eastAsia="仿宋"/>
          <w:sz w:val="28"/>
          <w:szCs w:val="24"/>
          <w:lang w:val="en-US" w:eastAsia="zh-CN"/>
        </w:rPr>
        <w:t>3</w:t>
      </w:r>
      <w:r>
        <w:rPr>
          <w:rFonts w:hint="eastAsia" w:ascii="仿宋" w:hAnsi="仿宋" w:eastAsia="仿宋"/>
          <w:sz w:val="28"/>
          <w:szCs w:val="24"/>
          <w:lang w:eastAsia="zh-CN"/>
        </w:rPr>
        <w:t>）</w:t>
      </w:r>
      <w:r>
        <w:rPr>
          <w:rFonts w:hint="eastAsia" w:ascii="仿宋" w:hAnsi="仿宋" w:eastAsia="仿宋"/>
          <w:sz w:val="28"/>
          <w:szCs w:val="24"/>
        </w:rPr>
        <w:t>不同投标人的投标文件异常一致或者投标报价呈规律性差异的</w:t>
      </w:r>
      <w:r>
        <w:rPr>
          <w:rFonts w:hint="eastAsia" w:ascii="仿宋" w:hAnsi="仿宋" w:eastAsia="仿宋"/>
          <w:sz w:val="28"/>
          <w:szCs w:val="24"/>
          <w:lang w:eastAsia="zh-CN"/>
        </w:rPr>
        <w:t>。</w:t>
      </w:r>
    </w:p>
    <w:p w14:paraId="268ADA78">
      <w:pPr>
        <w:pStyle w:val="8"/>
        <w:pageBreakBefore w:val="0"/>
        <w:kinsoku/>
        <w:wordWrap/>
        <w:overflowPunct/>
        <w:topLinePunct w:val="0"/>
        <w:bidi w:val="0"/>
        <w:adjustRightInd w:val="0"/>
        <w:snapToGrid w:val="0"/>
        <w:spacing w:line="540" w:lineRule="exact"/>
        <w:ind w:left="0" w:leftChars="0" w:right="0" w:firstLine="560" w:firstLineChars="200"/>
        <w:outlineLvl w:val="1"/>
        <w:rPr>
          <w:rFonts w:ascii="仿宋" w:hAnsi="仿宋" w:eastAsia="仿宋"/>
          <w:sz w:val="28"/>
          <w:szCs w:val="24"/>
        </w:rPr>
      </w:pPr>
      <w:r>
        <w:rPr>
          <w:rFonts w:hint="eastAsia" w:ascii="仿宋" w:hAnsi="仿宋" w:eastAsia="仿宋"/>
          <w:sz w:val="28"/>
          <w:szCs w:val="24"/>
          <w:highlight w:val="none"/>
          <w:lang w:eastAsia="zh-CN"/>
        </w:rPr>
        <w:t>（</w:t>
      </w:r>
      <w:r>
        <w:rPr>
          <w:rFonts w:hint="eastAsia" w:ascii="仿宋" w:hAnsi="仿宋" w:eastAsia="仿宋"/>
          <w:sz w:val="28"/>
          <w:szCs w:val="24"/>
          <w:highlight w:val="none"/>
          <w:lang w:val="en-US" w:eastAsia="zh-CN"/>
        </w:rPr>
        <w:t>4</w:t>
      </w:r>
      <w:r>
        <w:rPr>
          <w:rFonts w:hint="eastAsia" w:ascii="仿宋" w:hAnsi="仿宋" w:eastAsia="仿宋"/>
          <w:sz w:val="28"/>
          <w:szCs w:val="24"/>
          <w:highlight w:val="none"/>
          <w:lang w:eastAsia="zh-CN"/>
        </w:rPr>
        <w:t>）</w:t>
      </w:r>
      <w:r>
        <w:rPr>
          <w:rFonts w:hint="eastAsia" w:ascii="仿宋" w:hAnsi="仿宋" w:eastAsia="仿宋"/>
          <w:sz w:val="28"/>
          <w:szCs w:val="24"/>
          <w:highlight w:val="none"/>
        </w:rPr>
        <w:t>投标人报价均超过投标上限的</w:t>
      </w:r>
      <w:r>
        <w:rPr>
          <w:rFonts w:hint="eastAsia" w:ascii="仿宋" w:hAnsi="仿宋" w:eastAsia="仿宋"/>
          <w:sz w:val="28"/>
          <w:szCs w:val="24"/>
        </w:rPr>
        <w:t>。</w:t>
      </w:r>
    </w:p>
    <w:p w14:paraId="3736A57F">
      <w:pPr>
        <w:pStyle w:val="8"/>
        <w:keepNext w:val="0"/>
        <w:keepLines w:val="0"/>
        <w:pageBreakBefore w:val="0"/>
        <w:widowControl w:val="0"/>
        <w:kinsoku/>
        <w:wordWrap/>
        <w:overflowPunct/>
        <w:topLinePunct w:val="0"/>
        <w:autoSpaceDE/>
        <w:autoSpaceDN/>
        <w:bidi w:val="0"/>
        <w:adjustRightInd w:val="0"/>
        <w:snapToGrid w:val="0"/>
        <w:spacing w:line="540" w:lineRule="exact"/>
        <w:ind w:right="0" w:firstLine="560" w:firstLineChars="200"/>
        <w:textAlignment w:val="auto"/>
        <w:outlineLvl w:val="1"/>
        <w:rPr>
          <w:rFonts w:hint="eastAsia" w:ascii="仿宋" w:hAnsi="仿宋" w:eastAsia="仿宋"/>
          <w:sz w:val="28"/>
          <w:szCs w:val="24"/>
        </w:rPr>
      </w:pPr>
      <w:r>
        <w:rPr>
          <w:rFonts w:hint="eastAsia" w:ascii="仿宋" w:hAnsi="仿宋" w:eastAsia="仿宋"/>
          <w:sz w:val="28"/>
          <w:szCs w:val="24"/>
        </w:rPr>
        <w:t>（</w:t>
      </w:r>
      <w:r>
        <w:rPr>
          <w:rFonts w:hint="eastAsia" w:ascii="仿宋" w:hAnsi="仿宋" w:eastAsia="仿宋"/>
          <w:sz w:val="28"/>
          <w:szCs w:val="24"/>
          <w:lang w:val="en-US" w:eastAsia="zh-CN"/>
        </w:rPr>
        <w:t>5</w:t>
      </w:r>
      <w:r>
        <w:rPr>
          <w:rFonts w:hint="eastAsia" w:ascii="仿宋" w:hAnsi="仿宋" w:eastAsia="仿宋"/>
          <w:sz w:val="28"/>
          <w:szCs w:val="24"/>
        </w:rPr>
        <w:t>）因重大变故，采购任务取消的。</w:t>
      </w:r>
    </w:p>
    <w:p w14:paraId="06F92D8D">
      <w:pPr>
        <w:pStyle w:val="8"/>
        <w:adjustRightInd w:val="0"/>
        <w:snapToGrid w:val="0"/>
        <w:spacing w:line="540" w:lineRule="exact"/>
        <w:outlineLvl w:val="1"/>
        <w:rPr>
          <w:rFonts w:hint="eastAsia" w:ascii="仿宋" w:hAnsi="仿宋" w:eastAsia="仿宋" w:cs="Times New Roman"/>
          <w:b/>
          <w:bCs/>
          <w:color w:val="000000"/>
          <w:sz w:val="28"/>
          <w:szCs w:val="24"/>
          <w:lang w:val="en-US" w:eastAsia="zh-CN"/>
        </w:rPr>
      </w:pPr>
      <w:r>
        <w:rPr>
          <w:rFonts w:hint="eastAsia" w:ascii="仿宋" w:hAnsi="仿宋" w:eastAsia="仿宋" w:cs="Times New Roman"/>
          <w:b/>
          <w:bCs/>
          <w:color w:val="000000"/>
          <w:sz w:val="28"/>
          <w:szCs w:val="24"/>
          <w:lang w:val="en-US" w:eastAsia="zh-CN"/>
        </w:rPr>
        <w:t>十四、中标人瑕疵滞后发现的处理原则</w:t>
      </w:r>
    </w:p>
    <w:p w14:paraId="1B04F921">
      <w:pPr>
        <w:pStyle w:val="8"/>
        <w:pageBreakBefore w:val="0"/>
        <w:kinsoku/>
        <w:wordWrap/>
        <w:overflowPunct/>
        <w:topLinePunct w:val="0"/>
        <w:bidi w:val="0"/>
        <w:adjustRightInd w:val="0"/>
        <w:snapToGrid w:val="0"/>
        <w:spacing w:line="540" w:lineRule="exact"/>
        <w:ind w:left="0" w:leftChars="0" w:right="0" w:firstLine="560" w:firstLineChars="200"/>
        <w:outlineLvl w:val="1"/>
        <w:rPr>
          <w:rFonts w:hint="eastAsia" w:ascii="仿宋" w:hAnsi="仿宋" w:eastAsia="仿宋"/>
          <w:sz w:val="28"/>
          <w:szCs w:val="24"/>
        </w:rPr>
      </w:pPr>
      <w:r>
        <w:rPr>
          <w:rFonts w:hint="default" w:ascii="仿宋" w:hAnsi="仿宋" w:eastAsia="仿宋" w:cs="Times New Roman"/>
          <w:sz w:val="28"/>
          <w:szCs w:val="24"/>
          <w:lang w:val="en-US" w:eastAsia="zh-CN"/>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bookmarkEnd w:id="6"/>
    <w:bookmarkEnd w:id="7"/>
    <w:p w14:paraId="19182AE1">
      <w:pPr>
        <w:pStyle w:val="8"/>
        <w:pageBreakBefore w:val="0"/>
        <w:kinsoku/>
        <w:wordWrap/>
        <w:overflowPunct/>
        <w:topLinePunct w:val="0"/>
        <w:bidi w:val="0"/>
        <w:adjustRightInd w:val="0"/>
        <w:snapToGrid w:val="0"/>
        <w:spacing w:line="540" w:lineRule="exact"/>
        <w:ind w:right="0"/>
        <w:outlineLvl w:val="1"/>
        <w:rPr>
          <w:rFonts w:hint="eastAsia" w:ascii="仿宋" w:hAnsi="仿宋" w:eastAsia="仿宋"/>
          <w:b/>
          <w:bCs/>
          <w:color w:val="000000"/>
          <w:sz w:val="28"/>
          <w:szCs w:val="24"/>
          <w:highlight w:val="none"/>
        </w:rPr>
      </w:pPr>
      <w:bookmarkStart w:id="8" w:name="_Toc447799412"/>
      <w:bookmarkStart w:id="9" w:name="_Toc449097065"/>
      <w:r>
        <w:rPr>
          <w:rFonts w:hint="eastAsia" w:ascii="仿宋" w:hAnsi="仿宋" w:eastAsia="仿宋"/>
          <w:b/>
          <w:bCs/>
          <w:color w:val="000000"/>
          <w:sz w:val="28"/>
          <w:szCs w:val="24"/>
          <w:highlight w:val="none"/>
        </w:rPr>
        <w:t>十</w:t>
      </w:r>
      <w:r>
        <w:rPr>
          <w:rFonts w:hint="eastAsia" w:ascii="仿宋" w:hAnsi="仿宋" w:eastAsia="仿宋"/>
          <w:b/>
          <w:bCs/>
          <w:color w:val="000000"/>
          <w:sz w:val="28"/>
          <w:szCs w:val="24"/>
          <w:highlight w:val="none"/>
          <w:lang w:val="en-US" w:eastAsia="zh-CN"/>
        </w:rPr>
        <w:t>五</w:t>
      </w:r>
      <w:r>
        <w:rPr>
          <w:rFonts w:hint="eastAsia" w:ascii="仿宋" w:hAnsi="仿宋" w:eastAsia="仿宋"/>
          <w:b/>
          <w:bCs/>
          <w:color w:val="000000"/>
          <w:sz w:val="28"/>
          <w:szCs w:val="24"/>
          <w:highlight w:val="none"/>
        </w:rPr>
        <w:t>、中标通知</w:t>
      </w:r>
      <w:bookmarkEnd w:id="8"/>
      <w:bookmarkEnd w:id="9"/>
    </w:p>
    <w:p w14:paraId="4F8355EF">
      <w:pPr>
        <w:pStyle w:val="8"/>
        <w:keepNext w:val="0"/>
        <w:keepLines w:val="0"/>
        <w:pageBreakBefore w:val="0"/>
        <w:widowControl w:val="0"/>
        <w:kinsoku/>
        <w:wordWrap/>
        <w:overflowPunct/>
        <w:topLinePunct w:val="0"/>
        <w:autoSpaceDE/>
        <w:autoSpaceDN/>
        <w:bidi w:val="0"/>
        <w:adjustRightInd w:val="0"/>
        <w:snapToGrid w:val="0"/>
        <w:spacing w:line="540" w:lineRule="exact"/>
        <w:ind w:right="0" w:firstLine="560" w:firstLineChars="200"/>
        <w:textAlignment w:val="auto"/>
        <w:outlineLvl w:val="1"/>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1.在满足技术要求的前提下，根据商务标合理最低价中标原则确定推荐中标人。</w:t>
      </w:r>
    </w:p>
    <w:p w14:paraId="18B281B7">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lang w:eastAsia="zh-CN"/>
        </w:rPr>
        <w:t>.</w:t>
      </w:r>
      <w:r>
        <w:rPr>
          <w:rFonts w:hint="eastAsia" w:ascii="仿宋" w:hAnsi="仿宋" w:eastAsia="仿宋"/>
          <w:sz w:val="28"/>
        </w:rPr>
        <w:t>在投标有效期内，招标单位以重汽e采通网站通知所选定的中标单位。通知也可以是邮件、传真的形式，但需要随后以书面确认。</w:t>
      </w:r>
    </w:p>
    <w:p w14:paraId="025B427D">
      <w:pPr>
        <w:pageBreakBefore w:val="0"/>
        <w:kinsoku/>
        <w:wordWrap/>
        <w:overflowPunct/>
        <w:topLinePunct w:val="0"/>
        <w:bidi w:val="0"/>
        <w:adjustRightInd w:val="0"/>
        <w:snapToGrid w:val="0"/>
        <w:spacing w:line="540" w:lineRule="exact"/>
        <w:ind w:left="0" w:leftChars="0" w:right="0" w:firstLine="560" w:firstLineChars="200"/>
        <w:rPr>
          <w:rFonts w:ascii="仿宋" w:hAnsi="仿宋" w:eastAsia="仿宋"/>
          <w:sz w:val="28"/>
        </w:rPr>
      </w:pPr>
      <w:r>
        <w:rPr>
          <w:rFonts w:hint="eastAsia" w:ascii="仿宋" w:hAnsi="仿宋" w:eastAsia="仿宋"/>
          <w:sz w:val="28"/>
          <w:lang w:val="en-US" w:eastAsia="zh-CN"/>
        </w:rPr>
        <w:t>3</w:t>
      </w:r>
      <w:r>
        <w:rPr>
          <w:rFonts w:hint="eastAsia" w:ascii="仿宋" w:hAnsi="仿宋" w:eastAsia="仿宋"/>
          <w:sz w:val="28"/>
          <w:lang w:eastAsia="zh-CN"/>
        </w:rPr>
        <w:t>.</w:t>
      </w:r>
      <w:r>
        <w:rPr>
          <w:rFonts w:hint="eastAsia" w:ascii="仿宋" w:hAnsi="仿宋" w:eastAsia="仿宋"/>
          <w:sz w:val="28"/>
        </w:rPr>
        <w:t>中标单位按规定与招标方签订合同。招标方对未中标的投标单位，不作未中标的原因解释。</w:t>
      </w:r>
    </w:p>
    <w:p w14:paraId="2F85A47A">
      <w:pPr>
        <w:pStyle w:val="8"/>
        <w:pageBreakBefore w:val="0"/>
        <w:kinsoku/>
        <w:wordWrap/>
        <w:overflowPunct/>
        <w:topLinePunct w:val="0"/>
        <w:bidi w:val="0"/>
        <w:adjustRightInd w:val="0"/>
        <w:snapToGrid w:val="0"/>
        <w:spacing w:line="540" w:lineRule="exact"/>
        <w:ind w:right="0"/>
        <w:outlineLvl w:val="1"/>
        <w:rPr>
          <w:rFonts w:ascii="仿宋" w:hAnsi="仿宋" w:eastAsia="仿宋"/>
          <w:b/>
          <w:bCs/>
          <w:sz w:val="28"/>
          <w:szCs w:val="24"/>
        </w:rPr>
      </w:pPr>
      <w:bookmarkStart w:id="10" w:name="_Toc449097066"/>
      <w:bookmarkStart w:id="11" w:name="_Toc447799413"/>
      <w:r>
        <w:rPr>
          <w:rFonts w:hint="eastAsia" w:ascii="仿宋" w:hAnsi="仿宋" w:eastAsia="仿宋"/>
          <w:b/>
          <w:bCs/>
          <w:sz w:val="28"/>
          <w:szCs w:val="24"/>
        </w:rPr>
        <w:t>十</w:t>
      </w:r>
      <w:r>
        <w:rPr>
          <w:rFonts w:hint="eastAsia" w:ascii="仿宋" w:hAnsi="仿宋" w:eastAsia="仿宋"/>
          <w:b/>
          <w:bCs/>
          <w:sz w:val="28"/>
          <w:szCs w:val="24"/>
          <w:lang w:val="en-US" w:eastAsia="zh-CN"/>
        </w:rPr>
        <w:t>六</w:t>
      </w:r>
      <w:r>
        <w:rPr>
          <w:rFonts w:hint="eastAsia" w:ascii="仿宋" w:hAnsi="仿宋" w:eastAsia="仿宋"/>
          <w:b/>
          <w:bCs/>
          <w:sz w:val="28"/>
          <w:szCs w:val="24"/>
        </w:rPr>
        <w:t>、签订合同</w:t>
      </w:r>
      <w:bookmarkEnd w:id="10"/>
      <w:bookmarkEnd w:id="11"/>
      <w:r>
        <w:rPr>
          <w:rFonts w:hint="eastAsia" w:ascii="仿宋" w:hAnsi="仿宋" w:eastAsia="仿宋"/>
          <w:b/>
          <w:bCs/>
          <w:sz w:val="28"/>
          <w:szCs w:val="24"/>
        </w:rPr>
        <w:t>及</w:t>
      </w:r>
      <w:r>
        <w:rPr>
          <w:rFonts w:ascii="仿宋" w:hAnsi="仿宋" w:eastAsia="仿宋"/>
          <w:b/>
          <w:bCs/>
          <w:sz w:val="28"/>
          <w:szCs w:val="24"/>
        </w:rPr>
        <w:t>付款</w:t>
      </w:r>
    </w:p>
    <w:p w14:paraId="240D9B5C">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 w:hAnsi="仿宋" w:eastAsia="仿宋"/>
          <w:sz w:val="28"/>
        </w:rPr>
      </w:pPr>
      <w:r>
        <w:rPr>
          <w:rFonts w:hint="eastAsia" w:ascii="仿宋" w:hAnsi="仿宋" w:eastAsia="仿宋"/>
          <w:sz w:val="28"/>
        </w:rPr>
        <w:t>1</w:t>
      </w:r>
      <w:r>
        <w:rPr>
          <w:rFonts w:hint="eastAsia" w:ascii="仿宋" w:hAnsi="仿宋" w:eastAsia="仿宋"/>
          <w:sz w:val="28"/>
          <w:lang w:eastAsia="zh-CN"/>
        </w:rPr>
        <w:t>.</w:t>
      </w:r>
      <w:r>
        <w:rPr>
          <w:rFonts w:hint="eastAsia" w:ascii="仿宋" w:hAnsi="仿宋" w:eastAsia="仿宋"/>
          <w:sz w:val="28"/>
        </w:rPr>
        <w:t>中标单位应按中标通知书中规定的时间、地点与</w:t>
      </w:r>
      <w:r>
        <w:rPr>
          <w:rFonts w:hint="eastAsia" w:ascii="仿宋" w:hAnsi="仿宋" w:eastAsia="仿宋"/>
          <w:sz w:val="28"/>
          <w:lang w:val="en-US" w:eastAsia="zh-CN"/>
        </w:rPr>
        <w:t>相关单位</w:t>
      </w:r>
      <w:r>
        <w:rPr>
          <w:rFonts w:hint="eastAsia" w:ascii="仿宋" w:hAnsi="仿宋" w:eastAsia="仿宋"/>
          <w:sz w:val="28"/>
        </w:rPr>
        <w:t>签定合同，否则按开标后撤回投标处理。</w:t>
      </w:r>
    </w:p>
    <w:p w14:paraId="0DC31A11">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2.投标人所提供的单价和合价在合同实施期间不因市场变化因素而变动，投标人在计算报价时可考虑一定的风险系数；凡漏项报价者，中标后不得调整价格。</w:t>
      </w:r>
    </w:p>
    <w:p w14:paraId="755EEC10">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 w:hAnsi="仿宋" w:eastAsia="仿宋" w:cs="Times New Roman"/>
          <w:kern w:val="2"/>
          <w:sz w:val="28"/>
          <w:szCs w:val="24"/>
          <w:lang w:val="en-US" w:eastAsia="zh-CN" w:bidi="ar-SA"/>
        </w:rPr>
      </w:pPr>
      <w:r>
        <w:rPr>
          <w:rFonts w:hint="eastAsia" w:ascii="仿宋" w:hAnsi="仿宋" w:eastAsia="仿宋" w:cs="Times New Roman"/>
          <w:b/>
          <w:bCs/>
          <w:kern w:val="2"/>
          <w:sz w:val="28"/>
          <w:szCs w:val="24"/>
          <w:lang w:val="en-US" w:eastAsia="zh-CN" w:bidi="ar-SA"/>
        </w:rPr>
        <w:t>报价应明确含税价格，不含税价格以及开具发票税率</w:t>
      </w:r>
      <w:r>
        <w:rPr>
          <w:rFonts w:hint="eastAsia" w:ascii="仿宋" w:hAnsi="仿宋" w:eastAsia="仿宋" w:cs="Times New Roman"/>
          <w:kern w:val="2"/>
          <w:sz w:val="28"/>
          <w:szCs w:val="24"/>
          <w:lang w:val="en-US" w:eastAsia="zh-CN" w:bidi="ar-SA"/>
        </w:rPr>
        <w:t>。</w:t>
      </w:r>
    </w:p>
    <w:p w14:paraId="6708DEF0">
      <w:pPr>
        <w:adjustRightInd w:val="0"/>
        <w:snapToGrid w:val="0"/>
        <w:spacing w:line="54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default" w:ascii="仿宋_GB2312" w:hAnsi="仿宋_GB2312" w:eastAsia="仿宋_GB2312" w:cs="仿宋_GB2312"/>
          <w:b w:val="0"/>
          <w:bCs w:val="0"/>
          <w:sz w:val="28"/>
          <w:szCs w:val="28"/>
          <w:lang w:val="en-US" w:eastAsia="zh-CN"/>
        </w:rPr>
        <w:t>付款</w:t>
      </w:r>
      <w:r>
        <w:rPr>
          <w:rFonts w:hint="eastAsia" w:ascii="仿宋_GB2312" w:hAnsi="仿宋_GB2312" w:eastAsia="仿宋_GB2312" w:cs="仿宋_GB2312"/>
          <w:b w:val="0"/>
          <w:bCs w:val="0"/>
          <w:sz w:val="28"/>
          <w:szCs w:val="28"/>
          <w:lang w:val="en-US" w:eastAsia="zh-CN"/>
        </w:rPr>
        <w:t>方式：</w:t>
      </w:r>
    </w:p>
    <w:p w14:paraId="6E079803">
      <w:pPr>
        <w:adjustRightInd w:val="0"/>
        <w:snapToGrid w:val="0"/>
        <w:spacing w:line="540" w:lineRule="exact"/>
        <w:ind w:firstLine="560" w:firstLineChars="200"/>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按照甲方要求培训完毕，考试通过，取得相应证书</w:t>
      </w:r>
      <w:r>
        <w:rPr>
          <w:rFonts w:hint="eastAsia" w:ascii="仿宋_GB2312" w:hAnsi="仿宋_GB2312" w:eastAsia="仿宋_GB2312" w:cs="仿宋_GB2312"/>
          <w:b w:val="0"/>
          <w:bCs w:val="0"/>
          <w:sz w:val="28"/>
          <w:szCs w:val="28"/>
          <w:lang w:val="en-US" w:eastAsia="zh-CN"/>
        </w:rPr>
        <w:t>后</w:t>
      </w:r>
      <w:r>
        <w:rPr>
          <w:rFonts w:hint="default"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val="en-US" w:eastAsia="zh-CN"/>
        </w:rPr>
        <w:t>3</w:t>
      </w:r>
      <w:r>
        <w:rPr>
          <w:rFonts w:hint="default" w:ascii="仿宋_GB2312" w:hAnsi="仿宋_GB2312" w:eastAsia="仿宋_GB2312" w:cs="仿宋_GB2312"/>
          <w:b w:val="0"/>
          <w:bCs w:val="0"/>
          <w:sz w:val="28"/>
          <w:szCs w:val="28"/>
          <w:lang w:val="en-US" w:eastAsia="zh-CN"/>
        </w:rPr>
        <w:t>0</w:t>
      </w:r>
      <w:r>
        <w:rPr>
          <w:rFonts w:hint="eastAsia" w:ascii="仿宋_GB2312" w:hAnsi="仿宋_GB2312" w:eastAsia="仿宋_GB2312" w:cs="仿宋_GB2312"/>
          <w:b w:val="0"/>
          <w:bCs w:val="0"/>
          <w:sz w:val="28"/>
          <w:szCs w:val="28"/>
          <w:lang w:val="en-US" w:eastAsia="zh-CN"/>
        </w:rPr>
        <w:t>天</w:t>
      </w:r>
      <w:r>
        <w:rPr>
          <w:rFonts w:hint="default" w:ascii="仿宋_GB2312" w:hAnsi="仿宋_GB2312" w:eastAsia="仿宋_GB2312" w:cs="仿宋_GB2312"/>
          <w:b w:val="0"/>
          <w:bCs w:val="0"/>
          <w:sz w:val="28"/>
          <w:szCs w:val="28"/>
          <w:lang w:val="en-US" w:eastAsia="zh-CN"/>
        </w:rPr>
        <w:t>内结算</w:t>
      </w:r>
      <w:r>
        <w:rPr>
          <w:rFonts w:hint="eastAsia" w:ascii="仿宋_GB2312" w:hAnsi="仿宋_GB2312" w:eastAsia="仿宋_GB2312" w:cs="仿宋_GB2312"/>
          <w:b w:val="0"/>
          <w:bCs w:val="0"/>
          <w:sz w:val="28"/>
          <w:szCs w:val="28"/>
          <w:lang w:val="en-US" w:eastAsia="zh-CN"/>
        </w:rPr>
        <w:t>半年期商业汇票（银行承兑或商业承兑）</w:t>
      </w:r>
      <w:r>
        <w:rPr>
          <w:rFonts w:hint="default" w:ascii="仿宋_GB2312" w:hAnsi="仿宋_GB2312" w:eastAsia="仿宋_GB2312" w:cs="仿宋_GB2312"/>
          <w:b w:val="0"/>
          <w:bCs w:val="0"/>
          <w:sz w:val="28"/>
          <w:szCs w:val="28"/>
          <w:lang w:val="en-US" w:eastAsia="zh-CN"/>
        </w:rPr>
        <w:t>；重汽</w:t>
      </w:r>
      <w:r>
        <w:rPr>
          <w:rFonts w:hint="eastAsia" w:ascii="仿宋_GB2312" w:hAnsi="仿宋_GB2312" w:eastAsia="仿宋_GB2312" w:cs="仿宋_GB2312"/>
          <w:b w:val="0"/>
          <w:bCs w:val="0"/>
          <w:sz w:val="28"/>
          <w:szCs w:val="28"/>
          <w:lang w:val="en-US" w:eastAsia="zh-CN"/>
        </w:rPr>
        <w:t>各</w:t>
      </w:r>
      <w:r>
        <w:rPr>
          <w:rFonts w:hint="default" w:ascii="仿宋_GB2312" w:hAnsi="仿宋_GB2312" w:eastAsia="仿宋_GB2312" w:cs="仿宋_GB2312"/>
          <w:b w:val="0"/>
          <w:bCs w:val="0"/>
          <w:sz w:val="28"/>
          <w:szCs w:val="28"/>
          <w:lang w:val="en-US" w:eastAsia="zh-CN"/>
        </w:rPr>
        <w:t>二级单位根据各公司付款规定，进行</w:t>
      </w:r>
      <w:r>
        <w:rPr>
          <w:rFonts w:hint="eastAsia" w:ascii="仿宋_GB2312" w:hAnsi="仿宋_GB2312" w:eastAsia="仿宋_GB2312" w:cs="仿宋_GB2312"/>
          <w:b w:val="0"/>
          <w:bCs w:val="0"/>
          <w:sz w:val="28"/>
          <w:szCs w:val="28"/>
          <w:lang w:val="en-US" w:eastAsia="zh-CN"/>
        </w:rPr>
        <w:t>商业汇票（银行承兑或商业承兑）</w:t>
      </w:r>
      <w:r>
        <w:rPr>
          <w:rFonts w:hint="default" w:ascii="仿宋_GB2312" w:hAnsi="仿宋_GB2312" w:eastAsia="仿宋_GB2312" w:cs="仿宋_GB2312"/>
          <w:b w:val="0"/>
          <w:bCs w:val="0"/>
          <w:sz w:val="28"/>
          <w:szCs w:val="28"/>
          <w:lang w:val="en-US" w:eastAsia="zh-CN"/>
        </w:rPr>
        <w:t>付款</w:t>
      </w:r>
      <w:r>
        <w:rPr>
          <w:rFonts w:hint="eastAsia" w:ascii="仿宋_GB2312" w:hAnsi="仿宋_GB2312" w:eastAsia="仿宋_GB2312" w:cs="仿宋_GB2312"/>
          <w:b w:val="0"/>
          <w:bCs w:val="0"/>
          <w:sz w:val="28"/>
          <w:szCs w:val="28"/>
          <w:lang w:val="en-US" w:eastAsia="zh-CN"/>
        </w:rPr>
        <w:t>。（具体付款条件以项目实施单位签订合同为准）</w:t>
      </w:r>
    </w:p>
    <w:p w14:paraId="78EA33EB">
      <w:pPr>
        <w:pStyle w:val="2"/>
        <w:ind w:left="0" w:leftChars="0" w:firstLine="56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4.合同以双方最终签署的版本为准。</w:t>
      </w:r>
    </w:p>
    <w:p w14:paraId="16E706B2">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十七、解释权</w:t>
      </w:r>
    </w:p>
    <w:p w14:paraId="2668E27E">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仿宋_GB2312" w:hAnsi="仿宋_GB2312" w:eastAsia="仿宋_GB2312" w:cs="仿宋_GB2312"/>
          <w:b w:val="0"/>
          <w:bCs w:val="0"/>
          <w:sz w:val="28"/>
          <w:szCs w:val="28"/>
          <w:lang w:val="en-US" w:eastAsia="zh-CN"/>
        </w:rPr>
        <w:t>本招标文件的最终解释权归招标方，当对一个问题有多种解释时以采购人的书面解释为准。采购文件未做须知明示，而又有相关法律、法规规定的，招标方对此所做解释以相关的法律、法规规定为依据。</w:t>
      </w:r>
    </w:p>
    <w:p w14:paraId="1C20117D">
      <w:pPr>
        <w:pStyle w:val="8"/>
        <w:adjustRightInd w:val="0"/>
        <w:snapToGrid w:val="0"/>
        <w:spacing w:line="540" w:lineRule="exact"/>
        <w:outlineLvl w:val="1"/>
        <w:rPr>
          <w:rStyle w:val="13"/>
          <w:rFonts w:hint="eastAsia" w:ascii="仿宋_GB2312" w:hAnsi="华文仿宋" w:eastAsia="仿宋_GB2312"/>
          <w:sz w:val="24"/>
          <w:szCs w:val="28"/>
        </w:rPr>
      </w:pPr>
      <w:bookmarkStart w:id="12" w:name="_Toc449097068"/>
      <w:r>
        <w:rPr>
          <w:rStyle w:val="13"/>
          <w:rFonts w:hint="eastAsia" w:ascii="仿宋_GB2312" w:hAnsi="华文仿宋" w:eastAsia="仿宋_GB2312"/>
          <w:sz w:val="24"/>
          <w:szCs w:val="28"/>
        </w:rPr>
        <w:t>附件</w:t>
      </w:r>
      <w:r>
        <w:rPr>
          <w:rStyle w:val="13"/>
          <w:rFonts w:ascii="仿宋_GB2312" w:hAnsi="华文仿宋" w:eastAsia="仿宋_GB2312"/>
          <w:sz w:val="24"/>
          <w:szCs w:val="28"/>
        </w:rPr>
        <w:t>一</w:t>
      </w:r>
      <w:bookmarkEnd w:id="12"/>
    </w:p>
    <w:p w14:paraId="50725CB7">
      <w:pPr>
        <w:adjustRightInd w:val="0"/>
        <w:snapToGrid w:val="0"/>
        <w:spacing w:line="540" w:lineRule="exact"/>
        <w:ind w:firstLine="803" w:firstLineChars="200"/>
        <w:jc w:val="center"/>
        <w:rPr>
          <w:rFonts w:hint="eastAsia" w:ascii="方正小标宋简体" w:eastAsia="方正小标宋简体"/>
          <w:b/>
          <w:sz w:val="40"/>
          <w:szCs w:val="44"/>
        </w:rPr>
      </w:pPr>
      <w:r>
        <w:rPr>
          <w:rFonts w:hint="eastAsia" w:ascii="方正小标宋简体" w:eastAsia="方正小标宋简体"/>
          <w:b/>
          <w:sz w:val="40"/>
          <w:szCs w:val="44"/>
        </w:rPr>
        <w:t>投标函</w:t>
      </w:r>
    </w:p>
    <w:p w14:paraId="4B1739B3">
      <w:pPr>
        <w:adjustRightInd w:val="0"/>
        <w:snapToGrid w:val="0"/>
        <w:spacing w:line="540" w:lineRule="exact"/>
        <w:rPr>
          <w:rFonts w:hint="eastAsia" w:ascii="仿宋" w:hAnsi="仿宋" w:eastAsia="仿宋"/>
          <w:sz w:val="24"/>
          <w:szCs w:val="28"/>
          <w:u w:val="single"/>
        </w:rPr>
      </w:pPr>
      <w:r>
        <w:rPr>
          <w:rFonts w:hint="eastAsia" w:ascii="仿宋" w:hAnsi="仿宋" w:eastAsia="仿宋"/>
          <w:sz w:val="24"/>
          <w:szCs w:val="28"/>
          <w:u w:val="single"/>
        </w:rPr>
        <w:t>中国重汽集团济南动力有限公司：</w:t>
      </w:r>
    </w:p>
    <w:p w14:paraId="599DF815">
      <w:pPr>
        <w:adjustRightInd w:val="0"/>
        <w:snapToGrid w:val="0"/>
        <w:spacing w:line="540" w:lineRule="exact"/>
        <w:ind w:firstLine="480" w:firstLineChars="200"/>
        <w:rPr>
          <w:rFonts w:ascii="仿宋" w:hAnsi="仿宋" w:eastAsia="仿宋"/>
          <w:sz w:val="24"/>
          <w:szCs w:val="28"/>
        </w:rPr>
      </w:pPr>
      <w:r>
        <w:rPr>
          <w:rFonts w:ascii="仿宋" w:hAnsi="仿宋" w:eastAsia="仿宋"/>
          <w:sz w:val="24"/>
          <w:szCs w:val="28"/>
        </w:rPr>
        <w:t>1．我</w:t>
      </w:r>
      <w:r>
        <w:rPr>
          <w:rFonts w:hint="eastAsia" w:ascii="仿宋" w:hAnsi="仿宋" w:eastAsia="仿宋"/>
          <w:sz w:val="24"/>
          <w:szCs w:val="28"/>
        </w:rPr>
        <w:t>单位</w:t>
      </w:r>
      <w:r>
        <w:rPr>
          <w:rFonts w:ascii="仿宋" w:hAnsi="仿宋" w:eastAsia="仿宋"/>
          <w:sz w:val="24"/>
          <w:szCs w:val="28"/>
        </w:rPr>
        <w:t>已仔细研究了</w:t>
      </w:r>
      <w:r>
        <w:rPr>
          <w:rFonts w:hint="eastAsia" w:ascii="仿宋" w:hAnsi="仿宋" w:eastAsia="仿宋"/>
          <w:sz w:val="24"/>
          <w:szCs w:val="28"/>
          <w:u w:val="single"/>
          <w:lang w:val="en-US" w:eastAsia="zh-CN"/>
        </w:rPr>
        <w:t>2025年消防类培训服务项目</w:t>
      </w:r>
      <w:r>
        <w:rPr>
          <w:rFonts w:ascii="仿宋" w:hAnsi="仿宋" w:eastAsia="仿宋"/>
          <w:sz w:val="24"/>
          <w:szCs w:val="28"/>
        </w:rPr>
        <w:t>招标文件的全部内容，愿意</w:t>
      </w:r>
      <w:r>
        <w:rPr>
          <w:rFonts w:hint="eastAsia" w:ascii="仿宋" w:hAnsi="仿宋" w:eastAsia="仿宋"/>
          <w:sz w:val="24"/>
          <w:szCs w:val="28"/>
          <w:lang w:val="en-US" w:eastAsia="zh-CN"/>
        </w:rPr>
        <w:t>参加本次投标活动</w:t>
      </w:r>
      <w:r>
        <w:rPr>
          <w:rFonts w:ascii="仿宋" w:hAnsi="仿宋" w:eastAsia="仿宋"/>
          <w:sz w:val="24"/>
          <w:szCs w:val="28"/>
        </w:rPr>
        <w:t>，</w:t>
      </w:r>
      <w:r>
        <w:rPr>
          <w:rFonts w:hint="eastAsia" w:ascii="仿宋" w:hAnsi="仿宋" w:eastAsia="仿宋"/>
          <w:sz w:val="24"/>
          <w:szCs w:val="28"/>
        </w:rPr>
        <w:t>响应招标文件所有内容要求，并</w:t>
      </w:r>
      <w:r>
        <w:rPr>
          <w:rFonts w:ascii="仿宋" w:hAnsi="仿宋" w:eastAsia="仿宋"/>
          <w:sz w:val="24"/>
          <w:szCs w:val="28"/>
        </w:rPr>
        <w:t>按合同约定</w:t>
      </w:r>
      <w:r>
        <w:rPr>
          <w:rFonts w:hint="eastAsia" w:ascii="仿宋" w:hAnsi="仿宋" w:eastAsia="仿宋"/>
          <w:sz w:val="24"/>
          <w:szCs w:val="28"/>
          <w:lang w:val="en-US" w:eastAsia="zh-CN"/>
        </w:rPr>
        <w:t>履行责任和义务</w:t>
      </w:r>
      <w:r>
        <w:rPr>
          <w:rFonts w:ascii="仿宋" w:hAnsi="仿宋" w:eastAsia="仿宋"/>
          <w:sz w:val="24"/>
          <w:szCs w:val="28"/>
        </w:rPr>
        <w:t>。</w:t>
      </w:r>
    </w:p>
    <w:p w14:paraId="579AB1BE">
      <w:pPr>
        <w:adjustRightInd w:val="0"/>
        <w:snapToGrid w:val="0"/>
        <w:spacing w:line="540" w:lineRule="exact"/>
        <w:ind w:firstLine="480" w:firstLineChars="200"/>
        <w:rPr>
          <w:rFonts w:ascii="仿宋" w:hAnsi="仿宋" w:eastAsia="仿宋"/>
          <w:sz w:val="24"/>
          <w:szCs w:val="28"/>
        </w:rPr>
      </w:pPr>
      <w:r>
        <w:rPr>
          <w:rFonts w:ascii="仿宋" w:hAnsi="仿宋" w:eastAsia="仿宋"/>
          <w:sz w:val="24"/>
          <w:szCs w:val="28"/>
        </w:rPr>
        <w:t>2．我单位方承诺在投标有效期内不修改、撤销投标文件。</w:t>
      </w:r>
    </w:p>
    <w:p w14:paraId="31CDAAC8">
      <w:pPr>
        <w:adjustRightInd w:val="0"/>
        <w:snapToGrid w:val="0"/>
        <w:spacing w:line="540" w:lineRule="exact"/>
        <w:ind w:firstLine="480" w:firstLineChars="200"/>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．如我</w:t>
      </w:r>
      <w:r>
        <w:rPr>
          <w:rFonts w:hint="eastAsia" w:ascii="仿宋" w:hAnsi="仿宋" w:eastAsia="仿宋"/>
          <w:sz w:val="24"/>
          <w:szCs w:val="28"/>
        </w:rPr>
        <w:t>单位</w:t>
      </w:r>
      <w:r>
        <w:rPr>
          <w:rFonts w:ascii="仿宋" w:hAnsi="仿宋" w:eastAsia="仿宋"/>
          <w:sz w:val="24"/>
          <w:szCs w:val="28"/>
        </w:rPr>
        <w:t>中标：</w:t>
      </w:r>
    </w:p>
    <w:p w14:paraId="6C9E1E7D">
      <w:pPr>
        <w:adjustRightInd w:val="0"/>
        <w:snapToGrid w:val="0"/>
        <w:spacing w:line="540" w:lineRule="exact"/>
        <w:ind w:firstLine="480" w:firstLineChars="200"/>
        <w:rPr>
          <w:rFonts w:ascii="仿宋" w:hAnsi="仿宋" w:eastAsia="仿宋"/>
          <w:sz w:val="24"/>
          <w:szCs w:val="28"/>
        </w:rPr>
      </w:pPr>
      <w:r>
        <w:rPr>
          <w:rFonts w:ascii="仿宋" w:hAnsi="仿宋" w:eastAsia="仿宋"/>
          <w:sz w:val="24"/>
          <w:szCs w:val="28"/>
        </w:rPr>
        <w:t>（1）我</w:t>
      </w:r>
      <w:r>
        <w:rPr>
          <w:rFonts w:hint="eastAsia" w:ascii="仿宋" w:hAnsi="仿宋" w:eastAsia="仿宋"/>
          <w:sz w:val="24"/>
          <w:szCs w:val="28"/>
        </w:rPr>
        <w:t>单位</w:t>
      </w:r>
      <w:r>
        <w:rPr>
          <w:rFonts w:ascii="仿宋" w:hAnsi="仿宋" w:eastAsia="仿宋"/>
          <w:sz w:val="24"/>
          <w:szCs w:val="28"/>
        </w:rPr>
        <w:t>承诺在收到中标通知书后，在中标通知书规定的期限内与</w:t>
      </w:r>
      <w:r>
        <w:rPr>
          <w:rFonts w:hint="eastAsia" w:ascii="仿宋" w:hAnsi="仿宋" w:eastAsia="仿宋"/>
          <w:sz w:val="24"/>
          <w:szCs w:val="28"/>
        </w:rPr>
        <w:t>贵单位</w:t>
      </w:r>
      <w:r>
        <w:rPr>
          <w:rFonts w:ascii="仿宋" w:hAnsi="仿宋" w:eastAsia="仿宋"/>
          <w:sz w:val="24"/>
          <w:szCs w:val="28"/>
        </w:rPr>
        <w:t>签订合同。</w:t>
      </w:r>
    </w:p>
    <w:p w14:paraId="7C0AF282">
      <w:pPr>
        <w:adjustRightInd w:val="0"/>
        <w:snapToGrid w:val="0"/>
        <w:spacing w:line="540" w:lineRule="exact"/>
        <w:ind w:firstLine="480" w:firstLineChars="200"/>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2</w:t>
      </w:r>
      <w:r>
        <w:rPr>
          <w:rFonts w:ascii="仿宋" w:hAnsi="仿宋" w:eastAsia="仿宋"/>
          <w:sz w:val="24"/>
          <w:szCs w:val="28"/>
        </w:rPr>
        <w:t>）我</w:t>
      </w:r>
      <w:r>
        <w:rPr>
          <w:rFonts w:hint="eastAsia" w:ascii="仿宋" w:hAnsi="仿宋" w:eastAsia="仿宋"/>
          <w:sz w:val="24"/>
          <w:szCs w:val="28"/>
        </w:rPr>
        <w:t>单位</w:t>
      </w:r>
      <w:r>
        <w:rPr>
          <w:rFonts w:ascii="仿宋" w:hAnsi="仿宋" w:eastAsia="仿宋"/>
          <w:sz w:val="24"/>
          <w:szCs w:val="28"/>
        </w:rPr>
        <w:t>承诺按照招标文件规定向你方递交履约担保。</w:t>
      </w:r>
    </w:p>
    <w:p w14:paraId="787E02EE">
      <w:pPr>
        <w:adjustRightInd w:val="0"/>
        <w:snapToGrid w:val="0"/>
        <w:spacing w:line="540" w:lineRule="exact"/>
        <w:ind w:firstLine="480" w:firstLineChars="200"/>
        <w:rPr>
          <w:rFonts w:hint="eastAsia" w:ascii="仿宋" w:hAnsi="仿宋" w:eastAsia="仿宋"/>
          <w:sz w:val="24"/>
          <w:szCs w:val="28"/>
        </w:rPr>
      </w:pPr>
      <w:r>
        <w:rPr>
          <w:rFonts w:hint="eastAsia" w:ascii="仿宋" w:hAnsi="仿宋" w:eastAsia="仿宋"/>
          <w:sz w:val="24"/>
          <w:szCs w:val="28"/>
        </w:rPr>
        <w:t>4</w:t>
      </w:r>
      <w:r>
        <w:rPr>
          <w:rFonts w:ascii="仿宋" w:hAnsi="仿宋" w:eastAsia="仿宋"/>
          <w:sz w:val="24"/>
          <w:szCs w:val="28"/>
        </w:rPr>
        <w:t>．</w:t>
      </w:r>
      <w:r>
        <w:rPr>
          <w:rFonts w:hint="eastAsia" w:ascii="仿宋" w:hAnsi="仿宋" w:eastAsia="仿宋"/>
          <w:sz w:val="24"/>
          <w:szCs w:val="28"/>
        </w:rPr>
        <w:t>我单位在此声明，所递交的投标文件及有关资料内容完整、真实和准确。</w:t>
      </w:r>
    </w:p>
    <w:p w14:paraId="66A36F63">
      <w:pPr>
        <w:adjustRightInd w:val="0"/>
        <w:snapToGrid w:val="0"/>
        <w:spacing w:line="540" w:lineRule="exact"/>
        <w:ind w:firstLine="480" w:firstLineChars="200"/>
        <w:rPr>
          <w:rFonts w:ascii="仿宋" w:hAnsi="仿宋" w:eastAsia="仿宋"/>
          <w:sz w:val="24"/>
          <w:szCs w:val="28"/>
        </w:rPr>
      </w:pPr>
      <w:r>
        <w:rPr>
          <w:rFonts w:hint="eastAsia" w:ascii="仿宋" w:hAnsi="仿宋" w:eastAsia="仿宋"/>
          <w:sz w:val="24"/>
          <w:szCs w:val="28"/>
        </w:rPr>
        <w:t>5．</w:t>
      </w:r>
      <w:r>
        <w:rPr>
          <w:rFonts w:ascii="仿宋" w:hAnsi="仿宋" w:eastAsia="仿宋"/>
          <w:sz w:val="24"/>
          <w:szCs w:val="28"/>
          <w:u w:val="single"/>
        </w:rPr>
        <w:t xml:space="preserve">                                       </w:t>
      </w:r>
      <w:r>
        <w:rPr>
          <w:rFonts w:ascii="仿宋" w:hAnsi="仿宋" w:eastAsia="仿宋"/>
          <w:sz w:val="24"/>
          <w:szCs w:val="28"/>
        </w:rPr>
        <w:t>（</w:t>
      </w:r>
      <w:r>
        <w:rPr>
          <w:rFonts w:hint="eastAsia" w:ascii="仿宋" w:hAnsi="仿宋" w:eastAsia="仿宋"/>
          <w:sz w:val="24"/>
          <w:szCs w:val="28"/>
        </w:rPr>
        <w:t>其他</w:t>
      </w:r>
      <w:r>
        <w:rPr>
          <w:rFonts w:ascii="仿宋" w:hAnsi="仿宋" w:eastAsia="仿宋"/>
          <w:sz w:val="24"/>
          <w:szCs w:val="28"/>
        </w:rPr>
        <w:t>补充说明）。</w:t>
      </w:r>
    </w:p>
    <w:p w14:paraId="4DB93CC8">
      <w:pPr>
        <w:adjustRightInd w:val="0"/>
        <w:snapToGrid w:val="0"/>
        <w:spacing w:line="540" w:lineRule="exact"/>
        <w:ind w:right="-101" w:firstLine="480" w:firstLineChars="200"/>
        <w:jc w:val="left"/>
        <w:rPr>
          <w:rFonts w:hint="eastAsia" w:ascii="仿宋" w:hAnsi="仿宋" w:eastAsia="仿宋"/>
          <w:sz w:val="24"/>
          <w:szCs w:val="28"/>
        </w:rPr>
      </w:pPr>
      <w:r>
        <w:rPr>
          <w:rFonts w:ascii="仿宋" w:hAnsi="仿宋" w:eastAsia="仿宋"/>
          <w:sz w:val="24"/>
          <w:szCs w:val="28"/>
        </w:rPr>
        <w:t>投 标 人：</w:t>
      </w:r>
      <w:r>
        <w:rPr>
          <w:rFonts w:ascii="仿宋" w:hAnsi="仿宋" w:eastAsia="仿宋"/>
          <w:sz w:val="24"/>
          <w:szCs w:val="28"/>
          <w:u w:val="single"/>
        </w:rPr>
        <w:t xml:space="preserve">                      </w:t>
      </w:r>
      <w:r>
        <w:rPr>
          <w:rFonts w:ascii="仿宋" w:hAnsi="仿宋" w:eastAsia="仿宋"/>
          <w:sz w:val="24"/>
          <w:szCs w:val="28"/>
        </w:rPr>
        <w:t>（盖单位章）</w:t>
      </w:r>
    </w:p>
    <w:p w14:paraId="4CF0C310">
      <w:pPr>
        <w:adjustRightInd w:val="0"/>
        <w:snapToGrid w:val="0"/>
        <w:spacing w:line="540" w:lineRule="exact"/>
        <w:ind w:firstLine="480" w:firstLineChars="200"/>
        <w:jc w:val="left"/>
        <w:rPr>
          <w:rFonts w:hint="eastAsia" w:ascii="仿宋" w:hAnsi="仿宋" w:eastAsia="仿宋"/>
          <w:sz w:val="24"/>
          <w:szCs w:val="28"/>
        </w:rPr>
      </w:pPr>
      <w:r>
        <w:rPr>
          <w:rFonts w:ascii="仿宋" w:hAnsi="仿宋" w:eastAsia="仿宋"/>
          <w:sz w:val="24"/>
          <w:szCs w:val="28"/>
        </w:rPr>
        <w:t>法定代表人或其委托代理人：</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ascii="仿宋" w:hAnsi="仿宋" w:eastAsia="仿宋"/>
          <w:sz w:val="24"/>
          <w:szCs w:val="28"/>
        </w:rPr>
        <w:t>（签字）</w:t>
      </w:r>
    </w:p>
    <w:p w14:paraId="698FC477">
      <w:pPr>
        <w:adjustRightInd w:val="0"/>
        <w:snapToGrid w:val="0"/>
        <w:spacing w:line="540" w:lineRule="exact"/>
        <w:ind w:firstLine="480" w:firstLineChars="200"/>
        <w:jc w:val="left"/>
        <w:rPr>
          <w:rFonts w:hint="eastAsia" w:ascii="仿宋" w:hAnsi="仿宋" w:eastAsia="仿宋"/>
          <w:sz w:val="24"/>
          <w:szCs w:val="28"/>
        </w:rPr>
      </w:pPr>
      <w:r>
        <w:rPr>
          <w:rFonts w:ascii="仿宋" w:hAnsi="仿宋" w:eastAsia="仿宋"/>
          <w:sz w:val="24"/>
          <w:szCs w:val="28"/>
        </w:rPr>
        <w:t>地址：</w:t>
      </w:r>
      <w:r>
        <w:rPr>
          <w:rFonts w:ascii="仿宋" w:hAnsi="仿宋" w:eastAsia="仿宋"/>
          <w:sz w:val="24"/>
          <w:szCs w:val="28"/>
          <w:u w:val="single"/>
        </w:rPr>
        <w:t xml:space="preserve">                                     </w:t>
      </w:r>
    </w:p>
    <w:p w14:paraId="5C526BBC">
      <w:pPr>
        <w:adjustRightInd w:val="0"/>
        <w:snapToGrid w:val="0"/>
        <w:spacing w:line="540" w:lineRule="exact"/>
        <w:ind w:firstLine="480" w:firstLineChars="200"/>
        <w:jc w:val="left"/>
        <w:rPr>
          <w:rFonts w:hint="eastAsia" w:ascii="仿宋" w:hAnsi="仿宋" w:eastAsia="仿宋"/>
          <w:sz w:val="24"/>
          <w:szCs w:val="28"/>
        </w:rPr>
      </w:pPr>
      <w:r>
        <w:rPr>
          <w:rFonts w:ascii="仿宋" w:hAnsi="仿宋" w:eastAsia="仿宋"/>
          <w:sz w:val="24"/>
          <w:szCs w:val="28"/>
        </w:rPr>
        <w:t>电话：</w:t>
      </w:r>
      <w:r>
        <w:rPr>
          <w:rFonts w:ascii="仿宋" w:hAnsi="仿宋" w:eastAsia="仿宋"/>
          <w:sz w:val="24"/>
          <w:szCs w:val="28"/>
          <w:u w:val="single"/>
        </w:rPr>
        <w:t xml:space="preserve">                                     </w:t>
      </w:r>
    </w:p>
    <w:p w14:paraId="5F22117B">
      <w:pPr>
        <w:adjustRightInd w:val="0"/>
        <w:snapToGrid w:val="0"/>
        <w:spacing w:line="540" w:lineRule="exact"/>
        <w:ind w:firstLine="480" w:firstLineChars="200"/>
        <w:jc w:val="left"/>
        <w:rPr>
          <w:rFonts w:hint="eastAsia" w:ascii="仿宋" w:hAnsi="仿宋" w:eastAsia="仿宋"/>
          <w:sz w:val="24"/>
          <w:szCs w:val="28"/>
        </w:rPr>
      </w:pPr>
      <w:r>
        <w:rPr>
          <w:rFonts w:ascii="仿宋" w:hAnsi="仿宋" w:eastAsia="仿宋"/>
          <w:sz w:val="24"/>
          <w:szCs w:val="28"/>
        </w:rPr>
        <w:t>传真：</w:t>
      </w:r>
      <w:r>
        <w:rPr>
          <w:rFonts w:ascii="仿宋" w:hAnsi="仿宋" w:eastAsia="仿宋"/>
          <w:sz w:val="24"/>
          <w:szCs w:val="28"/>
          <w:u w:val="single"/>
        </w:rPr>
        <w:t xml:space="preserve">                                     </w:t>
      </w:r>
    </w:p>
    <w:p w14:paraId="5E069014">
      <w:pPr>
        <w:adjustRightInd w:val="0"/>
        <w:snapToGrid w:val="0"/>
        <w:spacing w:line="540" w:lineRule="exact"/>
        <w:ind w:firstLine="480" w:firstLineChars="200"/>
        <w:jc w:val="right"/>
        <w:rPr>
          <w:rFonts w:hint="eastAsia" w:ascii="仿宋" w:hAnsi="仿宋" w:eastAsia="仿宋"/>
          <w:sz w:val="24"/>
          <w:szCs w:val="28"/>
          <w:u w:val="single"/>
        </w:rPr>
      </w:pPr>
    </w:p>
    <w:p w14:paraId="78C7CEBB">
      <w:pPr>
        <w:adjustRightInd w:val="0"/>
        <w:snapToGrid w:val="0"/>
        <w:spacing w:line="540" w:lineRule="exact"/>
        <w:ind w:firstLine="480" w:firstLineChars="200"/>
        <w:jc w:val="right"/>
        <w:rPr>
          <w:rFonts w:ascii="仿宋" w:hAnsi="仿宋" w:eastAsia="仿宋"/>
          <w:sz w:val="24"/>
          <w:szCs w:val="28"/>
        </w:rPr>
      </w:pPr>
      <w:r>
        <w:rPr>
          <w:rFonts w:hint="eastAsia" w:ascii="仿宋" w:hAnsi="仿宋" w:eastAsia="仿宋"/>
          <w:sz w:val="24"/>
          <w:szCs w:val="28"/>
          <w:u w:val="single"/>
        </w:rPr>
        <w:t xml:space="preserve">        </w:t>
      </w:r>
      <w:r>
        <w:rPr>
          <w:rFonts w:ascii="仿宋" w:hAnsi="仿宋" w:eastAsia="仿宋"/>
          <w:sz w:val="24"/>
          <w:szCs w:val="28"/>
        </w:rPr>
        <w:t>年</w:t>
      </w:r>
      <w:r>
        <w:rPr>
          <w:rFonts w:hint="eastAsia" w:ascii="仿宋" w:hAnsi="仿宋" w:eastAsia="仿宋"/>
          <w:sz w:val="24"/>
          <w:szCs w:val="28"/>
          <w:u w:val="single"/>
        </w:rPr>
        <w:t xml:space="preserve">        </w:t>
      </w:r>
      <w:r>
        <w:rPr>
          <w:rFonts w:ascii="仿宋" w:hAnsi="仿宋" w:eastAsia="仿宋"/>
          <w:sz w:val="24"/>
          <w:szCs w:val="28"/>
        </w:rPr>
        <w:t>月</w:t>
      </w:r>
      <w:r>
        <w:rPr>
          <w:rFonts w:hint="eastAsia" w:ascii="仿宋" w:hAnsi="仿宋" w:eastAsia="仿宋"/>
          <w:sz w:val="24"/>
          <w:szCs w:val="28"/>
          <w:u w:val="single"/>
        </w:rPr>
        <w:t xml:space="preserve">        </w:t>
      </w:r>
      <w:r>
        <w:rPr>
          <w:rFonts w:ascii="仿宋" w:hAnsi="仿宋" w:eastAsia="仿宋"/>
          <w:sz w:val="24"/>
          <w:szCs w:val="28"/>
        </w:rPr>
        <w:t>日</w:t>
      </w:r>
    </w:p>
    <w:p w14:paraId="23DA107C">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06CD6C8">
      <w:pPr>
        <w:pStyle w:val="8"/>
        <w:adjustRightInd w:val="0"/>
        <w:snapToGrid w:val="0"/>
        <w:spacing w:line="540" w:lineRule="exact"/>
        <w:outlineLvl w:val="1"/>
        <w:rPr>
          <w:rStyle w:val="13"/>
          <w:rFonts w:ascii="仿宋" w:hAnsi="仿宋" w:eastAsia="仿宋"/>
          <w:sz w:val="24"/>
          <w:szCs w:val="28"/>
        </w:rPr>
      </w:pPr>
      <w:bookmarkStart w:id="13" w:name="_Toc449097069"/>
      <w:r>
        <w:rPr>
          <w:rStyle w:val="13"/>
          <w:rFonts w:hint="eastAsia" w:ascii="仿宋_GB2312" w:hAnsi="华文仿宋" w:eastAsia="仿宋_GB2312"/>
          <w:sz w:val="24"/>
          <w:szCs w:val="28"/>
        </w:rPr>
        <w:t>附件二</w:t>
      </w:r>
      <w:bookmarkEnd w:id="13"/>
    </w:p>
    <w:p w14:paraId="0FD94C38">
      <w:pPr>
        <w:spacing w:line="540" w:lineRule="exact"/>
        <w:ind w:firstLine="480" w:firstLineChars="200"/>
        <w:jc w:val="center"/>
        <w:rPr>
          <w:rFonts w:ascii="仿宋" w:hAnsi="仿宋" w:eastAsia="仿宋"/>
          <w:bCs/>
          <w:sz w:val="24"/>
        </w:rPr>
      </w:pPr>
      <w:r>
        <w:rPr>
          <w:rFonts w:hint="eastAsia" w:ascii="仿宋" w:hAnsi="仿宋" w:eastAsia="仿宋"/>
          <w:bCs/>
          <w:sz w:val="24"/>
        </w:rPr>
        <w:t>法人代表授权书</w:t>
      </w:r>
    </w:p>
    <w:p w14:paraId="11DD9615">
      <w:pPr>
        <w:pStyle w:val="7"/>
        <w:spacing w:before="0" w:line="540" w:lineRule="exact"/>
        <w:rPr>
          <w:rFonts w:ascii="仿宋" w:hAnsi="仿宋" w:eastAsia="仿宋"/>
          <w:szCs w:val="24"/>
        </w:rPr>
      </w:pPr>
    </w:p>
    <w:p w14:paraId="026028BF">
      <w:pPr>
        <w:pStyle w:val="7"/>
        <w:spacing w:before="0" w:line="540" w:lineRule="exact"/>
        <w:ind w:firstLine="480" w:firstLineChars="200"/>
        <w:rPr>
          <w:rFonts w:ascii="仿宋" w:hAnsi="仿宋" w:eastAsia="仿宋"/>
          <w:b/>
          <w:szCs w:val="24"/>
        </w:rPr>
      </w:pPr>
      <w:r>
        <w:rPr>
          <w:rFonts w:hint="eastAsia" w:ascii="仿宋" w:hAnsi="仿宋" w:eastAsia="仿宋"/>
          <w:u w:val="single"/>
        </w:rPr>
        <w:t xml:space="preserve">                   :</w:t>
      </w:r>
    </w:p>
    <w:p w14:paraId="71312D8E">
      <w:pPr>
        <w:tabs>
          <w:tab w:val="left" w:pos="6663"/>
        </w:tabs>
        <w:spacing w:line="540" w:lineRule="exact"/>
        <w:ind w:firstLine="480" w:firstLineChars="200"/>
        <w:rPr>
          <w:rFonts w:ascii="仿宋" w:hAnsi="仿宋" w:eastAsia="仿宋"/>
          <w:sz w:val="24"/>
        </w:rPr>
      </w:pPr>
      <w:r>
        <w:rPr>
          <w:rFonts w:hint="eastAsia" w:ascii="仿宋" w:hAnsi="仿宋" w:eastAsia="仿宋"/>
          <w:sz w:val="24"/>
        </w:rPr>
        <w:t>本授权委托书声明：我</w:t>
      </w:r>
      <w:r>
        <w:rPr>
          <w:rFonts w:hint="eastAsia" w:ascii="仿宋" w:hAnsi="仿宋" w:eastAsia="仿宋"/>
          <w:sz w:val="24"/>
          <w:u w:val="single"/>
        </w:rPr>
        <w:t xml:space="preserve">          </w:t>
      </w:r>
      <w:r>
        <w:rPr>
          <w:rFonts w:hint="eastAsia" w:ascii="仿宋" w:hAnsi="仿宋" w:eastAsia="仿宋"/>
          <w:sz w:val="24"/>
        </w:rPr>
        <w:t>系</w:t>
      </w:r>
      <w:r>
        <w:rPr>
          <w:rFonts w:hint="eastAsia" w:ascii="仿宋" w:hAnsi="仿宋" w:eastAsia="仿宋"/>
          <w:sz w:val="24"/>
          <w:u w:val="single"/>
        </w:rPr>
        <w:t xml:space="preserve">                     </w:t>
      </w:r>
      <w:r>
        <w:rPr>
          <w:rFonts w:hint="eastAsia" w:ascii="仿宋" w:hAnsi="仿宋" w:eastAsia="仿宋"/>
          <w:sz w:val="24"/>
        </w:rPr>
        <w:t>的法定代表人，现授权</w:t>
      </w:r>
      <w:r>
        <w:rPr>
          <w:rFonts w:hint="eastAsia" w:ascii="仿宋" w:hAnsi="仿宋" w:eastAsia="仿宋"/>
          <w:sz w:val="24"/>
          <w:u w:val="single"/>
        </w:rPr>
        <w:t xml:space="preserve">      （单位名称）     </w:t>
      </w:r>
      <w:r>
        <w:rPr>
          <w:rFonts w:hint="eastAsia" w:ascii="仿宋" w:hAnsi="仿宋" w:eastAsia="仿宋"/>
          <w:sz w:val="24"/>
        </w:rPr>
        <w:t>的</w:t>
      </w:r>
      <w:r>
        <w:rPr>
          <w:rFonts w:hint="eastAsia" w:ascii="仿宋" w:hAnsi="仿宋" w:eastAsia="仿宋"/>
          <w:sz w:val="24"/>
          <w:u w:val="single"/>
        </w:rPr>
        <w:t xml:space="preserve">    （姓名、职务）      </w:t>
      </w:r>
      <w:r>
        <w:rPr>
          <w:rFonts w:hint="eastAsia" w:ascii="仿宋" w:hAnsi="仿宋" w:eastAsia="仿宋"/>
          <w:sz w:val="24"/>
        </w:rPr>
        <w:t>为我单位授权代表，以本单位的名义参加贵方组织的项目招标的投标活动。授权代理人在投标、开标、评标、合同谈判过程中所签署的一切文件和处理与之有关的一切事宜，我均予以承认。</w:t>
      </w:r>
    </w:p>
    <w:p w14:paraId="56C9C493">
      <w:pPr>
        <w:spacing w:line="540" w:lineRule="exact"/>
        <w:ind w:firstLine="480" w:firstLineChars="200"/>
        <w:rPr>
          <w:rFonts w:ascii="仿宋" w:hAnsi="仿宋" w:eastAsia="仿宋"/>
          <w:sz w:val="24"/>
        </w:rPr>
      </w:pPr>
      <w:r>
        <w:rPr>
          <w:rFonts w:hint="eastAsia" w:ascii="仿宋" w:hAnsi="仿宋" w:eastAsia="仿宋"/>
          <w:sz w:val="24"/>
        </w:rPr>
        <w:t>授权代理人无转委托权。特此委托。</w:t>
      </w:r>
    </w:p>
    <w:tbl>
      <w:tblPr>
        <w:tblStyle w:val="9"/>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7"/>
      </w:tblGrid>
      <w:tr w14:paraId="37E3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6027" w:type="dxa"/>
            <w:noWrap w:val="0"/>
            <w:vAlign w:val="top"/>
          </w:tcPr>
          <w:p w14:paraId="047EC6FF">
            <w:pPr>
              <w:spacing w:line="540" w:lineRule="exact"/>
              <w:rPr>
                <w:rFonts w:ascii="仿宋" w:hAnsi="仿宋" w:eastAsia="仿宋"/>
                <w:sz w:val="24"/>
              </w:rPr>
            </w:pPr>
          </w:p>
          <w:p w14:paraId="6F18DC0B">
            <w:pPr>
              <w:spacing w:line="540" w:lineRule="exact"/>
              <w:rPr>
                <w:rFonts w:ascii="仿宋" w:hAnsi="仿宋" w:eastAsia="仿宋"/>
                <w:sz w:val="24"/>
              </w:rPr>
            </w:pPr>
          </w:p>
          <w:p w14:paraId="4D088B06">
            <w:pPr>
              <w:tabs>
                <w:tab w:val="left" w:pos="4581"/>
              </w:tabs>
              <w:spacing w:line="540" w:lineRule="exact"/>
              <w:ind w:firstLine="480" w:firstLineChars="200"/>
              <w:jc w:val="center"/>
              <w:rPr>
                <w:rFonts w:ascii="仿宋" w:hAnsi="仿宋" w:eastAsia="仿宋"/>
                <w:sz w:val="24"/>
              </w:rPr>
            </w:pPr>
            <w:r>
              <w:rPr>
                <w:rFonts w:hint="eastAsia" w:ascii="仿宋" w:hAnsi="仿宋" w:eastAsia="仿宋"/>
                <w:sz w:val="24"/>
              </w:rPr>
              <w:t>（附授权代理人身份证明复印件）</w:t>
            </w:r>
          </w:p>
          <w:p w14:paraId="7F54CC60">
            <w:pPr>
              <w:spacing w:line="540" w:lineRule="exact"/>
              <w:rPr>
                <w:rFonts w:ascii="仿宋" w:hAnsi="仿宋" w:eastAsia="仿宋"/>
                <w:sz w:val="24"/>
              </w:rPr>
            </w:pPr>
          </w:p>
          <w:p w14:paraId="34C4E30D">
            <w:pPr>
              <w:spacing w:line="540" w:lineRule="exact"/>
              <w:rPr>
                <w:rFonts w:ascii="仿宋" w:hAnsi="仿宋" w:eastAsia="仿宋"/>
                <w:sz w:val="24"/>
              </w:rPr>
            </w:pPr>
          </w:p>
        </w:tc>
      </w:tr>
    </w:tbl>
    <w:p w14:paraId="3977143A">
      <w:pPr>
        <w:spacing w:line="540" w:lineRule="exact"/>
        <w:rPr>
          <w:rFonts w:ascii="仿宋" w:hAnsi="仿宋" w:eastAsia="仿宋"/>
          <w:sz w:val="24"/>
        </w:rPr>
      </w:pPr>
    </w:p>
    <w:p w14:paraId="7519B190">
      <w:pPr>
        <w:spacing w:line="540" w:lineRule="exact"/>
        <w:ind w:firstLine="480" w:firstLineChars="200"/>
        <w:rPr>
          <w:rFonts w:ascii="仿宋" w:hAnsi="仿宋" w:eastAsia="仿宋"/>
          <w:sz w:val="24"/>
        </w:rPr>
      </w:pPr>
      <w:r>
        <w:rPr>
          <w:rFonts w:hint="eastAsia" w:ascii="仿宋" w:hAnsi="仿宋" w:eastAsia="仿宋"/>
          <w:sz w:val="24"/>
        </w:rPr>
        <w:t xml:space="preserve">投标人名称（盖章）： </w:t>
      </w:r>
    </w:p>
    <w:p w14:paraId="6F3180AE">
      <w:pPr>
        <w:spacing w:line="540" w:lineRule="exact"/>
        <w:ind w:firstLine="480" w:firstLineChars="200"/>
        <w:rPr>
          <w:rFonts w:ascii="仿宋" w:hAnsi="仿宋" w:eastAsia="仿宋"/>
          <w:sz w:val="24"/>
        </w:rPr>
      </w:pPr>
      <w:r>
        <w:rPr>
          <w:rFonts w:hint="eastAsia" w:ascii="仿宋" w:hAnsi="仿宋" w:eastAsia="仿宋"/>
          <w:sz w:val="24"/>
        </w:rPr>
        <w:t>法定代表人：（签字、盖章）</w:t>
      </w:r>
    </w:p>
    <w:p w14:paraId="49971746">
      <w:pPr>
        <w:spacing w:line="540" w:lineRule="exact"/>
        <w:ind w:firstLine="480" w:firstLineChars="200"/>
        <w:rPr>
          <w:rFonts w:ascii="仿宋" w:hAnsi="仿宋" w:eastAsia="仿宋"/>
          <w:sz w:val="24"/>
        </w:rPr>
      </w:pPr>
      <w:r>
        <w:rPr>
          <w:rFonts w:hint="eastAsia" w:ascii="仿宋" w:hAnsi="仿宋" w:eastAsia="仿宋"/>
          <w:sz w:val="24"/>
        </w:rPr>
        <w:t>授权代理人：（签字）</w:t>
      </w:r>
    </w:p>
    <w:p w14:paraId="540FDCE9">
      <w:pPr>
        <w:spacing w:line="540" w:lineRule="exact"/>
        <w:ind w:firstLine="480" w:firstLineChars="200"/>
        <w:rPr>
          <w:rFonts w:ascii="仿宋" w:hAnsi="仿宋" w:eastAsia="仿宋"/>
          <w:sz w:val="24"/>
        </w:rPr>
      </w:pPr>
      <w:r>
        <w:rPr>
          <w:rFonts w:hint="eastAsia" w:ascii="仿宋" w:hAnsi="仿宋" w:eastAsia="仿宋"/>
          <w:sz w:val="24"/>
        </w:rPr>
        <w:t>日期：    年    月     日</w:t>
      </w:r>
    </w:p>
    <w:p w14:paraId="445BBF3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2439F88">
      <w:pPr>
        <w:pStyle w:val="8"/>
        <w:adjustRightInd w:val="0"/>
        <w:snapToGrid w:val="0"/>
        <w:spacing w:line="540" w:lineRule="exact"/>
        <w:outlineLvl w:val="1"/>
        <w:rPr>
          <w:rStyle w:val="13"/>
          <w:rFonts w:hint="eastAsia" w:ascii="仿宋_GB2312" w:hAnsi="华文仿宋" w:eastAsia="仿宋_GB2312"/>
          <w:sz w:val="24"/>
          <w:szCs w:val="28"/>
          <w:lang w:val="en-US" w:eastAsia="zh-CN"/>
        </w:rPr>
      </w:pPr>
      <w:r>
        <w:rPr>
          <w:rStyle w:val="13"/>
          <w:rFonts w:hint="eastAsia" w:ascii="仿宋_GB2312" w:hAnsi="华文仿宋" w:eastAsia="仿宋_GB2312"/>
          <w:sz w:val="24"/>
          <w:szCs w:val="28"/>
        </w:rPr>
        <w:t>附件</w:t>
      </w:r>
      <w:r>
        <w:rPr>
          <w:rStyle w:val="13"/>
          <w:rFonts w:hint="eastAsia" w:ascii="仿宋_GB2312" w:hAnsi="华文仿宋" w:eastAsia="仿宋_GB2312"/>
          <w:sz w:val="24"/>
          <w:szCs w:val="28"/>
          <w:lang w:val="en-US" w:eastAsia="zh-CN"/>
        </w:rPr>
        <w:t>三</w:t>
      </w:r>
    </w:p>
    <w:p w14:paraId="5812A94F">
      <w:pPr>
        <w:jc w:val="center"/>
        <w:rPr>
          <w:rFonts w:hint="default" w:eastAsia="黑体"/>
          <w:b/>
          <w:bCs/>
          <w:sz w:val="28"/>
          <w:lang w:val="en-US" w:eastAsia="zh-CN"/>
        </w:rPr>
      </w:pPr>
      <w:r>
        <w:rPr>
          <w:rFonts w:hint="eastAsia" w:eastAsia="黑体"/>
          <w:b/>
          <w:bCs/>
          <w:sz w:val="28"/>
          <w:lang w:val="en-US" w:eastAsia="zh-CN"/>
        </w:rPr>
        <w:t>项目报价表</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024"/>
        <w:gridCol w:w="1487"/>
        <w:gridCol w:w="1150"/>
        <w:gridCol w:w="1641"/>
        <w:gridCol w:w="1757"/>
      </w:tblGrid>
      <w:tr w14:paraId="1A24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11E5DAEE">
            <w:pPr>
              <w:jc w:val="center"/>
              <w:rPr>
                <w:rFonts w:ascii="仿宋_GB2312" w:hAnsi="仿宋_GB2312" w:eastAsia="仿宋_GB2312" w:cs="仿宋_GB2312"/>
                <w:b/>
                <w:bCs/>
                <w:color w:val="FFFFFF"/>
                <w:kern w:val="0"/>
                <w:sz w:val="24"/>
              </w:rPr>
            </w:pPr>
            <w:r>
              <w:rPr>
                <w:rFonts w:hint="eastAsia" w:ascii="仿宋_GB2312" w:hAnsi="仿宋_GB2312" w:eastAsia="仿宋_GB2312" w:cs="仿宋_GB2312"/>
                <w:b/>
                <w:bCs/>
                <w:color w:val="FFFFFF"/>
                <w:kern w:val="0"/>
                <w:sz w:val="24"/>
              </w:rPr>
              <w:t>序号</w:t>
            </w:r>
          </w:p>
        </w:tc>
        <w:tc>
          <w:tcPr>
            <w:tcW w:w="1188"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2F1E82E7">
            <w:pPr>
              <w:jc w:val="center"/>
              <w:rPr>
                <w:rFonts w:hint="eastAsia" w:ascii="仿宋_GB2312" w:hAnsi="仿宋_GB2312" w:eastAsia="仿宋_GB2312" w:cs="仿宋_GB2312"/>
                <w:b/>
                <w:bCs/>
                <w:color w:val="FFFFFF"/>
                <w:kern w:val="0"/>
                <w:sz w:val="24"/>
                <w:lang w:eastAsia="zh-CN"/>
              </w:rPr>
            </w:pPr>
            <w:r>
              <w:rPr>
                <w:rFonts w:hint="eastAsia" w:ascii="仿宋_GB2312" w:hAnsi="仿宋_GB2312" w:eastAsia="仿宋_GB2312" w:cs="仿宋_GB2312"/>
                <w:b/>
                <w:bCs/>
                <w:color w:val="FFFFFF"/>
                <w:kern w:val="0"/>
                <w:sz w:val="24"/>
              </w:rPr>
              <w:t>培训</w:t>
            </w:r>
            <w:r>
              <w:rPr>
                <w:rFonts w:hint="eastAsia" w:ascii="仿宋_GB2312" w:hAnsi="仿宋_GB2312" w:eastAsia="仿宋_GB2312" w:cs="仿宋_GB2312"/>
                <w:b/>
                <w:bCs/>
                <w:color w:val="FFFFFF"/>
                <w:kern w:val="0"/>
                <w:sz w:val="24"/>
                <w:lang w:eastAsia="zh-CN"/>
              </w:rPr>
              <w:t>内容</w:t>
            </w:r>
          </w:p>
        </w:tc>
        <w:tc>
          <w:tcPr>
            <w:tcW w:w="872"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31E2048A">
            <w:pPr>
              <w:jc w:val="center"/>
              <w:rPr>
                <w:rFonts w:hint="eastAsia" w:ascii="仿宋_GB2312" w:hAnsi="仿宋_GB2312" w:eastAsia="仿宋_GB2312" w:cs="仿宋_GB2312"/>
                <w:b/>
                <w:bCs/>
                <w:color w:val="FFFFFF"/>
                <w:kern w:val="0"/>
                <w:sz w:val="24"/>
                <w:lang w:eastAsia="zh-CN"/>
              </w:rPr>
            </w:pPr>
            <w:r>
              <w:rPr>
                <w:rFonts w:hint="eastAsia" w:ascii="仿宋_GB2312" w:hAnsi="仿宋_GB2312" w:eastAsia="仿宋_GB2312" w:cs="仿宋_GB2312"/>
                <w:b/>
                <w:bCs/>
                <w:color w:val="FFFFFF"/>
                <w:kern w:val="0"/>
                <w:sz w:val="24"/>
                <w:lang w:eastAsia="zh-CN"/>
              </w:rPr>
              <w:t>培训人数</w:t>
            </w:r>
          </w:p>
        </w:tc>
        <w:tc>
          <w:tcPr>
            <w:tcW w:w="675"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6BAE1D3D">
            <w:pPr>
              <w:jc w:val="center"/>
              <w:rPr>
                <w:rFonts w:hint="default" w:ascii="仿宋_GB2312" w:hAnsi="仿宋_GB2312" w:eastAsia="仿宋_GB2312" w:cs="仿宋_GB2312"/>
                <w:b/>
                <w:bCs/>
                <w:color w:val="FFFFFF"/>
                <w:kern w:val="0"/>
                <w:sz w:val="24"/>
                <w:lang w:val="en-US" w:eastAsia="zh-CN"/>
              </w:rPr>
            </w:pPr>
            <w:r>
              <w:rPr>
                <w:rFonts w:hint="eastAsia" w:ascii="仿宋_GB2312" w:hAnsi="仿宋_GB2312" w:eastAsia="仿宋_GB2312" w:cs="仿宋_GB2312"/>
                <w:b/>
                <w:bCs/>
                <w:color w:val="FFFFFF"/>
                <w:kern w:val="0"/>
                <w:sz w:val="24"/>
                <w:lang w:val="en-US" w:eastAsia="zh-CN"/>
              </w:rPr>
              <w:t>单价</w:t>
            </w:r>
          </w:p>
        </w:tc>
        <w:tc>
          <w:tcPr>
            <w:tcW w:w="963"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476868BF">
            <w:pPr>
              <w:jc w:val="center"/>
              <w:rPr>
                <w:rFonts w:hint="default" w:ascii="仿宋_GB2312" w:hAnsi="仿宋_GB2312" w:eastAsia="仿宋_GB2312" w:cs="仿宋_GB2312"/>
                <w:b/>
                <w:bCs/>
                <w:color w:val="FFFFFF"/>
                <w:kern w:val="0"/>
                <w:sz w:val="24"/>
                <w:lang w:val="en-US" w:eastAsia="zh-CN"/>
              </w:rPr>
            </w:pPr>
            <w:r>
              <w:rPr>
                <w:rFonts w:hint="eastAsia" w:ascii="仿宋_GB2312" w:hAnsi="仿宋_GB2312" w:eastAsia="仿宋_GB2312" w:cs="仿宋_GB2312"/>
                <w:b/>
                <w:bCs/>
                <w:color w:val="FFFFFF"/>
                <w:kern w:val="0"/>
                <w:sz w:val="24"/>
                <w:lang w:val="en-US" w:eastAsia="zh-CN"/>
              </w:rPr>
              <w:t>合计</w:t>
            </w:r>
          </w:p>
        </w:tc>
        <w:tc>
          <w:tcPr>
            <w:tcW w:w="1031" w:type="pct"/>
            <w:tcBorders>
              <w:top w:val="single" w:color="auto" w:sz="4" w:space="0"/>
              <w:left w:val="single" w:color="auto" w:sz="4" w:space="0"/>
              <w:bottom w:val="single" w:color="auto" w:sz="4" w:space="0"/>
              <w:right w:val="single" w:color="auto" w:sz="4" w:space="0"/>
            </w:tcBorders>
            <w:shd w:val="clear" w:color="auto" w:fill="4F81BD"/>
            <w:noWrap w:val="0"/>
            <w:vAlign w:val="center"/>
          </w:tcPr>
          <w:p w14:paraId="47B93973">
            <w:pPr>
              <w:jc w:val="center"/>
              <w:rPr>
                <w:rFonts w:hint="eastAsia" w:ascii="仿宋_GB2312" w:hAnsi="仿宋_GB2312" w:eastAsia="仿宋_GB2312" w:cs="仿宋_GB2312"/>
                <w:b/>
                <w:bCs/>
                <w:color w:val="FFFFFF"/>
                <w:kern w:val="0"/>
                <w:sz w:val="24"/>
                <w:lang w:eastAsia="zh-CN"/>
              </w:rPr>
            </w:pPr>
            <w:r>
              <w:rPr>
                <w:rFonts w:hint="eastAsia" w:ascii="仿宋_GB2312" w:hAnsi="仿宋_GB2312" w:eastAsia="仿宋_GB2312" w:cs="仿宋_GB2312"/>
                <w:b/>
                <w:bCs/>
                <w:color w:val="FFFFFF"/>
                <w:kern w:val="0"/>
                <w:sz w:val="24"/>
                <w:lang w:eastAsia="zh-CN"/>
              </w:rPr>
              <w:t>备注</w:t>
            </w:r>
          </w:p>
        </w:tc>
      </w:tr>
      <w:tr w14:paraId="5BEF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9" w:type="pct"/>
            <w:noWrap w:val="0"/>
            <w:vAlign w:val="center"/>
          </w:tcPr>
          <w:p w14:paraId="4C24088C">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p>
        </w:tc>
        <w:tc>
          <w:tcPr>
            <w:tcW w:w="1188" w:type="pct"/>
            <w:noWrap w:val="0"/>
            <w:vAlign w:val="center"/>
          </w:tcPr>
          <w:p w14:paraId="27752E9F">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消防安全管理人员(中级）</w:t>
            </w:r>
          </w:p>
        </w:tc>
        <w:tc>
          <w:tcPr>
            <w:tcW w:w="872" w:type="pct"/>
            <w:noWrap w:val="0"/>
            <w:vAlign w:val="center"/>
          </w:tcPr>
          <w:p w14:paraId="2C4FE72D">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106</w:t>
            </w:r>
          </w:p>
        </w:tc>
        <w:tc>
          <w:tcPr>
            <w:tcW w:w="675" w:type="pct"/>
            <w:noWrap w:val="0"/>
            <w:vAlign w:val="center"/>
          </w:tcPr>
          <w:p w14:paraId="190D1E50">
            <w:pPr>
              <w:jc w:val="center"/>
              <w:rPr>
                <w:rFonts w:hint="eastAsia" w:ascii="仿宋_GB2312" w:hAnsi="仿宋_GB2312" w:eastAsia="仿宋_GB2312" w:cs="仿宋_GB2312"/>
                <w:kern w:val="0"/>
                <w:sz w:val="24"/>
                <w:lang w:val="en-US" w:eastAsia="zh-CN"/>
              </w:rPr>
            </w:pPr>
          </w:p>
        </w:tc>
        <w:tc>
          <w:tcPr>
            <w:tcW w:w="963" w:type="pct"/>
            <w:noWrap w:val="0"/>
            <w:vAlign w:val="center"/>
          </w:tcPr>
          <w:p w14:paraId="709F0BD8">
            <w:pPr>
              <w:jc w:val="center"/>
              <w:rPr>
                <w:rFonts w:hint="eastAsia" w:ascii="仿宋_GB2312" w:hAnsi="仿宋_GB2312" w:eastAsia="仿宋_GB2312" w:cs="仿宋_GB2312"/>
                <w:kern w:val="0"/>
                <w:sz w:val="24"/>
                <w:lang w:val="en-US" w:eastAsia="zh-CN"/>
              </w:rPr>
            </w:pPr>
          </w:p>
        </w:tc>
        <w:tc>
          <w:tcPr>
            <w:tcW w:w="1031" w:type="pct"/>
            <w:noWrap w:val="0"/>
            <w:vAlign w:val="center"/>
          </w:tcPr>
          <w:p w14:paraId="34519EA4">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按人数结算费用</w:t>
            </w:r>
          </w:p>
        </w:tc>
      </w:tr>
      <w:tr w14:paraId="19E2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69" w:type="pct"/>
            <w:noWrap w:val="0"/>
            <w:vAlign w:val="center"/>
          </w:tcPr>
          <w:p w14:paraId="19813ADB">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w:t>
            </w:r>
          </w:p>
        </w:tc>
        <w:tc>
          <w:tcPr>
            <w:tcW w:w="1188" w:type="pct"/>
            <w:noWrap w:val="0"/>
            <w:vAlign w:val="center"/>
          </w:tcPr>
          <w:p w14:paraId="3155ED01">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消防设施操作员(中级）</w:t>
            </w:r>
          </w:p>
        </w:tc>
        <w:tc>
          <w:tcPr>
            <w:tcW w:w="872" w:type="pct"/>
            <w:noWrap w:val="0"/>
            <w:vAlign w:val="center"/>
          </w:tcPr>
          <w:p w14:paraId="47B4D291">
            <w:pPr>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16</w:t>
            </w:r>
          </w:p>
        </w:tc>
        <w:tc>
          <w:tcPr>
            <w:tcW w:w="675" w:type="pct"/>
            <w:noWrap w:val="0"/>
            <w:vAlign w:val="center"/>
          </w:tcPr>
          <w:p w14:paraId="654E3490">
            <w:pPr>
              <w:jc w:val="center"/>
              <w:rPr>
                <w:rFonts w:hint="eastAsia" w:ascii="仿宋_GB2312" w:hAnsi="仿宋_GB2312" w:eastAsia="仿宋_GB2312" w:cs="仿宋_GB2312"/>
                <w:kern w:val="0"/>
                <w:sz w:val="24"/>
                <w:lang w:val="en-US" w:eastAsia="zh-CN"/>
              </w:rPr>
            </w:pPr>
          </w:p>
        </w:tc>
        <w:tc>
          <w:tcPr>
            <w:tcW w:w="963" w:type="pct"/>
            <w:noWrap w:val="0"/>
            <w:vAlign w:val="center"/>
          </w:tcPr>
          <w:p w14:paraId="75679CE3">
            <w:pPr>
              <w:jc w:val="center"/>
              <w:rPr>
                <w:rFonts w:hint="eastAsia" w:ascii="仿宋_GB2312" w:hAnsi="仿宋_GB2312" w:eastAsia="仿宋_GB2312" w:cs="仿宋_GB2312"/>
                <w:kern w:val="0"/>
                <w:sz w:val="24"/>
                <w:lang w:val="en-US" w:eastAsia="zh-CN"/>
              </w:rPr>
            </w:pPr>
          </w:p>
        </w:tc>
        <w:tc>
          <w:tcPr>
            <w:tcW w:w="1031" w:type="pct"/>
            <w:noWrap w:val="0"/>
            <w:vAlign w:val="center"/>
          </w:tcPr>
          <w:p w14:paraId="7573C9A2">
            <w:pPr>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按人数结算费用</w:t>
            </w:r>
          </w:p>
        </w:tc>
      </w:tr>
      <w:tr w14:paraId="3E3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330" w:type="pct"/>
            <w:gridSpan w:val="3"/>
            <w:noWrap w:val="0"/>
            <w:vAlign w:val="center"/>
          </w:tcPr>
          <w:p w14:paraId="0CDAA73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项目合计总价（未税）：</w:t>
            </w:r>
          </w:p>
        </w:tc>
        <w:tc>
          <w:tcPr>
            <w:tcW w:w="2669" w:type="pct"/>
            <w:gridSpan w:val="3"/>
            <w:noWrap w:val="0"/>
            <w:vAlign w:val="center"/>
          </w:tcPr>
          <w:p w14:paraId="205692D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项目合计总价（含税）：</w:t>
            </w:r>
            <w:bookmarkStart w:id="14" w:name="_GoBack"/>
            <w:bookmarkEnd w:id="14"/>
          </w:p>
        </w:tc>
      </w:tr>
    </w:tbl>
    <w:p w14:paraId="3D028646">
      <w:pPr>
        <w:rPr>
          <w:rFonts w:hint="eastAsia" w:ascii="宋体" w:hAnsi="宋体"/>
          <w:b/>
          <w:bCs/>
        </w:rPr>
      </w:pPr>
      <w:r>
        <w:rPr>
          <w:rFonts w:hint="eastAsia" w:ascii="宋体" w:hAnsi="宋体"/>
          <w:b/>
          <w:bCs/>
        </w:rPr>
        <w:t>注：1、此表中的报价必须与相应的报价明细表中的报价一致。</w:t>
      </w:r>
    </w:p>
    <w:p w14:paraId="2E9424AF">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b/>
          <w:bCs/>
          <w:lang w:val="en-US" w:eastAsia="zh-CN"/>
        </w:rPr>
        <w:t>2、本次报价税率为3%。</w:t>
      </w:r>
    </w:p>
    <w:p w14:paraId="7904A117">
      <w:pPr>
        <w:rPr>
          <w:rFonts w:hint="eastAsia" w:ascii="仿宋_GB2312" w:hAnsi="仿宋_GB2312" w:eastAsia="仿宋_GB2312" w:cs="仿宋_GB2312"/>
          <w:i w:val="0"/>
          <w:iCs w:val="0"/>
          <w:color w:val="000000"/>
          <w:kern w:val="0"/>
          <w:sz w:val="24"/>
          <w:szCs w:val="24"/>
          <w:u w:val="none"/>
          <w:lang w:val="en-US" w:eastAsia="zh-CN" w:bidi="ar"/>
        </w:rPr>
      </w:pPr>
    </w:p>
    <w:p w14:paraId="4F1E88F7">
      <w:pPr>
        <w:rPr>
          <w:rFonts w:hint="default" w:ascii="仿宋_GB2312" w:hAnsi="仿宋_GB2312" w:eastAsia="仿宋_GB2312" w:cs="仿宋_GB2312"/>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i w:val="0"/>
          <w:iCs w:val="0"/>
          <w:color w:val="000000"/>
          <w:kern w:val="0"/>
          <w:sz w:val="24"/>
          <w:szCs w:val="24"/>
          <w:u w:val="none"/>
          <w:lang w:val="en-US" w:eastAsia="zh-CN" w:bidi="ar"/>
        </w:rPr>
        <w:t>投标人名称（盖章）：              法定代表人或授权代表签字：</w:t>
      </w:r>
    </w:p>
    <w:p w14:paraId="346B9CA8">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Style w:val="13"/>
          <w:rFonts w:hint="eastAsia" w:ascii="宋体" w:hAnsi="宋体" w:eastAsia="宋体" w:cs="宋体"/>
          <w:kern w:val="2"/>
          <w:sz w:val="24"/>
          <w:szCs w:val="28"/>
          <w:lang w:val="en-US" w:eastAsia="zh-CN" w:bidi="ar-SA"/>
        </w:rPr>
      </w:pPr>
      <w:r>
        <w:rPr>
          <w:rStyle w:val="13"/>
          <w:rFonts w:hint="eastAsia" w:ascii="宋体" w:hAnsi="宋体" w:eastAsia="宋体" w:cs="宋体"/>
          <w:kern w:val="2"/>
          <w:sz w:val="24"/>
          <w:szCs w:val="28"/>
          <w:lang w:val="en-US" w:eastAsia="zh-CN" w:bidi="ar-SA"/>
        </w:rPr>
        <w:t>附件四</w:t>
      </w:r>
    </w:p>
    <w:p w14:paraId="6616D12C">
      <w:pPr>
        <w:jc w:val="center"/>
        <w:rPr>
          <w:rFonts w:eastAsia="黑体"/>
          <w:b/>
          <w:bCs/>
          <w:sz w:val="28"/>
        </w:rPr>
      </w:pPr>
      <w:r>
        <w:rPr>
          <w:rFonts w:hint="eastAsia" w:eastAsia="黑体"/>
          <w:b/>
          <w:bCs/>
          <w:sz w:val="28"/>
        </w:rPr>
        <w:t>相关条款偏离表（含商务偏离及技术偏离）</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6296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0AAF023">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4140" w:type="dxa"/>
            <w:gridSpan w:val="2"/>
            <w:vAlign w:val="center"/>
          </w:tcPr>
          <w:p w14:paraId="72CAAA69">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招标文件条款</w:t>
            </w:r>
          </w:p>
        </w:tc>
        <w:tc>
          <w:tcPr>
            <w:tcW w:w="3554" w:type="dxa"/>
            <w:vMerge w:val="restart"/>
            <w:vAlign w:val="center"/>
          </w:tcPr>
          <w:p w14:paraId="77296F8D">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偏离内容</w:t>
            </w:r>
          </w:p>
        </w:tc>
      </w:tr>
      <w:tr w14:paraId="0137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2BCB8BD">
            <w:pPr>
              <w:rPr>
                <w:rFonts w:hint="eastAsia" w:ascii="仿宋_GB2312" w:hAnsi="仿宋_GB2312" w:eastAsia="仿宋_GB2312" w:cs="仿宋_GB2312"/>
                <w:i w:val="0"/>
                <w:iCs w:val="0"/>
                <w:color w:val="000000"/>
                <w:kern w:val="0"/>
                <w:sz w:val="24"/>
                <w:szCs w:val="24"/>
                <w:u w:val="none"/>
                <w:lang w:val="en-US" w:eastAsia="zh-CN" w:bidi="ar"/>
              </w:rPr>
            </w:pPr>
          </w:p>
        </w:tc>
        <w:tc>
          <w:tcPr>
            <w:tcW w:w="1080" w:type="dxa"/>
            <w:vAlign w:val="center"/>
          </w:tcPr>
          <w:p w14:paraId="20962E7C">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条款号</w:t>
            </w:r>
          </w:p>
        </w:tc>
        <w:tc>
          <w:tcPr>
            <w:tcW w:w="3060" w:type="dxa"/>
            <w:vAlign w:val="center"/>
          </w:tcPr>
          <w:p w14:paraId="38264424">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条款要求</w:t>
            </w:r>
          </w:p>
        </w:tc>
        <w:tc>
          <w:tcPr>
            <w:tcW w:w="3554" w:type="dxa"/>
            <w:vMerge w:val="continue"/>
            <w:vAlign w:val="center"/>
          </w:tcPr>
          <w:p w14:paraId="696C849D">
            <w:pPr>
              <w:rPr>
                <w:rFonts w:hint="eastAsia" w:ascii="仿宋_GB2312" w:hAnsi="仿宋_GB2312" w:eastAsia="仿宋_GB2312" w:cs="仿宋_GB2312"/>
                <w:i w:val="0"/>
                <w:iCs w:val="0"/>
                <w:color w:val="000000"/>
                <w:kern w:val="0"/>
                <w:sz w:val="24"/>
                <w:szCs w:val="24"/>
                <w:u w:val="none"/>
                <w:lang w:val="en-US" w:eastAsia="zh-CN" w:bidi="ar"/>
              </w:rPr>
            </w:pPr>
          </w:p>
        </w:tc>
      </w:tr>
      <w:tr w14:paraId="038A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3EA633C">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80" w:type="dxa"/>
            <w:vAlign w:val="center"/>
          </w:tcPr>
          <w:p w14:paraId="320820E0">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5F82F0CB">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382FD772">
            <w:pPr>
              <w:rPr>
                <w:rFonts w:hint="eastAsia" w:ascii="仿宋_GB2312" w:hAnsi="仿宋_GB2312" w:eastAsia="仿宋_GB2312" w:cs="仿宋_GB2312"/>
                <w:i w:val="0"/>
                <w:iCs w:val="0"/>
                <w:color w:val="000000"/>
                <w:kern w:val="0"/>
                <w:sz w:val="24"/>
                <w:szCs w:val="24"/>
                <w:u w:val="none"/>
                <w:lang w:val="en-US" w:eastAsia="zh-CN" w:bidi="ar"/>
              </w:rPr>
            </w:pPr>
          </w:p>
        </w:tc>
      </w:tr>
      <w:tr w14:paraId="0C9F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354ABA6">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80" w:type="dxa"/>
            <w:vAlign w:val="center"/>
          </w:tcPr>
          <w:p w14:paraId="38315D9E">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5BFE9E5D">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4A0496EF">
            <w:pPr>
              <w:rPr>
                <w:rFonts w:hint="eastAsia" w:ascii="仿宋_GB2312" w:hAnsi="仿宋_GB2312" w:eastAsia="仿宋_GB2312" w:cs="仿宋_GB2312"/>
                <w:i w:val="0"/>
                <w:iCs w:val="0"/>
                <w:color w:val="000000"/>
                <w:kern w:val="0"/>
                <w:sz w:val="24"/>
                <w:szCs w:val="24"/>
                <w:u w:val="none"/>
                <w:lang w:val="en-US" w:eastAsia="zh-CN" w:bidi="ar"/>
              </w:rPr>
            </w:pPr>
          </w:p>
        </w:tc>
      </w:tr>
      <w:tr w14:paraId="0730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6A605F">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080" w:type="dxa"/>
            <w:vAlign w:val="center"/>
          </w:tcPr>
          <w:p w14:paraId="23804881">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736E5DD2">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2DF1702F">
            <w:pPr>
              <w:rPr>
                <w:rFonts w:hint="eastAsia" w:ascii="仿宋_GB2312" w:hAnsi="仿宋_GB2312" w:eastAsia="仿宋_GB2312" w:cs="仿宋_GB2312"/>
                <w:i w:val="0"/>
                <w:iCs w:val="0"/>
                <w:color w:val="000000"/>
                <w:kern w:val="0"/>
                <w:sz w:val="24"/>
                <w:szCs w:val="24"/>
                <w:u w:val="none"/>
                <w:lang w:val="en-US" w:eastAsia="zh-CN" w:bidi="ar"/>
              </w:rPr>
            </w:pPr>
          </w:p>
        </w:tc>
      </w:tr>
      <w:tr w14:paraId="34A8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D4BFDF">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80" w:type="dxa"/>
            <w:vAlign w:val="center"/>
          </w:tcPr>
          <w:p w14:paraId="779D5045">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49072825">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24F0080B">
            <w:pPr>
              <w:rPr>
                <w:rFonts w:hint="eastAsia" w:ascii="仿宋_GB2312" w:hAnsi="仿宋_GB2312" w:eastAsia="仿宋_GB2312" w:cs="仿宋_GB2312"/>
                <w:i w:val="0"/>
                <w:iCs w:val="0"/>
                <w:color w:val="000000"/>
                <w:kern w:val="0"/>
                <w:sz w:val="24"/>
                <w:szCs w:val="24"/>
                <w:u w:val="none"/>
                <w:lang w:val="en-US" w:eastAsia="zh-CN" w:bidi="ar"/>
              </w:rPr>
            </w:pPr>
          </w:p>
        </w:tc>
      </w:tr>
      <w:tr w14:paraId="0F29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5607EA8">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080" w:type="dxa"/>
            <w:vAlign w:val="center"/>
          </w:tcPr>
          <w:p w14:paraId="75381E2C">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304AE35A">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3A23051C">
            <w:pPr>
              <w:rPr>
                <w:rFonts w:hint="eastAsia" w:ascii="仿宋_GB2312" w:hAnsi="仿宋_GB2312" w:eastAsia="仿宋_GB2312" w:cs="仿宋_GB2312"/>
                <w:i w:val="0"/>
                <w:iCs w:val="0"/>
                <w:color w:val="000000"/>
                <w:kern w:val="0"/>
                <w:sz w:val="24"/>
                <w:szCs w:val="24"/>
                <w:u w:val="none"/>
                <w:lang w:val="en-US" w:eastAsia="zh-CN" w:bidi="ar"/>
              </w:rPr>
            </w:pPr>
          </w:p>
        </w:tc>
      </w:tr>
      <w:tr w14:paraId="5B9B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2BA15282">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080" w:type="dxa"/>
            <w:vAlign w:val="center"/>
          </w:tcPr>
          <w:p w14:paraId="0A2F0B17">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456F295B">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4E79B2E8">
            <w:pPr>
              <w:rPr>
                <w:rFonts w:hint="eastAsia" w:ascii="仿宋_GB2312" w:hAnsi="仿宋_GB2312" w:eastAsia="仿宋_GB2312" w:cs="仿宋_GB2312"/>
                <w:i w:val="0"/>
                <w:iCs w:val="0"/>
                <w:color w:val="000000"/>
                <w:kern w:val="0"/>
                <w:sz w:val="24"/>
                <w:szCs w:val="24"/>
                <w:u w:val="none"/>
                <w:lang w:val="en-US" w:eastAsia="zh-CN" w:bidi="ar"/>
              </w:rPr>
            </w:pPr>
          </w:p>
        </w:tc>
      </w:tr>
      <w:tr w14:paraId="1C5E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522C42F">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080" w:type="dxa"/>
            <w:vAlign w:val="center"/>
          </w:tcPr>
          <w:p w14:paraId="06E568F4">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1B60B3BF">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3CD61318">
            <w:pPr>
              <w:rPr>
                <w:rFonts w:hint="eastAsia" w:ascii="仿宋_GB2312" w:hAnsi="仿宋_GB2312" w:eastAsia="仿宋_GB2312" w:cs="仿宋_GB2312"/>
                <w:i w:val="0"/>
                <w:iCs w:val="0"/>
                <w:color w:val="000000"/>
                <w:kern w:val="0"/>
                <w:sz w:val="24"/>
                <w:szCs w:val="24"/>
                <w:u w:val="none"/>
                <w:lang w:val="en-US" w:eastAsia="zh-CN" w:bidi="ar"/>
              </w:rPr>
            </w:pPr>
          </w:p>
        </w:tc>
      </w:tr>
      <w:tr w14:paraId="0AB7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8541696">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080" w:type="dxa"/>
            <w:vAlign w:val="center"/>
          </w:tcPr>
          <w:p w14:paraId="055DA0E5">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25A945D7">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46D6A932">
            <w:pPr>
              <w:rPr>
                <w:rFonts w:hint="eastAsia" w:ascii="仿宋_GB2312" w:hAnsi="仿宋_GB2312" w:eastAsia="仿宋_GB2312" w:cs="仿宋_GB2312"/>
                <w:i w:val="0"/>
                <w:iCs w:val="0"/>
                <w:color w:val="000000"/>
                <w:kern w:val="0"/>
                <w:sz w:val="24"/>
                <w:szCs w:val="24"/>
                <w:u w:val="none"/>
                <w:lang w:val="en-US" w:eastAsia="zh-CN" w:bidi="ar"/>
              </w:rPr>
            </w:pPr>
          </w:p>
        </w:tc>
      </w:tr>
      <w:tr w14:paraId="1A22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239694CE">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080" w:type="dxa"/>
            <w:vAlign w:val="center"/>
          </w:tcPr>
          <w:p w14:paraId="380101BD">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50358E18">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6A4B67DF">
            <w:pPr>
              <w:rPr>
                <w:rFonts w:hint="eastAsia" w:ascii="仿宋_GB2312" w:hAnsi="仿宋_GB2312" w:eastAsia="仿宋_GB2312" w:cs="仿宋_GB2312"/>
                <w:i w:val="0"/>
                <w:iCs w:val="0"/>
                <w:color w:val="000000"/>
                <w:kern w:val="0"/>
                <w:sz w:val="24"/>
                <w:szCs w:val="24"/>
                <w:u w:val="none"/>
                <w:lang w:val="en-US" w:eastAsia="zh-CN" w:bidi="ar"/>
              </w:rPr>
            </w:pPr>
          </w:p>
        </w:tc>
      </w:tr>
      <w:tr w14:paraId="5C67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826C2BE">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80" w:type="dxa"/>
            <w:vAlign w:val="center"/>
          </w:tcPr>
          <w:p w14:paraId="45C4E038">
            <w:pPr>
              <w:rPr>
                <w:rFonts w:hint="eastAsia" w:ascii="仿宋_GB2312" w:hAnsi="仿宋_GB2312" w:eastAsia="仿宋_GB2312" w:cs="仿宋_GB2312"/>
                <w:i w:val="0"/>
                <w:iCs w:val="0"/>
                <w:color w:val="000000"/>
                <w:kern w:val="0"/>
                <w:sz w:val="24"/>
                <w:szCs w:val="24"/>
                <w:u w:val="none"/>
                <w:lang w:val="en-US" w:eastAsia="zh-CN" w:bidi="ar"/>
              </w:rPr>
            </w:pPr>
          </w:p>
        </w:tc>
        <w:tc>
          <w:tcPr>
            <w:tcW w:w="3060" w:type="dxa"/>
            <w:vAlign w:val="center"/>
          </w:tcPr>
          <w:p w14:paraId="0F4D4478">
            <w:pPr>
              <w:rPr>
                <w:rFonts w:hint="eastAsia" w:ascii="仿宋_GB2312" w:hAnsi="仿宋_GB2312" w:eastAsia="仿宋_GB2312" w:cs="仿宋_GB2312"/>
                <w:i w:val="0"/>
                <w:iCs w:val="0"/>
                <w:color w:val="000000"/>
                <w:kern w:val="0"/>
                <w:sz w:val="24"/>
                <w:szCs w:val="24"/>
                <w:u w:val="none"/>
                <w:lang w:val="en-US" w:eastAsia="zh-CN" w:bidi="ar"/>
              </w:rPr>
            </w:pPr>
          </w:p>
        </w:tc>
        <w:tc>
          <w:tcPr>
            <w:tcW w:w="3554" w:type="dxa"/>
            <w:vAlign w:val="center"/>
          </w:tcPr>
          <w:p w14:paraId="6D1C68AE">
            <w:pPr>
              <w:rPr>
                <w:rFonts w:hint="eastAsia" w:ascii="仿宋_GB2312" w:hAnsi="仿宋_GB2312" w:eastAsia="仿宋_GB2312" w:cs="仿宋_GB2312"/>
                <w:i w:val="0"/>
                <w:iCs w:val="0"/>
                <w:color w:val="000000"/>
                <w:kern w:val="0"/>
                <w:sz w:val="24"/>
                <w:szCs w:val="24"/>
                <w:u w:val="none"/>
                <w:lang w:val="en-US" w:eastAsia="zh-CN" w:bidi="ar"/>
              </w:rPr>
            </w:pPr>
          </w:p>
        </w:tc>
      </w:tr>
    </w:tbl>
    <w:p w14:paraId="1CA78D45">
      <w:pPr>
        <w:rPr>
          <w:rFonts w:hint="eastAsia" w:ascii="仿宋_GB2312" w:hAnsi="仿宋_GB2312" w:eastAsia="仿宋_GB2312" w:cs="仿宋_GB2312"/>
          <w:i w:val="0"/>
          <w:iCs w:val="0"/>
          <w:color w:val="000000"/>
          <w:kern w:val="0"/>
          <w:sz w:val="24"/>
          <w:szCs w:val="24"/>
          <w:u w:val="none"/>
          <w:lang w:val="en-US" w:eastAsia="zh-CN" w:bidi="ar"/>
        </w:rPr>
      </w:pPr>
    </w:p>
    <w:p w14:paraId="427B7697">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投标人名称（盖章）：              法定代表人或授权代表签字：</w:t>
      </w:r>
    </w:p>
    <w:p w14:paraId="19B10CE0">
      <w:pPr>
        <w:rPr>
          <w:rFonts w:hint="eastAsia" w:ascii="仿宋_GB2312" w:hAnsi="仿宋_GB2312" w:eastAsia="仿宋_GB2312" w:cs="仿宋_GB2312"/>
          <w:i w:val="0"/>
          <w:iCs w:val="0"/>
          <w:color w:val="000000"/>
          <w:kern w:val="0"/>
          <w:sz w:val="24"/>
          <w:szCs w:val="24"/>
          <w:u w:val="none"/>
          <w:lang w:val="en-US" w:eastAsia="zh-CN" w:bidi="ar"/>
        </w:rPr>
      </w:pPr>
    </w:p>
    <w:p w14:paraId="22EDEB97">
      <w:pPr>
        <w:rPr>
          <w:rFonts w:hint="eastAsia" w:ascii="仿宋_GB2312" w:hAnsi="仿宋_GB2312" w:eastAsia="仿宋_GB2312" w:cs="仿宋_GB2312"/>
          <w:i w:val="0"/>
          <w:iCs w:val="0"/>
          <w:color w:val="000000"/>
          <w:kern w:val="0"/>
          <w:sz w:val="24"/>
          <w:szCs w:val="24"/>
          <w:u w:val="none"/>
          <w:lang w:val="en-US" w:eastAsia="zh-CN" w:bidi="ar"/>
        </w:rPr>
      </w:pPr>
    </w:p>
    <w:p w14:paraId="739B35C7">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注：为避免歧义，无偏离也应要提报该表，并注明“无”字。如无该表则即使在其它部分已反映，将也被视为“无偏离”。</w:t>
      </w:r>
    </w:p>
    <w:p w14:paraId="2E7CFA42">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CD8CE5">
      <w:pPr>
        <w:rPr>
          <w:rFonts w:hint="eastAsia" w:eastAsia="黑体"/>
          <w:b/>
          <w:bCs/>
          <w:sz w:val="28"/>
        </w:rPr>
      </w:pPr>
      <w:r>
        <w:rPr>
          <w:rStyle w:val="13"/>
          <w:rFonts w:hint="eastAsia" w:ascii="宋体" w:hAnsi="宋体" w:eastAsia="宋体" w:cs="宋体"/>
          <w:sz w:val="24"/>
          <w:szCs w:val="28"/>
        </w:rPr>
        <w:t>附件</w:t>
      </w:r>
      <w:r>
        <w:rPr>
          <w:rStyle w:val="13"/>
          <w:rFonts w:hint="eastAsia" w:ascii="宋体" w:hAnsi="宋体" w:cs="宋体"/>
          <w:sz w:val="24"/>
          <w:szCs w:val="28"/>
          <w:lang w:val="en-US" w:eastAsia="zh-CN"/>
        </w:rPr>
        <w:t>五</w:t>
      </w:r>
      <w:r>
        <w:rPr>
          <w:rFonts w:hint="eastAsia" w:eastAsia="黑体"/>
          <w:b/>
          <w:bCs/>
          <w:sz w:val="28"/>
        </w:rPr>
        <w:t xml:space="preserve">                      </w:t>
      </w:r>
    </w:p>
    <w:p w14:paraId="0D8801DF">
      <w:pPr>
        <w:jc w:val="center"/>
        <w:rPr>
          <w:rFonts w:eastAsia="黑体"/>
          <w:b/>
          <w:bCs/>
          <w:sz w:val="28"/>
        </w:rPr>
      </w:pPr>
      <w:r>
        <w:rPr>
          <w:rFonts w:hint="eastAsia" w:eastAsia="黑体"/>
          <w:b/>
          <w:bCs/>
          <w:sz w:val="28"/>
        </w:rPr>
        <w:t>投标报名表</w:t>
      </w:r>
    </w:p>
    <w:p w14:paraId="6C72EB21">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0981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14:paraId="71558350">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7123" w:type="dxa"/>
            <w:gridSpan w:val="3"/>
            <w:noWrap w:val="0"/>
            <w:vAlign w:val="center"/>
          </w:tcPr>
          <w:p w14:paraId="311CB685">
            <w:pPr>
              <w:rPr>
                <w:rFonts w:hint="eastAsia" w:ascii="仿宋_GB2312" w:hAnsi="仿宋_GB2312" w:eastAsia="仿宋_GB2312" w:cs="仿宋_GB2312"/>
                <w:i w:val="0"/>
                <w:iCs w:val="0"/>
                <w:color w:val="000000"/>
                <w:kern w:val="0"/>
                <w:sz w:val="24"/>
                <w:szCs w:val="24"/>
                <w:u w:val="none"/>
                <w:lang w:val="en-US" w:eastAsia="zh-CN" w:bidi="ar"/>
              </w:rPr>
            </w:pPr>
          </w:p>
        </w:tc>
      </w:tr>
      <w:tr w14:paraId="71A6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801" w:type="dxa"/>
            <w:noWrap w:val="0"/>
            <w:vAlign w:val="center"/>
          </w:tcPr>
          <w:p w14:paraId="38A97B8A">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投标单位</w:t>
            </w:r>
          </w:p>
          <w:p w14:paraId="2B0CB766">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（全称）</w:t>
            </w:r>
          </w:p>
        </w:tc>
        <w:tc>
          <w:tcPr>
            <w:tcW w:w="7123" w:type="dxa"/>
            <w:gridSpan w:val="3"/>
            <w:noWrap w:val="0"/>
            <w:vAlign w:val="center"/>
          </w:tcPr>
          <w:p w14:paraId="128D07BD">
            <w:pPr>
              <w:rPr>
                <w:rFonts w:hint="eastAsia" w:ascii="仿宋_GB2312" w:hAnsi="仿宋_GB2312" w:eastAsia="仿宋_GB2312" w:cs="仿宋_GB2312"/>
                <w:i w:val="0"/>
                <w:iCs w:val="0"/>
                <w:color w:val="000000"/>
                <w:kern w:val="0"/>
                <w:sz w:val="24"/>
                <w:szCs w:val="24"/>
                <w:u w:val="none"/>
                <w:lang w:val="en-US" w:eastAsia="zh-CN" w:bidi="ar"/>
              </w:rPr>
            </w:pPr>
          </w:p>
        </w:tc>
      </w:tr>
      <w:tr w14:paraId="749A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jc w:val="center"/>
        </w:trPr>
        <w:tc>
          <w:tcPr>
            <w:tcW w:w="1801" w:type="dxa"/>
            <w:noWrap w:val="0"/>
            <w:vAlign w:val="center"/>
          </w:tcPr>
          <w:p w14:paraId="0900379D">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项目负责人</w:t>
            </w:r>
          </w:p>
        </w:tc>
        <w:tc>
          <w:tcPr>
            <w:tcW w:w="2526" w:type="dxa"/>
            <w:noWrap w:val="0"/>
            <w:vAlign w:val="center"/>
          </w:tcPr>
          <w:p w14:paraId="7B1586D1">
            <w:pPr>
              <w:rPr>
                <w:rFonts w:hint="eastAsia" w:ascii="仿宋_GB2312" w:hAnsi="仿宋_GB2312" w:eastAsia="仿宋_GB2312" w:cs="仿宋_GB2312"/>
                <w:i w:val="0"/>
                <w:iCs w:val="0"/>
                <w:color w:val="000000"/>
                <w:kern w:val="0"/>
                <w:sz w:val="24"/>
                <w:szCs w:val="24"/>
                <w:u w:val="none"/>
                <w:lang w:val="en-US" w:eastAsia="zh-CN" w:bidi="ar"/>
              </w:rPr>
            </w:pPr>
          </w:p>
        </w:tc>
        <w:tc>
          <w:tcPr>
            <w:tcW w:w="2272" w:type="dxa"/>
            <w:noWrap w:val="0"/>
            <w:vAlign w:val="center"/>
          </w:tcPr>
          <w:p w14:paraId="7A5E05A2">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联系电话</w:t>
            </w:r>
          </w:p>
        </w:tc>
        <w:tc>
          <w:tcPr>
            <w:tcW w:w="2325" w:type="dxa"/>
            <w:noWrap w:val="0"/>
            <w:vAlign w:val="center"/>
          </w:tcPr>
          <w:p w14:paraId="681A406D">
            <w:pPr>
              <w:rPr>
                <w:rFonts w:hint="eastAsia" w:ascii="仿宋_GB2312" w:hAnsi="仿宋_GB2312" w:eastAsia="仿宋_GB2312" w:cs="仿宋_GB2312"/>
                <w:i w:val="0"/>
                <w:iCs w:val="0"/>
                <w:color w:val="000000"/>
                <w:kern w:val="0"/>
                <w:sz w:val="24"/>
                <w:szCs w:val="24"/>
                <w:u w:val="none"/>
                <w:lang w:val="en-US" w:eastAsia="zh-CN" w:bidi="ar"/>
              </w:rPr>
            </w:pPr>
          </w:p>
        </w:tc>
      </w:tr>
      <w:tr w14:paraId="172A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801" w:type="dxa"/>
            <w:noWrap w:val="0"/>
            <w:vAlign w:val="center"/>
          </w:tcPr>
          <w:p w14:paraId="1F04777D">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公司电话</w:t>
            </w:r>
          </w:p>
        </w:tc>
        <w:tc>
          <w:tcPr>
            <w:tcW w:w="2526" w:type="dxa"/>
            <w:noWrap w:val="0"/>
            <w:vAlign w:val="center"/>
          </w:tcPr>
          <w:p w14:paraId="5AE6A0DE">
            <w:pPr>
              <w:rPr>
                <w:rFonts w:hint="eastAsia" w:ascii="仿宋_GB2312" w:hAnsi="仿宋_GB2312" w:eastAsia="仿宋_GB2312" w:cs="仿宋_GB2312"/>
                <w:i w:val="0"/>
                <w:iCs w:val="0"/>
                <w:color w:val="000000"/>
                <w:kern w:val="0"/>
                <w:sz w:val="24"/>
                <w:szCs w:val="24"/>
                <w:u w:val="none"/>
                <w:lang w:val="en-US" w:eastAsia="zh-CN" w:bidi="ar"/>
              </w:rPr>
            </w:pPr>
          </w:p>
        </w:tc>
        <w:tc>
          <w:tcPr>
            <w:tcW w:w="2272" w:type="dxa"/>
            <w:noWrap w:val="0"/>
            <w:vAlign w:val="center"/>
          </w:tcPr>
          <w:p w14:paraId="3EA772FF">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传真</w:t>
            </w:r>
          </w:p>
        </w:tc>
        <w:tc>
          <w:tcPr>
            <w:tcW w:w="2325" w:type="dxa"/>
            <w:noWrap w:val="0"/>
            <w:vAlign w:val="center"/>
          </w:tcPr>
          <w:p w14:paraId="67327CD8">
            <w:pPr>
              <w:rPr>
                <w:rFonts w:hint="eastAsia" w:ascii="仿宋_GB2312" w:hAnsi="仿宋_GB2312" w:eastAsia="仿宋_GB2312" w:cs="仿宋_GB2312"/>
                <w:i w:val="0"/>
                <w:iCs w:val="0"/>
                <w:color w:val="000000"/>
                <w:kern w:val="0"/>
                <w:sz w:val="24"/>
                <w:szCs w:val="24"/>
                <w:u w:val="none"/>
                <w:lang w:val="en-US" w:eastAsia="zh-CN" w:bidi="ar"/>
              </w:rPr>
            </w:pPr>
          </w:p>
        </w:tc>
      </w:tr>
      <w:tr w14:paraId="55E0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801" w:type="dxa"/>
            <w:noWrap w:val="0"/>
            <w:vAlign w:val="center"/>
          </w:tcPr>
          <w:p w14:paraId="1073BE4F">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E-mail</w:t>
            </w:r>
          </w:p>
        </w:tc>
        <w:tc>
          <w:tcPr>
            <w:tcW w:w="7123" w:type="dxa"/>
            <w:gridSpan w:val="3"/>
            <w:noWrap w:val="0"/>
            <w:vAlign w:val="center"/>
          </w:tcPr>
          <w:p w14:paraId="16A8D4DD">
            <w:pPr>
              <w:rPr>
                <w:rFonts w:hint="eastAsia" w:ascii="仿宋_GB2312" w:hAnsi="仿宋_GB2312" w:eastAsia="仿宋_GB2312" w:cs="仿宋_GB2312"/>
                <w:i w:val="0"/>
                <w:iCs w:val="0"/>
                <w:color w:val="000000"/>
                <w:kern w:val="0"/>
                <w:sz w:val="24"/>
                <w:szCs w:val="24"/>
                <w:u w:val="none"/>
                <w:lang w:val="en-US" w:eastAsia="zh-CN" w:bidi="ar"/>
              </w:rPr>
            </w:pPr>
          </w:p>
        </w:tc>
      </w:tr>
      <w:tr w14:paraId="5344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801" w:type="dxa"/>
            <w:noWrap w:val="0"/>
            <w:vAlign w:val="center"/>
          </w:tcPr>
          <w:p w14:paraId="1BB1AEB1">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报名时间</w:t>
            </w:r>
          </w:p>
        </w:tc>
        <w:tc>
          <w:tcPr>
            <w:tcW w:w="7123" w:type="dxa"/>
            <w:gridSpan w:val="3"/>
            <w:noWrap w:val="0"/>
            <w:vAlign w:val="center"/>
          </w:tcPr>
          <w:p w14:paraId="7DB664A7">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bl>
    <w:p w14:paraId="2DF84D88">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0BCF5D">
      <w:pPr>
        <w:pStyle w:val="8"/>
        <w:adjustRightInd w:val="0"/>
        <w:snapToGrid w:val="0"/>
        <w:spacing w:line="540" w:lineRule="exact"/>
        <w:outlineLvl w:val="1"/>
        <w:rPr>
          <w:rFonts w:hint="eastAsia" w:ascii="仿宋_GB2312" w:hAnsi="华文仿宋" w:eastAsia="仿宋_GB2312"/>
          <w:b/>
          <w:bCs/>
          <w:sz w:val="24"/>
          <w:szCs w:val="28"/>
          <w:lang w:eastAsia="zh-CN"/>
        </w:rPr>
      </w:pPr>
      <w:r>
        <w:rPr>
          <w:rStyle w:val="13"/>
          <w:rFonts w:hint="eastAsia" w:ascii="仿宋_GB2312" w:hAnsi="华文仿宋" w:eastAsia="仿宋_GB2312"/>
          <w:sz w:val="24"/>
          <w:szCs w:val="28"/>
        </w:rPr>
        <w:t>附件</w:t>
      </w:r>
      <w:r>
        <w:rPr>
          <w:rStyle w:val="13"/>
          <w:rFonts w:hint="eastAsia" w:ascii="仿宋_GB2312" w:hAnsi="华文仿宋" w:eastAsia="仿宋_GB2312"/>
          <w:sz w:val="24"/>
          <w:szCs w:val="28"/>
          <w:lang w:val="en-US" w:eastAsia="zh-CN"/>
        </w:rPr>
        <w:t>六</w:t>
      </w:r>
    </w:p>
    <w:p w14:paraId="597DBBBD">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项目名称：</w:t>
      </w:r>
    </w:p>
    <w:p w14:paraId="1012511A">
      <w:pPr>
        <w:pStyle w:val="2"/>
        <w:rPr>
          <w:rFonts w:hint="eastAsia" w:ascii="仿宋_GB2312" w:hAnsi="仿宋_GB2312" w:eastAsia="仿宋_GB2312" w:cs="仿宋_GB2312"/>
          <w:i w:val="0"/>
          <w:iCs w:val="0"/>
          <w:color w:val="000000"/>
          <w:kern w:val="0"/>
          <w:sz w:val="24"/>
          <w:szCs w:val="24"/>
          <w:u w:val="none"/>
          <w:lang w:val="en-US" w:eastAsia="zh-CN" w:bidi="ar"/>
        </w:rPr>
      </w:pPr>
    </w:p>
    <w:p w14:paraId="6ADC08F5">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日期：  年   月   日</w:t>
      </w:r>
    </w:p>
    <w:p w14:paraId="0898C370">
      <w:pPr>
        <w:jc w:val="center"/>
        <w:rPr>
          <w:rFonts w:eastAsia="黑体"/>
          <w:b/>
          <w:bCs/>
          <w:sz w:val="28"/>
        </w:rPr>
      </w:pPr>
      <w:r>
        <w:rPr>
          <w:rFonts w:hint="eastAsia" w:eastAsia="黑体"/>
          <w:b/>
          <w:bCs/>
          <w:sz w:val="28"/>
        </w:rPr>
        <w:t>投标保证金退付表</w:t>
      </w:r>
    </w:p>
    <w:tbl>
      <w:tblPr>
        <w:tblStyle w:val="9"/>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F36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A5CF673">
            <w:pPr>
              <w:pStyle w:val="8"/>
              <w:spacing w:line="360" w:lineRule="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投标人单位名称：</w:t>
            </w:r>
          </w:p>
        </w:tc>
      </w:tr>
      <w:tr w14:paraId="4FF2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1120419E">
            <w:pPr>
              <w:pStyle w:val="8"/>
              <w:spacing w:line="360" w:lineRule="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开户银行：</w:t>
            </w:r>
          </w:p>
        </w:tc>
      </w:tr>
      <w:tr w14:paraId="18B4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5456E87B">
            <w:pPr>
              <w:pStyle w:val="8"/>
              <w:spacing w:line="360" w:lineRule="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户名：</w:t>
            </w:r>
          </w:p>
        </w:tc>
      </w:tr>
      <w:tr w14:paraId="3B42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7690CE85">
            <w:pPr>
              <w:pStyle w:val="8"/>
              <w:spacing w:line="360" w:lineRule="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账号：</w:t>
            </w:r>
          </w:p>
        </w:tc>
      </w:tr>
      <w:tr w14:paraId="0156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591BB1FA">
            <w:pPr>
              <w:pStyle w:val="8"/>
              <w:spacing w:line="360" w:lineRule="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联行号：</w:t>
            </w:r>
          </w:p>
        </w:tc>
      </w:tr>
      <w:tr w14:paraId="2B8D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14:paraId="60485A47">
            <w:pPr>
              <w:pStyle w:val="8"/>
              <w:spacing w:line="360" w:lineRule="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纳税人识别号：</w:t>
            </w:r>
          </w:p>
        </w:tc>
      </w:tr>
    </w:tbl>
    <w:p w14:paraId="176D8DD1">
      <w:pPr>
        <w:pStyle w:val="8"/>
        <w:spacing w:line="360" w:lineRule="auto"/>
        <w:ind w:left="5250" w:firstLine="240" w:firstLineChars="100"/>
        <w:rPr>
          <w:rFonts w:ascii="仿宋_GB2312" w:hAnsi="宋体" w:eastAsia="仿宋_GB2312"/>
          <w:color w:val="000000"/>
          <w:sz w:val="24"/>
        </w:rPr>
      </w:pPr>
    </w:p>
    <w:p w14:paraId="11415EA7">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投标人名称（盖章）：              法定代表人或授权代表签字：</w:t>
      </w:r>
    </w:p>
    <w:p w14:paraId="4CBCAE18">
      <w:pPr>
        <w:rPr>
          <w:rFonts w:hint="default" w:ascii="仿宋_GB2312" w:hAnsi="仿宋_GB2312" w:eastAsia="仿宋_GB2312" w:cs="仿宋_GB2312"/>
          <w:i w:val="0"/>
          <w:iCs w:val="0"/>
          <w:color w:val="000000"/>
          <w:kern w:val="0"/>
          <w:sz w:val="24"/>
          <w:szCs w:val="24"/>
          <w:u w:val="none"/>
          <w:lang w:val="en-US" w:eastAsia="zh-CN" w:bidi="ar"/>
        </w:rPr>
      </w:pPr>
    </w:p>
    <w:p w14:paraId="094A4AB6">
      <w:pPr>
        <w:pStyle w:val="8"/>
        <w:adjustRightInd w:val="0"/>
        <w:snapToGrid w:val="0"/>
        <w:spacing w:line="540" w:lineRule="exact"/>
        <w:outlineLvl w:val="1"/>
        <w:rPr>
          <w:rStyle w:val="13"/>
          <w:rFonts w:hint="eastAsia" w:ascii="仿宋" w:hAnsi="仿宋" w:eastAsia="仿宋_GB2312"/>
          <w:sz w:val="24"/>
          <w:szCs w:val="28"/>
          <w:lang w:eastAsia="zh-CN"/>
        </w:rPr>
      </w:pPr>
      <w:r>
        <w:rPr>
          <w:rStyle w:val="13"/>
          <w:rFonts w:hint="eastAsia" w:ascii="仿宋_GB2312" w:hAnsi="华文仿宋" w:eastAsia="仿宋_GB2312"/>
          <w:sz w:val="24"/>
          <w:szCs w:val="28"/>
        </w:rPr>
        <w:t>附</w:t>
      </w:r>
      <w:r>
        <w:rPr>
          <w:rStyle w:val="13"/>
          <w:rFonts w:hint="eastAsia" w:ascii="仿宋_GB2312" w:hAnsi="华文仿宋" w:eastAsia="仿宋_GB2312"/>
          <w:sz w:val="24"/>
          <w:szCs w:val="28"/>
          <w:lang w:val="en-US" w:eastAsia="zh-CN"/>
        </w:rPr>
        <w:t>件</w:t>
      </w:r>
      <w:r>
        <w:rPr>
          <w:rStyle w:val="13"/>
          <w:rFonts w:hint="eastAsia" w:hAnsi="宋体" w:eastAsia="宋体" w:cs="宋体"/>
          <w:sz w:val="24"/>
          <w:szCs w:val="28"/>
          <w:lang w:val="en-US" w:eastAsia="zh-CN"/>
        </w:rPr>
        <w:t>七</w:t>
      </w:r>
    </w:p>
    <w:p w14:paraId="6E03E88B">
      <w:pPr>
        <w:adjustRightInd w:val="0"/>
        <w:snapToGrid w:val="0"/>
        <w:spacing w:line="540" w:lineRule="exact"/>
        <w:jc w:val="center"/>
        <w:rPr>
          <w:rFonts w:hint="eastAsia" w:ascii="仿宋" w:hAnsi="仿宋" w:eastAsia="仿宋"/>
          <w:b/>
          <w:sz w:val="40"/>
          <w:szCs w:val="44"/>
        </w:rPr>
      </w:pPr>
      <w:r>
        <w:rPr>
          <w:rFonts w:hint="eastAsia" w:ascii="仿宋" w:hAnsi="仿宋" w:eastAsia="仿宋"/>
          <w:b/>
          <w:sz w:val="40"/>
          <w:szCs w:val="44"/>
          <w:lang w:val="en-US" w:eastAsia="zh-CN"/>
        </w:rPr>
        <w:t>开标一览</w:t>
      </w:r>
      <w:r>
        <w:rPr>
          <w:rFonts w:hint="eastAsia" w:ascii="仿宋" w:hAnsi="仿宋" w:eastAsia="仿宋"/>
          <w:b/>
          <w:sz w:val="40"/>
          <w:szCs w:val="44"/>
        </w:rPr>
        <w:t>表</w:t>
      </w:r>
    </w:p>
    <w:p w14:paraId="14D600CD">
      <w:pPr>
        <w:adjustRightInd w:val="0"/>
        <w:snapToGrid w:val="0"/>
        <w:spacing w:line="540" w:lineRule="exact"/>
        <w:ind w:firstLine="480" w:firstLineChars="200"/>
        <w:jc w:val="left"/>
        <w:rPr>
          <w:rFonts w:hint="eastAsia" w:ascii="仿宋" w:hAnsi="仿宋" w:eastAsia="仿宋"/>
          <w:sz w:val="24"/>
          <w:szCs w:val="28"/>
        </w:rPr>
      </w:pPr>
      <w:r>
        <w:rPr>
          <w:rFonts w:hint="eastAsia" w:ascii="仿宋" w:hAnsi="仿宋" w:eastAsia="仿宋"/>
          <w:sz w:val="24"/>
          <w:szCs w:val="28"/>
        </w:rPr>
        <w:t>投标单位</w:t>
      </w:r>
      <w:r>
        <w:rPr>
          <w:rFonts w:ascii="仿宋" w:hAnsi="仿宋" w:eastAsia="仿宋"/>
          <w:sz w:val="24"/>
          <w:szCs w:val="28"/>
        </w:rPr>
        <w:t>(</w:t>
      </w:r>
      <w:r>
        <w:rPr>
          <w:rFonts w:hint="eastAsia" w:ascii="仿宋" w:hAnsi="仿宋" w:eastAsia="仿宋"/>
          <w:sz w:val="24"/>
          <w:szCs w:val="28"/>
        </w:rPr>
        <w:t>章</w:t>
      </w:r>
      <w:r>
        <w:rPr>
          <w:rFonts w:ascii="仿宋" w:hAnsi="仿宋" w:eastAsia="仿宋"/>
          <w:sz w:val="24"/>
          <w:szCs w:val="28"/>
        </w:rPr>
        <w:t>)</w:t>
      </w:r>
      <w:r>
        <w:rPr>
          <w:rFonts w:hint="eastAsia" w:ascii="仿宋" w:hAnsi="仿宋" w:eastAsia="仿宋"/>
          <w:sz w:val="24"/>
          <w:szCs w:val="28"/>
        </w:rPr>
        <w:t>：                                                     项目名称：</w:t>
      </w:r>
      <w:r>
        <w:rPr>
          <w:rFonts w:hint="eastAsia" w:ascii="仿宋" w:hAnsi="仿宋" w:eastAsia="仿宋"/>
          <w:sz w:val="24"/>
          <w:szCs w:val="28"/>
          <w:lang w:val="en-US" w:eastAsia="zh-CN"/>
        </w:rPr>
        <w:t>2025年消防类培训服务项目</w:t>
      </w:r>
    </w:p>
    <w:tbl>
      <w:tblPr>
        <w:tblStyle w:val="9"/>
        <w:tblW w:w="0" w:type="auto"/>
        <w:tblInd w:w="118" w:type="dxa"/>
        <w:tblLayout w:type="autofit"/>
        <w:tblCellMar>
          <w:top w:w="0" w:type="dxa"/>
          <w:left w:w="108" w:type="dxa"/>
          <w:bottom w:w="0" w:type="dxa"/>
          <w:right w:w="108" w:type="dxa"/>
        </w:tblCellMar>
      </w:tblPr>
      <w:tblGrid>
        <w:gridCol w:w="575"/>
        <w:gridCol w:w="2249"/>
        <w:gridCol w:w="575"/>
        <w:gridCol w:w="575"/>
        <w:gridCol w:w="1211"/>
        <w:gridCol w:w="1211"/>
        <w:gridCol w:w="1211"/>
        <w:gridCol w:w="575"/>
        <w:gridCol w:w="222"/>
      </w:tblGrid>
      <w:tr w14:paraId="5747AD79">
        <w:tblPrEx>
          <w:tblCellMar>
            <w:top w:w="0" w:type="dxa"/>
            <w:left w:w="108" w:type="dxa"/>
            <w:bottom w:w="0" w:type="dxa"/>
            <w:right w:w="108" w:type="dxa"/>
          </w:tblCellMar>
        </w:tblPrEx>
        <w:trPr>
          <w:gridAfter w:val="1"/>
          <w:wAfter w:w="0" w:type="auto"/>
          <w:trHeight w:val="1005" w:hRule="atLeast"/>
        </w:trPr>
        <w:tc>
          <w:tcPr>
            <w:tcW w:w="0" w:type="auto"/>
            <w:tcBorders>
              <w:top w:val="single" w:color="auto" w:sz="8" w:space="0"/>
              <w:left w:val="single" w:color="auto" w:sz="8" w:space="0"/>
              <w:bottom w:val="single" w:color="auto" w:sz="8" w:space="0"/>
              <w:right w:val="single" w:color="auto" w:sz="8" w:space="0"/>
            </w:tcBorders>
            <w:noWrap w:val="0"/>
            <w:vAlign w:val="center"/>
          </w:tcPr>
          <w:p w14:paraId="776C2D8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序号</w:t>
            </w:r>
          </w:p>
        </w:tc>
        <w:tc>
          <w:tcPr>
            <w:tcW w:w="0" w:type="auto"/>
            <w:tcBorders>
              <w:top w:val="single" w:color="auto" w:sz="8" w:space="0"/>
              <w:left w:val="nil"/>
              <w:bottom w:val="single" w:color="auto" w:sz="8" w:space="0"/>
              <w:right w:val="nil"/>
            </w:tcBorders>
            <w:noWrap w:val="0"/>
            <w:vAlign w:val="center"/>
          </w:tcPr>
          <w:p w14:paraId="598C86C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项目名称</w:t>
            </w:r>
          </w:p>
        </w:tc>
        <w:tc>
          <w:tcPr>
            <w:tcW w:w="0" w:type="auto"/>
            <w:tcBorders>
              <w:top w:val="single" w:color="auto" w:sz="8" w:space="0"/>
              <w:left w:val="single" w:color="auto" w:sz="8" w:space="0"/>
              <w:bottom w:val="single" w:color="auto" w:sz="8" w:space="0"/>
              <w:right w:val="single" w:color="auto" w:sz="8" w:space="0"/>
            </w:tcBorders>
            <w:noWrap w:val="0"/>
            <w:vAlign w:val="center"/>
          </w:tcPr>
          <w:p w14:paraId="6FB1428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单位</w:t>
            </w:r>
          </w:p>
        </w:tc>
        <w:tc>
          <w:tcPr>
            <w:tcW w:w="0" w:type="auto"/>
            <w:tcBorders>
              <w:top w:val="single" w:color="auto" w:sz="8" w:space="0"/>
              <w:left w:val="nil"/>
              <w:bottom w:val="single" w:color="auto" w:sz="8" w:space="0"/>
              <w:right w:val="single" w:color="auto" w:sz="8" w:space="0"/>
            </w:tcBorders>
            <w:noWrap w:val="0"/>
            <w:vAlign w:val="center"/>
          </w:tcPr>
          <w:p w14:paraId="0AC5DA1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数量</w:t>
            </w:r>
          </w:p>
        </w:tc>
        <w:tc>
          <w:tcPr>
            <w:tcW w:w="0" w:type="auto"/>
            <w:tcBorders>
              <w:top w:val="single" w:color="auto" w:sz="8" w:space="0"/>
              <w:left w:val="nil"/>
              <w:bottom w:val="single" w:color="auto" w:sz="8" w:space="0"/>
              <w:right w:val="single" w:color="auto" w:sz="8" w:space="0"/>
            </w:tcBorders>
            <w:noWrap w:val="0"/>
            <w:vAlign w:val="center"/>
          </w:tcPr>
          <w:p w14:paraId="309C89E7">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单价（含税）</w:t>
            </w:r>
          </w:p>
        </w:tc>
        <w:tc>
          <w:tcPr>
            <w:tcW w:w="0" w:type="auto"/>
            <w:tcBorders>
              <w:top w:val="single" w:color="auto" w:sz="8" w:space="0"/>
              <w:left w:val="nil"/>
              <w:bottom w:val="single" w:color="auto" w:sz="8" w:space="0"/>
              <w:right w:val="single" w:color="auto" w:sz="8" w:space="0"/>
            </w:tcBorders>
            <w:noWrap w:val="0"/>
            <w:vAlign w:val="center"/>
          </w:tcPr>
          <w:p w14:paraId="28FD60BC">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单价（未税）</w:t>
            </w:r>
          </w:p>
        </w:tc>
        <w:tc>
          <w:tcPr>
            <w:tcW w:w="0" w:type="auto"/>
            <w:tcBorders>
              <w:top w:val="single" w:color="auto" w:sz="8" w:space="0"/>
              <w:left w:val="nil"/>
              <w:bottom w:val="single" w:color="auto" w:sz="8" w:space="0"/>
              <w:right w:val="single" w:color="auto" w:sz="8" w:space="0"/>
            </w:tcBorders>
            <w:noWrap w:val="0"/>
            <w:vAlign w:val="center"/>
          </w:tcPr>
          <w:p w14:paraId="54315806">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总价（含税）</w:t>
            </w:r>
          </w:p>
        </w:tc>
        <w:tc>
          <w:tcPr>
            <w:tcW w:w="0" w:type="auto"/>
            <w:tcBorders>
              <w:top w:val="single" w:color="auto" w:sz="8" w:space="0"/>
              <w:left w:val="nil"/>
              <w:bottom w:val="single" w:color="auto" w:sz="8" w:space="0"/>
              <w:right w:val="single" w:color="auto" w:sz="8" w:space="0"/>
            </w:tcBorders>
            <w:noWrap w:val="0"/>
            <w:vAlign w:val="center"/>
          </w:tcPr>
          <w:p w14:paraId="42A35FC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备注</w:t>
            </w:r>
          </w:p>
        </w:tc>
      </w:tr>
      <w:tr w14:paraId="08FAA28F">
        <w:tblPrEx>
          <w:tblCellMar>
            <w:top w:w="0" w:type="dxa"/>
            <w:left w:w="108" w:type="dxa"/>
            <w:bottom w:w="0" w:type="dxa"/>
            <w:right w:w="108" w:type="dxa"/>
          </w:tblCellMar>
        </w:tblPrEx>
        <w:trPr>
          <w:gridAfter w:val="1"/>
          <w:wAfter w:w="0" w:type="auto"/>
          <w:trHeight w:val="660" w:hRule="atLeast"/>
        </w:trPr>
        <w:tc>
          <w:tcPr>
            <w:tcW w:w="0" w:type="auto"/>
            <w:vMerge w:val="restart"/>
            <w:tcBorders>
              <w:top w:val="nil"/>
              <w:left w:val="single" w:color="auto" w:sz="8" w:space="0"/>
              <w:bottom w:val="single" w:color="000000" w:sz="8" w:space="0"/>
              <w:right w:val="single" w:color="auto" w:sz="8" w:space="0"/>
            </w:tcBorders>
            <w:noWrap w:val="0"/>
            <w:vAlign w:val="center"/>
          </w:tcPr>
          <w:p w14:paraId="4F7078C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0" w:type="auto"/>
            <w:vMerge w:val="restart"/>
            <w:tcBorders>
              <w:top w:val="nil"/>
              <w:left w:val="single" w:color="auto" w:sz="8" w:space="0"/>
              <w:bottom w:val="single" w:color="000000" w:sz="8" w:space="0"/>
              <w:right w:val="single" w:color="auto" w:sz="8" w:space="0"/>
            </w:tcBorders>
            <w:noWrap w:val="0"/>
            <w:vAlign w:val="center"/>
          </w:tcPr>
          <w:p w14:paraId="380418BB">
            <w:pPr>
              <w:widowControl/>
              <w:jc w:val="center"/>
              <w:rPr>
                <w:rFonts w:hint="eastAsia" w:ascii="仿宋" w:hAnsi="仿宋" w:eastAsia="仿宋" w:cs="宋体"/>
                <w:color w:val="000000"/>
                <w:kern w:val="0"/>
                <w:sz w:val="22"/>
                <w:szCs w:val="22"/>
              </w:rPr>
            </w:pPr>
            <w:r>
              <w:rPr>
                <w:rFonts w:hint="eastAsia" w:ascii="仿宋" w:hAnsi="仿宋" w:eastAsia="仿宋"/>
                <w:sz w:val="24"/>
                <w:szCs w:val="28"/>
                <w:lang w:val="en-US" w:eastAsia="zh-CN"/>
              </w:rPr>
              <w:t>2025年消防类培训服务项目</w:t>
            </w:r>
          </w:p>
        </w:tc>
        <w:tc>
          <w:tcPr>
            <w:tcW w:w="0" w:type="auto"/>
            <w:vMerge w:val="restart"/>
            <w:tcBorders>
              <w:top w:val="nil"/>
              <w:left w:val="single" w:color="auto" w:sz="8" w:space="0"/>
              <w:bottom w:val="single" w:color="000000" w:sz="8" w:space="0"/>
              <w:right w:val="single" w:color="auto" w:sz="8" w:space="0"/>
            </w:tcBorders>
            <w:noWrap w:val="0"/>
            <w:vAlign w:val="center"/>
          </w:tcPr>
          <w:p w14:paraId="34F26392">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项</w:t>
            </w:r>
          </w:p>
        </w:tc>
        <w:tc>
          <w:tcPr>
            <w:tcW w:w="0" w:type="auto"/>
            <w:vMerge w:val="restart"/>
            <w:tcBorders>
              <w:top w:val="nil"/>
              <w:left w:val="single" w:color="auto" w:sz="8" w:space="0"/>
              <w:bottom w:val="single" w:color="000000" w:sz="8" w:space="0"/>
              <w:right w:val="single" w:color="auto" w:sz="8" w:space="0"/>
            </w:tcBorders>
            <w:noWrap w:val="0"/>
            <w:vAlign w:val="center"/>
          </w:tcPr>
          <w:p w14:paraId="57993FCF">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0" w:type="auto"/>
            <w:vMerge w:val="restart"/>
            <w:tcBorders>
              <w:top w:val="nil"/>
              <w:left w:val="single" w:color="auto" w:sz="8" w:space="0"/>
              <w:bottom w:val="single" w:color="000000" w:sz="8" w:space="0"/>
              <w:right w:val="single" w:color="auto" w:sz="8" w:space="0"/>
            </w:tcBorders>
            <w:noWrap w:val="0"/>
            <w:vAlign w:val="center"/>
          </w:tcPr>
          <w:p w14:paraId="235B70CB">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0" w:type="auto"/>
            <w:vMerge w:val="restart"/>
            <w:tcBorders>
              <w:top w:val="nil"/>
              <w:left w:val="single" w:color="auto" w:sz="8" w:space="0"/>
              <w:bottom w:val="single" w:color="000000" w:sz="8" w:space="0"/>
              <w:right w:val="single" w:color="auto" w:sz="8" w:space="0"/>
            </w:tcBorders>
            <w:noWrap w:val="0"/>
            <w:vAlign w:val="center"/>
          </w:tcPr>
          <w:p w14:paraId="2351DC13">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0" w:type="auto"/>
            <w:vMerge w:val="restart"/>
            <w:tcBorders>
              <w:top w:val="nil"/>
              <w:left w:val="single" w:color="auto" w:sz="8" w:space="0"/>
              <w:bottom w:val="single" w:color="000000" w:sz="8" w:space="0"/>
              <w:right w:val="single" w:color="auto" w:sz="8" w:space="0"/>
            </w:tcBorders>
            <w:noWrap w:val="0"/>
            <w:vAlign w:val="center"/>
          </w:tcPr>
          <w:p w14:paraId="755AC6D4">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0" w:type="auto"/>
            <w:vMerge w:val="restart"/>
            <w:tcBorders>
              <w:top w:val="nil"/>
              <w:left w:val="single" w:color="auto" w:sz="8" w:space="0"/>
              <w:right w:val="single" w:color="auto" w:sz="8" w:space="0"/>
            </w:tcBorders>
            <w:noWrap w:val="0"/>
            <w:vAlign w:val="center"/>
          </w:tcPr>
          <w:p w14:paraId="4370E1AA">
            <w:pPr>
              <w:widowControl/>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14:paraId="5E57442B">
        <w:tblPrEx>
          <w:tblCellMar>
            <w:top w:w="0" w:type="dxa"/>
            <w:left w:w="108" w:type="dxa"/>
            <w:bottom w:w="0" w:type="dxa"/>
            <w:right w:w="108" w:type="dxa"/>
          </w:tblCellMar>
        </w:tblPrEx>
        <w:trPr>
          <w:trHeight w:val="675" w:hRule="atLeast"/>
        </w:trPr>
        <w:tc>
          <w:tcPr>
            <w:tcW w:w="0" w:type="auto"/>
            <w:vMerge w:val="continue"/>
            <w:tcBorders>
              <w:top w:val="nil"/>
              <w:left w:val="single" w:color="auto" w:sz="8" w:space="0"/>
              <w:bottom w:val="single" w:color="000000" w:sz="8" w:space="0"/>
              <w:right w:val="single" w:color="auto" w:sz="8" w:space="0"/>
            </w:tcBorders>
            <w:noWrap w:val="0"/>
            <w:vAlign w:val="center"/>
          </w:tcPr>
          <w:p w14:paraId="6E2F0F9A">
            <w:pPr>
              <w:widowControl/>
              <w:jc w:val="left"/>
              <w:rPr>
                <w:rFonts w:ascii="仿宋" w:hAnsi="仿宋" w:eastAsia="仿宋" w:cs="宋体"/>
                <w:color w:val="000000"/>
                <w:kern w:val="0"/>
                <w:sz w:val="22"/>
                <w:szCs w:val="22"/>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57AAF2C6">
            <w:pPr>
              <w:widowControl/>
              <w:jc w:val="left"/>
              <w:rPr>
                <w:rFonts w:ascii="仿宋" w:hAnsi="仿宋" w:eastAsia="仿宋" w:cs="宋体"/>
                <w:color w:val="000000"/>
                <w:kern w:val="0"/>
                <w:sz w:val="22"/>
                <w:szCs w:val="22"/>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475102A8">
            <w:pPr>
              <w:widowControl/>
              <w:jc w:val="left"/>
              <w:rPr>
                <w:rFonts w:ascii="仿宋" w:hAnsi="仿宋" w:eastAsia="仿宋" w:cs="宋体"/>
                <w:color w:val="000000"/>
                <w:kern w:val="0"/>
                <w:sz w:val="22"/>
                <w:szCs w:val="22"/>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1DC6F55D">
            <w:pPr>
              <w:widowControl/>
              <w:jc w:val="left"/>
              <w:rPr>
                <w:rFonts w:ascii="仿宋" w:hAnsi="仿宋" w:eastAsia="仿宋" w:cs="宋体"/>
                <w:color w:val="000000"/>
                <w:kern w:val="0"/>
                <w:sz w:val="22"/>
                <w:szCs w:val="22"/>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521CCB40">
            <w:pPr>
              <w:widowControl/>
              <w:jc w:val="left"/>
              <w:rPr>
                <w:rFonts w:ascii="仿宋" w:hAnsi="仿宋" w:eastAsia="仿宋" w:cs="宋体"/>
                <w:color w:val="000000"/>
                <w:kern w:val="0"/>
                <w:sz w:val="22"/>
                <w:szCs w:val="22"/>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6B476EF2">
            <w:pPr>
              <w:widowControl/>
              <w:jc w:val="left"/>
              <w:rPr>
                <w:rFonts w:ascii="仿宋" w:hAnsi="仿宋" w:eastAsia="仿宋" w:cs="宋体"/>
                <w:color w:val="000000"/>
                <w:kern w:val="0"/>
                <w:sz w:val="22"/>
                <w:szCs w:val="22"/>
              </w:rPr>
            </w:pPr>
          </w:p>
        </w:tc>
        <w:tc>
          <w:tcPr>
            <w:tcW w:w="0" w:type="auto"/>
            <w:vMerge w:val="continue"/>
            <w:tcBorders>
              <w:top w:val="nil"/>
              <w:left w:val="single" w:color="auto" w:sz="8" w:space="0"/>
              <w:bottom w:val="single" w:color="000000" w:sz="8" w:space="0"/>
              <w:right w:val="single" w:color="auto" w:sz="8" w:space="0"/>
            </w:tcBorders>
            <w:noWrap w:val="0"/>
            <w:vAlign w:val="center"/>
          </w:tcPr>
          <w:p w14:paraId="09B39280">
            <w:pPr>
              <w:widowControl/>
              <w:jc w:val="left"/>
              <w:rPr>
                <w:rFonts w:ascii="仿宋" w:hAnsi="仿宋" w:eastAsia="仿宋" w:cs="宋体"/>
                <w:color w:val="000000"/>
                <w:kern w:val="0"/>
                <w:sz w:val="22"/>
                <w:szCs w:val="22"/>
              </w:rPr>
            </w:pPr>
          </w:p>
        </w:tc>
        <w:tc>
          <w:tcPr>
            <w:tcW w:w="0" w:type="auto"/>
            <w:vMerge w:val="continue"/>
            <w:tcBorders>
              <w:left w:val="single" w:color="auto" w:sz="8" w:space="0"/>
              <w:bottom w:val="single" w:color="000000" w:sz="8" w:space="0"/>
              <w:right w:val="single" w:color="auto" w:sz="8" w:space="0"/>
            </w:tcBorders>
            <w:noWrap w:val="0"/>
            <w:vAlign w:val="center"/>
          </w:tcPr>
          <w:p w14:paraId="4072A108">
            <w:pPr>
              <w:widowControl/>
              <w:jc w:val="left"/>
              <w:rPr>
                <w:rFonts w:ascii="仿宋" w:hAnsi="仿宋" w:eastAsia="仿宋" w:cs="宋体"/>
                <w:color w:val="000000"/>
                <w:kern w:val="0"/>
                <w:sz w:val="22"/>
                <w:szCs w:val="22"/>
              </w:rPr>
            </w:pPr>
          </w:p>
        </w:tc>
        <w:tc>
          <w:tcPr>
            <w:tcW w:w="0" w:type="auto"/>
            <w:tcBorders>
              <w:top w:val="nil"/>
              <w:left w:val="nil"/>
              <w:bottom w:val="nil"/>
              <w:right w:val="nil"/>
            </w:tcBorders>
            <w:noWrap/>
            <w:vAlign w:val="bottom"/>
          </w:tcPr>
          <w:p w14:paraId="2C8E0C16">
            <w:pPr>
              <w:widowControl/>
              <w:jc w:val="center"/>
              <w:rPr>
                <w:rFonts w:hint="eastAsia" w:ascii="仿宋" w:hAnsi="仿宋" w:eastAsia="仿宋" w:cs="宋体"/>
                <w:color w:val="000000"/>
                <w:kern w:val="0"/>
                <w:sz w:val="22"/>
                <w:szCs w:val="22"/>
              </w:rPr>
            </w:pPr>
          </w:p>
        </w:tc>
      </w:tr>
      <w:tr w14:paraId="5930CB01">
        <w:tblPrEx>
          <w:tblCellMar>
            <w:top w:w="0" w:type="dxa"/>
            <w:left w:w="108" w:type="dxa"/>
            <w:bottom w:w="0" w:type="dxa"/>
            <w:right w:w="108" w:type="dxa"/>
          </w:tblCellMar>
        </w:tblPrEx>
        <w:trPr>
          <w:trHeight w:val="923" w:hRule="atLeast"/>
        </w:trPr>
        <w:tc>
          <w:tcPr>
            <w:tcW w:w="0" w:type="auto"/>
            <w:gridSpan w:val="8"/>
            <w:tcBorders>
              <w:top w:val="single" w:color="auto" w:sz="8" w:space="0"/>
              <w:left w:val="single" w:color="auto" w:sz="8" w:space="0"/>
              <w:bottom w:val="single" w:color="auto" w:sz="8" w:space="0"/>
              <w:right w:val="single" w:color="000000" w:sz="8" w:space="0"/>
            </w:tcBorders>
            <w:noWrap w:val="0"/>
            <w:vAlign w:val="center"/>
          </w:tcPr>
          <w:p w14:paraId="61827E55">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合  计：               （含税）</w:t>
            </w:r>
          </w:p>
        </w:tc>
        <w:tc>
          <w:tcPr>
            <w:tcW w:w="0" w:type="auto"/>
            <w:noWrap w:val="0"/>
            <w:vAlign w:val="center"/>
          </w:tcPr>
          <w:p w14:paraId="5228EB84">
            <w:pPr>
              <w:widowControl/>
              <w:jc w:val="left"/>
              <w:rPr>
                <w:rFonts w:eastAsia="Times New Roman"/>
                <w:kern w:val="0"/>
                <w:sz w:val="20"/>
                <w:szCs w:val="20"/>
              </w:rPr>
            </w:pPr>
          </w:p>
        </w:tc>
      </w:tr>
      <w:tr w14:paraId="3A892C65">
        <w:tblPrEx>
          <w:tblCellMar>
            <w:top w:w="0" w:type="dxa"/>
            <w:left w:w="108" w:type="dxa"/>
            <w:bottom w:w="0" w:type="dxa"/>
            <w:right w:w="108" w:type="dxa"/>
          </w:tblCellMar>
        </w:tblPrEx>
        <w:trPr>
          <w:trHeight w:val="932" w:hRule="atLeast"/>
        </w:trPr>
        <w:tc>
          <w:tcPr>
            <w:tcW w:w="0" w:type="auto"/>
            <w:gridSpan w:val="8"/>
            <w:tcBorders>
              <w:top w:val="single" w:color="auto" w:sz="8" w:space="0"/>
              <w:left w:val="single" w:color="auto" w:sz="8" w:space="0"/>
              <w:bottom w:val="single" w:color="auto" w:sz="8" w:space="0"/>
              <w:right w:val="single" w:color="000000" w:sz="8" w:space="0"/>
            </w:tcBorders>
            <w:noWrap w:val="0"/>
            <w:vAlign w:val="center"/>
          </w:tcPr>
          <w:p w14:paraId="0C7E0624">
            <w:pPr>
              <w:widowControl/>
              <w:jc w:val="left"/>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投标总价(大写)：</w:t>
            </w:r>
          </w:p>
        </w:tc>
        <w:tc>
          <w:tcPr>
            <w:tcW w:w="0" w:type="auto"/>
            <w:noWrap w:val="0"/>
            <w:vAlign w:val="center"/>
          </w:tcPr>
          <w:p w14:paraId="72FC3A9C">
            <w:pPr>
              <w:widowControl/>
              <w:jc w:val="left"/>
              <w:rPr>
                <w:rFonts w:eastAsia="Times New Roman"/>
                <w:kern w:val="0"/>
                <w:sz w:val="20"/>
                <w:szCs w:val="20"/>
              </w:rPr>
            </w:pPr>
          </w:p>
        </w:tc>
      </w:tr>
    </w:tbl>
    <w:p w14:paraId="05FFC2A1">
      <w:pPr>
        <w:rPr>
          <w:rFonts w:hint="default" w:ascii="仿宋_GB2312" w:hAnsi="仿宋_GB2312" w:eastAsia="仿宋_GB2312" w:cs="仿宋_GB2312"/>
          <w:i w:val="0"/>
          <w:iCs w:val="0"/>
          <w:color w:val="000000"/>
          <w:kern w:val="0"/>
          <w:sz w:val="24"/>
          <w:szCs w:val="24"/>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B7BC2C6">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第二章 技术文件技术要求</w:t>
      </w:r>
    </w:p>
    <w:p w14:paraId="6B4A6A64">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一、项目名称</w:t>
      </w:r>
    </w:p>
    <w:p w14:paraId="51FBA1BA">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2025年消防类培训服务项目</w:t>
      </w:r>
    </w:p>
    <w:p w14:paraId="64EE0001">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二、标准化要求</w:t>
      </w:r>
    </w:p>
    <w:p w14:paraId="1E33B6EC">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1. 由中标单位对招标方现有消防安全培训需求的人员进行培训取证。</w:t>
      </w:r>
    </w:p>
    <w:p w14:paraId="2C8EAC4F">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2.培训项目内容：</w:t>
      </w:r>
    </w:p>
    <w:p w14:paraId="269359DC">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消防设施操作员（中级）、消防安全管理人员（中级）、应急救援员（初级）国家规定教材中所要求的培训内容及考试要求的内容。</w:t>
      </w:r>
    </w:p>
    <w:p w14:paraId="725AC795">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3.按照国家标准、地方标准及当地应急管理部门要求进行组织培训，要求培训教师为消防相关专家。</w:t>
      </w:r>
    </w:p>
    <w:p w14:paraId="56791CFE">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4.法律法规（包括但不限于以下现行规定）</w:t>
      </w:r>
    </w:p>
    <w:p w14:paraId="68F8BEF1">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《中华人民共和国消防法》、《机关、团体、企业、事业单位消防安全管理规定（公安部令第61号）》、《消防人员安全技术培训考核管理规定》等。</w:t>
      </w:r>
    </w:p>
    <w:p w14:paraId="026CF7B5">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三、技术服务要求</w:t>
      </w:r>
    </w:p>
    <w:p w14:paraId="27D8021E">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1.投标人应科学制定课程表，并提供完善的培训服务，有效组织培训课程顺利进行，保证培训质量。投标人负责培训取证工作，并在60日内下发证书并负责将证书以邮寄方式交于招标人。</w:t>
      </w:r>
    </w:p>
    <w:p w14:paraId="1E4AA66A">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 xml:space="preserve">2.投标人负责提供招标人培训人员所需要的学习资料及辅导资料。   </w:t>
      </w:r>
    </w:p>
    <w:p w14:paraId="61B9FD4C">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3.投标人应组织招标人所有参培人员通过参加培训并考试取证工作。</w:t>
      </w:r>
    </w:p>
    <w:p w14:paraId="271A664A">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4.投标人应在考试后及时通知招标人考试结果，对于考试未通过人员按照当地管理部门要求进行组织参加补考。</w:t>
      </w:r>
    </w:p>
    <w:p w14:paraId="72B8A8C8">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5.招标人有权对投标人的培训计划提出要求；有权对投标人培训内容达不到要求的提出整改意见。</w:t>
      </w:r>
    </w:p>
    <w:p w14:paraId="15AAA4F1">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6.投标人应当保证提供的文件和培训内容不得侵犯任何第三方的知识产权等相关权利，若因投标人提供文件或培训内容发生纠纷的，由投标人负责处理，秉承招标人因此遭受的损失。</w:t>
      </w:r>
    </w:p>
    <w:p w14:paraId="5722B867">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九、其他</w:t>
      </w:r>
    </w:p>
    <w:p w14:paraId="1E14BEE0">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1.投标人承诺对参与该项目所获得的与招标人产品相关的所有信息都予以保密，并承担与此相关的所有法律责任。</w:t>
      </w:r>
    </w:p>
    <w:p w14:paraId="6BC810C9">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b w:val="0"/>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b w:val="0"/>
          <w:bCs w:val="0"/>
          <w:kern w:val="0"/>
          <w:sz w:val="28"/>
          <w:szCs w:val="28"/>
          <w:lang w:val="en-US" w:eastAsia="zh-CN" w:bidi="ar-SA"/>
        </w:rPr>
        <w:t>2.其余未尽事宜，投标人应与招标人指派的答疑人员充分沟通，理解认可并接受相关技术规范及服务要求。</w:t>
      </w:r>
    </w:p>
    <w:p w14:paraId="0268B04E">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b w:val="0"/>
          <w:bCs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Dk5MWQ2ODkxYjIzNzI1YmVhYjkyYmE4NWMzNGUifQ=="/>
  </w:docVars>
  <w:rsids>
    <w:rsidRoot w:val="1A57674A"/>
    <w:rsid w:val="009301F6"/>
    <w:rsid w:val="00E60A9C"/>
    <w:rsid w:val="00E731B7"/>
    <w:rsid w:val="015A5BCA"/>
    <w:rsid w:val="02117558"/>
    <w:rsid w:val="026E7B3F"/>
    <w:rsid w:val="047D3B23"/>
    <w:rsid w:val="04956894"/>
    <w:rsid w:val="05850330"/>
    <w:rsid w:val="05C223A1"/>
    <w:rsid w:val="0A7B04A7"/>
    <w:rsid w:val="0CC7352F"/>
    <w:rsid w:val="0EBE27D3"/>
    <w:rsid w:val="0F0F11BE"/>
    <w:rsid w:val="10C3555F"/>
    <w:rsid w:val="11F72B09"/>
    <w:rsid w:val="17482977"/>
    <w:rsid w:val="17E00702"/>
    <w:rsid w:val="1A57674A"/>
    <w:rsid w:val="20C92CE4"/>
    <w:rsid w:val="2463402E"/>
    <w:rsid w:val="26E811C1"/>
    <w:rsid w:val="273C1A75"/>
    <w:rsid w:val="28F1556E"/>
    <w:rsid w:val="298949CD"/>
    <w:rsid w:val="29A9551B"/>
    <w:rsid w:val="2BA06421"/>
    <w:rsid w:val="2BF70663"/>
    <w:rsid w:val="2BFE18E9"/>
    <w:rsid w:val="2DCD34F3"/>
    <w:rsid w:val="2F833DD3"/>
    <w:rsid w:val="317F20FE"/>
    <w:rsid w:val="346C2A8B"/>
    <w:rsid w:val="34936269"/>
    <w:rsid w:val="34B07EC9"/>
    <w:rsid w:val="35700359"/>
    <w:rsid w:val="3698750E"/>
    <w:rsid w:val="36C03932"/>
    <w:rsid w:val="37EC7DD4"/>
    <w:rsid w:val="389B6977"/>
    <w:rsid w:val="3A123D1C"/>
    <w:rsid w:val="3A4E18A8"/>
    <w:rsid w:val="3AAB44DE"/>
    <w:rsid w:val="3B2F3576"/>
    <w:rsid w:val="3D105342"/>
    <w:rsid w:val="3DBF0F3B"/>
    <w:rsid w:val="3FBB52D5"/>
    <w:rsid w:val="40474F96"/>
    <w:rsid w:val="43853F8E"/>
    <w:rsid w:val="43A1494E"/>
    <w:rsid w:val="4470784E"/>
    <w:rsid w:val="45C846E9"/>
    <w:rsid w:val="483B78EF"/>
    <w:rsid w:val="48A75FB3"/>
    <w:rsid w:val="4D465280"/>
    <w:rsid w:val="4D660A00"/>
    <w:rsid w:val="4DB251C0"/>
    <w:rsid w:val="5221234E"/>
    <w:rsid w:val="530A3CC3"/>
    <w:rsid w:val="536618DF"/>
    <w:rsid w:val="53BD2699"/>
    <w:rsid w:val="54D97C1E"/>
    <w:rsid w:val="562C0023"/>
    <w:rsid w:val="56443B98"/>
    <w:rsid w:val="58A028C1"/>
    <w:rsid w:val="5A221ED3"/>
    <w:rsid w:val="5B6A7FC8"/>
    <w:rsid w:val="5BE71257"/>
    <w:rsid w:val="5C2C5B86"/>
    <w:rsid w:val="5D03284C"/>
    <w:rsid w:val="60457B87"/>
    <w:rsid w:val="65136DD9"/>
    <w:rsid w:val="652C4091"/>
    <w:rsid w:val="652F0797"/>
    <w:rsid w:val="653F56A8"/>
    <w:rsid w:val="69B824DD"/>
    <w:rsid w:val="6CAF393B"/>
    <w:rsid w:val="6CBE620D"/>
    <w:rsid w:val="6EC43E40"/>
    <w:rsid w:val="6F98298B"/>
    <w:rsid w:val="6F984BBE"/>
    <w:rsid w:val="6FB43F5C"/>
    <w:rsid w:val="7142381A"/>
    <w:rsid w:val="716D6BB8"/>
    <w:rsid w:val="72360EAF"/>
    <w:rsid w:val="72F871F1"/>
    <w:rsid w:val="76415A41"/>
    <w:rsid w:val="78C42189"/>
    <w:rsid w:val="79B549A7"/>
    <w:rsid w:val="7A613399"/>
    <w:rsid w:val="7A616335"/>
    <w:rsid w:val="7C8A5B42"/>
    <w:rsid w:val="7D3C6F98"/>
    <w:rsid w:val="7E7C0680"/>
    <w:rsid w:val="7F2F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5">
    <w:name w:val="heading 2"/>
    <w:basedOn w:val="1"/>
    <w:next w:val="1"/>
    <w:link w:val="13"/>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76" w:lineRule="auto"/>
      <w:ind w:firstLine="420" w:firstLineChars="200"/>
      <w:jc w:val="left"/>
    </w:pPr>
    <w:rPr>
      <w:rFonts w:ascii="Calibri" w:hAnsi="Calibri"/>
      <w:kern w:val="0"/>
      <w:sz w:val="22"/>
      <w:lang w:eastAsia="en-US"/>
    </w:rPr>
  </w:style>
  <w:style w:type="paragraph" w:styleId="3">
    <w:name w:val="Body Text Indent"/>
    <w:basedOn w:val="1"/>
    <w:qFormat/>
    <w:uiPriority w:val="0"/>
    <w:pPr>
      <w:spacing w:line="480" w:lineRule="auto"/>
      <w:ind w:left="420" w:leftChars="200" w:firstLine="480" w:firstLineChars="200"/>
    </w:pPr>
    <w:rPr>
      <w:sz w:val="24"/>
    </w:rPr>
  </w:style>
  <w:style w:type="paragraph" w:styleId="6">
    <w:name w:val="Normal Indent"/>
    <w:basedOn w:val="1"/>
    <w:unhideWhenUsed/>
    <w:qFormat/>
    <w:uiPriority w:val="0"/>
    <w:pPr>
      <w:ind w:firstLine="420"/>
    </w:pPr>
  </w:style>
  <w:style w:type="paragraph" w:styleId="7">
    <w:name w:val="toa heading"/>
    <w:basedOn w:val="1"/>
    <w:next w:val="1"/>
    <w:unhideWhenUsed/>
    <w:qFormat/>
    <w:uiPriority w:val="0"/>
    <w:pPr>
      <w:spacing w:before="120"/>
    </w:pPr>
    <w:rPr>
      <w:rFonts w:ascii="Arial" w:hAnsi="Arial"/>
      <w:sz w:val="24"/>
      <w:szCs w:val="20"/>
    </w:rPr>
  </w:style>
  <w:style w:type="paragraph" w:styleId="8">
    <w:name w:val="Plain Text"/>
    <w:basedOn w:val="1"/>
    <w:unhideWhenUsed/>
    <w:qFormat/>
    <w:uiPriority w:val="0"/>
    <w:rPr>
      <w:rFonts w:ascii="宋体" w:hAnsi="Courier New"/>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2 字符"/>
    <w:link w:val="5"/>
    <w:qFormat/>
    <w:uiPriority w:val="9"/>
    <w:rPr>
      <w:rFonts w:ascii="Arial" w:hAnsi="Arial" w:eastAsia="黑体"/>
      <w:b/>
      <w:bCs/>
      <w:sz w:val="32"/>
      <w:szCs w:val="32"/>
    </w:rPr>
  </w:style>
  <w:style w:type="character" w:customStyle="1" w:styleId="14">
    <w:name w:val="font21"/>
    <w:basedOn w:val="11"/>
    <w:qFormat/>
    <w:uiPriority w:val="0"/>
    <w:rPr>
      <w:rFonts w:hint="eastAsia" w:ascii="仿宋" w:hAnsi="仿宋" w:eastAsia="仿宋" w:cs="仿宋"/>
      <w:color w:val="000000"/>
      <w:sz w:val="24"/>
      <w:szCs w:val="24"/>
      <w:u w:val="none"/>
    </w:rPr>
  </w:style>
  <w:style w:type="character" w:customStyle="1" w:styleId="15">
    <w:name w:val="font31"/>
    <w:basedOn w:val="11"/>
    <w:qFormat/>
    <w:uiPriority w:val="0"/>
    <w:rPr>
      <w:rFonts w:hint="eastAsia" w:ascii="仿宋" w:hAnsi="仿宋" w:eastAsia="仿宋" w:cs="仿宋"/>
      <w:color w:val="000000"/>
      <w:sz w:val="24"/>
      <w:szCs w:val="24"/>
      <w:u w:val="none"/>
    </w:rPr>
  </w:style>
  <w:style w:type="character" w:customStyle="1" w:styleId="16">
    <w:name w:val="font41"/>
    <w:basedOn w:val="11"/>
    <w:qFormat/>
    <w:uiPriority w:val="0"/>
    <w:rPr>
      <w:rFonts w:hint="eastAsia" w:ascii="仿宋" w:hAnsi="仿宋" w:eastAsia="仿宋" w:cs="仿宋"/>
      <w:color w:val="000000"/>
      <w:sz w:val="24"/>
      <w:szCs w:val="24"/>
      <w:u w:val="none"/>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51"/>
    <w:basedOn w:val="11"/>
    <w:qFormat/>
    <w:uiPriority w:val="0"/>
    <w:rPr>
      <w:rFonts w:hint="default" w:ascii="Times New Roman" w:hAnsi="Times New Roman" w:cs="Times New Roman"/>
      <w:b/>
      <w:bCs/>
      <w:color w:val="000000"/>
      <w:sz w:val="28"/>
      <w:szCs w:val="28"/>
      <w:u w:val="none"/>
    </w:rPr>
  </w:style>
  <w:style w:type="character" w:customStyle="1" w:styleId="19">
    <w:name w:val="font81"/>
    <w:basedOn w:val="11"/>
    <w:qFormat/>
    <w:uiPriority w:val="0"/>
    <w:rPr>
      <w:rFonts w:hint="eastAsia" w:ascii="宋体" w:hAnsi="宋体" w:eastAsia="宋体" w:cs="宋体"/>
      <w:b/>
      <w:bCs/>
      <w:color w:val="000000"/>
      <w:sz w:val="28"/>
      <w:szCs w:val="28"/>
      <w:u w:val="none"/>
    </w:rPr>
  </w:style>
  <w:style w:type="character" w:customStyle="1" w:styleId="20">
    <w:name w:val="font91"/>
    <w:basedOn w:val="11"/>
    <w:qFormat/>
    <w:uiPriority w:val="0"/>
    <w:rPr>
      <w:rFonts w:hint="eastAsia" w:ascii="宋体" w:hAnsi="宋体" w:eastAsia="宋体" w:cs="宋体"/>
      <w:b/>
      <w:bCs/>
      <w:color w:val="333333"/>
      <w:sz w:val="27"/>
      <w:szCs w:val="27"/>
      <w:u w:val="none"/>
    </w:rPr>
  </w:style>
  <w:style w:type="character" w:customStyle="1" w:styleId="21">
    <w:name w:val="font101"/>
    <w:basedOn w:val="11"/>
    <w:qFormat/>
    <w:uiPriority w:val="0"/>
    <w:rPr>
      <w:rFonts w:ascii="Arial" w:hAnsi="Arial" w:cs="Arial"/>
      <w:b/>
      <w:bCs/>
      <w:color w:val="333333"/>
      <w:sz w:val="27"/>
      <w:szCs w:val="2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6996</Words>
  <Characters>7369</Characters>
  <Lines>0</Lines>
  <Paragraphs>0</Paragraphs>
  <TotalTime>5</TotalTime>
  <ScaleCrop>false</ScaleCrop>
  <LinksUpToDate>false</LinksUpToDate>
  <CharactersWithSpaces>7835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2023-07-04T02:25:00Z</dcterms:created>
  <dc:creator>一颗橘子</dc:creator>
  <cp:lastModifiedBy>一颗橘子</cp:lastModifiedBy>
  <dcterms:modified xsi:type="dcterms:W3CDTF">2025-09-27T06:22:21Z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385B9D9255F9473A92AF136C69A21DF2_13</vt:lpwstr>
  </property>
  <property fmtid="{D5CDD505-2E9C-101B-9397-08002B2CF9AE}" pid="4" name="KSOTemplateDocerSaveRecord">
    <vt:lpwstr>eyJoZGlkIjoiYzc3ODk5MWQ2ODkxYjIzNzI1YmVhYjkyYmE4NWMzNGUiLCJ1c2VySWQiOiIyNTA0NTg1ODYifQ==</vt:lpwstr>
  </property>
</Properties>
</file>