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30EEDA">
      <w:pPr>
        <w:pStyle w:val="9"/>
      </w:pPr>
      <w:bookmarkStart w:id="0" w:name="_Toc7104"/>
      <w:bookmarkStart w:id="1" w:name="_Toc47976587"/>
      <w:r>
        <w:rPr>
          <w:rFonts w:hint="eastAsia"/>
        </w:rPr>
        <w:t>招标公告</w:t>
      </w:r>
      <w:bookmarkEnd w:id="0"/>
      <w:bookmarkEnd w:id="1"/>
    </w:p>
    <w:p w14:paraId="5953C7BF">
      <w:pPr>
        <w:pStyle w:val="9"/>
        <w:rPr>
          <w:rFonts w:hint="eastAsia"/>
          <w:sz w:val="28"/>
        </w:rPr>
      </w:pPr>
      <w:bookmarkStart w:id="2" w:name="_Toc32474"/>
      <w:r>
        <w:rPr>
          <w:rFonts w:hint="eastAsia"/>
          <w:sz w:val="28"/>
          <w:highlight w:val="yellow"/>
        </w:rPr>
        <w:t>车桥公司前桥、驱动桥涂装线（五室清洗段）维修</w:t>
      </w:r>
      <w:r>
        <w:rPr>
          <w:rFonts w:hint="eastAsia"/>
          <w:sz w:val="28"/>
        </w:rPr>
        <w:t>招标公告</w:t>
      </w:r>
      <w:bookmarkEnd w:id="2"/>
    </w:p>
    <w:p w14:paraId="3B867C39">
      <w:pPr>
        <w:pStyle w:val="9"/>
        <w:rPr>
          <w:rFonts w:hint="eastAsia"/>
        </w:rPr>
      </w:pPr>
    </w:p>
    <w:p w14:paraId="2A47C58A">
      <w:pPr>
        <w:pStyle w:val="10"/>
      </w:pPr>
      <w:bookmarkStart w:id="3" w:name="_Toc47976588"/>
      <w:r>
        <w:rPr>
          <w:rFonts w:hint="eastAsia"/>
        </w:rPr>
        <w:t>项目名称及项目编号</w:t>
      </w:r>
      <w:bookmarkEnd w:id="3"/>
    </w:p>
    <w:p w14:paraId="1E71F649">
      <w:pPr>
        <w:pStyle w:val="11"/>
      </w:pPr>
      <w:r>
        <w:rPr>
          <w:rFonts w:hint="eastAsia"/>
        </w:rPr>
        <w:t>项目名称：</w:t>
      </w:r>
      <w:r>
        <w:rPr>
          <w:rFonts w:hint="eastAsia"/>
          <w:highlight w:val="yellow"/>
        </w:rPr>
        <w:t>车桥公司前桥、驱动桥涂装线（五室清洗段）维修</w:t>
      </w:r>
    </w:p>
    <w:p w14:paraId="15020D03">
      <w:pPr>
        <w:pStyle w:val="11"/>
      </w:pPr>
      <w:r>
        <w:rPr>
          <w:rFonts w:hint="eastAsia"/>
        </w:rPr>
        <w:t>项目编号：</w:t>
      </w:r>
      <w:r>
        <w:rPr>
          <w:rFonts w:hint="eastAsia"/>
          <w:highlight w:val="yellow"/>
        </w:rPr>
        <w:t>FSCZB2025090108</w:t>
      </w:r>
    </w:p>
    <w:p w14:paraId="0AB9F24D">
      <w:pPr>
        <w:pStyle w:val="10"/>
      </w:pPr>
      <w:bookmarkStart w:id="4" w:name="_Toc47976589"/>
      <w:r>
        <w:rPr>
          <w:rFonts w:hint="eastAsia"/>
          <w:lang w:val="en-US" w:eastAsia="zh-CN"/>
        </w:rPr>
        <w:t>项目概况</w:t>
      </w:r>
      <w:r>
        <w:rPr>
          <w:rFonts w:hint="eastAsia"/>
        </w:rPr>
        <w:t>及招标形式</w:t>
      </w:r>
      <w:bookmarkEnd w:id="4"/>
    </w:p>
    <w:p w14:paraId="6776F98A">
      <w:pPr>
        <w:pStyle w:val="11"/>
        <w:numPr>
          <w:ilvl w:val="0"/>
          <w:numId w:val="3"/>
        </w:numPr>
        <w:rPr>
          <w:rFonts w:hint="eastAsia"/>
          <w:highlight w:val="yellow"/>
        </w:rPr>
      </w:pPr>
      <w:r>
        <w:rPr>
          <w:rFonts w:hint="eastAsia"/>
        </w:rPr>
        <w:t>招标内容：</w:t>
      </w:r>
    </w:p>
    <w:p w14:paraId="5DEB6A8B">
      <w:pPr>
        <w:pStyle w:val="11"/>
        <w:numPr>
          <w:ilvl w:val="0"/>
          <w:numId w:val="0"/>
        </w:numPr>
        <w:ind w:left="710" w:leftChars="0"/>
        <w:rPr>
          <w:rFonts w:hint="eastAsia"/>
          <w:highlight w:val="none"/>
        </w:rPr>
      </w:pPr>
      <w:r>
        <w:rPr>
          <w:rFonts w:hint="eastAsia"/>
          <w:highlight w:val="none"/>
        </w:rPr>
        <w:t>前桥：拆卸清洗室上方护罩，对悬挂链（五室清洗段）不符合安全标准的轨道、吊架、吊杆进行拆除、更换、校准调试，整修恢复上方护罩。</w:t>
      </w:r>
    </w:p>
    <w:p w14:paraId="1A912F05">
      <w:pPr>
        <w:pStyle w:val="11"/>
        <w:numPr>
          <w:ilvl w:val="0"/>
          <w:numId w:val="0"/>
        </w:numPr>
        <w:ind w:left="710" w:leftChars="0"/>
        <w:rPr>
          <w:highlight w:val="none"/>
        </w:rPr>
      </w:pPr>
      <w:r>
        <w:rPr>
          <w:rFonts w:hint="eastAsia"/>
          <w:highlight w:val="none"/>
        </w:rPr>
        <w:t>驱动桥：拆卸清洗室上方护罩，对悬挂链（五室清洗段）不符合安全标准的轨道、吊架、吊杆进行拆除、更换、校准调试，整修恢复上方护罩；整修清洗室顶部封盖，确保不干涉悬挂链小车行走；更换脱脂清洗室水箱；更换磨损严重道岔及下桥处3处滚子回转装置，确保道岔与原轨道连接平稳，小车通过无卡顿现象。</w:t>
      </w:r>
    </w:p>
    <w:p w14:paraId="4EC58B63">
      <w:pPr>
        <w:pStyle w:val="11"/>
      </w:pPr>
      <w:r>
        <w:rPr>
          <w:rFonts w:hint="eastAsia"/>
        </w:rPr>
        <w:t>招标形式：</w:t>
      </w:r>
      <w:r>
        <w:rPr>
          <w:rFonts w:hint="eastAsia"/>
          <w:highlight w:val="yellow"/>
        </w:rPr>
        <w:t>公开招标</w:t>
      </w:r>
      <w:r>
        <w:rPr>
          <w:rStyle w:val="12"/>
          <w:rFonts w:hint="eastAsia"/>
          <w:b w:val="0"/>
          <w:highlight w:val="yellow"/>
        </w:rPr>
        <w:t>。</w:t>
      </w:r>
    </w:p>
    <w:p w14:paraId="0B813421">
      <w:pPr>
        <w:pStyle w:val="10"/>
        <w:rPr>
          <w:highlight w:val="yellow"/>
        </w:rPr>
      </w:pPr>
      <w:bookmarkStart w:id="5" w:name="_Toc47976590"/>
      <w:r>
        <w:rPr>
          <w:rFonts w:hint="eastAsia"/>
          <w:highlight w:val="yellow"/>
        </w:rPr>
        <w:t>投标人资格要求</w:t>
      </w:r>
      <w:bookmarkEnd w:id="5"/>
    </w:p>
    <w:p w14:paraId="65D164D6">
      <w:pPr>
        <w:pStyle w:val="5"/>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w:t>
      </w:r>
      <w:r>
        <w:rPr>
          <w:rFonts w:hint="eastAsia" w:ascii="宋体" w:hAnsi="宋体" w:eastAsia="宋体" w:cs="宋体"/>
          <w:sz w:val="21"/>
          <w:szCs w:val="21"/>
        </w:rPr>
        <w:t>投标人须遵守《中华人民共和国招标投标法》、《中华人民共和国民法典》及其它有关的法律和法规；为中华人民共和国境内注册的独立法人机构，具有独立承担民事责任能力；</w:t>
      </w:r>
    </w:p>
    <w:p w14:paraId="3CD7F50D">
      <w:pPr>
        <w:pStyle w:val="5"/>
        <w:spacing w:line="360" w:lineRule="auto"/>
        <w:ind w:firstLine="422" w:firstLineChars="200"/>
        <w:rPr>
          <w:rFonts w:hint="eastAsia" w:ascii="宋体" w:hAnsi="宋体" w:eastAsia="宋体" w:cs="宋体"/>
          <w:b/>
          <w:bCs/>
          <w:sz w:val="21"/>
          <w:szCs w:val="21"/>
        </w:rPr>
      </w:pPr>
      <w:r>
        <w:rPr>
          <w:rFonts w:hint="eastAsia" w:ascii="宋体" w:hAnsi="宋体" w:eastAsia="宋体" w:cs="宋体"/>
          <w:b/>
          <w:bCs/>
          <w:color w:val="FF0000"/>
          <w:sz w:val="21"/>
          <w:szCs w:val="21"/>
        </w:rPr>
        <w:t>*</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2</w:t>
      </w:r>
      <w:r>
        <w:rPr>
          <w:rFonts w:hint="eastAsia" w:ascii="宋体" w:hAnsi="宋体" w:eastAsia="宋体" w:cs="宋体"/>
          <w:b/>
          <w:bCs/>
          <w:sz w:val="21"/>
          <w:szCs w:val="21"/>
          <w:lang w:eastAsia="zh-CN"/>
        </w:rPr>
        <w:t>）</w:t>
      </w:r>
      <w:r>
        <w:rPr>
          <w:rFonts w:hint="eastAsia" w:ascii="宋体" w:hAnsi="宋体" w:eastAsia="宋体" w:cs="宋体"/>
          <w:b/>
          <w:bCs/>
          <w:sz w:val="21"/>
          <w:szCs w:val="21"/>
        </w:rPr>
        <w:t>公司成立三年以上（以营业执照成立日期到开标当日满三年为准）；注册资金不少</w:t>
      </w:r>
      <w:r>
        <w:rPr>
          <w:rFonts w:hint="eastAsia" w:ascii="宋体" w:hAnsi="宋体" w:eastAsia="宋体" w:cs="宋体"/>
          <w:b/>
          <w:bCs/>
          <w:color w:val="000000" w:themeColor="text1"/>
          <w:sz w:val="21"/>
          <w:szCs w:val="21"/>
          <w14:textFill>
            <w14:solidFill>
              <w14:schemeClr w14:val="tx1"/>
            </w14:solidFill>
          </w14:textFill>
        </w:rPr>
        <w:t>于</w:t>
      </w:r>
      <w:r>
        <w:rPr>
          <w:rFonts w:hint="eastAsia" w:ascii="宋体" w:hAnsi="宋体" w:eastAsia="宋体" w:cs="宋体"/>
          <w:b/>
          <w:bCs/>
          <w:color w:val="000000" w:themeColor="text1"/>
          <w:sz w:val="21"/>
          <w:szCs w:val="21"/>
          <w:lang w:val="en-US" w:eastAsia="zh-CN"/>
          <w14:textFill>
            <w14:solidFill>
              <w14:schemeClr w14:val="tx1"/>
            </w14:solidFill>
          </w14:textFill>
        </w:rPr>
        <w:t>100</w:t>
      </w:r>
      <w:r>
        <w:rPr>
          <w:rFonts w:hint="eastAsia" w:ascii="宋体" w:hAnsi="宋体" w:eastAsia="宋体" w:cs="宋体"/>
          <w:b/>
          <w:bCs/>
          <w:color w:val="000000" w:themeColor="text1"/>
          <w:sz w:val="21"/>
          <w:szCs w:val="21"/>
          <w14:textFill>
            <w14:solidFill>
              <w14:schemeClr w14:val="tx1"/>
            </w14:solidFill>
          </w14:textFill>
        </w:rPr>
        <w:t>万</w:t>
      </w:r>
      <w:r>
        <w:rPr>
          <w:rFonts w:hint="eastAsia" w:ascii="宋体" w:hAnsi="宋体" w:eastAsia="宋体" w:cs="宋体"/>
          <w:b/>
          <w:bCs/>
          <w:sz w:val="21"/>
          <w:szCs w:val="21"/>
        </w:rPr>
        <w:t>元；经营范围满足招标项目需求；</w:t>
      </w:r>
    </w:p>
    <w:p w14:paraId="3D52CDC0">
      <w:pPr>
        <w:pStyle w:val="5"/>
        <w:spacing w:line="360" w:lineRule="auto"/>
        <w:ind w:firstLine="422" w:firstLineChars="200"/>
        <w:rPr>
          <w:rFonts w:hint="eastAsia" w:ascii="宋体" w:hAnsi="宋体" w:eastAsia="宋体" w:cs="宋体"/>
          <w:b/>
          <w:bCs/>
          <w:sz w:val="21"/>
          <w:szCs w:val="21"/>
        </w:rPr>
      </w:pPr>
      <w:r>
        <w:rPr>
          <w:rFonts w:hint="eastAsia" w:ascii="宋体" w:hAnsi="宋体" w:eastAsia="宋体" w:cs="宋体"/>
          <w:b/>
          <w:bCs/>
          <w:color w:val="FF0000"/>
          <w:sz w:val="21"/>
          <w:szCs w:val="21"/>
        </w:rPr>
        <w:t>*</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3</w:t>
      </w:r>
      <w:r>
        <w:rPr>
          <w:rFonts w:hint="eastAsia" w:ascii="宋体" w:hAnsi="宋体" w:eastAsia="宋体" w:cs="宋体"/>
          <w:b/>
          <w:bCs/>
          <w:sz w:val="21"/>
          <w:szCs w:val="21"/>
          <w:lang w:eastAsia="zh-CN"/>
        </w:rPr>
        <w:t>）</w:t>
      </w:r>
      <w:r>
        <w:rPr>
          <w:rFonts w:hint="eastAsia" w:ascii="宋体" w:hAnsi="宋体" w:eastAsia="宋体" w:cs="宋体"/>
          <w:b/>
          <w:bCs/>
          <w:sz w:val="21"/>
          <w:szCs w:val="21"/>
        </w:rPr>
        <w:t>投标人须提供具有统一社会信用代码的新版营业执照副本原件及（或）复印件（加盖公章）；</w:t>
      </w:r>
    </w:p>
    <w:p w14:paraId="09E3D8D3">
      <w:pPr>
        <w:pStyle w:val="5"/>
        <w:spacing w:line="360" w:lineRule="auto"/>
        <w:ind w:firstLine="420" w:firstLineChars="200"/>
        <w:rPr>
          <w:rFonts w:hint="eastAsia" w:ascii="宋体" w:hAnsi="宋体" w:eastAsia="宋体" w:cs="宋体"/>
          <w:b/>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4</w:t>
      </w:r>
      <w:r>
        <w:rPr>
          <w:rFonts w:hint="eastAsia" w:ascii="宋体" w:hAnsi="宋体" w:eastAsia="宋体" w:cs="宋体"/>
          <w:sz w:val="21"/>
          <w:szCs w:val="21"/>
          <w:lang w:eastAsia="zh-CN"/>
        </w:rPr>
        <w:t>）</w:t>
      </w:r>
      <w:r>
        <w:rPr>
          <w:rFonts w:hint="eastAsia" w:ascii="宋体" w:hAnsi="宋体" w:eastAsia="宋体" w:cs="宋体"/>
          <w:sz w:val="21"/>
          <w:szCs w:val="21"/>
        </w:rPr>
        <w:t>具有良好的商业信誉，在国家企业信用信息公示系统中无与本项目有关的行政处罚、列入经营异常名录和列入严重违法失信企业名单（黑名单）信息但上述信息已被移除的可参与投标；</w:t>
      </w:r>
    </w:p>
    <w:p w14:paraId="181F2321">
      <w:pPr>
        <w:pStyle w:val="5"/>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5</w:t>
      </w:r>
      <w:r>
        <w:rPr>
          <w:rFonts w:hint="eastAsia" w:ascii="宋体" w:hAnsi="宋体" w:eastAsia="宋体" w:cs="宋体"/>
          <w:sz w:val="21"/>
          <w:szCs w:val="21"/>
          <w:lang w:eastAsia="zh-CN"/>
        </w:rPr>
        <w:t>）</w:t>
      </w:r>
      <w:r>
        <w:rPr>
          <w:rFonts w:hint="eastAsia" w:ascii="宋体" w:hAnsi="宋体" w:eastAsia="宋体" w:cs="宋体"/>
          <w:sz w:val="21"/>
          <w:szCs w:val="21"/>
        </w:rPr>
        <w:t>投标人近三年内在经营活动中无与本项目有关的违法及重大违规情况；</w:t>
      </w:r>
    </w:p>
    <w:p w14:paraId="090B68FF">
      <w:pPr>
        <w:pStyle w:val="5"/>
        <w:spacing w:line="360" w:lineRule="auto"/>
        <w:ind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6</w:t>
      </w:r>
      <w:r>
        <w:rPr>
          <w:rFonts w:hint="eastAsia" w:ascii="宋体" w:hAnsi="宋体" w:eastAsia="宋体" w:cs="宋体"/>
          <w:sz w:val="21"/>
          <w:szCs w:val="21"/>
          <w:lang w:eastAsia="zh-CN"/>
        </w:rPr>
        <w:t>）</w:t>
      </w:r>
      <w:r>
        <w:rPr>
          <w:rFonts w:hint="eastAsia" w:ascii="宋体" w:hAnsi="宋体" w:eastAsia="宋体" w:cs="宋体"/>
          <w:sz w:val="21"/>
          <w:szCs w:val="21"/>
        </w:rPr>
        <w:t>具有健全的财务会计制度，财务状况和市场行为良好。没有处于被有权机关吊销营业执照、吊销资质、停业整顿、取消投标资格以及财产被接管、冻结或进入破产程序等</w:t>
      </w:r>
      <w:r>
        <w:rPr>
          <w:rFonts w:hint="eastAsia" w:ascii="宋体" w:hAnsi="宋体" w:eastAsia="宋体" w:cs="宋体"/>
          <w:color w:val="auto"/>
          <w:sz w:val="21"/>
          <w:szCs w:val="21"/>
          <w:lang w:eastAsia="zh-CN"/>
        </w:rPr>
        <w:t>；</w:t>
      </w:r>
    </w:p>
    <w:p w14:paraId="4B5116F5">
      <w:pPr>
        <w:pStyle w:val="5"/>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7</w:t>
      </w:r>
      <w:r>
        <w:rPr>
          <w:rFonts w:hint="eastAsia" w:ascii="宋体" w:hAnsi="宋体" w:eastAsia="宋体" w:cs="宋体"/>
          <w:sz w:val="21"/>
          <w:szCs w:val="21"/>
          <w:lang w:eastAsia="zh-CN"/>
        </w:rPr>
        <w:t>）</w:t>
      </w:r>
      <w:r>
        <w:rPr>
          <w:rFonts w:hint="eastAsia" w:ascii="宋体" w:hAnsi="宋体" w:eastAsia="宋体" w:cs="宋体"/>
          <w:sz w:val="21"/>
          <w:szCs w:val="21"/>
        </w:rPr>
        <w:t>投标人没有被列入招标人处《黑名单》（《黑名单》指投标人与招标人在以往或正在进行的合作中，存在招标人认为的违反合同约定或违反法律法规等的失信行为）的；</w:t>
      </w:r>
    </w:p>
    <w:p w14:paraId="467D64DB">
      <w:pPr>
        <w:autoSpaceDE w:val="0"/>
        <w:autoSpaceDN w:val="0"/>
        <w:adjustRightInd w:val="0"/>
        <w:spacing w:line="360" w:lineRule="auto"/>
        <w:ind w:firstLine="422" w:firstLineChars="200"/>
        <w:jc w:val="left"/>
        <w:rPr>
          <w:rFonts w:hint="eastAsia" w:ascii="宋体" w:hAnsi="宋体" w:eastAsia="宋体" w:cs="宋体"/>
          <w:b/>
          <w:bCs/>
          <w:sz w:val="21"/>
          <w:szCs w:val="21"/>
        </w:rPr>
      </w:pPr>
      <w:r>
        <w:rPr>
          <w:rFonts w:hint="eastAsia" w:ascii="宋体" w:hAnsi="宋体" w:eastAsia="宋体" w:cs="宋体"/>
          <w:b/>
          <w:bCs/>
          <w:color w:val="FF0000"/>
          <w:sz w:val="21"/>
          <w:szCs w:val="21"/>
        </w:rPr>
        <w:t>*</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8</w:t>
      </w:r>
      <w:r>
        <w:rPr>
          <w:rFonts w:hint="eastAsia" w:ascii="宋体" w:hAnsi="宋体" w:eastAsia="宋体" w:cs="宋体"/>
          <w:b/>
          <w:bCs/>
          <w:sz w:val="21"/>
          <w:szCs w:val="21"/>
          <w:lang w:eastAsia="zh-CN"/>
        </w:rPr>
        <w:t>）</w:t>
      </w:r>
      <w:r>
        <w:rPr>
          <w:rFonts w:hint="eastAsia" w:ascii="宋体" w:hAnsi="宋体" w:eastAsia="宋体" w:cs="宋体"/>
          <w:b/>
          <w:bCs/>
          <w:sz w:val="21"/>
          <w:szCs w:val="21"/>
        </w:rPr>
        <w:t>投标人须提供经会计师事务所审计且出具无保留意见的近三年(</w:t>
      </w:r>
      <w:r>
        <w:rPr>
          <w:rFonts w:hint="eastAsia" w:ascii="宋体" w:hAnsi="宋体" w:eastAsia="宋体" w:cs="宋体"/>
          <w:b/>
          <w:bCs/>
          <w:sz w:val="21"/>
          <w:szCs w:val="21"/>
          <w:highlight w:val="yellow"/>
        </w:rPr>
        <w:t>202</w:t>
      </w:r>
      <w:r>
        <w:rPr>
          <w:rFonts w:hint="eastAsia" w:ascii="宋体" w:hAnsi="宋体" w:eastAsia="宋体" w:cs="宋体"/>
          <w:b/>
          <w:bCs/>
          <w:sz w:val="21"/>
          <w:szCs w:val="21"/>
          <w:highlight w:val="yellow"/>
          <w:lang w:val="en-US" w:eastAsia="zh-CN"/>
        </w:rPr>
        <w:t>1</w:t>
      </w:r>
      <w:r>
        <w:rPr>
          <w:rFonts w:hint="eastAsia" w:ascii="宋体" w:hAnsi="宋体" w:eastAsia="宋体" w:cs="宋体"/>
          <w:b/>
          <w:bCs/>
          <w:sz w:val="21"/>
          <w:szCs w:val="21"/>
          <w:highlight w:val="yellow"/>
        </w:rPr>
        <w:t>年</w:t>
      </w:r>
      <w:r>
        <w:rPr>
          <w:rFonts w:hint="eastAsia" w:ascii="宋体" w:hAnsi="宋体" w:eastAsia="宋体" w:cs="宋体"/>
          <w:b/>
          <w:bCs/>
          <w:sz w:val="21"/>
          <w:szCs w:val="21"/>
          <w:highlight w:val="yellow"/>
          <w:lang w:val="en-US" w:eastAsia="zh-CN"/>
        </w:rPr>
        <w:t>1</w:t>
      </w:r>
      <w:r>
        <w:rPr>
          <w:rFonts w:hint="eastAsia" w:ascii="宋体" w:hAnsi="宋体" w:eastAsia="宋体" w:cs="宋体"/>
          <w:b/>
          <w:bCs/>
          <w:sz w:val="21"/>
          <w:szCs w:val="21"/>
          <w:highlight w:val="yellow"/>
        </w:rPr>
        <w:t>月</w:t>
      </w:r>
      <w:r>
        <w:rPr>
          <w:rFonts w:hint="eastAsia" w:ascii="宋体" w:hAnsi="宋体" w:eastAsia="宋体" w:cs="宋体"/>
          <w:b/>
          <w:bCs/>
          <w:sz w:val="21"/>
          <w:szCs w:val="21"/>
          <w:highlight w:val="yellow"/>
          <w:lang w:val="en-US" w:eastAsia="zh-CN"/>
        </w:rPr>
        <w:t>1</w:t>
      </w:r>
      <w:r>
        <w:rPr>
          <w:rFonts w:hint="eastAsia" w:ascii="宋体" w:hAnsi="宋体" w:eastAsia="宋体" w:cs="宋体"/>
          <w:b/>
          <w:bCs/>
          <w:sz w:val="21"/>
          <w:szCs w:val="21"/>
          <w:highlight w:val="yellow"/>
        </w:rPr>
        <w:t>日至今</w:t>
      </w:r>
      <w:r>
        <w:rPr>
          <w:rFonts w:hint="eastAsia" w:ascii="宋体" w:hAnsi="宋体" w:eastAsia="宋体" w:cs="宋体"/>
          <w:b/>
          <w:bCs/>
          <w:sz w:val="21"/>
          <w:szCs w:val="21"/>
        </w:rPr>
        <w:t>)的财务审计报告，并加盖公章，包括但不限于报告页、经审计的资产负债表、利润表、现金流量表及报表附注</w:t>
      </w:r>
      <w:r>
        <w:rPr>
          <w:rFonts w:hint="eastAsia" w:ascii="宋体" w:hAnsi="宋体" w:eastAsia="宋体" w:cs="宋体"/>
          <w:b/>
          <w:bCs/>
          <w:sz w:val="21"/>
          <w:szCs w:val="21"/>
          <w:lang w:eastAsia="zh-CN"/>
        </w:rPr>
        <w:t>，且未显示异常（</w:t>
      </w:r>
      <w:r>
        <w:rPr>
          <w:rFonts w:hint="eastAsia" w:ascii="宋体" w:hAnsi="宋体" w:eastAsia="宋体" w:cs="宋体"/>
          <w:b/>
          <w:bCs/>
          <w:sz w:val="21"/>
          <w:szCs w:val="21"/>
        </w:rPr>
        <w:t>如投标人公司没有经审计的财务报告，可提供加盖公章的近三年财务报表，包括但不限于资产负债表、利润表、现金流量表</w:t>
      </w:r>
      <w:r>
        <w:rPr>
          <w:rFonts w:hint="eastAsia" w:ascii="宋体" w:hAnsi="宋体" w:eastAsia="宋体" w:cs="宋体"/>
          <w:b/>
          <w:bCs/>
          <w:sz w:val="21"/>
          <w:szCs w:val="21"/>
          <w:lang w:eastAsia="zh-CN"/>
        </w:rPr>
        <w:t>）</w:t>
      </w:r>
      <w:r>
        <w:rPr>
          <w:rFonts w:hint="eastAsia" w:ascii="宋体" w:hAnsi="宋体" w:eastAsia="宋体" w:cs="宋体"/>
          <w:b/>
          <w:bCs/>
          <w:sz w:val="21"/>
          <w:szCs w:val="21"/>
        </w:rPr>
        <w:t>。</w:t>
      </w:r>
    </w:p>
    <w:p w14:paraId="0AE59FD1">
      <w:pPr>
        <w:pStyle w:val="3"/>
        <w:ind w:firstLine="422" w:firstLineChars="200"/>
        <w:rPr>
          <w:rFonts w:hint="eastAsia" w:ascii="宋体" w:hAnsi="宋体" w:eastAsia="宋体" w:cs="宋体"/>
          <w:b/>
          <w:bCs/>
          <w:kern w:val="2"/>
          <w:sz w:val="21"/>
          <w:szCs w:val="21"/>
          <w:lang w:val="en-US" w:eastAsia="zh-CN" w:bidi="ar-SA"/>
        </w:rPr>
      </w:pPr>
      <w:r>
        <w:rPr>
          <w:rFonts w:hint="eastAsia" w:ascii="宋体" w:hAnsi="宋体" w:eastAsia="宋体" w:cs="宋体"/>
          <w:b/>
          <w:bCs/>
          <w:color w:val="FF0000"/>
          <w:kern w:val="2"/>
          <w:sz w:val="21"/>
          <w:szCs w:val="21"/>
          <w:lang w:val="en-US" w:eastAsia="zh-CN" w:bidi="ar-SA"/>
        </w:rPr>
        <w:t>*</w:t>
      </w:r>
      <w:r>
        <w:rPr>
          <w:rFonts w:hint="eastAsia" w:ascii="宋体" w:hAnsi="宋体" w:eastAsia="宋体" w:cs="宋体"/>
          <w:b/>
          <w:bCs/>
          <w:kern w:val="2"/>
          <w:sz w:val="21"/>
          <w:szCs w:val="21"/>
          <w:lang w:val="en-US" w:eastAsia="zh-CN" w:bidi="ar-SA"/>
        </w:rPr>
        <w:t>（9）企业最近半年完税证明、信用证明材料（中国人民银行信用代码证+征信报告）;</w:t>
      </w:r>
    </w:p>
    <w:p w14:paraId="24992E63">
      <w:pPr>
        <w:pStyle w:val="15"/>
        <w:ind w:firstLine="422" w:firstLineChars="200"/>
        <w:rPr>
          <w:rFonts w:hint="eastAsia" w:ascii="宋体" w:hAnsi="宋体" w:eastAsia="宋体" w:cs="宋体"/>
          <w:b/>
          <w:bCs/>
          <w:kern w:val="2"/>
          <w:sz w:val="21"/>
          <w:szCs w:val="21"/>
          <w:lang w:val="en-US" w:eastAsia="zh-CN" w:bidi="ar-SA"/>
        </w:rPr>
      </w:pPr>
      <w:r>
        <w:rPr>
          <w:rFonts w:hint="eastAsia" w:ascii="宋体" w:hAnsi="宋体" w:eastAsia="宋体" w:cs="宋体"/>
          <w:b/>
          <w:bCs/>
          <w:color w:val="FF0000"/>
          <w:kern w:val="2"/>
          <w:sz w:val="21"/>
          <w:szCs w:val="21"/>
          <w:lang w:val="en-US" w:eastAsia="zh-CN" w:bidi="ar-SA"/>
        </w:rPr>
        <w:t>*</w:t>
      </w:r>
      <w:r>
        <w:rPr>
          <w:rFonts w:hint="eastAsia" w:ascii="宋体" w:hAnsi="宋体" w:eastAsia="宋体" w:cs="宋体"/>
          <w:b/>
          <w:bCs/>
          <w:color w:val="auto"/>
          <w:kern w:val="2"/>
          <w:sz w:val="21"/>
          <w:szCs w:val="21"/>
          <w:lang w:val="en-US" w:eastAsia="zh-CN" w:bidi="ar-SA"/>
        </w:rPr>
        <w:t>（10）</w:t>
      </w:r>
      <w:r>
        <w:rPr>
          <w:rFonts w:hint="eastAsia" w:ascii="宋体" w:hAnsi="宋体" w:eastAsia="宋体" w:cs="宋体"/>
          <w:b/>
          <w:bCs/>
          <w:kern w:val="2"/>
          <w:sz w:val="21"/>
          <w:szCs w:val="21"/>
          <w:lang w:val="en-US" w:eastAsia="zh-CN" w:bidi="ar-SA"/>
        </w:rPr>
        <w:t>年度纳税信用评价信息（可从电子税务局查询截图，需加盖公章）；</w:t>
      </w:r>
    </w:p>
    <w:p w14:paraId="2950376C">
      <w:pPr>
        <w:pStyle w:val="15"/>
        <w:ind w:firstLine="422" w:firstLineChars="200"/>
        <w:rPr>
          <w:rFonts w:hint="eastAsia" w:ascii="宋体" w:hAnsi="宋体" w:eastAsia="宋体" w:cs="宋体"/>
          <w:sz w:val="21"/>
          <w:szCs w:val="21"/>
        </w:rPr>
      </w:pPr>
      <w:r>
        <w:rPr>
          <w:rFonts w:hint="eastAsia" w:ascii="宋体" w:hAnsi="宋体" w:eastAsia="宋体" w:cs="宋体"/>
          <w:b/>
          <w:bCs/>
          <w:color w:val="FF0000"/>
          <w:kern w:val="2"/>
          <w:sz w:val="21"/>
          <w:szCs w:val="21"/>
          <w:lang w:val="en-US" w:eastAsia="zh-CN" w:bidi="ar-SA"/>
        </w:rPr>
        <w:t>*</w:t>
      </w:r>
      <w:r>
        <w:rPr>
          <w:rFonts w:hint="eastAsia" w:ascii="宋体" w:hAnsi="宋体" w:eastAsia="宋体" w:cs="宋体"/>
          <w:b/>
          <w:bCs/>
          <w:kern w:val="2"/>
          <w:sz w:val="21"/>
          <w:szCs w:val="21"/>
          <w:lang w:val="en-US" w:eastAsia="zh-CN" w:bidi="ar-SA"/>
        </w:rPr>
        <w:t>（11）企业对外担保说明（写明贵单位对外有无对外担保和质押业务，需加盖公章）。</w:t>
      </w:r>
    </w:p>
    <w:p w14:paraId="668A32FD">
      <w:pPr>
        <w:spacing w:line="360" w:lineRule="auto"/>
        <w:ind w:firstLine="422" w:firstLineChars="200"/>
        <w:rPr>
          <w:rFonts w:hint="eastAsia" w:ascii="宋体" w:hAnsi="宋体" w:eastAsia="宋体" w:cs="宋体"/>
          <w:b/>
          <w:bCs/>
          <w:sz w:val="21"/>
          <w:szCs w:val="21"/>
        </w:rPr>
      </w:pPr>
      <w:r>
        <w:rPr>
          <w:rFonts w:hint="eastAsia" w:ascii="宋体" w:hAnsi="宋体" w:eastAsia="宋体" w:cs="宋体"/>
          <w:b/>
          <w:bCs/>
          <w:color w:val="FF0000"/>
          <w:kern w:val="2"/>
          <w:sz w:val="21"/>
          <w:szCs w:val="21"/>
          <w:lang w:val="en-US" w:eastAsia="zh-CN" w:bidi="ar-SA"/>
        </w:rPr>
        <w:t>*</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12</w:t>
      </w:r>
      <w:r>
        <w:rPr>
          <w:rFonts w:hint="eastAsia" w:ascii="宋体" w:hAnsi="宋体" w:eastAsia="宋体" w:cs="宋体"/>
          <w:b/>
          <w:bCs/>
          <w:sz w:val="21"/>
          <w:szCs w:val="21"/>
          <w:lang w:eastAsia="zh-CN"/>
        </w:rPr>
        <w:t>）</w:t>
      </w:r>
      <w:r>
        <w:rPr>
          <w:rFonts w:hint="eastAsia" w:ascii="宋体" w:hAnsi="宋体" w:eastAsia="宋体" w:cs="宋体"/>
          <w:b/>
          <w:bCs/>
          <w:sz w:val="21"/>
          <w:szCs w:val="21"/>
        </w:rPr>
        <w:t>投标人须提供法人授权委托书原件（在投标文件副本中可用复印件）及投标单位的法定代表人或授权代表的身份证原件及复印件（加盖公章）；</w:t>
      </w:r>
    </w:p>
    <w:p w14:paraId="46E0CEB1">
      <w:pPr>
        <w:pStyle w:val="5"/>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13</w:t>
      </w:r>
      <w:r>
        <w:rPr>
          <w:rFonts w:hint="eastAsia" w:ascii="宋体" w:hAnsi="宋体" w:eastAsia="宋体" w:cs="宋体"/>
          <w:sz w:val="21"/>
          <w:szCs w:val="21"/>
          <w:lang w:eastAsia="zh-CN"/>
        </w:rPr>
        <w:t>）</w:t>
      </w:r>
      <w:r>
        <w:rPr>
          <w:rFonts w:hint="eastAsia" w:ascii="宋体" w:hAnsi="宋体" w:eastAsia="宋体" w:cs="宋体"/>
          <w:sz w:val="21"/>
          <w:szCs w:val="21"/>
        </w:rPr>
        <w:t>投标人须具有履行合同所必须的设备、财务、技术、服务等方面的资质和能力；</w:t>
      </w:r>
    </w:p>
    <w:p w14:paraId="5B9D5376">
      <w:pPr>
        <w:pStyle w:val="5"/>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14</w:t>
      </w:r>
      <w:r>
        <w:rPr>
          <w:rFonts w:hint="eastAsia" w:ascii="宋体" w:hAnsi="宋体" w:eastAsia="宋体" w:cs="宋体"/>
          <w:sz w:val="21"/>
          <w:szCs w:val="21"/>
          <w:lang w:eastAsia="zh-CN"/>
        </w:rPr>
        <w:t>）</w:t>
      </w:r>
      <w:r>
        <w:rPr>
          <w:rFonts w:hint="eastAsia" w:ascii="宋体" w:hAnsi="宋体" w:eastAsia="宋体" w:cs="宋体"/>
          <w:sz w:val="21"/>
          <w:szCs w:val="21"/>
        </w:rPr>
        <w:t>投标人须负责提供合理的便于运输的包装物，并承担相关费用；</w:t>
      </w:r>
    </w:p>
    <w:p w14:paraId="5794F236">
      <w:pPr>
        <w:pStyle w:val="5"/>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15</w:t>
      </w:r>
      <w:r>
        <w:rPr>
          <w:rFonts w:hint="eastAsia" w:ascii="宋体" w:hAnsi="宋体" w:eastAsia="宋体" w:cs="宋体"/>
          <w:sz w:val="21"/>
          <w:szCs w:val="21"/>
          <w:lang w:eastAsia="zh-CN"/>
        </w:rPr>
        <w:t>）</w:t>
      </w:r>
      <w:r>
        <w:rPr>
          <w:rFonts w:hint="eastAsia" w:ascii="宋体" w:hAnsi="宋体" w:eastAsia="宋体" w:cs="宋体"/>
          <w:sz w:val="21"/>
          <w:szCs w:val="21"/>
        </w:rPr>
        <w:t>投标人须认可招标人的工作指令，包括节、假日能正常开展工作的要求；</w:t>
      </w:r>
    </w:p>
    <w:p w14:paraId="71E41A7E">
      <w:pPr>
        <w:pStyle w:val="5"/>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16</w:t>
      </w:r>
      <w:r>
        <w:rPr>
          <w:rFonts w:hint="eastAsia" w:ascii="宋体" w:hAnsi="宋体" w:eastAsia="宋体" w:cs="宋体"/>
          <w:sz w:val="21"/>
          <w:szCs w:val="21"/>
          <w:lang w:eastAsia="zh-CN"/>
        </w:rPr>
        <w:t>）</w:t>
      </w:r>
      <w:r>
        <w:rPr>
          <w:rFonts w:hint="eastAsia" w:ascii="宋体" w:hAnsi="宋体" w:eastAsia="宋体" w:cs="宋体"/>
          <w:sz w:val="21"/>
          <w:szCs w:val="21"/>
        </w:rPr>
        <w:t>投标人必须是最终投标、签订合同的单位，不得以任何理由将已中标项目以任何形式转包给其他单位；</w:t>
      </w:r>
    </w:p>
    <w:p w14:paraId="4FED5297">
      <w:pPr>
        <w:pStyle w:val="5"/>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17</w:t>
      </w:r>
      <w:r>
        <w:rPr>
          <w:rFonts w:hint="eastAsia" w:ascii="宋体" w:hAnsi="宋体" w:eastAsia="宋体" w:cs="宋体"/>
          <w:sz w:val="21"/>
          <w:szCs w:val="21"/>
          <w:lang w:eastAsia="zh-CN"/>
        </w:rPr>
        <w:t>）</w:t>
      </w:r>
      <w:r>
        <w:rPr>
          <w:rFonts w:hint="eastAsia" w:ascii="宋体" w:hAnsi="宋体" w:eastAsia="宋体" w:cs="宋体"/>
          <w:sz w:val="21"/>
          <w:szCs w:val="21"/>
        </w:rPr>
        <w:t>本次招标项目不接受联合体投标；</w:t>
      </w:r>
    </w:p>
    <w:p w14:paraId="3DB8B50D">
      <w:pPr>
        <w:spacing w:line="360" w:lineRule="auto"/>
        <w:ind w:firstLine="422" w:firstLineChars="200"/>
        <w:rPr>
          <w:rFonts w:hint="eastAsia" w:ascii="宋体" w:hAnsi="宋体" w:eastAsia="宋体" w:cs="宋体"/>
          <w:b/>
          <w:bCs/>
          <w:sz w:val="21"/>
          <w:szCs w:val="21"/>
        </w:rPr>
      </w:pPr>
      <w:r>
        <w:rPr>
          <w:rFonts w:hint="eastAsia" w:ascii="宋体" w:hAnsi="宋体" w:eastAsia="宋体" w:cs="宋体"/>
          <w:b/>
          <w:bCs/>
          <w:color w:val="FF0000"/>
          <w:sz w:val="21"/>
          <w:szCs w:val="21"/>
        </w:rPr>
        <w:t>*</w:t>
      </w:r>
      <w:r>
        <w:rPr>
          <w:rFonts w:hint="eastAsia" w:ascii="宋体" w:hAnsi="宋体" w:eastAsia="宋体" w:cs="宋体"/>
          <w:b/>
          <w:bCs/>
          <w:kern w:val="2"/>
          <w:sz w:val="21"/>
          <w:szCs w:val="21"/>
          <w:lang w:val="en-US" w:eastAsia="zh-CN" w:bidi="ar-SA"/>
        </w:rPr>
        <w:t>（18）</w:t>
      </w:r>
      <w:r>
        <w:rPr>
          <w:rFonts w:hint="eastAsia" w:ascii="宋体" w:hAnsi="宋体" w:eastAsia="宋体" w:cs="宋体"/>
          <w:b/>
          <w:bCs/>
          <w:sz w:val="21"/>
          <w:szCs w:val="21"/>
        </w:rPr>
        <w:t>投标人在向招标人出示《投标保证金缴纳凭证》后方可进行投标；</w:t>
      </w:r>
    </w:p>
    <w:p w14:paraId="2B0FC94F">
      <w:pPr>
        <w:pStyle w:val="5"/>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lang w:val="en-US" w:eastAsia="zh-CN"/>
        </w:rPr>
        <w:t>(19)</w:t>
      </w:r>
      <w:r>
        <w:rPr>
          <w:rFonts w:hint="eastAsia" w:ascii="宋体" w:hAnsi="宋体" w:eastAsia="宋体" w:cs="宋体"/>
          <w:sz w:val="21"/>
          <w:szCs w:val="21"/>
        </w:rPr>
        <w:t>如为代理商投标，需获得生产厂家正式授权原件并具备售后服务承诺原件。</w:t>
      </w:r>
    </w:p>
    <w:p w14:paraId="43AC393B">
      <w:pPr>
        <w:pStyle w:val="5"/>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lang w:val="en-US" w:eastAsia="zh-CN"/>
        </w:rPr>
        <w:t>(20)</w:t>
      </w:r>
      <w:r>
        <w:rPr>
          <w:rFonts w:hint="eastAsia" w:ascii="宋体" w:hAnsi="宋体" w:eastAsia="宋体" w:cs="宋体"/>
          <w:sz w:val="21"/>
          <w:szCs w:val="21"/>
        </w:rPr>
        <w:t>供方的直接或间接股东、法定代表人、董事、监事、高管非重汽员工及其亲属。</w:t>
      </w:r>
    </w:p>
    <w:p w14:paraId="5DB71B03">
      <w:pPr>
        <w:pStyle w:val="5"/>
        <w:spacing w:line="360" w:lineRule="auto"/>
        <w:ind w:firstLine="422" w:firstLineChars="200"/>
        <w:rPr>
          <w:highlight w:val="yellow"/>
        </w:rPr>
      </w:pPr>
      <w:r>
        <w:rPr>
          <w:rFonts w:hint="eastAsia" w:ascii="宋体" w:hAnsi="宋体" w:eastAsia="宋体" w:cs="宋体"/>
          <w:b/>
          <w:bCs/>
          <w:sz w:val="21"/>
          <w:szCs w:val="21"/>
        </w:rPr>
        <w:t>注：上述带“</w:t>
      </w:r>
      <w:r>
        <w:rPr>
          <w:rFonts w:hint="eastAsia" w:ascii="宋体" w:hAnsi="宋体" w:eastAsia="宋体" w:cs="宋体"/>
          <w:b/>
          <w:bCs/>
          <w:color w:val="FF0000"/>
          <w:sz w:val="21"/>
          <w:szCs w:val="21"/>
        </w:rPr>
        <w:t>*</w:t>
      </w:r>
      <w:r>
        <w:rPr>
          <w:rFonts w:hint="eastAsia" w:ascii="宋体" w:hAnsi="宋体" w:eastAsia="宋体" w:cs="宋体"/>
          <w:b/>
          <w:bCs/>
          <w:sz w:val="21"/>
          <w:szCs w:val="21"/>
        </w:rPr>
        <w:t>”项为必备的资格文件，在开标前核验（由投标人单独提供），缺一项按废标处理，其余文件开标后核验。</w:t>
      </w:r>
      <w:r>
        <w:rPr>
          <w:rFonts w:hint="eastAsia" w:ascii="宋体" w:hAnsi="宋体" w:eastAsia="宋体" w:cs="宋体"/>
          <w:b/>
          <w:sz w:val="21"/>
          <w:szCs w:val="21"/>
        </w:rPr>
        <w:t>逾期的投标文件招标人不予受理。</w:t>
      </w:r>
    </w:p>
    <w:p w14:paraId="08204D52">
      <w:pPr>
        <w:pStyle w:val="10"/>
        <w:rPr>
          <w:highlight w:val="yellow"/>
        </w:rPr>
      </w:pPr>
      <w:bookmarkStart w:id="6" w:name="_Toc47976591"/>
      <w:r>
        <w:rPr>
          <w:rFonts w:hint="eastAsia"/>
          <w:highlight w:val="yellow"/>
        </w:rPr>
        <w:t>报名及招标文件的获取</w:t>
      </w:r>
      <w:bookmarkEnd w:id="6"/>
    </w:p>
    <w:p w14:paraId="06CAB1A1">
      <w:pPr>
        <w:pStyle w:val="5"/>
        <w:numPr>
          <w:ilvl w:val="0"/>
          <w:numId w:val="4"/>
        </w:numPr>
        <w:spacing w:line="360" w:lineRule="auto"/>
        <w:ind w:firstLine="420" w:firstLineChars="200"/>
        <w:rPr>
          <w:rFonts w:hAnsi="宋体" w:cs="宋体"/>
          <w:b w:val="0"/>
          <w:bCs w:val="0"/>
          <w:szCs w:val="21"/>
          <w:highlight w:val="yellow"/>
        </w:rPr>
      </w:pPr>
      <w:r>
        <w:rPr>
          <w:rFonts w:hint="eastAsia" w:hAnsi="宋体" w:cs="宋体"/>
          <w:b w:val="0"/>
          <w:bCs w:val="0"/>
          <w:szCs w:val="21"/>
        </w:rPr>
        <w:t>报名截止时间：2025年</w:t>
      </w:r>
      <w:r>
        <w:rPr>
          <w:rFonts w:hint="eastAsia" w:hAnsi="宋体" w:cs="宋体"/>
          <w:b w:val="0"/>
          <w:bCs w:val="0"/>
          <w:szCs w:val="21"/>
          <w:lang w:val="en-US" w:eastAsia="zh-CN"/>
        </w:rPr>
        <w:t>10</w:t>
      </w:r>
      <w:r>
        <w:rPr>
          <w:rFonts w:hint="eastAsia" w:hAnsi="宋体" w:cs="宋体"/>
          <w:b w:val="0"/>
          <w:bCs w:val="0"/>
          <w:szCs w:val="21"/>
        </w:rPr>
        <w:t>月</w:t>
      </w:r>
      <w:r>
        <w:rPr>
          <w:rFonts w:hint="eastAsia" w:hAnsi="宋体" w:cs="宋体"/>
          <w:b w:val="0"/>
          <w:bCs w:val="0"/>
          <w:szCs w:val="21"/>
          <w:lang w:val="en-US" w:eastAsia="zh-CN"/>
        </w:rPr>
        <w:t>9</w:t>
      </w:r>
      <w:r>
        <w:rPr>
          <w:rFonts w:hint="eastAsia" w:hAnsi="宋体" w:cs="宋体"/>
          <w:b w:val="0"/>
          <w:bCs w:val="0"/>
          <w:szCs w:val="21"/>
        </w:rPr>
        <w:t>日下午17点</w:t>
      </w:r>
    </w:p>
    <w:p w14:paraId="498267F0">
      <w:pPr>
        <w:pStyle w:val="5"/>
        <w:numPr>
          <w:ilvl w:val="0"/>
          <w:numId w:val="4"/>
        </w:numPr>
        <w:spacing w:line="360" w:lineRule="auto"/>
        <w:ind w:firstLine="420" w:firstLineChars="200"/>
        <w:rPr>
          <w:b w:val="0"/>
          <w:bCs w:val="0"/>
          <w:highlight w:val="yellow"/>
        </w:rPr>
      </w:pPr>
      <w:r>
        <w:rPr>
          <w:rFonts w:hint="eastAsia" w:hAnsi="宋体" w:cs="宋体"/>
          <w:b w:val="0"/>
          <w:bCs w:val="0"/>
          <w:szCs w:val="21"/>
        </w:rPr>
        <w:t>招标文件获取方式：投标人在上述时间范围内，在中国重汽e采通平台上获取招标文件</w:t>
      </w:r>
    </w:p>
    <w:p w14:paraId="39047B60">
      <w:pPr>
        <w:pStyle w:val="5"/>
        <w:numPr>
          <w:ilvl w:val="0"/>
          <w:numId w:val="4"/>
        </w:numPr>
        <w:spacing w:line="360" w:lineRule="auto"/>
        <w:ind w:firstLine="420" w:firstLineChars="200"/>
        <w:rPr>
          <w:highlight w:val="yellow"/>
        </w:rPr>
      </w:pPr>
      <w:r>
        <w:rPr>
          <w:rFonts w:hint="eastAsia" w:ascii="宋体" w:hAnsi="宋体" w:eastAsia="宋体" w:cs="宋体"/>
          <w:b w:val="0"/>
          <w:bCs w:val="0"/>
          <w:sz w:val="21"/>
          <w:szCs w:val="21"/>
        </w:rPr>
        <w:t>报名方式：拟投标人根据招标人在中国重汽官网等公开媒体上发布的招标信息，在“中国重汽e采通”平台报名。按照中国重汽e采通“SRM非生产供应商注册手册”进行注册，注册完毕后按照“SRM系统供应商用户手册”，登录重汽e采通平台后进入“供应商应标”，选择对应的项目，点击“应标”后按照招标文件第三部分投标文件组成资格证明文件中的</w:t>
      </w:r>
      <w:r>
        <w:rPr>
          <w:rFonts w:hint="eastAsia" w:ascii="宋体" w:hAnsi="宋体" w:eastAsia="宋体" w:cs="宋体"/>
          <w:b w:val="0"/>
          <w:bCs w:val="0"/>
          <w:sz w:val="21"/>
          <w:szCs w:val="21"/>
          <w:highlight w:val="yellow"/>
        </w:rPr>
        <w:t>1.1-1.11</w:t>
      </w:r>
      <w:r>
        <w:rPr>
          <w:rFonts w:hint="eastAsia" w:ascii="宋体" w:hAnsi="宋体" w:eastAsia="宋体" w:cs="宋体"/>
          <w:b w:val="0"/>
          <w:bCs w:val="0"/>
          <w:sz w:val="21"/>
          <w:szCs w:val="21"/>
        </w:rPr>
        <w:t>准备资料并上传，资质审查通过即为报名成功；公示期间请尽快报名。</w:t>
      </w:r>
    </w:p>
    <w:p w14:paraId="4509C0DA">
      <w:pPr>
        <w:pStyle w:val="10"/>
        <w:rPr>
          <w:highlight w:val="yellow"/>
        </w:rPr>
      </w:pPr>
      <w:bookmarkStart w:id="7" w:name="_Toc47976592"/>
      <w:r>
        <w:rPr>
          <w:rFonts w:hint="eastAsia"/>
          <w:highlight w:val="yellow"/>
        </w:rPr>
        <w:t>投标文件的递交</w:t>
      </w:r>
      <w:bookmarkEnd w:id="7"/>
    </w:p>
    <w:p w14:paraId="4B7BB773">
      <w:pPr>
        <w:pStyle w:val="10"/>
        <w:numPr>
          <w:ilvl w:val="0"/>
          <w:numId w:val="0"/>
        </w:numPr>
        <w:ind w:leftChars="0"/>
        <w:rPr>
          <w:rFonts w:hint="eastAsia" w:ascii="宋体" w:hAnsi="宋体" w:eastAsia="宋体" w:cs="宋体"/>
          <w:sz w:val="21"/>
          <w:szCs w:val="21"/>
          <w:highlight w:val="yellow"/>
        </w:rPr>
      </w:pPr>
      <w:r>
        <w:rPr>
          <w:rFonts w:hint="eastAsia" w:ascii="宋体" w:hAnsi="宋体" w:eastAsia="宋体" w:cs="宋体"/>
          <w:b w:val="0"/>
          <w:bCs/>
          <w:sz w:val="21"/>
          <w:szCs w:val="21"/>
        </w:rPr>
        <w:t>投标方式：在中国重汽e采通平台应标成功后，进入“供应商投标”环节，投递盖章扫描版电子标书（包含资质标书、技术标书、商务标书），若逾期未在中国重汽e采通平台上传电子标书，一律视为无效投标。</w:t>
      </w:r>
    </w:p>
    <w:p w14:paraId="27B65ABD">
      <w:pPr>
        <w:pStyle w:val="10"/>
        <w:rPr>
          <w:highlight w:val="yellow"/>
        </w:rPr>
      </w:pPr>
      <w:r>
        <w:rPr>
          <w:rFonts w:hint="eastAsia"/>
          <w:highlight w:val="yellow"/>
          <w:lang w:val="en-US" w:eastAsia="zh-CN"/>
        </w:rPr>
        <w:t>开标时间和地点</w:t>
      </w:r>
    </w:p>
    <w:p w14:paraId="2813D339">
      <w:pPr>
        <w:pStyle w:val="10"/>
        <w:numPr>
          <w:ilvl w:val="0"/>
          <w:numId w:val="5"/>
        </w:numPr>
        <w:ind w:left="840"/>
        <w:rPr>
          <w:b w:val="0"/>
          <w:bCs w:val="0"/>
          <w:sz w:val="21"/>
          <w:szCs w:val="21"/>
          <w:highlight w:val="yellow"/>
        </w:rPr>
      </w:pPr>
      <w:r>
        <w:rPr>
          <w:rFonts w:hint="eastAsia" w:ascii="宋体" w:hAnsi="宋体" w:eastAsia="宋体" w:cs="宋体"/>
          <w:b w:val="0"/>
          <w:bCs w:val="0"/>
          <w:sz w:val="21"/>
          <w:szCs w:val="21"/>
          <w:highlight w:val="none"/>
        </w:rPr>
        <w:t>时间：2025年10月</w:t>
      </w:r>
      <w:r>
        <w:rPr>
          <w:rFonts w:hint="eastAsia" w:ascii="宋体" w:hAnsi="宋体" w:eastAsia="宋体" w:cs="宋体"/>
          <w:b w:val="0"/>
          <w:bCs w:val="0"/>
          <w:sz w:val="21"/>
          <w:szCs w:val="21"/>
          <w:highlight w:val="none"/>
          <w:lang w:val="en-US" w:eastAsia="zh-CN"/>
        </w:rPr>
        <w:t>29</w:t>
      </w:r>
      <w:r>
        <w:rPr>
          <w:rFonts w:hint="eastAsia" w:ascii="宋体" w:hAnsi="宋体" w:eastAsia="宋体" w:cs="宋体"/>
          <w:b w:val="0"/>
          <w:bCs w:val="0"/>
          <w:sz w:val="21"/>
          <w:szCs w:val="21"/>
          <w:highlight w:val="none"/>
        </w:rPr>
        <w:t>日9:00:00</w:t>
      </w:r>
    </w:p>
    <w:p w14:paraId="024A6A13">
      <w:pPr>
        <w:pStyle w:val="10"/>
        <w:numPr>
          <w:ilvl w:val="0"/>
          <w:numId w:val="5"/>
        </w:numPr>
        <w:ind w:left="840"/>
        <w:rPr>
          <w:b w:val="0"/>
          <w:bCs w:val="0"/>
          <w:sz w:val="21"/>
          <w:szCs w:val="21"/>
          <w:highlight w:val="yellow"/>
        </w:rPr>
      </w:pPr>
      <w:r>
        <w:rPr>
          <w:rFonts w:hint="eastAsia" w:ascii="宋体" w:hAnsi="宋体" w:eastAsia="宋体" w:cs="宋体"/>
          <w:b w:val="0"/>
          <w:bCs w:val="0"/>
          <w:sz w:val="21"/>
          <w:szCs w:val="21"/>
          <w:highlight w:val="none"/>
        </w:rPr>
        <w:t>地点：济南市历城区华奥路777号重汽科技大厦</w:t>
      </w:r>
    </w:p>
    <w:p w14:paraId="22385406">
      <w:pPr>
        <w:pStyle w:val="10"/>
      </w:pPr>
      <w:bookmarkStart w:id="8" w:name="_Toc47976593"/>
      <w:r>
        <w:rPr>
          <w:rFonts w:hint="eastAsia"/>
        </w:rPr>
        <w:t>招标公告发布媒介</w:t>
      </w:r>
      <w:bookmarkEnd w:id="8"/>
    </w:p>
    <w:p w14:paraId="15C59335">
      <w:pPr>
        <w:pStyle w:val="11"/>
        <w:numPr>
          <w:ilvl w:val="0"/>
          <w:numId w:val="0"/>
        </w:numPr>
        <w:ind w:left="1130" w:hanging="420"/>
        <w:rPr>
          <w:rFonts w:hint="eastAsia"/>
          <w:highlight w:val="none"/>
        </w:rPr>
      </w:pPr>
      <w:r>
        <w:rPr>
          <w:rFonts w:hint="eastAsia"/>
          <w:highlight w:val="none"/>
        </w:rPr>
        <w:t>本次招标公告同时在 中国重型汽车集团有限公司官网上发布。</w:t>
      </w:r>
    </w:p>
    <w:p w14:paraId="65FC2213">
      <w:pPr>
        <w:pStyle w:val="10"/>
        <w:rPr>
          <w:highlight w:val="yellow"/>
        </w:rPr>
      </w:pPr>
      <w:bookmarkStart w:id="9" w:name="_Toc47976594"/>
      <w:r>
        <w:rPr>
          <w:rFonts w:hint="eastAsia"/>
          <w:highlight w:val="yellow"/>
        </w:rPr>
        <w:t>联系方式</w:t>
      </w:r>
      <w:bookmarkEnd w:id="9"/>
    </w:p>
    <w:p w14:paraId="467084F2">
      <w:pPr>
        <w:ind w:firstLine="420" w:firstLineChars="200"/>
        <w:rPr>
          <w:rFonts w:hint="eastAsia" w:ascii="宋体" w:hAnsi="宋体" w:eastAsia="宋体" w:cs="宋体"/>
          <w:b w:val="0"/>
          <w:bCs/>
          <w:snapToGrid w:val="0"/>
          <w:kern w:val="0"/>
          <w:szCs w:val="21"/>
        </w:rPr>
      </w:pPr>
      <w:r>
        <w:rPr>
          <w:rFonts w:hint="eastAsia" w:ascii="宋体" w:hAnsi="宋体" w:eastAsia="宋体" w:cs="宋体"/>
          <w:b w:val="0"/>
          <w:bCs/>
          <w:snapToGrid w:val="0"/>
          <w:kern w:val="0"/>
          <w:szCs w:val="21"/>
        </w:rPr>
        <w:t>招标人名称：</w:t>
      </w:r>
      <w:r>
        <w:rPr>
          <w:rFonts w:hint="eastAsia" w:ascii="宋体" w:hAnsi="宋体" w:eastAsia="宋体" w:cs="宋体"/>
          <w:b w:val="0"/>
          <w:bCs/>
          <w:szCs w:val="21"/>
          <w:u w:val="single"/>
        </w:rPr>
        <w:t>中国重汽集团济南动力有限公司</w:t>
      </w:r>
    </w:p>
    <w:p w14:paraId="26FF52CC">
      <w:pPr>
        <w:pStyle w:val="10"/>
        <w:numPr>
          <w:ilvl w:val="0"/>
          <w:numId w:val="0"/>
        </w:numPr>
        <w:ind w:firstLine="420" w:firstLineChars="200"/>
        <w:rPr>
          <w:rFonts w:hint="eastAsia" w:ascii="宋体" w:hAnsi="宋体" w:eastAsia="宋体" w:cs="宋体"/>
          <w:b w:val="0"/>
          <w:bCs/>
          <w:sz w:val="21"/>
          <w:szCs w:val="21"/>
          <w:highlight w:val="yellow"/>
        </w:rPr>
      </w:pPr>
      <w:r>
        <w:rPr>
          <w:rFonts w:hint="eastAsia" w:ascii="宋体" w:hAnsi="宋体" w:eastAsia="宋体" w:cs="宋体"/>
          <w:b w:val="0"/>
          <w:bCs/>
          <w:snapToGrid w:val="0"/>
          <w:kern w:val="0"/>
          <w:sz w:val="21"/>
          <w:szCs w:val="21"/>
        </w:rPr>
        <w:t>招标人地址：</w:t>
      </w:r>
      <w:r>
        <w:rPr>
          <w:rFonts w:hint="eastAsia" w:ascii="宋体" w:hAnsi="宋体" w:eastAsia="宋体" w:cs="宋体"/>
          <w:b w:val="0"/>
          <w:bCs/>
          <w:sz w:val="21"/>
          <w:szCs w:val="21"/>
          <w:u w:val="single"/>
        </w:rPr>
        <w:t>济南市历城区华奥路777号</w:t>
      </w:r>
    </w:p>
    <w:p w14:paraId="669BF840">
      <w:pPr>
        <w:pStyle w:val="10"/>
        <w:numPr>
          <w:ilvl w:val="0"/>
          <w:numId w:val="0"/>
        </w:numPr>
        <w:ind w:firstLine="420" w:firstLineChars="200"/>
        <w:rPr>
          <w:rFonts w:hint="eastAsia" w:ascii="宋体" w:hAnsi="宋体" w:eastAsia="宋体" w:cs="宋体"/>
          <w:b w:val="0"/>
          <w:bCs/>
          <w:sz w:val="21"/>
          <w:szCs w:val="21"/>
        </w:rPr>
      </w:pPr>
      <w:r>
        <w:rPr>
          <w:rFonts w:hint="eastAsia" w:ascii="宋体" w:hAnsi="宋体" w:eastAsia="宋体" w:cs="宋体"/>
          <w:b w:val="0"/>
          <w:bCs/>
          <w:sz w:val="21"/>
          <w:szCs w:val="21"/>
          <w:highlight w:val="none"/>
        </w:rPr>
        <w:t>商务联系人：</w:t>
      </w:r>
      <w:r>
        <w:rPr>
          <w:rFonts w:hint="eastAsia" w:ascii="宋体" w:hAnsi="宋体" w:eastAsia="宋体" w:cs="宋体"/>
          <w:b w:val="0"/>
          <w:bCs/>
          <w:sz w:val="21"/>
          <w:szCs w:val="21"/>
        </w:rPr>
        <w:t>郭朝琛</w:t>
      </w:r>
    </w:p>
    <w:p w14:paraId="6CE0E423">
      <w:pPr>
        <w:pStyle w:val="10"/>
        <w:numPr>
          <w:ilvl w:val="0"/>
          <w:numId w:val="0"/>
        </w:numPr>
        <w:ind w:firstLine="420" w:firstLineChars="200"/>
        <w:rPr>
          <w:rFonts w:hint="eastAsia" w:ascii="宋体" w:hAnsi="宋体" w:eastAsia="宋体" w:cs="宋体"/>
          <w:b w:val="0"/>
          <w:bCs/>
          <w:sz w:val="21"/>
          <w:szCs w:val="21"/>
        </w:rPr>
      </w:pPr>
      <w:r>
        <w:rPr>
          <w:rFonts w:hint="eastAsia" w:ascii="宋体" w:hAnsi="宋体" w:eastAsia="宋体" w:cs="宋体"/>
          <w:b w:val="0"/>
          <w:bCs/>
          <w:sz w:val="21"/>
          <w:szCs w:val="21"/>
        </w:rPr>
        <w:t>电话：15275666282</w:t>
      </w:r>
    </w:p>
    <w:p w14:paraId="2CAE25E3">
      <w:pPr>
        <w:pStyle w:val="10"/>
        <w:numPr>
          <w:ilvl w:val="0"/>
          <w:numId w:val="0"/>
        </w:numPr>
        <w:ind w:firstLine="420" w:firstLineChars="200"/>
        <w:rPr>
          <w:rFonts w:hint="eastAsia" w:ascii="宋体" w:hAnsi="宋体" w:eastAsia="宋体" w:cs="宋体"/>
          <w:b w:val="0"/>
          <w:bCs/>
          <w:sz w:val="21"/>
          <w:szCs w:val="21"/>
        </w:rPr>
      </w:pPr>
      <w:r>
        <w:rPr>
          <w:rFonts w:hint="eastAsia" w:ascii="宋体" w:hAnsi="宋体" w:eastAsia="宋体" w:cs="宋体"/>
          <w:b w:val="0"/>
          <w:bCs/>
          <w:sz w:val="21"/>
          <w:szCs w:val="21"/>
        </w:rPr>
        <w:t>邮箱：1494144783@qq.com</w:t>
      </w:r>
    </w:p>
    <w:p w14:paraId="20148F8E">
      <w:pPr>
        <w:adjustRightInd w:val="0"/>
        <w:snapToGrid w:val="0"/>
        <w:spacing w:line="360" w:lineRule="auto"/>
        <w:ind w:firstLine="420" w:firstLineChars="20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cs="宋体"/>
          <w:b w:val="0"/>
          <w:bCs/>
          <w:sz w:val="21"/>
          <w:szCs w:val="21"/>
          <w:highlight w:val="none"/>
          <w:lang w:val="en-US" w:eastAsia="zh-CN"/>
        </w:rPr>
        <w:t>前桥</w:t>
      </w:r>
      <w:r>
        <w:rPr>
          <w:rFonts w:hint="eastAsia" w:ascii="宋体" w:hAnsi="宋体" w:eastAsia="宋体" w:cs="宋体"/>
          <w:b w:val="0"/>
          <w:bCs/>
          <w:sz w:val="21"/>
          <w:szCs w:val="21"/>
          <w:highlight w:val="none"/>
        </w:rPr>
        <w:t>技术联系人：</w:t>
      </w:r>
      <w:r>
        <w:rPr>
          <w:rFonts w:ascii="宋体" w:hAnsi="宋体" w:eastAsia="宋体" w:cs="宋体"/>
          <w:sz w:val="21"/>
          <w:szCs w:val="21"/>
        </w:rPr>
        <w:t>高志鹏</w:t>
      </w:r>
    </w:p>
    <w:p w14:paraId="2B3522CC">
      <w:pPr>
        <w:adjustRightInd w:val="0"/>
        <w:snapToGrid w:val="0"/>
        <w:spacing w:line="360" w:lineRule="auto"/>
        <w:ind w:firstLine="420" w:firstLineChars="20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电话: 17177729008</w:t>
      </w:r>
    </w:p>
    <w:p w14:paraId="7CFD6854">
      <w:pPr>
        <w:pStyle w:val="10"/>
        <w:numPr>
          <w:ilvl w:val="0"/>
          <w:numId w:val="0"/>
        </w:numPr>
        <w:ind w:leftChars="0" w:firstLine="420" w:firstLineChars="20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邮箱：</w:t>
      </w:r>
      <w:r>
        <w:rPr>
          <w:rFonts w:hint="eastAsia" w:ascii="宋体" w:hAnsi="宋体" w:eastAsia="宋体" w:cs="宋体"/>
          <w:b w:val="0"/>
          <w:bCs/>
          <w:color w:val="000000" w:themeColor="text1"/>
          <w:sz w:val="21"/>
          <w:szCs w:val="21"/>
          <w14:textFill>
            <w14:solidFill>
              <w14:schemeClr w14:val="tx1"/>
            </w14:solidFill>
          </w14:textFill>
        </w:rPr>
        <w:fldChar w:fldCharType="begin"/>
      </w:r>
      <w:r>
        <w:rPr>
          <w:rFonts w:hint="eastAsia" w:ascii="宋体" w:hAnsi="宋体" w:eastAsia="宋体" w:cs="宋体"/>
          <w:b w:val="0"/>
          <w:bCs/>
          <w:color w:val="000000" w:themeColor="text1"/>
          <w:sz w:val="21"/>
          <w:szCs w:val="21"/>
          <w14:textFill>
            <w14:solidFill>
              <w14:schemeClr w14:val="tx1"/>
            </w14:solidFill>
          </w14:textFill>
        </w:rPr>
        <w:instrText xml:space="preserve"> HYPERLINK "mailto:g17177729008@163.com" </w:instrText>
      </w:r>
      <w:r>
        <w:rPr>
          <w:rFonts w:hint="eastAsia" w:ascii="宋体" w:hAnsi="宋体" w:eastAsia="宋体" w:cs="宋体"/>
          <w:b w:val="0"/>
          <w:bCs/>
          <w:color w:val="000000" w:themeColor="text1"/>
          <w:sz w:val="21"/>
          <w:szCs w:val="21"/>
          <w14:textFill>
            <w14:solidFill>
              <w14:schemeClr w14:val="tx1"/>
            </w14:solidFill>
          </w14:textFill>
        </w:rPr>
        <w:fldChar w:fldCharType="separate"/>
      </w:r>
      <w:r>
        <w:rPr>
          <w:rStyle w:val="8"/>
          <w:rFonts w:hint="eastAsia" w:ascii="宋体" w:hAnsi="宋体" w:eastAsia="宋体" w:cs="宋体"/>
          <w:b w:val="0"/>
          <w:bCs/>
          <w:sz w:val="21"/>
          <w:szCs w:val="21"/>
        </w:rPr>
        <w:t>g17177729008@163.com</w:t>
      </w:r>
      <w:r>
        <w:rPr>
          <w:rFonts w:hint="eastAsia" w:ascii="宋体" w:hAnsi="宋体" w:eastAsia="宋体" w:cs="宋体"/>
          <w:b w:val="0"/>
          <w:bCs/>
          <w:color w:val="000000" w:themeColor="text1"/>
          <w:sz w:val="21"/>
          <w:szCs w:val="21"/>
          <w14:textFill>
            <w14:solidFill>
              <w14:schemeClr w14:val="tx1"/>
            </w14:solidFill>
          </w14:textFill>
        </w:rPr>
        <w:fldChar w:fldCharType="end"/>
      </w:r>
    </w:p>
    <w:p w14:paraId="7A2B9198">
      <w:pPr>
        <w:adjustRightInd w:val="0"/>
        <w:snapToGrid w:val="0"/>
        <w:spacing w:line="360" w:lineRule="auto"/>
        <w:ind w:firstLine="420" w:firstLineChars="200"/>
        <w:rPr>
          <w:rFonts w:hint="eastAsia" w:ascii="宋体" w:hAnsi="宋体" w:eastAsia="宋体" w:cs="宋体"/>
          <w:b w:val="0"/>
          <w:bCs/>
          <w:color w:val="000000" w:themeColor="text1"/>
          <w:sz w:val="21"/>
          <w:szCs w:val="21"/>
          <w14:textFill>
            <w14:solidFill>
              <w14:schemeClr w14:val="tx1"/>
            </w14:solidFill>
          </w14:textFill>
        </w:rPr>
      </w:pPr>
      <w:r>
        <w:rPr>
          <w:rFonts w:ascii="宋体" w:hAnsi="宋体" w:eastAsia="宋体" w:cs="宋体"/>
          <w:sz w:val="21"/>
          <w:szCs w:val="21"/>
        </w:rPr>
        <w:t>驱动桥</w:t>
      </w:r>
      <w:r>
        <w:rPr>
          <w:rFonts w:hint="eastAsia" w:ascii="宋体" w:hAnsi="宋体" w:eastAsia="宋体" w:cs="宋体"/>
          <w:b w:val="0"/>
          <w:bCs/>
          <w:sz w:val="21"/>
          <w:szCs w:val="21"/>
          <w:highlight w:val="none"/>
        </w:rPr>
        <w:t>技术联系人：</w:t>
      </w:r>
      <w:r>
        <w:rPr>
          <w:rFonts w:ascii="宋体" w:hAnsi="宋体" w:eastAsia="宋体" w:cs="宋体"/>
          <w:sz w:val="21"/>
          <w:szCs w:val="21"/>
        </w:rPr>
        <w:t>高志鹏</w:t>
      </w:r>
    </w:p>
    <w:p w14:paraId="0F7A3EB4">
      <w:pPr>
        <w:adjustRightInd w:val="0"/>
        <w:snapToGrid w:val="0"/>
        <w:spacing w:line="360" w:lineRule="auto"/>
        <w:ind w:firstLine="420" w:firstLineChars="20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电话: 19953136256</w:t>
      </w:r>
    </w:p>
    <w:p w14:paraId="01D25A7C">
      <w:pPr>
        <w:pStyle w:val="10"/>
        <w:numPr>
          <w:ilvl w:val="0"/>
          <w:numId w:val="0"/>
        </w:numPr>
        <w:ind w:leftChars="0" w:firstLine="420" w:firstLineChars="20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邮箱：835975981@qq.com</w:t>
      </w:r>
    </w:p>
    <w:p w14:paraId="326E86C3">
      <w:pPr>
        <w:pStyle w:val="14"/>
      </w:pPr>
    </w:p>
    <w:p w14:paraId="70A7FEA7">
      <w:pPr>
        <w:pStyle w:val="14"/>
        <w:jc w:val="both"/>
        <w:rPr>
          <w:rFonts w:hint="default"/>
          <w:highlight w:val="cyan"/>
          <w:u w:val="single"/>
          <w:lang w:val="en-US" w:eastAsia="zh-CN"/>
        </w:rPr>
      </w:pPr>
    </w:p>
    <w:p w14:paraId="3A7E2D48">
      <w:pPr>
        <w:pStyle w:val="14"/>
        <w:jc w:val="right"/>
        <w:rPr>
          <w:rFonts w:hint="eastAsia"/>
          <w:highlight w:val="cyan"/>
          <w:u w:val="single"/>
          <w:lang w:val="en-US" w:eastAsia="zh-CN"/>
        </w:rPr>
      </w:pPr>
    </w:p>
    <w:p w14:paraId="22C6BEDA">
      <w:pPr>
        <w:pStyle w:val="14"/>
        <w:jc w:val="right"/>
        <w:rPr>
          <w:rFonts w:hint="eastAsia"/>
          <w:highlight w:val="cyan"/>
          <w:u w:val="single"/>
          <w:lang w:val="en-US" w:eastAsia="zh-CN"/>
        </w:rPr>
      </w:pPr>
    </w:p>
    <w:p w14:paraId="410F58AB">
      <w:pPr>
        <w:pStyle w:val="14"/>
        <w:ind w:firstLine="6510" w:firstLineChars="3100"/>
        <w:jc w:val="both"/>
      </w:pPr>
      <w:r>
        <w:rPr>
          <w:rFonts w:hint="eastAsia"/>
          <w:highlight w:val="none"/>
          <w:u w:val="single"/>
          <w:lang w:val="en-US" w:eastAsia="zh-CN"/>
        </w:rPr>
        <w:t>2025</w:t>
      </w:r>
      <w:r>
        <w:rPr>
          <w:rFonts w:hint="eastAsia"/>
        </w:rPr>
        <w:t>年</w:t>
      </w:r>
      <w:r>
        <w:rPr>
          <w:rFonts w:hint="eastAsia"/>
          <w:u w:val="single"/>
          <w:lang w:val="en-US" w:eastAsia="zh-CN"/>
        </w:rPr>
        <w:t>9</w:t>
      </w:r>
      <w:r>
        <w:rPr>
          <w:rFonts w:hint="eastAsia"/>
        </w:rPr>
        <w:t>月</w:t>
      </w:r>
      <w:r>
        <w:rPr>
          <w:rFonts w:hint="eastAsia"/>
          <w:u w:val="single"/>
          <w:lang w:val="en-US" w:eastAsia="zh-CN"/>
        </w:rPr>
        <w:t>26</w:t>
      </w:r>
      <w:r>
        <w:rPr>
          <w:rFonts w:hint="eastAsia"/>
        </w:rPr>
        <w:t>日</w:t>
      </w:r>
    </w:p>
    <w:p w14:paraId="6E01A689">
      <w:r>
        <w:br w:type="page"/>
      </w:r>
    </w:p>
    <w:p w14:paraId="3E479304">
      <w:pPr>
        <w:pStyle w:val="5"/>
        <w:outlineLvl w:val="2"/>
        <w:rPr>
          <w:rFonts w:hAnsi="宋体" w:eastAsia="宋体" w:cs="宋体"/>
          <w:b/>
          <w:bCs/>
          <w:color w:val="000000"/>
          <w:sz w:val="24"/>
          <w:szCs w:val="24"/>
        </w:rPr>
      </w:pPr>
      <w:r>
        <w:rPr>
          <w:rFonts w:hint="eastAsia" w:hAnsi="宋体" w:eastAsia="宋体" w:cs="宋体"/>
          <w:b/>
          <w:bCs/>
          <w:color w:val="000000"/>
          <w:sz w:val="24"/>
          <w:szCs w:val="24"/>
        </w:rPr>
        <w:t>附件 SRM非生产供应商注册操作手册</w:t>
      </w:r>
    </w:p>
    <w:p w14:paraId="1343B1A6">
      <w:pPr>
        <w:pStyle w:val="5"/>
        <w:rPr>
          <w:rFonts w:eastAsia="宋体"/>
        </w:rPr>
      </w:pPr>
    </w:p>
    <w:p w14:paraId="22435412">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0BDC39DA">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64BEEE4E">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74E61257">
      <w:pPr>
        <w:snapToGrid w:val="0"/>
        <w:spacing w:line="312" w:lineRule="auto"/>
      </w:pPr>
      <w: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
                    <a:stretch>
                      <a:fillRect/>
                    </a:stretch>
                  </pic:blipFill>
                  <pic:spPr>
                    <a:xfrm>
                      <a:off x="0" y="0"/>
                      <a:ext cx="5760085" cy="2933377"/>
                    </a:xfrm>
                    <a:prstGeom prst="rect">
                      <a:avLst/>
                    </a:prstGeom>
                  </pic:spPr>
                </pic:pic>
              </a:graphicData>
            </a:graphic>
          </wp:inline>
        </w:drawing>
      </w:r>
    </w:p>
    <w:p w14:paraId="06ACD213">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491E4659">
      <w:pPr>
        <w:snapToGrid w:val="0"/>
        <w:spacing w:line="312" w:lineRule="auto"/>
      </w:pPr>
      <w: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5"/>
                    <a:stretch>
                      <a:fillRect/>
                    </a:stretch>
                  </pic:blipFill>
                  <pic:spPr>
                    <a:xfrm>
                      <a:off x="0" y="0"/>
                      <a:ext cx="5760085" cy="2766707"/>
                    </a:xfrm>
                    <a:prstGeom prst="rect">
                      <a:avLst/>
                    </a:prstGeom>
                  </pic:spPr>
                </pic:pic>
              </a:graphicData>
            </a:graphic>
          </wp:inline>
        </w:drawing>
      </w:r>
    </w:p>
    <w:p w14:paraId="4AD24A2F">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0BDAD0A9">
      <w:pPr>
        <w:snapToGrid w:val="0"/>
        <w:spacing w:line="312" w:lineRule="auto"/>
      </w:pPr>
      <w: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6"/>
                    <a:stretch>
                      <a:fillRect/>
                    </a:stretch>
                  </pic:blipFill>
                  <pic:spPr>
                    <a:xfrm>
                      <a:off x="0" y="0"/>
                      <a:ext cx="5760085" cy="2870054"/>
                    </a:xfrm>
                    <a:prstGeom prst="rect">
                      <a:avLst/>
                    </a:prstGeom>
                  </pic:spPr>
                </pic:pic>
              </a:graphicData>
            </a:graphic>
          </wp:inline>
        </w:drawing>
      </w:r>
    </w:p>
    <w:p w14:paraId="3710DB5A">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225455D7">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7"/>
                    <a:stretch>
                      <a:fillRect/>
                    </a:stretch>
                  </pic:blipFill>
                  <pic:spPr>
                    <a:xfrm>
                      <a:off x="0" y="0"/>
                      <a:ext cx="5760085" cy="2853375"/>
                    </a:xfrm>
                    <a:prstGeom prst="rect">
                      <a:avLst/>
                    </a:prstGeom>
                  </pic:spPr>
                </pic:pic>
              </a:graphicData>
            </a:graphic>
          </wp:inline>
        </w:drawing>
      </w:r>
    </w:p>
    <w:p w14:paraId="17B266E1">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181EA37D">
      <w:pPr>
        <w:pStyle w:val="5"/>
      </w:pPr>
    </w:p>
    <w:p w14:paraId="6C7B06C1">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8"/>
                    <a:stretch>
                      <a:fillRect/>
                    </a:stretch>
                  </pic:blipFill>
                  <pic:spPr>
                    <a:xfrm>
                      <a:off x="0" y="0"/>
                      <a:ext cx="5760085" cy="2810122"/>
                    </a:xfrm>
                    <a:prstGeom prst="rect">
                      <a:avLst/>
                    </a:prstGeom>
                  </pic:spPr>
                </pic:pic>
              </a:graphicData>
            </a:graphic>
          </wp:inline>
        </w:drawing>
      </w:r>
    </w:p>
    <w:p w14:paraId="56FE2A54">
      <w:pPr>
        <w:pStyle w:val="5"/>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9"/>
                    <a:stretch>
                      <a:fillRect/>
                    </a:stretch>
                  </pic:blipFill>
                  <pic:spPr>
                    <a:xfrm>
                      <a:off x="0" y="0"/>
                      <a:ext cx="5760085" cy="2820042"/>
                    </a:xfrm>
                    <a:prstGeom prst="rect">
                      <a:avLst/>
                    </a:prstGeom>
                  </pic:spPr>
                </pic:pic>
              </a:graphicData>
            </a:graphic>
          </wp:inline>
        </w:drawing>
      </w:r>
    </w:p>
    <w:p w14:paraId="50463576">
      <w:pPr>
        <w:pStyle w:val="5"/>
      </w:pPr>
    </w:p>
    <w:p w14:paraId="2E25754F">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14:paraId="4469E761">
      <w:pPr>
        <w:snapToGrid/>
        <w:spacing w:before="0" w:after="0" w:line="240" w:lineRule="auto"/>
        <w:ind w:left="0" w:right="0" w:firstLine="0"/>
        <w:jc w:val="both"/>
        <w:rPr>
          <w:rFonts w:hint="default"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p>
    <w:p w14:paraId="66D5E975">
      <w:pPr>
        <w:rPr>
          <w:rFonts w:ascii="宋体" w:hAnsi="宋体" w:eastAsia="宋体" w:cs="宋体"/>
          <w:b/>
          <w:bCs/>
          <w:color w:val="000000"/>
          <w:sz w:val="24"/>
          <w:szCs w:val="24"/>
        </w:rPr>
      </w:pPr>
      <w:r>
        <w:rPr>
          <w:rFonts w:hint="eastAsia" w:ascii="宋体" w:hAnsi="宋体" w:eastAsia="宋体" w:cs="宋体"/>
          <w:b/>
          <w:bCs/>
          <w:i w:val="0"/>
          <w:strike w:val="0"/>
          <w:color w:val="000000"/>
          <w:sz w:val="24"/>
          <w:szCs w:val="28"/>
          <w:highlight w:val="yellow"/>
          <w:u w:val="none"/>
          <w:lang w:val="en-US" w:eastAsia="zh-CN"/>
        </w:rPr>
        <w:t>2.</w:t>
      </w:r>
      <w:r>
        <w:rPr>
          <w:rFonts w:hint="eastAsia" w:hAnsi="宋体" w:eastAsia="宋体" w:cs="宋体"/>
          <w:b/>
          <w:bCs/>
          <w:i w:val="0"/>
          <w:strike w:val="0"/>
          <w:color w:val="000000"/>
          <w:sz w:val="24"/>
          <w:szCs w:val="28"/>
          <w:highlight w:val="yellow"/>
          <w:u w:val="none"/>
          <w:lang w:val="en-US" w:eastAsia="zh-CN"/>
        </w:rPr>
        <w:t>配套能力</w:t>
      </w:r>
      <w:r>
        <w:rPr>
          <w:rFonts w:hint="eastAsia" w:hAnsi="宋体" w:eastAsia="宋体" w:cs="宋体"/>
          <w:b/>
          <w:bCs/>
          <w:color w:val="000000"/>
          <w:sz w:val="24"/>
          <w:szCs w:val="28"/>
          <w:highlight w:val="yellow"/>
        </w:rPr>
        <w:t>“供货类别”</w:t>
      </w:r>
      <w:r>
        <w:rPr>
          <w:rFonts w:hint="eastAsia" w:hAnsi="宋体" w:eastAsia="宋体" w:cs="宋体"/>
          <w:b/>
          <w:bCs/>
          <w:color w:val="000000"/>
          <w:sz w:val="24"/>
          <w:szCs w:val="28"/>
          <w:highlight w:val="yellow"/>
          <w:lang w:val="en-US" w:eastAsia="zh-CN"/>
        </w:rPr>
        <w:t>选</w:t>
      </w:r>
      <w:r>
        <w:rPr>
          <w:rFonts w:hint="eastAsia" w:hAnsi="宋体" w:eastAsia="宋体" w:cs="宋体"/>
          <w:b/>
          <w:bCs/>
          <w:color w:val="000000"/>
          <w:sz w:val="24"/>
          <w:szCs w:val="28"/>
          <w:highlight w:val="yellow"/>
        </w:rPr>
        <w:t>“直管单位非生产招标 / 服务 / 设备设施维保”，业务主管部门为“制造工程部”。</w:t>
      </w:r>
      <w:bookmarkStart w:id="10" w:name="_GoBack"/>
      <w:bookmarkEnd w:id="10"/>
      <w:r>
        <w:rPr>
          <w:rFonts w:hint="eastAsia" w:ascii="宋体" w:hAnsi="宋体" w:eastAsia="宋体" w:cs="宋体"/>
          <w:b/>
          <w:bCs/>
          <w:color w:val="000000"/>
          <w:sz w:val="24"/>
          <w:szCs w:val="24"/>
        </w:rPr>
        <w:br w:type="page"/>
      </w:r>
    </w:p>
    <w:p w14:paraId="3AC93FE3">
      <w:pPr>
        <w:pStyle w:val="5"/>
        <w:outlineLvl w:val="2"/>
        <w:rPr>
          <w:rFonts w:hAnsi="宋体" w:eastAsia="宋体" w:cs="Times New Roman"/>
          <w:b/>
          <w:color w:val="000000"/>
          <w:sz w:val="24"/>
          <w:szCs w:val="24"/>
        </w:rPr>
      </w:pPr>
      <w:r>
        <w:rPr>
          <w:rFonts w:hint="eastAsia" w:hAnsi="宋体" w:eastAsia="宋体" w:cs="宋体"/>
          <w:b/>
          <w:bCs/>
          <w:color w:val="000000"/>
          <w:sz w:val="24"/>
          <w:szCs w:val="24"/>
        </w:rPr>
        <w:t>附件</w:t>
      </w:r>
      <w:r>
        <w:rPr>
          <w:rFonts w:hint="eastAsia" w:hAnsi="宋体" w:eastAsia="宋体" w:cs="Times New Roman"/>
          <w:b/>
          <w:color w:val="000000"/>
          <w:sz w:val="24"/>
          <w:szCs w:val="24"/>
        </w:rPr>
        <w:t>SRM系统供应商用户手册</w:t>
      </w:r>
    </w:p>
    <w:p w14:paraId="7581CE36">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8"/>
          <w:rFonts w:hint="eastAsia" w:ascii="宋体" w:hAnsi="宋体" w:eastAsia="宋体" w:cs="宋体"/>
          <w:sz w:val="24"/>
          <w:szCs w:val="24"/>
        </w:rPr>
        <w:t>https://ecaitong.sinotruk.com:8012/</w:t>
      </w:r>
      <w:r>
        <w:rPr>
          <w:rStyle w:val="8"/>
          <w:rFonts w:hint="eastAsia" w:ascii="宋体" w:hAnsi="宋体" w:eastAsia="宋体" w:cs="宋体"/>
          <w:sz w:val="24"/>
          <w:szCs w:val="24"/>
        </w:rPr>
        <w:fldChar w:fldCharType="end"/>
      </w:r>
    </w:p>
    <w:p w14:paraId="45B4824C">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1B45D832">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1A11A73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6A885C7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0BB4858F">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F93C3B2">
      <w: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0"/>
                    <a:stretch>
                      <a:fillRect/>
                    </a:stretch>
                  </pic:blipFill>
                  <pic:spPr>
                    <a:xfrm>
                      <a:off x="0" y="0"/>
                      <a:ext cx="5760085" cy="2269864"/>
                    </a:xfrm>
                    <a:prstGeom prst="rect">
                      <a:avLst/>
                    </a:prstGeom>
                  </pic:spPr>
                </pic:pic>
              </a:graphicData>
            </a:graphic>
          </wp:inline>
        </w:drawing>
      </w:r>
    </w:p>
    <w:p w14:paraId="1BD09A81"/>
    <w:p w14:paraId="6494D2C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350EC73F">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6E9FDC01">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1"/>
                    <a:stretch>
                      <a:fillRect/>
                    </a:stretch>
                  </pic:blipFill>
                  <pic:spPr>
                    <a:xfrm>
                      <a:off x="0" y="0"/>
                      <a:ext cx="5760085" cy="2125673"/>
                    </a:xfrm>
                    <a:prstGeom prst="rect">
                      <a:avLst/>
                    </a:prstGeom>
                  </pic:spPr>
                </pic:pic>
              </a:graphicData>
            </a:graphic>
          </wp:inline>
        </w:drawing>
      </w:r>
    </w:p>
    <w:p w14:paraId="390D7F95">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6F8516A4">
      <w:pPr>
        <w:pStyle w:val="5"/>
      </w:pPr>
      <w:r>
        <w:rPr>
          <w:rFonts w:hint="eastAsia" w:hAnsi="宋体" w:eastAsia="宋体" w:cs="宋体"/>
          <w:color w:val="000000"/>
          <w:sz w:val="24"/>
          <w:szCs w:val="28"/>
          <w:highlight w:val="yellow"/>
        </w:rPr>
        <w:t>注意：系统内的投标报价单位为“万元”，如开标现场发现填错报价，即直接淘汰。</w:t>
      </w:r>
    </w:p>
    <w:p w14:paraId="75CC6DAC">
      <w:pPr>
        <w:pStyle w:val="2"/>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2"/>
                    <a:stretch>
                      <a:fillRect/>
                    </a:stretch>
                  </pic:blipFill>
                  <pic:spPr>
                    <a:xfrm>
                      <a:off x="0" y="0"/>
                      <a:ext cx="5490210" cy="2669498"/>
                    </a:xfrm>
                    <a:prstGeom prst="rect">
                      <a:avLst/>
                    </a:prstGeom>
                  </pic:spPr>
                </pic:pic>
              </a:graphicData>
            </a:graphic>
          </wp:inline>
        </w:drawing>
      </w:r>
    </w:p>
    <w:p w14:paraId="1446FB36">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282207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1E57032">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3E457F93">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3"/>
                    <a:stretch>
                      <a:fillRect/>
                    </a:stretch>
                  </pic:blipFill>
                  <pic:spPr>
                    <a:xfrm>
                      <a:off x="0" y="0"/>
                      <a:ext cx="5490210" cy="1992743"/>
                    </a:xfrm>
                    <a:prstGeom prst="rect">
                      <a:avLst/>
                    </a:prstGeom>
                  </pic:spPr>
                </pic:pic>
              </a:graphicData>
            </a:graphic>
          </wp:inline>
        </w:drawing>
      </w:r>
    </w:p>
    <w:p w14:paraId="673E833C">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1D8EA61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0E79F5C1">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5A18BC93">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4A295C58">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6DE70A3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6FE410A9">
      <w:pPr>
        <w:pStyle w:val="2"/>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14"/>
                    <a:stretch>
                      <a:fillRect/>
                    </a:stretch>
                  </pic:blipFill>
                  <pic:spPr>
                    <a:xfrm>
                      <a:off x="0" y="0"/>
                      <a:ext cx="5490210" cy="2544669"/>
                    </a:xfrm>
                    <a:prstGeom prst="rect">
                      <a:avLst/>
                    </a:prstGeom>
                  </pic:spPr>
                </pic:pic>
              </a:graphicData>
            </a:graphic>
          </wp:inline>
        </w:drawing>
      </w:r>
    </w:p>
    <w:p w14:paraId="071EE63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3944D19C">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95C2408">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5DC12C34">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15"/>
                    <a:stretch>
                      <a:fillRect/>
                    </a:stretch>
                  </pic:blipFill>
                  <pic:spPr>
                    <a:xfrm>
                      <a:off x="0" y="0"/>
                      <a:ext cx="5760085" cy="195660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729C71"/>
    <w:multiLevelType w:val="singleLevel"/>
    <w:tmpl w:val="86729C71"/>
    <w:lvl w:ilvl="0" w:tentative="0">
      <w:start w:val="1"/>
      <w:numFmt w:val="decimal"/>
      <w:lvlText w:val="%1."/>
      <w:lvlJc w:val="left"/>
      <w:pPr>
        <w:tabs>
          <w:tab w:val="left" w:pos="312"/>
        </w:tabs>
      </w:pPr>
      <w:rPr>
        <w:rFonts w:hint="default"/>
        <w:b/>
        <w:bCs/>
        <w:highlight w:val="none"/>
      </w:rPr>
    </w:lvl>
  </w:abstractNum>
  <w:abstractNum w:abstractNumId="1">
    <w:nsid w:val="07FA6ED8"/>
    <w:multiLevelType w:val="singleLevel"/>
    <w:tmpl w:val="07FA6ED8"/>
    <w:lvl w:ilvl="0" w:tentative="0">
      <w:start w:val="1"/>
      <w:numFmt w:val="decimal"/>
      <w:lvlText w:val="%1."/>
      <w:lvlJc w:val="left"/>
      <w:pPr>
        <w:tabs>
          <w:tab w:val="left" w:pos="732"/>
        </w:tabs>
        <w:ind w:left="420"/>
      </w:pPr>
      <w:rPr>
        <w:rFonts w:hint="default"/>
        <w:highlight w:val="none"/>
      </w:rPr>
    </w:lvl>
  </w:abstractNum>
  <w:abstractNum w:abstractNumId="2">
    <w:nsid w:val="56D20133"/>
    <w:multiLevelType w:val="multilevel"/>
    <w:tmpl w:val="56D20133"/>
    <w:lvl w:ilvl="0" w:tentative="0">
      <w:start w:val="1"/>
      <w:numFmt w:val="chineseCountingThousand"/>
      <w:pStyle w:val="11"/>
      <w:lvlText w:val="(%1)"/>
      <w:lvlJc w:val="left"/>
      <w:pPr>
        <w:ind w:left="1130" w:hanging="420"/>
      </w:pPr>
      <w:rPr>
        <w:rFonts w:hint="eastAsia"/>
        <w:b/>
        <w:highlight w:val="none"/>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3">
    <w:nsid w:val="656A6EAE"/>
    <w:multiLevelType w:val="multilevel"/>
    <w:tmpl w:val="656A6EAE"/>
    <w:lvl w:ilvl="0" w:tentative="0">
      <w:start w:val="1"/>
      <w:numFmt w:val="chineseCountingThousand"/>
      <w:pStyle w:val="10"/>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num w:numId="1">
    <w:abstractNumId w:val="3"/>
  </w:num>
  <w:num w:numId="2">
    <w:abstractNumId w:val="2"/>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5FF6BA1"/>
    <w:rsid w:val="067B3F3D"/>
    <w:rsid w:val="09CD6B82"/>
    <w:rsid w:val="59C052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98" w:name="Normal"/>
    <w:lsdException w:qFormat="1" w:unhideWhenUsed="0" w:uiPriority="0" w:semiHidden="0" w:name="heading 1"/>
    <w:lsdException w:qFormat="1" w:uiPriority="0" w:name="heading 2"/>
    <w:lsdException w:qFormat="1" w:uiPriority="0" w:name="heading 3"/>
    <w:lsdException w:qFormat="1" w:unhideWhenUsed="0"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98"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4"/>
    <w:basedOn w:val="1"/>
    <w:next w:val="1"/>
    <w:semiHidden/>
    <w:qFormat/>
    <w:uiPriority w:val="0"/>
    <w:pPr>
      <w:keepNext/>
      <w:keepLines/>
      <w:spacing w:line="360" w:lineRule="auto"/>
      <w:outlineLvl w:val="3"/>
    </w:pPr>
    <w:rPr>
      <w:rFonts w:ascii="Arial" w:hAnsi="Arial"/>
      <w:b/>
      <w:bCs/>
      <w:szCs w:val="28"/>
    </w:rPr>
  </w:style>
  <w:style w:type="character" w:default="1" w:styleId="7">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paragraph" w:styleId="3">
    <w:name w:val="Body Text"/>
    <w:basedOn w:val="1"/>
    <w:next w:val="4"/>
    <w:semiHidden/>
    <w:qFormat/>
    <w:uiPriority w:val="98"/>
    <w:rPr>
      <w:rFonts w:ascii="仿宋_GB2312" w:eastAsia="仿宋_GB2312"/>
      <w:sz w:val="32"/>
    </w:rPr>
  </w:style>
  <w:style w:type="paragraph" w:styleId="4">
    <w:name w:val="Body Text Indent"/>
    <w:basedOn w:val="1"/>
    <w:semiHidden/>
    <w:qFormat/>
    <w:uiPriority w:val="0"/>
    <w:pPr>
      <w:spacing w:after="120"/>
      <w:ind w:left="420" w:leftChars="200"/>
    </w:pPr>
    <w:rPr>
      <w:rFonts w:ascii="Calibri" w:hAnsi="Calibri"/>
      <w:szCs w:val="22"/>
    </w:rPr>
  </w:style>
  <w:style w:type="paragraph" w:styleId="5">
    <w:name w:val="Plain Text"/>
    <w:basedOn w:val="1"/>
    <w:link w:val="13"/>
    <w:qFormat/>
    <w:uiPriority w:val="0"/>
    <w:rPr>
      <w:rFonts w:ascii="宋体" w:hAnsi="Courier New"/>
    </w:rPr>
  </w:style>
  <w:style w:type="character" w:styleId="8">
    <w:name w:val="Hyperlink"/>
    <w:basedOn w:val="7"/>
    <w:qFormat/>
    <w:uiPriority w:val="99"/>
    <w:rPr>
      <w:rFonts w:cs="Times New Roman"/>
      <w:color w:val="1F4F88"/>
      <w:u w:val="none"/>
    </w:rPr>
  </w:style>
  <w:style w:type="paragraph" w:customStyle="1" w:styleId="9">
    <w:name w:val="章节"/>
    <w:basedOn w:val="5"/>
    <w:qFormat/>
    <w:uiPriority w:val="0"/>
    <w:pPr>
      <w:spacing w:line="360" w:lineRule="auto"/>
      <w:jc w:val="center"/>
      <w:outlineLvl w:val="0"/>
    </w:pPr>
    <w:rPr>
      <w:rFonts w:ascii="黑体" w:eastAsia="黑体"/>
      <w:b/>
      <w:bCs/>
      <w:sz w:val="36"/>
      <w:szCs w:val="36"/>
    </w:rPr>
  </w:style>
  <w:style w:type="paragraph" w:customStyle="1" w:styleId="10">
    <w:name w:val="一级标题"/>
    <w:basedOn w:val="5"/>
    <w:qFormat/>
    <w:uiPriority w:val="1"/>
    <w:pPr>
      <w:numPr>
        <w:ilvl w:val="0"/>
        <w:numId w:val="1"/>
      </w:numPr>
      <w:spacing w:line="360" w:lineRule="auto"/>
      <w:ind w:left="420"/>
      <w:outlineLvl w:val="1"/>
    </w:pPr>
    <w:rPr>
      <w:rFonts w:ascii="黑体" w:eastAsia="黑体"/>
      <w:b/>
      <w:bCs/>
      <w:sz w:val="28"/>
    </w:rPr>
  </w:style>
  <w:style w:type="paragraph" w:customStyle="1" w:styleId="11">
    <w:name w:val="（二）级标题"/>
    <w:basedOn w:val="5"/>
    <w:qFormat/>
    <w:uiPriority w:val="2"/>
    <w:pPr>
      <w:numPr>
        <w:ilvl w:val="0"/>
        <w:numId w:val="2"/>
      </w:numPr>
      <w:spacing w:line="360" w:lineRule="auto"/>
      <w:outlineLvl w:val="2"/>
    </w:pPr>
    <w:rPr>
      <w:b/>
    </w:rPr>
  </w:style>
  <w:style w:type="character" w:customStyle="1" w:styleId="12">
    <w:name w:val="标书正文 字符"/>
    <w:basedOn w:val="13"/>
    <w:link w:val="14"/>
    <w:qFormat/>
    <w:uiPriority w:val="9"/>
  </w:style>
  <w:style w:type="character" w:customStyle="1" w:styleId="13">
    <w:name w:val="纯文本 字符1"/>
    <w:link w:val="5"/>
    <w:semiHidden/>
    <w:qFormat/>
    <w:uiPriority w:val="0"/>
    <w:rPr>
      <w:rFonts w:ascii="宋体" w:hAnsi="Courier New"/>
    </w:rPr>
  </w:style>
  <w:style w:type="paragraph" w:customStyle="1" w:styleId="14">
    <w:name w:val="标书正文"/>
    <w:basedOn w:val="5"/>
    <w:link w:val="12"/>
    <w:qFormat/>
    <w:uiPriority w:val="9"/>
    <w:pPr>
      <w:spacing w:line="360" w:lineRule="auto"/>
      <w:jc w:val="left"/>
    </w:pPr>
  </w:style>
  <w:style w:type="paragraph" w:customStyle="1" w:styleId="1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2643</Words>
  <Characters>2897</Characters>
  <Lines>0</Lines>
  <Paragraphs>0</Paragraphs>
  <TotalTime>0</TotalTime>
  <ScaleCrop>false</ScaleCrop>
  <LinksUpToDate>false</LinksUpToDate>
  <CharactersWithSpaces>2908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2025-09-26T01:58:00Z</dcterms:created>
  <dc:creator>Lenovo</dc:creator>
  <cp:lastModifiedBy>晓寒轻</cp:lastModifiedBy>
  <dcterms:modified xsi:type="dcterms:W3CDTF">2025-09-26T02:31:46Z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TemplateDocerSaveRecord">
    <vt:lpwstr>eyJoZGlkIjoiNGVmYjYwMTVkYTcwNzlmYzkyYzZmMzIwZTI3ZGZlNjgiLCJ1c2VySWQiOiIxMDYzNzE1ODkzIn0=</vt:lpwstr>
  </property>
  <property fmtid="{D5CDD505-2E9C-101B-9397-08002B2CF9AE}" pid="4" name="ICV">
    <vt:lpwstr>AA20F4F4CA3B415E82F0747EFB132223_12</vt:lpwstr>
  </property>
</Properties>
</file>