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ascii="楷体_GB2312" w:hAnsi="宋体" w:eastAsia="楷体_GB2312"/>
          <w:sz w:val="52"/>
          <w:szCs w:val="52"/>
        </w:rPr>
      </w:pPr>
      <w:r>
        <w:rPr>
          <w:rFonts w:hint="eastAsia" w:ascii="楷体_GB2312" w:hAnsi="宋体" w:eastAsia="楷体_GB2312"/>
          <w:sz w:val="52"/>
          <w:szCs w:val="52"/>
          <w:highlight w:val="yellow"/>
        </w:rPr>
        <w:t>济南成型厂自动化静压造型线振动落砂机、输送槽更新技改</w:t>
      </w:r>
      <w:r>
        <w:rPr>
          <w:rFonts w:hint="eastAsia" w:ascii="楷体_GB2312" w:hAnsi="宋体" w:eastAsia="楷体_GB2312"/>
          <w:sz w:val="52"/>
          <w:szCs w:val="52"/>
        </w:rPr>
        <w:t>项目</w:t>
      </w:r>
      <w:r>
        <w:rPr>
          <w:rFonts w:hint="eastAsia" w:ascii="楷体_GB2312" w:hAnsi="宋体" w:eastAsia="楷体_GB2312"/>
          <w:sz w:val="52"/>
          <w:szCs w:val="52"/>
        </w:rPr>
        <w:t>招标项目</w:t>
      </w: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_</w:t>
      </w:r>
      <w:r>
        <w:rPr>
          <w:rFonts w:hint="eastAsia" w:ascii="宋体" w:hAnsi="宋体" w:cs="宋体"/>
          <w:b/>
          <w:bCs/>
          <w:kern w:val="0"/>
          <w:sz w:val="32"/>
          <w:szCs w:val="32"/>
          <w:highlight w:val="yellow"/>
          <w:u w:val="single"/>
        </w:rPr>
        <w:t>FSCZB2025090106</w:t>
      </w:r>
      <w:r>
        <w:rPr>
          <w:rFonts w:ascii="宋体" w:hAnsi="宋体" w:cs="宋体"/>
          <w:b/>
          <w:bCs/>
          <w:kern w:val="0"/>
          <w:sz w:val="32"/>
          <w:szCs w:val="32"/>
          <w:highlight w:val="yellow"/>
          <w:u w:val="single"/>
        </w:rPr>
        <w:t>_</w:t>
      </w: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pPr>
        <w:jc w:val="center"/>
        <w:rPr>
          <w:rFonts w:ascii="宋体" w:hAnsi="宋体"/>
          <w:sz w:val="28"/>
          <w:szCs w:val="28"/>
        </w:rPr>
      </w:pPr>
    </w:p>
    <w:p>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9</w:t>
      </w:r>
      <w:r>
        <w:rPr>
          <w:rFonts w:hint="eastAsia" w:ascii="宋体" w:hAnsi="宋体"/>
          <w:sz w:val="28"/>
          <w:szCs w:val="28"/>
          <w:u w:val="single"/>
        </w:rPr>
        <w:t>月</w:t>
      </w:r>
    </w:p>
    <w:p>
      <w:pPr>
        <w:spacing w:line="480" w:lineRule="auto"/>
        <w:jc w:val="center"/>
        <w:rPr>
          <w:rFonts w:ascii="宋体" w:hAnsi="宋体"/>
          <w:b/>
          <w:bCs/>
          <w:sz w:val="48"/>
          <w:szCs w:val="48"/>
        </w:rPr>
      </w:pP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招标公告（适用于公开招标）</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pPr>
            <w:pStyle w:val="20"/>
          </w:pPr>
          <w:r>
            <w:rPr>
              <w:rFonts w:hint="eastAsia" w:ascii="Calibri" w:hAnsi="Calibri" w:eastAsia="宋体" w:cs="Times New Roman"/>
              <w:bCs/>
              <w:kern w:val="44"/>
              <w:szCs w:val="44"/>
            </w:rPr>
            <w:fldChar w:fldCharType="end"/>
          </w:r>
        </w:p>
      </w:sdtContent>
    </w:sdt>
    <w:p>
      <w:pPr>
        <w:pStyle w:val="2"/>
        <w:tabs>
          <w:tab w:val="left" w:pos="2940"/>
        </w:tabs>
        <w:spacing w:line="360" w:lineRule="auto"/>
      </w:pPr>
      <w:r>
        <w:tab/>
      </w:r>
    </w:p>
    <w:p>
      <w:pPr>
        <w:pStyle w:val="2"/>
        <w:spacing w:line="360" w:lineRule="auto"/>
        <w:jc w:val="center"/>
      </w:pPr>
    </w:p>
    <w:p>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1"/>
      </w:pPr>
      <w:bookmarkStart w:id="0" w:name="_Toc47976587"/>
      <w:bookmarkStart w:id="1" w:name="_Toc7104"/>
      <w:r>
        <w:rPr>
          <w:rFonts w:hint="eastAsia"/>
        </w:rPr>
        <w:t>招标公告</w:t>
      </w:r>
      <w:bookmarkEnd w:id="0"/>
      <w:r>
        <w:rPr>
          <w:rFonts w:hint="eastAsia"/>
        </w:rPr>
        <w:t>（适用于公开招标）</w:t>
      </w:r>
      <w:bookmarkEnd w:id="1"/>
    </w:p>
    <w:p>
      <w:pPr>
        <w:pStyle w:val="71"/>
        <w:spacing w:line="240" w:lineRule="auto"/>
        <w:outlineLvl w:val="9"/>
        <w:rPr>
          <w:rFonts w:hint="eastAsia"/>
        </w:rPr>
      </w:pPr>
      <w:bookmarkStart w:id="2" w:name="_Toc32474"/>
      <w:r>
        <w:rPr>
          <w:rFonts w:hint="eastAsia"/>
        </w:rPr>
        <w:t>济南成型厂自动化静压造型线振动落砂机、输送槽更新技改项目招标公告</w:t>
      </w:r>
      <w:bookmarkEnd w:id="2"/>
    </w:p>
    <w:p>
      <w:pPr>
        <w:pStyle w:val="71"/>
        <w:spacing w:line="240" w:lineRule="auto"/>
        <w:outlineLvl w:val="9"/>
        <w:rPr>
          <w:rFonts w:hint="eastAsia"/>
        </w:rPr>
      </w:pPr>
    </w:p>
    <w:p>
      <w:pPr>
        <w:pStyle w:val="72"/>
      </w:pPr>
      <w:bookmarkStart w:id="3" w:name="_Toc47976588"/>
      <w:r>
        <w:rPr>
          <w:rFonts w:hint="eastAsia"/>
        </w:rPr>
        <w:t>项目名称及项目编号</w:t>
      </w:r>
      <w:bookmarkEnd w:id="3"/>
    </w:p>
    <w:p>
      <w:pPr>
        <w:pStyle w:val="73"/>
        <w:rPr>
          <w:sz w:val="24"/>
          <w:szCs w:val="24"/>
        </w:rPr>
      </w:pPr>
      <w:r>
        <w:rPr>
          <w:rFonts w:hint="eastAsia"/>
          <w:sz w:val="24"/>
          <w:szCs w:val="24"/>
        </w:rPr>
        <w:t>项目名称：</w:t>
      </w:r>
      <w:r>
        <w:rPr>
          <w:rFonts w:hint="eastAsia"/>
          <w:sz w:val="24"/>
          <w:szCs w:val="24"/>
          <w:highlight w:val="yellow"/>
        </w:rPr>
        <w:t>济南成型厂自动化静压造型线振动落砂机、输送槽更新技改项目</w:t>
      </w:r>
    </w:p>
    <w:p>
      <w:pPr>
        <w:pStyle w:val="73"/>
        <w:rPr>
          <w:sz w:val="24"/>
          <w:szCs w:val="24"/>
        </w:rPr>
      </w:pPr>
      <w:r>
        <w:rPr>
          <w:rFonts w:hint="eastAsia"/>
          <w:sz w:val="24"/>
          <w:szCs w:val="24"/>
        </w:rPr>
        <w:t>项目编号：</w:t>
      </w:r>
      <w:r>
        <w:rPr>
          <w:rFonts w:hint="eastAsia"/>
          <w:sz w:val="24"/>
          <w:szCs w:val="24"/>
          <w:highlight w:val="yellow"/>
        </w:rPr>
        <w:t>FSCZB2025090106</w:t>
      </w:r>
    </w:p>
    <w:p>
      <w:pPr>
        <w:pStyle w:val="72"/>
      </w:pPr>
      <w:bookmarkStart w:id="4" w:name="_Toc47976589"/>
      <w:r>
        <w:rPr>
          <w:rFonts w:hint="eastAsia"/>
          <w:lang w:val="en-US" w:eastAsia="zh-CN"/>
        </w:rPr>
        <w:t>项目概况</w:t>
      </w:r>
      <w:r>
        <w:rPr>
          <w:rFonts w:hint="eastAsia"/>
        </w:rPr>
        <w:t>及招标形式</w:t>
      </w:r>
      <w:bookmarkEnd w:id="4"/>
    </w:p>
    <w:p>
      <w:pPr>
        <w:pStyle w:val="73"/>
        <w:numPr>
          <w:ilvl w:val="0"/>
          <w:numId w:val="9"/>
        </w:numPr>
      </w:pPr>
      <w:r>
        <w:rPr>
          <w:rFonts w:hint="eastAsia"/>
        </w:rPr>
        <w:t>招标内容：</w:t>
      </w:r>
    </w:p>
    <w:p>
      <w:pPr>
        <w:pStyle w:val="73"/>
        <w:keepNext w:val="0"/>
        <w:keepLines w:val="0"/>
        <w:pageBreakBefore w:val="0"/>
        <w:widowControl w:val="0"/>
        <w:numPr>
          <w:numId w:val="0"/>
        </w:numPr>
        <w:kinsoku/>
        <w:wordWrap/>
        <w:overflowPunct/>
        <w:topLinePunct w:val="0"/>
        <w:autoSpaceDE/>
        <w:autoSpaceDN/>
        <w:bidi w:val="0"/>
        <w:adjustRightInd/>
        <w:snapToGrid/>
        <w:ind w:firstLine="1200" w:firstLineChars="500"/>
        <w:jc w:val="left"/>
        <w:textAlignment w:val="auto"/>
        <w:outlineLvl w:val="9"/>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b w:val="0"/>
          <w:color w:val="000000"/>
          <w:kern w:val="2"/>
          <w:sz w:val="24"/>
          <w:szCs w:val="24"/>
          <w:highlight w:val="none"/>
          <w:lang w:val="en-US" w:eastAsia="zh-CN" w:bidi="ar-SA"/>
        </w:rPr>
        <w:t>1.铸造一部振动落砂机更新;</w:t>
      </w:r>
    </w:p>
    <w:p>
      <w:pPr>
        <w:pStyle w:val="73"/>
        <w:keepNext w:val="0"/>
        <w:keepLines w:val="0"/>
        <w:pageBreakBefore w:val="0"/>
        <w:widowControl w:val="0"/>
        <w:numPr>
          <w:numId w:val="0"/>
        </w:numPr>
        <w:kinsoku/>
        <w:wordWrap/>
        <w:overflowPunct/>
        <w:topLinePunct w:val="0"/>
        <w:autoSpaceDE/>
        <w:autoSpaceDN/>
        <w:bidi w:val="0"/>
        <w:adjustRightInd/>
        <w:snapToGrid/>
        <w:ind w:firstLine="1200" w:firstLineChars="500"/>
        <w:jc w:val="left"/>
        <w:textAlignment w:val="auto"/>
        <w:outlineLvl w:val="9"/>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b w:val="0"/>
          <w:color w:val="000000"/>
          <w:kern w:val="2"/>
          <w:sz w:val="24"/>
          <w:szCs w:val="24"/>
          <w:highlight w:val="none"/>
          <w:lang w:val="en-US" w:eastAsia="zh-CN" w:bidi="ar-SA"/>
        </w:rPr>
        <w:t>2.铸造一部振动输送槽更新;</w:t>
      </w:r>
    </w:p>
    <w:p>
      <w:pPr>
        <w:pStyle w:val="73"/>
        <w:keepNext w:val="0"/>
        <w:keepLines w:val="0"/>
        <w:pageBreakBefore w:val="0"/>
        <w:widowControl w:val="0"/>
        <w:numPr>
          <w:numId w:val="0"/>
        </w:numPr>
        <w:kinsoku/>
        <w:wordWrap/>
        <w:overflowPunct/>
        <w:topLinePunct w:val="0"/>
        <w:autoSpaceDE/>
        <w:autoSpaceDN/>
        <w:bidi w:val="0"/>
        <w:adjustRightInd/>
        <w:snapToGrid/>
        <w:ind w:firstLine="1200" w:firstLineChars="500"/>
        <w:jc w:val="left"/>
        <w:textAlignment w:val="auto"/>
        <w:outlineLvl w:val="9"/>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b w:val="0"/>
          <w:color w:val="000000"/>
          <w:kern w:val="2"/>
          <w:sz w:val="24"/>
          <w:szCs w:val="24"/>
          <w:highlight w:val="none"/>
          <w:lang w:val="en-US" w:eastAsia="zh-CN" w:bidi="ar-SA"/>
        </w:rPr>
        <w:t>3.铸造二部一级落砂机更新。</w:t>
      </w:r>
    </w:p>
    <w:p>
      <w:pPr>
        <w:pStyle w:val="73"/>
        <w:rPr>
          <w:sz w:val="24"/>
          <w:szCs w:val="24"/>
        </w:rPr>
      </w:pPr>
      <w:r>
        <w:rPr>
          <w:rFonts w:hint="eastAsia"/>
          <w:sz w:val="24"/>
          <w:szCs w:val="24"/>
        </w:rPr>
        <w:t>招标形式：</w:t>
      </w:r>
      <w:r>
        <w:rPr>
          <w:rFonts w:hint="eastAsia"/>
          <w:sz w:val="24"/>
          <w:szCs w:val="24"/>
          <w:highlight w:val="yellow"/>
        </w:rPr>
        <w:t>公开招标</w:t>
      </w:r>
    </w:p>
    <w:p>
      <w:pPr>
        <w:pStyle w:val="72"/>
        <w:rPr>
          <w:highlight w:val="yellow"/>
        </w:rPr>
      </w:pPr>
      <w:bookmarkStart w:id="5" w:name="_Toc47976590"/>
      <w:r>
        <w:rPr>
          <w:rFonts w:hint="eastAsia"/>
          <w:highlight w:val="yellow"/>
        </w:rPr>
        <w:t>投标人资格要求</w:t>
      </w:r>
      <w:bookmarkEnd w:id="5"/>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 立承担民事责任能力；注册资金不少于500万人民币(或等值其他货币);公 司成立三年以上(以营业执照成立日期到开标当日满三年为准),且经营范围 满足招标人需求；并在人员、设备、资金等方面具有承担本项目的能力；</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 不存在不良记录；</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6. 拟投标人2022年1月1日至今经第三方审计的公司财务报表(资产 负债表、损益表、现金流量表)未显示异常；</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 务不当而造成重大事故；</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 求；</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10. 投标人最近半年纳税正常；</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11. 投标人信用证明材料(中国人民银行信用代码证+征信报告)未显示 异 常 ；</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 工及其亲属；</w:t>
      </w:r>
    </w:p>
    <w:p>
      <w:pPr>
        <w:ind w:firstLine="480" w:firstLineChars="200"/>
      </w:pPr>
      <w:r>
        <w:rPr>
          <w:rFonts w:hint="eastAsia" w:hAnsi="宋体" w:eastAsia="宋体" w:cs="宋体"/>
          <w:color w:val="000000"/>
          <w:sz w:val="24"/>
          <w:szCs w:val="24"/>
          <w:highlight w:val="none"/>
        </w:rPr>
        <w:t>13.本项目不接受联合体投标，拟投标人必须是最终投标单位和签订合 同单位，不得以任何理由将已中标项目以任何形式分包或转包给其他单位。</w:t>
      </w:r>
    </w:p>
    <w:p>
      <w:pPr>
        <w:pStyle w:val="72"/>
        <w:numPr>
          <w:numId w:val="0"/>
        </w:numPr>
        <w:ind w:leftChars="0"/>
        <w:outlineLvl w:val="9"/>
        <w:rPr>
          <w:highlight w:val="yellow"/>
        </w:rPr>
      </w:pPr>
    </w:p>
    <w:p>
      <w:pPr>
        <w:pStyle w:val="72"/>
        <w:rPr>
          <w:highlight w:val="yellow"/>
        </w:rPr>
      </w:pPr>
      <w:bookmarkStart w:id="6" w:name="_Toc47976591"/>
      <w:r>
        <w:rPr>
          <w:rFonts w:hint="eastAsia"/>
          <w:highlight w:val="yellow"/>
        </w:rPr>
        <w:t>报名及招标文件的获取</w:t>
      </w:r>
      <w:bookmarkEnd w:id="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val="0"/>
          <w:bCs w:val="0"/>
          <w:color w:val="000000"/>
          <w:kern w:val="2"/>
          <w:sz w:val="24"/>
          <w:szCs w:val="24"/>
          <w:highlight w:val="none"/>
          <w:lang w:val="en-US" w:eastAsia="zh-CN" w:bidi="ar-SA"/>
        </w:rPr>
        <w:t>报名方式：</w:t>
      </w:r>
      <w:bookmarkStart w:id="7" w:name="OLE_LINK14"/>
      <w:r>
        <w:rPr>
          <w:rFonts w:hint="eastAsia" w:ascii="Times New Roman" w:hAnsi="宋体" w:eastAsia="宋体" w:cs="宋体"/>
          <w:b w:val="0"/>
          <w:bCs w:val="0"/>
          <w:color w:val="000000"/>
          <w:kern w:val="2"/>
          <w:sz w:val="24"/>
          <w:szCs w:val="24"/>
          <w:highlight w:val="none"/>
          <w:lang w:val="en-US" w:eastAsia="zh-CN" w:bidi="ar-SA"/>
        </w:rPr>
        <w:t>拟投标人</w:t>
      </w:r>
      <w:bookmarkEnd w:id="7"/>
      <w:r>
        <w:rPr>
          <w:rFonts w:hint="eastAsia" w:ascii="Times New Roman" w:hAnsi="宋体" w:eastAsia="宋体" w:cs="宋体"/>
          <w:b w:val="0"/>
          <w:bCs w:val="0"/>
          <w:color w:val="000000"/>
          <w:kern w:val="2"/>
          <w:sz w:val="24"/>
          <w:szCs w:val="24"/>
          <w:highlight w:val="none"/>
          <w:lang w:val="en-US" w:eastAsia="zh-CN" w:bidi="ar-SA"/>
        </w:rPr>
        <w:t>在“中国重汽e采通”平台报名。按照中国重汽e采通“SRM非生产供应商注册手册”进行注册，登录后进入“供应商应标”，选择对应的项目，点击“应标”后按照招标文件第三部分投标文件组成资格证明文件中的1.1-1.13准备资料并上传，资质审查通过即为报名成功；公示期间请尽快报名。</w:t>
      </w:r>
    </w:p>
    <w:p>
      <w:pPr>
        <w:pStyle w:val="72"/>
        <w:rPr>
          <w:highlight w:val="yellow"/>
        </w:rPr>
      </w:pPr>
      <w:bookmarkStart w:id="8" w:name="_Toc47976592"/>
      <w:r>
        <w:rPr>
          <w:rFonts w:hint="eastAsia"/>
          <w:highlight w:val="yellow"/>
        </w:rPr>
        <w:t>投标文件的递交</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val="0"/>
          <w:bCs w:val="0"/>
          <w:color w:val="000000"/>
          <w:kern w:val="2"/>
          <w:sz w:val="24"/>
          <w:szCs w:val="24"/>
          <w:highlight w:val="none"/>
          <w:lang w:val="en-US" w:eastAsia="zh-CN" w:bidi="ar-SA"/>
        </w:rPr>
        <w:t>在中国重汽e采通平台应标成功后，进入“供应商投标”环节，投递盖章扫描版电子标书（包含资质标书、技术标书、商务标书），若逾期未在中国重汽e采通平台上传电子标书，即便递交了纸版投标文件，一律视为无效投标。</w:t>
      </w:r>
    </w:p>
    <w:p>
      <w:pPr>
        <w:pStyle w:val="72"/>
        <w:rPr>
          <w:highlight w:val="yellow"/>
        </w:rPr>
      </w:pPr>
      <w:r>
        <w:rPr>
          <w:rFonts w:hint="eastAsia"/>
          <w:highlight w:val="yellow"/>
          <w:lang w:val="en-US" w:eastAsia="zh-CN"/>
        </w:rPr>
        <w:t>开标时间和地点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val="0"/>
          <w:bCs w:val="0"/>
          <w:color w:val="000000"/>
          <w:kern w:val="2"/>
          <w:sz w:val="24"/>
          <w:szCs w:val="24"/>
          <w:highlight w:val="none"/>
          <w:lang w:val="en-US" w:eastAsia="zh-CN" w:bidi="ar-SA"/>
        </w:rPr>
        <w:t>开标时间：2025年</w:t>
      </w:r>
      <w:r>
        <w:rPr>
          <w:rFonts w:hint="eastAsia" w:hAnsi="宋体" w:eastAsia="宋体" w:cs="宋体"/>
          <w:b w:val="0"/>
          <w:bCs w:val="0"/>
          <w:color w:val="000000"/>
          <w:kern w:val="2"/>
          <w:sz w:val="24"/>
          <w:szCs w:val="24"/>
          <w:highlight w:val="none"/>
          <w:lang w:val="en-US" w:eastAsia="zh-CN" w:bidi="ar-SA"/>
        </w:rPr>
        <w:t>10</w:t>
      </w:r>
      <w:r>
        <w:rPr>
          <w:rFonts w:hint="eastAsia" w:ascii="Times New Roman" w:hAnsi="宋体" w:eastAsia="宋体" w:cs="宋体"/>
          <w:b w:val="0"/>
          <w:bCs w:val="0"/>
          <w:color w:val="000000"/>
          <w:kern w:val="2"/>
          <w:sz w:val="24"/>
          <w:szCs w:val="24"/>
          <w:highlight w:val="none"/>
          <w:lang w:val="en-US" w:eastAsia="zh-CN" w:bidi="ar-SA"/>
        </w:rPr>
        <w:t>月</w:t>
      </w:r>
      <w:r>
        <w:rPr>
          <w:rFonts w:hint="eastAsia" w:hAnsi="宋体" w:eastAsia="宋体" w:cs="宋体"/>
          <w:b w:val="0"/>
          <w:bCs w:val="0"/>
          <w:color w:val="000000"/>
          <w:kern w:val="2"/>
          <w:sz w:val="24"/>
          <w:szCs w:val="24"/>
          <w:highlight w:val="none"/>
          <w:lang w:val="en-US" w:eastAsia="zh-CN" w:bidi="ar-SA"/>
        </w:rPr>
        <w:t>30日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val="0"/>
          <w:bCs w:val="0"/>
          <w:color w:val="000000"/>
          <w:kern w:val="2"/>
          <w:sz w:val="24"/>
          <w:szCs w:val="24"/>
          <w:highlight w:val="none"/>
          <w:lang w:val="en-US" w:eastAsia="zh-CN" w:bidi="ar-SA"/>
        </w:rPr>
        <w:t>开标地点:另行通知</w:t>
      </w:r>
    </w:p>
    <w:p>
      <w:pPr>
        <w:pStyle w:val="72"/>
      </w:pPr>
      <w:bookmarkStart w:id="9" w:name="_Toc47976593"/>
      <w:r>
        <w:rPr>
          <w:rFonts w:hint="eastAsia"/>
        </w:rPr>
        <w:t>招标公告发布媒介</w:t>
      </w:r>
      <w:bookmarkEnd w:id="9"/>
    </w:p>
    <w:p>
      <w:pPr>
        <w:pStyle w:val="73"/>
        <w:numPr>
          <w:ilvl w:val="0"/>
          <w:numId w:val="0"/>
        </w:numPr>
        <w:ind w:left="1130" w:hanging="420"/>
        <w:outlineLvl w:val="9"/>
        <w:rPr>
          <w:rFonts w:hint="eastAsia"/>
          <w:sz w:val="24"/>
          <w:szCs w:val="24"/>
          <w:highlight w:val="yellow"/>
        </w:rPr>
      </w:pPr>
      <w:r>
        <w:rPr>
          <w:rFonts w:hint="eastAsia"/>
          <w:sz w:val="24"/>
          <w:szCs w:val="24"/>
          <w:highlight w:val="yellow"/>
        </w:rPr>
        <w:t xml:space="preserve">本次招标公告同时在 </w:t>
      </w:r>
      <w:r>
        <w:rPr>
          <w:rFonts w:hint="eastAsia"/>
          <w:sz w:val="24"/>
          <w:szCs w:val="24"/>
          <w:highlight w:val="yellow"/>
          <w:lang w:val="en-US" w:eastAsia="zh-CN"/>
        </w:rPr>
        <w:t>中国重汽官网、阳光采购平台</w:t>
      </w:r>
      <w:r>
        <w:rPr>
          <w:rFonts w:hint="eastAsia"/>
          <w:sz w:val="24"/>
          <w:szCs w:val="24"/>
          <w:highlight w:val="yellow"/>
        </w:rPr>
        <w:t>上发布。</w:t>
      </w:r>
    </w:p>
    <w:p>
      <w:pPr>
        <w:pStyle w:val="72"/>
        <w:rPr>
          <w:highlight w:val="yellow"/>
        </w:rPr>
      </w:pPr>
      <w:bookmarkStart w:id="10" w:name="_Toc47976594"/>
      <w:r>
        <w:rPr>
          <w:rFonts w:hint="eastAsia"/>
          <w:highlight w:val="yellow"/>
        </w:rPr>
        <w:t>联系方式</w:t>
      </w:r>
      <w:bookmarkEnd w:id="10"/>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bCs/>
          <w:color w:val="000000"/>
          <w:kern w:val="2"/>
          <w:sz w:val="24"/>
          <w:szCs w:val="24"/>
          <w:highlight w:val="none"/>
          <w:lang w:val="en-US" w:eastAsia="zh-CN" w:bidi="ar-SA"/>
        </w:rPr>
        <w:t>商务联系人</w:t>
      </w:r>
      <w:r>
        <w:rPr>
          <w:rFonts w:hint="eastAsia" w:ascii="Times New Roman" w:hAnsi="宋体" w:eastAsia="宋体" w:cs="宋体"/>
          <w:b w:val="0"/>
          <w:bCs w:val="0"/>
          <w:color w:val="000000"/>
          <w:kern w:val="2"/>
          <w:sz w:val="24"/>
          <w:szCs w:val="24"/>
          <w:highlight w:val="none"/>
          <w:lang w:val="en-US" w:eastAsia="zh-CN" w:bidi="ar-SA"/>
        </w:rPr>
        <w:t>：赵力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bCs/>
          <w:color w:val="000000"/>
          <w:kern w:val="2"/>
          <w:sz w:val="24"/>
          <w:szCs w:val="24"/>
          <w:highlight w:val="none"/>
          <w:lang w:val="en-US" w:eastAsia="zh-CN" w:bidi="ar-SA"/>
        </w:rPr>
        <w:t>电话</w:t>
      </w:r>
      <w:r>
        <w:rPr>
          <w:rFonts w:hint="eastAsia" w:ascii="Times New Roman" w:hAnsi="宋体" w:eastAsia="宋体" w:cs="宋体"/>
          <w:b w:val="0"/>
          <w:bCs w:val="0"/>
          <w:color w:val="000000"/>
          <w:kern w:val="2"/>
          <w:sz w:val="24"/>
          <w:szCs w:val="24"/>
          <w:highlight w:val="none"/>
          <w:lang w:val="en-US" w:eastAsia="zh-CN" w:bidi="ar-SA"/>
        </w:rPr>
        <w:t>：17860606595</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bCs/>
          <w:color w:val="000000"/>
          <w:kern w:val="2"/>
          <w:sz w:val="24"/>
          <w:szCs w:val="24"/>
          <w:highlight w:val="none"/>
          <w:lang w:val="en-US" w:eastAsia="zh-CN" w:bidi="ar-SA"/>
        </w:rPr>
        <w:t>邮箱</w:t>
      </w:r>
      <w:r>
        <w:rPr>
          <w:rFonts w:hint="eastAsia" w:ascii="Times New Roman" w:hAnsi="宋体" w:eastAsia="宋体" w:cs="宋体"/>
          <w:b w:val="0"/>
          <w:bCs w:val="0"/>
          <w:color w:val="000000"/>
          <w:kern w:val="2"/>
          <w:sz w:val="24"/>
          <w:szCs w:val="24"/>
          <w:highlight w:val="none"/>
          <w:lang w:val="en-US" w:eastAsia="zh-CN" w:bidi="ar-SA"/>
        </w:rPr>
        <w:t>：</w:t>
      </w:r>
      <w:r>
        <w:rPr>
          <w:rFonts w:hint="eastAsia" w:ascii="Times New Roman" w:hAnsi="宋体" w:eastAsia="宋体" w:cs="宋体"/>
          <w:b w:val="0"/>
          <w:bCs w:val="0"/>
          <w:color w:val="000000"/>
          <w:kern w:val="2"/>
          <w:sz w:val="24"/>
          <w:szCs w:val="24"/>
          <w:highlight w:val="none"/>
          <w:lang w:val="en-US" w:eastAsia="zh-CN" w:bidi="ar-SA"/>
        </w:rPr>
        <w:fldChar w:fldCharType="begin"/>
      </w:r>
      <w:r>
        <w:rPr>
          <w:rFonts w:hint="eastAsia" w:ascii="Times New Roman" w:hAnsi="宋体" w:eastAsia="宋体" w:cs="宋体"/>
          <w:b w:val="0"/>
          <w:bCs w:val="0"/>
          <w:color w:val="000000"/>
          <w:kern w:val="2"/>
          <w:sz w:val="24"/>
          <w:szCs w:val="24"/>
          <w:highlight w:val="none"/>
          <w:lang w:val="en-US" w:eastAsia="zh-CN" w:bidi="ar-SA"/>
        </w:rPr>
        <w:instrText xml:space="preserve"> HYPERLINK "mailto:zhaoli@sinotruk.com" </w:instrText>
      </w:r>
      <w:r>
        <w:rPr>
          <w:rFonts w:hint="eastAsia" w:ascii="Times New Roman" w:hAnsi="宋体" w:eastAsia="宋体" w:cs="宋体"/>
          <w:b w:val="0"/>
          <w:bCs w:val="0"/>
          <w:color w:val="000000"/>
          <w:kern w:val="2"/>
          <w:sz w:val="24"/>
          <w:szCs w:val="24"/>
          <w:highlight w:val="none"/>
          <w:lang w:val="en-US" w:eastAsia="zh-CN" w:bidi="ar-SA"/>
        </w:rPr>
        <w:fldChar w:fldCharType="separate"/>
      </w:r>
      <w:r>
        <w:rPr>
          <w:rFonts w:hint="eastAsia" w:ascii="Times New Roman" w:hAnsi="宋体" w:eastAsia="宋体" w:cs="宋体"/>
          <w:b w:val="0"/>
          <w:bCs w:val="0"/>
          <w:color w:val="000000"/>
          <w:kern w:val="2"/>
          <w:sz w:val="24"/>
          <w:szCs w:val="24"/>
          <w:highlight w:val="none"/>
          <w:lang w:val="en-US" w:eastAsia="zh-CN" w:bidi="ar-SA"/>
        </w:rPr>
        <w:t>zhaoli@sinotruk.com</w:t>
      </w:r>
      <w:r>
        <w:rPr>
          <w:rFonts w:hint="eastAsia" w:ascii="Times New Roman" w:hAnsi="宋体" w:eastAsia="宋体" w:cs="宋体"/>
          <w:b w:val="0"/>
          <w:bCs w:val="0"/>
          <w:color w:val="000000"/>
          <w:kern w:val="2"/>
          <w:sz w:val="24"/>
          <w:szCs w:val="24"/>
          <w:highlight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bCs/>
          <w:color w:val="000000"/>
          <w:kern w:val="2"/>
          <w:sz w:val="24"/>
          <w:szCs w:val="24"/>
          <w:highlight w:val="none"/>
          <w:lang w:val="en-US" w:eastAsia="zh-CN" w:bidi="ar-SA"/>
        </w:rPr>
        <w:t>技术联系人</w:t>
      </w:r>
      <w:r>
        <w:rPr>
          <w:rFonts w:hint="eastAsia" w:ascii="Times New Roman" w:hAnsi="宋体" w:eastAsia="宋体" w:cs="宋体"/>
          <w:b w:val="0"/>
          <w:bCs w:val="0"/>
          <w:color w:val="000000"/>
          <w:kern w:val="2"/>
          <w:sz w:val="24"/>
          <w:szCs w:val="24"/>
          <w:highlight w:val="none"/>
          <w:lang w:val="en-US" w:eastAsia="zh-CN" w:bidi="ar-SA"/>
        </w:rPr>
        <w:t>：侯天立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bCs/>
          <w:color w:val="000000"/>
          <w:kern w:val="2"/>
          <w:sz w:val="24"/>
          <w:szCs w:val="24"/>
          <w:highlight w:val="none"/>
          <w:lang w:val="en-US" w:eastAsia="zh-CN" w:bidi="ar-SA"/>
        </w:rPr>
        <w:t>电话</w:t>
      </w:r>
      <w:r>
        <w:rPr>
          <w:rFonts w:hint="eastAsia" w:ascii="Times New Roman" w:hAnsi="宋体" w:eastAsia="宋体" w:cs="宋体"/>
          <w:b w:val="0"/>
          <w:bCs w:val="0"/>
          <w:color w:val="000000"/>
          <w:kern w:val="2"/>
          <w:sz w:val="24"/>
          <w:szCs w:val="24"/>
          <w:highlight w:val="none"/>
          <w:lang w:val="en-US" w:eastAsia="zh-CN" w:bidi="ar-SA"/>
        </w:rPr>
        <w:t>：15269194886</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宋体" w:eastAsia="宋体" w:cs="宋体"/>
          <w:b w:val="0"/>
          <w:bCs w:val="0"/>
          <w:color w:val="000000"/>
          <w:kern w:val="2"/>
          <w:sz w:val="24"/>
          <w:szCs w:val="24"/>
          <w:highlight w:val="none"/>
          <w:lang w:val="en-US" w:eastAsia="zh-CN" w:bidi="ar-SA"/>
        </w:rPr>
      </w:pPr>
      <w:r>
        <w:rPr>
          <w:rFonts w:hint="eastAsia" w:ascii="Times New Roman" w:hAnsi="宋体" w:eastAsia="宋体" w:cs="宋体"/>
          <w:b/>
          <w:bCs/>
          <w:color w:val="000000"/>
          <w:kern w:val="2"/>
          <w:sz w:val="24"/>
          <w:szCs w:val="24"/>
          <w:highlight w:val="none"/>
          <w:lang w:val="en-US" w:eastAsia="zh-CN" w:bidi="ar-SA"/>
        </w:rPr>
        <w:t>邮箱</w:t>
      </w:r>
      <w:r>
        <w:rPr>
          <w:rFonts w:hint="eastAsia" w:ascii="Times New Roman" w:hAnsi="宋体" w:eastAsia="宋体" w:cs="宋体"/>
          <w:b w:val="0"/>
          <w:bCs w:val="0"/>
          <w:color w:val="000000"/>
          <w:kern w:val="2"/>
          <w:sz w:val="24"/>
          <w:szCs w:val="24"/>
          <w:highlight w:val="none"/>
          <w:lang w:val="en-US" w:eastAsia="zh-CN" w:bidi="ar-SA"/>
        </w:rPr>
        <w:t>：houtianli@sinotruk.com</w:t>
      </w:r>
    </w:p>
    <w:p>
      <w:pPr>
        <w:pStyle w:val="76"/>
      </w:pPr>
    </w:p>
    <w:p>
      <w:pPr>
        <w:pStyle w:val="76"/>
      </w:pPr>
    </w:p>
    <w:p>
      <w:pPr>
        <w:pStyle w:val="76"/>
        <w:jc w:val="both"/>
        <w:rPr>
          <w:rFonts w:hint="default"/>
          <w:highlight w:val="cyan"/>
          <w:u w:val="single"/>
          <w:lang w:val="en-US" w:eastAsia="zh-CN"/>
        </w:rPr>
      </w:pPr>
    </w:p>
    <w:p>
      <w:pPr>
        <w:pStyle w:val="76"/>
        <w:jc w:val="right"/>
        <w:rPr>
          <w:rFonts w:hint="eastAsia"/>
          <w:highlight w:val="cyan"/>
          <w:u w:val="single"/>
          <w:lang w:val="en-US" w:eastAsia="zh-CN"/>
        </w:rPr>
      </w:pPr>
    </w:p>
    <w:p>
      <w:pPr>
        <w:pStyle w:val="76"/>
        <w:rPr>
          <w:rFonts w:hint="default"/>
          <w:lang w:val="en-US"/>
        </w:rPr>
      </w:pPr>
    </w:p>
    <w:p>
      <w:pPr>
        <w:pStyle w:val="76"/>
        <w:rPr>
          <w:rFonts w:hint="default"/>
          <w:lang w:val="en-US"/>
        </w:rPr>
      </w:pPr>
    </w:p>
    <w:p>
      <w:pPr>
        <w:pStyle w:val="76"/>
      </w:pPr>
    </w:p>
    <w:p>
      <w:pPr>
        <w:pStyle w:val="76"/>
      </w:pPr>
    </w:p>
    <w:p>
      <w:pPr>
        <w:pStyle w:val="76"/>
      </w:pPr>
    </w:p>
    <w:p>
      <w:pPr>
        <w:pStyle w:val="71"/>
      </w:pPr>
      <w:bookmarkStart w:id="11" w:name="_Toc47976595"/>
      <w:bookmarkStart w:id="12" w:name="_Toc7753"/>
      <w:r>
        <w:rPr>
          <w:rFonts w:hint="eastAsia"/>
        </w:rPr>
        <w:t>第一部分  投标人须知</w:t>
      </w:r>
      <w:bookmarkEnd w:id="11"/>
      <w:bookmarkEnd w:id="12"/>
    </w:p>
    <w:p>
      <w:pPr>
        <w:pStyle w:val="72"/>
        <w:numPr>
          <w:ilvl w:val="0"/>
          <w:numId w:val="10"/>
        </w:numPr>
        <w:ind w:left="420"/>
        <w:jc w:val="left"/>
      </w:pPr>
      <w:bookmarkStart w:id="13" w:name="_Toc47976596"/>
      <w:r>
        <w:rPr>
          <w:rFonts w:hint="eastAsia"/>
        </w:rPr>
        <w:t>项目介绍</w:t>
      </w:r>
      <w:bookmarkEnd w:id="13"/>
    </w:p>
    <w:p>
      <w:pPr>
        <w:pStyle w:val="76"/>
        <w:numPr>
          <w:ilvl w:val="0"/>
          <w:numId w:val="11"/>
        </w:numPr>
        <w:ind w:left="425" w:leftChars="0" w:hanging="425" w:firstLineChars="0"/>
      </w:pPr>
      <w:r>
        <w:rPr>
          <w:rFonts w:hint="eastAsia"/>
        </w:rPr>
        <w:t>项目名称：</w:t>
      </w:r>
      <w:r>
        <w:rPr>
          <w:rFonts w:hint="eastAsia"/>
          <w:highlight w:val="yellow"/>
        </w:rPr>
        <w:t>济南成型厂自动化静压造型线振动落砂机、输送槽更新技改项目</w:t>
      </w:r>
    </w:p>
    <w:p>
      <w:pPr>
        <w:pStyle w:val="76"/>
        <w:numPr>
          <w:ilvl w:val="0"/>
          <w:numId w:val="11"/>
        </w:numPr>
        <w:ind w:left="425" w:leftChars="0" w:hanging="425" w:firstLineChars="0"/>
      </w:pPr>
      <w:r>
        <w:rPr>
          <w:rFonts w:hint="eastAsia"/>
        </w:rPr>
        <w:t>项目编号：</w:t>
      </w:r>
      <w:r>
        <w:rPr>
          <w:rFonts w:hint="eastAsia"/>
          <w:highlight w:val="yellow"/>
        </w:rPr>
        <w:t>FSCZB2025090106</w:t>
      </w:r>
    </w:p>
    <w:p>
      <w:pPr>
        <w:pStyle w:val="76"/>
        <w:numPr>
          <w:ilvl w:val="0"/>
          <w:numId w:val="11"/>
        </w:numPr>
        <w:ind w:left="425" w:leftChars="0" w:hanging="425" w:firstLineChars="0"/>
      </w:pPr>
      <w:r>
        <w:rPr>
          <w:rFonts w:hint="eastAsia"/>
        </w:rPr>
        <w:t>招标形式：</w:t>
      </w:r>
      <w:bookmarkStart w:id="14" w:name="_Toc47112482"/>
      <w:r>
        <w:rPr>
          <w:rFonts w:hint="eastAsia"/>
          <w:highlight w:val="yellow"/>
        </w:rPr>
        <w:t>公开招标</w:t>
      </w:r>
    </w:p>
    <w:p>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lang w:val="en-US" w:eastAsia="zh-CN"/>
        </w:rPr>
        <w:t>项目概况：</w:t>
      </w:r>
      <w:r>
        <w:rPr>
          <w:rFonts w:hint="eastAsia"/>
          <w:highlight w:val="yellow"/>
        </w:rPr>
        <w:t>更新疲劳设备，消除设备撕裂风险，保障关键生产线稳定运行</w:t>
      </w:r>
      <w:r>
        <w:rPr>
          <w:rFonts w:hint="eastAsia"/>
          <w:highlight w:val="yellow"/>
          <w:lang w:eastAsia="zh-CN"/>
        </w:rPr>
        <w:t>。</w:t>
      </w:r>
    </w:p>
    <w:p>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pPr>
        <w:pStyle w:val="76"/>
        <w:numPr>
          <w:ilvl w:val="0"/>
          <w:numId w:val="11"/>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pPr>
        <w:pStyle w:val="2"/>
        <w:spacing w:line="360" w:lineRule="auto"/>
        <w:ind w:firstLine="480" w:firstLineChars="200"/>
        <w:rPr>
          <w:rFonts w:hint="eastAsia" w:hAnsi="宋体" w:eastAsia="宋体" w:cs="宋体"/>
          <w:color w:val="000000"/>
          <w:sz w:val="24"/>
          <w:szCs w:val="24"/>
        </w:rPr>
      </w:pPr>
      <w:r>
        <w:rPr>
          <w:rFonts w:hint="eastAsia" w:hAnsi="宋体" w:eastAsia="宋体" w:cs="宋体"/>
          <w:sz w:val="24"/>
          <w:szCs w:val="24"/>
        </w:rPr>
        <w:t>本次招投标为公开招标</w:t>
      </w:r>
      <w:r>
        <w:rPr>
          <w:rFonts w:hint="eastAsia" w:hAnsi="宋体" w:eastAsia="宋体" w:cs="宋体"/>
          <w:b/>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pPr>
        <w:pStyle w:val="76"/>
        <w:numPr>
          <w:numId w:val="0"/>
        </w:numPr>
        <w:ind w:leftChars="0"/>
        <w:rPr>
          <w:rFonts w:hint="default" w:cs="Times New Roman"/>
          <w:u w:val="none"/>
          <w:lang w:val="en-US" w:eastAsia="zh-CN"/>
        </w:rPr>
      </w:pPr>
    </w:p>
    <w:p>
      <w:pPr>
        <w:pStyle w:val="76"/>
        <w:numPr>
          <w:ilvl w:val="0"/>
          <w:numId w:val="11"/>
        </w:numPr>
        <w:ind w:left="425" w:leftChars="0" w:hanging="425" w:firstLineChars="0"/>
        <w:rPr>
          <w:rFonts w:hint="eastAsia" w:cs="Times New Roman"/>
          <w:sz w:val="24"/>
          <w:szCs w:val="24"/>
          <w:highlight w:val="none"/>
          <w:lang w:val="en-US" w:eastAsia="zh-CN"/>
        </w:rPr>
      </w:pPr>
      <w:r>
        <w:rPr>
          <w:rFonts w:hint="eastAsia" w:ascii="宋体" w:hAnsi="Courier New" w:eastAsia="宋体" w:cs="Times New Roman"/>
          <w:sz w:val="24"/>
          <w:szCs w:val="24"/>
          <w:highlight w:val="none"/>
          <w:lang w:val="en-US" w:eastAsia="zh-CN"/>
        </w:rPr>
        <w:t>招标人信息：</w:t>
      </w:r>
    </w:p>
    <w:p>
      <w:pP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商务联系人：赵力</w:t>
      </w:r>
    </w:p>
    <w:p>
      <w:pPr>
        <w:spacing w:line="360" w:lineRule="auto"/>
        <w:ind w:firstLine="235" w:firstLineChars="98"/>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电话：17860606595</w:t>
      </w:r>
    </w:p>
    <w:p>
      <w:pP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邮箱：</w:t>
      </w:r>
      <w:r>
        <w:rPr>
          <w:rFonts w:hint="eastAsia" w:ascii="宋体" w:hAnsi="宋体" w:eastAsia="宋体" w:cs="宋体"/>
          <w:color w:val="000000"/>
          <w:sz w:val="24"/>
          <w:szCs w:val="24"/>
          <w:lang w:val="en-US" w:eastAsia="zh-CN"/>
        </w:rPr>
        <w:fldChar w:fldCharType="begin"/>
      </w:r>
      <w:r>
        <w:rPr>
          <w:rFonts w:hint="eastAsia" w:ascii="宋体" w:hAnsi="宋体" w:eastAsia="宋体" w:cs="宋体"/>
          <w:color w:val="000000"/>
          <w:sz w:val="24"/>
          <w:szCs w:val="24"/>
          <w:lang w:val="en-US" w:eastAsia="zh-CN"/>
        </w:rPr>
        <w:instrText xml:space="preserve"> HYPERLINK "mailto:zhaoli@sinotruk.com" </w:instrText>
      </w:r>
      <w:r>
        <w:rPr>
          <w:rFonts w:hint="eastAsia" w:ascii="宋体" w:hAnsi="宋体" w:eastAsia="宋体" w:cs="宋体"/>
          <w:color w:val="000000"/>
          <w:sz w:val="24"/>
          <w:szCs w:val="24"/>
          <w:lang w:val="en-US" w:eastAsia="zh-CN"/>
        </w:rPr>
        <w:fldChar w:fldCharType="separate"/>
      </w:r>
      <w:r>
        <w:rPr>
          <w:rFonts w:hint="eastAsia" w:ascii="宋体" w:hAnsi="宋体" w:eastAsia="宋体" w:cs="宋体"/>
          <w:color w:val="000000"/>
          <w:sz w:val="24"/>
          <w:szCs w:val="24"/>
          <w:lang w:val="en-US" w:eastAsia="zh-CN"/>
        </w:rPr>
        <w:t>zhaoli@sinotruk.com</w:t>
      </w:r>
      <w:r>
        <w:rPr>
          <w:rFonts w:hint="eastAsia" w:ascii="宋体" w:hAnsi="宋体" w:eastAsia="宋体" w:cs="宋体"/>
          <w:color w:val="000000"/>
          <w:sz w:val="24"/>
          <w:szCs w:val="24"/>
          <w:lang w:val="en-US" w:eastAsia="zh-CN"/>
        </w:rPr>
        <w:fldChar w:fldCharType="end"/>
      </w:r>
    </w:p>
    <w:p>
      <w:pP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技术联系人：侯天立</w:t>
      </w:r>
    </w:p>
    <w:p>
      <w:pP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电话：15269194886</w:t>
      </w:r>
    </w:p>
    <w:p>
      <w:pPr>
        <w:spacing w:line="360" w:lineRule="auto"/>
        <w:ind w:firstLine="235" w:firstLineChars="98"/>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邮箱：houtianli@sinotruk.com</w:t>
      </w:r>
    </w:p>
    <w:p>
      <w:pPr>
        <w:pStyle w:val="76"/>
        <w:numPr>
          <w:numId w:val="0"/>
        </w:numPr>
        <w:ind w:leftChars="0"/>
        <w:rPr>
          <w:rFonts w:hint="eastAsia" w:cs="Times New Roman"/>
          <w:highlight w:val="none"/>
          <w:lang w:val="en-US" w:eastAsia="zh-CN"/>
        </w:rPr>
      </w:pPr>
    </w:p>
    <w:bookmarkEnd w:id="14"/>
    <w:p>
      <w:pPr>
        <w:pStyle w:val="72"/>
      </w:pPr>
      <w:bookmarkStart w:id="15" w:name="_Toc47976598"/>
      <w:r>
        <w:rPr>
          <w:rFonts w:hint="eastAsia"/>
        </w:rPr>
        <w:t>合格的投标人</w:t>
      </w:r>
      <w:bookmarkEnd w:id="15"/>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pPr>
        <w:pStyle w:val="73"/>
        <w:numPr>
          <w:ilvl w:val="0"/>
          <w:numId w:val="12"/>
        </w:numPr>
        <w:ind w:left="0" w:firstLine="0"/>
        <w:outlineLvl w:val="9"/>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pPr>
        <w:pStyle w:val="73"/>
        <w:numPr>
          <w:ilvl w:val="0"/>
          <w:numId w:val="12"/>
        </w:numPr>
        <w:ind w:left="0" w:firstLine="0"/>
        <w:outlineLvl w:val="9"/>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公司经营范围满足招标项目需求；</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投标人须具有履行招标文件所有设备、专业技术等要求的能力；</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投标人须有依法缴纳税收和社会保障资金的良好记录；</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具有本次招标货物的供货、安装、售后服务等的相应资质；</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投标人须认可招标人的工作指令，包括节、假日能正常开展工作的要求。</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b w:val="0"/>
          <w:bCs/>
          <w:strike w:val="0"/>
          <w:dstrike w:val="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outlineLvl w:val="9"/>
        <w:rPr>
          <w:rFonts w:hint="eastAsia" w:cs="Times New Roman"/>
          <w:b/>
          <w:bCs w:val="0"/>
          <w:strike w:val="0"/>
          <w:dstrike w:val="0"/>
          <w:color w:val="FF0000"/>
          <w:highlight w:val="none"/>
          <w:lang w:val="en-US" w:eastAsia="zh-CN"/>
        </w:rPr>
      </w:pPr>
      <w:r>
        <w:rPr>
          <w:rFonts w:hint="eastAsia"/>
          <w:b w:val="0"/>
          <w:bCs/>
          <w:strike w:val="0"/>
          <w:dstrike w:val="0"/>
          <w:highlight w:val="none"/>
          <w:lang w:val="en-US" w:eastAsia="zh-CN"/>
        </w:rPr>
        <w:t>投标人</w:t>
      </w:r>
      <w:r>
        <w:rPr>
          <w:rFonts w:hint="eastAsia"/>
          <w:b w:val="0"/>
          <w:bCs/>
          <w:strike w:val="0"/>
          <w:dstrike w:val="0"/>
          <w:highlight w:val="none"/>
        </w:rPr>
        <w:t>是招标货物的制造商或制造商授权的经销商；一个制造商对同一品牌同一型号的货物,仅能委托一个代理商参加投标</w:t>
      </w:r>
      <w:r>
        <w:rPr>
          <w:rFonts w:hint="eastAsia"/>
          <w:b w:val="0"/>
          <w:bCs/>
          <w:strike w:val="0"/>
          <w:dstrike w:val="0"/>
          <w:highlight w:val="none"/>
          <w:lang w:eastAsia="zh-CN"/>
        </w:rPr>
        <w:t>。</w:t>
      </w:r>
      <w:r>
        <w:rPr>
          <w:rFonts w:hint="eastAsia"/>
          <w:b w:val="0"/>
          <w:bCs/>
        </w:rPr>
        <w:t>如为代理商投标，需获得生产厂家正式授权，提供授权书原件，保证提供原厂售后服务并提供原厂售后服务承诺书原件</w:t>
      </w:r>
      <w:r>
        <w:rPr>
          <w:rFonts w:hint="eastAsia"/>
          <w:b w:val="0"/>
          <w:bCs/>
          <w:lang w:eastAsia="zh-CN"/>
        </w:rPr>
        <w:t>。</w:t>
      </w:r>
    </w:p>
    <w:p>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9</w:t>
      </w:r>
      <w:r>
        <w:rPr>
          <w:rFonts w:hint="eastAsia" w:ascii="宋体" w:hAnsi="Courier New" w:eastAsia="宋体" w:cs="Times New Roman"/>
          <w:highlight w:val="yellow"/>
          <w:lang w:val="en-US" w:eastAsia="zh-CN"/>
        </w:rPr>
        <w:t>月</w:t>
      </w:r>
      <w:r>
        <w:rPr>
          <w:rFonts w:hint="eastAsia" w:cs="Times New Roman"/>
          <w:highlight w:val="yellow"/>
          <w:lang w:val="en-US" w:eastAsia="zh-CN"/>
        </w:rPr>
        <w:t>27</w:t>
      </w:r>
      <w:r>
        <w:rPr>
          <w:rFonts w:hint="eastAsia" w:ascii="宋体" w:hAnsi="Courier New" w:eastAsia="宋体" w:cs="Times New Roman"/>
          <w:highlight w:val="yellow"/>
          <w:lang w:val="en-US" w:eastAsia="zh-CN"/>
        </w:rPr>
        <w:t>日</w:t>
      </w:r>
    </w:p>
    <w:p>
      <w:pPr>
        <w:pStyle w:val="76"/>
        <w:numPr>
          <w:ilvl w:val="0"/>
          <w:numId w:val="13"/>
        </w:numPr>
        <w:ind w:left="425" w:leftChars="0" w:hanging="425" w:firstLineChars="0"/>
        <w:jc w:val="both"/>
        <w:rPr>
          <w:rFonts w:hint="default"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招标文件领取方式、地点及领取截止时间</w:t>
      </w:r>
    </w:p>
    <w:p>
      <w:pPr>
        <w:pStyle w:val="76"/>
        <w:numPr>
          <w:numId w:val="0"/>
        </w:numPr>
        <w:ind w:leftChars="0"/>
        <w:jc w:val="both"/>
        <w:rPr>
          <w:rFonts w:hint="default" w:ascii="宋体" w:hAnsi="Courier New" w:eastAsia="宋体" w:cs="Times New Roman"/>
          <w:highlight w:val="yellow"/>
          <w:lang w:val="en-US" w:eastAsia="zh-CN"/>
        </w:rPr>
      </w:pPr>
    </w:p>
    <w:p>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15</w:t>
      </w:r>
      <w:r>
        <w:rPr>
          <w:rFonts w:hint="eastAsia" w:ascii="宋体" w:hAnsi="Courier New" w:eastAsia="宋体" w:cs="Times New Roman"/>
          <w:highlight w:val="yellow"/>
          <w:lang w:val="en-US" w:eastAsia="zh-CN"/>
        </w:rPr>
        <w:t>日前</w:t>
      </w:r>
    </w:p>
    <w:p>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15</w:t>
      </w:r>
      <w:r>
        <w:rPr>
          <w:rFonts w:hint="eastAsia" w:ascii="宋体" w:hAnsi="Courier New" w:eastAsia="宋体" w:cs="Times New Roman"/>
          <w:highlight w:val="yellow"/>
          <w:lang w:val="en-US" w:eastAsia="zh-CN"/>
        </w:rPr>
        <w:t>日前：</w:t>
      </w:r>
    </w:p>
    <w:p>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pStyle w:val="76"/>
        <w:numPr>
          <w:numId w:val="0"/>
        </w:numPr>
        <w:ind w:leftChars="0"/>
        <w:jc w:val="both"/>
        <w:rPr>
          <w:rFonts w:hint="eastAsia" w:ascii="宋体" w:hAnsi="Courier New" w:eastAsia="宋体" w:cs="Times New Roman"/>
          <w:highlight w:val="yellow"/>
          <w:lang w:val="en-US" w:eastAsia="zh-CN"/>
        </w:rPr>
      </w:pPr>
    </w:p>
    <w:p>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 xml:space="preserve"> 2025年10月9日</w:t>
      </w:r>
    </w:p>
    <w:p>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pPr>
        <w:pStyle w:val="74"/>
        <w:numPr>
          <w:ilvl w:val="0"/>
          <w:numId w:val="15"/>
        </w:numPr>
        <w:ind w:left="425" w:leftChars="0" w:hanging="425" w:firstLineChars="0"/>
        <w:rPr>
          <w:b w:val="0"/>
          <w:bCs/>
          <w:highlight w:val="none"/>
        </w:rPr>
      </w:pPr>
      <w:r>
        <w:rPr>
          <w:rFonts w:hint="eastAsia"/>
          <w:b w:val="0"/>
          <w:bCs/>
          <w:highlight w:val="none"/>
        </w:rPr>
        <w:t>资质文件：</w:t>
      </w:r>
    </w:p>
    <w:p>
      <w:pPr>
        <w:pStyle w:val="75"/>
        <w:numPr>
          <w:ilvl w:val="0"/>
          <w:numId w:val="16"/>
        </w:numPr>
        <w:ind w:left="425" w:leftChars="0" w:hanging="425" w:firstLineChars="0"/>
        <w:outlineLvl w:val="9"/>
        <w:rPr>
          <w:b w:val="0"/>
          <w:bCs/>
          <w:highlight w:val="none"/>
        </w:rPr>
      </w:pPr>
      <w:r>
        <w:rPr>
          <w:rFonts w:hint="eastAsia"/>
          <w:b w:val="0"/>
          <w:bCs/>
          <w:highlight w:val="none"/>
        </w:rPr>
        <w:t>法定代表人身份证明；</w:t>
      </w:r>
    </w:p>
    <w:p>
      <w:pPr>
        <w:pStyle w:val="75"/>
        <w:numPr>
          <w:ilvl w:val="0"/>
          <w:numId w:val="16"/>
        </w:numPr>
        <w:ind w:left="425" w:leftChars="0" w:hanging="425" w:firstLineChars="0"/>
        <w:outlineLvl w:val="9"/>
        <w:rPr>
          <w:b w:val="0"/>
          <w:bCs/>
          <w:highlight w:val="none"/>
        </w:rPr>
      </w:pPr>
      <w:r>
        <w:rPr>
          <w:rFonts w:hint="eastAsia"/>
          <w:b w:val="0"/>
          <w:bCs/>
          <w:highlight w:val="none"/>
        </w:rPr>
        <w:t>法定代表人授权委托书（授权人需带身份证原件）；</w:t>
      </w:r>
    </w:p>
    <w:p>
      <w:pPr>
        <w:pStyle w:val="75"/>
        <w:numPr>
          <w:ilvl w:val="0"/>
          <w:numId w:val="16"/>
        </w:numPr>
        <w:ind w:left="425" w:leftChars="0" w:hanging="425" w:firstLineChars="0"/>
        <w:outlineLvl w:val="9"/>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outlineLvl w:val="9"/>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outlineLvl w:val="9"/>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outlineLvl w:val="9"/>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75"/>
        <w:numPr>
          <w:ilvl w:val="0"/>
          <w:numId w:val="16"/>
        </w:numPr>
        <w:ind w:left="425" w:leftChars="0" w:hanging="425" w:firstLineChars="0"/>
        <w:outlineLvl w:val="9"/>
        <w:rPr>
          <w:rFonts w:hint="eastAsia" w:hAnsi="Courier New"/>
          <w:b w:val="0"/>
          <w:bCs/>
          <w:highlight w:val="none"/>
        </w:rPr>
      </w:pPr>
      <w:r>
        <w:rPr>
          <w:rFonts w:hint="eastAsia" w:hAnsi="Courier New"/>
          <w:b w:val="0"/>
          <w:bCs/>
          <w:highlight w:val="none"/>
        </w:rPr>
        <w:t>企业最近半年完税证明、信用证明材料（征信报告）；</w:t>
      </w:r>
    </w:p>
    <w:p>
      <w:pPr>
        <w:pStyle w:val="75"/>
        <w:numPr>
          <w:ilvl w:val="0"/>
          <w:numId w:val="16"/>
        </w:numPr>
        <w:ind w:left="425" w:leftChars="0" w:hanging="425" w:firstLineChars="0"/>
        <w:outlineLvl w:val="9"/>
        <w:rPr>
          <w:rFonts w:hint="eastAsia" w:hAnsi="Courier New"/>
          <w:b w:val="0"/>
          <w:bCs/>
          <w:highlight w:val="none"/>
        </w:rPr>
      </w:pPr>
      <w:r>
        <w:rPr>
          <w:rFonts w:hint="eastAsia" w:hAnsi="Courier New"/>
          <w:b w:val="0"/>
          <w:bCs/>
          <w:highlight w:val="none"/>
        </w:rPr>
        <w:t>年度纳税信用评价信息（可从电子税务局查询截图，需加盖公章）；</w:t>
      </w:r>
    </w:p>
    <w:p>
      <w:pPr>
        <w:pStyle w:val="75"/>
        <w:numPr>
          <w:ilvl w:val="0"/>
          <w:numId w:val="16"/>
        </w:numPr>
        <w:ind w:left="425" w:leftChars="0" w:hanging="425" w:firstLineChars="0"/>
        <w:outlineLvl w:val="9"/>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pPr>
        <w:pStyle w:val="75"/>
        <w:numPr>
          <w:ilvl w:val="0"/>
          <w:numId w:val="16"/>
        </w:numPr>
        <w:ind w:left="425" w:leftChars="0" w:hanging="425" w:firstLineChars="0"/>
        <w:outlineLvl w:val="9"/>
        <w:rPr>
          <w:b w:val="0"/>
          <w:bCs/>
          <w:highlight w:val="none"/>
        </w:rPr>
      </w:pPr>
      <w:r>
        <w:rPr>
          <w:rFonts w:hint="eastAsia"/>
          <w:b w:val="0"/>
          <w:bCs/>
          <w:highlight w:val="none"/>
        </w:rPr>
        <w:t>信用中国截图或国家企业信用信息公示系统截图；</w:t>
      </w:r>
    </w:p>
    <w:p>
      <w:pPr>
        <w:pStyle w:val="75"/>
        <w:numPr>
          <w:ilvl w:val="0"/>
          <w:numId w:val="16"/>
        </w:numPr>
        <w:ind w:left="425" w:leftChars="0" w:hanging="425" w:firstLineChars="0"/>
        <w:outlineLvl w:val="9"/>
        <w:rPr>
          <w:b w:val="0"/>
          <w:bCs/>
          <w:highlight w:val="none"/>
        </w:rPr>
      </w:pPr>
      <w:r>
        <w:rPr>
          <w:rFonts w:hint="eastAsia"/>
          <w:b w:val="0"/>
          <w:bCs/>
          <w:highlight w:val="none"/>
        </w:rPr>
        <w:t>招标文件中要求的其它资格证明文件。</w:t>
      </w:r>
    </w:p>
    <w:p>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outlineLvl w:val="9"/>
        <w:rPr>
          <w:b w:val="0"/>
          <w:bCs/>
          <w:highlight w:val="none"/>
        </w:rPr>
      </w:pPr>
      <w:r>
        <w:rPr>
          <w:rFonts w:hint="eastAsia"/>
          <w:b w:val="0"/>
          <w:bCs/>
          <w:highlight w:val="none"/>
        </w:rPr>
        <w:t>对于投标人资质审核不通过的，招标人有权拒绝其投标。</w:t>
      </w:r>
    </w:p>
    <w:p>
      <w:pPr>
        <w:pStyle w:val="74"/>
        <w:numPr>
          <w:ilvl w:val="0"/>
          <w:numId w:val="15"/>
        </w:numPr>
        <w:ind w:left="425" w:leftChars="0" w:hanging="425" w:firstLineChars="0"/>
        <w:rPr>
          <w:rFonts w:hint="eastAsia" w:cs="Times New Roman"/>
          <w:b w:val="0"/>
          <w:bCs/>
          <w:highlight w:val="yellow"/>
        </w:rPr>
      </w:pPr>
      <w:r>
        <w:rPr>
          <w:rFonts w:hint="eastAsia" w:cs="Times New Roman"/>
          <w:b w:val="0"/>
          <w:bCs/>
          <w:highlight w:val="yellow"/>
        </w:rPr>
        <w:t>技术标：</w:t>
      </w:r>
    </w:p>
    <w:p>
      <w:pPr>
        <w:pStyle w:val="75"/>
        <w:numPr>
          <w:ilvl w:val="0"/>
          <w:numId w:val="18"/>
        </w:numPr>
        <w:ind w:left="425" w:leftChars="0" w:hanging="425" w:firstLineChars="0"/>
        <w:outlineLvl w:val="9"/>
        <w:rPr>
          <w:b w:val="0"/>
          <w:bCs/>
          <w:highlight w:val="yellow"/>
        </w:rPr>
      </w:pPr>
      <w:r>
        <w:rPr>
          <w:rFonts w:hint="eastAsia"/>
          <w:b w:val="0"/>
          <w:bCs/>
          <w:highlight w:val="yellow"/>
        </w:rPr>
        <w:t>技术配置对比表。</w:t>
      </w:r>
    </w:p>
    <w:p>
      <w:pPr>
        <w:pStyle w:val="75"/>
        <w:numPr>
          <w:ilvl w:val="0"/>
          <w:numId w:val="18"/>
        </w:numPr>
        <w:ind w:left="425" w:leftChars="0" w:hanging="425" w:firstLineChars="0"/>
        <w:outlineLvl w:val="9"/>
        <w:rPr>
          <w:b w:val="0"/>
          <w:bCs/>
          <w:highlight w:val="yellow"/>
        </w:rPr>
      </w:pPr>
      <w:r>
        <w:rPr>
          <w:rFonts w:hint="eastAsia"/>
          <w:b w:val="0"/>
          <w:bCs/>
          <w:highlight w:val="yellow"/>
        </w:rPr>
        <w:t>投标设备配置明细表；</w:t>
      </w:r>
    </w:p>
    <w:p>
      <w:pPr>
        <w:pStyle w:val="75"/>
        <w:numPr>
          <w:ilvl w:val="0"/>
          <w:numId w:val="18"/>
        </w:numPr>
        <w:ind w:left="425" w:leftChars="0" w:hanging="425" w:firstLineChars="0"/>
        <w:outlineLvl w:val="9"/>
        <w:rPr>
          <w:b w:val="0"/>
          <w:bCs/>
          <w:highlight w:val="yellow"/>
        </w:rPr>
      </w:pPr>
      <w:r>
        <w:rPr>
          <w:rFonts w:hint="eastAsia"/>
          <w:b w:val="0"/>
          <w:bCs/>
          <w:highlight w:val="yellow"/>
        </w:rPr>
        <w:t>技术规格偏离表；</w:t>
      </w:r>
    </w:p>
    <w:p>
      <w:pPr>
        <w:pStyle w:val="75"/>
        <w:numPr>
          <w:ilvl w:val="0"/>
          <w:numId w:val="18"/>
        </w:numPr>
        <w:ind w:left="425" w:leftChars="0" w:hanging="425" w:firstLineChars="0"/>
        <w:outlineLvl w:val="9"/>
        <w:rPr>
          <w:b w:val="0"/>
          <w:bCs/>
          <w:highlight w:val="yellow"/>
        </w:rPr>
      </w:pPr>
      <w:r>
        <w:rPr>
          <w:rFonts w:hint="eastAsia"/>
          <w:b w:val="0"/>
          <w:bCs/>
          <w:highlight w:val="yellow"/>
        </w:rPr>
        <w:t>技术性能、参数的描述；</w:t>
      </w:r>
      <w:r>
        <w:rPr>
          <w:b w:val="0"/>
          <w:bCs/>
          <w:highlight w:val="yellow"/>
        </w:rPr>
        <w:t xml:space="preserve"> </w:t>
      </w:r>
    </w:p>
    <w:p>
      <w:pPr>
        <w:pStyle w:val="75"/>
        <w:numPr>
          <w:ilvl w:val="0"/>
          <w:numId w:val="18"/>
        </w:numPr>
        <w:ind w:left="425" w:leftChars="0" w:hanging="425" w:firstLineChars="0"/>
        <w:outlineLvl w:val="9"/>
        <w:rPr>
          <w:b w:val="0"/>
          <w:bCs/>
          <w:highlight w:val="yellow"/>
        </w:rPr>
      </w:pPr>
      <w:r>
        <w:rPr>
          <w:rFonts w:hint="eastAsia"/>
          <w:b w:val="0"/>
          <w:bCs/>
          <w:highlight w:val="yellow"/>
        </w:rPr>
        <w:t>备品备件工具材料明细表；</w:t>
      </w:r>
      <w:r>
        <w:rPr>
          <w:b w:val="0"/>
          <w:bCs/>
          <w:highlight w:val="yellow"/>
        </w:rPr>
        <w:t xml:space="preserve"> </w:t>
      </w:r>
    </w:p>
    <w:p>
      <w:pPr>
        <w:pStyle w:val="74"/>
        <w:numPr>
          <w:ilvl w:val="0"/>
          <w:numId w:val="15"/>
        </w:numPr>
        <w:ind w:left="425" w:leftChars="0" w:hanging="425" w:firstLineChars="0"/>
        <w:rPr>
          <w:rFonts w:hint="eastAsia" w:cs="Times New Roman"/>
          <w:b w:val="0"/>
          <w:bCs/>
          <w:highlight w:val="none"/>
        </w:rPr>
      </w:pPr>
      <w:r>
        <w:rPr>
          <w:rFonts w:hint="eastAsia" w:cs="Times New Roman"/>
          <w:b w:val="0"/>
          <w:bCs/>
          <w:highlight w:val="none"/>
        </w:rPr>
        <w:t>商务标：</w:t>
      </w:r>
    </w:p>
    <w:p>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outlineLvl w:val="9"/>
        <w:rPr>
          <w:b w:val="0"/>
          <w:bCs/>
          <w:highlight w:val="yellow"/>
        </w:rPr>
      </w:pPr>
      <w:r>
        <w:rPr>
          <w:rFonts w:hint="eastAsia"/>
          <w:b w:val="0"/>
          <w:bCs/>
          <w:highlight w:val="yellow"/>
          <w:lang w:val="en-US" w:eastAsia="zh-CN"/>
        </w:rPr>
        <w:t>开标一览表</w:t>
      </w:r>
    </w:p>
    <w:p>
      <w:pPr>
        <w:pStyle w:val="75"/>
        <w:numPr>
          <w:ilvl w:val="0"/>
          <w:numId w:val="19"/>
        </w:numPr>
        <w:ind w:left="425" w:leftChars="0" w:hanging="425" w:firstLineChars="0"/>
        <w:outlineLvl w:val="9"/>
        <w:rPr>
          <w:b w:val="0"/>
          <w:bCs/>
          <w:highlight w:val="yellow"/>
        </w:rPr>
      </w:pPr>
      <w:r>
        <w:rPr>
          <w:rFonts w:hint="eastAsia"/>
          <w:b w:val="0"/>
          <w:bCs/>
          <w:highlight w:val="yellow"/>
        </w:rPr>
        <w:t>投标函（格式见附件）;</w:t>
      </w:r>
    </w:p>
    <w:p>
      <w:pPr>
        <w:pStyle w:val="75"/>
        <w:numPr>
          <w:ilvl w:val="0"/>
          <w:numId w:val="19"/>
        </w:numPr>
        <w:ind w:left="425" w:leftChars="0" w:hanging="425" w:firstLineChars="0"/>
        <w:outlineLvl w:val="9"/>
        <w:rPr>
          <w:b w:val="0"/>
          <w:bCs/>
          <w:highlight w:val="yellow"/>
        </w:rPr>
      </w:pPr>
      <w:r>
        <w:rPr>
          <w:rFonts w:hint="eastAsia"/>
          <w:b w:val="0"/>
          <w:bCs/>
          <w:highlight w:val="yellow"/>
        </w:rPr>
        <w:t>商务条款偏离表；</w:t>
      </w:r>
    </w:p>
    <w:p>
      <w:pPr>
        <w:pStyle w:val="75"/>
        <w:numPr>
          <w:ilvl w:val="0"/>
          <w:numId w:val="19"/>
        </w:numPr>
        <w:ind w:left="425" w:leftChars="0" w:hanging="425" w:firstLineChars="0"/>
        <w:outlineLvl w:val="9"/>
        <w:rPr>
          <w:b w:val="0"/>
          <w:bCs/>
          <w:highlight w:val="yellow"/>
        </w:rPr>
      </w:pPr>
      <w:r>
        <w:rPr>
          <w:rFonts w:hint="eastAsia"/>
          <w:b w:val="0"/>
          <w:bCs/>
          <w:highlight w:val="yellow"/>
        </w:rPr>
        <w:t>投标货物分项报价表；</w:t>
      </w:r>
    </w:p>
    <w:p>
      <w:pPr>
        <w:pStyle w:val="75"/>
        <w:numPr>
          <w:ilvl w:val="0"/>
          <w:numId w:val="19"/>
        </w:numPr>
        <w:ind w:left="425" w:leftChars="0" w:hanging="425" w:firstLineChars="0"/>
        <w:outlineLvl w:val="9"/>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pPr>
        <w:pStyle w:val="75"/>
        <w:keepNext w:val="0"/>
        <w:keepLines w:val="0"/>
        <w:pageBreakBefore w:val="0"/>
        <w:widowControl w:val="0"/>
        <w:numPr>
          <w:numId w:val="0"/>
        </w:numPr>
        <w:kinsoku/>
        <w:wordWrap/>
        <w:overflowPunct/>
        <w:topLinePunct w:val="0"/>
        <w:autoSpaceDE/>
        <w:autoSpaceDN/>
        <w:bidi w:val="0"/>
        <w:adjustRightInd/>
        <w:snapToGrid/>
        <w:ind w:left="10" w:leftChars="0"/>
        <w:textAlignment w:val="auto"/>
        <w:outlineLvl w:val="9"/>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w:t>
      </w:r>
      <w:r>
        <w:rPr>
          <w:rFonts w:hint="eastAsia" w:cs="Times New Roman"/>
          <w:b w:val="0"/>
          <w:bCs/>
          <w:highlight w:val="none"/>
        </w:rPr>
        <w:t>万元（含</w:t>
      </w:r>
      <w:r>
        <w:rPr>
          <w:rFonts w:hint="eastAsia" w:cs="Times New Roman"/>
          <w:b w:val="0"/>
          <w:bCs/>
          <w:highlight w:val="yellow"/>
          <w:u w:val="single"/>
          <w:lang w:val="en-US" w:eastAsia="zh-CN"/>
        </w:rPr>
        <w:t xml:space="preserve">   </w:t>
      </w:r>
      <w:r>
        <w:rPr>
          <w:rFonts w:hint="eastAsia" w:cs="Times New Roman"/>
          <w:b w:val="0"/>
          <w:bCs/>
          <w:highlight w:val="none"/>
        </w:rPr>
        <w:t>%增值税），超过投标限价无法投标。</w:t>
      </w:r>
    </w:p>
    <w:p>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pPr>
        <w:pStyle w:val="75"/>
        <w:numPr>
          <w:ilvl w:val="0"/>
          <w:numId w:val="20"/>
        </w:numPr>
        <w:ind w:left="425" w:leftChars="0" w:hanging="425" w:firstLineChars="0"/>
        <w:outlineLvl w:val="9"/>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投标方式：</w:t>
      </w:r>
    </w:p>
    <w:p>
      <w:pPr>
        <w:pStyle w:val="75"/>
        <w:numPr>
          <w:ilvl w:val="0"/>
          <w:numId w:val="20"/>
        </w:numPr>
        <w:ind w:left="425" w:leftChars="0" w:hanging="425" w:firstLineChars="0"/>
        <w:outlineLvl w:val="9"/>
        <w:rPr>
          <w:rFonts w:hint="eastAsia" w:ascii="宋体" w:hAnsi="Courier New" w:eastAsia="宋体" w:cs="Times New Roman"/>
          <w:b w:val="0"/>
          <w:bCs/>
          <w:highlight w:val="yellow"/>
        </w:rPr>
      </w:pPr>
      <w:r>
        <w:rPr>
          <w:rFonts w:hint="eastAsia" w:ascii="宋体" w:hAnsi="Courier New" w:eastAsia="宋体" w:cs="Times New Roman"/>
          <w:b w:val="0"/>
          <w:bCs/>
          <w:highlight w:val="yellow"/>
          <w:lang w:val="en-US" w:eastAsia="zh-CN"/>
        </w:rPr>
        <w:t>邮寄地址：</w:t>
      </w:r>
      <w:r>
        <w:rPr>
          <w:rFonts w:hint="eastAsia" w:cs="Times New Roman"/>
          <w:b w:val="0"/>
          <w:bCs/>
          <w:highlight w:val="yellow"/>
          <w:lang w:val="en-US" w:eastAsia="zh-CN"/>
        </w:rPr>
        <w:t>无需线下邮寄</w:t>
      </w:r>
    </w:p>
    <w:p>
      <w:pPr>
        <w:pStyle w:val="75"/>
        <w:numPr>
          <w:ilvl w:val="0"/>
          <w:numId w:val="20"/>
        </w:numPr>
        <w:ind w:left="425" w:leftChars="0" w:hanging="425" w:firstLineChars="0"/>
        <w:outlineLvl w:val="9"/>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联系人及联系方式：</w:t>
      </w:r>
    </w:p>
    <w:p>
      <w:pPr>
        <w:pStyle w:val="75"/>
        <w:numPr>
          <w:ilvl w:val="0"/>
          <w:numId w:val="20"/>
        </w:numPr>
        <w:ind w:left="425" w:leftChars="0" w:hanging="425" w:firstLineChars="0"/>
        <w:outlineLvl w:val="9"/>
        <w:rPr>
          <w:rFonts w:hint="default"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ascii="宋体" w:hAnsi="Courier New" w:eastAsia="宋体" w:cs="Times New Roman"/>
          <w:b w:val="0"/>
          <w:bCs/>
          <w:highlight w:val="yellow"/>
          <w:lang w:val="en-US" w:eastAsia="zh-CN"/>
        </w:rPr>
        <w:t>20</w:t>
      </w:r>
      <w:r>
        <w:rPr>
          <w:rFonts w:hint="eastAsia" w:cs="Times New Roman"/>
          <w:b w:val="0"/>
          <w:bCs/>
          <w:highlight w:val="yellow"/>
          <w:lang w:val="en-US" w:eastAsia="zh-CN"/>
        </w:rPr>
        <w:t>25</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10</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29</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17：00</w:t>
      </w:r>
    </w:p>
    <w:p>
      <w:pPr>
        <w:pStyle w:val="72"/>
        <w:rPr>
          <w:rFonts w:hint="eastAsia" w:hAnsi="Courier New" w:cs="Times New Roman"/>
          <w:highlight w:val="none"/>
        </w:rPr>
      </w:pPr>
      <w:bookmarkStart w:id="16"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2"/>
        <w:numPr>
          <w:ilvl w:val="0"/>
          <w:numId w:val="21"/>
        </w:numPr>
        <w:ind w:leftChars="0"/>
        <w:outlineLvl w:val="9"/>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pPr>
        <w:pStyle w:val="72"/>
        <w:numPr>
          <w:ilvl w:val="0"/>
          <w:numId w:val="22"/>
        </w:numPr>
        <w:ind w:left="425" w:leftChars="0" w:hanging="425" w:firstLineChars="0"/>
        <w:outlineLvl w:val="9"/>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2"/>
        <w:numPr>
          <w:ilvl w:val="0"/>
          <w:numId w:val="22"/>
        </w:numPr>
        <w:ind w:left="425" w:leftChars="0" w:hanging="425" w:firstLineChars="0"/>
        <w:outlineLvl w:val="9"/>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pPr>
        <w:pStyle w:val="72"/>
        <w:numPr>
          <w:ilvl w:val="0"/>
          <w:numId w:val="22"/>
        </w:numPr>
        <w:ind w:left="425" w:leftChars="0" w:hanging="425" w:firstLineChars="0"/>
        <w:outlineLvl w:val="9"/>
        <w:rPr>
          <w:rFonts w:hint="default" w:ascii="宋体" w:hAnsi="宋体" w:eastAsia="宋体" w:cs="宋体"/>
          <w:b w:val="0"/>
          <w:bCs w:val="0"/>
          <w:sz w:val="21"/>
          <w:szCs w:val="21"/>
          <w:highlight w:val="yellow"/>
          <w:u w:val="single"/>
          <w:lang w:val="en-US" w:eastAsia="zh-CN"/>
        </w:rPr>
      </w:pPr>
    </w:p>
    <w:p>
      <w:pPr>
        <w:pStyle w:val="72"/>
        <w:numPr>
          <w:ilvl w:val="0"/>
          <w:numId w:val="0"/>
        </w:numPr>
        <w:ind w:leftChars="0"/>
        <w:outlineLvl w:val="9"/>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outlineLvl w:val="9"/>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pPr>
        <w:pStyle w:val="72"/>
        <w:numPr>
          <w:ilvl w:val="0"/>
          <w:numId w:val="0"/>
        </w:numPr>
        <w:ind w:left="425" w:leftChars="0" w:hanging="425" w:firstLineChars="0"/>
        <w:outlineLvl w:val="9"/>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9</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outlineLvl w:val="9"/>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outlineLvl w:val="9"/>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仿宋_GB2312" w:hAnsi="仿宋_GB2312" w:eastAsia="仿宋_GB2312" w:cs="仿宋_GB2312"/>
          <w:color w:val="000000"/>
          <w:sz w:val="21"/>
          <w:szCs w:val="21"/>
        </w:rPr>
        <w:t>一个付款周期内</w:t>
      </w:r>
      <w:r>
        <w:rPr>
          <w:rFonts w:hint="eastAsia" w:ascii="宋体" w:hAnsi="宋体" w:eastAsia="宋体" w:cs="宋体"/>
          <w:b w:val="0"/>
          <w:bCs w:val="0"/>
          <w:sz w:val="21"/>
          <w:szCs w:val="21"/>
          <w:highlight w:val="none"/>
        </w:rPr>
        <w:t>予以原路返还（无息）；对于中标方，投标保证金将在签订合同后</w:t>
      </w:r>
      <w:r>
        <w:rPr>
          <w:rFonts w:hint="eastAsia" w:ascii="仿宋_GB2312" w:hAnsi="仿宋_GB2312" w:eastAsia="仿宋_GB2312" w:cs="仿宋_GB2312"/>
          <w:color w:val="000000"/>
          <w:sz w:val="21"/>
          <w:szCs w:val="21"/>
        </w:rPr>
        <w:t>一个付款周期内</w:t>
      </w:r>
      <w:r>
        <w:rPr>
          <w:rFonts w:hint="eastAsia" w:ascii="宋体" w:hAnsi="宋体" w:eastAsia="宋体" w:cs="宋体"/>
          <w:b w:val="0"/>
          <w:bCs w:val="0"/>
          <w:sz w:val="21"/>
          <w:szCs w:val="21"/>
          <w:highlight w:val="none"/>
        </w:rPr>
        <w:t>内原路返还（无息）。</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outlineLvl w:val="9"/>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6"/>
    <w:p>
      <w:pPr>
        <w:pStyle w:val="72"/>
      </w:pPr>
      <w:r>
        <w:rPr>
          <w:rFonts w:hint="eastAsia"/>
          <w:lang w:val="en-US" w:eastAsia="zh-CN"/>
        </w:rPr>
        <w:t>开评标</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开标时间：2025年10月30日</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开标地点：另行通知</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开标方式：线上招标</w:t>
      </w:r>
    </w:p>
    <w:p>
      <w:pPr>
        <w:pStyle w:val="72"/>
        <w:keepNext w:val="0"/>
        <w:keepLines w:val="0"/>
        <w:pageBreakBefore w:val="0"/>
        <w:widowControl w:val="0"/>
        <w:numPr>
          <w:numId w:val="0"/>
        </w:numPr>
        <w:kinsoku/>
        <w:wordWrap/>
        <w:overflowPunct/>
        <w:topLinePunct w:val="0"/>
        <w:autoSpaceDE/>
        <w:autoSpaceDN/>
        <w:bidi w:val="0"/>
        <w:adjustRightInd/>
        <w:snapToGrid/>
        <w:ind w:left="11" w:left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outlineLvl w:val="2"/>
        <w:rPr>
          <w:rFonts w:hint="eastAsia" w:cs="Times New Roman"/>
          <w:b w:val="0"/>
          <w:bCs/>
          <w:highlight w:val="none"/>
          <w:lang w:val="en-US" w:eastAsia="zh-CN"/>
        </w:rPr>
      </w:pPr>
      <w:r>
        <w:rPr>
          <w:rFonts w:hint="eastAsia" w:cs="Times New Roman"/>
          <w:b w:val="0"/>
          <w:bCs/>
          <w:highlight w:val="none"/>
          <w:lang w:val="en-US" w:eastAsia="zh-CN"/>
        </w:rPr>
        <w:t>评标方法（综合评分法）</w:t>
      </w:r>
    </w:p>
    <w:p>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75"/>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firstLine="0"/>
        <w:textAlignment w:val="auto"/>
        <w:outlineLvl w:val="9"/>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pPr>
        <w:pStyle w:val="72"/>
        <w:numPr>
          <w:ilvl w:val="0"/>
          <w:numId w:val="0"/>
        </w:numPr>
        <w:outlineLvl w:val="9"/>
        <w:rPr>
          <w:rFonts w:hint="default" w:ascii="宋体" w:hAnsi="宋体" w:eastAsia="宋体" w:cs="宋体"/>
          <w:b w:val="0"/>
          <w:bCs w:val="0"/>
          <w:sz w:val="24"/>
          <w:szCs w:val="24"/>
          <w:highlight w:val="none"/>
          <w:lang w:val="en-US" w:eastAsia="zh-CN"/>
        </w:rPr>
      </w:pPr>
    </w:p>
    <w:p>
      <w:pPr>
        <w:pStyle w:val="72"/>
      </w:pPr>
      <w:r>
        <w:rPr>
          <w:rFonts w:hint="eastAsia"/>
          <w:lang w:val="en-US" w:eastAsia="zh-CN"/>
        </w:rPr>
        <w:t>定标</w:t>
      </w:r>
    </w:p>
    <w:p>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72"/>
      </w:pPr>
      <w:r>
        <w:rPr>
          <w:rFonts w:hint="eastAsia"/>
          <w:lang w:val="en-US" w:eastAsia="zh-CN"/>
        </w:rPr>
        <w:t>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7" w:name="OLE_LINK25"/>
      <w:bookmarkStart w:id="18" w:name="OLE_LINK27"/>
      <w:bookmarkStart w:id="19" w:name="OLE_LINK29"/>
      <w:bookmarkStart w:id="20" w:name="OLE_LINK26"/>
      <w:bookmarkStart w:id="21" w:name="OLE_LINK28"/>
      <w:r>
        <w:rPr>
          <w:rFonts w:hint="eastAsia" w:ascii="宋体" w:hAnsi="宋体" w:eastAsia="宋体" w:cs="宋体"/>
          <w:bCs/>
          <w:sz w:val="21"/>
          <w:szCs w:val="21"/>
          <w:highlight w:val="none"/>
        </w:rPr>
        <w:t>；</w:t>
      </w:r>
      <w:bookmarkEnd w:id="17"/>
      <w:bookmarkEnd w:id="18"/>
      <w:bookmarkEnd w:id="19"/>
      <w:bookmarkEnd w:id="20"/>
      <w:bookmarkEnd w:id="21"/>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2"/>
      </w:pPr>
      <w:bookmarkStart w:id="48" w:name="_GoBack"/>
      <w:bookmarkEnd w:id="48"/>
    </w:p>
    <w:p>
      <w:pPr>
        <w:pStyle w:val="72"/>
      </w:pPr>
      <w:r>
        <w:rPr>
          <w:rFonts w:hint="eastAsia"/>
          <w:lang w:val="en-US" w:eastAsia="zh-CN"/>
        </w:rPr>
        <w:t>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pPr>
        <w:pStyle w:val="72"/>
      </w:pPr>
      <w:r>
        <w:rPr>
          <w:rFonts w:hint="eastAsia"/>
          <w:lang w:val="en-US" w:eastAsia="zh-CN"/>
        </w:rPr>
        <w:t>交货及付款</w:t>
      </w:r>
    </w:p>
    <w:p>
      <w:pPr>
        <w:pStyle w:val="72"/>
        <w:numPr>
          <w:ilvl w:val="0"/>
          <w:numId w:val="26"/>
        </w:numPr>
        <w:ind w:left="425" w:leftChars="0" w:hanging="425" w:firstLineChars="0"/>
        <w:outlineLvl w:val="9"/>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交货期：</w:t>
      </w:r>
    </w:p>
    <w:p>
      <w:pPr>
        <w:pStyle w:val="72"/>
        <w:numPr>
          <w:ilvl w:val="0"/>
          <w:numId w:val="26"/>
        </w:numPr>
        <w:ind w:left="425" w:leftChars="0" w:hanging="425" w:firstLineChars="0"/>
        <w:outlineLvl w:val="9"/>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交货地点：</w:t>
      </w:r>
    </w:p>
    <w:p>
      <w:pPr>
        <w:pStyle w:val="72"/>
        <w:numPr>
          <w:ilvl w:val="0"/>
          <w:numId w:val="26"/>
        </w:numPr>
        <w:ind w:left="425" w:leftChars="0" w:hanging="425" w:firstLineChars="0"/>
        <w:outlineLvl w:val="9"/>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交货方式：</w:t>
      </w:r>
    </w:p>
    <w:p>
      <w:pPr>
        <w:pStyle w:val="72"/>
        <w:numPr>
          <w:ilvl w:val="0"/>
          <w:numId w:val="26"/>
        </w:numPr>
        <w:ind w:left="425" w:leftChars="0" w:hanging="425" w:firstLineChars="0"/>
        <w:outlineLvl w:val="9"/>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pPr>
        <w:pStyle w:val="72"/>
        <w:numPr>
          <w:ilvl w:val="0"/>
          <w:numId w:val="27"/>
        </w:numPr>
        <w:tabs>
          <w:tab w:val="clear" w:pos="-108"/>
        </w:tabs>
        <w:ind w:left="59" w:leftChars="0" w:firstLine="0" w:firstLineChars="0"/>
        <w:outlineLvl w:val="9"/>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lang w:eastAsia="zh-CN"/>
        </w:rPr>
        <w:t>半年期商业汇票（包括银行承兑汇票和商业承兑汇票）；</w:t>
      </w:r>
      <w:r>
        <w:rPr>
          <w:rFonts w:hint="eastAsia" w:ascii="宋体" w:hAnsi="宋体" w:eastAsia="宋体" w:cs="宋体"/>
          <w:b/>
          <w:bCs/>
          <w:color w:val="FF0000"/>
          <w:sz w:val="21"/>
          <w:szCs w:val="21"/>
          <w:highlight w:val="yellow"/>
          <w:lang w:eastAsia="zh-CN"/>
        </w:rPr>
        <w:t>（5万元以上包括5万元）</w:t>
      </w:r>
      <w:r>
        <w:rPr>
          <w:rFonts w:hint="eastAsia" w:ascii="宋体" w:hAnsi="宋体" w:eastAsia="宋体" w:cs="宋体"/>
          <w:b w:val="0"/>
          <w:bCs w:val="0"/>
          <w:sz w:val="21"/>
          <w:szCs w:val="21"/>
          <w:highlight w:val="yellow"/>
          <w:lang w:eastAsia="zh-CN"/>
        </w:rPr>
        <w:br w:type="textWrapping"/>
      </w:r>
      <w:r>
        <w:rPr>
          <w:rFonts w:hint="eastAsia" w:ascii="宋体" w:hAnsi="宋体" w:eastAsia="宋体" w:cs="宋体"/>
          <w:b w:val="0"/>
          <w:bCs w:val="0"/>
          <w:sz w:val="21"/>
          <w:szCs w:val="21"/>
          <w:highlight w:val="yellow"/>
          <w:lang w:eastAsia="zh-CN"/>
        </w:rPr>
        <w:t>b)银行转账；</w:t>
      </w:r>
      <w:r>
        <w:rPr>
          <w:rFonts w:hint="eastAsia" w:ascii="宋体" w:hAnsi="宋体" w:eastAsia="宋体" w:cs="宋体"/>
          <w:b/>
          <w:bCs/>
          <w:color w:val="FF0000"/>
          <w:sz w:val="21"/>
          <w:szCs w:val="21"/>
          <w:highlight w:val="yellow"/>
          <w:lang w:eastAsia="zh-CN"/>
        </w:rPr>
        <w:t>（5万元以下）</w:t>
      </w:r>
      <w:r>
        <w:rPr>
          <w:rFonts w:hint="eastAsia" w:ascii="宋体" w:hAnsi="宋体" w:eastAsia="宋体" w:cs="宋体"/>
          <w:b w:val="0"/>
          <w:bCs w:val="0"/>
          <w:sz w:val="21"/>
          <w:szCs w:val="21"/>
          <w:highlight w:val="yellow"/>
          <w:lang w:eastAsia="zh-CN"/>
        </w:rPr>
        <w:br w:type="textWrapping"/>
      </w:r>
      <w:r>
        <w:rPr>
          <w:rFonts w:hint="eastAsia" w:ascii="宋体" w:hAnsi="宋体" w:eastAsia="宋体" w:cs="宋体"/>
          <w:b w:val="0"/>
          <w:bCs w:val="0"/>
          <w:sz w:val="21"/>
          <w:szCs w:val="21"/>
          <w:highlight w:val="yellow"/>
          <w:lang w:eastAsia="zh-CN"/>
        </w:rPr>
        <w:t>c)财司转账；</w:t>
      </w:r>
      <w:r>
        <w:rPr>
          <w:rFonts w:hint="eastAsia" w:ascii="宋体" w:hAnsi="宋体" w:eastAsia="宋体" w:cs="宋体"/>
          <w:b/>
          <w:bCs/>
          <w:color w:val="FF0000"/>
          <w:sz w:val="21"/>
          <w:szCs w:val="21"/>
          <w:highlight w:val="yellow"/>
          <w:lang w:eastAsia="zh-CN"/>
        </w:rPr>
        <w:t>（内部单位）</w:t>
      </w:r>
      <w:r>
        <w:rPr>
          <w:rFonts w:hint="eastAsia" w:ascii="宋体" w:hAnsi="宋体" w:eastAsia="宋体" w:cs="宋体"/>
          <w:b w:val="0"/>
          <w:bCs w:val="0"/>
          <w:sz w:val="21"/>
          <w:szCs w:val="21"/>
          <w:highlight w:val="yellow"/>
          <w:lang w:eastAsia="zh-CN"/>
        </w:rPr>
        <w:br w:type="textWrapping"/>
      </w:r>
      <w:r>
        <w:rPr>
          <w:rFonts w:hint="eastAsia" w:ascii="宋体" w:hAnsi="宋体" w:eastAsia="宋体" w:cs="宋体"/>
          <w:b w:val="0"/>
          <w:bCs w:val="0"/>
          <w:sz w:val="21"/>
          <w:szCs w:val="21"/>
          <w:highlight w:val="yellow"/>
          <w:lang w:eastAsia="zh-CN"/>
        </w:rPr>
        <w:t>d)其他情况，需要特殊审批。</w:t>
      </w:r>
    </w:p>
    <w:p>
      <w:pPr>
        <w:pStyle w:val="72"/>
        <w:numPr>
          <w:ilvl w:val="0"/>
          <w:numId w:val="0"/>
        </w:numPr>
        <w:ind w:left="59" w:leftChars="0"/>
        <w:outlineLvl w:val="9"/>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注：付款方式仅可根据项目情况从上选择一条保留至正式标书</w:t>
      </w:r>
      <w:r>
        <w:rPr>
          <w:rFonts w:hint="eastAsia" w:ascii="宋体" w:hAnsi="宋体" w:eastAsia="宋体" w:cs="宋体"/>
          <w:b/>
          <w:bCs/>
          <w:color w:val="FF0000"/>
          <w:sz w:val="18"/>
          <w:szCs w:val="18"/>
          <w:lang w:val="en-US" w:eastAsia="zh-CN"/>
        </w:rPr>
        <w:t>（正式标书删除红字内容）</w:t>
      </w:r>
    </w:p>
    <w:p>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yellow"/>
        </w:rPr>
        <w:t>预付款：</w:t>
      </w:r>
      <w:r>
        <w:rPr>
          <w:rFonts w:hint="eastAsia" w:ascii="宋体" w:hAnsi="宋体" w:eastAsia="宋体" w:cs="宋体"/>
          <w:b/>
          <w:bCs/>
          <w:color w:val="FF0000"/>
          <w:sz w:val="21"/>
          <w:szCs w:val="21"/>
          <w:highlight w:val="yellow"/>
        </w:rPr>
        <w:t>（</w:t>
      </w:r>
      <w:r>
        <w:rPr>
          <w:rFonts w:hint="eastAsia" w:ascii="宋体" w:hAnsi="宋体" w:eastAsia="宋体" w:cs="宋体"/>
          <w:b/>
          <w:bCs/>
          <w:color w:val="FF0000"/>
          <w:sz w:val="21"/>
          <w:szCs w:val="21"/>
          <w:highlight w:val="none"/>
        </w:rPr>
        <w:t>原则上所有合同不允许支付预付款）如需支付预付款，需添预付款的必要性说明，预付款不允许高于15%（需特殊审批）</w:t>
      </w:r>
    </w:p>
    <w:p>
      <w:pPr>
        <w:pStyle w:val="62"/>
        <w:keepNext w:val="0"/>
        <w:keepLines w:val="0"/>
        <w:pageBreakBefore w:val="0"/>
        <w:widowControl w:val="0"/>
        <w:numPr>
          <w:ilvl w:val="0"/>
          <w:numId w:val="28"/>
        </w:numPr>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其他付款节点：</w:t>
      </w:r>
    </w:p>
    <w:p>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3:6:1 ：</w:t>
      </w:r>
    </w:p>
    <w:p>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yellow"/>
        </w:rPr>
        <w:t>④其他情况。</w:t>
      </w:r>
      <w:r>
        <w:rPr>
          <w:rFonts w:hint="eastAsia" w:ascii="宋体" w:hAnsi="宋体" w:eastAsia="宋体" w:cs="宋体"/>
          <w:b/>
          <w:bCs/>
          <w:color w:val="FF0000"/>
          <w:sz w:val="21"/>
          <w:szCs w:val="21"/>
          <w:highlight w:val="none"/>
        </w:rPr>
        <w:t>（需要特殊审批）</w:t>
      </w:r>
    </w:p>
    <w:p>
      <w:pPr>
        <w:pStyle w:val="72"/>
        <w:rPr>
          <w:rFonts w:hint="eastAsia"/>
          <w:lang w:val="en-US" w:eastAsia="zh-CN"/>
        </w:rPr>
      </w:pPr>
      <w:r>
        <w:rPr>
          <w:rFonts w:hint="eastAsia"/>
          <w:lang w:val="en-US" w:eastAsia="zh-CN"/>
        </w:rPr>
        <w:t>质保金</w:t>
      </w:r>
    </w:p>
    <w:p>
      <w:pPr>
        <w:pStyle w:val="72"/>
        <w:rPr>
          <w:rFonts w:hint="eastAsia"/>
          <w:lang w:val="en-US" w:eastAsia="zh-CN"/>
        </w:rPr>
      </w:pPr>
      <w:r>
        <w:rPr>
          <w:rFonts w:hint="eastAsia"/>
          <w:lang w:val="en-US" w:eastAsia="zh-CN"/>
        </w:rPr>
        <w:t>本次招标最终解释权归中国重汽集团济南动力有限公司。</w:t>
      </w:r>
    </w:p>
    <w:p>
      <w:pPr>
        <w:pStyle w:val="71"/>
        <w:jc w:val="both"/>
        <w:outlineLvl w:val="9"/>
        <w:rPr>
          <w:rFonts w:hint="eastAsia"/>
        </w:rPr>
      </w:pPr>
      <w:bookmarkStart w:id="22" w:name="_Toc47976607"/>
    </w:p>
    <w:p>
      <w:pPr>
        <w:pStyle w:val="71"/>
        <w:jc w:val="both"/>
        <w:outlineLvl w:val="9"/>
        <w:rPr>
          <w:rFonts w:hint="eastAsia"/>
        </w:rPr>
      </w:pPr>
    </w:p>
    <w:p>
      <w:pPr>
        <w:pStyle w:val="71"/>
        <w:jc w:val="center"/>
        <w:rPr>
          <w:rFonts w:hint="default" w:eastAsia="黑体"/>
          <w:lang w:val="en-US" w:eastAsia="zh-CN"/>
        </w:rPr>
      </w:pPr>
      <w:bookmarkStart w:id="23" w:name="_Toc1910"/>
      <w:r>
        <w:rPr>
          <w:rFonts w:hint="eastAsia"/>
        </w:rPr>
        <w:t>第二部分　</w:t>
      </w:r>
      <w:bookmarkEnd w:id="22"/>
      <w:r>
        <w:rPr>
          <w:rFonts w:hint="eastAsia"/>
          <w:lang w:val="en-US" w:eastAsia="zh-CN"/>
        </w:rPr>
        <w:t>技术标书</w:t>
      </w:r>
      <w:bookmarkEnd w:id="23"/>
    </w:p>
    <w:p>
      <w:pPr>
        <w:pStyle w:val="76"/>
        <w:rPr>
          <w:b/>
          <w:bCs/>
        </w:rPr>
      </w:pPr>
    </w:p>
    <w:p>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24"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24"/>
    </w:p>
    <w:p>
      <w:pPr>
        <w:keepNext/>
        <w:keepLines/>
        <w:spacing w:before="120" w:after="120" w:line="480" w:lineRule="exact"/>
        <w:jc w:val="center"/>
        <w:outlineLvl w:val="2"/>
        <w:rPr>
          <w:rFonts w:ascii="Arial" w:hAnsi="Arial" w:eastAsia="宋体" w:cs="Times New Roman"/>
          <w:b/>
          <w:bCs/>
          <w:sz w:val="24"/>
          <w:highlight w:val="none"/>
        </w:rPr>
      </w:pPr>
      <w:bookmarkStart w:id="25"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25"/>
    </w:p>
    <w:p>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b w:val="0"/>
          <w:bCs w:val="0"/>
          <w:sz w:val="24"/>
          <w:szCs w:val="24"/>
          <w:highlight w:val="none"/>
          <w:u w:val="single"/>
        </w:rPr>
        <w:t>中国重汽集团济南动力有限公司</w:t>
      </w:r>
      <w:r>
        <w:rPr>
          <w:rFonts w:hint="eastAsia" w:ascii="宋体" w:hAnsi="宋体" w:eastAsia="宋体" w:cs="宋体"/>
          <w:b w:val="0"/>
          <w:bCs w:val="0"/>
          <w:sz w:val="24"/>
          <w:szCs w:val="24"/>
          <w:highlight w:val="none"/>
          <w:u w:val="single"/>
          <w:lang w:eastAsia="zh-CN"/>
        </w:rPr>
        <w:t>自动化静压造型线振动落砂机、输送槽</w:t>
      </w:r>
      <w:r>
        <w:rPr>
          <w:rFonts w:hint="eastAsia" w:ascii="宋体" w:hAnsi="宋体" w:eastAsia="宋体" w:cs="宋体"/>
          <w:b w:val="0"/>
          <w:bCs w:val="0"/>
          <w:sz w:val="24"/>
          <w:szCs w:val="24"/>
          <w:highlight w:val="none"/>
          <w:u w:val="single"/>
          <w:lang w:val="en-US" w:eastAsia="zh-CN"/>
        </w:rPr>
        <w:t>更新技改项目</w:t>
      </w:r>
      <w:r>
        <w:rPr>
          <w:rFonts w:hint="eastAsia" w:ascii="宋体" w:hAnsi="宋体" w:eastAsia="宋体" w:cs="宋体"/>
          <w:color w:val="000000"/>
          <w:sz w:val="24"/>
          <w:highlight w:val="none"/>
        </w:rPr>
        <w:t>。</w:t>
      </w:r>
    </w:p>
    <w:p>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铸造一部、铸造二部</w:t>
      </w:r>
      <w:r>
        <w:rPr>
          <w:rFonts w:hint="eastAsia" w:ascii="宋体" w:hAnsi="宋体" w:eastAsia="宋体" w:cs="宋体"/>
          <w:color w:val="000000"/>
          <w:sz w:val="24"/>
          <w:highlight w:val="none"/>
        </w:rPr>
        <w:t>。</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铸造一部、铸造二部</w:t>
      </w:r>
      <w:r>
        <w:rPr>
          <w:rFonts w:hint="eastAsia" w:ascii="宋体" w:hAnsi="宋体" w:eastAsia="宋体" w:cs="宋体"/>
          <w:color w:val="000000"/>
          <w:sz w:val="24"/>
          <w:highlight w:val="none"/>
        </w:rPr>
        <w:t>。</w:t>
      </w:r>
    </w:p>
    <w:p>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w:t>
      </w:r>
      <w:r>
        <w:rPr>
          <w:rFonts w:hint="eastAsia" w:ascii="宋体" w:hAnsi="宋体" w:eastAsia="宋体" w:cs="宋体"/>
          <w:bCs/>
          <w:sz w:val="24"/>
          <w:highlight w:val="none"/>
          <w:lang w:val="en-US" w:eastAsia="zh-CN"/>
        </w:rPr>
        <w:t>7200</w:t>
      </w:r>
      <w:r>
        <w:rPr>
          <w:rFonts w:hint="eastAsia" w:ascii="宋体" w:hAnsi="宋体" w:eastAsia="宋体" w:cs="宋体"/>
          <w:bCs/>
          <w:sz w:val="24"/>
          <w:highlight w:val="none"/>
        </w:rPr>
        <w:t>小时。</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pPr>
        <w:spacing w:line="360" w:lineRule="auto"/>
        <w:ind w:firstLine="480" w:firstLineChars="200"/>
        <w:rPr>
          <w:rFonts w:ascii="宋体" w:hAnsi="宋体" w:eastAsia="宋体" w:cs="宋体"/>
          <w:sz w:val="24"/>
          <w:highlight w:val="none"/>
        </w:rPr>
      </w:pPr>
    </w:p>
    <w:p>
      <w:pPr>
        <w:spacing w:line="360" w:lineRule="auto"/>
        <w:ind w:firstLine="480" w:firstLineChars="200"/>
        <w:rPr>
          <w:rFonts w:ascii="宋体" w:hAnsi="宋体" w:eastAsia="宋体" w:cs="宋体"/>
          <w:sz w:val="24"/>
          <w:highlight w:val="none"/>
        </w:rPr>
      </w:pP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lang w:eastAsia="zh-CN"/>
        </w:rPr>
        <w:t>自动化静压造型线振动落砂机、输送槽</w:t>
      </w:r>
      <w:r>
        <w:rPr>
          <w:rFonts w:hint="eastAsia" w:ascii="宋体" w:hAnsi="宋体" w:eastAsia="宋体" w:cs="宋体"/>
          <w:b w:val="0"/>
          <w:bCs w:val="0"/>
          <w:sz w:val="24"/>
          <w:szCs w:val="24"/>
          <w:highlight w:val="none"/>
          <w:u w:val="none"/>
          <w:lang w:val="en-US" w:eastAsia="zh-CN"/>
        </w:rPr>
        <w:t>更新技改</w:t>
      </w:r>
      <w:r>
        <w:rPr>
          <w:rFonts w:hint="eastAsia" w:ascii="宋体" w:hAnsi="宋体" w:eastAsia="宋体" w:cs="宋体"/>
          <w:sz w:val="24"/>
          <w:szCs w:val="24"/>
          <w:lang w:val="en-US" w:eastAsia="zh-CN"/>
        </w:rPr>
        <w:t>项目</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highlight w:val="yellow"/>
        </w:rPr>
      </w:pPr>
      <w:r>
        <w:rPr>
          <w:rFonts w:hint="eastAsia" w:ascii="宋体" w:hAnsi="宋体" w:eastAsia="宋体" w:cs="宋体"/>
          <w:color w:val="000000"/>
          <w:sz w:val="24"/>
          <w:szCs w:val="24"/>
          <w:highlight w:val="yellow"/>
        </w:rPr>
        <w:t>采购货物主要构成</w:t>
      </w:r>
      <w:r>
        <w:rPr>
          <w:rFonts w:hint="eastAsia" w:ascii="宋体" w:hAnsi="宋体" w:eastAsia="宋体" w:cs="宋体"/>
          <w:sz w:val="24"/>
          <w:szCs w:val="24"/>
          <w:highlight w:val="yellow"/>
        </w:rPr>
        <w:t>一览表：</w:t>
      </w:r>
    </w:p>
    <w:tbl>
      <w:tblPr>
        <w:tblStyle w:val="30"/>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4089"/>
        <w:gridCol w:w="836"/>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序号</w:t>
            </w:r>
          </w:p>
        </w:tc>
        <w:tc>
          <w:tcPr>
            <w:tcW w:w="2472"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名称</w:t>
            </w:r>
          </w:p>
        </w:tc>
        <w:tc>
          <w:tcPr>
            <w:tcW w:w="4089"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型号规格</w:t>
            </w:r>
          </w:p>
        </w:tc>
        <w:tc>
          <w:tcPr>
            <w:tcW w:w="836"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单位</w:t>
            </w:r>
          </w:p>
        </w:tc>
        <w:tc>
          <w:tcPr>
            <w:tcW w:w="782"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1</w:t>
            </w:r>
          </w:p>
        </w:tc>
        <w:tc>
          <w:tcPr>
            <w:tcW w:w="2472" w:type="dxa"/>
            <w:vAlign w:val="center"/>
          </w:tcPr>
          <w:p>
            <w:pPr>
              <w:widowControl/>
              <w:spacing w:line="0" w:lineRule="atLeast"/>
              <w:jc w:val="left"/>
              <w:textAlignment w:val="center"/>
              <w:rPr>
                <w:rFonts w:hint="eastAsia" w:ascii="宋体" w:hAnsi="宋体" w:eastAsia="宋体" w:cs="宋体"/>
                <w:sz w:val="24"/>
                <w:szCs w:val="24"/>
                <w:highlight w:val="yellow"/>
                <w:lang w:eastAsia="zh-CN"/>
              </w:rPr>
            </w:pPr>
            <w:r>
              <w:rPr>
                <w:rFonts w:hint="eastAsia" w:ascii="宋体" w:hAnsi="宋体" w:eastAsia="宋体" w:cs="宋体"/>
                <w:color w:val="000000"/>
                <w:kern w:val="0"/>
                <w:sz w:val="24"/>
                <w:szCs w:val="24"/>
                <w:highlight w:val="yellow"/>
                <w:lang w:bidi="ar"/>
              </w:rPr>
              <w:t>铸一振动落砂机更新</w:t>
            </w:r>
            <w:r>
              <w:rPr>
                <w:rFonts w:hint="eastAsia" w:ascii="宋体" w:hAnsi="宋体" w:eastAsia="宋体" w:cs="宋体"/>
                <w:color w:val="000000"/>
                <w:kern w:val="0"/>
                <w:sz w:val="24"/>
                <w:szCs w:val="24"/>
                <w:highlight w:val="yellow"/>
                <w:lang w:val="en-US" w:eastAsia="zh-CN" w:bidi="ar"/>
              </w:rPr>
              <w:t>（6100*1580*650mm）</w:t>
            </w:r>
          </w:p>
        </w:tc>
        <w:tc>
          <w:tcPr>
            <w:tcW w:w="4089" w:type="dxa"/>
            <w:vAlign w:val="center"/>
          </w:tcPr>
          <w:p>
            <w:pPr>
              <w:spacing w:line="360" w:lineRule="exact"/>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rPr>
              <w:t>落砂机采用分离拖动方式，由一台电动机通过传动轴拖动两台箱式激振器作激振源</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电机及激振器尽量采用招标方现有型号</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rPr>
              <w:t>栅格板采用</w:t>
            </w:r>
            <w:r>
              <w:rPr>
                <w:rFonts w:hint="eastAsia" w:ascii="宋体" w:hAnsi="宋体" w:eastAsia="宋体" w:cs="宋体"/>
                <w:sz w:val="24"/>
                <w:szCs w:val="24"/>
                <w:highlight w:val="yellow"/>
                <w:lang w:val="en-US" w:eastAsia="zh-CN"/>
              </w:rPr>
              <w:t>NM400高强度耐磨钢</w:t>
            </w:r>
            <w:r>
              <w:rPr>
                <w:rFonts w:hint="eastAsia" w:ascii="宋体" w:hAnsi="宋体" w:eastAsia="宋体" w:cs="宋体"/>
                <w:sz w:val="24"/>
                <w:szCs w:val="24"/>
                <w:highlight w:val="yellow"/>
              </w:rPr>
              <w:t>板</w:t>
            </w:r>
            <w:r>
              <w:rPr>
                <w:rFonts w:hint="eastAsia" w:ascii="宋体" w:hAnsi="宋体" w:eastAsia="宋体" w:cs="宋体"/>
                <w:sz w:val="24"/>
                <w:szCs w:val="24"/>
                <w:highlight w:val="yellow"/>
                <w:lang w:val="en-US" w:eastAsia="zh-CN"/>
              </w:rPr>
              <w:t>制作,落砂机参振部分由隔振弹簧支撑在机座上，隔振弹簧采用金属螺旋簧，材质为60Si2MnA。生 产 率           ≥60型/ｈ</w:t>
            </w:r>
          </w:p>
          <w:p>
            <w:pPr>
              <w:spacing w:line="360" w:lineRule="exact"/>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电机               22kW</w:t>
            </w:r>
          </w:p>
          <w:p>
            <w:pPr>
              <w:spacing w:line="360" w:lineRule="exact"/>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最大激振力         2X160kN</w:t>
            </w:r>
          </w:p>
          <w:p>
            <w:pPr>
              <w:spacing w:line="360" w:lineRule="exact"/>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激振频率           970  1/min</w:t>
            </w:r>
          </w:p>
          <w:p>
            <w:pPr>
              <w:spacing w:line="360" w:lineRule="exact"/>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激 振 器           2X T80160-6B</w:t>
            </w:r>
          </w:p>
          <w:p>
            <w:pPr>
              <w:spacing w:line="360" w:lineRule="exact"/>
              <w:jc w:val="left"/>
              <w:rPr>
                <w:rFonts w:hint="default" w:ascii="宋体" w:hAnsi="宋体" w:eastAsia="宋体" w:cs="宋体"/>
                <w:sz w:val="24"/>
                <w:szCs w:val="24"/>
                <w:highlight w:val="yellow"/>
                <w:lang w:val="en-US"/>
              </w:rPr>
            </w:pPr>
            <w:r>
              <w:rPr>
                <w:rFonts w:hint="eastAsia" w:ascii="宋体" w:hAnsi="宋体" w:eastAsia="宋体" w:cs="宋体"/>
                <w:sz w:val="24"/>
                <w:szCs w:val="24"/>
                <w:highlight w:val="yellow"/>
                <w:lang w:val="en-US" w:eastAsia="zh-CN"/>
              </w:rPr>
              <w:t xml:space="preserve">双 振 幅           4~6mm </w:t>
            </w:r>
          </w:p>
        </w:tc>
        <w:tc>
          <w:tcPr>
            <w:tcW w:w="836"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782" w:type="dxa"/>
            <w:vAlign w:val="center"/>
          </w:tcPr>
          <w:p>
            <w:pPr>
              <w:spacing w:line="0" w:lineRule="atLeast"/>
              <w:jc w:val="center"/>
              <w:rPr>
                <w:rFonts w:hint="eastAsia" w:ascii="宋体" w:hAnsi="宋体" w:eastAsia="宋体" w:cs="宋体"/>
                <w:sz w:val="24"/>
                <w:szCs w:val="24"/>
                <w:highlight w:val="yellow"/>
                <w:lang w:eastAsia="zh-CN"/>
              </w:rPr>
            </w:pPr>
            <w:r>
              <w:rPr>
                <w:rFonts w:hint="eastAsia" w:ascii="宋体" w:hAnsi="宋体" w:eastAsia="宋体" w:cs="宋体"/>
                <w:kern w:val="1"/>
                <w:sz w:val="24"/>
                <w:szCs w:val="24"/>
                <w:highlight w:val="yellow"/>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2</w:t>
            </w:r>
          </w:p>
        </w:tc>
        <w:tc>
          <w:tcPr>
            <w:tcW w:w="2472" w:type="dxa"/>
            <w:vAlign w:val="center"/>
          </w:tcPr>
          <w:p>
            <w:pPr>
              <w:widowControl/>
              <w:spacing w:line="0" w:lineRule="atLeast"/>
              <w:jc w:val="left"/>
              <w:textAlignment w:val="center"/>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color w:val="000000"/>
                <w:kern w:val="0"/>
                <w:sz w:val="24"/>
                <w:szCs w:val="24"/>
                <w:highlight w:val="yellow"/>
                <w:lang w:val="en-US" w:eastAsia="zh-CN" w:bidi="ar"/>
              </w:rPr>
              <w:t>铸一振动输送槽更新</w:t>
            </w:r>
          </w:p>
          <w:p>
            <w:pPr>
              <w:widowControl/>
              <w:spacing w:line="0" w:lineRule="atLeast"/>
              <w:jc w:val="left"/>
              <w:textAlignment w:val="center"/>
              <w:rPr>
                <w:rFonts w:hint="default" w:ascii="宋体" w:hAnsi="宋体" w:eastAsia="宋体" w:cs="宋体"/>
                <w:sz w:val="24"/>
                <w:szCs w:val="24"/>
                <w:highlight w:val="yellow"/>
                <w:lang w:val="en-US" w:eastAsia="zh-CN"/>
              </w:rPr>
            </w:pPr>
            <w:r>
              <w:rPr>
                <w:rFonts w:hint="eastAsia" w:ascii="宋体" w:hAnsi="宋体" w:eastAsia="宋体" w:cs="宋体"/>
                <w:color w:val="000000"/>
                <w:kern w:val="0"/>
                <w:sz w:val="24"/>
                <w:szCs w:val="24"/>
                <w:highlight w:val="yellow"/>
                <w:lang w:val="en-US" w:eastAsia="zh-CN" w:bidi="ar"/>
              </w:rPr>
              <w:t>（9300*1500*450mm）</w:t>
            </w:r>
          </w:p>
        </w:tc>
        <w:tc>
          <w:tcPr>
            <w:tcW w:w="4089" w:type="dxa"/>
            <w:vAlign w:val="center"/>
          </w:tcPr>
          <w:p>
            <w:pPr>
              <w:widowControl/>
              <w:jc w:val="left"/>
              <w:textAlignment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eastAsia="zh-CN"/>
              </w:rPr>
              <w:t>振动</w:t>
            </w:r>
            <w:r>
              <w:rPr>
                <w:rFonts w:hint="eastAsia" w:ascii="宋体" w:hAnsi="宋体" w:eastAsia="宋体" w:cs="宋体"/>
                <w:sz w:val="24"/>
                <w:szCs w:val="24"/>
                <w:highlight w:val="yellow"/>
              </w:rPr>
              <w:t>落砂机总成通过4只隔振弹簧支撑在弹簧支座及底架上</w:t>
            </w:r>
            <w:r>
              <w:rPr>
                <w:rFonts w:hint="eastAsia" w:ascii="宋体" w:hAnsi="宋体" w:eastAsia="宋体" w:cs="宋体"/>
                <w:sz w:val="24"/>
                <w:szCs w:val="24"/>
                <w:highlight w:val="yellow"/>
                <w:lang w:eastAsia="zh-CN"/>
              </w:rPr>
              <w:t>，输送槽</w:t>
            </w:r>
            <w:r>
              <w:rPr>
                <w:rFonts w:hint="eastAsia" w:ascii="宋体" w:hAnsi="宋体" w:eastAsia="宋体" w:cs="宋体"/>
                <w:sz w:val="24"/>
                <w:szCs w:val="24"/>
                <w:highlight w:val="yellow"/>
                <w:lang w:val="en-US" w:eastAsia="zh-CN"/>
              </w:rPr>
              <w:t>耐磨层</w:t>
            </w:r>
            <w:r>
              <w:rPr>
                <w:rFonts w:hint="eastAsia" w:ascii="宋体" w:hAnsi="宋体" w:eastAsia="宋体" w:cs="宋体"/>
                <w:sz w:val="24"/>
                <w:szCs w:val="24"/>
                <w:highlight w:val="yellow"/>
                <w:lang w:eastAsia="zh-CN"/>
              </w:rPr>
              <w:t>采用≥16mm厚</w:t>
            </w:r>
            <w:r>
              <w:rPr>
                <w:rFonts w:hint="eastAsia" w:ascii="宋体" w:hAnsi="宋体" w:eastAsia="宋体" w:cs="宋体"/>
                <w:sz w:val="24"/>
                <w:szCs w:val="24"/>
                <w:highlight w:val="yellow"/>
                <w:lang w:val="en-US" w:eastAsia="zh-CN"/>
              </w:rPr>
              <w:t>NM400高强度耐磨钢</w:t>
            </w:r>
            <w:r>
              <w:rPr>
                <w:rFonts w:hint="eastAsia" w:ascii="宋体" w:hAnsi="宋体" w:eastAsia="宋体" w:cs="宋体"/>
                <w:sz w:val="24"/>
                <w:szCs w:val="24"/>
                <w:highlight w:val="yellow"/>
                <w:lang w:eastAsia="zh-CN"/>
              </w:rPr>
              <w:t>板折弯而成，槽体为可拆卸结构，方便更换；在接料区域2500mm范围，设置附加挡板，附加挡板高≥300mm。</w:t>
            </w:r>
          </w:p>
          <w:p>
            <w:pPr>
              <w:widowControl/>
              <w:jc w:val="left"/>
              <w:textAlignment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生 产 率≥60型/h；电机功率≤ 7.5 kW</w:t>
            </w:r>
          </w:p>
        </w:tc>
        <w:tc>
          <w:tcPr>
            <w:tcW w:w="836"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782" w:type="dxa"/>
            <w:vAlign w:val="center"/>
          </w:tcPr>
          <w:p>
            <w:pPr>
              <w:spacing w:line="0" w:lineRule="atLeast"/>
              <w:jc w:val="center"/>
              <w:rPr>
                <w:rFonts w:hint="eastAsia" w:ascii="宋体" w:hAnsi="宋体" w:eastAsia="宋体" w:cs="宋体"/>
                <w:sz w:val="24"/>
                <w:szCs w:val="24"/>
                <w:highlight w:val="yellow"/>
                <w:lang w:eastAsia="zh-CN"/>
              </w:rPr>
            </w:pPr>
            <w:r>
              <w:rPr>
                <w:rFonts w:hint="eastAsia" w:ascii="宋体" w:hAnsi="宋体" w:eastAsia="宋体" w:cs="宋体"/>
                <w:kern w:val="1"/>
                <w:sz w:val="24"/>
                <w:szCs w:val="24"/>
                <w:highlight w:val="yellow"/>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3</w:t>
            </w:r>
          </w:p>
        </w:tc>
        <w:tc>
          <w:tcPr>
            <w:tcW w:w="2472" w:type="dxa"/>
            <w:vAlign w:val="center"/>
          </w:tcPr>
          <w:p>
            <w:pPr>
              <w:widowControl/>
              <w:spacing w:line="0" w:lineRule="atLeast"/>
              <w:jc w:val="left"/>
              <w:textAlignment w:val="center"/>
              <w:rPr>
                <w:rFonts w:hint="eastAsia" w:ascii="宋体" w:hAnsi="宋体" w:eastAsia="宋体" w:cs="宋体"/>
                <w:sz w:val="24"/>
                <w:szCs w:val="24"/>
                <w:highlight w:val="yellow"/>
                <w:lang w:eastAsia="zh-CN"/>
              </w:rPr>
            </w:pPr>
            <w:r>
              <w:rPr>
                <w:rFonts w:hint="eastAsia" w:ascii="宋体" w:hAnsi="宋体" w:eastAsia="宋体" w:cs="宋体"/>
                <w:color w:val="000000"/>
                <w:kern w:val="0"/>
                <w:sz w:val="24"/>
                <w:szCs w:val="24"/>
                <w:highlight w:val="yellow"/>
                <w:lang w:bidi="ar"/>
              </w:rPr>
              <w:t>铸二振动给料机更新</w:t>
            </w:r>
            <w:r>
              <w:rPr>
                <w:rFonts w:hint="eastAsia" w:ascii="宋体" w:hAnsi="宋体" w:eastAsia="宋体" w:cs="宋体"/>
                <w:color w:val="000000"/>
                <w:kern w:val="0"/>
                <w:sz w:val="24"/>
                <w:szCs w:val="24"/>
                <w:highlight w:val="yellow"/>
                <w:lang w:eastAsia="zh-CN" w:bidi="ar"/>
              </w:rPr>
              <w:t>（</w:t>
            </w:r>
            <w:r>
              <w:rPr>
                <w:rFonts w:hint="eastAsia" w:ascii="宋体" w:hAnsi="宋体" w:eastAsia="宋体" w:cs="宋体"/>
                <w:color w:val="000000"/>
                <w:kern w:val="0"/>
                <w:sz w:val="24"/>
                <w:szCs w:val="24"/>
                <w:highlight w:val="yellow"/>
                <w:lang w:val="en-US" w:eastAsia="zh-CN" w:bidi="ar"/>
              </w:rPr>
              <w:t>4420*1575/1930*610mm</w:t>
            </w:r>
            <w:r>
              <w:rPr>
                <w:rFonts w:hint="eastAsia" w:ascii="宋体" w:hAnsi="宋体" w:eastAsia="宋体" w:cs="宋体"/>
                <w:color w:val="000000"/>
                <w:kern w:val="0"/>
                <w:sz w:val="24"/>
                <w:szCs w:val="24"/>
                <w:highlight w:val="yellow"/>
                <w:lang w:eastAsia="zh-CN" w:bidi="ar"/>
              </w:rPr>
              <w:t>）</w:t>
            </w:r>
          </w:p>
        </w:tc>
        <w:tc>
          <w:tcPr>
            <w:tcW w:w="4089" w:type="dxa"/>
            <w:vAlign w:val="center"/>
          </w:tcPr>
          <w:p>
            <w:pPr>
              <w:widowControl/>
              <w:jc w:val="left"/>
              <w:textAlignment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eastAsia="zh-CN"/>
              </w:rPr>
              <w:t>振动</w:t>
            </w:r>
            <w:r>
              <w:rPr>
                <w:rFonts w:hint="eastAsia" w:ascii="宋体" w:hAnsi="宋体" w:eastAsia="宋体" w:cs="宋体"/>
                <w:sz w:val="24"/>
                <w:szCs w:val="24"/>
                <w:highlight w:val="yellow"/>
              </w:rPr>
              <w:t>落砂机总成通过4只隔振弹簧支撑在弹簧支座及底架上</w:t>
            </w:r>
            <w:r>
              <w:rPr>
                <w:rFonts w:hint="eastAsia" w:ascii="宋体" w:hAnsi="宋体" w:eastAsia="宋体" w:cs="宋体"/>
                <w:sz w:val="24"/>
                <w:szCs w:val="24"/>
                <w:highlight w:val="yellow"/>
                <w:lang w:eastAsia="zh-CN"/>
              </w:rPr>
              <w:t>，输送槽</w:t>
            </w:r>
            <w:r>
              <w:rPr>
                <w:rFonts w:hint="eastAsia" w:ascii="宋体" w:hAnsi="宋体" w:eastAsia="宋体" w:cs="宋体"/>
                <w:sz w:val="24"/>
                <w:szCs w:val="24"/>
                <w:highlight w:val="yellow"/>
                <w:lang w:val="en-US" w:eastAsia="zh-CN"/>
              </w:rPr>
              <w:t>耐磨层</w:t>
            </w:r>
            <w:r>
              <w:rPr>
                <w:rFonts w:hint="eastAsia" w:ascii="宋体" w:hAnsi="宋体" w:eastAsia="宋体" w:cs="宋体"/>
                <w:sz w:val="24"/>
                <w:szCs w:val="24"/>
                <w:highlight w:val="yellow"/>
                <w:lang w:eastAsia="zh-CN"/>
              </w:rPr>
              <w:t>采用≥16mm厚</w:t>
            </w:r>
            <w:r>
              <w:rPr>
                <w:rFonts w:hint="eastAsia" w:ascii="宋体" w:hAnsi="宋体" w:eastAsia="宋体" w:cs="宋体"/>
                <w:sz w:val="24"/>
                <w:szCs w:val="24"/>
                <w:highlight w:val="yellow"/>
                <w:lang w:val="en-US" w:eastAsia="zh-CN"/>
              </w:rPr>
              <w:t>NM400高强度耐磨钢</w:t>
            </w:r>
            <w:r>
              <w:rPr>
                <w:rFonts w:hint="eastAsia" w:ascii="宋体" w:hAnsi="宋体" w:eastAsia="宋体" w:cs="宋体"/>
                <w:sz w:val="24"/>
                <w:szCs w:val="24"/>
                <w:highlight w:val="yellow"/>
                <w:lang w:eastAsia="zh-CN"/>
              </w:rPr>
              <w:t>板折弯而成，槽体为可拆卸结构，方便更换；</w:t>
            </w:r>
          </w:p>
          <w:p>
            <w:pPr>
              <w:widowControl/>
              <w:jc w:val="left"/>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生 产 率≥45型/h</w:t>
            </w:r>
          </w:p>
          <w:p>
            <w:pPr>
              <w:widowControl/>
              <w:jc w:val="left"/>
              <w:textAlignment w:val="center"/>
              <w:rPr>
                <w:rFonts w:hint="eastAsia"/>
                <w:lang w:eastAsia="zh-CN"/>
              </w:rPr>
            </w:pPr>
            <w:r>
              <w:rPr>
                <w:rFonts w:hint="eastAsia" w:ascii="宋体" w:hAnsi="宋体" w:eastAsia="宋体" w:cs="宋体"/>
                <w:sz w:val="24"/>
                <w:szCs w:val="24"/>
                <w:highlight w:val="yellow"/>
                <w:lang w:val="en-US" w:eastAsia="zh-CN"/>
              </w:rPr>
              <w:t>振动电机MVSI 9-9310 （招标方提供）</w:t>
            </w:r>
          </w:p>
        </w:tc>
        <w:tc>
          <w:tcPr>
            <w:tcW w:w="836"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782" w:type="dxa"/>
            <w:vAlign w:val="center"/>
          </w:tcPr>
          <w:p>
            <w:pPr>
              <w:spacing w:line="0" w:lineRule="atLeast"/>
              <w:jc w:val="center"/>
              <w:rPr>
                <w:rFonts w:hint="eastAsia" w:ascii="宋体" w:hAnsi="宋体" w:eastAsia="宋体" w:cs="宋体"/>
                <w:sz w:val="24"/>
                <w:szCs w:val="24"/>
                <w:highlight w:val="yellow"/>
                <w:lang w:eastAsia="zh-CN"/>
              </w:rPr>
            </w:pPr>
            <w:r>
              <w:rPr>
                <w:rFonts w:hint="eastAsia" w:ascii="宋体" w:hAnsi="宋体" w:eastAsia="宋体" w:cs="宋体"/>
                <w:kern w:val="1"/>
                <w:sz w:val="24"/>
                <w:szCs w:val="24"/>
                <w:highlight w:val="yellow"/>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4</w:t>
            </w:r>
          </w:p>
        </w:tc>
        <w:tc>
          <w:tcPr>
            <w:tcW w:w="2472" w:type="dxa"/>
            <w:vAlign w:val="center"/>
          </w:tcPr>
          <w:p>
            <w:pPr>
              <w:spacing w:line="360" w:lineRule="exact"/>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w:t>
            </w:r>
          </w:p>
        </w:tc>
        <w:tc>
          <w:tcPr>
            <w:tcW w:w="4089" w:type="dxa"/>
            <w:vAlign w:val="center"/>
          </w:tcPr>
          <w:p>
            <w:pPr>
              <w:spacing w:line="360" w:lineRule="exact"/>
              <w:jc w:val="left"/>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旧设备保护性拆除、新</w:t>
            </w:r>
            <w:r>
              <w:rPr>
                <w:rFonts w:hint="eastAsia" w:ascii="宋体" w:hAnsi="宋体" w:eastAsia="宋体" w:cs="宋体"/>
                <w:sz w:val="24"/>
                <w:szCs w:val="24"/>
                <w:highlight w:val="yellow"/>
              </w:rPr>
              <w:t>设备安装、调试</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原设备线路及原除尘系统恢复。</w:t>
            </w:r>
          </w:p>
        </w:tc>
        <w:tc>
          <w:tcPr>
            <w:tcW w:w="836" w:type="dxa"/>
            <w:vAlign w:val="center"/>
          </w:tcPr>
          <w:p>
            <w:pPr>
              <w:spacing w:line="360" w:lineRule="exact"/>
              <w:jc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宗</w:t>
            </w:r>
          </w:p>
        </w:tc>
        <w:tc>
          <w:tcPr>
            <w:tcW w:w="782"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5</w:t>
            </w:r>
          </w:p>
        </w:tc>
        <w:tc>
          <w:tcPr>
            <w:tcW w:w="2472" w:type="dxa"/>
            <w:vAlign w:val="center"/>
          </w:tcPr>
          <w:p>
            <w:pPr>
              <w:spacing w:line="360" w:lineRule="exact"/>
              <w:jc w:val="left"/>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运输</w:t>
            </w:r>
          </w:p>
        </w:tc>
        <w:tc>
          <w:tcPr>
            <w:tcW w:w="4089" w:type="dxa"/>
            <w:vAlign w:val="center"/>
          </w:tcPr>
          <w:p>
            <w:pPr>
              <w:spacing w:line="360" w:lineRule="exact"/>
              <w:jc w:val="left"/>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新设备运输及旧设备厂内物流运输；</w:t>
            </w:r>
          </w:p>
        </w:tc>
        <w:tc>
          <w:tcPr>
            <w:tcW w:w="836"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宗</w:t>
            </w:r>
          </w:p>
        </w:tc>
        <w:tc>
          <w:tcPr>
            <w:tcW w:w="782" w:type="dxa"/>
            <w:vAlign w:val="center"/>
          </w:tcPr>
          <w:p>
            <w:pPr>
              <w:spacing w:line="360" w:lineRule="exact"/>
              <w:jc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6</w:t>
            </w:r>
          </w:p>
        </w:tc>
        <w:tc>
          <w:tcPr>
            <w:tcW w:w="2472" w:type="dxa"/>
            <w:vAlign w:val="center"/>
          </w:tcPr>
          <w:p>
            <w:pPr>
              <w:spacing w:line="360" w:lineRule="exact"/>
              <w:jc w:val="left"/>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试运行服务</w:t>
            </w:r>
          </w:p>
        </w:tc>
        <w:tc>
          <w:tcPr>
            <w:tcW w:w="4089" w:type="dxa"/>
            <w:vAlign w:val="center"/>
          </w:tcPr>
          <w:p>
            <w:pPr>
              <w:spacing w:line="360" w:lineRule="exact"/>
              <w:jc w:val="left"/>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中标单位在招标方现场连续跟踪至少5个工作日，确保设备运行正常</w:t>
            </w:r>
          </w:p>
        </w:tc>
        <w:tc>
          <w:tcPr>
            <w:tcW w:w="836" w:type="dxa"/>
            <w:vAlign w:val="center"/>
          </w:tcPr>
          <w:p>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宗</w:t>
            </w:r>
          </w:p>
        </w:tc>
        <w:tc>
          <w:tcPr>
            <w:tcW w:w="782" w:type="dxa"/>
            <w:vAlign w:val="center"/>
          </w:tcPr>
          <w:p>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29"/>
        </w:numPr>
        <w:spacing w:line="360" w:lineRule="auto"/>
        <w:ind w:firstLine="480" w:firstLineChars="200"/>
        <w:rPr>
          <w:szCs w:val="21"/>
        </w:rPr>
      </w:pPr>
      <w:r>
        <w:rPr>
          <w:rFonts w:hint="eastAsia" w:ascii="宋体" w:hAnsi="宋体" w:eastAsia="宋体" w:cs="宋体"/>
          <w:bCs/>
          <w:sz w:val="24"/>
          <w:szCs w:val="24"/>
        </w:rPr>
        <w:t>本表“供货方式”指：交钥匙方式——包括制造、运输、定点卸货、安装、调试</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相关设备线路及除尘系统恢复、噪音检测等</w:t>
      </w:r>
      <w:r>
        <w:rPr>
          <w:rFonts w:hint="eastAsia" w:ascii="宋体" w:hAnsi="宋体" w:eastAsia="宋体" w:cs="宋体"/>
          <w:bCs/>
          <w:sz w:val="24"/>
          <w:szCs w:val="24"/>
        </w:rPr>
        <w:t>。</w:t>
      </w:r>
    </w:p>
    <w:p>
      <w:pPr>
        <w:pStyle w:val="2"/>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pPr>
        <w:pStyle w:val="2"/>
        <w:rPr>
          <w:rFonts w:hAnsi="宋体" w:eastAsia="宋体" w:cs="宋体"/>
          <w:bCs/>
          <w:sz w:val="24"/>
          <w:highlight w:val="none"/>
        </w:rPr>
      </w:pPr>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szCs w:val="21"/>
                <w:highlight w:val="none"/>
              </w:rPr>
            </w:pPr>
            <w:r>
              <w:rPr>
                <w:kern w:val="0"/>
                <w:szCs w:val="21"/>
                <w:highlight w:val="none"/>
              </w:rPr>
              <w:t>序号</w:t>
            </w:r>
          </w:p>
        </w:tc>
        <w:tc>
          <w:tcPr>
            <w:tcW w:w="2835" w:type="dxa"/>
            <w:shd w:val="clear" w:color="auto" w:fill="auto"/>
          </w:tcPr>
          <w:p>
            <w:pPr>
              <w:spacing w:line="420" w:lineRule="exact"/>
              <w:jc w:val="center"/>
              <w:rPr>
                <w:szCs w:val="21"/>
                <w:highlight w:val="yellow"/>
              </w:rPr>
            </w:pPr>
            <w:r>
              <w:rPr>
                <w:kern w:val="0"/>
                <w:szCs w:val="21"/>
                <w:highlight w:val="none"/>
              </w:rPr>
              <w:t>器件名称</w:t>
            </w:r>
          </w:p>
        </w:tc>
        <w:tc>
          <w:tcPr>
            <w:tcW w:w="3266" w:type="dxa"/>
            <w:shd w:val="clear" w:color="auto" w:fill="auto"/>
          </w:tcPr>
          <w:p>
            <w:pPr>
              <w:widowControl/>
              <w:spacing w:line="240" w:lineRule="auto"/>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品牌</w:t>
            </w:r>
          </w:p>
        </w:tc>
        <w:tc>
          <w:tcPr>
            <w:tcW w:w="1971" w:type="dxa"/>
            <w:shd w:val="clear" w:color="auto" w:fill="auto"/>
          </w:tcPr>
          <w:p>
            <w:pPr>
              <w:spacing w:line="420" w:lineRule="exact"/>
              <w:jc w:val="center"/>
              <w:rPr>
                <w:szCs w:val="21"/>
                <w:highlight w:val="none"/>
              </w:rPr>
            </w:pPr>
            <w:r>
              <w:rPr>
                <w:rFonts w:hint="eastAsia"/>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1</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气动元件</w:t>
            </w:r>
            <w:r>
              <w:rPr>
                <w:rFonts w:hint="eastAsia" w:ascii="宋体" w:hAnsi="宋体" w:eastAsia="宋体" w:cs="宋体"/>
                <w:color w:val="000000"/>
                <w:kern w:val="0"/>
                <w:sz w:val="22"/>
                <w:szCs w:val="22"/>
                <w:highlight w:val="none"/>
                <w:lang w:val="en-US" w:eastAsia="zh-CN" w:bidi="ar"/>
              </w:rPr>
              <w:t>（如有）</w:t>
            </w:r>
          </w:p>
        </w:tc>
        <w:tc>
          <w:tcPr>
            <w:tcW w:w="3266"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SMC/亚德客</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2</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正泰/施耐德/西门子</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3</w:t>
            </w:r>
          </w:p>
        </w:tc>
        <w:tc>
          <w:tcPr>
            <w:tcW w:w="2835" w:type="dxa"/>
            <w:shd w:val="clear" w:color="auto" w:fill="auto"/>
            <w:vAlign w:val="top"/>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top"/>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三菱/欧姆龙</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4</w:t>
            </w:r>
          </w:p>
        </w:tc>
        <w:tc>
          <w:tcPr>
            <w:tcW w:w="2835"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电机</w:t>
            </w:r>
          </w:p>
        </w:tc>
        <w:tc>
          <w:tcPr>
            <w:tcW w:w="3266"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皖南、华力、卧龙等</w:t>
            </w:r>
          </w:p>
        </w:tc>
        <w:tc>
          <w:tcPr>
            <w:tcW w:w="1971" w:type="dxa"/>
            <w:shd w:val="clear" w:color="auto" w:fill="auto"/>
          </w:tcPr>
          <w:p>
            <w:pPr>
              <w:spacing w:line="420" w:lineRule="exact"/>
              <w:jc w:val="center"/>
              <w:rPr>
                <w:kern w:val="0"/>
                <w:szCs w:val="21"/>
                <w:highlight w:val="none"/>
              </w:rPr>
            </w:pPr>
          </w:p>
        </w:tc>
      </w:tr>
    </w:tbl>
    <w:p>
      <w:pPr>
        <w:widowControl w:val="0"/>
        <w:numPr>
          <w:ilvl w:val="0"/>
          <w:numId w:val="0"/>
        </w:numPr>
        <w:tabs>
          <w:tab w:val="left" w:pos="312"/>
        </w:tabs>
        <w:spacing w:line="360" w:lineRule="auto"/>
        <w:jc w:val="both"/>
        <w:rPr>
          <w:szCs w:val="21"/>
        </w:rPr>
      </w:pP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26"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6"/>
    </w:p>
    <w:p>
      <w:pPr>
        <w:pStyle w:val="111"/>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1"/>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w:t>
      </w:r>
      <w:r>
        <w:rPr>
          <w:rFonts w:hint="eastAsia" w:ascii="宋体" w:hAnsi="宋体" w:eastAsia="宋体" w:cs="Times New Roman"/>
          <w:sz w:val="24"/>
          <w:szCs w:val="24"/>
          <w:lang w:val="en-US" w:eastAsia="zh-CN"/>
        </w:rPr>
        <w:t>程序</w:t>
      </w:r>
      <w:r>
        <w:rPr>
          <w:rFonts w:hint="eastAsia" w:ascii="宋体" w:hAnsi="宋体" w:eastAsia="宋体" w:cs="Times New Roman"/>
          <w:sz w:val="24"/>
          <w:szCs w:val="24"/>
        </w:rPr>
        <w:t>图纸要求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pPr>
        <w:spacing w:line="360" w:lineRule="auto"/>
        <w:ind w:firstLine="480" w:firstLineChars="200"/>
        <w:rPr>
          <w:rFonts w:hint="eastAsia" w:ascii="宋体" w:hAnsi="宋体" w:eastAsia="宋体" w:cs="Times New Roman"/>
          <w:sz w:val="24"/>
          <w:highlight w:val="none"/>
          <w:lang w:eastAsia="zh-CN"/>
        </w:rPr>
      </w:pPr>
      <w:r>
        <w:rPr>
          <w:rFonts w:hint="eastAsia" w:ascii="宋体" w:hAnsi="宋体" w:eastAsia="宋体" w:cs="Times New Roman"/>
          <w:sz w:val="24"/>
          <w:highlight w:val="none"/>
        </w:rPr>
        <w:t>关于投标方货物中所供电机：</w:t>
      </w:r>
      <w:r>
        <w:rPr>
          <w:rFonts w:ascii="宋体" w:hAnsi="宋体" w:eastAsia="宋体" w:cs="Times New Roman"/>
          <w:b/>
          <w:bCs/>
          <w:sz w:val="24"/>
          <w:highlight w:val="none"/>
        </w:rPr>
        <w:t>电机必须选用一级能效</w:t>
      </w:r>
      <w:r>
        <w:rPr>
          <w:rFonts w:ascii="宋体" w:hAnsi="宋体" w:eastAsia="宋体" w:cs="Times New Roman"/>
          <w:sz w:val="24"/>
          <w:highlight w:val="none"/>
        </w:rPr>
        <w:t>。空调必须选用一级能效</w:t>
      </w:r>
      <w:r>
        <w:rPr>
          <w:rFonts w:hint="eastAsia" w:ascii="宋体" w:hAnsi="宋体" w:eastAsia="宋体" w:cs="Times New Roman"/>
          <w:sz w:val="24"/>
          <w:highlight w:val="none"/>
          <w:lang w:eastAsia="zh-CN"/>
        </w:rPr>
        <w:t>。</w:t>
      </w:r>
    </w:p>
    <w:p>
      <w:pPr>
        <w:pStyle w:val="111"/>
        <w:spacing w:line="360" w:lineRule="auto"/>
        <w:ind w:firstLine="482" w:firstLineChars="200"/>
        <w:outlineLvl w:val="9"/>
        <w:rPr>
          <w:rFonts w:hint="eastAsia" w:eastAsia="宋体" w:cs="宋体"/>
          <w:b/>
          <w:bCs w:val="0"/>
          <w:sz w:val="24"/>
          <w:szCs w:val="24"/>
          <w:highlight w:val="yellow"/>
        </w:rPr>
      </w:pPr>
    </w:p>
    <w:p>
      <w:pPr>
        <w:pStyle w:val="111"/>
        <w:spacing w:line="360" w:lineRule="auto"/>
        <w:ind w:firstLine="482" w:firstLineChars="200"/>
        <w:outlineLvl w:val="9"/>
        <w:rPr>
          <w:rFonts w:hint="eastAsia" w:eastAsia="宋体" w:cs="宋体"/>
          <w:b/>
          <w:bCs w:val="0"/>
          <w:sz w:val="24"/>
          <w:szCs w:val="24"/>
          <w:highlight w:val="yellow"/>
        </w:rPr>
      </w:pPr>
    </w:p>
    <w:p>
      <w:pPr>
        <w:pStyle w:val="111"/>
        <w:spacing w:line="360" w:lineRule="auto"/>
        <w:ind w:firstLine="482" w:firstLineChars="200"/>
        <w:outlineLvl w:val="2"/>
        <w:rPr>
          <w:rFonts w:eastAsia="宋体" w:cs="宋体"/>
          <w:b/>
          <w:bCs w:val="0"/>
          <w:sz w:val="24"/>
          <w:szCs w:val="24"/>
          <w:highlight w:val="yellow"/>
        </w:rPr>
      </w:pPr>
      <w:r>
        <w:rPr>
          <w:rFonts w:hint="eastAsia" w:eastAsia="宋体" w:cs="宋体"/>
          <w:b/>
          <w:bCs w:val="0"/>
          <w:sz w:val="24"/>
          <w:szCs w:val="24"/>
          <w:highlight w:val="yellow"/>
        </w:rPr>
        <w:t>三、技术要求</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bookmarkStart w:id="27" w:name="_Toc169605881"/>
      <w:r>
        <w:rPr>
          <w:rFonts w:hint="eastAsia" w:ascii="宋体" w:hAnsi="宋体" w:eastAsia="宋体" w:cs="宋体"/>
          <w:color w:val="auto"/>
          <w:kern w:val="0"/>
          <w:sz w:val="24"/>
          <w:szCs w:val="24"/>
          <w:highlight w:val="yellow"/>
          <w:lang w:val="en-US" w:eastAsia="zh-CN" w:bidi="ar-SA"/>
        </w:rPr>
        <w:t>1.铸造一线振动输送槽</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bookmarkStart w:id="28" w:name="_Hlk192927128"/>
      <w:r>
        <w:rPr>
          <w:rFonts w:hint="eastAsia" w:ascii="宋体" w:hAnsi="宋体" w:eastAsia="宋体" w:cs="宋体"/>
          <w:color w:val="auto"/>
          <w:kern w:val="0"/>
          <w:sz w:val="24"/>
          <w:szCs w:val="24"/>
          <w:highlight w:val="yellow"/>
          <w:lang w:val="en-US" w:eastAsia="zh-CN" w:bidi="ar-SA"/>
        </w:rPr>
        <w:t>1.1输送槽主要由槽体、上机架、平衡质体、电机传</w:t>
      </w:r>
      <w:bookmarkEnd w:id="28"/>
      <w:r>
        <w:rPr>
          <w:rFonts w:hint="eastAsia" w:ascii="宋体" w:hAnsi="宋体" w:eastAsia="宋体" w:cs="宋体"/>
          <w:color w:val="auto"/>
          <w:kern w:val="0"/>
          <w:sz w:val="24"/>
          <w:szCs w:val="24"/>
          <w:highlight w:val="yellow"/>
          <w:lang w:val="en-US" w:eastAsia="zh-CN" w:bidi="ar-SA"/>
        </w:rPr>
        <w:t>动系统、偏心轴弹性驱动系统，以及驱动弹簧、共振弹簧、隔振弹簧、导向摇臂、下机架等组成。其中，槽体和上机架装配联接在一起，组成工作质体，和平衡质体一起，通过隔振弹簧和导向摇臂支撑在机架上。</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1.2安装于平衡质体上的偏心轴旋转时，带动驱动弹簧伸缩产生周期性的驱动力，使上机架和槽体产生周期性振动。槽体内的物料在振动作用下产生抛掷和滑移运动，实现向前均匀输送。</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1.3输送槽槽体采用≥16mm厚NM400高强度耐磨钢板折弯而成，槽体为可拆卸结构，方便更换。</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1.4在接料区域2500mm范围，设置附加挡板，附加挡板高≥300mm。</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1.5振动输送槽为单激振源。</w:t>
      </w:r>
    </w:p>
    <w:p>
      <w:pPr>
        <w:spacing w:line="360" w:lineRule="auto"/>
        <w:ind w:firstLine="480" w:firstLineChars="200"/>
        <w:rPr>
          <w:rFonts w:hint="default"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1.6 电气系统整体更新。</w:t>
      </w:r>
    </w:p>
    <w:p>
      <w:pPr>
        <w:spacing w:line="360" w:lineRule="auto"/>
        <w:rPr>
          <w:rFonts w:hint="eastAsia" w:ascii="宋体" w:hAnsi="宋体" w:eastAsia="宋体" w:cs="宋体"/>
          <w:color w:val="auto"/>
          <w:kern w:val="0"/>
          <w:sz w:val="24"/>
          <w:szCs w:val="24"/>
          <w:highlight w:val="yellow"/>
          <w:lang w:val="en-US" w:eastAsia="zh-CN" w:bidi="ar-SA"/>
        </w:rPr>
      </w:pP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2.铸造一线振动落砂机</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2.1落砂机采用分离拖动方式，由一台电动机通过传动轴拖动两台箱式激振器作激振源。两台激振器由传动轴串联，强制同步旋转，产生方向角为60°的直线激励，使落砂机以一定的加速度振动。</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2.2当砂型或铸件放到栅格板上，栅格在激振器激振下将砂型或铸件上抛，然后下落与栅床碰撞，从而将砂型或铸件内芯砂破碎并通过栅格孔落到回砂输送设备内运走，铸件被振动输送至出口端。</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2.3落砂机主要由机体、栅格板、机座、隔振弹簧、电机支架等组成。栅格板采用NM400高强度耐磨钢板制作,分块拼装式结构，用压板装配在机体侧板上。</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2.4落砂机参振部分由20只隔振弹簧支撑在机座上，隔振弹簧采用金属螺旋簧，材质为60Si2MnA。</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3铸造二线一级振动落砂机技术规格和要求</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3.1振动落砂机主要由给料支架、槽体、平衡质体、振动电机、共振弹簧、隔振弹篢、弹簧支座、底架及止挡装置等组成。支架采用焊接结构，槽体与之装配一体，平衡质体连同振动电机通过共振弹簧与机体装配联接，整个机体总成通过4只隔振弹簧支撑在弹簧支座及底架上。</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3.2本机采用单振动电机激振、双质体共振方式。当给料机通电工作时，振动电机所产生的激振力通过共振系统放大后传递给支架及槽体。在该激振力作用下，槽体产生直线振动，槽体内的铸型被振动向前输送，并在输送过程中部分被破碎。</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3.3隔振弹簧采用回头簧(两端圈直径缩小)结构，与机体及弹支座之间采用螺栓紧固联接，每个弹簧支座的高度可调，以便于调整槽体的水平度并使各隔振弹簧受力均衡。</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3.4在底架上设置止挡装置，用于设备停机时可能出现的机体振幅放大，甚至共振现象，以避免引起相邻设备之间的磕碰及其它事故。</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3.5输送槽槽体采用≥16mm厚NM400高强度耐磨钢板折弯而成，槽体为可拆卸结构，方便更换。</w:t>
      </w:r>
    </w:p>
    <w:p>
      <w:pPr>
        <w:spacing w:line="360" w:lineRule="auto"/>
        <w:ind w:firstLine="480" w:firstLineChars="200"/>
        <w:rPr>
          <w:rFonts w:hint="default"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3.6要求槽体侧面和底面安装保温层，保温层厚度≥60mm，建议使用钢丝网等措施进行固定，防止震动过程中保温层脱落。</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4.现有设备关键参数</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4.1铸造一线振动输送槽技术参数</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槽体宽度           1500   mm</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槽体长度           9300   mm</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槽体深度           ≥450mm(不含挡板)</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生 产 率           ≥60  型/h</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电机功率           ≤ 7.5 kW</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安装角度：                  水平</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4.2 铸造一线振动落砂机技术参数</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槽体宽度           1580 mm</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槽体长度           6100 mm</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 xml:space="preserve">槽体深度           650 mm </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生 产 率           ≥60型/ｈ</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电机               22kW</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最大激振力         2X160kN</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激振频率           970  1/min</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激 振 器           2X T80160-6B</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 xml:space="preserve">双 振 幅           4~6mm </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4.3铸造二线一级振动给料机技术参数</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槽体宽度           1575/1930   mm</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槽体长度           4420   mm</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槽体深度           610 mm (不含挡板)</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生 产 率           ≥45  型/h</w:t>
      </w:r>
    </w:p>
    <w:p>
      <w:pPr>
        <w:spacing w:line="360" w:lineRule="auto"/>
        <w:ind w:firstLine="480" w:firstLineChars="200"/>
        <w:rPr>
          <w:rFonts w:hint="eastAsia"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yellow"/>
          <w:lang w:val="en-US" w:eastAsia="zh-CN" w:bidi="ar-SA"/>
        </w:rPr>
        <w:t>振动电机           MVSI 9-9310 （招标方提供）</w:t>
      </w:r>
    </w:p>
    <w:p>
      <w:pPr>
        <w:spacing w:line="360" w:lineRule="auto"/>
        <w:rPr>
          <w:rFonts w:hint="eastAsia" w:ascii="宋体" w:hAnsi="宋体" w:eastAsia="宋体" w:cs="宋体"/>
          <w:color w:val="auto"/>
          <w:kern w:val="0"/>
          <w:sz w:val="24"/>
          <w:szCs w:val="24"/>
          <w:highlight w:val="none"/>
          <w:lang w:val="en-US" w:eastAsia="zh-CN" w:bidi="ar-SA"/>
        </w:rPr>
      </w:pPr>
    </w:p>
    <w:p>
      <w:pPr>
        <w:numPr>
          <w:ilvl w:val="0"/>
          <w:numId w:val="0"/>
        </w:numPr>
        <w:spacing w:line="360" w:lineRule="auto"/>
        <w:ind w:leftChars="200"/>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5.其他要求</w:t>
      </w:r>
    </w:p>
    <w:p>
      <w:pPr>
        <w:widowControl w:val="0"/>
        <w:numPr>
          <w:ilvl w:val="0"/>
          <w:numId w:val="0"/>
        </w:numPr>
        <w:spacing w:line="360" w:lineRule="auto"/>
        <w:jc w:val="both"/>
        <w:rPr>
          <w:rFonts w:hint="eastAsia" w:ascii="宋体" w:hAnsi="宋体" w:eastAsia="宋体" w:cs="宋体"/>
          <w:sz w:val="24"/>
          <w:highlight w:val="none"/>
          <w:lang w:eastAsia="zh-CN"/>
        </w:rPr>
      </w:pPr>
      <w:r>
        <w:rPr>
          <w:rFonts w:hint="eastAsia" w:ascii="宋体" w:hAnsi="宋体" w:eastAsia="宋体" w:cs="宋体"/>
          <w:color w:val="auto"/>
          <w:kern w:val="0"/>
          <w:sz w:val="24"/>
          <w:szCs w:val="24"/>
          <w:highlight w:val="none"/>
          <w:lang w:val="en-US" w:eastAsia="zh-CN" w:bidi="ar-SA"/>
        </w:rPr>
        <w:t>5.1</w:t>
      </w:r>
      <w:r>
        <w:rPr>
          <w:rFonts w:hint="eastAsia" w:ascii="宋体" w:hAnsi="宋体" w:eastAsia="宋体" w:cs="宋体"/>
          <w:sz w:val="24"/>
          <w:highlight w:val="none"/>
          <w:lang w:eastAsia="zh-CN"/>
        </w:rPr>
        <w:t>投标方</w:t>
      </w:r>
      <w:r>
        <w:rPr>
          <w:rFonts w:hint="eastAsia" w:ascii="宋体" w:hAnsi="宋体" w:eastAsia="宋体" w:cs="宋体"/>
          <w:sz w:val="24"/>
          <w:highlight w:val="none"/>
        </w:rPr>
        <w:t>应向甲方提供设备制造进度计划表，当实际进度严重偏离计划时，应向甲方说明</w:t>
      </w:r>
      <w:r>
        <w:rPr>
          <w:rFonts w:hint="eastAsia" w:ascii="宋体" w:hAnsi="宋体" w:eastAsia="宋体" w:cs="宋体"/>
          <w:sz w:val="24"/>
          <w:highlight w:val="none"/>
          <w:lang w:eastAsia="zh-CN"/>
        </w:rPr>
        <w:t>。</w:t>
      </w:r>
    </w:p>
    <w:p>
      <w:pPr>
        <w:widowControl w:val="0"/>
        <w:numPr>
          <w:ilvl w:val="0"/>
          <w:numId w:val="0"/>
        </w:numPr>
        <w:spacing w:line="36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5.2设备机身、气动管路、液压管路管路等颜色要求详见下表，漆面均匀无气泡、龟裂和其它缺陷,设备旋转零部件，如电机等需有旋转标识。</w:t>
      </w:r>
    </w:p>
    <w:p>
      <w:pPr>
        <w:widowControl w:val="0"/>
        <w:numPr>
          <w:ilvl w:val="0"/>
          <w:numId w:val="0"/>
        </w:numPr>
        <w:spacing w:line="360" w:lineRule="auto"/>
        <w:jc w:val="both"/>
        <w:rPr>
          <w:rFonts w:hint="eastAsia" w:ascii="宋体" w:hAnsi="宋体" w:eastAsia="宋体" w:cs="宋体"/>
          <w:sz w:val="24"/>
          <w:highlight w:val="none"/>
          <w:lang w:val="en-US" w:eastAsia="zh-CN"/>
        </w:rPr>
      </w:pPr>
    </w:p>
    <w:p>
      <w:pPr>
        <w:widowControl w:val="0"/>
        <w:numPr>
          <w:ilvl w:val="0"/>
          <w:numId w:val="0"/>
        </w:numPr>
        <w:spacing w:line="360" w:lineRule="auto"/>
        <w:jc w:val="center"/>
        <w:rPr>
          <w:rFonts w:hint="default" w:ascii="宋体" w:hAnsi="宋体" w:eastAsia="宋体" w:cs="宋体"/>
          <w:sz w:val="24"/>
          <w:highlight w:val="none"/>
          <w:lang w:val="en-US" w:eastAsia="zh-CN"/>
        </w:rPr>
      </w:pPr>
      <w:r>
        <w:rPr>
          <w:rFonts w:hint="default" w:ascii="宋体" w:hAnsi="宋体" w:eastAsia="宋体" w:cs="宋体"/>
          <w:sz w:val="24"/>
          <w:highlight w:val="none"/>
          <w:lang w:val="en-US" w:eastAsia="zh-CN"/>
        </w:rPr>
        <w:drawing>
          <wp:inline distT="0" distB="0" distL="114300" distR="114300">
            <wp:extent cx="5290185" cy="4272915"/>
            <wp:effectExtent l="0" t="0" r="5715" b="6985"/>
            <wp:docPr id="45" name="图片 45" descr="a5d086fc937bd5884f84b4dd1a750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5d086fc937bd5884f84b4dd1a750ce3"/>
                    <pic:cNvPicPr>
                      <a:picLocks noChangeAspect="1"/>
                    </pic:cNvPicPr>
                  </pic:nvPicPr>
                  <pic:blipFill>
                    <a:blip r:embed="rId32"/>
                    <a:stretch>
                      <a:fillRect/>
                    </a:stretch>
                  </pic:blipFill>
                  <pic:spPr>
                    <a:xfrm>
                      <a:off x="0" y="0"/>
                      <a:ext cx="5290185" cy="4272915"/>
                    </a:xfrm>
                    <a:prstGeom prst="rect">
                      <a:avLst/>
                    </a:prstGeom>
                  </pic:spPr>
                </pic:pic>
              </a:graphicData>
            </a:graphic>
          </wp:inline>
        </w:drawing>
      </w:r>
    </w:p>
    <w:p>
      <w:pPr>
        <w:widowControl w:val="0"/>
        <w:numPr>
          <w:ilvl w:val="0"/>
          <w:numId w:val="0"/>
        </w:numPr>
        <w:spacing w:line="360" w:lineRule="auto"/>
        <w:jc w:val="center"/>
        <w:rPr>
          <w:rFonts w:hint="default" w:ascii="宋体" w:hAnsi="宋体" w:eastAsia="宋体" w:cs="宋体"/>
          <w:sz w:val="24"/>
          <w:highlight w:val="none"/>
          <w:lang w:val="en-US" w:eastAsia="zh-CN"/>
        </w:rPr>
      </w:pPr>
      <w:r>
        <w:rPr>
          <w:rFonts w:hint="default" w:ascii="宋体" w:hAnsi="宋体" w:eastAsia="宋体" w:cs="宋体"/>
          <w:sz w:val="24"/>
          <w:highlight w:val="none"/>
          <w:lang w:val="en-US" w:eastAsia="zh-CN"/>
        </w:rPr>
        <w:drawing>
          <wp:inline distT="0" distB="0" distL="114300" distR="114300">
            <wp:extent cx="5508625" cy="5753100"/>
            <wp:effectExtent l="0" t="0" r="3175" b="0"/>
            <wp:docPr id="46" name="图片 46" descr="281fbbedaedc075879ebb52b8b11d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81fbbedaedc075879ebb52b8b11d2e0"/>
                    <pic:cNvPicPr>
                      <a:picLocks noChangeAspect="1"/>
                    </pic:cNvPicPr>
                  </pic:nvPicPr>
                  <pic:blipFill>
                    <a:blip r:embed="rId33"/>
                    <a:stretch>
                      <a:fillRect/>
                    </a:stretch>
                  </pic:blipFill>
                  <pic:spPr>
                    <a:xfrm>
                      <a:off x="0" y="0"/>
                      <a:ext cx="5508625" cy="5753100"/>
                    </a:xfrm>
                    <a:prstGeom prst="rect">
                      <a:avLst/>
                    </a:prstGeom>
                  </pic:spPr>
                </pic:pic>
              </a:graphicData>
            </a:graphic>
          </wp:inline>
        </w:drawing>
      </w:r>
    </w:p>
    <w:p>
      <w:pPr>
        <w:widowControl w:val="0"/>
        <w:numPr>
          <w:ilvl w:val="0"/>
          <w:numId w:val="0"/>
        </w:numPr>
        <w:spacing w:line="360" w:lineRule="auto"/>
        <w:jc w:val="center"/>
        <w:rPr>
          <w:rFonts w:hint="default" w:ascii="宋体" w:hAnsi="宋体" w:eastAsia="宋体" w:cs="宋体"/>
          <w:sz w:val="24"/>
          <w:highlight w:val="none"/>
          <w:lang w:val="en-US" w:eastAsia="zh-CN"/>
        </w:rPr>
      </w:pPr>
    </w:p>
    <w:p>
      <w:pPr>
        <w:widowControl w:val="0"/>
        <w:numPr>
          <w:ilvl w:val="0"/>
          <w:numId w:val="0"/>
        </w:numPr>
        <w:spacing w:line="360" w:lineRule="auto"/>
        <w:jc w:val="both"/>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sz w:val="24"/>
          <w:highlight w:val="none"/>
          <w:lang w:val="en-US" w:eastAsia="zh-CN"/>
        </w:rPr>
        <w:t>5.3</w:t>
      </w:r>
      <w:r>
        <w:rPr>
          <w:rFonts w:hint="eastAsia" w:ascii="宋体" w:hAnsi="宋体" w:eastAsia="宋体" w:cs="宋体"/>
          <w:b w:val="0"/>
          <w:bCs w:val="0"/>
          <w:kern w:val="2"/>
          <w:sz w:val="24"/>
          <w:szCs w:val="22"/>
          <w:highlight w:val="none"/>
          <w:lang w:val="en-US" w:eastAsia="zh-CN" w:bidi="ar-SA"/>
        </w:rPr>
        <w:t>有空气开关，含过流、过载、短路、缺相保护功能。三相线互换不会影响限位保护装置的保护功能。</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5.4润滑点设置全面合理。</w:t>
      </w:r>
    </w:p>
    <w:p>
      <w:pPr>
        <w:widowControl w:val="0"/>
        <w:numPr>
          <w:ilvl w:val="0"/>
          <w:numId w:val="0"/>
        </w:numPr>
        <w:spacing w:line="360" w:lineRule="auto"/>
        <w:jc w:val="both"/>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5.5液压系统压力检测开关均使用数显压力继电器，建议采用易福门、贺德克等国际知名品牌。通过压力继电器实现高低压报警，压力异常时设备动作停止并报警。</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sz w:val="24"/>
          <w:highlight w:val="none"/>
          <w:lang w:val="en-US" w:eastAsia="zh-CN"/>
        </w:rPr>
        <w:t>5.6</w:t>
      </w:r>
      <w:r>
        <w:rPr>
          <w:rFonts w:hint="eastAsia" w:ascii="宋体" w:hAnsi="宋体" w:eastAsia="宋体" w:cs="宋体"/>
          <w:b w:val="0"/>
          <w:bCs w:val="0"/>
          <w:kern w:val="2"/>
          <w:sz w:val="24"/>
          <w:szCs w:val="22"/>
          <w:highlight w:val="none"/>
          <w:lang w:val="en-US" w:eastAsia="zh-CN" w:bidi="ar-SA"/>
        </w:rPr>
        <w:t>液压元件（如有）选用力士乐、派克汉尼汾、油研等国际知名品牌。</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5.7液压油箱（如有）配有高低油温报警、低油位报警。</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5.8电磁换向阀等控制阀体电磁铁插头配有指示灯，便于观察阀体状态。</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5.9压缩空气入口处（如有）配有减压、过滤及油雾润滑装置。压力显示仪表安装位置醒目，无阻挡物。减压阀后应设有数显电子压力继电器，可实现低压报警功能。</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电气系统</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5.10电气元件选用正泰、西门子、施耐德等知名品牌。 </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5.11控制电路全部采用 24V 安全电压，操作安全可靠。</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5.12电控柜柜体表面漆膜应平整光滑、肉眼看不到皱痕、气泡等，电气柜的门应有足够的刚度，在全开启及转动时，无变形或下垂。门应开关灵活，开启角应大于90度，门与框之间不能有摩擦及损坏涂层的现象。</w:t>
      </w:r>
    </w:p>
    <w:p>
      <w:pPr>
        <w:widowControl w:val="0"/>
        <w:numPr>
          <w:ilvl w:val="0"/>
          <w:numId w:val="0"/>
        </w:numPr>
        <w:spacing w:line="360" w:lineRule="auto"/>
        <w:jc w:val="both"/>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5.13电器元件型号、规格、数量、品牌等与图纸相符，所有元器件组装应排列整齐，安装牢固，所有标记牌的字迹应完整、清晰，且不易脱色、粘贴牢固，电器元件应能单独拆装更换，而不影响其它电器及导线束的固定。</w:t>
      </w:r>
    </w:p>
    <w:p>
      <w:pPr>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5.14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pPr>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5.15</w:t>
      </w:r>
      <w:r>
        <w:rPr>
          <w:rFonts w:hint="eastAsia" w:ascii="宋体" w:hAnsi="宋体" w:eastAsia="宋体" w:cs="宋体"/>
          <w:b w:val="0"/>
          <w:bCs w:val="0"/>
          <w:kern w:val="2"/>
          <w:sz w:val="24"/>
          <w:szCs w:val="22"/>
          <w:highlight w:val="none"/>
          <w:lang w:val="en-US" w:eastAsia="zh-CN" w:bidi="ar-SA"/>
        </w:rPr>
        <w:t>直流正极采用棕色线，负极采用蓝色线，接地线PE采用黄绿相间线。</w:t>
      </w:r>
    </w:p>
    <w:p>
      <w:pPr>
        <w:widowControl w:val="0"/>
        <w:numPr>
          <w:ilvl w:val="0"/>
          <w:numId w:val="0"/>
        </w:numPr>
        <w:spacing w:line="360" w:lineRule="auto"/>
        <w:jc w:val="both"/>
        <w:outlineLvl w:val="9"/>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5.16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pPr>
        <w:widowControl w:val="0"/>
        <w:numPr>
          <w:ilvl w:val="0"/>
          <w:numId w:val="0"/>
        </w:numPr>
        <w:spacing w:line="360" w:lineRule="auto"/>
        <w:jc w:val="both"/>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5.17控制柜到设备之间弱电部分不可与强电同槽布线。</w:t>
      </w:r>
    </w:p>
    <w:p>
      <w:pPr>
        <w:widowControl w:val="0"/>
        <w:numPr>
          <w:ilvl w:val="0"/>
          <w:numId w:val="0"/>
        </w:numPr>
        <w:spacing w:line="360" w:lineRule="auto"/>
        <w:jc w:val="both"/>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5.18柜内应设置3孔、2孔220V插座各1处,具备照明检修灯具。</w:t>
      </w:r>
    </w:p>
    <w:p>
      <w:pPr>
        <w:widowControl w:val="0"/>
        <w:numPr>
          <w:ilvl w:val="0"/>
          <w:numId w:val="0"/>
        </w:numPr>
        <w:spacing w:line="360" w:lineRule="auto"/>
        <w:jc w:val="both"/>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5.19程序图纸要求</w:t>
      </w:r>
    </w:p>
    <w:p>
      <w:pPr>
        <w:widowControl w:val="0"/>
        <w:numPr>
          <w:ilvl w:val="0"/>
          <w:numId w:val="30"/>
        </w:numPr>
        <w:spacing w:line="360" w:lineRule="auto"/>
        <w:jc w:val="both"/>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必须提供所有设备程序的源代码，包括但不限于 PLC程序、HMI 程序、机器人程序、视觉程序、伺服等。</w:t>
      </w:r>
    </w:p>
    <w:p>
      <w:pPr>
        <w:widowControl w:val="0"/>
        <w:numPr>
          <w:ilvl w:val="0"/>
          <w:numId w:val="0"/>
        </w:numPr>
        <w:spacing w:line="360" w:lineRule="auto"/>
        <w:jc w:val="both"/>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b.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所提供的程序不得设置任何密码、保护等限制手段，PLC 不得设置修改下载权限，功能块不得设置密码保护。</w:t>
      </w:r>
    </w:p>
    <w:p>
      <w:pPr>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c. HMI 界面等需要密码保护的程序，</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必须提供所有级别的用户名、密码。</w:t>
      </w:r>
    </w:p>
    <w:p>
      <w:pPr>
        <w:widowControl w:val="0"/>
        <w:numPr>
          <w:ilvl w:val="0"/>
          <w:numId w:val="0"/>
        </w:numPr>
        <w:spacing w:line="360" w:lineRule="auto"/>
        <w:jc w:val="both"/>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d.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需在设备入场前提供设备程序源码，HMI 界面各级用户名和密码，并保证与现场程序一致。</w:t>
      </w:r>
    </w:p>
    <w:p>
      <w:pPr>
        <w:ind w:firstLine="480" w:firstLineChars="200"/>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需在终验收前提供最新的设备程序源码和电气图纸，图纸要求为可编辑原格式（EPLAN、CAD 格式）且与实际接线一致。</w:t>
      </w:r>
    </w:p>
    <w:p>
      <w:pPr>
        <w:spacing w:line="360" w:lineRule="auto"/>
        <w:ind w:firstLine="480" w:firstLineChars="200"/>
        <w:outlineLvl w:val="9"/>
        <w:rPr>
          <w:rFonts w:hint="default" w:ascii="宋体" w:hAnsi="宋体" w:eastAsia="宋体" w:cs="宋体"/>
          <w:color w:val="auto"/>
          <w:kern w:val="0"/>
          <w:sz w:val="24"/>
          <w:szCs w:val="24"/>
          <w:highlight w:val="yellow"/>
          <w:lang w:val="en-US" w:eastAsia="zh-CN" w:bidi="ar-SA"/>
        </w:rPr>
      </w:pPr>
    </w:p>
    <w:p>
      <w:pPr>
        <w:pStyle w:val="112"/>
        <w:spacing w:line="360" w:lineRule="auto"/>
        <w:rPr>
          <w:rFonts w:ascii="宋体" w:hAnsi="宋体" w:cs="宋体"/>
          <w:color w:val="auto"/>
          <w:highlight w:val="none"/>
        </w:rPr>
      </w:pPr>
      <w:r>
        <w:rPr>
          <w:rFonts w:hint="eastAsia" w:ascii="宋体" w:hAnsi="宋体" w:cs="宋体"/>
          <w:color w:val="auto"/>
          <w:highlight w:val="none"/>
        </w:rPr>
        <w:t>四、执行标准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7.涉及的主要标准表</w:t>
      </w:r>
    </w:p>
    <w:p>
      <w:pPr>
        <w:pStyle w:val="2"/>
        <w:rPr>
          <w:rFonts w:hAnsi="宋体" w:eastAsia="宋体" w:cs="宋体"/>
          <w:sz w:val="24"/>
          <w:szCs w:val="24"/>
          <w:highlight w:val="yellow"/>
        </w:rPr>
      </w:pPr>
    </w:p>
    <w:tbl>
      <w:tblPr>
        <w:tblStyle w:val="30"/>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352"/>
        <w:gridCol w:w="2318"/>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pPr>
              <w:jc w:val="center"/>
              <w:rPr>
                <w:rFonts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4352" w:type="dxa"/>
            <w:vAlign w:val="center"/>
          </w:tcPr>
          <w:p>
            <w:pPr>
              <w:jc w:val="center"/>
              <w:rPr>
                <w:rFonts w:ascii="宋体" w:hAnsi="宋体" w:eastAsia="宋体" w:cs="宋体"/>
                <w:b/>
                <w:sz w:val="24"/>
                <w:szCs w:val="24"/>
                <w:highlight w:val="none"/>
              </w:rPr>
            </w:pPr>
            <w:r>
              <w:rPr>
                <w:rFonts w:hint="eastAsia" w:ascii="宋体" w:hAnsi="宋体" w:eastAsia="宋体" w:cs="宋体"/>
                <w:b/>
                <w:sz w:val="24"/>
                <w:szCs w:val="24"/>
                <w:highlight w:val="none"/>
              </w:rPr>
              <w:t>标准名称</w:t>
            </w:r>
          </w:p>
        </w:tc>
        <w:tc>
          <w:tcPr>
            <w:tcW w:w="2318" w:type="dxa"/>
            <w:vAlign w:val="center"/>
          </w:tcPr>
          <w:p>
            <w:pPr>
              <w:jc w:val="center"/>
              <w:rPr>
                <w:rFonts w:ascii="宋体" w:hAnsi="宋体" w:eastAsia="宋体" w:cs="宋体"/>
                <w:b/>
                <w:sz w:val="24"/>
                <w:szCs w:val="24"/>
                <w:highlight w:val="none"/>
              </w:rPr>
            </w:pPr>
            <w:r>
              <w:rPr>
                <w:rFonts w:hint="eastAsia" w:ascii="宋体" w:hAnsi="宋体" w:eastAsia="宋体" w:cs="宋体"/>
                <w:b/>
                <w:sz w:val="24"/>
                <w:szCs w:val="24"/>
                <w:highlight w:val="none"/>
              </w:rPr>
              <w:t>标准编号</w:t>
            </w:r>
          </w:p>
        </w:tc>
        <w:tc>
          <w:tcPr>
            <w:tcW w:w="1665" w:type="dxa"/>
            <w:vAlign w:val="center"/>
          </w:tcPr>
          <w:p>
            <w:pPr>
              <w:jc w:val="center"/>
              <w:rPr>
                <w:rFonts w:ascii="宋体" w:hAnsi="宋体" w:eastAsia="宋体" w:cs="宋体"/>
                <w:b/>
                <w:sz w:val="24"/>
                <w:szCs w:val="24"/>
                <w:highlight w:val="none"/>
              </w:rPr>
            </w:pPr>
            <w:r>
              <w:rPr>
                <w:rFonts w:hint="eastAsia" w:ascii="宋体" w:hAnsi="宋体" w:eastAsia="宋体" w:cs="宋体"/>
                <w:b/>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4352" w:type="dxa"/>
            <w:shd w:val="clear" w:color="auto" w:fill="auto"/>
            <w:vAlign w:val="center"/>
          </w:tcPr>
          <w:p>
            <w:pPr>
              <w:spacing w:line="36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《钢结构工程施工及验收规范》</w:t>
            </w:r>
          </w:p>
        </w:tc>
        <w:tc>
          <w:tcPr>
            <w:tcW w:w="2318" w:type="dxa"/>
            <w:shd w:val="clear" w:color="auto" w:fill="auto"/>
            <w:vAlign w:val="center"/>
          </w:tcPr>
          <w:p>
            <w:pPr>
              <w:pStyle w:val="13"/>
              <w:tabs>
                <w:tab w:val="left" w:pos="105"/>
                <w:tab w:val="left" w:pos="315"/>
              </w:tabs>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GB50205-2001</w:t>
            </w:r>
          </w:p>
        </w:tc>
        <w:tc>
          <w:tcPr>
            <w:tcW w:w="1665" w:type="dxa"/>
            <w:vAlign w:val="center"/>
          </w:tcPr>
          <w:p>
            <w:pPr>
              <w:spacing w:line="360" w:lineRule="auto"/>
              <w:jc w:val="center"/>
              <w:rPr>
                <w:rFonts w:ascii="宋体" w:hAnsi="宋体" w:eastAsia="宋体" w:cs="宋体"/>
                <w:bCs/>
                <w:sz w:val="24"/>
                <w:szCs w:val="24"/>
                <w:highlight w:val="none"/>
              </w:rPr>
            </w:pPr>
            <w:r>
              <w:rPr>
                <w:rFonts w:hint="eastAsia" w:ascii="宋体" w:hAnsi="宋体" w:eastAsia="宋体" w:cs="宋体"/>
                <w:sz w:val="24"/>
                <w:szCs w:val="24"/>
                <w:highlight w:val="none"/>
                <w:lang w:val="en-US"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4352"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lang w:eastAsia="zh-CN"/>
              </w:rPr>
              <w:t>《</w:t>
            </w:r>
            <w:r>
              <w:rPr>
                <w:rFonts w:hint="eastAsia" w:ascii="宋体" w:hAnsi="宋体" w:eastAsia="宋体" w:cs="宋体"/>
                <w:sz w:val="24"/>
                <w:highlight w:val="none"/>
              </w:rPr>
              <w:t>机械设备防护罩安全要求</w:t>
            </w:r>
            <w:r>
              <w:rPr>
                <w:rFonts w:hint="eastAsia" w:ascii="宋体" w:hAnsi="宋体" w:eastAsia="宋体" w:cs="宋体"/>
                <w:sz w:val="24"/>
                <w:highlight w:val="none"/>
                <w:lang w:eastAsia="zh-CN"/>
              </w:rPr>
              <w:t>》</w:t>
            </w:r>
          </w:p>
        </w:tc>
        <w:tc>
          <w:tcPr>
            <w:tcW w:w="2318"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GB15741-2008</w:t>
            </w:r>
          </w:p>
        </w:tc>
        <w:tc>
          <w:tcPr>
            <w:tcW w:w="1665" w:type="dxa"/>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4352" w:type="dxa"/>
            <w:shd w:val="clear" w:color="auto" w:fill="auto"/>
            <w:vAlign w:val="center"/>
          </w:tcPr>
          <w:p>
            <w:pPr>
              <w:spacing w:line="360" w:lineRule="auto"/>
              <w:jc w:val="center"/>
              <w:rPr>
                <w:rFonts w:hint="default"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w:t>
            </w:r>
            <w:r>
              <w:rPr>
                <w:rFonts w:hint="eastAsia" w:ascii="宋体" w:hAnsi="宋体" w:eastAsia="宋体" w:cs="宋体"/>
                <w:sz w:val="24"/>
                <w:highlight w:val="none"/>
              </w:rPr>
              <w:t>联锁装置要求</w:t>
            </w:r>
            <w:r>
              <w:rPr>
                <w:rFonts w:hint="eastAsia" w:ascii="宋体" w:hAnsi="宋体" w:eastAsia="宋体" w:cs="宋体"/>
                <w:kern w:val="2"/>
                <w:sz w:val="24"/>
                <w:szCs w:val="22"/>
                <w:highlight w:val="none"/>
                <w:lang w:val="en-US" w:eastAsia="zh-CN" w:bidi="ar-SA"/>
              </w:rPr>
              <w:t>》</w:t>
            </w:r>
          </w:p>
        </w:tc>
        <w:tc>
          <w:tcPr>
            <w:tcW w:w="2318"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ascii="宋体" w:hAnsi="宋体" w:eastAsia="宋体" w:cs="宋体"/>
                <w:sz w:val="24"/>
                <w:highlight w:val="none"/>
              </w:rPr>
              <w:t>GB/T 41108</w:t>
            </w:r>
          </w:p>
        </w:tc>
        <w:tc>
          <w:tcPr>
            <w:tcW w:w="1665" w:type="dxa"/>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4352"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w:t>
            </w:r>
            <w:r>
              <w:rPr>
                <w:rFonts w:ascii="宋体" w:hAnsi="宋体" w:eastAsia="宋体" w:cs="宋体"/>
                <w:sz w:val="24"/>
                <w:highlight w:val="none"/>
              </w:rPr>
              <w:t>防护锁定装置</w:t>
            </w:r>
            <w:r>
              <w:rPr>
                <w:rFonts w:hint="eastAsia" w:ascii="宋体" w:hAnsi="宋体" w:eastAsia="宋体" w:cs="宋体"/>
                <w:kern w:val="2"/>
                <w:sz w:val="24"/>
                <w:szCs w:val="22"/>
                <w:highlight w:val="none"/>
                <w:lang w:val="en-US" w:eastAsia="zh-CN" w:bidi="ar-SA"/>
              </w:rPr>
              <w:t>》</w:t>
            </w:r>
          </w:p>
        </w:tc>
        <w:tc>
          <w:tcPr>
            <w:tcW w:w="2318"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ascii="宋体" w:hAnsi="宋体" w:eastAsia="宋体" w:cs="宋体"/>
                <w:sz w:val="24"/>
                <w:highlight w:val="none"/>
              </w:rPr>
              <w:t>GB/T 18831-2017</w:t>
            </w:r>
          </w:p>
        </w:tc>
        <w:tc>
          <w:tcPr>
            <w:tcW w:w="1665" w:type="dxa"/>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4352"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w:t>
            </w:r>
            <w:r>
              <w:rPr>
                <w:rFonts w:hint="eastAsia" w:ascii="宋体" w:hAnsi="宋体" w:eastAsia="宋体" w:cs="宋体"/>
                <w:sz w:val="24"/>
                <w:highlight w:val="none"/>
              </w:rPr>
              <w:t>机械安全设计通则</w:t>
            </w:r>
            <w:r>
              <w:rPr>
                <w:rFonts w:hint="eastAsia" w:ascii="宋体" w:hAnsi="宋体" w:eastAsia="宋体" w:cs="宋体"/>
                <w:kern w:val="2"/>
                <w:sz w:val="24"/>
                <w:szCs w:val="22"/>
                <w:highlight w:val="none"/>
                <w:lang w:val="en-US" w:eastAsia="zh-CN" w:bidi="ar-SA"/>
              </w:rPr>
              <w:t>》</w:t>
            </w:r>
          </w:p>
        </w:tc>
        <w:tc>
          <w:tcPr>
            <w:tcW w:w="2318"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ascii="宋体" w:hAnsi="宋体" w:eastAsia="宋体" w:cs="宋体"/>
                <w:sz w:val="24"/>
                <w:highlight w:val="none"/>
              </w:rPr>
              <w:t>GB/T 15706-2012</w:t>
            </w:r>
          </w:p>
        </w:tc>
        <w:tc>
          <w:tcPr>
            <w:tcW w:w="1665" w:type="dxa"/>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w:t>
            </w:r>
          </w:p>
        </w:tc>
        <w:tc>
          <w:tcPr>
            <w:tcW w:w="4352"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w:t>
            </w:r>
            <w:r>
              <w:rPr>
                <w:rFonts w:hint="eastAsia" w:ascii="宋体" w:hAnsi="宋体" w:eastAsia="宋体" w:cs="宋体"/>
                <w:sz w:val="24"/>
                <w:highlight w:val="none"/>
              </w:rPr>
              <w:t>工业机械电气设备通用技术条件</w:t>
            </w:r>
            <w:r>
              <w:rPr>
                <w:rFonts w:hint="eastAsia" w:ascii="宋体" w:hAnsi="宋体" w:eastAsia="宋体" w:cs="宋体"/>
                <w:kern w:val="2"/>
                <w:sz w:val="24"/>
                <w:szCs w:val="22"/>
                <w:highlight w:val="none"/>
                <w:lang w:val="en-US" w:eastAsia="zh-CN" w:bidi="ar-SA"/>
              </w:rPr>
              <w:t>》</w:t>
            </w:r>
          </w:p>
        </w:tc>
        <w:tc>
          <w:tcPr>
            <w:tcW w:w="2318" w:type="dxa"/>
            <w:shd w:val="clear" w:color="auto" w:fill="auto"/>
            <w:vAlign w:val="center"/>
          </w:tcPr>
          <w:p>
            <w:pPr>
              <w:spacing w:line="360" w:lineRule="auto"/>
              <w:jc w:val="center"/>
              <w:rPr>
                <w:rFonts w:ascii="宋体" w:hAnsi="宋体" w:eastAsia="宋体" w:cs="宋体"/>
                <w:kern w:val="2"/>
                <w:sz w:val="24"/>
                <w:szCs w:val="22"/>
                <w:highlight w:val="none"/>
                <w:lang w:val="en-US" w:eastAsia="zh-CN" w:bidi="ar-SA"/>
              </w:rPr>
            </w:pPr>
            <w:r>
              <w:rPr>
                <w:rFonts w:hint="eastAsia" w:ascii="宋体" w:hAnsi="宋体" w:eastAsia="宋体" w:cs="宋体"/>
                <w:sz w:val="24"/>
                <w:highlight w:val="none"/>
              </w:rPr>
              <w:t>GB/T522611-96</w:t>
            </w:r>
          </w:p>
        </w:tc>
        <w:tc>
          <w:tcPr>
            <w:tcW w:w="1665" w:type="dxa"/>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pPr>
              <w:spacing w:line="360" w:lineRule="auto"/>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7</w:t>
            </w:r>
          </w:p>
        </w:tc>
        <w:tc>
          <w:tcPr>
            <w:tcW w:w="4352"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w:t>
            </w:r>
            <w:r>
              <w:rPr>
                <w:rFonts w:hint="eastAsia" w:ascii="宋体" w:hAnsi="宋体" w:eastAsia="宋体" w:cs="宋体"/>
                <w:sz w:val="24"/>
                <w:highlight w:val="none"/>
              </w:rPr>
              <w:t>低压配电设计规范</w:t>
            </w:r>
            <w:r>
              <w:rPr>
                <w:rFonts w:hint="eastAsia" w:ascii="宋体" w:hAnsi="宋体" w:eastAsia="宋体" w:cs="宋体"/>
                <w:kern w:val="2"/>
                <w:sz w:val="24"/>
                <w:szCs w:val="22"/>
                <w:highlight w:val="none"/>
                <w:lang w:val="en-US" w:eastAsia="zh-CN" w:bidi="ar-SA"/>
              </w:rPr>
              <w:t>》</w:t>
            </w:r>
          </w:p>
        </w:tc>
        <w:tc>
          <w:tcPr>
            <w:tcW w:w="2318" w:type="dxa"/>
            <w:shd w:val="clear" w:color="auto" w:fill="auto"/>
            <w:vAlign w:val="center"/>
          </w:tcPr>
          <w:p>
            <w:pPr>
              <w:spacing w:line="360" w:lineRule="auto"/>
              <w:jc w:val="center"/>
              <w:rPr>
                <w:rFonts w:ascii="宋体" w:hAnsi="宋体" w:eastAsia="宋体" w:cs="宋体"/>
                <w:kern w:val="2"/>
                <w:sz w:val="24"/>
                <w:szCs w:val="22"/>
                <w:highlight w:val="none"/>
                <w:lang w:val="en-US" w:eastAsia="zh-CN" w:bidi="ar-SA"/>
              </w:rPr>
            </w:pPr>
            <w:r>
              <w:rPr>
                <w:rFonts w:hint="eastAsia" w:ascii="宋体" w:hAnsi="宋体" w:eastAsia="宋体" w:cs="宋体"/>
                <w:sz w:val="24"/>
                <w:highlight w:val="none"/>
              </w:rPr>
              <w:t>GB50054-95</w:t>
            </w:r>
          </w:p>
        </w:tc>
        <w:tc>
          <w:tcPr>
            <w:tcW w:w="1665" w:type="dxa"/>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买方确认</w:t>
            </w:r>
          </w:p>
        </w:tc>
      </w:tr>
    </w:tbl>
    <w:p>
      <w:pPr>
        <w:keepNext/>
        <w:keepLines/>
        <w:jc w:val="center"/>
        <w:outlineLvl w:val="9"/>
        <w:rPr>
          <w:rFonts w:ascii="Calibri" w:hAnsi="Calibri" w:eastAsia="宋体" w:cs="Times New Roman"/>
          <w:b/>
          <w:bCs/>
          <w:kern w:val="44"/>
          <w:sz w:val="28"/>
          <w:szCs w:val="28"/>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7"/>
    </w:p>
    <w:p/>
    <w:p>
      <w:pPr>
        <w:keepNext/>
        <w:keepLines/>
        <w:spacing w:line="360" w:lineRule="auto"/>
        <w:jc w:val="center"/>
        <w:outlineLvl w:val="2"/>
        <w:rPr>
          <w:rFonts w:ascii="宋体" w:hAnsi="宋体" w:eastAsia="宋体" w:cs="宋体"/>
          <w:b/>
          <w:bCs/>
          <w:sz w:val="24"/>
          <w:szCs w:val="32"/>
        </w:rPr>
      </w:pPr>
      <w:bookmarkStart w:id="29" w:name="_Toc169605882"/>
      <w:r>
        <w:rPr>
          <w:rFonts w:hint="eastAsia" w:ascii="宋体" w:hAnsi="宋体" w:eastAsia="宋体" w:cs="宋体"/>
          <w:b/>
          <w:bCs/>
          <w:sz w:val="24"/>
          <w:szCs w:val="32"/>
        </w:rPr>
        <w:t>第一节  供货范围</w:t>
      </w:r>
      <w:bookmarkEnd w:id="29"/>
    </w:p>
    <w:p>
      <w:pPr>
        <w:spacing w:line="420" w:lineRule="exact"/>
        <w:ind w:firstLine="482" w:firstLineChars="200"/>
        <w:outlineLvl w:val="3"/>
        <w:rPr>
          <w:rFonts w:hint="eastAsia" w:ascii="宋体" w:hAnsi="宋体" w:eastAsia="宋体" w:cs="宋体"/>
          <w:b/>
          <w:bCs/>
          <w:color w:val="auto"/>
          <w:sz w:val="24"/>
          <w:szCs w:val="24"/>
          <w:highlight w:val="none"/>
        </w:rPr>
      </w:pPr>
      <w:r>
        <w:rPr>
          <w:rFonts w:hint="eastAsia" w:ascii="宋体" w:hAnsi="宋体" w:eastAsia="宋体" w:cs="宋体"/>
          <w:b/>
          <w:bCs/>
          <w:sz w:val="24"/>
          <w:szCs w:val="24"/>
        </w:rPr>
        <w:t>一、</w:t>
      </w:r>
      <w:r>
        <w:rPr>
          <w:rFonts w:hint="eastAsia" w:ascii="宋体" w:hAnsi="宋体" w:eastAsia="宋体" w:cs="宋体"/>
          <w:b/>
          <w:bCs/>
          <w:color w:val="auto"/>
          <w:sz w:val="24"/>
          <w:szCs w:val="24"/>
          <w:highlight w:val="none"/>
        </w:rPr>
        <w:t>供货范围（按照组成项目主要构成一览表的所有最小单元逐一列示，要涵盖培训等内容）</w:t>
      </w:r>
    </w:p>
    <w:tbl>
      <w:tblPr>
        <w:tblStyle w:val="3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552"/>
        <w:gridCol w:w="709"/>
        <w:gridCol w:w="708"/>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552"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09"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708"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3969"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552"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铸一振动落砂机更新（6100*1580*650mm）</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spacing w:line="0" w:lineRule="atLeast"/>
              <w:jc w:val="center"/>
              <w:rPr>
                <w:rFonts w:hint="eastAsia" w:ascii="宋体" w:hAnsi="宋体" w:eastAsia="宋体" w:cs="宋体"/>
                <w:sz w:val="24"/>
                <w:szCs w:val="24"/>
              </w:rPr>
            </w:pPr>
            <w:r>
              <w:rPr>
                <w:rFonts w:hint="eastAsia" w:ascii="宋体" w:hAnsi="宋体" w:eastAsia="宋体" w:cs="宋体"/>
                <w:kern w:val="1"/>
                <w:sz w:val="24"/>
                <w:szCs w:val="24"/>
              </w:rPr>
              <w:t>1</w:t>
            </w:r>
          </w:p>
        </w:tc>
        <w:tc>
          <w:tcPr>
            <w:tcW w:w="3969" w:type="dxa"/>
            <w:shd w:val="clear" w:color="auto" w:fill="auto"/>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采用分离拖动上激振方式，主要</w:t>
            </w:r>
            <w:r>
              <w:rPr>
                <w:rFonts w:hint="eastAsia" w:ascii="宋体" w:hAnsi="宋体" w:eastAsia="宋体" w:cs="宋体"/>
                <w:kern w:val="0"/>
                <w:sz w:val="24"/>
                <w:szCs w:val="24"/>
              </w:rPr>
              <w:t>由机体、支腿、弹簧、栅格板、激振装置等组成。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机体</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件</w:t>
            </w:r>
          </w:p>
        </w:tc>
        <w:tc>
          <w:tcPr>
            <w:tcW w:w="708" w:type="dxa"/>
            <w:vAlign w:val="center"/>
          </w:tcPr>
          <w:p>
            <w:pPr>
              <w:spacing w:line="0" w:lineRule="atLeast"/>
              <w:jc w:val="center"/>
              <w:rPr>
                <w:rFonts w:hint="eastAsia" w:ascii="宋体" w:hAnsi="宋体" w:eastAsia="宋体" w:cs="宋体"/>
                <w:kern w:val="1"/>
                <w:sz w:val="24"/>
                <w:szCs w:val="24"/>
              </w:rPr>
            </w:pPr>
            <w:r>
              <w:rPr>
                <w:rFonts w:hint="eastAsia" w:ascii="宋体" w:hAnsi="宋体" w:eastAsia="宋体" w:cs="宋体"/>
                <w:kern w:val="1"/>
                <w:sz w:val="24"/>
                <w:szCs w:val="24"/>
              </w:rPr>
              <w:t>1</w:t>
            </w:r>
          </w:p>
        </w:tc>
        <w:tc>
          <w:tcPr>
            <w:tcW w:w="3969" w:type="dxa"/>
            <w:shd w:val="clear" w:color="auto" w:fill="auto"/>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采用焊接结构，主要材料采用Q235B/Q245R，焊后时效处理。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支腿</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件</w:t>
            </w:r>
          </w:p>
        </w:tc>
        <w:tc>
          <w:tcPr>
            <w:tcW w:w="708" w:type="dxa"/>
            <w:vAlign w:val="center"/>
          </w:tcPr>
          <w:p>
            <w:pPr>
              <w:spacing w:line="0" w:lineRule="atLeast"/>
              <w:jc w:val="center"/>
              <w:rPr>
                <w:rFonts w:hint="eastAsia" w:ascii="宋体" w:hAnsi="宋体" w:eastAsia="宋体" w:cs="宋体"/>
                <w:kern w:val="1"/>
                <w:sz w:val="24"/>
                <w:szCs w:val="24"/>
              </w:rPr>
            </w:pPr>
            <w:r>
              <w:rPr>
                <w:rFonts w:hint="eastAsia" w:ascii="宋体" w:hAnsi="宋体" w:eastAsia="宋体" w:cs="宋体"/>
                <w:kern w:val="1"/>
                <w:sz w:val="24"/>
                <w:szCs w:val="24"/>
              </w:rPr>
              <w:t>4</w:t>
            </w:r>
          </w:p>
        </w:tc>
        <w:tc>
          <w:tcPr>
            <w:tcW w:w="3969" w:type="dxa"/>
            <w:shd w:val="clear" w:color="auto" w:fill="auto"/>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采用Q235B优质碳素结构钢焊接。含机体支腿和电机支腿。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1.3</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弹簧</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件</w:t>
            </w:r>
          </w:p>
        </w:tc>
        <w:tc>
          <w:tcPr>
            <w:tcW w:w="708" w:type="dxa"/>
            <w:vAlign w:val="center"/>
          </w:tcPr>
          <w:p>
            <w:pPr>
              <w:spacing w:line="0" w:lineRule="atLeast"/>
              <w:jc w:val="center"/>
              <w:rPr>
                <w:rFonts w:hint="eastAsia" w:ascii="宋体" w:hAnsi="宋体" w:eastAsia="宋体" w:cs="宋体"/>
                <w:kern w:val="1"/>
                <w:sz w:val="24"/>
                <w:szCs w:val="24"/>
              </w:rPr>
            </w:pPr>
            <w:r>
              <w:rPr>
                <w:rFonts w:hint="eastAsia" w:ascii="宋体" w:hAnsi="宋体" w:eastAsia="宋体" w:cs="宋体"/>
                <w:kern w:val="1"/>
                <w:sz w:val="24"/>
                <w:szCs w:val="24"/>
              </w:rPr>
              <w:t>20</w:t>
            </w:r>
          </w:p>
        </w:tc>
        <w:tc>
          <w:tcPr>
            <w:tcW w:w="3969" w:type="dxa"/>
            <w:shd w:val="clear" w:color="auto" w:fill="auto"/>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采用金属螺旋弹簧，材质60Si2MnA。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1.4</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栅格板及压板</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spacing w:line="0" w:lineRule="atLeast"/>
              <w:jc w:val="center"/>
              <w:rPr>
                <w:rFonts w:hint="eastAsia" w:ascii="宋体" w:hAnsi="宋体" w:eastAsia="宋体" w:cs="宋体"/>
                <w:kern w:val="1"/>
                <w:sz w:val="24"/>
                <w:szCs w:val="24"/>
              </w:rPr>
            </w:pPr>
            <w:r>
              <w:rPr>
                <w:rFonts w:hint="eastAsia" w:ascii="宋体" w:hAnsi="宋体" w:eastAsia="宋体" w:cs="宋体"/>
                <w:kern w:val="1"/>
                <w:sz w:val="24"/>
                <w:szCs w:val="24"/>
              </w:rPr>
              <w:t>1</w:t>
            </w:r>
          </w:p>
        </w:tc>
        <w:tc>
          <w:tcPr>
            <w:tcW w:w="3969" w:type="dxa"/>
            <w:shd w:val="clear" w:color="auto" w:fill="auto"/>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栅格面板采用NM400材质，压板采用45淬火。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激振装置</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spacing w:line="0" w:lineRule="atLeast"/>
              <w:jc w:val="center"/>
              <w:rPr>
                <w:rFonts w:hint="eastAsia" w:ascii="宋体" w:hAnsi="宋体" w:eastAsia="宋体" w:cs="宋体"/>
                <w:kern w:val="1"/>
                <w:sz w:val="24"/>
                <w:szCs w:val="24"/>
              </w:rPr>
            </w:pPr>
            <w:r>
              <w:rPr>
                <w:rFonts w:hint="eastAsia" w:ascii="宋体" w:hAnsi="宋体" w:eastAsia="宋体" w:cs="宋体"/>
                <w:kern w:val="1"/>
                <w:sz w:val="24"/>
                <w:szCs w:val="24"/>
              </w:rPr>
              <w:t>1</w:t>
            </w:r>
          </w:p>
        </w:tc>
        <w:tc>
          <w:tcPr>
            <w:tcW w:w="3969" w:type="dxa"/>
            <w:shd w:val="clear" w:color="auto" w:fill="auto"/>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1.5.1</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激振器T80160-6B</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台</w:t>
            </w:r>
          </w:p>
        </w:tc>
        <w:tc>
          <w:tcPr>
            <w:tcW w:w="708" w:type="dxa"/>
            <w:vAlign w:val="center"/>
          </w:tcPr>
          <w:p>
            <w:pPr>
              <w:spacing w:line="0" w:lineRule="atLeast"/>
              <w:jc w:val="center"/>
              <w:rPr>
                <w:rFonts w:hint="eastAsia" w:ascii="宋体" w:hAnsi="宋体" w:eastAsia="宋体" w:cs="宋体"/>
                <w:kern w:val="1"/>
                <w:sz w:val="24"/>
                <w:szCs w:val="24"/>
              </w:rPr>
            </w:pPr>
            <w:r>
              <w:rPr>
                <w:rFonts w:hint="eastAsia" w:ascii="宋体" w:hAnsi="宋体" w:eastAsia="宋体" w:cs="宋体"/>
                <w:kern w:val="1"/>
                <w:sz w:val="24"/>
                <w:szCs w:val="24"/>
              </w:rPr>
              <w:t>2</w:t>
            </w:r>
          </w:p>
        </w:tc>
        <w:tc>
          <w:tcPr>
            <w:tcW w:w="3969" w:type="dxa"/>
            <w:shd w:val="clear" w:color="auto" w:fill="auto"/>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采用</w:t>
            </w:r>
            <w:r>
              <w:rPr>
                <w:rFonts w:hint="eastAsia" w:ascii="宋体" w:hAnsi="宋体" w:eastAsia="宋体" w:cs="宋体"/>
                <w:sz w:val="24"/>
                <w:szCs w:val="24"/>
                <w:lang w:val="en-US" w:eastAsia="zh-CN"/>
              </w:rPr>
              <w:t>哈瓦洛</w:t>
            </w:r>
            <w:r>
              <w:rPr>
                <w:rFonts w:hint="eastAsia" w:ascii="宋体" w:hAnsi="宋体" w:eastAsia="宋体" w:cs="宋体"/>
                <w:sz w:val="24"/>
                <w:szCs w:val="24"/>
              </w:rPr>
              <w:t>耐震轴承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1.5.2</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传动轴</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件</w:t>
            </w:r>
          </w:p>
        </w:tc>
        <w:tc>
          <w:tcPr>
            <w:tcW w:w="708" w:type="dxa"/>
            <w:vAlign w:val="center"/>
          </w:tcPr>
          <w:p>
            <w:pPr>
              <w:spacing w:line="0" w:lineRule="atLeast"/>
              <w:jc w:val="center"/>
              <w:rPr>
                <w:rFonts w:hint="eastAsia" w:ascii="宋体" w:hAnsi="宋体" w:eastAsia="宋体" w:cs="宋体"/>
                <w:kern w:val="1"/>
                <w:sz w:val="24"/>
                <w:szCs w:val="24"/>
              </w:rPr>
            </w:pPr>
            <w:r>
              <w:rPr>
                <w:rFonts w:hint="eastAsia" w:ascii="宋体" w:hAnsi="宋体" w:eastAsia="宋体" w:cs="宋体"/>
                <w:kern w:val="1"/>
                <w:sz w:val="24"/>
                <w:szCs w:val="24"/>
              </w:rPr>
              <w:t>2</w:t>
            </w:r>
          </w:p>
        </w:tc>
        <w:tc>
          <w:tcPr>
            <w:tcW w:w="3969" w:type="dxa"/>
            <w:shd w:val="clear" w:color="auto" w:fill="auto"/>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非标定制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1.5.3</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电机</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台</w:t>
            </w:r>
          </w:p>
        </w:tc>
        <w:tc>
          <w:tcPr>
            <w:tcW w:w="708" w:type="dxa"/>
            <w:vAlign w:val="center"/>
          </w:tcPr>
          <w:p>
            <w:pPr>
              <w:spacing w:line="0" w:lineRule="atLeast"/>
              <w:jc w:val="center"/>
              <w:rPr>
                <w:rFonts w:hint="eastAsia" w:ascii="宋体" w:hAnsi="宋体" w:eastAsia="宋体" w:cs="宋体"/>
                <w:kern w:val="1"/>
                <w:sz w:val="24"/>
                <w:szCs w:val="24"/>
              </w:rPr>
            </w:pPr>
            <w:r>
              <w:rPr>
                <w:rFonts w:hint="eastAsia" w:ascii="宋体" w:hAnsi="宋体" w:eastAsia="宋体" w:cs="宋体"/>
                <w:kern w:val="1"/>
                <w:sz w:val="24"/>
                <w:szCs w:val="24"/>
              </w:rPr>
              <w:t>1</w:t>
            </w:r>
          </w:p>
        </w:tc>
        <w:tc>
          <w:tcPr>
            <w:tcW w:w="3969" w:type="dxa"/>
            <w:shd w:val="clear" w:color="auto" w:fill="auto"/>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lang w:val="en-US" w:eastAsia="zh-CN"/>
              </w:rPr>
              <w:t>皖南、华力、卧龙等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铸一振动输送槽更新</w:t>
            </w:r>
          </w:p>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（9300*1500*450mm）</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vAlign w:val="center"/>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采用平衡式双质体结构，主要由底座、槽体、支架、平衡质体、电机传动系统、偏心轴弹性驱动系统，以及驱动弹簧、共振弹簧、隔振弹簧、导向杆、机架等组成。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底座</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件</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vAlign w:val="center"/>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采用Q235B优质碳素结构钢焊接。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2.2</w:t>
            </w:r>
          </w:p>
        </w:tc>
        <w:tc>
          <w:tcPr>
            <w:tcW w:w="2552" w:type="dxa"/>
            <w:tcBorders>
              <w:top w:val="nil"/>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槽体</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件</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vAlign w:val="center"/>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采用≥16mmNM400折弯成型。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2.3</w:t>
            </w:r>
          </w:p>
        </w:tc>
        <w:tc>
          <w:tcPr>
            <w:tcW w:w="2552" w:type="dxa"/>
            <w:tcBorders>
              <w:top w:val="nil"/>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支架</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件</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vAlign w:val="center"/>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采用型钢焊接成型。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2.4</w:t>
            </w:r>
          </w:p>
        </w:tc>
        <w:tc>
          <w:tcPr>
            <w:tcW w:w="2552" w:type="dxa"/>
            <w:tcBorders>
              <w:top w:val="nil"/>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平衡质体</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件</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vAlign w:val="center"/>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采用Q235B优质碳素结构钢焊接。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2.5</w:t>
            </w:r>
          </w:p>
        </w:tc>
        <w:tc>
          <w:tcPr>
            <w:tcW w:w="2552" w:type="dxa"/>
            <w:tcBorders>
              <w:top w:val="nil"/>
              <w:left w:val="single" w:color="auto" w:sz="4" w:space="0"/>
              <w:bottom w:val="nil"/>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护罩、挡板等零散件</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vAlign w:val="center"/>
          </w:tcPr>
          <w:p>
            <w:pPr>
              <w:widowControl/>
              <w:jc w:val="left"/>
              <w:textAlignment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2.6</w:t>
            </w:r>
          </w:p>
        </w:tc>
        <w:tc>
          <w:tcPr>
            <w:tcW w:w="2552" w:type="dxa"/>
            <w:tcBorders>
              <w:top w:val="single" w:color="auto" w:sz="4" w:space="0"/>
              <w:left w:val="single" w:color="auto" w:sz="4" w:space="0"/>
              <w:bottom w:val="nil"/>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导向杆</w:t>
            </w:r>
          </w:p>
        </w:tc>
        <w:tc>
          <w:tcPr>
            <w:tcW w:w="70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vAlign w:val="center"/>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钢制，两端为橡胶铰链。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2.7</w:t>
            </w:r>
          </w:p>
        </w:tc>
        <w:tc>
          <w:tcPr>
            <w:tcW w:w="2552"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驱动系统</w:t>
            </w:r>
          </w:p>
        </w:tc>
        <w:tc>
          <w:tcPr>
            <w:tcW w:w="709"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vAlign w:val="center"/>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含电机、同步带系统、偏心轴、带座轴承、推力座等。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2.8</w:t>
            </w:r>
          </w:p>
        </w:tc>
        <w:tc>
          <w:tcPr>
            <w:tcW w:w="2552" w:type="dxa"/>
            <w:tcBorders>
              <w:top w:val="single" w:color="auto" w:sz="4" w:space="0"/>
              <w:left w:val="single" w:color="auto" w:sz="4" w:space="0"/>
              <w:bottom w:val="single" w:color="000000" w:sz="4" w:space="0"/>
              <w:right w:val="single" w:color="auto" w:sz="4" w:space="0"/>
            </w:tcBorders>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弹簧</w:t>
            </w:r>
          </w:p>
        </w:tc>
        <w:tc>
          <w:tcPr>
            <w:tcW w:w="709" w:type="dxa"/>
            <w:tcBorders>
              <w:top w:val="single" w:color="auto" w:sz="4" w:space="0"/>
              <w:left w:val="nil"/>
              <w:bottom w:val="single" w:color="auto" w:sz="4" w:space="0"/>
              <w:right w:val="nil"/>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含减振弹簧、共振弹簧、驱动弹簧，均为金属螺旋弹簧，材质60Si2MnA。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552" w:type="dxa"/>
            <w:tcBorders>
              <w:top w:val="nil"/>
              <w:left w:val="single" w:color="auto" w:sz="4" w:space="0"/>
              <w:bottom w:val="single" w:color="000000" w:sz="4" w:space="0"/>
              <w:right w:val="single" w:color="auto" w:sz="4" w:space="0"/>
            </w:tcBorders>
            <w:shd w:val="clear" w:color="auto" w:fill="auto"/>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铸二振动给料机更新（4420*1575/1930*610mm）</w:t>
            </w:r>
          </w:p>
        </w:tc>
        <w:tc>
          <w:tcPr>
            <w:tcW w:w="709" w:type="dxa"/>
            <w:tcBorders>
              <w:top w:val="single" w:color="auto" w:sz="4" w:space="0"/>
            </w:tcBorders>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8" w:type="dxa"/>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由给料支架、槽体、平衡质体、振动电机（招标方提供）、共振弹簧、隔振弹篢、弹簧支座、底架及止挡装置等组成。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3.1</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槽体</w:t>
            </w:r>
          </w:p>
        </w:tc>
        <w:tc>
          <w:tcPr>
            <w:tcW w:w="709" w:type="dxa"/>
            <w:tcBorders>
              <w:top w:val="single" w:color="auto" w:sz="4" w:space="0"/>
            </w:tcBorders>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件</w:t>
            </w:r>
          </w:p>
        </w:tc>
        <w:tc>
          <w:tcPr>
            <w:tcW w:w="708" w:type="dxa"/>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tcPr>
          <w:p>
            <w:pPr>
              <w:widowControl/>
              <w:jc w:val="left"/>
              <w:textAlignment w:val="center"/>
              <w:rPr>
                <w:rFonts w:hint="eastAsia"/>
              </w:rPr>
            </w:pPr>
            <w:r>
              <w:rPr>
                <w:rFonts w:hint="eastAsia" w:ascii="宋体" w:hAnsi="宋体" w:eastAsia="宋体" w:cs="宋体"/>
                <w:sz w:val="24"/>
                <w:szCs w:val="24"/>
              </w:rPr>
              <w:t>焊接结构，槽底板为≥20mm NM400板，侧板为≥16mm Q355B板。焊后退火。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3.2</w:t>
            </w:r>
          </w:p>
        </w:tc>
        <w:tc>
          <w:tcPr>
            <w:tcW w:w="2552" w:type="dxa"/>
            <w:tcBorders>
              <w:top w:val="nil"/>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支架</w:t>
            </w:r>
          </w:p>
        </w:tc>
        <w:tc>
          <w:tcPr>
            <w:tcW w:w="709" w:type="dxa"/>
            <w:tcBorders>
              <w:top w:val="single" w:color="auto" w:sz="4" w:space="0"/>
            </w:tcBorders>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件</w:t>
            </w:r>
          </w:p>
        </w:tc>
        <w:tc>
          <w:tcPr>
            <w:tcW w:w="708" w:type="dxa"/>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焊接结构，焊后退火。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3.3</w:t>
            </w:r>
          </w:p>
        </w:tc>
        <w:tc>
          <w:tcPr>
            <w:tcW w:w="2552" w:type="dxa"/>
            <w:tcBorders>
              <w:top w:val="nil"/>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平衡体</w:t>
            </w:r>
          </w:p>
        </w:tc>
        <w:tc>
          <w:tcPr>
            <w:tcW w:w="709" w:type="dxa"/>
            <w:tcBorders>
              <w:top w:val="single" w:color="auto" w:sz="4" w:space="0"/>
            </w:tcBorders>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件</w:t>
            </w:r>
          </w:p>
        </w:tc>
        <w:tc>
          <w:tcPr>
            <w:tcW w:w="708" w:type="dxa"/>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焊接结构，材质为Q235B，焊后退火。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3.4</w:t>
            </w:r>
          </w:p>
        </w:tc>
        <w:tc>
          <w:tcPr>
            <w:tcW w:w="2552" w:type="dxa"/>
            <w:tcBorders>
              <w:top w:val="nil"/>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底座</w:t>
            </w:r>
          </w:p>
        </w:tc>
        <w:tc>
          <w:tcPr>
            <w:tcW w:w="709" w:type="dxa"/>
            <w:tcBorders>
              <w:top w:val="single" w:color="auto" w:sz="4" w:space="0"/>
            </w:tcBorders>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件</w:t>
            </w:r>
          </w:p>
        </w:tc>
        <w:tc>
          <w:tcPr>
            <w:tcW w:w="708" w:type="dxa"/>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tcPr>
          <w:p>
            <w:pPr>
              <w:widowControl/>
              <w:jc w:val="left"/>
              <w:textAlignment w:val="center"/>
              <w:rPr>
                <w:rFonts w:hint="eastAsia" w:ascii="宋体" w:hAnsi="宋体" w:eastAsia="宋体" w:cs="宋体"/>
                <w:sz w:val="24"/>
                <w:szCs w:val="24"/>
              </w:rPr>
            </w:pPr>
            <w:r>
              <w:rPr>
                <w:rFonts w:hint="eastAsia" w:ascii="宋体" w:hAnsi="宋体" w:eastAsia="宋体" w:cs="宋体"/>
                <w:sz w:val="24"/>
                <w:szCs w:val="24"/>
              </w:rPr>
              <w:t>焊接装配结构，高度可调，带止挡装置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3.5</w:t>
            </w:r>
          </w:p>
        </w:tc>
        <w:tc>
          <w:tcPr>
            <w:tcW w:w="2552" w:type="dxa"/>
            <w:tcBorders>
              <w:top w:val="nil"/>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弹簧</w:t>
            </w:r>
          </w:p>
        </w:tc>
        <w:tc>
          <w:tcPr>
            <w:tcW w:w="709" w:type="dxa"/>
            <w:tcBorders>
              <w:top w:val="single" w:color="auto" w:sz="4" w:space="0"/>
            </w:tcBorders>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708" w:type="dxa"/>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含减振弹簧、共振弹簧，均为金属螺旋弹簧，材质60Si2MnA。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3.6</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槽体保温</w:t>
            </w:r>
          </w:p>
        </w:tc>
        <w:tc>
          <w:tcPr>
            <w:tcW w:w="709" w:type="dxa"/>
            <w:tcBorders>
              <w:top w:val="single" w:color="auto" w:sz="4" w:space="0"/>
            </w:tcBorders>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708" w:type="dxa"/>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shd w:val="clear" w:color="auto" w:fill="auto"/>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底面、侧面保温，保温层厚度≥60mm。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2552" w:type="dxa"/>
            <w:tcBorders>
              <w:top w:val="single" w:color="auto" w:sz="4" w:space="0"/>
              <w:left w:val="single" w:color="auto" w:sz="4" w:space="0"/>
              <w:bottom w:val="single" w:color="000000" w:sz="4" w:space="0"/>
              <w:right w:val="single" w:color="auto" w:sz="4" w:space="0"/>
            </w:tcBorders>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安装、调试</w:t>
            </w:r>
          </w:p>
        </w:tc>
        <w:tc>
          <w:tcPr>
            <w:tcW w:w="709" w:type="dxa"/>
            <w:tcBorders>
              <w:top w:val="nil"/>
              <w:left w:val="nil"/>
              <w:bottom w:val="nil"/>
              <w:right w:val="nil"/>
            </w:tcBorders>
            <w:shd w:val="clear" w:color="auto" w:fill="auto"/>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旧设备</w:t>
            </w:r>
            <w:r>
              <w:rPr>
                <w:rFonts w:hint="eastAsia" w:ascii="宋体" w:hAnsi="宋体" w:eastAsia="宋体" w:cs="宋体"/>
                <w:sz w:val="24"/>
                <w:szCs w:val="24"/>
                <w:lang w:val="en-US" w:eastAsia="zh-CN"/>
              </w:rPr>
              <w:t>保护性</w:t>
            </w:r>
            <w:r>
              <w:rPr>
                <w:rFonts w:hint="eastAsia" w:ascii="宋体" w:hAnsi="宋体" w:eastAsia="宋体" w:cs="宋体"/>
                <w:sz w:val="24"/>
                <w:szCs w:val="24"/>
              </w:rPr>
              <w:t>拆除、新设备安装、调试、原设备线路及原除尘系统恢复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运输</w:t>
            </w:r>
          </w:p>
        </w:tc>
        <w:tc>
          <w:tcPr>
            <w:tcW w:w="709"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宗</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新设备运输及旧设备厂内物流运输；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2552"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试运行服务</w:t>
            </w:r>
          </w:p>
        </w:tc>
        <w:tc>
          <w:tcPr>
            <w:tcW w:w="709"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宗</w:t>
            </w:r>
          </w:p>
        </w:tc>
        <w:tc>
          <w:tcPr>
            <w:tcW w:w="708" w:type="dxa"/>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969" w:type="dxa"/>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中标单位在招标方现场连续跟踪至少5个工作日，确保设备运行正常</w:t>
            </w:r>
          </w:p>
        </w:tc>
      </w:tr>
    </w:tbl>
    <w:p>
      <w:pPr>
        <w:spacing w:line="420" w:lineRule="exact"/>
        <w:ind w:firstLine="482" w:firstLineChars="200"/>
        <w:outlineLvl w:val="9"/>
        <w:rPr>
          <w:rFonts w:hint="eastAsia" w:ascii="宋体" w:hAnsi="宋体" w:eastAsia="宋体" w:cs="宋体"/>
          <w:b/>
          <w:bCs/>
          <w:color w:val="auto"/>
          <w:sz w:val="24"/>
          <w:szCs w:val="24"/>
          <w:highlight w:val="none"/>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outlineLvl w:val="9"/>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15 </w:t>
      </w:r>
      <w:r>
        <w:rPr>
          <w:rFonts w:hint="eastAsia" w:ascii="宋体" w:hAnsi="宋体" w:eastAsia="宋体" w:cs="宋体"/>
          <w:bCs/>
          <w:sz w:val="24"/>
          <w:szCs w:val="24"/>
          <w:highlight w:val="none"/>
        </w:rPr>
        <w:t>个日历日内，提供货物基础及相关的设计、制作所需的纸质及</w:t>
      </w:r>
      <w:r>
        <w:rPr>
          <w:rFonts w:hint="eastAsia" w:ascii="宋体" w:hAnsi="宋体" w:eastAsia="宋体" w:cs="宋体"/>
          <w:bCs/>
          <w:sz w:val="24"/>
          <w:szCs w:val="24"/>
        </w:rPr>
        <w:t>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0" w:name="_Toc169605883"/>
    </w:p>
    <w:p>
      <w:pPr>
        <w:pStyle w:val="2"/>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0"/>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章丘区世纪大道6677号济南成型厂</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60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highlight w:val="yellow"/>
        </w:rPr>
        <w:t>2.接续</w:t>
      </w:r>
      <w:r>
        <w:rPr>
          <w:rFonts w:hint="eastAsia" w:ascii="宋体" w:hAnsi="宋体" w:eastAsia="宋体" w:cs="宋体"/>
          <w:sz w:val="24"/>
          <w:highlight w:val="yellow"/>
          <w:lang w:val="en-US" w:eastAsia="zh-CN"/>
        </w:rPr>
        <w:t>20</w:t>
      </w:r>
      <w:r>
        <w:rPr>
          <w:rFonts w:hint="eastAsia" w:ascii="宋体" w:hAnsi="宋体" w:eastAsia="宋体" w:cs="宋体"/>
          <w:sz w:val="24"/>
          <w:highlight w:val="yellow"/>
        </w:rPr>
        <w:t>个日历日之内完成安装调试或根据招标方要求分段实施。</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31"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1"/>
    </w:p>
    <w:p>
      <w:pPr>
        <w:pStyle w:val="112"/>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2"/>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2"/>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2"/>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2"/>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32" w:name="_Toc465187646"/>
      <w:r>
        <w:rPr>
          <w:rFonts w:hint="eastAsia" w:ascii="Calibri" w:hAnsi="Calibri" w:eastAsia="宋体" w:cs="Times New Roman"/>
          <w:b/>
          <w:bCs/>
          <w:kern w:val="44"/>
          <w:sz w:val="28"/>
          <w:szCs w:val="28"/>
        </w:rPr>
        <w:t>第五章  预验收和终验收</w:t>
      </w:r>
      <w:bookmarkEnd w:id="32"/>
    </w:p>
    <w:p>
      <w:pPr>
        <w:pStyle w:val="112"/>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2"/>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2"/>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pPr>
        <w:pStyle w:val="2"/>
        <w:spacing w:line="360" w:lineRule="auto"/>
      </w:pPr>
    </w:p>
    <w:p>
      <w:pPr>
        <w:pStyle w:val="114"/>
        <w:spacing w:line="360" w:lineRule="auto"/>
        <w:outlineLvl w:val="1"/>
        <w:rPr>
          <w:rFonts w:eastAsia="宋体"/>
          <w:b/>
          <w:bCs w:val="0"/>
          <w:iCs/>
          <w:color w:val="auto"/>
          <w:sz w:val="28"/>
        </w:rPr>
      </w:pPr>
      <w:bookmarkStart w:id="33" w:name="_Toc465187647"/>
      <w:r>
        <w:rPr>
          <w:rFonts w:eastAsia="宋体"/>
          <w:b/>
          <w:bCs w:val="0"/>
          <w:iCs/>
          <w:color w:val="auto"/>
          <w:sz w:val="28"/>
        </w:rPr>
        <w:t>第六章  投标技术文件一般要求</w:t>
      </w:r>
      <w:bookmarkEnd w:id="33"/>
    </w:p>
    <w:p>
      <w:pPr>
        <w:pStyle w:val="112"/>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0"/>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2"/>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2"/>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9" w:type="first"/>
          <w:headerReference r:id="rId7" w:type="default"/>
          <w:footerReference r:id="rId8" w:type="default"/>
          <w:pgSz w:w="11906" w:h="16838"/>
          <w:pgMar w:top="1588" w:right="1418" w:bottom="1134" w:left="1418" w:header="851" w:footer="992" w:gutter="0"/>
          <w:pgNumType w:fmt="numberInDash"/>
          <w:cols w:space="720" w:num="1"/>
          <w:titlePg/>
          <w:docGrid w:linePitch="312" w:charSpace="0"/>
        </w:sectPr>
      </w:pPr>
      <w:bookmarkStart w:id="34" w:name="_Toc465187648"/>
    </w:p>
    <w:p>
      <w:pPr>
        <w:pStyle w:val="114"/>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34"/>
    </w:p>
    <w:p>
      <w:pPr>
        <w:pStyle w:val="112"/>
        <w:spacing w:line="360" w:lineRule="auto"/>
        <w:rPr>
          <w:rFonts w:ascii="宋体" w:hAnsi="宋体" w:cs="宋体"/>
          <w:color w:val="auto"/>
        </w:rPr>
      </w:pPr>
      <w:r>
        <w:rPr>
          <w:rFonts w:hint="eastAsia" w:ascii="宋体" w:hAnsi="宋体" w:cs="宋体"/>
          <w:color w:val="auto"/>
        </w:rPr>
        <w:t>一、要求</w:t>
      </w:r>
    </w:p>
    <w:p>
      <w:pPr>
        <w:pStyle w:val="16"/>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2"/>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rPr>
          <w:b/>
          <w:bCs/>
        </w:rPr>
      </w:pPr>
    </w:p>
    <w:p>
      <w:pPr>
        <w:pStyle w:val="76"/>
      </w:pPr>
    </w:p>
    <w:p>
      <w:pPr>
        <w:pStyle w:val="71"/>
      </w:pPr>
      <w:bookmarkStart w:id="35" w:name="_Toc20595"/>
      <w:bookmarkStart w:id="36" w:name="_Toc47976609"/>
      <w:r>
        <w:rPr>
          <w:rFonts w:hint="eastAsia"/>
        </w:rPr>
        <w:t>第三部分　合同主要条款</w:t>
      </w:r>
      <w:bookmarkEnd w:id="35"/>
      <w:bookmarkEnd w:id="36"/>
    </w:p>
    <w:p>
      <w:pPr>
        <w:pStyle w:val="72"/>
        <w:numPr>
          <w:ilvl w:val="0"/>
          <w:numId w:val="31"/>
        </w:numPr>
        <w:ind w:left="420"/>
      </w:pPr>
      <w:bookmarkStart w:id="37" w:name="_Toc47976610"/>
      <w:r>
        <w:rPr>
          <w:rFonts w:hint="eastAsia"/>
          <w:lang w:val="en-US" w:eastAsia="zh-CN"/>
        </w:rPr>
        <w:t>标的、数量、</w:t>
      </w:r>
      <w:r>
        <w:rPr>
          <w:rFonts w:hint="eastAsia"/>
        </w:rPr>
        <w:t>交货期</w:t>
      </w:r>
      <w:bookmarkEnd w:id="37"/>
    </w:p>
    <w:p>
      <w:pPr>
        <w:pStyle w:val="72"/>
      </w:pPr>
      <w:bookmarkStart w:id="38" w:name="_Toc47976611"/>
      <w:r>
        <w:rPr>
          <w:rFonts w:hint="eastAsia"/>
        </w:rPr>
        <w:t>交货地点</w:t>
      </w:r>
      <w:bookmarkEnd w:id="38"/>
    </w:p>
    <w:p>
      <w:pPr>
        <w:pStyle w:val="72"/>
      </w:pPr>
      <w:bookmarkStart w:id="39" w:name="_Toc47976612"/>
      <w:r>
        <w:rPr>
          <w:rFonts w:hint="eastAsia"/>
          <w:lang w:val="en-US" w:eastAsia="zh-CN"/>
        </w:rPr>
        <w:t>价款及</w:t>
      </w:r>
      <w:r>
        <w:rPr>
          <w:rFonts w:hint="eastAsia"/>
        </w:rPr>
        <w:t>付款方式</w:t>
      </w:r>
      <w:bookmarkEnd w:id="39"/>
    </w:p>
    <w:p>
      <w:pPr>
        <w:pStyle w:val="72"/>
      </w:pPr>
      <w:bookmarkStart w:id="40" w:name="_Toc47976613"/>
      <w:r>
        <w:rPr>
          <w:rFonts w:hint="eastAsia"/>
          <w:lang w:val="en-US" w:eastAsia="zh-CN"/>
        </w:rPr>
        <w:t>质量要求、</w:t>
      </w:r>
      <w:r>
        <w:rPr>
          <w:rFonts w:hint="eastAsia"/>
        </w:rPr>
        <w:t>保修期及售后服务</w:t>
      </w:r>
      <w:bookmarkEnd w:id="40"/>
    </w:p>
    <w:p>
      <w:pPr>
        <w:pStyle w:val="72"/>
      </w:pPr>
      <w:bookmarkStart w:id="41" w:name="_Toc47976614"/>
      <w:r>
        <w:rPr>
          <w:rFonts w:hint="eastAsia"/>
        </w:rPr>
        <w:t>安装、调试及验收要求</w:t>
      </w:r>
      <w:bookmarkEnd w:id="41"/>
    </w:p>
    <w:p>
      <w:pPr>
        <w:pStyle w:val="72"/>
      </w:pPr>
      <w:r>
        <w:rPr>
          <w:rFonts w:hint="eastAsia"/>
          <w:lang w:val="en-US" w:eastAsia="zh-CN"/>
        </w:rPr>
        <w:t>违约责任</w:t>
      </w:r>
    </w:p>
    <w:p>
      <w:pPr>
        <w:pStyle w:val="72"/>
      </w:pPr>
      <w:r>
        <w:rPr>
          <w:rFonts w:hint="eastAsia"/>
          <w:lang w:val="en-US" w:eastAsia="zh-CN"/>
        </w:rPr>
        <w:t>争议解决方式</w:t>
      </w: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6"/>
      </w:pPr>
    </w:p>
    <w:p>
      <w:pPr>
        <w:pStyle w:val="71"/>
        <w:rPr>
          <w:rFonts w:hint="default" w:eastAsia="黑体"/>
          <w:lang w:val="en-US" w:eastAsia="zh-CN"/>
        </w:rPr>
      </w:pPr>
      <w:bookmarkStart w:id="42" w:name="_Toc47976615"/>
      <w:bookmarkStart w:id="43" w:name="_Toc5925"/>
      <w:r>
        <w:rPr>
          <w:rFonts w:hint="eastAsia"/>
        </w:rPr>
        <w:t>第四部分　</w:t>
      </w:r>
      <w:bookmarkEnd w:id="42"/>
      <w:r>
        <w:rPr>
          <w:rFonts w:hint="eastAsia"/>
          <w:lang w:val="en-US" w:eastAsia="zh-CN"/>
        </w:rPr>
        <w:t>投标文件附件</w:t>
      </w:r>
      <w:bookmarkEnd w:id="43"/>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
        <w:rPr>
          <w:rFonts w:ascii="Times New Roman" w:hAnsi="Times New Roman" w:eastAsia="宋体" w:cs="Times New Roman"/>
          <w:b/>
          <w:bCs/>
          <w:color w:val="000000"/>
          <w:sz w:val="24"/>
          <w:szCs w:val="24"/>
        </w:rPr>
        <w:sectPr>
          <w:footerReference r:id="rId12" w:type="first"/>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4" w:name="_Toc25811"/>
      <w:bookmarkStart w:id="45" w:name="_Toc353881012"/>
      <w:bookmarkStart w:id="46" w:name="_Toc639004"/>
      <w:bookmarkStart w:id="47"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4"/>
      <w:bookmarkEnd w:id="45"/>
      <w:bookmarkEnd w:id="46"/>
      <w:bookmarkEnd w:id="47"/>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color w:val="000000"/>
          <w:sz w:val="24"/>
          <w:szCs w:val="24"/>
          <w:u w:val="single"/>
        </w:rPr>
        <w:t xml:space="preserve">            </w:t>
      </w:r>
      <w:r>
        <w:rPr>
          <w:rFonts w:hint="eastAsia" w:ascii="宋体" w:hAnsi="宋体" w:eastAsia="宋体" w:cs="宋体"/>
          <w:b/>
          <w:bCs/>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1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1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1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1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1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1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1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1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1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15"/>
              <w:spacing w:before="114"/>
              <w:ind w:left="720"/>
              <w:rPr>
                <w:rFonts w:hint="eastAsia"/>
              </w:rPr>
            </w:pPr>
            <w:r>
              <w:t xml:space="preserve">品牌区分 </w:t>
            </w:r>
          </w:p>
        </w:tc>
        <w:tc>
          <w:tcPr>
            <w:tcW w:w="7500" w:type="dxa"/>
            <w:gridSpan w:val="6"/>
          </w:tcPr>
          <w:p>
            <w:pPr>
              <w:pStyle w:val="11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1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15"/>
              <w:spacing w:before="15"/>
              <w:ind w:left="279"/>
              <w:rPr>
                <w:rFonts w:hint="eastAsia"/>
              </w:rPr>
            </w:pPr>
            <w:r>
              <w:rPr>
                <w:spacing w:val="-2"/>
              </w:rPr>
              <w:t>质量</w:t>
            </w:r>
            <w:r>
              <w:t xml:space="preserve"> </w:t>
            </w:r>
          </w:p>
          <w:p>
            <w:pPr>
              <w:pStyle w:val="115"/>
              <w:spacing w:before="30" w:line="277" w:lineRule="exact"/>
              <w:ind w:left="279"/>
              <w:rPr>
                <w:rFonts w:hint="eastAsia"/>
              </w:rPr>
            </w:pPr>
            <w:r>
              <w:rPr>
                <w:rFonts w:hint="eastAsia"/>
              </w:rPr>
              <w:t>体系</w:t>
            </w:r>
          </w:p>
        </w:tc>
        <w:tc>
          <w:tcPr>
            <w:tcW w:w="2820" w:type="dxa"/>
            <w:gridSpan w:val="2"/>
          </w:tcPr>
          <w:p>
            <w:pPr>
              <w:pStyle w:val="11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1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pPr>
        <w:pStyle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r>
        <w:rPr>
          <w:rFonts w:hint="eastAsia" w:ascii="宋体" w:hAnsi="宋体" w:eastAsia="宋体" w:cs="Times New Roman"/>
          <w:b/>
          <w:color w:val="000000"/>
          <w:sz w:val="24"/>
          <w:szCs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16"/>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b/>
                <w:bCs/>
                <w:sz w:val="24"/>
              </w:rPr>
            </w:pPr>
            <w:r>
              <w:rPr>
                <w:rFonts w:hint="eastAsia" w:ascii="宋体" w:hAnsi="宋体" w:eastAsia="宋体" w:cs="宋体"/>
                <w:sz w:val="24"/>
                <w:szCs w:val="24"/>
              </w:rPr>
              <w:t>1</w:t>
            </w:r>
          </w:p>
        </w:tc>
        <w:tc>
          <w:tcPr>
            <w:tcW w:w="2471" w:type="dxa"/>
            <w:vAlign w:val="center"/>
          </w:tcPr>
          <w:p>
            <w:pPr>
              <w:widowControl/>
              <w:spacing w:line="0" w:lineRule="atLeast"/>
              <w:jc w:val="left"/>
              <w:textAlignment w:val="center"/>
              <w:rPr>
                <w:rFonts w:hint="eastAsia" w:ascii="宋体" w:hAnsi="宋体" w:eastAsia="宋体" w:cs="宋体"/>
                <w:b/>
                <w:bCs/>
                <w:sz w:val="24"/>
                <w:szCs w:val="24"/>
              </w:rPr>
            </w:pPr>
            <w:r>
              <w:rPr>
                <w:rFonts w:hint="eastAsia" w:ascii="宋体" w:hAnsi="宋体" w:eastAsia="宋体" w:cs="宋体"/>
                <w:color w:val="000000"/>
                <w:kern w:val="0"/>
                <w:sz w:val="24"/>
                <w:szCs w:val="24"/>
                <w:lang w:bidi="ar"/>
              </w:rPr>
              <w:t>铸一振动落砂机更新（6100*1580*650mm）</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机体</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支腿</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1.3</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弹簧</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1.4</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栅格板及压板</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激振装置</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1.5.1</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激振器T80160-6B</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1.5.2</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传动轴</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1.5.3</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电机</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sz w:val="24"/>
                <w:szCs w:val="24"/>
              </w:rPr>
              <w:t>2</w:t>
            </w:r>
          </w:p>
        </w:tc>
        <w:tc>
          <w:tcPr>
            <w:tcW w:w="2471"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铸一振动输送槽更新</w:t>
            </w:r>
          </w:p>
          <w:p>
            <w:pPr>
              <w:widowControl/>
              <w:spacing w:line="0" w:lineRule="atLeast"/>
              <w:jc w:val="left"/>
              <w:textAlignment w:val="center"/>
              <w:rPr>
                <w:rFonts w:hint="eastAsia" w:ascii="宋体" w:hAnsi="宋体" w:eastAsia="宋体" w:cs="宋体"/>
                <w:b/>
                <w:sz w:val="24"/>
                <w:szCs w:val="24"/>
              </w:rPr>
            </w:pPr>
            <w:r>
              <w:rPr>
                <w:rFonts w:hint="eastAsia" w:ascii="宋体" w:hAnsi="宋体" w:eastAsia="宋体" w:cs="宋体"/>
                <w:color w:val="000000"/>
                <w:kern w:val="0"/>
                <w:sz w:val="24"/>
                <w:szCs w:val="24"/>
                <w:lang w:bidi="ar"/>
              </w:rPr>
              <w:t>（9300*1500*450mm）</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底座</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2.2</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槽体</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2.3</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支架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2.4</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平衡质体</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2.5</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护罩、挡板等零散件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2.6</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导向杆</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2.7</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驱动系统</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2.8</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弹簧</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471" w:type="dxa"/>
            <w:vAlign w:val="top"/>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铸二振动给料机更新（4420*1575/1930*610mm）</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3.1</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槽体</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3.2</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支架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3.3</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平衡体</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3.4</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底座</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3.5</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弹簧</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3.6</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槽体保温</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安装、调试</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运输</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2471"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试运行服务</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471"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b/>
                <w:bCs/>
                <w:sz w:val="24"/>
                <w:szCs w:val="24"/>
              </w:rPr>
            </w:pPr>
          </w:p>
        </w:tc>
        <w:tc>
          <w:tcPr>
            <w:tcW w:w="2471" w:type="dxa"/>
            <w:vAlign w:val="center"/>
          </w:tcPr>
          <w:p>
            <w:pPr>
              <w:widowControl/>
              <w:jc w:val="center"/>
              <w:textAlignment w:val="center"/>
              <w:rPr>
                <w:rFonts w:hint="eastAsia" w:ascii="宋体" w:hAnsi="宋体" w:eastAsia="宋体" w:cs="宋体"/>
                <w:b/>
                <w:bCs/>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top"/>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spacing w:line="360" w:lineRule="auto"/>
              <w:jc w:val="center"/>
              <w:rPr>
                <w:rFonts w:hint="eastAsia" w:ascii="宋体" w:hAnsi="宋体" w:eastAsia="宋体" w:cs="宋体"/>
                <w:sz w:val="24"/>
                <w:szCs w:val="24"/>
              </w:rPr>
            </w:pPr>
          </w:p>
        </w:tc>
        <w:tc>
          <w:tcPr>
            <w:tcW w:w="2471" w:type="dxa"/>
            <w:vAlign w:val="center"/>
          </w:tcPr>
          <w:p>
            <w:pPr>
              <w:widowControl/>
              <w:spacing w:line="0" w:lineRule="atLeast"/>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b/>
                <w:sz w:val="24"/>
                <w:szCs w:val="24"/>
              </w:rPr>
            </w:pPr>
          </w:p>
        </w:tc>
        <w:tc>
          <w:tcPr>
            <w:tcW w:w="2471" w:type="dxa"/>
            <w:vAlign w:val="center"/>
          </w:tcPr>
          <w:p>
            <w:pPr>
              <w:widowControl/>
              <w:jc w:val="center"/>
              <w:textAlignment w:val="center"/>
              <w:rPr>
                <w:rFonts w:hint="eastAsia" w:ascii="宋体" w:hAnsi="宋体" w:eastAsia="宋体" w:cs="宋体"/>
                <w:b/>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left"/>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eastAsia="宋体"/>
        </w:rPr>
        <w:sectPr>
          <w:footerReference r:id="rId19"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pPr>
        <w:adjustRightInd w:val="0"/>
        <w:snapToGrid w:val="0"/>
        <w:spacing w:line="360" w:lineRule="auto"/>
        <w:rPr>
          <w:rFonts w:hint="eastAsia" w:ascii="宋体" w:hAnsi="宋体" w:eastAsia="宋体" w:cs="宋体"/>
          <w:b/>
          <w:bCs/>
          <w:sz w:val="24"/>
          <w:szCs w:val="24"/>
          <w:highlight w:val="yellow"/>
        </w:rPr>
      </w:pP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bl>
    <w:p>
      <w:pPr>
        <w:spacing w:before="78" w:line="219" w:lineRule="auto"/>
        <w:ind w:left="431"/>
        <w:rPr>
          <w:rFonts w:hint="eastAsia" w:ascii="宋体" w:hAnsi="宋体" w:eastAsia="宋体" w:cs="宋体"/>
          <w:spacing w:val="-6"/>
          <w:szCs w:val="21"/>
        </w:rPr>
      </w:pPr>
    </w:p>
    <w:p>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pPr>
        <w:spacing w:line="660" w:lineRule="exact"/>
        <w:rPr>
          <w:rFonts w:hint="eastAsia"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2023年8月1日至今同类项目业绩一览表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jc w:val="center"/>
              <w:rPr>
                <w:rFonts w:hint="eastAsia" w:ascii="宋体" w:hAnsi="宋体" w:eastAsia="宋体" w:cs="宋体"/>
                <w:spacing w:val="-1"/>
                <w:sz w:val="24"/>
                <w:szCs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7"/>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7"/>
              <w:spacing w:beforeLines="0" w:afterLines="0" w:line="240" w:lineRule="auto"/>
              <w:jc w:val="center"/>
              <w:rPr>
                <w:rFonts w:hint="eastAsia" w:ascii="宋体" w:hAnsi="宋体" w:eastAsia="宋体" w:cs="宋体"/>
                <w:bCs/>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7"/>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7"/>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17"/>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23</w:t>
            </w:r>
            <w:r>
              <w:rPr>
                <w:rFonts w:ascii="宋体" w:hAnsi="宋体" w:eastAsia="宋体" w:cs="宋体"/>
                <w:sz w:val="24"/>
                <w:szCs w:val="24"/>
                <w:highlight w:val="yellow"/>
              </w:rPr>
              <w:t>年</w:t>
            </w:r>
            <w:r>
              <w:rPr>
                <w:rFonts w:hint="eastAsia" w:ascii="宋体" w:hAnsi="宋体" w:eastAsia="宋体" w:cs="宋体"/>
                <w:sz w:val="24"/>
                <w:szCs w:val="24"/>
                <w:highlight w:val="yellow"/>
              </w:rPr>
              <w:t>8</w:t>
            </w:r>
            <w:r>
              <w:rPr>
                <w:rFonts w:ascii="宋体" w:hAnsi="宋体" w:eastAsia="宋体" w:cs="宋体"/>
                <w:sz w:val="24"/>
                <w:szCs w:val="24"/>
                <w:highlight w:val="yellow"/>
              </w:rPr>
              <w:t>月1日至今所有业绩合同总额汇总（必填</w:t>
            </w:r>
            <w:r>
              <w:rPr>
                <w:rFonts w:hint="eastAsia" w:ascii="宋体" w:hAnsi="宋体" w:eastAsia="宋体" w:cs="宋体"/>
                <w:sz w:val="24"/>
                <w:szCs w:val="24"/>
                <w:highlight w:val="yellow"/>
              </w:rPr>
              <w:t>）</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提供2023年8月1日以来同类产品的制造销售业绩（用户名单、联系方式）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6"/>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b/>
                <w:bCs/>
                <w:sz w:val="24"/>
              </w:rPr>
            </w:pPr>
            <w:r>
              <w:rPr>
                <w:rFonts w:hint="eastAsia" w:ascii="宋体" w:hAnsi="宋体" w:eastAsia="宋体" w:cs="宋体"/>
                <w:sz w:val="24"/>
                <w:szCs w:val="24"/>
              </w:rPr>
              <w:t>1</w:t>
            </w:r>
          </w:p>
        </w:tc>
        <w:tc>
          <w:tcPr>
            <w:tcW w:w="2238" w:type="dxa"/>
            <w:vAlign w:val="center"/>
          </w:tcPr>
          <w:p>
            <w:pPr>
              <w:widowControl/>
              <w:spacing w:line="0" w:lineRule="atLeast"/>
              <w:jc w:val="left"/>
              <w:textAlignment w:val="center"/>
              <w:rPr>
                <w:rFonts w:hint="eastAsia" w:ascii="宋体" w:hAnsi="宋体" w:eastAsia="宋体" w:cs="宋体"/>
                <w:b/>
                <w:bCs/>
                <w:sz w:val="24"/>
                <w:szCs w:val="24"/>
              </w:rPr>
            </w:pPr>
            <w:r>
              <w:rPr>
                <w:rFonts w:hint="eastAsia" w:ascii="宋体" w:hAnsi="宋体" w:eastAsia="宋体" w:cs="宋体"/>
                <w:color w:val="000000"/>
                <w:kern w:val="0"/>
                <w:sz w:val="24"/>
                <w:szCs w:val="24"/>
                <w:lang w:bidi="ar"/>
              </w:rPr>
              <w:t>铸一振动落砂机更新（6100*1580*650mm）</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机体</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支腿</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1.3</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弹簧</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1.4</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栅格板及压板</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激振装置</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1.5.1</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激振器T80160-6B</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1.5.2</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传动轴</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1.5.3</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电机</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238" w:type="dxa"/>
            <w:vAlign w:val="center"/>
          </w:tcPr>
          <w:p>
            <w:pPr>
              <w:widowControl/>
              <w:spacing w:line="0" w:lineRule="atLeast"/>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铸一振动输送槽更新</w:t>
            </w:r>
          </w:p>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（9300*1500*450mm）</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底座</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2.2</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槽体</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2.3</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支架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2.4</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平衡质体</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2.5</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护罩、挡板等零散件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2.6</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导向杆</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2.7</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驱动系统</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2.8</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弹簧</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238" w:type="dxa"/>
            <w:vAlign w:val="top"/>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铸二振动给料机更新（4420*1575/1930*610mm）</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3.1</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槽体</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3.2</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支架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3.3</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平衡体</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3.4</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底座</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3.5</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弹簧</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3.6</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槽体保温</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安装、调试</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运输</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2238" w:type="dxa"/>
            <w:vAlign w:val="center"/>
          </w:tcPr>
          <w:p>
            <w:pPr>
              <w:widowControl/>
              <w:spacing w:line="0" w:lineRule="atLeast"/>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试运行服务</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top"/>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b/>
                <w:bCs/>
                <w:sz w:val="24"/>
                <w:szCs w:val="24"/>
              </w:rPr>
            </w:pPr>
          </w:p>
        </w:tc>
        <w:tc>
          <w:tcPr>
            <w:tcW w:w="2238" w:type="dxa"/>
            <w:vAlign w:val="center"/>
          </w:tcPr>
          <w:p>
            <w:pPr>
              <w:widowControl/>
              <w:spacing w:line="0" w:lineRule="atLeast"/>
              <w:jc w:val="left"/>
              <w:textAlignment w:val="center"/>
              <w:rPr>
                <w:rFonts w:hint="eastAsia" w:ascii="宋体" w:hAnsi="宋体" w:eastAsia="宋体" w:cs="宋体"/>
                <w:b/>
                <w:bCs/>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auto"/>
              <w:jc w:val="center"/>
              <w:rPr>
                <w:rFonts w:hint="eastAsia" w:ascii="宋体" w:hAnsi="宋体" w:eastAsia="宋体" w:cs="宋体"/>
                <w:sz w:val="24"/>
                <w:szCs w:val="24"/>
              </w:rPr>
            </w:pPr>
          </w:p>
        </w:tc>
        <w:tc>
          <w:tcPr>
            <w:tcW w:w="2238" w:type="dxa"/>
            <w:vAlign w:val="center"/>
          </w:tcPr>
          <w:p>
            <w:pPr>
              <w:widowControl/>
              <w:spacing w:line="0" w:lineRule="atLeast"/>
              <w:jc w:val="left"/>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238"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2"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16"/>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16"/>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z w:val="24"/>
                <w:szCs w:val="24"/>
              </w:rPr>
              <w:t>加工、组装</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1"/>
                <w:szCs w:val="21"/>
                <w:highlight w:val="yellow"/>
              </w:rPr>
              <w:t>现场安装调试、验收</w:t>
            </w:r>
          </w:p>
        </w:tc>
        <w:tc>
          <w:tcPr>
            <w:tcW w:w="1126" w:type="dxa"/>
          </w:tcPr>
          <w:p>
            <w:pPr>
              <w:spacing w:before="266" w:line="221" w:lineRule="auto"/>
              <w:jc w:val="center"/>
              <w:rPr>
                <w:rFonts w:hint="eastAsia" w:ascii="宋体" w:hAnsi="宋体" w:eastAsia="宋体" w:cs="宋体"/>
                <w:spacing w:val="-2"/>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2"/>
                <w:szCs w:val="21"/>
                <w:highlight w:val="yellow"/>
              </w:rPr>
              <w:t>技术培训材料</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管理费用</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利润、税费、杂费</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pPr>
              <w:spacing w:before="266" w:line="221" w:lineRule="auto"/>
              <w:jc w:val="center"/>
              <w:rPr>
                <w:rFonts w:hint="eastAsia" w:ascii="宋体" w:hAnsi="宋体" w:eastAsia="宋体" w:cs="宋体"/>
                <w:spacing w:val="-2"/>
                <w:szCs w:val="21"/>
                <w:highlight w:val="yellow"/>
              </w:rPr>
            </w:pPr>
            <w:r>
              <w:rPr>
                <w:rFonts w:hint="eastAsia" w:ascii="宋体" w:hAnsi="宋体" w:eastAsia="宋体" w:cs="宋体"/>
                <w:sz w:val="24"/>
                <w:szCs w:val="24"/>
              </w:rPr>
              <w:t>设备图纸及说明书</w:t>
            </w:r>
          </w:p>
        </w:tc>
        <w:tc>
          <w:tcPr>
            <w:tcW w:w="1126" w:type="dxa"/>
          </w:tcPr>
          <w:p>
            <w:pPr>
              <w:spacing w:before="266" w:line="221" w:lineRule="auto"/>
              <w:jc w:val="center"/>
              <w:rPr>
                <w:rFonts w:hint="eastAsia" w:ascii="宋体" w:hAnsi="宋体" w:eastAsia="宋体" w:cs="宋体"/>
                <w:spacing w:val="-1"/>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16"/>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16"/>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hint="eastAsia" w:ascii="宋体" w:hAnsi="宋体" w:eastAsia="宋体" w:cs="宋体"/>
          <w:spacing w:val="-2"/>
          <w:szCs w:val="21"/>
        </w:rPr>
        <w:sectPr>
          <w:footerReference r:id="rId2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both"/>
              <w:rPr>
                <w:rFonts w:hint="eastAsia" w:ascii="Times New Roman" w:hAnsi="Times New Roman" w:eastAsia="宋体" w:cs="Times New Roman"/>
                <w:b/>
                <w:szCs w:val="20"/>
                <w:lang w:eastAsia="zh-CN"/>
              </w:rPr>
            </w:pPr>
            <w:r>
              <w:rPr>
                <w:rFonts w:ascii="宋体" w:hAnsi="宋体" w:eastAsia="宋体" w:cs="Times New Roman"/>
                <w:b/>
                <w:color w:val="000000"/>
                <w:sz w:val="24"/>
                <w:szCs w:val="24"/>
                <w:u w:val="single"/>
              </w:rPr>
              <w:t xml:space="preserve">       </w:t>
            </w:r>
            <w:r>
              <w:rPr>
                <w:rFonts w:hint="eastAsia" w:ascii="宋体" w:hAnsi="宋体" w:eastAsia="宋体" w:cs="宋体"/>
                <w:b/>
                <w:bCs/>
                <w:sz w:val="24"/>
                <w:szCs w:val="24"/>
                <w:u w:val="single"/>
                <w:lang w:val="en-US" w:eastAsia="zh-CN"/>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pacing w:val="-5"/>
          <w:sz w:val="24"/>
          <w:szCs w:val="24"/>
          <w:lang w:val="en-US" w:eastAsia="zh-CN"/>
        </w:rPr>
        <w:t xml:space="preserve"> </w:t>
      </w:r>
      <w:r>
        <w:rPr>
          <w:rFonts w:ascii="宋体" w:hAnsi="宋体" w:eastAsia="宋体" w:cs="Times New Roman"/>
          <w:b/>
          <w:color w:val="000000"/>
          <w:sz w:val="24"/>
          <w:szCs w:val="24"/>
          <w:u w:val="single"/>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16"/>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
        <w:rPr>
          <w:rFonts w:hint="eastAsia" w:hAnsi="宋体" w:eastAsia="宋体" w:cs="宋体"/>
          <w:sz w:val="24"/>
          <w:szCs w:val="24"/>
        </w:rPr>
      </w:pPr>
    </w:p>
    <w:p>
      <w:pPr>
        <w:pStyle w:val="2"/>
        <w:rPr>
          <w:rFonts w:hint="eastAsia" w:hAnsi="宋体" w:eastAsia="宋体" w:cs="宋体"/>
          <w:sz w:val="24"/>
          <w:szCs w:val="24"/>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
        <w:rPr>
          <w:rFonts w:hint="eastAsia" w:hAnsi="宋体" w:eastAsia="宋体" w:cs="宋体"/>
          <w:sz w:val="24"/>
          <w:szCs w:val="24"/>
        </w:rPr>
        <w:sectPr>
          <w:footerReference r:id="rId26"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u w:val="single"/>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pStyle w:val="2"/>
        <w:outlineLvl w:val="2"/>
        <w:rPr>
          <w:rFonts w:hint="eastAsia"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4</w:t>
      </w:r>
      <w:r>
        <w:rPr>
          <w:rFonts w:hint="eastAsia"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
        <w:sectPr>
          <w:footerReference r:id="rId27" w:type="default"/>
          <w:pgSz w:w="11906" w:h="16838"/>
          <w:pgMar w:top="1588" w:right="1418" w:bottom="1134" w:left="1418" w:header="851" w:footer="992" w:gutter="0"/>
          <w:cols w:space="720" w:num="1"/>
          <w:titlePg/>
          <w:docGrid w:type="lines" w:linePitch="312" w:charSpace="0"/>
        </w:sectPr>
      </w:pP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r>
        <w:rPr>
          <w:rStyle w:val="37"/>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7667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667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0"/>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p>
      <w:pPr>
        <w:rPr>
          <w:rFonts w:hint="eastAsia"/>
        </w:rPr>
      </w:pPr>
    </w:p>
    <w:p>
      <w:pPr>
        <w:pStyle w:val="72"/>
        <w:numPr>
          <w:ilvl w:val="0"/>
          <w:numId w:val="0"/>
        </w:numPr>
        <w:ind w:leftChars="0"/>
        <w:outlineLvl w:val="9"/>
        <w:rPr>
          <w:rFonts w:hint="default" w:hAnsi="宋体"/>
          <w:sz w:val="24"/>
          <w:lang w:val="en-US"/>
        </w:rPr>
      </w:pPr>
    </w:p>
    <w:sectPr>
      <w:headerReference r:id="rId28" w:type="first"/>
      <w:footerReference r:id="rId29"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Wingdings">
    <w:panose1 w:val="05000000000000000000"/>
    <w:charset w:val="00"/>
    <w:family w:val="auto"/>
    <w:pitch w:val="default"/>
    <w:sig w:usb0="00000000" w:usb1="00000000" w:usb2="00000000" w:usb3="00000000" w:csb0="8000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end"/>
    </w:r>
  </w:p>
  <w:p>
    <w:pPr>
      <w:pStyle w:val="1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8"/>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8"/>
      <w:jc w:val="center"/>
    </w:pPr>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AF8B42F"/>
    <w:multiLevelType w:val="singleLevel"/>
    <w:tmpl w:val="AAF8B42F"/>
    <w:lvl w:ilvl="0" w:tentative="0">
      <w:start w:val="1"/>
      <w:numFmt w:val="lowerLetter"/>
      <w:suff w:val="space"/>
      <w:lvlText w:val="%1."/>
      <w:lvlJc w:val="left"/>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551653C"/>
    <w:multiLevelType w:val="singleLevel"/>
    <w:tmpl w:val="D551653C"/>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E692BBD5"/>
    <w:multiLevelType w:val="singleLevel"/>
    <w:tmpl w:val="E692BBD5"/>
    <w:lvl w:ilvl="0" w:tentative="0">
      <w:start w:val="1"/>
      <w:numFmt w:val="lowerLetter"/>
      <w:lvlText w:val="%1)"/>
      <w:lvlJc w:val="left"/>
      <w:pPr>
        <w:tabs>
          <w:tab w:val="left" w:pos="-108"/>
        </w:tabs>
        <w:ind w:left="-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612DE2"/>
    <w:multiLevelType w:val="singleLevel"/>
    <w:tmpl w:val="7A612DE2"/>
    <w:lvl w:ilvl="0" w:tentative="0">
      <w:start w:val="2"/>
      <w:numFmt w:val="decimal"/>
      <w:lvlText w:val="%1."/>
      <w:lvlJc w:val="left"/>
      <w:pPr>
        <w:tabs>
          <w:tab w:val="left" w:pos="312"/>
        </w:tabs>
      </w:p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8"/>
  </w:num>
  <w:num w:numId="13">
    <w:abstractNumId w:val="5"/>
  </w:num>
  <w:num w:numId="14">
    <w:abstractNumId w:val="0"/>
  </w:num>
  <w:num w:numId="15">
    <w:abstractNumId w:val="2"/>
  </w:num>
  <w:num w:numId="16">
    <w:abstractNumId w:val="24"/>
  </w:num>
  <w:num w:numId="17">
    <w:abstractNumId w:val="27"/>
  </w:num>
  <w:num w:numId="18">
    <w:abstractNumId w:val="16"/>
  </w:num>
  <w:num w:numId="19">
    <w:abstractNumId w:val="10"/>
  </w:num>
  <w:num w:numId="20">
    <w:abstractNumId w:val="8"/>
  </w:num>
  <w:num w:numId="21">
    <w:abstractNumId w:val="3"/>
  </w:num>
  <w:num w:numId="22">
    <w:abstractNumId w:val="1"/>
  </w:num>
  <w:num w:numId="23">
    <w:abstractNumId w:val="6"/>
  </w:num>
  <w:num w:numId="24">
    <w:abstractNumId w:val="11"/>
  </w:num>
  <w:num w:numId="25">
    <w:abstractNumId w:val="19"/>
  </w:num>
  <w:num w:numId="26">
    <w:abstractNumId w:val="17"/>
  </w:num>
  <w:num w:numId="27">
    <w:abstractNumId w:val="12"/>
  </w:num>
  <w:num w:numId="28">
    <w:abstractNumId w:val="9"/>
  </w:num>
  <w:num w:numId="29">
    <w:abstractNumId w:val="26"/>
  </w:num>
  <w:num w:numId="30">
    <w:abstractNumId w:val="4"/>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D9D0D63"/>
    <w:rsid w:val="0E4D31E3"/>
    <w:rsid w:val="10DC2AA3"/>
    <w:rsid w:val="10FA7C8C"/>
    <w:rsid w:val="130B198F"/>
    <w:rsid w:val="14FC19FE"/>
    <w:rsid w:val="14FE0980"/>
    <w:rsid w:val="16A918E4"/>
    <w:rsid w:val="17D966D6"/>
    <w:rsid w:val="1BC71D3B"/>
    <w:rsid w:val="1C59115B"/>
    <w:rsid w:val="1EDC0DDF"/>
    <w:rsid w:val="1FB23E60"/>
    <w:rsid w:val="229D070C"/>
    <w:rsid w:val="22C5630B"/>
    <w:rsid w:val="23EC0BA6"/>
    <w:rsid w:val="24701A48"/>
    <w:rsid w:val="249E0343"/>
    <w:rsid w:val="25061852"/>
    <w:rsid w:val="268B0052"/>
    <w:rsid w:val="27743C90"/>
    <w:rsid w:val="28D71135"/>
    <w:rsid w:val="29CA2459"/>
    <w:rsid w:val="2B271A58"/>
    <w:rsid w:val="2B6304A7"/>
    <w:rsid w:val="2CF6734C"/>
    <w:rsid w:val="2D663463"/>
    <w:rsid w:val="2EF96EE4"/>
    <w:rsid w:val="36254FE4"/>
    <w:rsid w:val="370C3073"/>
    <w:rsid w:val="372F61E0"/>
    <w:rsid w:val="39322FCA"/>
    <w:rsid w:val="3AB90991"/>
    <w:rsid w:val="3B706131"/>
    <w:rsid w:val="3E6F041E"/>
    <w:rsid w:val="4275481E"/>
    <w:rsid w:val="428B617A"/>
    <w:rsid w:val="433D7BDC"/>
    <w:rsid w:val="437E1813"/>
    <w:rsid w:val="44C84166"/>
    <w:rsid w:val="45BD47FC"/>
    <w:rsid w:val="45CC5FB2"/>
    <w:rsid w:val="46B75BA8"/>
    <w:rsid w:val="46D77066"/>
    <w:rsid w:val="47206114"/>
    <w:rsid w:val="47A944A3"/>
    <w:rsid w:val="48C97955"/>
    <w:rsid w:val="48D5199D"/>
    <w:rsid w:val="49880C8F"/>
    <w:rsid w:val="4A8835F7"/>
    <w:rsid w:val="4AAA47E5"/>
    <w:rsid w:val="4B592E71"/>
    <w:rsid w:val="4D0B0C3B"/>
    <w:rsid w:val="503D54B2"/>
    <w:rsid w:val="510E6154"/>
    <w:rsid w:val="52B9239A"/>
    <w:rsid w:val="53146370"/>
    <w:rsid w:val="54BD78FD"/>
    <w:rsid w:val="58A86DDE"/>
    <w:rsid w:val="59154AD7"/>
    <w:rsid w:val="5ADF548D"/>
    <w:rsid w:val="5C4547F3"/>
    <w:rsid w:val="5D5C60B4"/>
    <w:rsid w:val="62660FA2"/>
    <w:rsid w:val="62E30FF8"/>
    <w:rsid w:val="63F04A69"/>
    <w:rsid w:val="669E0916"/>
    <w:rsid w:val="66A50B1E"/>
    <w:rsid w:val="67B2063C"/>
    <w:rsid w:val="67C97AC3"/>
    <w:rsid w:val="67E30EC1"/>
    <w:rsid w:val="685325EC"/>
    <w:rsid w:val="6A4E3B2B"/>
    <w:rsid w:val="6B481C3B"/>
    <w:rsid w:val="6C1331A3"/>
    <w:rsid w:val="6CA84BC1"/>
    <w:rsid w:val="6D3E4756"/>
    <w:rsid w:val="6FA60A2D"/>
    <w:rsid w:val="6FC523EB"/>
    <w:rsid w:val="72895F2E"/>
    <w:rsid w:val="72C02EBE"/>
    <w:rsid w:val="72C507AD"/>
    <w:rsid w:val="72D028D8"/>
    <w:rsid w:val="745D47C3"/>
    <w:rsid w:val="76AC3757"/>
    <w:rsid w:val="76D6516B"/>
    <w:rsid w:val="774E3909"/>
    <w:rsid w:val="7C275A52"/>
    <w:rsid w:val="7CB93F8E"/>
    <w:rsid w:val="7CF66B46"/>
    <w:rsid w:val="7DBD28BA"/>
    <w:rsid w:val="7FBF3D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4"/>
    <w:qFormat/>
    <w:uiPriority w:val="0"/>
    <w:pPr>
      <w:spacing w:line="240" w:lineRule="auto"/>
      <w:jc w:val="left"/>
    </w:pPr>
    <w:rPr>
      <w:rFonts w:ascii="宋体" w:hAnsi="宋体" w:eastAsia="黑体"/>
      <w:b w:val="0"/>
      <w:sz w:val="28"/>
      <w:szCs w:val="30"/>
    </w:rPr>
  </w:style>
  <w:style w:type="paragraph" w:customStyle="1" w:styleId="112">
    <w:name w:val="标书三级标题"/>
    <w:basedOn w:val="5"/>
    <w:next w:val="113"/>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113">
    <w:name w:val="标书正文格式"/>
    <w:basedOn w:val="2"/>
    <w:qFormat/>
    <w:uiPriority w:val="0"/>
    <w:pPr>
      <w:spacing w:line="360" w:lineRule="auto"/>
      <w:ind w:firstLine="200" w:firstLineChars="200"/>
    </w:pPr>
    <w:rPr>
      <w:rFonts w:hAnsi="宋体"/>
      <w:color w:val="000000"/>
      <w:sz w:val="24"/>
      <w:szCs w:val="24"/>
    </w:rPr>
  </w:style>
  <w:style w:type="paragraph" w:customStyle="1" w:styleId="114">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15">
    <w:name w:val="Table Paragraph"/>
    <w:basedOn w:val="1"/>
    <w:qFormat/>
    <w:uiPriority w:val="1"/>
    <w:rPr>
      <w:rFonts w:ascii="宋体" w:hAnsi="宋体" w:eastAsia="宋体" w:cs="宋体"/>
    </w:rPr>
  </w:style>
  <w:style w:type="table" w:customStyle="1" w:styleId="116">
    <w:name w:val="Table Normal"/>
    <w:semiHidden/>
    <w:unhideWhenUsed/>
    <w:qFormat/>
    <w:uiPriority w:val="0"/>
    <w:tblPr>
      <w:tblCellMar>
        <w:top w:w="0" w:type="dxa"/>
        <w:left w:w="0" w:type="dxa"/>
        <w:bottom w:w="0" w:type="dxa"/>
        <w:right w:w="0" w:type="dxa"/>
      </w:tblCellMar>
    </w:tblPr>
  </w:style>
  <w:style w:type="paragraph" w:customStyle="1" w:styleId="117">
    <w:name w:val="HR正文表格"/>
    <w:basedOn w:val="1"/>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6.pn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footer" Target="footer1.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jpe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23.xml"/><Relationship Id="rId28" Type="http://schemas.openxmlformats.org/officeDocument/2006/relationships/header" Target="header4.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18</Pages>
  <Words>7534</Words>
  <Characters>7825</Characters>
  <Lines>127</Lines>
  <Paragraphs>35</Paragraphs>
  <TotalTime>16</TotalTime>
  <ScaleCrop>false</ScaleCrop>
  <LinksUpToDate>false</LinksUpToDate>
  <CharactersWithSpaces>8597</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赵力</cp:lastModifiedBy>
  <cp:lastPrinted>2020-06-28T02:28:00Z</cp:lastPrinted>
  <dcterms:modified xsi:type="dcterms:W3CDTF">2025-09-26T09:58:46Z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C4E667CF26604F52AD561790FE42A8A8_13</vt:lpwstr>
  </property>
</Properties>
</file>