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EAC31">
      <w:pPr>
        <w:jc w:val="center"/>
        <w:rPr>
          <w:rFonts w:ascii="宋体" w:hAnsi="Calibri" w:eastAsia="宋体" w:cs="Times New Roman"/>
          <w:color w:val="000000"/>
          <w:sz w:val="30"/>
          <w:szCs w:val="30"/>
        </w:rPr>
      </w:pPr>
      <w:bookmarkStart w:id="0" w:name="OLE_LINK30"/>
      <w:bookmarkStart w:id="1" w:name="OLE_LINK31"/>
    </w:p>
    <w:p w14:paraId="2F2136FB">
      <w:pPr>
        <w:spacing w:line="276" w:lineRule="auto"/>
        <w:jc w:val="center"/>
        <w:rPr>
          <w:rFonts w:hint="eastAsia" w:ascii="Calibri" w:hAnsi="宋体" w:eastAsia="宋体" w:cs="Times New Roman"/>
          <w:b/>
          <w:bCs/>
          <w:color w:val="000000"/>
          <w:spacing w:val="-8"/>
          <w:sz w:val="48"/>
          <w:szCs w:val="44"/>
        </w:rPr>
      </w:pPr>
      <w:r>
        <w:rPr>
          <w:rFonts w:hint="default" w:ascii="Calibri" w:hAnsi="宋体" w:eastAsia="宋体" w:cs="Times New Roman"/>
          <w:b/>
          <w:bCs/>
          <w:color w:val="000000"/>
          <w:spacing w:val="-8"/>
          <w:sz w:val="48"/>
          <w:szCs w:val="44"/>
        </w:rPr>
        <w:t>重汽(济南)车桥有限公司</w:t>
      </w:r>
    </w:p>
    <w:p w14:paraId="60280EA9">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eastAsia="zh-CN"/>
        </w:rPr>
        <w:t>电驱主减总成装配线改造技改项目</w:t>
      </w:r>
      <w:r>
        <w:rPr>
          <w:rFonts w:hint="eastAsia" w:ascii="Calibri" w:hAnsi="Calibri" w:eastAsia="宋体" w:cs="Times New Roman"/>
          <w:color w:val="000000"/>
          <w:sz w:val="28"/>
          <w:szCs w:val="28"/>
          <w:lang w:val="en-US" w:eastAsia="zh-CN"/>
        </w:rPr>
        <w:t xml:space="preserve">                                    </w:t>
      </w:r>
    </w:p>
    <w:p w14:paraId="4336C965">
      <w:pPr>
        <w:pStyle w:val="18"/>
        <w:rPr>
          <w:rFonts w:hint="eastAsia"/>
          <w:lang w:eastAsia="zh-CN"/>
        </w:rPr>
      </w:pPr>
    </w:p>
    <w:p w14:paraId="5ED694F0">
      <w:pPr>
        <w:pStyle w:val="18"/>
        <w:rPr>
          <w:rFonts w:hint="eastAsia"/>
          <w:lang w:eastAsia="zh-CN"/>
        </w:rPr>
      </w:pPr>
    </w:p>
    <w:p w14:paraId="4B724A6D">
      <w:pPr>
        <w:pStyle w:val="18"/>
        <w:rPr>
          <w:rFonts w:hint="eastAsia"/>
          <w:lang w:eastAsia="zh-CN"/>
        </w:rPr>
      </w:pPr>
    </w:p>
    <w:p w14:paraId="21D90B91">
      <w:pPr>
        <w:jc w:val="right"/>
        <w:rPr>
          <w:rFonts w:ascii="Calibri" w:hAnsi="Calibri" w:eastAsia="宋体" w:cs="Times New Roman"/>
          <w:color w:val="000000"/>
          <w:sz w:val="28"/>
          <w:szCs w:val="28"/>
        </w:rPr>
      </w:pPr>
    </w:p>
    <w:p w14:paraId="23D0EE1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4E5ADC0">
      <w:pPr>
        <w:jc w:val="center"/>
        <w:rPr>
          <w:rFonts w:ascii="黑体" w:hAnsi="宋体" w:eastAsia="黑体" w:cs="Times New Roman"/>
          <w:color w:val="000000"/>
          <w:sz w:val="72"/>
          <w:szCs w:val="72"/>
        </w:rPr>
      </w:pPr>
    </w:p>
    <w:p w14:paraId="7169C59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EE9EAD1">
      <w:pPr>
        <w:jc w:val="center"/>
        <w:rPr>
          <w:rFonts w:ascii="黑体" w:hAnsi="宋体" w:eastAsia="黑体" w:cs="Times New Roman"/>
          <w:color w:val="000000"/>
          <w:sz w:val="72"/>
          <w:szCs w:val="72"/>
        </w:rPr>
      </w:pPr>
    </w:p>
    <w:p w14:paraId="671DEA2C">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13D1A0B">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04EF94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3BF4F7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D5894F5">
      <w:pPr>
        <w:pStyle w:val="18"/>
        <w:rPr>
          <w:b/>
          <w:bCs/>
        </w:rPr>
      </w:pPr>
    </w:p>
    <w:p w14:paraId="075C726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3B92BC4">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3ABC286A">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E79093A">
          <w:pPr>
            <w:spacing w:line="480" w:lineRule="auto"/>
            <w:jc w:val="center"/>
            <w:rPr>
              <w:rFonts w:cs="宋体"/>
              <w:b/>
              <w:bCs/>
              <w:sz w:val="48"/>
              <w:szCs w:val="48"/>
            </w:rPr>
          </w:pPr>
          <w:r>
            <w:rPr>
              <w:rFonts w:ascii="宋体" w:hAnsi="宋体" w:eastAsia="宋体" w:cs="宋体"/>
              <w:b/>
              <w:bCs/>
              <w:sz w:val="48"/>
              <w:szCs w:val="48"/>
            </w:rPr>
            <w:t>目录</w:t>
          </w:r>
        </w:p>
        <w:p w14:paraId="0E51C216">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2737182">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33CE8242">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A124FA6">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332943CF">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13085D00">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7FF744A">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14:paraId="2B44334B">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6B8D7DA">
      <w:pPr>
        <w:pStyle w:val="18"/>
        <w:jc w:val="center"/>
        <w:rPr>
          <w:rFonts w:ascii="Calibri" w:hAnsi="Calibri" w:eastAsia="宋体" w:cs="Times New Roman"/>
          <w:b/>
          <w:bCs/>
          <w:kern w:val="44"/>
          <w:sz w:val="36"/>
          <w:szCs w:val="44"/>
        </w:rPr>
      </w:pPr>
    </w:p>
    <w:p w14:paraId="6C85668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7FD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82448CD">
            <w:pPr>
              <w:jc w:val="center"/>
              <w:rPr>
                <w:rStyle w:val="131"/>
                <w:rFonts w:ascii="宋体" w:hAnsi="宋体" w:eastAsia="宋体" w:cs="宋体"/>
                <w:b/>
                <w:sz w:val="28"/>
                <w:szCs w:val="28"/>
              </w:rPr>
            </w:pPr>
            <w:bookmarkStart w:id="3" w:name="_Toc346372875"/>
            <w:r>
              <w:rPr>
                <w:rStyle w:val="13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B0CBE25">
            <w:pPr>
              <w:ind w:firstLine="562" w:firstLineChars="200"/>
              <w:jc w:val="center"/>
              <w:rPr>
                <w:rFonts w:ascii="宋体" w:hAnsi="宋体" w:eastAsia="宋体" w:cs="宋体"/>
                <w:b/>
                <w:bCs/>
                <w:sz w:val="28"/>
                <w:szCs w:val="28"/>
              </w:rPr>
            </w:pPr>
            <w:r>
              <w:rPr>
                <w:rStyle w:val="131"/>
                <w:rFonts w:hint="eastAsia" w:ascii="宋体" w:hAnsi="宋体" w:eastAsia="宋体" w:cs="宋体"/>
                <w:b/>
                <w:sz w:val="28"/>
                <w:szCs w:val="28"/>
              </w:rPr>
              <w:t>编  列  内  容</w:t>
            </w:r>
          </w:p>
        </w:tc>
      </w:tr>
      <w:tr w14:paraId="47AE3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434BF9">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929E9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851400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098662C">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车桥公司电驱主减总成装配线改造技改项目</w:t>
            </w:r>
          </w:p>
        </w:tc>
      </w:tr>
      <w:tr w14:paraId="7690A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4CA4FE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F4BA0F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u w:val="single"/>
              </w:rPr>
              <w:t>CGZX2025090004</w:t>
            </w:r>
          </w:p>
        </w:tc>
      </w:tr>
      <w:tr w14:paraId="1CF20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0984AB9">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CE27BC1">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电驱主减总成装配线改造</w:t>
            </w:r>
            <w:r>
              <w:rPr>
                <w:rFonts w:hint="eastAsia" w:ascii="宋体" w:hAnsi="宋体" w:eastAsia="宋体" w:cs="宋体"/>
                <w:sz w:val="24"/>
                <w:szCs w:val="24"/>
                <w:u w:val="single"/>
                <w:lang w:val="en-US" w:eastAsia="zh-CN"/>
              </w:rPr>
              <w:t>。</w:t>
            </w:r>
          </w:p>
        </w:tc>
      </w:tr>
      <w:tr w14:paraId="1874CF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7CD57B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507707B">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6E1CE8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D092A00">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E064EC0">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F8D64FD">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6389E041">
            <w:pPr>
              <w:ind w:firstLine="482" w:firstLineChars="200"/>
              <w:rPr>
                <w:rFonts w:hint="eastAsia" w:ascii="宋体" w:hAnsi="宋体" w:eastAsia="宋体" w:cs="宋体"/>
                <w:bCs/>
                <w:snapToGrid w:val="0"/>
                <w:color w:val="auto"/>
                <w:kern w:val="0"/>
                <w:sz w:val="24"/>
                <w:szCs w:val="24"/>
                <w:highlight w:val="yellow"/>
              </w:rPr>
            </w:pPr>
            <w:r>
              <w:rPr>
                <w:rFonts w:hint="eastAsia" w:ascii="宋体" w:hAnsi="宋体" w:eastAsia="宋体" w:cs="宋体"/>
                <w:b/>
                <w:snapToGrid w:val="0"/>
                <w:color w:val="auto"/>
                <w:kern w:val="0"/>
                <w:sz w:val="24"/>
                <w:szCs w:val="24"/>
                <w:highlight w:val="yellow"/>
              </w:rPr>
              <w:t>商务联系人：</w:t>
            </w:r>
            <w:r>
              <w:rPr>
                <w:rFonts w:hint="eastAsia" w:ascii="宋体" w:hAnsi="宋体" w:eastAsia="宋体" w:cs="宋体"/>
                <w:bCs/>
                <w:snapToGrid w:val="0"/>
                <w:color w:val="auto"/>
                <w:kern w:val="0"/>
                <w:sz w:val="24"/>
                <w:szCs w:val="24"/>
                <w:highlight w:val="yellow"/>
              </w:rPr>
              <w:t>苏启蒙</w:t>
            </w:r>
          </w:p>
          <w:p w14:paraId="3B6D102E">
            <w:pPr>
              <w:pStyle w:val="18"/>
              <w:ind w:firstLine="482" w:firstLineChars="200"/>
              <w:rPr>
                <w:rFonts w:eastAsia="宋体"/>
                <w:color w:val="auto"/>
                <w:highlight w:val="yellow"/>
              </w:rPr>
            </w:pPr>
            <w:r>
              <w:rPr>
                <w:rFonts w:hint="eastAsia" w:hAnsi="宋体" w:eastAsia="宋体" w:cs="宋体"/>
                <w:b/>
                <w:snapToGrid w:val="0"/>
                <w:color w:val="auto"/>
                <w:kern w:val="0"/>
                <w:sz w:val="24"/>
                <w:szCs w:val="24"/>
                <w:highlight w:val="yellow"/>
              </w:rPr>
              <w:t>电话：</w:t>
            </w:r>
            <w:r>
              <w:rPr>
                <w:rFonts w:hint="eastAsia" w:hAnsi="宋体" w:eastAsia="宋体" w:cs="宋体"/>
                <w:bCs/>
                <w:snapToGrid w:val="0"/>
                <w:color w:val="auto"/>
                <w:kern w:val="0"/>
                <w:sz w:val="24"/>
                <w:szCs w:val="24"/>
                <w:highlight w:val="yellow"/>
              </w:rPr>
              <w:t>17853108182</w:t>
            </w:r>
          </w:p>
          <w:p w14:paraId="62128422">
            <w:pPr>
              <w:ind w:firstLine="482" w:firstLineChars="200"/>
              <w:rPr>
                <w:rFonts w:hint="eastAsia" w:ascii="宋体" w:hAnsi="宋体" w:eastAsia="宋体" w:cs="宋体"/>
                <w:b/>
                <w:snapToGrid w:val="0"/>
                <w:color w:val="auto"/>
                <w:kern w:val="0"/>
                <w:sz w:val="24"/>
                <w:szCs w:val="24"/>
                <w:highlight w:val="yellow"/>
              </w:rPr>
            </w:pPr>
            <w:r>
              <w:rPr>
                <w:rFonts w:hint="eastAsia" w:ascii="宋体" w:hAnsi="宋体" w:eastAsia="宋体" w:cs="宋体"/>
                <w:b/>
                <w:snapToGrid w:val="0"/>
                <w:color w:val="auto"/>
                <w:kern w:val="0"/>
                <w:sz w:val="24"/>
                <w:szCs w:val="24"/>
                <w:highlight w:val="yellow"/>
              </w:rPr>
              <w:t>邮箱：</w:t>
            </w:r>
            <w:r>
              <w:rPr>
                <w:rFonts w:hint="eastAsia" w:ascii="宋体" w:hAnsi="宋体" w:eastAsia="宋体" w:cs="宋体"/>
                <w:bCs/>
                <w:snapToGrid w:val="0"/>
                <w:color w:val="auto"/>
                <w:kern w:val="0"/>
                <w:sz w:val="24"/>
                <w:szCs w:val="24"/>
                <w:highlight w:val="yellow"/>
              </w:rPr>
              <w:t>suqimeng@sinotruk.com</w:t>
            </w:r>
          </w:p>
          <w:p w14:paraId="7A09BEAB">
            <w:pPr>
              <w:ind w:firstLine="480" w:firstLineChars="200"/>
              <w:rPr>
                <w:rStyle w:val="45"/>
                <w:rFonts w:hint="default" w:ascii="宋体" w:hAnsi="宋体" w:eastAsia="宋体" w:cs="宋体"/>
                <w:bCs/>
                <w:snapToGrid w:val="0"/>
                <w:color w:val="auto"/>
                <w:kern w:val="0"/>
                <w:sz w:val="24"/>
                <w:szCs w:val="24"/>
                <w:highlight w:val="yellow"/>
                <w:lang w:val="en-US" w:eastAsia="zh-CN"/>
              </w:rPr>
            </w:pPr>
            <w:r>
              <w:rPr>
                <w:rStyle w:val="45"/>
                <w:rFonts w:hint="eastAsia" w:ascii="宋体" w:hAnsi="宋体" w:eastAsia="宋体" w:cs="宋体"/>
                <w:bCs/>
                <w:snapToGrid w:val="0"/>
                <w:color w:val="auto"/>
                <w:kern w:val="0"/>
                <w:sz w:val="24"/>
                <w:szCs w:val="24"/>
                <w:highlight w:val="yellow"/>
                <w:lang w:val="en-US" w:eastAsia="zh-CN"/>
              </w:rPr>
              <w:t>技术联系人：张凡</w:t>
            </w:r>
          </w:p>
          <w:p w14:paraId="69153835">
            <w:pPr>
              <w:ind w:firstLine="480" w:firstLineChars="200"/>
              <w:rPr>
                <w:rStyle w:val="45"/>
                <w:rFonts w:hint="eastAsia" w:ascii="宋体" w:hAnsi="宋体" w:eastAsia="宋体" w:cs="宋体"/>
                <w:bCs/>
                <w:snapToGrid w:val="0"/>
                <w:color w:val="auto"/>
                <w:kern w:val="0"/>
                <w:sz w:val="24"/>
                <w:szCs w:val="24"/>
                <w:highlight w:val="yellow"/>
                <w:lang w:val="en-US" w:eastAsia="zh-CN"/>
              </w:rPr>
            </w:pPr>
            <w:r>
              <w:rPr>
                <w:rStyle w:val="45"/>
                <w:rFonts w:hint="eastAsia" w:ascii="宋体" w:hAnsi="宋体" w:eastAsia="宋体" w:cs="宋体"/>
                <w:bCs/>
                <w:snapToGrid w:val="0"/>
                <w:color w:val="auto"/>
                <w:kern w:val="0"/>
                <w:sz w:val="24"/>
                <w:szCs w:val="24"/>
                <w:highlight w:val="yellow"/>
                <w:lang w:val="en-US" w:eastAsia="zh-CN"/>
              </w:rPr>
              <w:t>电话：15758046601</w:t>
            </w:r>
          </w:p>
          <w:p w14:paraId="243B97F8">
            <w:pPr>
              <w:ind w:firstLine="480" w:firstLineChars="200"/>
              <w:rPr>
                <w:rStyle w:val="45"/>
                <w:rFonts w:hint="default" w:ascii="宋体" w:hAnsi="宋体" w:eastAsia="宋体" w:cs="宋体"/>
                <w:bCs/>
                <w:snapToGrid w:val="0"/>
                <w:color w:val="auto"/>
                <w:kern w:val="0"/>
                <w:sz w:val="24"/>
                <w:szCs w:val="24"/>
                <w:highlight w:val="red"/>
                <w:lang w:val="en-US" w:eastAsia="zh-CN"/>
              </w:rPr>
            </w:pPr>
            <w:r>
              <w:rPr>
                <w:rStyle w:val="45"/>
                <w:rFonts w:hint="eastAsia" w:ascii="宋体" w:hAnsi="宋体" w:eastAsia="宋体" w:cs="宋体"/>
                <w:bCs/>
                <w:snapToGrid w:val="0"/>
                <w:color w:val="auto"/>
                <w:kern w:val="0"/>
                <w:sz w:val="24"/>
                <w:szCs w:val="24"/>
                <w:highlight w:val="yellow"/>
                <w:lang w:val="en-US" w:eastAsia="zh-CN"/>
              </w:rPr>
              <w:t>邮箱：</w:t>
            </w:r>
            <w:r>
              <w:rPr>
                <w:rFonts w:ascii="宋体" w:hAnsi="宋体" w:eastAsia="宋体" w:cs="宋体"/>
                <w:color w:val="auto"/>
                <w:sz w:val="24"/>
                <w:szCs w:val="24"/>
                <w:highlight w:val="yellow"/>
              </w:rPr>
              <w:t>3185706316@qq.com</w:t>
            </w:r>
          </w:p>
        </w:tc>
      </w:tr>
      <w:tr w14:paraId="364FB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EB65E07">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B52577F">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7159E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FAA667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B0A6CE0">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2D7B1E7D">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4C5A4B0">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108.14</w:t>
            </w:r>
            <w:r>
              <w:rPr>
                <w:rFonts w:hint="eastAsia" w:hAnsi="宋体" w:eastAsia="宋体" w:cs="Times New Roman"/>
                <w:color w:val="000000"/>
                <w:sz w:val="24"/>
                <w:szCs w:val="24"/>
                <w:highlight w:val="none"/>
                <w:lang w:val="en-US" w:eastAsia="zh-CN"/>
              </w:rPr>
              <w:t>万元（含税，税率13%），超过投标限价无法投标。</w:t>
            </w:r>
          </w:p>
        </w:tc>
      </w:tr>
      <w:tr w14:paraId="463B51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6A1D31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354E989">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72027F0">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rPr>
              <w:t>人必须是在中华人民共和国境内注册的独立法人机构，具有独立承担民事责任能力；注册资金不少于</w:t>
            </w:r>
            <w:r>
              <w:rPr>
                <w:rFonts w:hint="eastAsia" w:ascii="宋体" w:hAnsi="宋体" w:eastAsia="宋体" w:cs="宋体"/>
                <w:color w:val="000000"/>
                <w:sz w:val="24"/>
                <w:szCs w:val="24"/>
                <w:lang w:val="en-US" w:eastAsia="zh-CN"/>
              </w:rPr>
              <w:t>200</w:t>
            </w:r>
            <w:r>
              <w:rPr>
                <w:rFonts w:hint="eastAsia" w:ascii="宋体"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44A47BB1">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3AD06EA">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0D1DC37A">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4.在“国家企业信用信息公示系统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中国执行信息公开网</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信用中国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天眼查”“裁判文书网”等信息平台中，无行政处罚及失信记录等信息；</w:t>
            </w:r>
          </w:p>
          <w:p w14:paraId="2153DE76">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64265B0E">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6.拟投标人应提供202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年1月1日至今经会计师事务所审计且出具无保留意见的财务审计报告，并加盖公章，包括但不限于资产负债表、利润表、现金流量表，且未显示异常；</w:t>
            </w:r>
          </w:p>
          <w:p w14:paraId="0CAA29DB">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.拟投标人有与本次招标内容相同或类似项目业绩，且近3年内无因服务不当而造成重大事故；</w:t>
            </w:r>
          </w:p>
          <w:p w14:paraId="07F3FF10">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.拟投标人近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年内在经营活动中无与本项目有关的违法及重大违规情况；</w:t>
            </w:r>
          </w:p>
          <w:p w14:paraId="1EEEEC0A">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.拟投标人须认可招标人的工作指令，包括节、假日能正常开展工作的要求；</w:t>
            </w:r>
          </w:p>
          <w:p w14:paraId="3C2A00D6">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.拟投标人财务状况良好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最近半年纳税正常；</w:t>
            </w:r>
          </w:p>
          <w:p w14:paraId="0492AE2F">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.拟投标人信用证明材料（信用报告）未显示异常；</w:t>
            </w:r>
          </w:p>
          <w:p w14:paraId="776592FC">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.拟投标人的直接或间接股东、法定代表人、董事、监事、高管非重汽员工及其亲属；</w:t>
            </w:r>
          </w:p>
          <w:p w14:paraId="46DEA321">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.本项目不允许代理商参与投标；</w:t>
            </w:r>
          </w:p>
          <w:p w14:paraId="4F06E4AA">
            <w:pPr>
              <w:pStyle w:val="18"/>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.本项目不接受联合体投标，拟投标人必须是最终投标单位和签订合同单位，不得以任何理由将已中标项目以任何形式分包或转包给其他单位</w:t>
            </w:r>
            <w:r>
              <w:rPr>
                <w:rFonts w:hint="eastAsia" w:ascii="宋体" w:hAnsi="宋体" w:eastAsia="宋体" w:cs="宋体"/>
                <w:color w:val="000000"/>
                <w:sz w:val="24"/>
                <w:szCs w:val="24"/>
                <w:lang w:eastAsia="zh-CN"/>
              </w:rPr>
              <w:t>；</w:t>
            </w:r>
          </w:p>
          <w:p w14:paraId="460D637A">
            <w:pPr>
              <w:pStyle w:val="18"/>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15.无招标违规、谎报年度报告信息、提供虚假资质资料等行为或其他行政处罚记录。</w:t>
            </w:r>
          </w:p>
          <w:p w14:paraId="4BD2DAE4">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D54F1A9">
            <w:pPr>
              <w:pStyle w:val="18"/>
              <w:ind w:firstLine="723" w:firstLineChars="3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140D4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06CB0A">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0F7A9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E4C94E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827C29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日;</w:t>
            </w:r>
          </w:p>
        </w:tc>
      </w:tr>
      <w:tr w14:paraId="08F710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588DDA3">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8CC8A59">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56CC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178F5E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96A74E2">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788F8685">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18</w:t>
            </w:r>
            <w:r>
              <w:rPr>
                <w:rFonts w:hint="eastAsia" w:ascii="宋体" w:hAnsi="宋体" w:eastAsia="宋体" w:cs="宋体"/>
                <w:bCs/>
                <w:sz w:val="24"/>
                <w:szCs w:val="24"/>
                <w:highlight w:val="yellow"/>
              </w:rPr>
              <w:t>日17:00前；</w:t>
            </w:r>
          </w:p>
          <w:p w14:paraId="1558C0FB">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ADC3B9">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AE835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9196407">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3F93E2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19</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75801C57">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3AC77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59987D8">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1BF38AF">
            <w:pPr>
              <w:pStyle w:val="11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5E38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97F429D">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19B3713">
            <w:pPr>
              <w:pStyle w:val="114"/>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19</w:t>
            </w:r>
            <w:r>
              <w:rPr>
                <w:rFonts w:hint="eastAsia" w:eastAsia="宋体" w:cs="宋体"/>
                <w:highlight w:val="yellow"/>
              </w:rPr>
              <w:t>日</w:t>
            </w:r>
            <w:r>
              <w:rPr>
                <w:rFonts w:hint="eastAsia" w:eastAsia="宋体" w:cs="宋体"/>
                <w:highlight w:val="yellow"/>
                <w:lang w:val="en-US" w:eastAsia="zh-CN"/>
              </w:rPr>
              <w:t>12时00分00秒</w:t>
            </w:r>
          </w:p>
          <w:p w14:paraId="4CE247E4">
            <w:pPr>
              <w:pStyle w:val="114"/>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7DE953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FA2583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795EAF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E804460">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875E6F9">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7C0A44C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FDFBB6F">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2FE643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232EAC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D7342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0E63D3E7">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3303CD3">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544EF41">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267A8CB">
            <w:pPr>
              <w:pStyle w:val="18"/>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59B5A188">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XXX</w:t>
            </w:r>
          </w:p>
        </w:tc>
      </w:tr>
      <w:tr w14:paraId="41CA80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58D6A41">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04856EB">
            <w:pPr>
              <w:pStyle w:val="18"/>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57350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42A5CD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89C18B1">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26C5957">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4D0D9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684FF8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5FB22E7">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23</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E04082A">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442058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39F0C9B">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AA763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4CD3C3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164B6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B515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4D3CC94">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EE82E5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5044D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BA15CFA">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FB7FA59">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07B40CA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8F170F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129F34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F90BC5B">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736BC15">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259E359">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052C3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117BBEF">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66FE783">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bookmarkStart w:id="1461" w:name="_GoBack"/>
            <w:bookmarkEnd w:id="1461"/>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7BAC0FF5">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3BE557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E5CCEEF">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3C6DDE9">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5E031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0FFAC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C2CE6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768AC3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DB7BF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3B03DA23">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w:t>
            </w:r>
            <w:r>
              <w:rPr>
                <w:rFonts w:hint="eastAsia" w:ascii="宋体" w:hAnsi="宋体" w:eastAsia="宋体" w:cs="宋体"/>
                <w:sz w:val="24"/>
                <w:szCs w:val="24"/>
                <w:highlight w:val="yellow"/>
                <w:lang w:val="en-US" w:eastAsia="zh-CN"/>
              </w:rPr>
              <w:t>重汽科技大厦三楼会议室</w:t>
            </w:r>
            <w:r>
              <w:rPr>
                <w:rFonts w:hint="eastAsia" w:ascii="宋体" w:hAnsi="宋体" w:eastAsia="宋体" w:cs="宋体"/>
                <w:sz w:val="24"/>
                <w:szCs w:val="24"/>
              </w:rPr>
              <w:t>。</w:t>
            </w:r>
          </w:p>
        </w:tc>
      </w:tr>
      <w:tr w14:paraId="7EA474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557AD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5901CE5A">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D79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E7057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2A8C1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E9A34C">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577317E">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292628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23F895">
            <w:pPr>
              <w:jc w:val="center"/>
              <w:rPr>
                <w:rFonts w:ascii="宋体" w:hAnsi="宋体" w:eastAsia="宋体" w:cs="宋体"/>
                <w:b/>
                <w:bCs/>
                <w:sz w:val="24"/>
                <w:szCs w:val="24"/>
              </w:rPr>
            </w:pPr>
            <w:r>
              <w:rPr>
                <w:rFonts w:hint="eastAsia" w:ascii="宋体" w:hAnsi="宋体" w:eastAsia="宋体" w:cs="宋体"/>
                <w:b/>
                <w:bCs/>
                <w:sz w:val="24"/>
                <w:szCs w:val="24"/>
              </w:rPr>
              <w:t>7.交货及付款方式</w:t>
            </w:r>
          </w:p>
        </w:tc>
      </w:tr>
      <w:tr w14:paraId="0FB02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3D0043A">
            <w:pPr>
              <w:jc w:val="center"/>
              <w:rPr>
                <w:rFonts w:hint="eastAsia" w:ascii="宋体" w:hAnsi="宋体" w:eastAsia="宋体" w:cs="宋体"/>
                <w:sz w:val="24"/>
                <w:szCs w:val="24"/>
                <w:lang w:val="en-US" w:eastAsia="zh-CN"/>
              </w:rPr>
            </w:pPr>
            <w:r>
              <w:rPr>
                <w:rFonts w:hint="eastAsia" w:ascii="宋体" w:hAnsi="宋体" w:eastAsia="宋体" w:cs="宋体"/>
                <w:sz w:val="24"/>
                <w:szCs w:val="24"/>
              </w:rPr>
              <w:t>7.</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70F2CA4">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1A07923">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default" w:hAnsi="宋体" w:eastAsia="宋体" w:cs="宋体"/>
                <w:color w:val="000000"/>
                <w:sz w:val="24"/>
                <w:szCs w:val="24"/>
              </w:rPr>
              <w:t>重汽(济南)车桥有限公司（工地）</w:t>
            </w:r>
            <w:r>
              <w:rPr>
                <w:rFonts w:hint="eastAsia" w:hAnsi="宋体" w:eastAsia="宋体" w:cs="宋体"/>
                <w:color w:val="000000"/>
                <w:sz w:val="24"/>
                <w:szCs w:val="24"/>
              </w:rPr>
              <w:t>。</w:t>
            </w:r>
          </w:p>
        </w:tc>
      </w:tr>
      <w:tr w14:paraId="065869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5625AE9">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2</w:t>
            </w:r>
          </w:p>
        </w:tc>
        <w:tc>
          <w:tcPr>
            <w:tcW w:w="8363" w:type="dxa"/>
            <w:tcBorders>
              <w:top w:val="single" w:color="auto" w:sz="2" w:space="0"/>
              <w:left w:val="single" w:color="auto" w:sz="4" w:space="0"/>
              <w:bottom w:val="single" w:color="auto" w:sz="2" w:space="0"/>
              <w:right w:val="single" w:color="auto" w:sz="2" w:space="0"/>
            </w:tcBorders>
            <w:vAlign w:val="center"/>
          </w:tcPr>
          <w:p w14:paraId="6DE9A3D0">
            <w:pPr>
              <w:pStyle w:val="36"/>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28B9289B">
            <w:pPr>
              <w:pStyle w:val="36"/>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14:paraId="68B77967">
            <w:pPr>
              <w:pStyle w:val="36"/>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14:paraId="729E4DFA">
            <w:pPr>
              <w:pStyle w:val="36"/>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14:paraId="4E59F252">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14:paraId="690FCBAE">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14:paraId="6284F174">
            <w:pPr>
              <w:pStyle w:val="36"/>
              <w:numPr>
                <w:ilvl w:val="0"/>
                <w:numId w:val="2"/>
              </w:numPr>
              <w:spacing w:after="0" w:line="240" w:lineRule="auto"/>
              <w:ind w:left="0" w:leftChars="0" w:firstLine="480"/>
              <w:rPr>
                <w:rFonts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5FC80B19">
            <w:pPr>
              <w:pStyle w:val="36"/>
              <w:numPr>
                <w:ilvl w:val="0"/>
                <w:numId w:val="0"/>
              </w:numPr>
              <w:spacing w:after="0" w:line="240" w:lineRule="auto"/>
              <w:ind w:leftChars="200"/>
              <w:rPr>
                <w:rFonts w:ascii="宋体" w:hAnsi="宋体" w:eastAsia="宋体" w:cs="宋体"/>
                <w:sz w:val="24"/>
                <w:szCs w:val="24"/>
              </w:rPr>
            </w:pPr>
            <w:r>
              <w:rPr>
                <w:rFonts w:hint="eastAsia" w:hAnsi="宋体" w:eastAsia="宋体" w:cs="宋体"/>
                <w:bCs/>
                <w:color w:val="000000"/>
                <w:sz w:val="24"/>
                <w:szCs w:val="24"/>
                <w:highlight w:val="yellow"/>
              </w:rPr>
              <w:t>*注：付款方式及付款比例不允许偏离</w:t>
            </w:r>
          </w:p>
        </w:tc>
      </w:tr>
      <w:tr w14:paraId="275561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D628218">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3</w:t>
            </w:r>
          </w:p>
        </w:tc>
        <w:tc>
          <w:tcPr>
            <w:tcW w:w="8363" w:type="dxa"/>
            <w:tcBorders>
              <w:top w:val="single" w:color="auto" w:sz="2" w:space="0"/>
              <w:left w:val="single" w:color="auto" w:sz="4" w:space="0"/>
              <w:bottom w:val="single" w:color="auto" w:sz="2" w:space="0"/>
              <w:right w:val="single" w:color="auto" w:sz="2" w:space="0"/>
            </w:tcBorders>
            <w:vAlign w:val="center"/>
          </w:tcPr>
          <w:p w14:paraId="68EC0D82">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721E80EB">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14:paraId="64F7F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0C1408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064A2E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DE06061">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96BDA3F">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1E55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C12395">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07CAED8">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7B2572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1409CB">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1B5E1E6">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8A9AB80">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0481D1F5">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588F868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CB45BA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3A9FFFB2">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0DA4359">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74D7EE0E">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B6052AB">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ED4DF7A">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A56AA78">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6BE61A0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73D39A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D5EBF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6FFFC5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1232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58BEB9A">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312AA79">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414EEEE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5CD1507">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FE02239">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D49E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BA78C5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7CA72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4AB0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AD90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56D77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92AE2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5413AFC">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C8DBE1">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14587216">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4D4249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9A30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64AA61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40708A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752A055">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23489D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FA5CE2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0C7A731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0863C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65F2890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5CCA4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96092A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6180D66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45232F44">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66D7D31">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48DD6F6">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91545EE">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BADF9D2">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31542009">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A43A928">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62B8B873">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0FE5811F">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EED647D">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818A1FB">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177850C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429F6EE5">
      <w:pPr>
        <w:pStyle w:val="114"/>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EB03E0E">
      <w:pPr>
        <w:pStyle w:val="114"/>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7E2F5D5D">
      <w:pPr>
        <w:pStyle w:val="114"/>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6ADA32F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D8CE0F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651B3EF">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7C7572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473276EA">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52EEDD5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BDB076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1C7B949A">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5653"/>
      <w:bookmarkStart w:id="8" w:name="_Toc33266914"/>
      <w:bookmarkStart w:id="9" w:name="_Toc33266627"/>
      <w:bookmarkStart w:id="10" w:name="_Toc33267001"/>
      <w:bookmarkStart w:id="11" w:name="_Toc33265752"/>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3C0A8E72">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30D6A74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3266951"/>
      <w:bookmarkStart w:id="16" w:name="_Toc33285489"/>
      <w:bookmarkStart w:id="17" w:name="_Toc33265654"/>
      <w:bookmarkStart w:id="18" w:name="_Toc33265753"/>
      <w:bookmarkStart w:id="19" w:name="_Toc395116634"/>
      <w:bookmarkStart w:id="20" w:name="_Toc33266628"/>
      <w:bookmarkStart w:id="21"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62B9E0E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CAA6E10">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470A38F5">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661F3B5E">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A71F28">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CACE9E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25DFCD04">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6A743D47">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68DBE98">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62FB04AA">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04CE1A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24E19EF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FA919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7DA4AF4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6081A7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70215C2D">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F415F3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5F630B9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3B5468A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5FF1EB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E186B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161781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19171A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7F7C20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0B7AF45">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29F348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ECFF5B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15F557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A9C06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0DDBBC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3F66C85">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5582B23C">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C93ECF4">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955BF2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69CD82C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00A6D12D">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93AC96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34CAC4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0F5EE4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8"/>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51EDF4A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C0E07C3">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593474E">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2233382">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12F76736">
      <w:pPr>
        <w:pStyle w:val="18"/>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14:paraId="0FFD1216">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C2650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0C484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010407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46BBF2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8550A2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E2A3D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58F7B3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521572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F81D4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1146AF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C94C3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8F6DE1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398847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A123552">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433EB41">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2A097924">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27C059B">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4585B4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46FD7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BF0C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5CFFA960">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1C7DF8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0562B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2B6BD56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6A85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0B28FE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84DA6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0601A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25F4AC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62C3DBE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E35FCD3">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3B6112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46BD70D">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2D09257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F50D4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5A4020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2263D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196A98B9">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CE179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73C50E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5066F3E">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731EBA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C4C4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-1至9-3</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56717A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7E76B6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6D4C03C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695E7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07EDD3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2522F0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A2CDD35">
      <w:pPr>
        <w:pStyle w:val="18"/>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66CC109C">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F66966B">
      <w:pPr>
        <w:pStyle w:val="18"/>
      </w:pPr>
    </w:p>
    <w:p w14:paraId="080BA077">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重汽(济南)车桥有限公司</w:t>
      </w:r>
    </w:p>
    <w:p w14:paraId="59BBFFBA">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电驱主减总成装配线改造技改项目</w:t>
      </w:r>
    </w:p>
    <w:p w14:paraId="298723A3">
      <w:pPr>
        <w:jc w:val="right"/>
        <w:rPr>
          <w:rFonts w:ascii="Calibri" w:hAnsi="Calibri" w:eastAsia="宋体" w:cs="Times New Roman"/>
          <w:color w:val="000000"/>
          <w:sz w:val="28"/>
          <w:szCs w:val="28"/>
        </w:rPr>
      </w:pPr>
    </w:p>
    <w:p w14:paraId="2C9611B4">
      <w:pPr>
        <w:pStyle w:val="18"/>
      </w:pPr>
    </w:p>
    <w:p w14:paraId="2AB8496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3A1921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AFFC76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CDD045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8C71494">
      <w:pPr>
        <w:pStyle w:val="18"/>
      </w:pPr>
    </w:p>
    <w:p w14:paraId="2E3BD2E9">
      <w:pPr>
        <w:pStyle w:val="18"/>
        <w:rPr>
          <w:rFonts w:ascii="黑体" w:hAnsi="宋体" w:eastAsia="黑体" w:cs="Times New Roman"/>
          <w:color w:val="000000"/>
          <w:sz w:val="72"/>
          <w:szCs w:val="72"/>
        </w:rPr>
      </w:pPr>
    </w:p>
    <w:p w14:paraId="6F907335">
      <w:pPr>
        <w:pStyle w:val="18"/>
        <w:rPr>
          <w:rFonts w:ascii="黑体" w:hAnsi="宋体" w:eastAsia="黑体" w:cs="Times New Roman"/>
          <w:color w:val="000000"/>
          <w:sz w:val="72"/>
          <w:szCs w:val="72"/>
        </w:rPr>
      </w:pPr>
    </w:p>
    <w:p w14:paraId="50A170E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FE84F7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EE9486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63F4F1E">
      <w:pPr>
        <w:pStyle w:val="18"/>
        <w:rPr>
          <w:b/>
          <w:bCs/>
        </w:rPr>
      </w:pPr>
    </w:p>
    <w:p w14:paraId="55C7BD25">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14:paraId="73A55E75">
      <w:pPr>
        <w:pStyle w:val="14"/>
      </w:pPr>
    </w:p>
    <w:p w14:paraId="5702F5DA">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44946B45">
      <w:pPr>
        <w:spacing w:line="360" w:lineRule="auto"/>
        <w:rPr>
          <w:rFonts w:ascii="宋体" w:hAnsi="宋体" w:eastAsia="宋体" w:cs="Times New Roman"/>
          <w:b/>
          <w:sz w:val="36"/>
          <w:szCs w:val="36"/>
        </w:rPr>
      </w:pPr>
    </w:p>
    <w:p w14:paraId="3AF677B6">
      <w:pPr>
        <w:pStyle w:val="14"/>
        <w:sectPr>
          <w:headerReference r:id="rId10" w:type="default"/>
          <w:footerReference r:id="rId11" w:type="default"/>
          <w:pgSz w:w="11907" w:h="16840"/>
          <w:pgMar w:top="1304" w:right="1418" w:bottom="1304" w:left="1418" w:header="724" w:footer="851" w:gutter="0"/>
          <w:pgNumType w:fmt="decimal" w:start="17"/>
          <w:cols w:space="720" w:num="1"/>
          <w:docGrid w:linePitch="290" w:charSpace="-3931"/>
        </w:sectPr>
      </w:pPr>
    </w:p>
    <w:p w14:paraId="565416E0">
      <w:pPr>
        <w:keepNext w:val="0"/>
        <w:keepLines w:val="0"/>
        <w:pageBreakBefore w:val="0"/>
        <w:widowControl w:val="0"/>
        <w:kinsoku/>
        <w:wordWrap/>
        <w:overflowPunct/>
        <w:topLinePunct w:val="0"/>
        <w:autoSpaceDE/>
        <w:autoSpaceDN/>
        <w:bidi w:val="0"/>
        <w:adjustRightInd w:val="0"/>
        <w:snapToGrid w:val="0"/>
        <w:spacing w:before="163" w:beforeLines="50" w:after="163" w:afterLines="50" w:line="360" w:lineRule="auto"/>
        <w:ind w:firstLine="482" w:firstLineChars="200"/>
        <w:jc w:val="center"/>
        <w:textAlignment w:val="auto"/>
        <w:outlineLvl w:val="0"/>
        <w:rPr>
          <w:rFonts w:hint="eastAsia" w:ascii="宋体" w:hAnsi="宋体" w:eastAsia="宋体" w:cs="宋体"/>
          <w:b/>
          <w:bCs/>
          <w:color w:val="auto"/>
          <w:sz w:val="24"/>
          <w:szCs w:val="24"/>
          <w:highlight w:val="none"/>
          <w:shd w:val="clear" w:color="auto" w:fill="auto"/>
        </w:rPr>
      </w:pPr>
      <w:bookmarkStart w:id="32" w:name="_Toc31885"/>
      <w:bookmarkStart w:id="33" w:name="_Toc7975"/>
      <w:bookmarkStart w:id="34" w:name="_Toc19570"/>
      <w:bookmarkStart w:id="35" w:name="_Toc20272"/>
      <w:bookmarkStart w:id="36" w:name="_Toc19716"/>
      <w:bookmarkStart w:id="37" w:name="_Toc73112396"/>
      <w:bookmarkStart w:id="38" w:name="_Toc6957"/>
      <w:bookmarkStart w:id="39" w:name="_Toc4029"/>
      <w:bookmarkStart w:id="40" w:name="_Toc2174"/>
      <w:bookmarkStart w:id="41" w:name="_Toc2042"/>
      <w:r>
        <w:rPr>
          <w:rFonts w:hint="eastAsia" w:ascii="宋体" w:hAnsi="宋体" w:eastAsia="宋体" w:cs="宋体"/>
          <w:b/>
          <w:bCs/>
          <w:color w:val="auto"/>
          <w:sz w:val="24"/>
          <w:szCs w:val="24"/>
          <w:highlight w:val="none"/>
          <w:shd w:val="clear" w:color="auto" w:fill="auto"/>
        </w:rPr>
        <w:t>第一章采购货物概况</w:t>
      </w:r>
      <w:bookmarkEnd w:id="32"/>
      <w:bookmarkEnd w:id="33"/>
      <w:bookmarkEnd w:id="34"/>
      <w:bookmarkEnd w:id="35"/>
      <w:bookmarkEnd w:id="36"/>
      <w:bookmarkEnd w:id="37"/>
      <w:bookmarkEnd w:id="38"/>
      <w:bookmarkEnd w:id="39"/>
      <w:bookmarkEnd w:id="40"/>
      <w:bookmarkEnd w:id="41"/>
      <w:bookmarkStart w:id="42" w:name="_Toc133783967"/>
    </w:p>
    <w:p w14:paraId="36D288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outlineLvl w:val="1"/>
        <w:rPr>
          <w:rFonts w:hint="eastAsia" w:ascii="宋体" w:hAnsi="宋体" w:eastAsia="宋体" w:cs="宋体"/>
          <w:b/>
          <w:bCs/>
          <w:color w:val="auto"/>
          <w:sz w:val="24"/>
          <w:szCs w:val="24"/>
          <w:highlight w:val="none"/>
          <w:shd w:val="clear" w:color="auto" w:fill="auto"/>
        </w:rPr>
      </w:pPr>
      <w:bookmarkStart w:id="43" w:name="_Toc6498"/>
      <w:bookmarkStart w:id="44" w:name="_Toc29605"/>
      <w:bookmarkStart w:id="45" w:name="_Toc11411"/>
      <w:bookmarkStart w:id="46" w:name="_Toc4376"/>
      <w:bookmarkStart w:id="47" w:name="_Toc7159"/>
      <w:bookmarkStart w:id="48" w:name="_Toc30808"/>
      <w:bookmarkStart w:id="49" w:name="_Toc11763"/>
      <w:bookmarkStart w:id="50" w:name="_Toc6606"/>
      <w:bookmarkStart w:id="51" w:name="_Toc4004"/>
      <w:bookmarkStart w:id="52" w:name="_Toc5609"/>
      <w:bookmarkStart w:id="53" w:name="_Toc27214"/>
      <w:bookmarkStart w:id="54" w:name="_Toc5400"/>
      <w:bookmarkStart w:id="55" w:name="_Toc16714"/>
      <w:bookmarkStart w:id="56" w:name="_Toc6436"/>
      <w:bookmarkStart w:id="57" w:name="_Toc21892"/>
      <w:bookmarkStart w:id="58" w:name="_Toc17474"/>
      <w:bookmarkStart w:id="59" w:name="_Toc29157"/>
      <w:bookmarkStart w:id="60" w:name="_Toc25011"/>
      <w:bookmarkStart w:id="61" w:name="_Toc24689"/>
      <w:bookmarkStart w:id="62" w:name="_Toc31000"/>
      <w:bookmarkStart w:id="63" w:name="_Toc2152"/>
      <w:bookmarkStart w:id="64" w:name="_Toc7515"/>
      <w:bookmarkStart w:id="65" w:name="_Toc5826"/>
      <w:bookmarkStart w:id="66" w:name="_Toc5983"/>
      <w:bookmarkStart w:id="67" w:name="_Toc28361"/>
      <w:bookmarkStart w:id="68" w:name="_Toc5420"/>
      <w:bookmarkStart w:id="69" w:name="_Toc22942"/>
      <w:bookmarkStart w:id="70" w:name="_Toc7333"/>
      <w:bookmarkStart w:id="71" w:name="_Toc73112397"/>
      <w:bookmarkStart w:id="72" w:name="_Toc21756"/>
      <w:bookmarkStart w:id="73" w:name="_Toc892"/>
      <w:bookmarkStart w:id="74" w:name="_Toc8362"/>
      <w:bookmarkStart w:id="75" w:name="_Toc19070"/>
      <w:bookmarkStart w:id="76" w:name="_Toc5172"/>
      <w:bookmarkStart w:id="77" w:name="_Toc30246"/>
      <w:bookmarkStart w:id="78" w:name="_Toc9983"/>
      <w:bookmarkStart w:id="79" w:name="_Toc10612"/>
      <w:bookmarkStart w:id="80" w:name="_Toc29927"/>
      <w:bookmarkStart w:id="81" w:name="_Toc2996"/>
      <w:bookmarkStart w:id="82" w:name="_Toc864"/>
      <w:bookmarkStart w:id="83" w:name="_Toc30245"/>
      <w:bookmarkStart w:id="84" w:name="_Toc2940"/>
      <w:bookmarkStart w:id="85" w:name="_Toc22424"/>
      <w:r>
        <w:rPr>
          <w:rFonts w:hint="eastAsia" w:ascii="宋体" w:hAnsi="宋体" w:eastAsia="宋体" w:cs="宋体"/>
          <w:b/>
          <w:bCs/>
          <w:color w:val="auto"/>
          <w:sz w:val="24"/>
          <w:szCs w:val="24"/>
          <w:highlight w:val="none"/>
          <w:shd w:val="clear" w:color="auto" w:fill="auto"/>
        </w:rPr>
        <w:t>第一节使用环境</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18FECD9">
      <w:pPr>
        <w:keepNext w:val="0"/>
        <w:keepLines w:val="0"/>
        <w:pageBreakBefore w:val="0"/>
        <w:widowControl w:val="0"/>
        <w:tabs>
          <w:tab w:val="left" w:pos="0"/>
        </w:tabs>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 xml:space="preserve">1项目名称：电驱主减总成装配线改造技改项目 </w:t>
      </w:r>
    </w:p>
    <w:p w14:paraId="15CEF00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2建设地点：重汽(济南)车桥有限公司（工地）</w:t>
      </w:r>
    </w:p>
    <w:p w14:paraId="1C67B2B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3使用地点：车桥公司主减速器线主减装配分部（室内）</w:t>
      </w:r>
    </w:p>
    <w:p w14:paraId="1C61B18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4工作制度：全年工作300天、3班制、设备年时基数 7200 小时</w:t>
      </w:r>
    </w:p>
    <w:p w14:paraId="1E14BF9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5使用地点区域自然环境：</w:t>
      </w:r>
    </w:p>
    <w:p w14:paraId="1BBBE34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5.1海拨高度：1000m以下。</w:t>
      </w:r>
    </w:p>
    <w:p w14:paraId="5611FA8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5.2环境温度：室外极端最低温度-19.7℃、极端最高温度42℃，昼夜最大温差25℃；室内温度5～40℃。</w:t>
      </w:r>
    </w:p>
    <w:p w14:paraId="02CD091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5.3相对湿度：年平均59%，最大95%、最小15%。</w:t>
      </w:r>
    </w:p>
    <w:p w14:paraId="0BDA7A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5.4 地震裂度：七度。</w:t>
      </w:r>
    </w:p>
    <w:p w14:paraId="015283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6能源环境：</w:t>
      </w:r>
    </w:p>
    <w:p w14:paraId="7DE5E9E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6.1电力：中国制式，供电电压</w:t>
      </w:r>
      <w:r>
        <w:rPr>
          <w:rFonts w:hint="default" w:ascii="Times New Roman" w:hAnsi="Times New Roman" w:eastAsia="宋体" w:cs="Times New Roman"/>
          <w:color w:val="auto"/>
          <w:kern w:val="0"/>
          <w:sz w:val="24"/>
          <w:szCs w:val="24"/>
          <w:highlight w:val="none"/>
          <w:u w:val="single"/>
          <w:shd w:val="clear" w:color="auto" w:fill="auto"/>
          <w:lang w:val="en-US" w:eastAsia="zh-CN" w:bidi="ar-SA"/>
        </w:rPr>
        <w:t>380V±15%/220V±15%</w:t>
      </w:r>
      <w:r>
        <w:rPr>
          <w:rFonts w:hint="default" w:ascii="Times New Roman" w:hAnsi="Times New Roman" w:eastAsia="宋体" w:cs="Times New Roman"/>
          <w:color w:val="auto"/>
          <w:kern w:val="0"/>
          <w:sz w:val="24"/>
          <w:szCs w:val="24"/>
          <w:highlight w:val="none"/>
          <w:shd w:val="clear" w:color="auto" w:fill="auto"/>
          <w:lang w:val="en-US" w:eastAsia="zh-CN" w:bidi="ar-SA"/>
        </w:rPr>
        <w:t>，供电频率50Hz±2%。</w:t>
      </w:r>
    </w:p>
    <w:p w14:paraId="1261C61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 xml:space="preserve">6.2 </w:t>
      </w:r>
      <w:r>
        <w:rPr>
          <w:rFonts w:hint="default" w:ascii="Times New Roman" w:hAnsi="Times New Roman" w:eastAsia="宋体" w:cs="Times New Roman"/>
          <w:color w:val="auto"/>
          <w:kern w:val="0"/>
          <w:sz w:val="24"/>
          <w:szCs w:val="24"/>
          <w:highlight w:val="none"/>
          <w:shd w:val="clear" w:color="auto" w:fill="auto"/>
        </w:rPr>
        <w:t>给水：市政自来水</w:t>
      </w:r>
    </w:p>
    <w:p w14:paraId="0ABDE8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6.3压缩空气：自备空压机自产压缩空气，压力范围</w:t>
      </w:r>
      <w:r>
        <w:rPr>
          <w:rFonts w:hint="default" w:ascii="Times New Roman" w:hAnsi="Times New Roman" w:eastAsia="宋体" w:cs="Times New Roman"/>
          <w:color w:val="auto"/>
          <w:kern w:val="0"/>
          <w:sz w:val="24"/>
          <w:szCs w:val="24"/>
          <w:highlight w:val="none"/>
          <w:u w:val="single"/>
          <w:shd w:val="clear" w:color="auto" w:fill="auto"/>
          <w:lang w:val="en-US" w:eastAsia="zh-CN" w:bidi="ar-SA"/>
        </w:rPr>
        <w:t>0.5±0.1MPa</w:t>
      </w:r>
      <w:r>
        <w:rPr>
          <w:rFonts w:hint="default" w:ascii="Times New Roman" w:hAnsi="Times New Roman" w:eastAsia="宋体" w:cs="Times New Roman"/>
          <w:color w:val="auto"/>
          <w:kern w:val="0"/>
          <w:sz w:val="24"/>
          <w:szCs w:val="24"/>
          <w:highlight w:val="none"/>
          <w:shd w:val="clear" w:color="auto" w:fill="auto"/>
          <w:lang w:val="en-US" w:eastAsia="zh-CN" w:bidi="ar-SA"/>
        </w:rPr>
        <w:t>。</w:t>
      </w:r>
      <w:bookmarkStart w:id="86" w:name="_Toc17543"/>
      <w:bookmarkStart w:id="87" w:name="_Toc24563"/>
      <w:bookmarkStart w:id="88" w:name="_Toc17682"/>
      <w:bookmarkStart w:id="89" w:name="_Toc21616"/>
      <w:bookmarkStart w:id="90" w:name="_Toc5374"/>
      <w:bookmarkStart w:id="91" w:name="_Toc24481"/>
      <w:bookmarkStart w:id="92" w:name="_Toc9143"/>
      <w:bookmarkStart w:id="93" w:name="_Toc31241"/>
      <w:bookmarkStart w:id="94" w:name="_Toc8728"/>
      <w:bookmarkStart w:id="95" w:name="_Toc12401"/>
      <w:bookmarkStart w:id="96" w:name="_Toc6636"/>
      <w:bookmarkStart w:id="97" w:name="_Toc429"/>
      <w:bookmarkStart w:id="98" w:name="_Toc27857"/>
      <w:bookmarkStart w:id="99" w:name="_Toc23473"/>
      <w:bookmarkStart w:id="100" w:name="_Toc5421"/>
      <w:bookmarkStart w:id="101" w:name="_Toc22983"/>
      <w:bookmarkStart w:id="102" w:name="_Toc133783968"/>
      <w:bookmarkStart w:id="103" w:name="_Toc18569"/>
      <w:bookmarkStart w:id="104" w:name="_Toc29019"/>
      <w:bookmarkStart w:id="105" w:name="_Toc5282"/>
      <w:bookmarkStart w:id="106" w:name="_Toc11744"/>
      <w:bookmarkStart w:id="107" w:name="_Toc17605"/>
      <w:bookmarkStart w:id="108" w:name="_Toc13324"/>
      <w:bookmarkStart w:id="109" w:name="_Toc6433"/>
      <w:bookmarkStart w:id="110" w:name="_Toc9561"/>
      <w:bookmarkStart w:id="111" w:name="_Toc15369"/>
      <w:bookmarkStart w:id="112" w:name="_Toc9784"/>
      <w:bookmarkStart w:id="113" w:name="_Toc29333"/>
      <w:bookmarkStart w:id="114" w:name="_Toc8740"/>
      <w:bookmarkStart w:id="115" w:name="_Toc27449"/>
      <w:bookmarkStart w:id="116" w:name="_Toc9671"/>
      <w:bookmarkStart w:id="117" w:name="_Toc30431"/>
      <w:bookmarkStart w:id="118" w:name="_Toc4175"/>
    </w:p>
    <w:p w14:paraId="28B4A1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outlineLvl w:val="1"/>
        <w:rPr>
          <w:rFonts w:hint="default" w:ascii="Times New Roman" w:hAnsi="Times New Roman" w:eastAsia="宋体" w:cs="Times New Roman"/>
          <w:color w:val="auto"/>
          <w:sz w:val="24"/>
          <w:szCs w:val="24"/>
          <w:highlight w:val="none"/>
          <w:shd w:val="clear" w:color="auto" w:fill="auto"/>
        </w:rPr>
      </w:pPr>
      <w:bookmarkStart w:id="119" w:name="_Toc29190"/>
      <w:bookmarkStart w:id="120" w:name="_Toc32599"/>
      <w:bookmarkStart w:id="121" w:name="_Toc1523"/>
      <w:bookmarkStart w:id="122" w:name="_Toc8560"/>
      <w:bookmarkStart w:id="123" w:name="_Toc73112398"/>
      <w:bookmarkStart w:id="124" w:name="_Toc21302"/>
      <w:bookmarkStart w:id="125" w:name="_Toc24559"/>
      <w:bookmarkStart w:id="126" w:name="_Toc5431"/>
      <w:bookmarkStart w:id="127" w:name="_Toc18032"/>
      <w:bookmarkStart w:id="128" w:name="_Toc21957"/>
      <w:bookmarkStart w:id="129" w:name="_Toc10013"/>
      <w:bookmarkStart w:id="130" w:name="_Toc13544"/>
      <w:bookmarkStart w:id="131" w:name="_Toc17750"/>
      <w:bookmarkStart w:id="132" w:name="_Toc1424"/>
      <w:bookmarkStart w:id="133" w:name="_Toc18778"/>
      <w:r>
        <w:rPr>
          <w:rFonts w:hint="default" w:ascii="Times New Roman" w:hAnsi="Times New Roman" w:eastAsia="宋体" w:cs="Times New Roman"/>
          <w:b/>
          <w:bCs/>
          <w:color w:val="auto"/>
          <w:sz w:val="24"/>
          <w:szCs w:val="24"/>
          <w:highlight w:val="none"/>
          <w:shd w:val="clear" w:color="auto" w:fill="auto"/>
        </w:rPr>
        <w:t>第二节采购货物概况</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8B233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1货物（或生产线）：</w:t>
      </w:r>
      <w:r>
        <w:rPr>
          <w:rFonts w:hint="default" w:ascii="Times New Roman" w:hAnsi="Times New Roman" w:eastAsia="宋体" w:cs="Times New Roman"/>
          <w:color w:val="auto"/>
          <w:kern w:val="0"/>
          <w:sz w:val="24"/>
          <w:szCs w:val="24"/>
          <w:highlight w:val="none"/>
          <w:u w:val="single"/>
          <w:shd w:val="clear" w:color="auto" w:fill="auto"/>
          <w:lang w:val="en-US" w:eastAsia="zh-CN" w:bidi="ar-SA"/>
        </w:rPr>
        <w:t xml:space="preserve">主减装配电驱线设备改造  </w:t>
      </w:r>
      <w:r>
        <w:rPr>
          <w:rFonts w:hint="default" w:ascii="Times New Roman" w:hAnsi="Times New Roman" w:eastAsia="宋体" w:cs="Times New Roman"/>
          <w:color w:val="auto"/>
          <w:kern w:val="0"/>
          <w:sz w:val="24"/>
          <w:szCs w:val="24"/>
          <w:highlight w:val="none"/>
          <w:shd w:val="clear" w:color="auto" w:fill="auto"/>
          <w:lang w:val="en-US" w:eastAsia="zh-CN" w:bidi="ar-SA"/>
        </w:rPr>
        <w:t>（详见下表）</w:t>
      </w:r>
    </w:p>
    <w:p w14:paraId="47B201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2货物（或生产线）数量：</w:t>
      </w:r>
      <w:r>
        <w:rPr>
          <w:rFonts w:hint="default" w:ascii="Times New Roman" w:hAnsi="Times New Roman" w:eastAsia="宋体" w:cs="Times New Roman"/>
          <w:color w:val="auto"/>
          <w:kern w:val="0"/>
          <w:sz w:val="24"/>
          <w:szCs w:val="24"/>
          <w:highlight w:val="none"/>
          <w:u w:val="single"/>
          <w:shd w:val="clear" w:color="auto" w:fill="auto"/>
          <w:lang w:val="en-US" w:eastAsia="zh-CN" w:bidi="ar-SA"/>
        </w:rPr>
        <w:t>1套</w:t>
      </w:r>
      <w:r>
        <w:rPr>
          <w:rFonts w:hint="default" w:ascii="Times New Roman" w:hAnsi="Times New Roman" w:eastAsia="宋体" w:cs="Times New Roman"/>
          <w:color w:val="auto"/>
          <w:kern w:val="0"/>
          <w:sz w:val="24"/>
          <w:szCs w:val="24"/>
          <w:highlight w:val="none"/>
          <w:shd w:val="clear" w:color="auto" w:fill="auto"/>
          <w:lang w:val="en-US" w:eastAsia="zh-CN" w:bidi="ar-SA"/>
        </w:rPr>
        <w:t>（详见下表）</w:t>
      </w:r>
    </w:p>
    <w:p w14:paraId="48B455C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采购货物（或生产线）主要构成一览表</w:t>
      </w:r>
    </w:p>
    <w:tbl>
      <w:tblPr>
        <w:tblStyle w:val="37"/>
        <w:tblW w:w="7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00"/>
        <w:gridCol w:w="1990"/>
        <w:gridCol w:w="720"/>
        <w:gridCol w:w="700"/>
        <w:gridCol w:w="1439"/>
        <w:gridCol w:w="1247"/>
      </w:tblGrid>
      <w:tr w14:paraId="3966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auto"/>
            <w:vAlign w:val="center"/>
          </w:tcPr>
          <w:p w14:paraId="3E98B882">
            <w:pPr>
              <w:widowControl w:val="0"/>
              <w:snapToGrid w:val="0"/>
              <w:spacing w:line="360" w:lineRule="auto"/>
              <w:ind w:firstLine="0" w:firstLineChars="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序号</w:t>
            </w:r>
          </w:p>
        </w:tc>
        <w:tc>
          <w:tcPr>
            <w:tcW w:w="1100" w:type="dxa"/>
            <w:shd w:val="clear" w:color="auto" w:fill="auto"/>
            <w:vAlign w:val="center"/>
          </w:tcPr>
          <w:p w14:paraId="1CE2BA58">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货物名称</w:t>
            </w:r>
          </w:p>
        </w:tc>
        <w:tc>
          <w:tcPr>
            <w:tcW w:w="1990" w:type="dxa"/>
            <w:shd w:val="clear" w:color="auto" w:fill="auto"/>
            <w:vAlign w:val="center"/>
          </w:tcPr>
          <w:p w14:paraId="2E3BCFA3">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主要功能</w:t>
            </w:r>
          </w:p>
        </w:tc>
        <w:tc>
          <w:tcPr>
            <w:tcW w:w="720" w:type="dxa"/>
            <w:shd w:val="clear" w:color="auto" w:fill="auto"/>
            <w:vAlign w:val="center"/>
          </w:tcPr>
          <w:p w14:paraId="464DC034">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单位</w:t>
            </w:r>
          </w:p>
        </w:tc>
        <w:tc>
          <w:tcPr>
            <w:tcW w:w="700" w:type="dxa"/>
            <w:shd w:val="clear" w:color="auto" w:fill="auto"/>
            <w:vAlign w:val="center"/>
          </w:tcPr>
          <w:p w14:paraId="32025B02">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数量</w:t>
            </w:r>
          </w:p>
        </w:tc>
        <w:tc>
          <w:tcPr>
            <w:tcW w:w="1439" w:type="dxa"/>
            <w:shd w:val="clear" w:color="auto" w:fill="auto"/>
            <w:vAlign w:val="center"/>
          </w:tcPr>
          <w:p w14:paraId="13F96D1A">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安装地点/ 服务对象</w:t>
            </w:r>
          </w:p>
        </w:tc>
        <w:tc>
          <w:tcPr>
            <w:tcW w:w="1247" w:type="dxa"/>
            <w:shd w:val="clear" w:color="auto" w:fill="auto"/>
            <w:vAlign w:val="center"/>
          </w:tcPr>
          <w:p w14:paraId="196C7DCA">
            <w:pPr>
              <w:widowControl w:val="0"/>
              <w:snapToGrid w:val="0"/>
              <w:spacing w:line="360" w:lineRule="auto"/>
              <w:ind w:firstLine="0" w:firstLine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供货方式</w:t>
            </w:r>
          </w:p>
        </w:tc>
      </w:tr>
      <w:tr w14:paraId="26B8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06" w:type="dxa"/>
            <w:shd w:val="clear" w:color="auto" w:fill="auto"/>
            <w:vAlign w:val="center"/>
          </w:tcPr>
          <w:p w14:paraId="46EEC8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w:t>
            </w:r>
          </w:p>
        </w:tc>
        <w:tc>
          <w:tcPr>
            <w:tcW w:w="1100" w:type="dxa"/>
            <w:shd w:val="clear" w:color="auto" w:fill="auto"/>
            <w:vAlign w:val="center"/>
          </w:tcPr>
          <w:p w14:paraId="3D3B1F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主减装配电驱线设备改造</w:t>
            </w:r>
          </w:p>
        </w:tc>
        <w:tc>
          <w:tcPr>
            <w:tcW w:w="1990" w:type="dxa"/>
            <w:shd w:val="clear" w:color="auto" w:fill="auto"/>
            <w:vAlign w:val="center"/>
          </w:tcPr>
          <w:p w14:paraId="6A60D8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在满足MCE05/06/12/16电驱主减装配的基础上，新增MCE12/16行星排主减产品生产能力</w:t>
            </w:r>
          </w:p>
        </w:tc>
        <w:tc>
          <w:tcPr>
            <w:tcW w:w="720" w:type="dxa"/>
            <w:shd w:val="clear" w:color="auto" w:fill="auto"/>
            <w:vAlign w:val="center"/>
          </w:tcPr>
          <w:p w14:paraId="3AB4FE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套</w:t>
            </w:r>
          </w:p>
        </w:tc>
        <w:tc>
          <w:tcPr>
            <w:tcW w:w="700" w:type="dxa"/>
            <w:shd w:val="clear" w:color="auto" w:fill="auto"/>
            <w:vAlign w:val="center"/>
          </w:tcPr>
          <w:p w14:paraId="12FAD1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w:t>
            </w:r>
          </w:p>
        </w:tc>
        <w:tc>
          <w:tcPr>
            <w:tcW w:w="1439" w:type="dxa"/>
            <w:shd w:val="clear" w:color="auto" w:fill="auto"/>
            <w:vAlign w:val="center"/>
          </w:tcPr>
          <w:p w14:paraId="29F587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车桥公司主减速器线主减装配分部</w:t>
            </w:r>
          </w:p>
        </w:tc>
        <w:tc>
          <w:tcPr>
            <w:tcW w:w="1247" w:type="dxa"/>
            <w:shd w:val="clear" w:color="auto" w:fill="auto"/>
            <w:vAlign w:val="center"/>
          </w:tcPr>
          <w:p w14:paraId="642765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交钥匙</w:t>
            </w:r>
          </w:p>
        </w:tc>
      </w:tr>
    </w:tbl>
    <w:p w14:paraId="6722FF7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备注：</w:t>
      </w:r>
    </w:p>
    <w:p w14:paraId="5E6F348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5B8C473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②本表“供货方式”指：交钥匙方式——包括制造、运输、定点卸货、安装、调试和验收以及培训等。</w:t>
      </w:r>
    </w:p>
    <w:p w14:paraId="71406C90">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outlineLvl w:val="0"/>
        <w:rPr>
          <w:rFonts w:hint="default" w:ascii="Times New Roman" w:hAnsi="Times New Roman" w:eastAsia="宋体" w:cs="Times New Roman"/>
          <w:b/>
          <w:bCs/>
          <w:color w:val="auto"/>
          <w:sz w:val="24"/>
          <w:szCs w:val="24"/>
          <w:highlight w:val="none"/>
        </w:rPr>
      </w:pPr>
      <w:bookmarkStart w:id="134" w:name="_Toc11605"/>
      <w:bookmarkStart w:id="135" w:name="_Toc19793"/>
      <w:bookmarkStart w:id="136" w:name="_Toc7338"/>
      <w:bookmarkStart w:id="137" w:name="_Toc73112399"/>
      <w:bookmarkStart w:id="138" w:name="_Toc10580"/>
      <w:bookmarkStart w:id="139" w:name="_Toc7739"/>
      <w:bookmarkStart w:id="140" w:name="_Toc27638"/>
      <w:bookmarkStart w:id="141" w:name="_Toc24992"/>
      <w:bookmarkStart w:id="142" w:name="_Toc22658"/>
      <w:bookmarkStart w:id="143" w:name="_Toc30487"/>
      <w:bookmarkStart w:id="144" w:name="_Toc30429"/>
      <w:bookmarkStart w:id="145" w:name="_Toc15180"/>
      <w:bookmarkStart w:id="146" w:name="_Toc1395"/>
      <w:bookmarkStart w:id="147" w:name="_Toc23603"/>
      <w:bookmarkStart w:id="148" w:name="_Toc17465"/>
      <w:bookmarkStart w:id="149" w:name="_Toc7813"/>
      <w:bookmarkStart w:id="150" w:name="_Toc498"/>
      <w:bookmarkStart w:id="151" w:name="_Toc20034"/>
      <w:bookmarkStart w:id="152" w:name="_Toc761"/>
      <w:bookmarkStart w:id="153" w:name="_Toc2875"/>
      <w:bookmarkStart w:id="154" w:name="_Toc28168"/>
      <w:bookmarkStart w:id="155" w:name="_Toc12377"/>
      <w:bookmarkStart w:id="156" w:name="_Toc10441"/>
      <w:bookmarkStart w:id="157" w:name="_Toc31734"/>
      <w:bookmarkStart w:id="158" w:name="_Toc24597"/>
      <w:bookmarkStart w:id="159" w:name="_Toc22689"/>
      <w:bookmarkStart w:id="160" w:name="_Toc2018"/>
      <w:bookmarkStart w:id="161" w:name="_Toc32524"/>
      <w:bookmarkStart w:id="162" w:name="_Toc8780"/>
      <w:bookmarkStart w:id="163" w:name="_Toc1621"/>
      <w:bookmarkStart w:id="164" w:name="_Toc29174"/>
      <w:bookmarkStart w:id="165" w:name="_Toc4881"/>
      <w:bookmarkStart w:id="166" w:name="_Toc8565"/>
      <w:bookmarkStart w:id="167" w:name="_Toc26470"/>
      <w:bookmarkStart w:id="168" w:name="_Toc19015"/>
      <w:bookmarkStart w:id="169" w:name="_Toc26149"/>
      <w:bookmarkStart w:id="170" w:name="_Toc32616"/>
      <w:bookmarkStart w:id="171" w:name="_Toc18120"/>
      <w:bookmarkStart w:id="172" w:name="_Toc6687"/>
      <w:bookmarkStart w:id="173" w:name="_Toc13878"/>
      <w:bookmarkStart w:id="174" w:name="_Toc16387"/>
      <w:bookmarkStart w:id="175" w:name="_Toc4488"/>
      <w:bookmarkStart w:id="176" w:name="_Toc4743"/>
      <w:bookmarkStart w:id="177" w:name="_Toc133783969"/>
      <w:r>
        <w:rPr>
          <w:rFonts w:hint="default" w:ascii="Times New Roman" w:hAnsi="Times New Roman" w:eastAsia="宋体" w:cs="Times New Roman"/>
          <w:b/>
          <w:bCs/>
          <w:color w:val="auto"/>
          <w:sz w:val="24"/>
          <w:szCs w:val="24"/>
          <w:highlight w:val="none"/>
        </w:rPr>
        <w:t>第二章技术要求</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CCB89D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1"/>
        <w:rPr>
          <w:rFonts w:hint="default" w:ascii="Times New Roman" w:hAnsi="Times New Roman" w:eastAsia="宋体" w:cs="Times New Roman"/>
          <w:b/>
          <w:bCs/>
          <w:color w:val="auto"/>
          <w:sz w:val="24"/>
          <w:szCs w:val="24"/>
          <w:highlight w:val="none"/>
        </w:rPr>
      </w:pPr>
      <w:bookmarkStart w:id="178" w:name="_Toc29489"/>
      <w:bookmarkStart w:id="179" w:name="_Toc380"/>
      <w:bookmarkStart w:id="180" w:name="_Toc20792"/>
      <w:bookmarkStart w:id="181" w:name="_Toc15995"/>
      <w:bookmarkStart w:id="182" w:name="_Toc4126"/>
      <w:bookmarkStart w:id="183" w:name="_Toc23050"/>
      <w:bookmarkStart w:id="184" w:name="_Toc23337"/>
      <w:bookmarkStart w:id="185" w:name="_Toc1968"/>
      <w:bookmarkStart w:id="186" w:name="_Toc16822"/>
      <w:bookmarkStart w:id="187" w:name="_Toc18792"/>
      <w:bookmarkStart w:id="188" w:name="_Toc5714"/>
      <w:bookmarkStart w:id="189" w:name="_Toc21559"/>
      <w:bookmarkStart w:id="190" w:name="_Toc25950"/>
      <w:bookmarkStart w:id="191" w:name="_Toc26827"/>
      <w:bookmarkStart w:id="192" w:name="_Toc39"/>
      <w:bookmarkStart w:id="193" w:name="_Toc9134"/>
      <w:bookmarkStart w:id="194" w:name="_Toc31434"/>
      <w:bookmarkStart w:id="195" w:name="_Toc27930"/>
      <w:bookmarkStart w:id="196" w:name="_Toc20402"/>
      <w:bookmarkStart w:id="197" w:name="_Toc2473"/>
      <w:bookmarkStart w:id="198" w:name="_Toc28751"/>
      <w:bookmarkStart w:id="199" w:name="_Toc5450"/>
      <w:bookmarkStart w:id="200" w:name="_Toc477"/>
      <w:bookmarkStart w:id="201" w:name="_Toc27362"/>
      <w:bookmarkStart w:id="202" w:name="_Toc16063"/>
      <w:bookmarkStart w:id="203" w:name="_Toc73112400"/>
      <w:bookmarkStart w:id="204" w:name="_Toc13195"/>
      <w:bookmarkStart w:id="205" w:name="_Toc27282"/>
      <w:bookmarkStart w:id="206" w:name="_Toc1111"/>
      <w:bookmarkStart w:id="207" w:name="_Toc15744"/>
      <w:bookmarkStart w:id="208" w:name="_Toc7141"/>
      <w:bookmarkStart w:id="209" w:name="_Toc5876"/>
      <w:bookmarkStart w:id="210" w:name="_Toc15747"/>
      <w:bookmarkStart w:id="211" w:name="_Toc9894"/>
      <w:bookmarkStart w:id="212" w:name="_Toc31246"/>
      <w:bookmarkStart w:id="213" w:name="_Toc5110"/>
      <w:bookmarkStart w:id="214" w:name="_Toc5804"/>
      <w:bookmarkStart w:id="215" w:name="_Toc29354"/>
      <w:bookmarkStart w:id="216" w:name="_Toc22422"/>
      <w:bookmarkStart w:id="217" w:name="_Toc11056"/>
      <w:bookmarkStart w:id="218" w:name="_Toc11621"/>
      <w:bookmarkStart w:id="219" w:name="_Toc6003"/>
      <w:r>
        <w:rPr>
          <w:rFonts w:hint="default" w:ascii="Times New Roman" w:hAnsi="Times New Roman" w:eastAsia="宋体" w:cs="Times New Roman"/>
          <w:b/>
          <w:bCs/>
          <w:color w:val="auto"/>
          <w:sz w:val="24"/>
          <w:szCs w:val="24"/>
          <w:highlight w:val="none"/>
        </w:rPr>
        <w:t>1基本要求</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9CC080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 投标方所供的货物（或生产线），必须符合中国最新版的法律、法规和相关标准、规范的要求，符合项目所在地政府有关特殊要求。</w:t>
      </w:r>
    </w:p>
    <w:p w14:paraId="388004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1.2 投标方所供货物（或生产线）涉及的、招标方有权使用的专利权技术以及知识产权保护的其它技术等，应保证招标方不因此受到任何侵权指控以及实际损失。</w:t>
      </w:r>
    </w:p>
    <w:p w14:paraId="399E1B6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1.3 投标方应保证所供货物（或生产线）的先进性、可靠性、经济性和实用性，并为全新货物（或设备）,并具有该货物(或设备)所有功能的永久使用权。</w:t>
      </w:r>
    </w:p>
    <w:p w14:paraId="0799CB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1.4 投标方应满足招标方提出的各项技术要求，必要时应当免费提供技术承诺或担保。</w:t>
      </w:r>
    </w:p>
    <w:p w14:paraId="64C383C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★1.5 投标方应保证所供货物（或设备）必须符合当前国家或地方最新安全、环保、职业健康最新法律、法规及《机械制造企业安全生产标准化》各项要求 。确保货物在使用管理过程中满足《职业健康安全管理体系》、《环境管理体系》等方面的国家标准、规范及地方规章要求；必须提供所供设备相应的安全操作规程，危险化学品“一书一签”；负责对招标方相关人员开展“四新”安全培训。</w:t>
      </w:r>
    </w:p>
    <w:p w14:paraId="1D1CB6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★1.6 投标方应保证所供货物（或设备）为中国公布的非淘汰货物（或设备），并为中国指定或规定的主管部门认可的环保型和节能型货物（或设备）。招标的中标货物不接受试验品（提供证据），还应是原产地的货物。</w:t>
      </w:r>
    </w:p>
    <w:p w14:paraId="3C3C8C1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 设备用能设计基本要求</w:t>
      </w:r>
    </w:p>
    <w:p w14:paraId="7217DC0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1.7.1 任何用能设备均应遵循《能源管理体系要求》（ISO 50001:2018）、《能源管理体系 机械制造企业认证要求》（RB/T 119-2015）的相关规定，并在《能源管理体系要求》下开展设备的采购、维护、保养、淘汰更换等工作。</w:t>
      </w:r>
    </w:p>
    <w:p w14:paraId="39DEFB6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1.7.2 为方便用能设备的计量统计，新增采购设备应在《用能单位能源计量器具配备和管理通则》（GB17167-2006）指导下配备符合相应要求的能源计量器具。</w:t>
      </w:r>
    </w:p>
    <w:p w14:paraId="2514777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4F79BD6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工艺设备的电机必须选用一级能效。杜绝选用三级及以下能效。对于特殊场景、特殊用途其他设备结合性价比综合考虑、充分论证。</w:t>
      </w:r>
    </w:p>
    <w:p w14:paraId="7D0DF33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1.7.5 供方应确保设备的附属各类机电设备、设施（如：电机、风机、电器控制系统、润滑、保温隔热、照明等等）符合国家现行的相关专项标准要求。</w:t>
      </w:r>
    </w:p>
    <w:p w14:paraId="0494D44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1.8 投标方应保证所供货物（或生产线）的完整性和成套性，能保证货物（或生产线）的正常运行、使用。</w:t>
      </w:r>
    </w:p>
    <w:p w14:paraId="28668D9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1.9 投标方应对招标方采购的货物（或生产线）所涉及的技术、产能等信息负有保密义务，特殊项目应当无条件签署保密协议。</w:t>
      </w:r>
    </w:p>
    <w:p w14:paraId="0071064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 设备使用仪表和自控设备要求：</w:t>
      </w:r>
    </w:p>
    <w:p w14:paraId="171E02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220" w:name="_Toc30944"/>
      <w:bookmarkStart w:id="221" w:name="_Toc2908"/>
      <w:bookmarkStart w:id="222" w:name="_Toc5010"/>
      <w:bookmarkStart w:id="223" w:name="_Toc31111"/>
      <w:bookmarkStart w:id="224" w:name="_Toc7044"/>
      <w:bookmarkStart w:id="225" w:name="_Toc5025"/>
      <w:r>
        <w:rPr>
          <w:rFonts w:hint="default" w:ascii="Times New Roman" w:hAnsi="Times New Roman" w:eastAsia="宋体" w:cs="Times New Roman"/>
          <w:color w:val="auto"/>
          <w:kern w:val="0"/>
          <w:sz w:val="24"/>
          <w:szCs w:val="24"/>
          <w:highlight w:val="none"/>
          <w:lang w:val="en-US" w:eastAsia="zh-CN" w:bidi="ar-SA"/>
        </w:rPr>
        <w:t>1.10.1 设备使用仪表通用技术要求:</w:t>
      </w:r>
      <w:bookmarkEnd w:id="220"/>
      <w:bookmarkEnd w:id="221"/>
      <w:bookmarkEnd w:id="222"/>
      <w:bookmarkEnd w:id="223"/>
      <w:bookmarkEnd w:id="224"/>
      <w:bookmarkEnd w:id="225"/>
    </w:p>
    <w:p w14:paraId="6D32FA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1.10.1.1 投标人及供货商应保证所提供的仪表和自控设备，完全符合或高于本文通用技术要求及相应产品技术规范的要求，并应保证其供应产品在本工程指明的环境条件下能够长期安全、正常地运行。 </w:t>
      </w:r>
    </w:p>
    <w:p w14:paraId="41B72A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733970F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1F91D9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226" w:name="_Toc581"/>
      <w:bookmarkStart w:id="227" w:name="_Toc26032"/>
      <w:bookmarkStart w:id="228" w:name="_Toc32105"/>
      <w:bookmarkStart w:id="229" w:name="_Toc5075"/>
      <w:bookmarkStart w:id="230" w:name="_Toc9364"/>
      <w:bookmarkStart w:id="231" w:name="_Toc16669"/>
      <w:r>
        <w:rPr>
          <w:rFonts w:hint="default" w:ascii="Times New Roman" w:hAnsi="Times New Roman" w:eastAsia="宋体" w:cs="Times New Roman"/>
          <w:color w:val="auto"/>
          <w:kern w:val="0"/>
          <w:sz w:val="24"/>
          <w:szCs w:val="24"/>
          <w:highlight w:val="none"/>
          <w:lang w:val="en-US" w:eastAsia="zh-CN" w:bidi="ar-SA"/>
        </w:rPr>
        <w:t>1.10.2 准确度要求: </w:t>
      </w:r>
      <w:bookmarkEnd w:id="226"/>
      <w:bookmarkEnd w:id="227"/>
      <w:bookmarkEnd w:id="228"/>
      <w:bookmarkEnd w:id="229"/>
      <w:bookmarkEnd w:id="230"/>
      <w:bookmarkEnd w:id="231"/>
    </w:p>
    <w:p w14:paraId="3F1100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5C6466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272326C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1.10.2.3 项目验收时，投标方提供测量功能设备及计量器具资质合格证书，招标方根据实际情况进行相关复检，复检合格视为合格。</w:t>
      </w:r>
    </w:p>
    <w:p w14:paraId="705BD4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232" w:name="_Toc1291"/>
      <w:bookmarkStart w:id="233" w:name="_Toc31048"/>
      <w:bookmarkStart w:id="234" w:name="_Toc8799"/>
      <w:bookmarkStart w:id="235" w:name="_Toc28774"/>
      <w:bookmarkStart w:id="236" w:name="_Toc25422"/>
      <w:bookmarkStart w:id="237" w:name="_Toc5510"/>
      <w:r>
        <w:rPr>
          <w:rFonts w:hint="default" w:ascii="Times New Roman" w:hAnsi="Times New Roman" w:eastAsia="宋体" w:cs="Times New Roman"/>
          <w:color w:val="auto"/>
          <w:kern w:val="0"/>
          <w:sz w:val="24"/>
          <w:szCs w:val="24"/>
          <w:highlight w:val="none"/>
          <w:lang w:val="en-US" w:eastAsia="zh-CN" w:bidi="ar-SA"/>
        </w:rPr>
        <w:t>1.10.3 材质要求: </w:t>
      </w:r>
      <w:bookmarkEnd w:id="232"/>
      <w:bookmarkEnd w:id="233"/>
      <w:bookmarkEnd w:id="234"/>
      <w:bookmarkEnd w:id="235"/>
      <w:bookmarkEnd w:id="236"/>
      <w:bookmarkEnd w:id="237"/>
    </w:p>
    <w:p w14:paraId="2A1C7FB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51151CE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★1.11投标方所供设备应按“交钥匙工程”要求。</w:t>
      </w:r>
    </w:p>
    <w:p w14:paraId="2E8E13D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1"/>
        <w:rPr>
          <w:rFonts w:hint="default" w:ascii="Times New Roman" w:hAnsi="Times New Roman" w:eastAsia="宋体" w:cs="Times New Roman"/>
          <w:color w:val="auto"/>
          <w:sz w:val="24"/>
          <w:szCs w:val="24"/>
          <w:highlight w:val="none"/>
        </w:rPr>
      </w:pPr>
      <w:bookmarkStart w:id="238" w:name="_Toc21602"/>
      <w:bookmarkStart w:id="239" w:name="_Hlk69924518"/>
      <w:r>
        <w:rPr>
          <w:rFonts w:hint="default" w:ascii="Times New Roman" w:hAnsi="Times New Roman" w:eastAsia="宋体" w:cs="Times New Roman"/>
          <w:b/>
          <w:bCs/>
          <w:color w:val="auto"/>
          <w:sz w:val="24"/>
          <w:szCs w:val="24"/>
          <w:highlight w:val="none"/>
        </w:rPr>
        <w:t xml:space="preserve">2 </w:t>
      </w:r>
      <w:r>
        <w:rPr>
          <w:rFonts w:hint="default" w:ascii="Times New Roman" w:hAnsi="Times New Roman" w:eastAsia="宋体" w:cs="Times New Roman"/>
          <w:color w:val="auto"/>
          <w:sz w:val="24"/>
          <w:szCs w:val="24"/>
          <w:highlight w:val="none"/>
          <w:lang w:bidi="ar"/>
        </w:rPr>
        <w:t>执行标准</w:t>
      </w:r>
      <w:bookmarkEnd w:id="238"/>
    </w:p>
    <w:bookmarkEnd w:id="239"/>
    <w:p w14:paraId="38C2C57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2.1  招标方此处所列标准仅为涉及的主要标准，而且不保证其为最新版执行标准；投标方应当在投标文件中予以补充和完善。</w:t>
      </w:r>
    </w:p>
    <w:p w14:paraId="260B51A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2.2  投标方需要执行的标准，应当以所供设备通过招标方将来组织的最终验收之日后需要执行的标准。</w:t>
      </w:r>
    </w:p>
    <w:p w14:paraId="302BA59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bidi="ar"/>
        </w:rPr>
      </w:pPr>
    </w:p>
    <w:p w14:paraId="297FADF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2.3  涉及的主要标准表（包含但不限于）</w:t>
      </w:r>
    </w:p>
    <w:tbl>
      <w:tblPr>
        <w:tblStyle w:val="37"/>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596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78F254E4">
            <w:pPr>
              <w:spacing w:line="360" w:lineRule="auto"/>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33CCCF9">
            <w:pPr>
              <w:spacing w:line="360" w:lineRule="auto"/>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7FE88FF">
            <w:pPr>
              <w:spacing w:line="360" w:lineRule="auto"/>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BFE8F15">
            <w:pPr>
              <w:spacing w:line="360" w:lineRule="auto"/>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bidi="ar"/>
              </w:rPr>
              <w:t>备注</w:t>
            </w:r>
          </w:p>
        </w:tc>
      </w:tr>
      <w:tr w14:paraId="338F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1C79A74">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346F65D">
            <w:pPr>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8A03F9D">
            <w:pPr>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77596FEC">
            <w:pPr>
              <w:spacing w:line="360" w:lineRule="auto"/>
              <w:rPr>
                <w:rFonts w:hint="default" w:ascii="Times New Roman" w:hAnsi="Times New Roman" w:eastAsia="宋体" w:cs="Times New Roman"/>
                <w:color w:val="auto"/>
                <w:sz w:val="21"/>
                <w:szCs w:val="21"/>
                <w:highlight w:val="none"/>
              </w:rPr>
            </w:pPr>
          </w:p>
        </w:tc>
      </w:tr>
      <w:tr w14:paraId="7BBC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E75A09E">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4E051F4">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9A15D8D">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37AAC9A">
            <w:pPr>
              <w:spacing w:line="360" w:lineRule="auto"/>
              <w:rPr>
                <w:rFonts w:hint="default" w:ascii="Times New Roman" w:hAnsi="Times New Roman" w:eastAsia="宋体" w:cs="Times New Roman"/>
                <w:color w:val="auto"/>
                <w:sz w:val="20"/>
                <w:szCs w:val="20"/>
                <w:highlight w:val="none"/>
              </w:rPr>
            </w:pPr>
          </w:p>
        </w:tc>
      </w:tr>
      <w:tr w14:paraId="4E05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1855FF0">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D8FF248">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2191440">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581A050">
            <w:pPr>
              <w:spacing w:line="360" w:lineRule="auto"/>
              <w:rPr>
                <w:rFonts w:hint="default" w:ascii="Times New Roman" w:hAnsi="Times New Roman" w:eastAsia="宋体" w:cs="Times New Roman"/>
                <w:color w:val="auto"/>
                <w:sz w:val="20"/>
                <w:szCs w:val="20"/>
                <w:highlight w:val="none"/>
              </w:rPr>
            </w:pPr>
          </w:p>
        </w:tc>
      </w:tr>
      <w:tr w14:paraId="0EC9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44CAF7">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CE48D12">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B9A6823">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7AACF17">
            <w:pPr>
              <w:spacing w:line="360" w:lineRule="auto"/>
              <w:rPr>
                <w:rFonts w:hint="default" w:ascii="Times New Roman" w:hAnsi="Times New Roman" w:eastAsia="宋体" w:cs="Times New Roman"/>
                <w:color w:val="auto"/>
                <w:sz w:val="20"/>
                <w:szCs w:val="20"/>
                <w:highlight w:val="none"/>
              </w:rPr>
            </w:pPr>
          </w:p>
        </w:tc>
      </w:tr>
      <w:tr w14:paraId="1F03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6CEB938">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8B2FD05">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E2ABFFC">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C29308A">
            <w:pPr>
              <w:spacing w:line="360" w:lineRule="auto"/>
              <w:rPr>
                <w:rFonts w:hint="default" w:ascii="Times New Roman" w:hAnsi="Times New Roman" w:eastAsia="宋体" w:cs="Times New Roman"/>
                <w:color w:val="auto"/>
                <w:sz w:val="20"/>
                <w:szCs w:val="20"/>
                <w:highlight w:val="none"/>
              </w:rPr>
            </w:pPr>
          </w:p>
        </w:tc>
      </w:tr>
      <w:tr w14:paraId="6DF4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376B377">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DFE4AC2">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E7A849D">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3A4C056">
            <w:pPr>
              <w:spacing w:line="360" w:lineRule="auto"/>
              <w:rPr>
                <w:rFonts w:hint="default" w:ascii="Times New Roman" w:hAnsi="Times New Roman" w:eastAsia="宋体" w:cs="Times New Roman"/>
                <w:color w:val="auto"/>
                <w:sz w:val="20"/>
                <w:szCs w:val="20"/>
                <w:highlight w:val="none"/>
              </w:rPr>
            </w:pPr>
          </w:p>
        </w:tc>
      </w:tr>
      <w:tr w14:paraId="7323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275AC46">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74B21CE">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fldChar w:fldCharType="begin"/>
            </w:r>
            <w:r>
              <w:rPr>
                <w:rFonts w:hint="default" w:ascii="Times New Roman" w:hAnsi="Times New Roman" w:eastAsia="宋体" w:cs="Times New Roman"/>
                <w:color w:val="auto"/>
                <w:sz w:val="21"/>
                <w:szCs w:val="21"/>
                <w:highlight w:val="none"/>
                <w:lang w:bidi="ar"/>
              </w:rPr>
              <w:instrText xml:space="preserve"> HYPERLINK "http://wenku.baidu.com/view/db95ac1014791711cc791788.html" \t "F:/工艺工程部/项目/2021年固定资产投资/工艺院批复项目/标书/_blank" </w:instrText>
            </w:r>
            <w:r>
              <w:rPr>
                <w:rFonts w:hint="default" w:ascii="Times New Roman" w:hAnsi="Times New Roman" w:eastAsia="宋体" w:cs="Times New Roman"/>
                <w:color w:val="auto"/>
                <w:sz w:val="21"/>
                <w:szCs w:val="21"/>
                <w:highlight w:val="none"/>
                <w:lang w:bidi="ar"/>
              </w:rPr>
              <w:fldChar w:fldCharType="separate"/>
            </w:r>
            <w:r>
              <w:rPr>
                <w:rFonts w:hint="default" w:ascii="Times New Roman" w:hAnsi="Times New Roman" w:eastAsia="宋体" w:cs="Times New Roman"/>
                <w:color w:val="auto"/>
                <w:sz w:val="21"/>
                <w:szCs w:val="21"/>
                <w:highlight w:val="none"/>
                <w:lang w:bidi="ar"/>
              </w:rPr>
              <w:t>机械设备防护罩安全标准</w:t>
            </w:r>
            <w:r>
              <w:rPr>
                <w:rFonts w:hint="default" w:ascii="Times New Roman" w:hAnsi="Times New Roman" w:eastAsia="宋体" w:cs="Times New Roman"/>
                <w:color w:val="auto"/>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AA502FB">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229AE22">
            <w:pPr>
              <w:spacing w:line="360" w:lineRule="auto"/>
              <w:rPr>
                <w:rFonts w:hint="default" w:ascii="Times New Roman" w:hAnsi="Times New Roman" w:eastAsia="宋体" w:cs="Times New Roman"/>
                <w:color w:val="auto"/>
                <w:sz w:val="20"/>
                <w:szCs w:val="20"/>
                <w:highlight w:val="none"/>
              </w:rPr>
            </w:pPr>
          </w:p>
        </w:tc>
      </w:tr>
      <w:tr w14:paraId="383E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A49961E">
            <w:pPr>
              <w:spacing w:line="360" w:lineRule="auto"/>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C93A4DF">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09C55D45">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/T</w:t>
            </w:r>
            <w:r>
              <w:rPr>
                <w:rFonts w:hint="default" w:ascii="Times New Roman" w:hAnsi="Times New Roman" w:eastAsia="宋体" w:cs="Times New Roman"/>
                <w:color w:val="auto"/>
                <w:sz w:val="21"/>
                <w:szCs w:val="21"/>
                <w:highlight w:val="none"/>
                <w:lang w:bidi="ar"/>
              </w:rPr>
              <w:t>23821-20</w:t>
            </w:r>
            <w:r>
              <w:rPr>
                <w:rFonts w:hint="default" w:ascii="Times New Roman" w:hAnsi="Times New Roman" w:eastAsia="宋体" w:cs="Times New Roman"/>
                <w:color w:val="auto"/>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6660EE8">
            <w:pPr>
              <w:spacing w:line="360" w:lineRule="auto"/>
              <w:rPr>
                <w:rFonts w:hint="default" w:ascii="Times New Roman" w:hAnsi="Times New Roman" w:eastAsia="宋体" w:cs="Times New Roman"/>
                <w:color w:val="auto"/>
                <w:sz w:val="20"/>
                <w:szCs w:val="20"/>
                <w:highlight w:val="none"/>
              </w:rPr>
            </w:pPr>
          </w:p>
        </w:tc>
      </w:tr>
      <w:tr w14:paraId="5E5F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EC9AEDD">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9589AF5">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0C3A73B">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/T19671</w:t>
            </w:r>
            <w:r>
              <w:rPr>
                <w:rFonts w:hint="default" w:ascii="Times New Roman" w:hAnsi="Times New Roman" w:eastAsia="宋体" w:cs="Times New Roman"/>
                <w:color w:val="auto"/>
                <w:sz w:val="21"/>
                <w:szCs w:val="21"/>
                <w:highlight w:val="none"/>
                <w:lang w:bidi="ar"/>
              </w:rPr>
              <w:t>-20</w:t>
            </w:r>
            <w:r>
              <w:rPr>
                <w:rFonts w:hint="default" w:ascii="Times New Roman" w:hAnsi="Times New Roman" w:eastAsia="宋体" w:cs="Times New Roman"/>
                <w:color w:val="auto"/>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F6FDE64">
            <w:pPr>
              <w:spacing w:line="360" w:lineRule="auto"/>
              <w:rPr>
                <w:rFonts w:hint="default" w:ascii="Times New Roman" w:hAnsi="Times New Roman" w:eastAsia="宋体" w:cs="Times New Roman"/>
                <w:color w:val="auto"/>
                <w:sz w:val="20"/>
                <w:szCs w:val="20"/>
                <w:highlight w:val="none"/>
              </w:rPr>
            </w:pPr>
          </w:p>
        </w:tc>
      </w:tr>
      <w:tr w14:paraId="3138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7A1D9B9">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93BC8A4">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1686F9A">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/T30574</w:t>
            </w:r>
            <w:r>
              <w:rPr>
                <w:rFonts w:hint="default" w:ascii="Times New Roman" w:hAnsi="Times New Roman" w:eastAsia="宋体" w:cs="Times New Roman"/>
                <w:color w:val="auto"/>
                <w:sz w:val="21"/>
                <w:szCs w:val="21"/>
                <w:highlight w:val="none"/>
                <w:lang w:bidi="ar"/>
              </w:rPr>
              <w:t>-20</w:t>
            </w:r>
            <w:r>
              <w:rPr>
                <w:rFonts w:hint="default" w:ascii="Times New Roman" w:hAnsi="Times New Roman" w:eastAsia="宋体" w:cs="Times New Roman"/>
                <w:color w:val="auto"/>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BF6A4D5">
            <w:pPr>
              <w:spacing w:line="360" w:lineRule="auto"/>
              <w:rPr>
                <w:rFonts w:hint="default" w:ascii="Times New Roman" w:hAnsi="Times New Roman" w:eastAsia="宋体" w:cs="Times New Roman"/>
                <w:color w:val="auto"/>
                <w:sz w:val="20"/>
                <w:szCs w:val="20"/>
                <w:highlight w:val="none"/>
              </w:rPr>
            </w:pPr>
          </w:p>
        </w:tc>
      </w:tr>
      <w:tr w14:paraId="39A5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EE802FA">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AF3E536">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0FA0337">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27AE2D5">
            <w:pPr>
              <w:spacing w:line="360" w:lineRule="auto"/>
              <w:rPr>
                <w:rFonts w:hint="default" w:ascii="Times New Roman" w:hAnsi="Times New Roman" w:eastAsia="宋体" w:cs="Times New Roman"/>
                <w:color w:val="auto"/>
                <w:sz w:val="20"/>
                <w:szCs w:val="20"/>
                <w:highlight w:val="none"/>
              </w:rPr>
            </w:pPr>
          </w:p>
        </w:tc>
      </w:tr>
      <w:tr w14:paraId="11F7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7956DFF">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B0F2847">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《工业企业设计</w:t>
            </w:r>
            <w:r>
              <w:rPr>
                <w:rFonts w:hint="default" w:ascii="Times New Roman" w:hAnsi="Times New Roman" w:eastAsia="宋体" w:cs="Times New Roman"/>
                <w:color w:val="auto"/>
                <w:sz w:val="21"/>
                <w:szCs w:val="21"/>
                <w:highlight w:val="none"/>
                <w:lang w:eastAsia="zh-CN" w:bidi="ar"/>
              </w:rPr>
              <w:t>卫生标准</w:t>
            </w:r>
            <w:r>
              <w:rPr>
                <w:rFonts w:hint="default" w:ascii="Times New Roman" w:hAnsi="Times New Roman" w:eastAsia="宋体" w:cs="Times New Roman"/>
                <w:color w:val="auto"/>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438C4E91">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Z 1</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64D5ABD">
            <w:pPr>
              <w:spacing w:line="360" w:lineRule="auto"/>
              <w:rPr>
                <w:rFonts w:hint="default" w:ascii="Times New Roman" w:hAnsi="Times New Roman" w:eastAsia="宋体" w:cs="Times New Roman"/>
                <w:color w:val="auto"/>
                <w:sz w:val="20"/>
                <w:szCs w:val="20"/>
                <w:highlight w:val="none"/>
              </w:rPr>
            </w:pPr>
          </w:p>
        </w:tc>
      </w:tr>
      <w:tr w14:paraId="3DE5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FC99D12">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88B602F">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37B35CA4">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/T500</w:t>
            </w:r>
            <w:r>
              <w:rPr>
                <w:rFonts w:hint="default" w:ascii="Times New Roman" w:hAnsi="Times New Roman" w:eastAsia="宋体" w:cs="Times New Roman"/>
                <w:color w:val="auto"/>
                <w:sz w:val="21"/>
                <w:szCs w:val="21"/>
                <w:highlight w:val="none"/>
                <w:lang w:bidi="ar"/>
              </w:rPr>
              <w:t>87-</w:t>
            </w:r>
            <w:r>
              <w:rPr>
                <w:rFonts w:hint="default" w:ascii="Times New Roman" w:hAnsi="Times New Roman" w:eastAsia="宋体" w:cs="Times New Roman"/>
                <w:color w:val="auto"/>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852E8B9">
            <w:pPr>
              <w:spacing w:line="360" w:lineRule="auto"/>
              <w:rPr>
                <w:rFonts w:hint="default" w:ascii="Times New Roman" w:hAnsi="Times New Roman" w:eastAsia="宋体" w:cs="Times New Roman"/>
                <w:color w:val="auto"/>
                <w:sz w:val="20"/>
                <w:szCs w:val="20"/>
                <w:highlight w:val="none"/>
              </w:rPr>
            </w:pPr>
          </w:p>
        </w:tc>
      </w:tr>
      <w:tr w14:paraId="6DF5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850D0FD">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E9BE0B7">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44912CE">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0D41860">
            <w:pPr>
              <w:spacing w:line="360" w:lineRule="auto"/>
              <w:rPr>
                <w:rFonts w:hint="default" w:ascii="Times New Roman" w:hAnsi="Times New Roman" w:eastAsia="宋体" w:cs="Times New Roman"/>
                <w:color w:val="auto"/>
                <w:sz w:val="20"/>
                <w:szCs w:val="20"/>
                <w:highlight w:val="none"/>
              </w:rPr>
            </w:pPr>
          </w:p>
        </w:tc>
      </w:tr>
      <w:tr w14:paraId="6048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C97C517">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C0CD91E">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86BA51B">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D080C11">
            <w:pPr>
              <w:spacing w:line="360" w:lineRule="auto"/>
              <w:rPr>
                <w:rFonts w:hint="default" w:ascii="Times New Roman" w:hAnsi="Times New Roman" w:eastAsia="宋体" w:cs="Times New Roman"/>
                <w:color w:val="auto"/>
                <w:sz w:val="20"/>
                <w:szCs w:val="20"/>
                <w:highlight w:val="none"/>
              </w:rPr>
            </w:pPr>
          </w:p>
        </w:tc>
      </w:tr>
      <w:tr w14:paraId="6877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8D7581C">
            <w:pPr>
              <w:spacing w:line="360" w:lineRule="auto"/>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1</w:t>
            </w:r>
            <w:r>
              <w:rPr>
                <w:rFonts w:hint="default" w:ascii="Times New Roman" w:hAnsi="Times New Roman" w:eastAsia="宋体" w:cs="Times New Roman"/>
                <w:color w:val="auto"/>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40B6B66">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58642D7">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467EBC0">
            <w:pPr>
              <w:spacing w:line="360" w:lineRule="auto"/>
              <w:rPr>
                <w:rFonts w:hint="default" w:ascii="Times New Roman" w:hAnsi="Times New Roman" w:eastAsia="宋体" w:cs="Times New Roman"/>
                <w:color w:val="auto"/>
                <w:sz w:val="20"/>
                <w:szCs w:val="20"/>
                <w:highlight w:val="none"/>
              </w:rPr>
            </w:pPr>
          </w:p>
        </w:tc>
      </w:tr>
      <w:tr w14:paraId="2CBE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0B8C41">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43FF9C0">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580DF2E">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6F3C2D7">
            <w:pPr>
              <w:spacing w:line="360" w:lineRule="auto"/>
              <w:rPr>
                <w:rFonts w:hint="default" w:ascii="Times New Roman" w:hAnsi="Times New Roman" w:eastAsia="宋体" w:cs="Times New Roman"/>
                <w:color w:val="auto"/>
                <w:sz w:val="20"/>
                <w:szCs w:val="20"/>
                <w:highlight w:val="none"/>
              </w:rPr>
            </w:pPr>
          </w:p>
        </w:tc>
      </w:tr>
      <w:tr w14:paraId="22AA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988EAC9">
            <w:pPr>
              <w:spacing w:line="360" w:lineRule="auto"/>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1</w:t>
            </w:r>
            <w:r>
              <w:rPr>
                <w:rFonts w:hint="default" w:ascii="Times New Roman" w:hAnsi="Times New Roman" w:eastAsia="宋体" w:cs="Times New Roman"/>
                <w:color w:val="auto"/>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71B4B45">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54E96FD">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BDAFFEE">
            <w:pPr>
              <w:spacing w:line="360" w:lineRule="auto"/>
              <w:rPr>
                <w:rFonts w:hint="default" w:ascii="Times New Roman" w:hAnsi="Times New Roman" w:eastAsia="宋体" w:cs="Times New Roman"/>
                <w:color w:val="auto"/>
                <w:sz w:val="20"/>
                <w:szCs w:val="20"/>
                <w:highlight w:val="none"/>
              </w:rPr>
            </w:pPr>
          </w:p>
        </w:tc>
      </w:tr>
      <w:tr w14:paraId="3622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2901639">
            <w:pPr>
              <w:spacing w:line="360" w:lineRule="auto"/>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w:t>
            </w:r>
            <w:r>
              <w:rPr>
                <w:rFonts w:hint="default" w:ascii="Times New Roman" w:hAnsi="Times New Roman" w:eastAsia="宋体" w:cs="Times New Roman"/>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FC86EE5">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高耗能落后机电设备（产品）淘汰目录（第</w:t>
            </w:r>
            <w:r>
              <w:rPr>
                <w:rFonts w:hint="default" w:ascii="Times New Roman" w:hAnsi="Times New Roman" w:eastAsia="宋体" w:cs="Times New Roman"/>
                <w:color w:val="auto"/>
                <w:sz w:val="21"/>
                <w:szCs w:val="21"/>
                <w:highlight w:val="none"/>
                <w:lang w:val="en-US" w:eastAsia="zh-CN" w:bidi="ar"/>
              </w:rPr>
              <w:t>四</w:t>
            </w:r>
            <w:r>
              <w:rPr>
                <w:rFonts w:hint="default" w:ascii="Times New Roman" w:hAnsi="Times New Roman" w:eastAsia="宋体" w:cs="Times New Roman"/>
                <w:color w:val="auto"/>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44CE9B0">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17E2844">
            <w:pPr>
              <w:spacing w:line="360" w:lineRule="auto"/>
              <w:rPr>
                <w:rFonts w:hint="default" w:ascii="Times New Roman" w:hAnsi="Times New Roman" w:eastAsia="宋体" w:cs="Times New Roman"/>
                <w:color w:val="auto"/>
                <w:sz w:val="20"/>
                <w:szCs w:val="20"/>
                <w:highlight w:val="none"/>
              </w:rPr>
            </w:pPr>
          </w:p>
        </w:tc>
      </w:tr>
      <w:tr w14:paraId="06AE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4AF5FC">
            <w:pPr>
              <w:spacing w:line="360" w:lineRule="auto"/>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A53BE07">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CE54FBB">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0DFBCFF">
            <w:pPr>
              <w:spacing w:line="360" w:lineRule="auto"/>
              <w:rPr>
                <w:rFonts w:hint="default" w:ascii="Times New Roman" w:hAnsi="Times New Roman" w:eastAsia="宋体" w:cs="Times New Roman"/>
                <w:color w:val="auto"/>
                <w:sz w:val="20"/>
                <w:szCs w:val="20"/>
                <w:highlight w:val="none"/>
              </w:rPr>
            </w:pPr>
          </w:p>
        </w:tc>
      </w:tr>
      <w:tr w14:paraId="1749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90482B">
            <w:pPr>
              <w:spacing w:line="360" w:lineRule="auto"/>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589B10F">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88E1D11">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5BF6D44">
            <w:pPr>
              <w:spacing w:line="360" w:lineRule="auto"/>
              <w:rPr>
                <w:rFonts w:hint="default" w:ascii="Times New Roman" w:hAnsi="Times New Roman" w:eastAsia="宋体" w:cs="Times New Roman"/>
                <w:color w:val="auto"/>
                <w:sz w:val="20"/>
                <w:szCs w:val="20"/>
                <w:highlight w:val="none"/>
              </w:rPr>
            </w:pPr>
          </w:p>
        </w:tc>
      </w:tr>
      <w:tr w14:paraId="079C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9C7F04F">
            <w:pPr>
              <w:spacing w:line="360" w:lineRule="auto"/>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86B1A6C">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97FB01D">
            <w:pPr>
              <w:spacing w:line="36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GB</w:t>
            </w:r>
            <w:r>
              <w:rPr>
                <w:rFonts w:hint="default" w:ascii="Times New Roman" w:hAnsi="Times New Roman" w:eastAsia="宋体" w:cs="Times New Roman"/>
                <w:color w:val="auto"/>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850BB36">
            <w:pPr>
              <w:spacing w:line="360" w:lineRule="auto"/>
              <w:rPr>
                <w:rFonts w:hint="default" w:ascii="Times New Roman" w:hAnsi="Times New Roman" w:eastAsia="宋体" w:cs="Times New Roman"/>
                <w:color w:val="auto"/>
                <w:sz w:val="20"/>
                <w:szCs w:val="20"/>
                <w:highlight w:val="none"/>
              </w:rPr>
            </w:pPr>
          </w:p>
        </w:tc>
      </w:tr>
      <w:tr w14:paraId="6676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C2C49B">
            <w:pPr>
              <w:spacing w:line="36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746DF2D">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BDCB303">
            <w:pPr>
              <w:spacing w:line="360" w:lineRule="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659D1C2">
            <w:pPr>
              <w:spacing w:line="360" w:lineRule="auto"/>
              <w:rPr>
                <w:rFonts w:hint="default" w:ascii="Times New Roman" w:hAnsi="Times New Roman" w:eastAsia="宋体" w:cs="Times New Roman"/>
                <w:color w:val="auto"/>
                <w:sz w:val="20"/>
                <w:szCs w:val="20"/>
                <w:highlight w:val="none"/>
              </w:rPr>
            </w:pPr>
          </w:p>
        </w:tc>
      </w:tr>
    </w:tbl>
    <w:p w14:paraId="496ACF47">
      <w:pPr>
        <w:spacing w:line="360" w:lineRule="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lang w:bidi="ar"/>
        </w:rPr>
        <w:t>备注：1、如果有采用国际标准的货物，其执行标准由投标方提供、招标方确认。</w:t>
      </w:r>
    </w:p>
    <w:p w14:paraId="09B80C2A">
      <w:pPr>
        <w:snapToGrid w:val="0"/>
        <w:spacing w:line="360" w:lineRule="auto"/>
        <w:outlineLvl w:val="9"/>
        <w:rPr>
          <w:rFonts w:hint="default" w:ascii="Times New Roman" w:hAnsi="Times New Roman" w:eastAsia="宋体" w:cs="Times New Roman"/>
          <w:b/>
          <w:bCs/>
          <w:color w:val="auto"/>
          <w:sz w:val="24"/>
          <w:szCs w:val="24"/>
          <w:highlight w:val="none"/>
        </w:rPr>
      </w:pPr>
    </w:p>
    <w:p w14:paraId="4B06756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1"/>
        <w:rPr>
          <w:rFonts w:hint="default" w:ascii="Times New Roman" w:hAnsi="Times New Roman" w:eastAsia="宋体" w:cs="Times New Roman"/>
          <w:b/>
          <w:bCs/>
          <w:color w:val="auto"/>
          <w:sz w:val="24"/>
          <w:szCs w:val="24"/>
          <w:highlight w:val="none"/>
        </w:rPr>
      </w:pPr>
      <w:bookmarkStart w:id="240" w:name="_Toc21996"/>
      <w:bookmarkStart w:id="241" w:name="_Toc31161"/>
      <w:bookmarkStart w:id="242" w:name="_Toc22966"/>
      <w:bookmarkStart w:id="243" w:name="_Toc15804"/>
      <w:bookmarkStart w:id="244" w:name="_Toc16004"/>
      <w:bookmarkStart w:id="245" w:name="_Toc12134"/>
      <w:bookmarkStart w:id="246" w:name="_Toc31203"/>
      <w:bookmarkStart w:id="247" w:name="_Toc31070"/>
      <w:bookmarkStart w:id="248" w:name="_Toc22251"/>
      <w:bookmarkStart w:id="249" w:name="_Toc5217"/>
      <w:bookmarkStart w:id="250" w:name="_Toc21816"/>
      <w:bookmarkStart w:id="251" w:name="_Toc11090"/>
      <w:bookmarkStart w:id="252" w:name="_Toc20175"/>
      <w:bookmarkStart w:id="253" w:name="_Toc19257"/>
      <w:bookmarkStart w:id="254" w:name="_Toc21455"/>
      <w:bookmarkStart w:id="255" w:name="_Toc31998"/>
      <w:bookmarkStart w:id="256" w:name="_Toc3790"/>
      <w:bookmarkStart w:id="257" w:name="_Toc16054"/>
      <w:bookmarkStart w:id="258" w:name="_Toc16236"/>
      <w:bookmarkStart w:id="259" w:name="_Toc7237"/>
      <w:r>
        <w:rPr>
          <w:rFonts w:hint="default" w:ascii="Times New Roman" w:hAnsi="Times New Roman" w:eastAsia="宋体" w:cs="Times New Roman"/>
          <w:b/>
          <w:bCs/>
          <w:color w:val="auto"/>
          <w:sz w:val="24"/>
          <w:szCs w:val="24"/>
          <w:highlight w:val="none"/>
        </w:rPr>
        <w:t>3技术规范</w:t>
      </w:r>
      <w:bookmarkEnd w:id="240"/>
    </w:p>
    <w:p w14:paraId="2F9F51C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260" w:name="_Toc16518"/>
      <w:bookmarkStart w:id="261" w:name="_Toc22042"/>
      <w:bookmarkStart w:id="262" w:name="_Toc19055"/>
      <w:bookmarkStart w:id="263" w:name="_Toc10677"/>
      <w:bookmarkStart w:id="264" w:name="_Toc20150"/>
      <w:bookmarkStart w:id="265" w:name="_Toc17783"/>
      <w:bookmarkStart w:id="266" w:name="_Toc26683"/>
      <w:bookmarkStart w:id="267" w:name="_Toc15548"/>
      <w:bookmarkStart w:id="268" w:name="_Toc30668"/>
      <w:bookmarkStart w:id="269" w:name="_Toc12757"/>
      <w:bookmarkStart w:id="270" w:name="_Toc21407"/>
      <w:bookmarkStart w:id="271" w:name="_Toc26873"/>
      <w:bookmarkStart w:id="272" w:name="_Toc27515"/>
      <w:bookmarkStart w:id="273" w:name="_Toc43"/>
      <w:bookmarkStart w:id="274" w:name="_Toc26258"/>
      <w:bookmarkStart w:id="275" w:name="_Toc26033"/>
      <w:bookmarkStart w:id="276" w:name="_Toc3050"/>
      <w:bookmarkStart w:id="277" w:name="_Toc25588"/>
      <w:bookmarkStart w:id="278" w:name="_Toc14166"/>
      <w:r>
        <w:rPr>
          <w:rFonts w:hint="default" w:ascii="Times New Roman" w:hAnsi="Times New Roman" w:eastAsia="宋体" w:cs="Times New Roman"/>
          <w:color w:val="auto"/>
          <w:kern w:val="0"/>
          <w:sz w:val="24"/>
          <w:szCs w:val="24"/>
          <w:highlight w:val="none"/>
          <w:lang w:val="en-US" w:eastAsia="zh-CN" w:bidi="ar-SA"/>
        </w:rPr>
        <w:t>3.1生产线能力及产品说明</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B00D0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3.1.1生产能力及节拍。</w:t>
      </w:r>
    </w:p>
    <w:p w14:paraId="674F96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i w:val="0"/>
          <w:iCs w:val="0"/>
          <w:caps w:val="0"/>
          <w:color w:val="auto"/>
          <w:spacing w:val="0"/>
          <w:kern w:val="0"/>
          <w:sz w:val="24"/>
          <w:szCs w:val="24"/>
          <w:highlight w:val="none"/>
          <w:shd w:val="clear" w:fill="auto"/>
          <w:lang w:val="en-US" w:eastAsia="zh-CN" w:bidi="ar-SA"/>
        </w:rPr>
        <w:t>MCE12/16行星排电驱总成，单线单班产能：前后电驱各10件</w:t>
      </w:r>
    </w:p>
    <w:p w14:paraId="65BC117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3.1.2产品状态：</w:t>
      </w:r>
    </w:p>
    <w:p w14:paraId="0B3B0C4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主减装配电驱线生产产品：MCE05电驱主减、MCE06电驱主减、MCE12电驱前后主减、MCE16电驱前后主减、重卡行星排换挡MCE12/16电驱前后主减</w:t>
      </w:r>
      <w:r>
        <w:rPr>
          <w:rFonts w:hint="eastAsia" w:ascii="Times New Roman" w:hAnsi="Times New Roman" w:eastAsia="宋体" w:cs="Times New Roman"/>
          <w:color w:val="auto"/>
          <w:kern w:val="0"/>
          <w:sz w:val="24"/>
          <w:szCs w:val="24"/>
          <w:highlight w:val="none"/>
          <w:lang w:val="en-US" w:eastAsia="zh-CN" w:bidi="ar-SA"/>
        </w:rPr>
        <w:t>。</w:t>
      </w:r>
    </w:p>
    <w:p w14:paraId="376E53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3.1.3产品简图:</w:t>
      </w:r>
    </w:p>
    <w:p w14:paraId="23F408F9">
      <w:pPr>
        <w:keepNext w:val="0"/>
        <w:keepLines w:val="0"/>
        <w:pageBreakBefore w:val="0"/>
        <w:widowControl w:val="0"/>
        <w:kinsoku/>
        <w:wordWrap/>
        <w:overflowPunct/>
        <w:topLinePunct w:val="0"/>
        <w:bidi w:val="0"/>
        <w:snapToGrid w:val="0"/>
        <w:spacing w:line="360" w:lineRule="auto"/>
        <w:ind w:firstLine="440" w:firstLineChars="20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drawing>
          <wp:inline distT="0" distB="0" distL="114300" distR="114300">
            <wp:extent cx="3339465" cy="2518410"/>
            <wp:effectExtent l="0" t="0" r="13335" b="15240"/>
            <wp:docPr id="14" name="图片 14" descr="f3445883b9b0f8a8d0fb8f4dc795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3445883b9b0f8a8d0fb8f4dc7950eb"/>
                    <pic:cNvPicPr>
                      <a:picLocks noChangeAspect="1"/>
                    </pic:cNvPicPr>
                  </pic:nvPicPr>
                  <pic:blipFill>
                    <a:blip r:embed="rId39"/>
                    <a:stretch>
                      <a:fillRect/>
                    </a:stretch>
                  </pic:blipFill>
                  <pic:spPr>
                    <a:xfrm>
                      <a:off x="0" y="0"/>
                      <a:ext cx="3339465" cy="2518410"/>
                    </a:xfrm>
                    <a:prstGeom prst="rect">
                      <a:avLst/>
                    </a:prstGeom>
                  </pic:spPr>
                </pic:pic>
              </a:graphicData>
            </a:graphic>
          </wp:inline>
        </w:drawing>
      </w:r>
    </w:p>
    <w:p w14:paraId="2A0E5273">
      <w:pPr>
        <w:keepNext w:val="0"/>
        <w:keepLines w:val="0"/>
        <w:pageBreakBefore w:val="0"/>
        <w:widowControl w:val="0"/>
        <w:kinsoku/>
        <w:wordWrap/>
        <w:overflowPunct/>
        <w:topLinePunct w:val="0"/>
        <w:bidi w:val="0"/>
        <w:snapToGrid w:val="0"/>
        <w:spacing w:line="360" w:lineRule="auto"/>
        <w:ind w:firstLine="440" w:firstLineChars="20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MCE05电驱主减</w:t>
      </w:r>
      <w:r>
        <w:rPr>
          <w:rFonts w:hint="eastAsia" w:ascii="Times New Roman" w:hAnsi="Times New Roman" w:eastAsia="宋体" w:cs="Times New Roman"/>
          <w:color w:val="auto"/>
          <w:kern w:val="2"/>
          <w:sz w:val="22"/>
          <w:szCs w:val="22"/>
          <w:highlight w:val="none"/>
          <w:lang w:val="en-US" w:eastAsia="zh-CN" w:bidi="ar-SA"/>
        </w:rPr>
        <w:t>总成</w:t>
      </w:r>
    </w:p>
    <w:p w14:paraId="61EF58E9">
      <w:pPr>
        <w:keepNext w:val="0"/>
        <w:keepLines w:val="0"/>
        <w:pageBreakBefore w:val="0"/>
        <w:widowControl w:val="0"/>
        <w:kinsoku/>
        <w:wordWrap/>
        <w:overflowPunct/>
        <w:topLinePunct w:val="0"/>
        <w:bidi w:val="0"/>
        <w:snapToGrid w:val="0"/>
        <w:spacing w:line="360" w:lineRule="auto"/>
        <w:ind w:left="0" w:leftChars="0" w:firstLine="440" w:firstLineChars="20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drawing>
          <wp:inline distT="0" distB="0" distL="114300" distR="114300">
            <wp:extent cx="3244850" cy="2658110"/>
            <wp:effectExtent l="0" t="0" r="12700" b="8890"/>
            <wp:docPr id="73" name="图片 73" descr="d8d3407785bdeea76a101c2b4b4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8d3407785bdeea76a101c2b4b4dba2"/>
                    <pic:cNvPicPr>
                      <a:picLocks noChangeAspect="1"/>
                    </pic:cNvPicPr>
                  </pic:nvPicPr>
                  <pic:blipFill>
                    <a:blip r:embed="rId40"/>
                    <a:stretch>
                      <a:fillRect/>
                    </a:stretch>
                  </pic:blipFill>
                  <pic:spPr>
                    <a:xfrm>
                      <a:off x="0" y="0"/>
                      <a:ext cx="3244850" cy="2658110"/>
                    </a:xfrm>
                    <a:prstGeom prst="rect">
                      <a:avLst/>
                    </a:prstGeom>
                  </pic:spPr>
                </pic:pic>
              </a:graphicData>
            </a:graphic>
          </wp:inline>
        </w:drawing>
      </w:r>
    </w:p>
    <w:p w14:paraId="3F790BC1">
      <w:pPr>
        <w:keepNext w:val="0"/>
        <w:keepLines w:val="0"/>
        <w:pageBreakBefore w:val="0"/>
        <w:widowControl w:val="0"/>
        <w:kinsoku/>
        <w:wordWrap/>
        <w:overflowPunct/>
        <w:topLinePunct w:val="0"/>
        <w:bidi w:val="0"/>
        <w:snapToGrid w:val="0"/>
        <w:spacing w:line="360" w:lineRule="auto"/>
        <w:ind w:firstLine="440" w:firstLineChars="200"/>
        <w:jc w:val="center"/>
        <w:textAlignment w:val="auto"/>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重卡行星排MCE12</w:t>
      </w:r>
      <w:r>
        <w:rPr>
          <w:rFonts w:hint="eastAsia" w:ascii="Times New Roman" w:hAnsi="Times New Roman" w:eastAsia="宋体" w:cs="Times New Roman"/>
          <w:color w:val="auto"/>
          <w:kern w:val="2"/>
          <w:sz w:val="22"/>
          <w:szCs w:val="22"/>
          <w:highlight w:val="none"/>
          <w:lang w:val="en-US" w:eastAsia="zh-CN" w:bidi="ar-SA"/>
        </w:rPr>
        <w:t>电驱</w:t>
      </w:r>
      <w:r>
        <w:rPr>
          <w:rFonts w:hint="default" w:ascii="Times New Roman" w:hAnsi="Times New Roman" w:eastAsia="宋体" w:cs="Times New Roman"/>
          <w:color w:val="auto"/>
          <w:kern w:val="2"/>
          <w:sz w:val="22"/>
          <w:szCs w:val="22"/>
          <w:highlight w:val="none"/>
          <w:lang w:val="en-US" w:eastAsia="zh-CN" w:bidi="ar-SA"/>
        </w:rPr>
        <w:t>主减</w:t>
      </w:r>
      <w:r>
        <w:rPr>
          <w:rFonts w:hint="eastAsia" w:ascii="Times New Roman" w:hAnsi="Times New Roman" w:eastAsia="宋体" w:cs="Times New Roman"/>
          <w:color w:val="auto"/>
          <w:kern w:val="2"/>
          <w:sz w:val="22"/>
          <w:szCs w:val="22"/>
          <w:highlight w:val="none"/>
          <w:lang w:val="en-US" w:eastAsia="zh-CN" w:bidi="ar-SA"/>
        </w:rPr>
        <w:t>总成</w:t>
      </w:r>
    </w:p>
    <w:p w14:paraId="7DB2A2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3.1.4布置布局：</w:t>
      </w:r>
    </w:p>
    <w:p w14:paraId="772F86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设备安装于主减速器</w:t>
      </w:r>
      <w:r>
        <w:rPr>
          <w:rFonts w:hint="eastAsia" w:ascii="Times New Roman" w:hAnsi="Times New Roman" w:eastAsia="宋体" w:cs="Times New Roman"/>
          <w:color w:val="auto"/>
          <w:kern w:val="0"/>
          <w:sz w:val="24"/>
          <w:szCs w:val="24"/>
          <w:highlight w:val="none"/>
          <w:lang w:val="en-US" w:eastAsia="zh-CN" w:bidi="ar-SA"/>
        </w:rPr>
        <w:t>部</w:t>
      </w:r>
      <w:r>
        <w:rPr>
          <w:rFonts w:hint="default" w:ascii="Times New Roman" w:hAnsi="Times New Roman" w:eastAsia="宋体" w:cs="Times New Roman"/>
          <w:color w:val="auto"/>
          <w:kern w:val="0"/>
          <w:sz w:val="24"/>
          <w:szCs w:val="24"/>
          <w:highlight w:val="none"/>
          <w:lang w:val="en-US" w:eastAsia="zh-CN" w:bidi="ar-SA"/>
        </w:rPr>
        <w:t>装配电驱线</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差环线及合环线体内及线边，原有线体保持不变。</w:t>
      </w:r>
    </w:p>
    <w:p w14:paraId="1CAF1F22">
      <w:pPr>
        <w:keepNext w:val="0"/>
        <w:keepLines w:val="0"/>
        <w:pageBreakBefore w:val="0"/>
        <w:widowControl w:val="0"/>
        <w:kinsoku/>
        <w:wordWrap/>
        <w:overflowPunct/>
        <w:topLinePunct w:val="0"/>
        <w:bidi w:val="0"/>
        <w:snapToGrid w:val="0"/>
        <w:spacing w:line="360" w:lineRule="auto"/>
        <w:ind w:left="0" w:leftChars="0"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3580765" cy="5005705"/>
            <wp:effectExtent l="0" t="0" r="635" b="4445"/>
            <wp:docPr id="74" name="图片 74" descr="32b750840dc2869bbe79e9bbf574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b750840dc2869bbe79e9bbf574b88"/>
                    <pic:cNvPicPr>
                      <a:picLocks noChangeAspect="1"/>
                    </pic:cNvPicPr>
                  </pic:nvPicPr>
                  <pic:blipFill>
                    <a:blip r:embed="rId41"/>
                    <a:srcRect l="-313" t="1448"/>
                    <a:stretch>
                      <a:fillRect/>
                    </a:stretch>
                  </pic:blipFill>
                  <pic:spPr>
                    <a:xfrm>
                      <a:off x="0" y="0"/>
                      <a:ext cx="3580765" cy="5005705"/>
                    </a:xfrm>
                    <a:prstGeom prst="rect">
                      <a:avLst/>
                    </a:prstGeom>
                  </pic:spPr>
                </pic:pic>
              </a:graphicData>
            </a:graphic>
          </wp:inline>
        </w:drawing>
      </w:r>
    </w:p>
    <w:p w14:paraId="5A0ED9E1">
      <w:pPr>
        <w:keepNext w:val="0"/>
        <w:keepLines w:val="0"/>
        <w:pageBreakBefore w:val="0"/>
        <w:widowControl w:val="0"/>
        <w:kinsoku/>
        <w:wordWrap/>
        <w:overflowPunct/>
        <w:topLinePunct w:val="0"/>
        <w:bidi w:val="0"/>
        <w:snapToGrid w:val="0"/>
        <w:spacing w:line="360" w:lineRule="auto"/>
        <w:ind w:left="0" w:leftChars="0" w:firstLine="44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主减装配电驱线布局</w:t>
      </w:r>
    </w:p>
    <w:p w14:paraId="149CBD3A">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3.1.5工艺流程</w:t>
      </w:r>
      <w:r>
        <w:rPr>
          <w:rFonts w:hint="default" w:ascii="Times New Roman" w:hAnsi="Times New Roman" w:eastAsia="宋体" w:cs="Times New Roman"/>
          <w:color w:val="auto"/>
          <w:kern w:val="2"/>
          <w:sz w:val="24"/>
          <w:szCs w:val="24"/>
          <w:highlight w:val="none"/>
          <w:lang w:val="en-US" w:eastAsia="zh-CN" w:bidi="ar-SA"/>
        </w:rPr>
        <w:t xml:space="preserve">（参考重卡行星排换挡MCE12/16电驱及MCE05电驱）： </w:t>
      </w:r>
    </w:p>
    <w:p w14:paraId="1F01CB85">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3.1.5.1差环线：加热高档齿座</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行星排换挡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/加热传感器齿圈</w:t>
      </w:r>
      <w:r>
        <w:rPr>
          <w:rFonts w:hint="eastAsia" w:ascii="Times New Roman" w:hAnsi="Times New Roman" w:eastAsia="宋体" w:cs="Times New Roman"/>
          <w:color w:val="auto"/>
          <w:kern w:val="2"/>
          <w:sz w:val="24"/>
          <w:szCs w:val="24"/>
          <w:highlight w:val="none"/>
          <w:lang w:val="en-US" w:eastAsia="zh-CN" w:bidi="ar-SA"/>
        </w:rPr>
        <w:t>（MCE05）</w:t>
      </w:r>
      <w:r>
        <w:rPr>
          <w:rFonts w:hint="default" w:ascii="Times New Roman" w:hAnsi="Times New Roman" w:eastAsia="宋体" w:cs="Times New Roman"/>
          <w:color w:val="auto"/>
          <w:kern w:val="2"/>
          <w:sz w:val="24"/>
          <w:szCs w:val="24"/>
          <w:highlight w:val="none"/>
          <w:lang w:val="en-US" w:eastAsia="zh-CN" w:bidi="ar-SA"/>
        </w:rPr>
        <w:t>→加热传感器齿圈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行星排换挡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→加热中间轴承座总成</w:t>
      </w:r>
      <w:r>
        <w:rPr>
          <w:rFonts w:hint="eastAsia"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en-US" w:eastAsia="zh-CN" w:bidi="ar-SA"/>
        </w:rPr>
        <w:t>加热主减壳盖输入轴孔</w:t>
      </w:r>
    </w:p>
    <w:p w14:paraId="0772D021">
      <w:pPr>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3.1.5.2合环线：中间轴调整垫片测距选垫→压装中间轴外环及滑动衬套→吊装主减壳体→加热主减壳体输入轴孔→拧紧中间轴锁紧螺母→吊装多联件→分装拨叉轴总成/分装气动换挡机构总成</w:t>
      </w:r>
    </w:p>
    <w:p w14:paraId="4E402C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 设计要求</w:t>
      </w:r>
    </w:p>
    <w:p w14:paraId="3936CF8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279" w:name="_Toc32014"/>
      <w:bookmarkStart w:id="280" w:name="_Toc12930"/>
      <w:bookmarkStart w:id="281" w:name="_Toc30232"/>
      <w:bookmarkStart w:id="282" w:name="_Toc30729"/>
      <w:bookmarkStart w:id="283" w:name="_Toc21042"/>
      <w:bookmarkStart w:id="284" w:name="_Toc9455"/>
      <w:bookmarkStart w:id="285" w:name="_Toc2740"/>
      <w:bookmarkStart w:id="286" w:name="_Toc21034"/>
      <w:bookmarkStart w:id="287" w:name="_Toc15114"/>
      <w:bookmarkStart w:id="288" w:name="_Toc4440"/>
      <w:bookmarkStart w:id="289" w:name="_Toc6956"/>
      <w:bookmarkStart w:id="290" w:name="_Toc30017"/>
      <w:bookmarkStart w:id="291" w:name="_Toc6887"/>
      <w:bookmarkStart w:id="292" w:name="_Toc20138"/>
      <w:bookmarkStart w:id="293" w:name="_Toc19625"/>
      <w:bookmarkStart w:id="294" w:name="_Toc14275"/>
      <w:bookmarkStart w:id="295" w:name="_Toc29045"/>
      <w:bookmarkStart w:id="296" w:name="_Toc6592"/>
      <w:bookmarkStart w:id="297" w:name="_Toc2103"/>
      <w:r>
        <w:rPr>
          <w:rFonts w:hint="default" w:ascii="Times New Roman" w:hAnsi="Times New Roman" w:eastAsia="宋体" w:cs="Times New Roman"/>
          <w:color w:val="auto"/>
          <w:sz w:val="24"/>
          <w:szCs w:val="24"/>
          <w:highlight w:val="none"/>
          <w:lang w:val="en-US" w:eastAsia="zh-CN"/>
        </w:rPr>
        <w:t>3.2.1 主减装配电驱线改造设计要求：</w:t>
      </w:r>
    </w:p>
    <w:p w14:paraId="29AE95CB">
      <w:pPr>
        <w:keepNext w:val="0"/>
        <w:keepLines w:val="0"/>
        <w:pageBreakBefore w:val="0"/>
        <w:widowControl w:val="0"/>
        <w:numPr>
          <w:ilvl w:val="-1"/>
          <w:numId w:val="0"/>
        </w:numPr>
        <w:suppressLineNumbers w:val="0"/>
        <w:shd w:val="clear"/>
        <w:kinsoku/>
        <w:wordWrap/>
        <w:overflowPunct/>
        <w:topLinePunct w:val="0"/>
        <w:autoSpaceDE w:val="0"/>
        <w:autoSpaceDN w:val="0"/>
        <w:bidi w:val="0"/>
        <w:adjustRightInd w:val="0"/>
        <w:snapToGrid/>
        <w:spacing w:before="0" w:beforeAutospacing="0" w:after="0" w:afterAutospacing="0" w:line="360" w:lineRule="auto"/>
        <w:ind w:right="0"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3.2.1.1</w:t>
      </w:r>
      <w:r>
        <w:rPr>
          <w:rFonts w:hint="default" w:ascii="Times New Roman" w:hAnsi="Times New Roman" w:eastAsia="宋体" w:cs="Times New Roman"/>
          <w:b w:val="0"/>
          <w:color w:val="auto"/>
          <w:sz w:val="24"/>
          <w:szCs w:val="24"/>
          <w:highlight w:val="none"/>
          <w:lang w:val="en-US" w:eastAsia="zh-CN"/>
        </w:rPr>
        <w:t>行星排换挡</w:t>
      </w:r>
      <w:r>
        <w:rPr>
          <w:rFonts w:hint="default" w:ascii="Times New Roman" w:hAnsi="Times New Roman" w:eastAsia="宋体" w:cs="Times New Roman"/>
          <w:b w:val="0"/>
          <w:color w:val="auto"/>
          <w:kern w:val="2"/>
          <w:sz w:val="24"/>
          <w:szCs w:val="24"/>
          <w:highlight w:val="none"/>
          <w:lang w:val="en-US" w:eastAsia="zh-CN" w:bidi="ar"/>
        </w:rPr>
        <w:t>高档齿座/MCE05电驱传感器齿圈加热——新增落地式加热机1台</w:t>
      </w:r>
    </w:p>
    <w:p w14:paraId="758DA9B6">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技术要求：高档齿座/传感器齿圈加热，</w:t>
      </w:r>
      <w:r>
        <w:rPr>
          <w:rFonts w:hint="default" w:ascii="Times New Roman" w:hAnsi="Times New Roman" w:eastAsia="宋体" w:cs="Times New Roman"/>
          <w:b w:val="0"/>
          <w:color w:val="auto"/>
          <w:kern w:val="2"/>
          <w:sz w:val="24"/>
          <w:szCs w:val="24"/>
          <w:highlight w:val="none"/>
          <w:shd w:val="clear"/>
          <w:lang w:val="en-US" w:eastAsia="zh-CN" w:bidi="ar-SA"/>
        </w:rPr>
        <w:t>加热功率</w:t>
      </w:r>
      <w:r>
        <w:rPr>
          <w:rFonts w:hint="eastAsia" w:ascii="Times New Roman" w:hAnsi="Times New Roman" w:eastAsia="宋体" w:cs="Times New Roman"/>
          <w:b w:val="0"/>
          <w:color w:val="auto"/>
          <w:kern w:val="2"/>
          <w:sz w:val="24"/>
          <w:szCs w:val="24"/>
          <w:highlight w:val="none"/>
          <w:shd w:val="clear"/>
          <w:lang w:val="en-US" w:eastAsia="zh-CN" w:bidi="ar-SA"/>
        </w:rPr>
        <w:t>不小于</w:t>
      </w:r>
      <w:r>
        <w:rPr>
          <w:rFonts w:hint="default" w:ascii="Times New Roman" w:hAnsi="Times New Roman" w:eastAsia="宋体" w:cs="Times New Roman"/>
          <w:b w:val="0"/>
          <w:color w:val="auto"/>
          <w:kern w:val="2"/>
          <w:sz w:val="24"/>
          <w:szCs w:val="24"/>
          <w:highlight w:val="none"/>
          <w:shd w:val="clear"/>
          <w:lang w:val="en-US" w:eastAsia="zh-CN" w:bidi="ar-SA"/>
        </w:rPr>
        <w:t>15KW，</w:t>
      </w:r>
      <w:r>
        <w:rPr>
          <w:rFonts w:hint="default" w:ascii="Times New Roman" w:hAnsi="Times New Roman" w:eastAsia="宋体" w:cs="Times New Roman"/>
          <w:b w:val="0"/>
          <w:color w:val="auto"/>
          <w:kern w:val="2"/>
          <w:sz w:val="24"/>
          <w:szCs w:val="24"/>
          <w:highlight w:val="none"/>
          <w:lang w:val="en-US" w:eastAsia="zh-CN" w:bidi="ar-SA"/>
        </w:rPr>
        <w:t>设备可控温度20-200℃，输入电压220V/50HZ—380V/50HZ，加热零件材质：渗碳钢，零部件装配时要求加热温度：60-80℃，加热时间≤1min，加热头与加热零部件间隙2-5cm，</w:t>
      </w:r>
      <w:r>
        <w:rPr>
          <w:rFonts w:hint="eastAsia" w:ascii="Times New Roman" w:hAnsi="Times New Roman" w:eastAsia="宋体" w:cs="Times New Roman"/>
          <w:b w:val="0"/>
          <w:color w:val="auto"/>
          <w:kern w:val="2"/>
          <w:sz w:val="24"/>
          <w:szCs w:val="24"/>
          <w:highlight w:val="none"/>
          <w:lang w:val="en-US" w:eastAsia="zh-CN" w:bidi="ar-SA"/>
        </w:rPr>
        <w:t>配置定位装置，</w:t>
      </w:r>
      <w:r>
        <w:rPr>
          <w:rFonts w:hint="default" w:ascii="Times New Roman" w:hAnsi="Times New Roman" w:eastAsia="宋体" w:cs="Times New Roman"/>
          <w:b w:val="0"/>
          <w:color w:val="auto"/>
          <w:kern w:val="2"/>
          <w:sz w:val="24"/>
          <w:szCs w:val="24"/>
          <w:highlight w:val="none"/>
          <w:lang w:val="en-US" w:eastAsia="zh-CN" w:bidi="ar-SA"/>
        </w:rPr>
        <w:t>加热温度控制方式：接触式或红外测温式感应器，</w:t>
      </w:r>
      <w:r>
        <w:rPr>
          <w:rFonts w:hint="default" w:ascii="Times New Roman" w:hAnsi="Times New Roman" w:eastAsia="宋体" w:cs="Times New Roman"/>
          <w:b w:val="0"/>
          <w:color w:val="auto"/>
          <w:kern w:val="2"/>
          <w:sz w:val="24"/>
          <w:szCs w:val="24"/>
          <w:highlight w:val="none"/>
          <w:shd w:val="clear"/>
          <w:lang w:val="en-US" w:eastAsia="zh-CN" w:bidi="ar-SA"/>
        </w:rPr>
        <w:t>配置冷却及除烟尘装置；</w:t>
      </w:r>
    </w:p>
    <w:p w14:paraId="2AED88D2">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行星排换挡电驱</w:t>
      </w:r>
      <w:r>
        <w:rPr>
          <w:rFonts w:hint="default" w:ascii="Times New Roman" w:hAnsi="Times New Roman" w:eastAsia="宋体" w:cs="Times New Roman"/>
          <w:b w:val="0"/>
          <w:color w:val="auto"/>
          <w:kern w:val="2"/>
          <w:sz w:val="24"/>
          <w:szCs w:val="24"/>
          <w:highlight w:val="none"/>
          <w:lang w:val="en-US" w:eastAsia="zh-CN" w:bidi="ar"/>
        </w:rPr>
        <w:t>高档齿座，传感器齿圈加热，人工搬运工件至加热机上，工件加热至装配要求温度后人工搬离加热机，</w:t>
      </w:r>
      <w:r>
        <w:rPr>
          <w:rFonts w:hint="default" w:ascii="Times New Roman" w:hAnsi="Times New Roman" w:eastAsia="宋体" w:cs="Times New Roman"/>
          <w:b w:val="0"/>
          <w:color w:val="auto"/>
          <w:kern w:val="2"/>
          <w:sz w:val="24"/>
          <w:szCs w:val="24"/>
          <w:highlight w:val="none"/>
          <w:lang w:val="en-US" w:eastAsia="zh-CN" w:bidi="ar-SA"/>
        </w:rPr>
        <w:t>设备布置于差环线首，配置双加热头</w:t>
      </w:r>
      <w:r>
        <w:rPr>
          <w:rFonts w:hint="eastAsia" w:ascii="Times New Roman" w:hAnsi="Times New Roman" w:eastAsia="宋体" w:cs="Times New Roman"/>
          <w:b w:val="0"/>
          <w:color w:val="auto"/>
          <w:kern w:val="2"/>
          <w:sz w:val="24"/>
          <w:szCs w:val="24"/>
          <w:highlight w:val="none"/>
          <w:lang w:val="en-US" w:eastAsia="zh-CN" w:bidi="ar-SA"/>
        </w:rPr>
        <w:t>分别适用于两种工件并</w:t>
      </w:r>
      <w:r>
        <w:rPr>
          <w:rFonts w:hint="default" w:ascii="Times New Roman" w:hAnsi="Times New Roman" w:eastAsia="宋体" w:cs="Times New Roman"/>
          <w:b w:val="0"/>
          <w:color w:val="auto"/>
          <w:kern w:val="2"/>
          <w:sz w:val="24"/>
          <w:szCs w:val="24"/>
          <w:highlight w:val="none"/>
          <w:lang w:val="en-US" w:eastAsia="zh-CN" w:bidi="ar-SA"/>
        </w:rPr>
        <w:t>保证工作效率，</w:t>
      </w:r>
      <w:r>
        <w:rPr>
          <w:rFonts w:hint="eastAsia" w:ascii="Times New Roman" w:hAnsi="Times New Roman" w:eastAsia="宋体" w:cs="Times New Roman"/>
          <w:b w:val="0"/>
          <w:color w:val="auto"/>
          <w:kern w:val="2"/>
          <w:sz w:val="24"/>
          <w:szCs w:val="24"/>
          <w:highlight w:val="none"/>
          <w:lang w:val="en-US" w:eastAsia="zh-CN" w:bidi="ar-SA"/>
        </w:rPr>
        <w:t>双通道独立控温系统，确保两个加热头工作温度互不干扰，精准可控，</w:t>
      </w:r>
      <w:r>
        <w:rPr>
          <w:rFonts w:hint="default" w:ascii="Times New Roman" w:hAnsi="Times New Roman" w:eastAsia="宋体" w:cs="Times New Roman"/>
          <w:b w:val="0"/>
          <w:color w:val="auto"/>
          <w:kern w:val="2"/>
          <w:sz w:val="24"/>
          <w:szCs w:val="24"/>
          <w:highlight w:val="none"/>
          <w:lang w:val="en-US" w:eastAsia="zh-CN" w:bidi="ar-SA"/>
        </w:rPr>
        <w:t>加热头须耐高温、耐腐蚀、易更换，配套风冷式过热保护及除烟尘装置，热源防烫伤保护装置，系统设置简单易学，便于操作。</w:t>
      </w:r>
    </w:p>
    <w:p w14:paraId="22A036A7">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加热零部件尺寸：</w:t>
      </w:r>
    </w:p>
    <w:p w14:paraId="6BF5F9E5">
      <w:pPr>
        <w:keepNext w:val="0"/>
        <w:keepLines w:val="0"/>
        <w:pageBreakBefore w:val="0"/>
        <w:widowControl w:val="0"/>
        <w:numPr>
          <w:ilvl w:val="0"/>
          <w:numId w:val="11"/>
        </w:numPr>
        <w:shd w:val="clea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行星排传感器高档齿座加热</w:t>
      </w:r>
      <w:r>
        <w:rPr>
          <w:rFonts w:hint="eastAsia" w:ascii="Times New Roman" w:hAnsi="Times New Roman" w:eastAsia="宋体" w:cs="Times New Roman"/>
          <w:b w:val="0"/>
          <w:color w:val="auto"/>
          <w:kern w:val="2"/>
          <w:sz w:val="24"/>
          <w:szCs w:val="24"/>
          <w:highlight w:val="none"/>
          <w:lang w:val="en-US" w:eastAsia="zh-CN" w:bidi="ar-SA"/>
        </w:rPr>
        <w:t>孔径</w:t>
      </w:r>
      <w:r>
        <w:rPr>
          <w:rFonts w:hint="default" w:ascii="Times New Roman" w:hAnsi="Times New Roman" w:eastAsia="宋体" w:cs="Times New Roman"/>
          <w:b w:val="0"/>
          <w:color w:val="auto"/>
          <w:kern w:val="2"/>
          <w:sz w:val="24"/>
          <w:szCs w:val="24"/>
          <w:highlight w:val="none"/>
          <w:lang w:val="en-US" w:eastAsia="zh-CN" w:bidi="ar-SA"/>
        </w:rPr>
        <w:t>Ф86mm；</w:t>
      </w:r>
    </w:p>
    <w:p w14:paraId="3DA64348">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drawing>
          <wp:inline distT="0" distB="0" distL="114300" distR="114300">
            <wp:extent cx="4038600" cy="1221740"/>
            <wp:effectExtent l="0" t="0" r="0" b="1651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2"/>
                    <a:srcRect b="4852"/>
                    <a:stretch>
                      <a:fillRect/>
                    </a:stretch>
                  </pic:blipFill>
                  <pic:spPr>
                    <a:xfrm>
                      <a:off x="0" y="0"/>
                      <a:ext cx="4038600" cy="1221740"/>
                    </a:xfrm>
                    <a:prstGeom prst="rect">
                      <a:avLst/>
                    </a:prstGeom>
                    <a:noFill/>
                    <a:ln>
                      <a:noFill/>
                    </a:ln>
                  </pic:spPr>
                </pic:pic>
              </a:graphicData>
            </a:graphic>
          </wp:inline>
        </w:drawing>
      </w:r>
    </w:p>
    <w:p w14:paraId="7B1E36B4">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高档齿座总成</w:t>
      </w:r>
    </w:p>
    <w:p w14:paraId="10AD1F0D">
      <w:pPr>
        <w:keepNext w:val="0"/>
        <w:keepLines w:val="0"/>
        <w:pageBreakBefore w:val="0"/>
        <w:widowControl w:val="0"/>
        <w:numPr>
          <w:ilvl w:val="0"/>
          <w:numId w:val="11"/>
        </w:numPr>
        <w:shd w:val="clea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MCE05传感器齿圈加热</w:t>
      </w:r>
      <w:r>
        <w:rPr>
          <w:rFonts w:hint="eastAsia" w:ascii="Times New Roman" w:hAnsi="Times New Roman" w:eastAsia="宋体" w:cs="Times New Roman"/>
          <w:b w:val="0"/>
          <w:color w:val="auto"/>
          <w:kern w:val="2"/>
          <w:sz w:val="24"/>
          <w:szCs w:val="24"/>
          <w:highlight w:val="none"/>
          <w:lang w:val="en-US" w:eastAsia="zh-CN" w:bidi="ar-SA"/>
        </w:rPr>
        <w:t>孔径</w:t>
      </w:r>
      <w:r>
        <w:rPr>
          <w:rFonts w:hint="default" w:ascii="Times New Roman" w:hAnsi="Times New Roman" w:eastAsia="宋体" w:cs="Times New Roman"/>
          <w:b w:val="0"/>
          <w:color w:val="auto"/>
          <w:kern w:val="2"/>
          <w:sz w:val="24"/>
          <w:szCs w:val="24"/>
          <w:highlight w:val="none"/>
          <w:lang w:val="en-US" w:eastAsia="zh-CN" w:bidi="ar-SA"/>
        </w:rPr>
        <w:t>Ф187mm；</w:t>
      </w:r>
    </w:p>
    <w:p w14:paraId="4B52EE87">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
        </w:rPr>
      </w:pPr>
      <w:r>
        <w:rPr>
          <w:rFonts w:ascii="Times New Roman" w:hAnsi="Times New Roman" w:eastAsia="宋体" w:cs="Times New Roman"/>
          <w:kern w:val="2"/>
          <w:sz w:val="24"/>
          <w:szCs w:val="24"/>
          <w:highlight w:val="none"/>
          <w:lang w:val="en-US" w:eastAsia="zh-CN" w:bidi="ar-SA"/>
        </w:rPr>
        <w:drawing>
          <wp:inline distT="0" distB="0" distL="114300" distR="114300">
            <wp:extent cx="2184400" cy="2092325"/>
            <wp:effectExtent l="0" t="0" r="6350" b="317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43"/>
                    <a:stretch>
                      <a:fillRect/>
                    </a:stretch>
                  </pic:blipFill>
                  <pic:spPr>
                    <a:xfrm>
                      <a:off x="0" y="0"/>
                      <a:ext cx="2184400" cy="2092325"/>
                    </a:xfrm>
                    <a:prstGeom prst="rect">
                      <a:avLst/>
                    </a:prstGeom>
                    <a:noFill/>
                    <a:ln>
                      <a:noFill/>
                    </a:ln>
                  </pic:spPr>
                </pic:pic>
              </a:graphicData>
            </a:graphic>
          </wp:inline>
        </w:drawing>
      </w:r>
    </w:p>
    <w:p w14:paraId="7DEFE74C">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
        </w:rPr>
        <w:t>传感器齿圈</w:t>
      </w:r>
    </w:p>
    <w:p w14:paraId="3E52CF3B">
      <w:pPr>
        <w:keepNext w:val="0"/>
        <w:keepLines w:val="0"/>
        <w:pageBreakBefore w:val="0"/>
        <w:widowControl w:val="0"/>
        <w:numPr>
          <w:ilvl w:val="-1"/>
          <w:numId w:val="0"/>
        </w:numPr>
        <w:suppressLineNumbers w:val="0"/>
        <w:shd w:val="clear"/>
        <w:kinsoku/>
        <w:wordWrap/>
        <w:overflowPunct/>
        <w:topLinePunct w:val="0"/>
        <w:autoSpaceDE w:val="0"/>
        <w:autoSpaceDN w:val="0"/>
        <w:bidi w:val="0"/>
        <w:adjustRightInd w:val="0"/>
        <w:snapToGrid/>
        <w:spacing w:before="0" w:beforeAutospacing="0" w:after="0" w:afterAutospacing="0" w:line="360" w:lineRule="auto"/>
        <w:ind w:right="0"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sz w:val="24"/>
          <w:szCs w:val="24"/>
          <w:highlight w:val="none"/>
          <w:lang w:val="en-US" w:eastAsia="zh-CN"/>
        </w:rPr>
        <w:t>3.2.1.2行星排换挡</w:t>
      </w:r>
      <w:r>
        <w:rPr>
          <w:rFonts w:hint="default" w:ascii="Times New Roman" w:hAnsi="Times New Roman" w:eastAsia="宋体" w:cs="Times New Roman"/>
          <w:b w:val="0"/>
          <w:color w:val="auto"/>
          <w:kern w:val="2"/>
          <w:sz w:val="24"/>
          <w:szCs w:val="24"/>
          <w:highlight w:val="none"/>
          <w:lang w:val="en-US" w:eastAsia="zh-CN" w:bidi="ar"/>
        </w:rPr>
        <w:t>传感器齿圈加热——新增落地式加热机1台</w:t>
      </w:r>
    </w:p>
    <w:p w14:paraId="026A8167">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技术要求：传感器齿圈加热，</w:t>
      </w:r>
      <w:r>
        <w:rPr>
          <w:rFonts w:hint="default" w:ascii="Times New Roman" w:hAnsi="Times New Roman" w:eastAsia="宋体" w:cs="Times New Roman"/>
          <w:b w:val="0"/>
          <w:color w:val="auto"/>
          <w:kern w:val="2"/>
          <w:sz w:val="24"/>
          <w:szCs w:val="24"/>
          <w:highlight w:val="none"/>
          <w:shd w:val="clear"/>
          <w:lang w:val="en-US" w:eastAsia="zh-CN" w:bidi="ar-SA"/>
        </w:rPr>
        <w:t>加热功率</w:t>
      </w:r>
      <w:r>
        <w:rPr>
          <w:rFonts w:hint="eastAsia" w:ascii="Times New Roman" w:hAnsi="Times New Roman" w:eastAsia="宋体" w:cs="Times New Roman"/>
          <w:b w:val="0"/>
          <w:color w:val="auto"/>
          <w:kern w:val="2"/>
          <w:sz w:val="24"/>
          <w:szCs w:val="24"/>
          <w:highlight w:val="none"/>
          <w:shd w:val="clear"/>
          <w:lang w:val="en-US" w:eastAsia="zh-CN" w:bidi="ar-SA"/>
        </w:rPr>
        <w:t>不小于</w:t>
      </w:r>
      <w:r>
        <w:rPr>
          <w:rFonts w:hint="default" w:ascii="Times New Roman" w:hAnsi="Times New Roman" w:eastAsia="宋体" w:cs="Times New Roman"/>
          <w:b w:val="0"/>
          <w:color w:val="auto"/>
          <w:kern w:val="2"/>
          <w:sz w:val="24"/>
          <w:szCs w:val="24"/>
          <w:highlight w:val="none"/>
          <w:shd w:val="clear"/>
          <w:lang w:val="en-US" w:eastAsia="zh-CN" w:bidi="ar-SA"/>
        </w:rPr>
        <w:t>15KW，</w:t>
      </w:r>
      <w:r>
        <w:rPr>
          <w:rFonts w:hint="default" w:ascii="Times New Roman" w:hAnsi="Times New Roman" w:eastAsia="宋体" w:cs="Times New Roman"/>
          <w:b w:val="0"/>
          <w:color w:val="auto"/>
          <w:kern w:val="2"/>
          <w:sz w:val="24"/>
          <w:szCs w:val="24"/>
          <w:highlight w:val="none"/>
          <w:lang w:val="en-US" w:eastAsia="zh-CN" w:bidi="ar-SA"/>
        </w:rPr>
        <w:t>设备可控温度20-200℃，输入电压220V/50HZ—380V/50HZ，加热零件材质：渗碳钢，零部件装配时要求加热温度：60-80℃，加热时间≤1min，加热头与加热零部件间隙2-5cm，</w:t>
      </w:r>
      <w:r>
        <w:rPr>
          <w:rFonts w:hint="eastAsia" w:ascii="Times New Roman" w:hAnsi="Times New Roman" w:eastAsia="宋体" w:cs="Times New Roman"/>
          <w:b w:val="0"/>
          <w:color w:val="auto"/>
          <w:kern w:val="2"/>
          <w:sz w:val="24"/>
          <w:szCs w:val="24"/>
          <w:highlight w:val="none"/>
          <w:lang w:val="en-US" w:eastAsia="zh-CN" w:bidi="ar-SA"/>
        </w:rPr>
        <w:t>配置定位装置，</w:t>
      </w:r>
      <w:r>
        <w:rPr>
          <w:rFonts w:hint="default" w:ascii="Times New Roman" w:hAnsi="Times New Roman" w:eastAsia="宋体" w:cs="Times New Roman"/>
          <w:b w:val="0"/>
          <w:color w:val="auto"/>
          <w:kern w:val="2"/>
          <w:sz w:val="24"/>
          <w:szCs w:val="24"/>
          <w:highlight w:val="none"/>
          <w:lang w:val="en-US" w:eastAsia="zh-CN" w:bidi="ar-SA"/>
        </w:rPr>
        <w:t>加热温度控制方式：接触式或红外测温式感应器，</w:t>
      </w:r>
      <w:r>
        <w:rPr>
          <w:rFonts w:hint="default" w:ascii="Times New Roman" w:hAnsi="Times New Roman" w:eastAsia="宋体" w:cs="Times New Roman"/>
          <w:b w:val="0"/>
          <w:color w:val="auto"/>
          <w:kern w:val="2"/>
          <w:sz w:val="24"/>
          <w:szCs w:val="24"/>
          <w:highlight w:val="none"/>
          <w:shd w:val="clear"/>
          <w:lang w:val="en-US" w:eastAsia="zh-CN" w:bidi="ar-SA"/>
        </w:rPr>
        <w:t>配置冷却及除烟尘装置；</w:t>
      </w:r>
    </w:p>
    <w:p w14:paraId="7419498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行星排换挡</w:t>
      </w:r>
      <w:r>
        <w:rPr>
          <w:rFonts w:hint="default" w:ascii="Times New Roman" w:hAnsi="Times New Roman" w:eastAsia="宋体" w:cs="Times New Roman"/>
          <w:b w:val="0"/>
          <w:color w:val="auto"/>
          <w:kern w:val="2"/>
          <w:sz w:val="24"/>
          <w:szCs w:val="24"/>
          <w:highlight w:val="none"/>
          <w:lang w:val="en-US" w:eastAsia="zh-CN" w:bidi="ar-SA"/>
        </w:rPr>
        <w:t>电驱</w:t>
      </w:r>
      <w:r>
        <w:rPr>
          <w:rFonts w:hint="default" w:ascii="Times New Roman" w:hAnsi="Times New Roman" w:eastAsia="宋体" w:cs="Times New Roman"/>
          <w:b w:val="0"/>
          <w:color w:val="auto"/>
          <w:kern w:val="2"/>
          <w:sz w:val="24"/>
          <w:szCs w:val="24"/>
          <w:highlight w:val="none"/>
          <w:lang w:val="en-US" w:eastAsia="zh-CN" w:bidi="ar"/>
        </w:rPr>
        <w:t>传感器齿圈加热，人工搬运工件至加热机上，工件加热至装配要求温度后人工搬离加热机，</w:t>
      </w:r>
      <w:r>
        <w:rPr>
          <w:rFonts w:hint="default" w:ascii="Times New Roman" w:hAnsi="Times New Roman" w:eastAsia="宋体" w:cs="Times New Roman"/>
          <w:b w:val="0"/>
          <w:color w:val="auto"/>
          <w:kern w:val="2"/>
          <w:sz w:val="24"/>
          <w:szCs w:val="24"/>
          <w:highlight w:val="none"/>
          <w:lang w:val="en-US" w:eastAsia="zh-CN" w:bidi="ar-SA"/>
        </w:rPr>
        <w:t>设备布置于差环线尾，配置双加热头保证工作效率及生产节拍，</w:t>
      </w:r>
      <w:r>
        <w:rPr>
          <w:rFonts w:hint="eastAsia" w:ascii="Times New Roman" w:hAnsi="Times New Roman" w:eastAsia="宋体" w:cs="Times New Roman"/>
          <w:b w:val="0"/>
          <w:color w:val="auto"/>
          <w:kern w:val="0"/>
          <w:sz w:val="24"/>
          <w:szCs w:val="24"/>
          <w:highlight w:val="none"/>
          <w:lang w:val="en-US" w:eastAsia="zh-CN" w:bidi="ar-SA"/>
        </w:rPr>
        <w:t>双通道独立控温系统，确保两个加热头工作温度互不干扰，精准可控，</w:t>
      </w:r>
      <w:r>
        <w:rPr>
          <w:rFonts w:hint="default" w:ascii="Times New Roman" w:hAnsi="Times New Roman" w:eastAsia="宋体" w:cs="Times New Roman"/>
          <w:b w:val="0"/>
          <w:color w:val="auto"/>
          <w:kern w:val="2"/>
          <w:sz w:val="24"/>
          <w:szCs w:val="24"/>
          <w:highlight w:val="none"/>
          <w:lang w:val="en-US" w:eastAsia="zh-CN" w:bidi="ar-SA"/>
        </w:rPr>
        <w:t>加热头须耐高温、耐腐蚀、易更换，配套风冷式过热保护及除烟尘装置，热源防烫伤保护装置，系统设置简单易学，便于操作。</w:t>
      </w:r>
    </w:p>
    <w:p w14:paraId="4CD28557">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加热零部件尺寸：</w:t>
      </w:r>
    </w:p>
    <w:p w14:paraId="5C547F38">
      <w:pPr>
        <w:keepNext w:val="0"/>
        <w:keepLines w:val="0"/>
        <w:pageBreakBefore w:val="0"/>
        <w:widowControl w:val="0"/>
        <w:numPr>
          <w:ilvl w:val="0"/>
          <w:numId w:val="12"/>
        </w:numPr>
        <w:shd w:val="clear"/>
        <w:kinsoku/>
        <w:wordWrap/>
        <w:overflowPunct/>
        <w:topLinePunct w:val="0"/>
        <w:autoSpaceDE w:val="0"/>
        <w:autoSpaceDN w:val="0"/>
        <w:bidi w:val="0"/>
        <w:adjustRightInd w:val="0"/>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行星排传感器齿圈加热</w:t>
      </w:r>
      <w:r>
        <w:rPr>
          <w:rFonts w:hint="eastAsia" w:ascii="Times New Roman" w:hAnsi="Times New Roman" w:eastAsia="宋体" w:cs="Times New Roman"/>
          <w:b w:val="0"/>
          <w:color w:val="auto"/>
          <w:kern w:val="2"/>
          <w:sz w:val="24"/>
          <w:szCs w:val="24"/>
          <w:highlight w:val="none"/>
          <w:lang w:val="en-US" w:eastAsia="zh-CN" w:bidi="ar-SA"/>
        </w:rPr>
        <w:t>孔</w:t>
      </w:r>
      <w:r>
        <w:rPr>
          <w:rFonts w:hint="default" w:ascii="Times New Roman" w:hAnsi="Times New Roman" w:eastAsia="宋体" w:cs="Times New Roman"/>
          <w:b w:val="0"/>
          <w:color w:val="auto"/>
          <w:kern w:val="2"/>
          <w:sz w:val="24"/>
          <w:szCs w:val="24"/>
          <w:highlight w:val="none"/>
          <w:lang w:val="en-US" w:eastAsia="zh-CN" w:bidi="ar-SA"/>
        </w:rPr>
        <w:t>径Ф209mm；</w:t>
      </w:r>
    </w:p>
    <w:p w14:paraId="58084B34">
      <w:pPr>
        <w:keepNext w:val="0"/>
        <w:keepLines w:val="0"/>
        <w:pageBreakBefore w:val="0"/>
        <w:widowControl w:val="0"/>
        <w:shd w:val="clear"/>
        <w:kinsoku/>
        <w:wordWrap/>
        <w:overflowPunct/>
        <w:topLinePunct w:val="0"/>
        <w:bidi w:val="0"/>
        <w:spacing w:after="120" w:line="360" w:lineRule="auto"/>
        <w:ind w:left="357" w:leftChars="17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drawing>
          <wp:inline distT="0" distB="0" distL="114300" distR="114300">
            <wp:extent cx="2392680" cy="2290445"/>
            <wp:effectExtent l="0" t="0" r="7620" b="1460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43"/>
                    <a:stretch>
                      <a:fillRect/>
                    </a:stretch>
                  </pic:blipFill>
                  <pic:spPr>
                    <a:xfrm>
                      <a:off x="0" y="0"/>
                      <a:ext cx="2392680" cy="2290445"/>
                    </a:xfrm>
                    <a:prstGeom prst="rect">
                      <a:avLst/>
                    </a:prstGeom>
                    <a:noFill/>
                    <a:ln>
                      <a:noFill/>
                    </a:ln>
                  </pic:spPr>
                </pic:pic>
              </a:graphicData>
            </a:graphic>
          </wp:inline>
        </w:drawing>
      </w:r>
    </w:p>
    <w:p w14:paraId="7187C1EF">
      <w:pPr>
        <w:keepNext w:val="0"/>
        <w:keepLines w:val="0"/>
        <w:pageBreakBefore w:val="0"/>
        <w:widowControl w:val="0"/>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
        </w:rPr>
        <w:t>传感器齿圈</w:t>
      </w:r>
    </w:p>
    <w:p w14:paraId="2C9692AC">
      <w:pPr>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3.2.1.3主减壳盖输入轴孔/轴承座</w:t>
      </w:r>
      <w:r>
        <w:rPr>
          <w:rFonts w:hint="eastAsia" w:ascii="Times New Roman" w:hAnsi="Times New Roman" w:eastAsia="宋体" w:cs="Times New Roman"/>
          <w:b w:val="0"/>
          <w:color w:val="auto"/>
          <w:kern w:val="2"/>
          <w:sz w:val="24"/>
          <w:szCs w:val="24"/>
          <w:highlight w:val="none"/>
          <w:lang w:val="en-US" w:eastAsia="zh-CN" w:bidi="ar"/>
        </w:rPr>
        <w:t>球轴承配合孔</w:t>
      </w:r>
      <w:r>
        <w:rPr>
          <w:rFonts w:hint="default" w:ascii="Times New Roman" w:hAnsi="Times New Roman" w:eastAsia="宋体" w:cs="Times New Roman"/>
          <w:b w:val="0"/>
          <w:color w:val="auto"/>
          <w:kern w:val="2"/>
          <w:sz w:val="24"/>
          <w:szCs w:val="24"/>
          <w:highlight w:val="none"/>
          <w:lang w:val="en-US" w:eastAsia="zh-CN" w:bidi="ar"/>
        </w:rPr>
        <w:t>加热——新增落地式加热机1台</w:t>
      </w:r>
    </w:p>
    <w:p w14:paraId="29E7E023">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w:t>
      </w:r>
      <w:r>
        <w:rPr>
          <w:rFonts w:hint="default" w:ascii="Times New Roman" w:hAnsi="Times New Roman" w:eastAsia="宋体" w:cs="Times New Roman"/>
          <w:b w:val="0"/>
          <w:color w:val="auto"/>
          <w:kern w:val="2"/>
          <w:sz w:val="24"/>
          <w:szCs w:val="24"/>
          <w:highlight w:val="none"/>
          <w:lang w:val="en-US" w:eastAsia="zh-CN" w:bidi="ar"/>
        </w:rPr>
        <w:t>主减壳盖输入轴孔/轴承座</w:t>
      </w:r>
      <w:r>
        <w:rPr>
          <w:rFonts w:hint="eastAsia" w:ascii="Times New Roman" w:hAnsi="Times New Roman" w:eastAsia="宋体" w:cs="Times New Roman"/>
          <w:b w:val="0"/>
          <w:color w:val="auto"/>
          <w:kern w:val="2"/>
          <w:sz w:val="24"/>
          <w:szCs w:val="24"/>
          <w:highlight w:val="none"/>
          <w:lang w:val="en-US" w:eastAsia="zh-CN" w:bidi="ar"/>
        </w:rPr>
        <w:t>球轴承配合孔</w:t>
      </w:r>
      <w:r>
        <w:rPr>
          <w:rFonts w:hint="default" w:ascii="Times New Roman" w:hAnsi="Times New Roman" w:eastAsia="宋体" w:cs="Times New Roman"/>
          <w:b w:val="0"/>
          <w:color w:val="auto"/>
          <w:kern w:val="2"/>
          <w:sz w:val="24"/>
          <w:szCs w:val="24"/>
          <w:highlight w:val="none"/>
          <w:lang w:val="en-US" w:eastAsia="zh-CN" w:bidi="ar"/>
        </w:rPr>
        <w:t>加热</w:t>
      </w: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shd w:val="clear"/>
          <w:lang w:val="en-US" w:eastAsia="zh-CN" w:bidi="ar-SA"/>
        </w:rPr>
        <w:t>加热功率</w:t>
      </w:r>
      <w:r>
        <w:rPr>
          <w:rFonts w:hint="eastAsia" w:ascii="Times New Roman" w:hAnsi="Times New Roman" w:eastAsia="宋体" w:cs="Times New Roman"/>
          <w:b w:val="0"/>
          <w:color w:val="auto"/>
          <w:kern w:val="2"/>
          <w:sz w:val="24"/>
          <w:szCs w:val="24"/>
          <w:highlight w:val="none"/>
          <w:shd w:val="clear"/>
          <w:lang w:val="en-US" w:eastAsia="zh-CN" w:bidi="ar-SA"/>
        </w:rPr>
        <w:t>不小于</w:t>
      </w:r>
      <w:r>
        <w:rPr>
          <w:rFonts w:hint="default" w:ascii="Times New Roman" w:hAnsi="Times New Roman" w:eastAsia="宋体" w:cs="Times New Roman"/>
          <w:b w:val="0"/>
          <w:color w:val="auto"/>
          <w:kern w:val="2"/>
          <w:sz w:val="24"/>
          <w:szCs w:val="24"/>
          <w:highlight w:val="none"/>
          <w:shd w:val="clear"/>
          <w:lang w:val="en-US" w:eastAsia="zh-CN" w:bidi="ar-SA"/>
        </w:rPr>
        <w:t>15KW，</w:t>
      </w:r>
      <w:r>
        <w:rPr>
          <w:rFonts w:hint="default" w:ascii="Times New Roman" w:hAnsi="Times New Roman" w:eastAsia="宋体" w:cs="Times New Roman"/>
          <w:b w:val="0"/>
          <w:color w:val="auto"/>
          <w:kern w:val="2"/>
          <w:sz w:val="24"/>
          <w:szCs w:val="24"/>
          <w:highlight w:val="none"/>
          <w:lang w:val="en-US" w:eastAsia="zh-CN" w:bidi="ar-SA"/>
        </w:rPr>
        <w:t>设备可控温度20-200℃，输入电压220V/50HZ—380V/50HZ，加热零件材质：渗碳钢，零部件装配时要求加热温度：60-80℃，加热时间≤1min，加热头与加热零部件间隙2-5cm，</w:t>
      </w:r>
      <w:r>
        <w:rPr>
          <w:rFonts w:hint="eastAsia" w:ascii="Times New Roman" w:hAnsi="Times New Roman" w:eastAsia="宋体" w:cs="Times New Roman"/>
          <w:b w:val="0"/>
          <w:color w:val="auto"/>
          <w:kern w:val="2"/>
          <w:sz w:val="24"/>
          <w:szCs w:val="24"/>
          <w:highlight w:val="none"/>
          <w:lang w:val="en-US" w:eastAsia="zh-CN" w:bidi="ar-SA"/>
        </w:rPr>
        <w:t>配置定位装置，双通道独立控温系统，确保两个加热头工作温度互不干扰，精准可控，</w:t>
      </w:r>
      <w:r>
        <w:rPr>
          <w:rFonts w:hint="default" w:ascii="Times New Roman" w:hAnsi="Times New Roman" w:eastAsia="宋体" w:cs="Times New Roman"/>
          <w:b w:val="0"/>
          <w:color w:val="auto"/>
          <w:kern w:val="2"/>
          <w:sz w:val="24"/>
          <w:szCs w:val="24"/>
          <w:highlight w:val="none"/>
          <w:lang w:val="en-US" w:eastAsia="zh-CN" w:bidi="ar-SA"/>
        </w:rPr>
        <w:t>加热温度控制方式：接触式或红外测温式感应器，</w:t>
      </w:r>
      <w:r>
        <w:rPr>
          <w:rFonts w:hint="default" w:ascii="Times New Roman" w:hAnsi="Times New Roman" w:eastAsia="宋体" w:cs="Times New Roman"/>
          <w:b w:val="0"/>
          <w:color w:val="auto"/>
          <w:kern w:val="2"/>
          <w:sz w:val="24"/>
          <w:szCs w:val="24"/>
          <w:highlight w:val="none"/>
          <w:shd w:val="clear"/>
          <w:lang w:val="en-US" w:eastAsia="zh-CN" w:bidi="ar-SA"/>
        </w:rPr>
        <w:t>配置冷却及除烟尘装置；</w:t>
      </w:r>
    </w:p>
    <w:p w14:paraId="53E09C5C">
      <w:pPr>
        <w:keepNext w:val="0"/>
        <w:keepLines w:val="0"/>
        <w:pageBreakBefore w:val="0"/>
        <w:widowControl w:val="0"/>
        <w:shd w:val="clear"/>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该设备需满足：</w:t>
      </w:r>
    </w:p>
    <w:p w14:paraId="4EDFFE7A">
      <w:pPr>
        <w:keepNext w:val="0"/>
        <w:keepLines w:val="0"/>
        <w:pageBreakBefore w:val="0"/>
        <w:widowControl w:val="0"/>
        <w:numPr>
          <w:ilvl w:val="0"/>
          <w:numId w:val="13"/>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MCE05/06/12/16电驱</w:t>
      </w:r>
      <w:r>
        <w:rPr>
          <w:rFonts w:hint="default" w:ascii="Times New Roman" w:hAnsi="Times New Roman" w:eastAsia="宋体" w:cs="Times New Roman"/>
          <w:b w:val="0"/>
          <w:color w:val="auto"/>
          <w:kern w:val="2"/>
          <w:sz w:val="24"/>
          <w:szCs w:val="24"/>
          <w:highlight w:val="none"/>
          <w:lang w:val="en-US" w:eastAsia="zh-CN" w:bidi="ar"/>
        </w:rPr>
        <w:t>轴承座</w:t>
      </w:r>
      <w:r>
        <w:rPr>
          <w:rFonts w:hint="eastAsia" w:ascii="Times New Roman" w:hAnsi="Times New Roman" w:eastAsia="宋体" w:cs="Times New Roman"/>
          <w:b w:val="0"/>
          <w:color w:val="auto"/>
          <w:kern w:val="2"/>
          <w:sz w:val="24"/>
          <w:szCs w:val="24"/>
          <w:highlight w:val="none"/>
          <w:lang w:val="en-US" w:eastAsia="zh-CN" w:bidi="ar"/>
        </w:rPr>
        <w:t>球轴承配合孔</w:t>
      </w:r>
      <w:r>
        <w:rPr>
          <w:rFonts w:hint="default" w:ascii="Times New Roman" w:hAnsi="Times New Roman" w:eastAsia="宋体" w:cs="Times New Roman"/>
          <w:b w:val="0"/>
          <w:color w:val="auto"/>
          <w:kern w:val="2"/>
          <w:sz w:val="24"/>
          <w:szCs w:val="24"/>
          <w:highlight w:val="none"/>
          <w:lang w:val="en-US" w:eastAsia="zh-CN" w:bidi="ar-SA"/>
        </w:rPr>
        <w:t>加热</w:t>
      </w:r>
    </w:p>
    <w:p w14:paraId="14428C14">
      <w:pPr>
        <w:keepNext w:val="0"/>
        <w:keepLines w:val="0"/>
        <w:pageBreakBefore w:val="0"/>
        <w:widowControl w:val="0"/>
        <w:numPr>
          <w:ilvl w:val="0"/>
          <w:numId w:val="13"/>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所有系列电驱减壳盖输入轴孔加热</w:t>
      </w:r>
    </w:p>
    <w:p w14:paraId="3D59BD0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设备布置于差环与主环线之间，加热头①须兼容MCE05/06/12/16电驱轴承座加热；加热头②须兼容所有系列电驱减壳盖输入轴孔加热</w:t>
      </w:r>
      <w:r>
        <w:rPr>
          <w:rFonts w:hint="default" w:ascii="Times New Roman" w:hAnsi="Times New Roman" w:eastAsia="宋体" w:cs="Times New Roman"/>
          <w:b w:val="0"/>
          <w:color w:val="auto"/>
          <w:kern w:val="0"/>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
        </w:rPr>
        <w:t>人工搬运工件至加热机上，工件加热至装配要求温度后人工搬离加热机，</w:t>
      </w:r>
      <w:r>
        <w:rPr>
          <w:rFonts w:hint="default" w:ascii="Times New Roman" w:hAnsi="Times New Roman" w:eastAsia="宋体" w:cs="Times New Roman"/>
          <w:b w:val="0"/>
          <w:color w:val="auto"/>
          <w:kern w:val="0"/>
          <w:sz w:val="24"/>
          <w:szCs w:val="24"/>
          <w:highlight w:val="none"/>
          <w:lang w:val="en-US" w:eastAsia="zh-CN" w:bidi="ar-SA"/>
        </w:rPr>
        <w:t>加热头需</w:t>
      </w:r>
      <w:r>
        <w:rPr>
          <w:rFonts w:hint="default" w:ascii="Times New Roman" w:hAnsi="Times New Roman" w:eastAsia="宋体" w:cs="Times New Roman"/>
          <w:b w:val="0"/>
          <w:color w:val="auto"/>
          <w:kern w:val="2"/>
          <w:sz w:val="24"/>
          <w:szCs w:val="24"/>
          <w:highlight w:val="none"/>
          <w:lang w:val="en-US" w:eastAsia="zh-CN" w:bidi="ar-SA"/>
        </w:rPr>
        <w:t>耐高温、耐腐蚀、易更换，配套风冷式过热保护及除烟尘装置，热源防烫伤保护装置，系统设置应简单易学，便于操作。</w:t>
      </w:r>
    </w:p>
    <w:p w14:paraId="549255C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加热零部件尺寸：</w:t>
      </w:r>
    </w:p>
    <w:p w14:paraId="0036993A">
      <w:pPr>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行星排输入轴孔</w:t>
      </w:r>
      <w:r>
        <w:rPr>
          <w:rFonts w:hint="default" w:ascii="Times New Roman" w:hAnsi="Times New Roman" w:eastAsia="宋体" w:cs="Times New Roman"/>
          <w:b w:val="0"/>
          <w:color w:val="auto"/>
          <w:kern w:val="0"/>
          <w:sz w:val="24"/>
          <w:szCs w:val="24"/>
          <w:highlight w:val="none"/>
          <w:lang w:val="en-US" w:eastAsia="zh-CN" w:bidi="ar-SA"/>
        </w:rPr>
        <w:t>加热</w:t>
      </w:r>
      <w:r>
        <w:rPr>
          <w:rFonts w:hint="eastAsia" w:ascii="Times New Roman" w:hAnsi="Times New Roman" w:eastAsia="宋体" w:cs="Times New Roman"/>
          <w:b w:val="0"/>
          <w:color w:val="auto"/>
          <w:kern w:val="0"/>
          <w:sz w:val="24"/>
          <w:szCs w:val="24"/>
          <w:highlight w:val="none"/>
          <w:lang w:val="en-US" w:eastAsia="zh-CN" w:bidi="ar-SA"/>
        </w:rPr>
        <w:t>孔</w:t>
      </w:r>
      <w:r>
        <w:rPr>
          <w:rFonts w:hint="default" w:ascii="Times New Roman" w:hAnsi="Times New Roman" w:eastAsia="宋体" w:cs="Times New Roman"/>
          <w:b w:val="0"/>
          <w:color w:val="auto"/>
          <w:kern w:val="0"/>
          <w:sz w:val="24"/>
          <w:szCs w:val="24"/>
          <w:highlight w:val="none"/>
          <w:lang w:val="en-US" w:eastAsia="zh-CN" w:bidi="ar-SA"/>
        </w:rPr>
        <w:t>径</w:t>
      </w:r>
      <w:r>
        <w:rPr>
          <w:rFonts w:hint="default" w:ascii="Times New Roman" w:hAnsi="Times New Roman" w:eastAsia="宋体" w:cs="Times New Roman"/>
          <w:b w:val="0"/>
          <w:color w:val="auto"/>
          <w:kern w:val="2"/>
          <w:sz w:val="24"/>
          <w:szCs w:val="24"/>
          <w:highlight w:val="none"/>
          <w:lang w:val="en-US" w:eastAsia="zh-CN" w:bidi="ar-SA"/>
        </w:rPr>
        <w:t>Ф90mm</w:t>
      </w:r>
    </w:p>
    <w:p w14:paraId="0B074FFF">
      <w:pPr>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MCE05输入轴孔</w:t>
      </w:r>
      <w:r>
        <w:rPr>
          <w:rFonts w:hint="default" w:ascii="Times New Roman" w:hAnsi="Times New Roman" w:eastAsia="宋体" w:cs="Times New Roman"/>
          <w:b w:val="0"/>
          <w:color w:val="auto"/>
          <w:kern w:val="0"/>
          <w:sz w:val="24"/>
          <w:szCs w:val="24"/>
          <w:highlight w:val="none"/>
          <w:lang w:val="en-US" w:eastAsia="zh-CN" w:bidi="ar-SA"/>
        </w:rPr>
        <w:t>加热</w:t>
      </w:r>
      <w:r>
        <w:rPr>
          <w:rFonts w:hint="eastAsia" w:ascii="Times New Roman" w:hAnsi="Times New Roman" w:eastAsia="宋体" w:cs="Times New Roman"/>
          <w:b w:val="0"/>
          <w:color w:val="auto"/>
          <w:kern w:val="0"/>
          <w:sz w:val="24"/>
          <w:szCs w:val="24"/>
          <w:highlight w:val="none"/>
          <w:lang w:val="en-US" w:eastAsia="zh-CN" w:bidi="ar-SA"/>
        </w:rPr>
        <w:t>孔</w:t>
      </w:r>
      <w:r>
        <w:rPr>
          <w:rFonts w:hint="default" w:ascii="Times New Roman" w:hAnsi="Times New Roman" w:eastAsia="宋体" w:cs="Times New Roman"/>
          <w:b w:val="0"/>
          <w:color w:val="auto"/>
          <w:kern w:val="0"/>
          <w:sz w:val="24"/>
          <w:szCs w:val="24"/>
          <w:highlight w:val="none"/>
          <w:lang w:val="en-US" w:eastAsia="zh-CN" w:bidi="ar-SA"/>
        </w:rPr>
        <w:t>径</w:t>
      </w:r>
      <w:r>
        <w:rPr>
          <w:rFonts w:hint="default" w:ascii="Times New Roman" w:hAnsi="Times New Roman" w:eastAsia="宋体" w:cs="Times New Roman"/>
          <w:b w:val="0"/>
          <w:color w:val="auto"/>
          <w:kern w:val="2"/>
          <w:sz w:val="24"/>
          <w:szCs w:val="24"/>
          <w:highlight w:val="none"/>
          <w:lang w:val="en-US" w:eastAsia="zh-CN" w:bidi="ar-SA"/>
        </w:rPr>
        <w:t>Ф80mm</w:t>
      </w:r>
    </w:p>
    <w:p w14:paraId="46D7FB6D">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drawing>
          <wp:inline distT="0" distB="0" distL="114300" distR="114300">
            <wp:extent cx="1447800" cy="1112520"/>
            <wp:effectExtent l="0" t="0" r="0" b="1143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44"/>
                    <a:stretch>
                      <a:fillRect/>
                    </a:stretch>
                  </pic:blipFill>
                  <pic:spPr>
                    <a:xfrm>
                      <a:off x="0" y="0"/>
                      <a:ext cx="1447800" cy="1112520"/>
                    </a:xfrm>
                    <a:prstGeom prst="rect">
                      <a:avLst/>
                    </a:prstGeom>
                    <a:noFill/>
                    <a:ln>
                      <a:noFill/>
                    </a:ln>
                  </pic:spPr>
                </pic:pic>
              </a:graphicData>
            </a:graphic>
          </wp:inline>
        </w:drawing>
      </w:r>
      <w:r>
        <w:rPr>
          <w:rFonts w:hint="default" w:ascii="Times New Roman" w:hAnsi="Times New Roman" w:eastAsia="宋体" w:cs="Times New Roman"/>
          <w:b w:val="0"/>
          <w:color w:val="auto"/>
          <w:kern w:val="2"/>
          <w:sz w:val="24"/>
          <w:szCs w:val="24"/>
          <w:highlight w:val="none"/>
          <w:lang w:val="en-US" w:eastAsia="zh-CN" w:bidi="ar-SA"/>
        </w:rPr>
        <w:t xml:space="preserve"> </w:t>
      </w:r>
      <w:r>
        <w:rPr>
          <w:rFonts w:ascii="Times New Roman" w:hAnsi="Times New Roman" w:eastAsia="宋体" w:cs="Times New Roman"/>
          <w:kern w:val="2"/>
          <w:sz w:val="24"/>
          <w:szCs w:val="24"/>
          <w:highlight w:val="none"/>
          <w:lang w:val="en-US" w:eastAsia="zh-CN" w:bidi="ar-SA"/>
        </w:rPr>
        <w:drawing>
          <wp:inline distT="0" distB="0" distL="114300" distR="114300">
            <wp:extent cx="1410335" cy="1256665"/>
            <wp:effectExtent l="0" t="0" r="18415" b="63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5"/>
                    <a:stretch>
                      <a:fillRect/>
                    </a:stretch>
                  </pic:blipFill>
                  <pic:spPr>
                    <a:xfrm>
                      <a:off x="0" y="0"/>
                      <a:ext cx="1410335" cy="1256665"/>
                    </a:xfrm>
                    <a:prstGeom prst="rect">
                      <a:avLst/>
                    </a:prstGeom>
                    <a:noFill/>
                    <a:ln>
                      <a:noFill/>
                    </a:ln>
                  </pic:spPr>
                </pic:pic>
              </a:graphicData>
            </a:graphic>
          </wp:inline>
        </w:drawing>
      </w:r>
      <w:r>
        <w:rPr>
          <w:rFonts w:hint="default" w:ascii="Times New Roman" w:hAnsi="Times New Roman" w:eastAsia="宋体" w:cs="Times New Roman"/>
          <w:b w:val="0"/>
          <w:color w:val="auto"/>
          <w:kern w:val="2"/>
          <w:sz w:val="24"/>
          <w:szCs w:val="24"/>
          <w:highlight w:val="none"/>
          <w:lang w:val="en-US" w:eastAsia="zh-CN" w:bidi="ar-SA"/>
        </w:rPr>
        <w:t xml:space="preserve"> </w:t>
      </w:r>
      <w:r>
        <w:rPr>
          <w:rFonts w:ascii="Times New Roman" w:hAnsi="Times New Roman" w:eastAsia="宋体" w:cs="Times New Roman"/>
          <w:kern w:val="2"/>
          <w:sz w:val="24"/>
          <w:szCs w:val="24"/>
          <w:highlight w:val="none"/>
          <w:lang w:val="en-US" w:eastAsia="zh-CN" w:bidi="ar-SA"/>
        </w:rPr>
        <w:drawing>
          <wp:inline distT="0" distB="0" distL="114300" distR="114300">
            <wp:extent cx="1257300" cy="1243965"/>
            <wp:effectExtent l="0" t="0" r="0" b="133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6"/>
                    <a:stretch>
                      <a:fillRect/>
                    </a:stretch>
                  </pic:blipFill>
                  <pic:spPr>
                    <a:xfrm>
                      <a:off x="0" y="0"/>
                      <a:ext cx="1257300" cy="1243965"/>
                    </a:xfrm>
                    <a:prstGeom prst="rect">
                      <a:avLst/>
                    </a:prstGeom>
                    <a:noFill/>
                    <a:ln>
                      <a:noFill/>
                    </a:ln>
                  </pic:spPr>
                </pic:pic>
              </a:graphicData>
            </a:graphic>
          </wp:inline>
        </w:drawing>
      </w:r>
    </w:p>
    <w:p w14:paraId="60542109">
      <w:pPr>
        <w:keepNext w:val="0"/>
        <w:keepLines w:val="0"/>
        <w:pageBreakBefore w:val="0"/>
        <w:widowControl w:val="0"/>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主减壳盖总成</w:t>
      </w:r>
    </w:p>
    <w:p w14:paraId="0E64E1E7">
      <w:pPr>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MCE05/06/12/16电驱</w:t>
      </w:r>
      <w:r>
        <w:rPr>
          <w:rFonts w:hint="default" w:ascii="Times New Roman" w:hAnsi="Times New Roman" w:eastAsia="宋体" w:cs="Times New Roman"/>
          <w:b w:val="0"/>
          <w:color w:val="auto"/>
          <w:kern w:val="2"/>
          <w:sz w:val="24"/>
          <w:szCs w:val="24"/>
          <w:highlight w:val="none"/>
          <w:lang w:val="en-US" w:eastAsia="zh-CN" w:bidi="ar"/>
        </w:rPr>
        <w:t>轴承座</w:t>
      </w:r>
      <w:r>
        <w:rPr>
          <w:rFonts w:hint="eastAsia" w:ascii="Times New Roman" w:hAnsi="Times New Roman" w:eastAsia="宋体" w:cs="Times New Roman"/>
          <w:b w:val="0"/>
          <w:color w:val="auto"/>
          <w:kern w:val="2"/>
          <w:sz w:val="24"/>
          <w:szCs w:val="24"/>
          <w:highlight w:val="none"/>
          <w:lang w:val="en-US" w:eastAsia="zh-CN" w:bidi="ar"/>
        </w:rPr>
        <w:t>球轴承配合孔径</w:t>
      </w:r>
      <w:r>
        <w:rPr>
          <w:rFonts w:hint="default" w:ascii="Times New Roman" w:hAnsi="Times New Roman" w:eastAsia="宋体" w:cs="Times New Roman"/>
          <w:b w:val="0"/>
          <w:color w:val="auto"/>
          <w:kern w:val="2"/>
          <w:sz w:val="24"/>
          <w:szCs w:val="24"/>
          <w:highlight w:val="none"/>
          <w:lang w:val="en-US" w:eastAsia="zh-CN" w:bidi="ar-SA"/>
        </w:rPr>
        <w:t>Ф110mm</w:t>
      </w:r>
    </w:p>
    <w:p w14:paraId="3F9E447A">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bidi="ar-SA"/>
        </w:rPr>
        <w:drawing>
          <wp:inline distT="0" distB="0" distL="114300" distR="114300">
            <wp:extent cx="4772025" cy="1373505"/>
            <wp:effectExtent l="0" t="0" r="9525" b="17145"/>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47"/>
                    <a:srcRect t="14759" b="13002"/>
                    <a:stretch>
                      <a:fillRect/>
                    </a:stretch>
                  </pic:blipFill>
                  <pic:spPr>
                    <a:xfrm>
                      <a:off x="0" y="0"/>
                      <a:ext cx="4772025" cy="1373505"/>
                    </a:xfrm>
                    <a:prstGeom prst="rect">
                      <a:avLst/>
                    </a:prstGeom>
                    <a:noFill/>
                    <a:ln>
                      <a:noFill/>
                    </a:ln>
                  </pic:spPr>
                </pic:pic>
              </a:graphicData>
            </a:graphic>
          </wp:inline>
        </w:drawing>
      </w:r>
    </w:p>
    <w:p w14:paraId="55727B87">
      <w:pPr>
        <w:keepNext w:val="0"/>
        <w:keepLines w:val="0"/>
        <w:pageBreakBefore w:val="0"/>
        <w:widowControl w:val="0"/>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轴承座总成</w:t>
      </w:r>
    </w:p>
    <w:p w14:paraId="0E10A46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0"/>
          <w:sz w:val="24"/>
          <w:szCs w:val="24"/>
          <w:highlight w:val="none"/>
          <w:lang w:val="en-US" w:eastAsia="zh-CN" w:bidi="ar-SA"/>
        </w:rPr>
        <w:t>3.2.1.4</w:t>
      </w:r>
      <w:r>
        <w:rPr>
          <w:rFonts w:hint="default" w:ascii="Times New Roman" w:hAnsi="Times New Roman" w:eastAsia="宋体" w:cs="Times New Roman"/>
          <w:b w:val="0"/>
          <w:color w:val="auto"/>
          <w:kern w:val="2"/>
          <w:sz w:val="24"/>
          <w:szCs w:val="24"/>
          <w:highlight w:val="none"/>
          <w:lang w:val="en-US" w:eastAsia="zh-CN" w:bidi="ar"/>
        </w:rPr>
        <w:t>主减壳体输入轴孔加热——新增加热机1台</w:t>
      </w:r>
    </w:p>
    <w:p w14:paraId="71B000BE">
      <w:pPr>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w:t>
      </w:r>
      <w:r>
        <w:rPr>
          <w:rFonts w:hint="default" w:ascii="Times New Roman" w:hAnsi="Times New Roman" w:eastAsia="宋体" w:cs="Times New Roman"/>
          <w:b w:val="0"/>
          <w:color w:val="auto"/>
          <w:kern w:val="2"/>
          <w:sz w:val="24"/>
          <w:szCs w:val="24"/>
          <w:highlight w:val="none"/>
          <w:lang w:val="en-US" w:eastAsia="zh-CN" w:bidi="ar"/>
        </w:rPr>
        <w:t>主减壳体输入轴孔加热</w:t>
      </w:r>
      <w:r>
        <w:rPr>
          <w:rFonts w:hint="default"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shd w:val="clear"/>
          <w:lang w:val="en-US" w:eastAsia="zh-CN" w:bidi="ar-SA"/>
        </w:rPr>
        <w:t>加热功率15KW，</w:t>
      </w:r>
      <w:r>
        <w:rPr>
          <w:rFonts w:hint="default" w:ascii="Times New Roman" w:hAnsi="Times New Roman" w:eastAsia="宋体" w:cs="Times New Roman"/>
          <w:b w:val="0"/>
          <w:color w:val="auto"/>
          <w:kern w:val="2"/>
          <w:sz w:val="24"/>
          <w:szCs w:val="24"/>
          <w:highlight w:val="none"/>
          <w:lang w:val="en-US" w:eastAsia="zh-CN" w:bidi="ar-SA"/>
        </w:rPr>
        <w:t>设备可控温度20-200℃，输入电压220V/50HZ—380V/50HZ，加热零件材质：渗碳钢，配置双加热头</w:t>
      </w:r>
      <w:r>
        <w:rPr>
          <w:rFonts w:hint="eastAsia" w:ascii="Times New Roman" w:hAnsi="Times New Roman" w:eastAsia="宋体" w:cs="Times New Roman"/>
          <w:b w:val="0"/>
          <w:color w:val="auto"/>
          <w:kern w:val="2"/>
          <w:sz w:val="24"/>
          <w:szCs w:val="24"/>
          <w:highlight w:val="none"/>
          <w:lang w:val="en-US" w:eastAsia="zh-CN" w:bidi="ar-SA"/>
        </w:rPr>
        <w:t>分别适用于两种工件并</w:t>
      </w:r>
      <w:r>
        <w:rPr>
          <w:rFonts w:hint="default" w:ascii="Times New Roman" w:hAnsi="Times New Roman" w:eastAsia="宋体" w:cs="Times New Roman"/>
          <w:b w:val="0"/>
          <w:color w:val="auto"/>
          <w:kern w:val="2"/>
          <w:sz w:val="24"/>
          <w:szCs w:val="24"/>
          <w:highlight w:val="none"/>
          <w:lang w:val="en-US" w:eastAsia="zh-CN" w:bidi="ar-SA"/>
        </w:rPr>
        <w:t>保证工作效率，</w:t>
      </w:r>
      <w:r>
        <w:rPr>
          <w:rFonts w:hint="eastAsia" w:ascii="Times New Roman" w:hAnsi="Times New Roman" w:eastAsia="宋体" w:cs="Times New Roman"/>
          <w:b w:val="0"/>
          <w:color w:val="auto"/>
          <w:kern w:val="2"/>
          <w:sz w:val="24"/>
          <w:szCs w:val="24"/>
          <w:highlight w:val="none"/>
          <w:lang w:val="en-US" w:eastAsia="zh-CN" w:bidi="ar-SA"/>
        </w:rPr>
        <w:t>双通道独立控温系统，确保两个加热头工作温度互不干扰，精准可控，</w:t>
      </w:r>
      <w:r>
        <w:rPr>
          <w:rFonts w:hint="default" w:ascii="Times New Roman" w:hAnsi="Times New Roman" w:eastAsia="宋体" w:cs="Times New Roman"/>
          <w:b w:val="0"/>
          <w:color w:val="auto"/>
          <w:kern w:val="2"/>
          <w:sz w:val="24"/>
          <w:szCs w:val="24"/>
          <w:highlight w:val="none"/>
          <w:lang w:val="en-US" w:eastAsia="zh-CN" w:bidi="ar-SA"/>
        </w:rPr>
        <w:t>零部件装配时要求加热温度：60-80℃，加热时间≤1min，加热头与加热零部件间隙2-5cm，加热温度控制方式：接触式或红外测温式感应器，</w:t>
      </w:r>
      <w:r>
        <w:rPr>
          <w:rFonts w:hint="default" w:ascii="Times New Roman" w:hAnsi="Times New Roman" w:eastAsia="宋体" w:cs="Times New Roman"/>
          <w:b w:val="0"/>
          <w:color w:val="auto"/>
          <w:kern w:val="2"/>
          <w:sz w:val="24"/>
          <w:szCs w:val="24"/>
          <w:highlight w:val="none"/>
          <w:shd w:val="clear"/>
          <w:lang w:val="en-US" w:eastAsia="zh-CN" w:bidi="ar-SA"/>
        </w:rPr>
        <w:t>配置冷却及除烟尘装置；</w:t>
      </w:r>
    </w:p>
    <w:p w14:paraId="1E7CC6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设备配置延伸式加热头，人工手提加热头放置于主减壳体输入轴孔，加热输入轴孔至</w:t>
      </w:r>
      <w:r>
        <w:rPr>
          <w:rFonts w:hint="default" w:ascii="Times New Roman" w:hAnsi="Times New Roman" w:eastAsia="宋体" w:cs="Times New Roman"/>
          <w:b w:val="0"/>
          <w:color w:val="auto"/>
          <w:kern w:val="2"/>
          <w:sz w:val="24"/>
          <w:szCs w:val="24"/>
          <w:highlight w:val="none"/>
          <w:lang w:val="en-US" w:eastAsia="zh-CN" w:bidi="ar"/>
        </w:rPr>
        <w:t>装配要求温度后移出加热头，</w:t>
      </w:r>
      <w:r>
        <w:rPr>
          <w:rFonts w:hint="default" w:ascii="Times New Roman" w:hAnsi="Times New Roman" w:eastAsia="宋体" w:cs="Times New Roman"/>
          <w:b w:val="0"/>
          <w:color w:val="auto"/>
          <w:kern w:val="2"/>
          <w:sz w:val="24"/>
          <w:szCs w:val="24"/>
          <w:highlight w:val="none"/>
          <w:lang w:val="en-US" w:eastAsia="zh-CN" w:bidi="ar-SA"/>
        </w:rPr>
        <w:t>加热头须耐高温、耐腐蚀、易更换，配套风冷式过热保护及除烟尘装置，热源防烫伤保护装置，系统设置应简单易学，便于操作。</w:t>
      </w:r>
    </w:p>
    <w:p w14:paraId="0B56666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
        </w:rPr>
        <w:t>压装零部件尺寸：</w:t>
      </w:r>
    </w:p>
    <w:p w14:paraId="6C2FF9DF">
      <w:pPr>
        <w:keepNext w:val="0"/>
        <w:keepLines w:val="0"/>
        <w:pageBreakBefore w:val="0"/>
        <w:widowControl w:val="0"/>
        <w:numPr>
          <w:ilvl w:val="0"/>
          <w:numId w:val="15"/>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行星排输入轴孔</w:t>
      </w:r>
      <w:r>
        <w:rPr>
          <w:rFonts w:hint="default" w:ascii="Times New Roman" w:hAnsi="Times New Roman" w:eastAsia="宋体" w:cs="Times New Roman"/>
          <w:b w:val="0"/>
          <w:color w:val="auto"/>
          <w:kern w:val="0"/>
          <w:sz w:val="24"/>
          <w:szCs w:val="24"/>
          <w:highlight w:val="none"/>
          <w:lang w:val="en-US" w:eastAsia="zh-CN" w:bidi="ar-SA"/>
        </w:rPr>
        <w:t>加热</w:t>
      </w:r>
      <w:r>
        <w:rPr>
          <w:rFonts w:hint="eastAsia" w:ascii="Times New Roman" w:hAnsi="Times New Roman" w:eastAsia="宋体" w:cs="Times New Roman"/>
          <w:b w:val="0"/>
          <w:color w:val="auto"/>
          <w:kern w:val="0"/>
          <w:sz w:val="24"/>
          <w:szCs w:val="24"/>
          <w:highlight w:val="none"/>
          <w:lang w:val="en-US" w:eastAsia="zh-CN" w:bidi="ar-SA"/>
        </w:rPr>
        <w:t>内</w:t>
      </w:r>
      <w:r>
        <w:rPr>
          <w:rFonts w:hint="default" w:ascii="Times New Roman" w:hAnsi="Times New Roman" w:eastAsia="宋体" w:cs="Times New Roman"/>
          <w:b w:val="0"/>
          <w:color w:val="auto"/>
          <w:kern w:val="0"/>
          <w:sz w:val="24"/>
          <w:szCs w:val="24"/>
          <w:highlight w:val="none"/>
          <w:lang w:val="en-US" w:eastAsia="zh-CN" w:bidi="ar-SA"/>
        </w:rPr>
        <w:t>径</w:t>
      </w:r>
      <w:r>
        <w:rPr>
          <w:rFonts w:hint="default" w:ascii="Times New Roman" w:hAnsi="Times New Roman" w:eastAsia="宋体" w:cs="Times New Roman"/>
          <w:b w:val="0"/>
          <w:color w:val="auto"/>
          <w:kern w:val="2"/>
          <w:sz w:val="24"/>
          <w:szCs w:val="24"/>
          <w:highlight w:val="none"/>
          <w:lang w:val="en-US" w:eastAsia="zh-CN" w:bidi="ar-SA"/>
        </w:rPr>
        <w:t>Ф90mm</w:t>
      </w:r>
    </w:p>
    <w:p w14:paraId="32FFE5AF">
      <w:pPr>
        <w:keepNext w:val="0"/>
        <w:keepLines w:val="0"/>
        <w:pageBreakBefore w:val="0"/>
        <w:widowControl w:val="0"/>
        <w:numPr>
          <w:ilvl w:val="0"/>
          <w:numId w:val="15"/>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MCE05输入轴孔</w:t>
      </w:r>
      <w:r>
        <w:rPr>
          <w:rFonts w:hint="default" w:ascii="Times New Roman" w:hAnsi="Times New Roman" w:eastAsia="宋体" w:cs="Times New Roman"/>
          <w:b w:val="0"/>
          <w:color w:val="auto"/>
          <w:kern w:val="0"/>
          <w:sz w:val="24"/>
          <w:szCs w:val="24"/>
          <w:highlight w:val="none"/>
          <w:lang w:val="en-US" w:eastAsia="zh-CN" w:bidi="ar-SA"/>
        </w:rPr>
        <w:t>加热</w:t>
      </w:r>
      <w:r>
        <w:rPr>
          <w:rFonts w:hint="eastAsia" w:ascii="Times New Roman" w:hAnsi="Times New Roman" w:eastAsia="宋体" w:cs="Times New Roman"/>
          <w:b w:val="0"/>
          <w:color w:val="auto"/>
          <w:kern w:val="0"/>
          <w:sz w:val="24"/>
          <w:szCs w:val="24"/>
          <w:highlight w:val="none"/>
          <w:lang w:val="en-US" w:eastAsia="zh-CN" w:bidi="ar-SA"/>
        </w:rPr>
        <w:t>内径</w:t>
      </w:r>
      <w:r>
        <w:rPr>
          <w:rFonts w:hint="default" w:ascii="Times New Roman" w:hAnsi="Times New Roman" w:eastAsia="宋体" w:cs="Times New Roman"/>
          <w:b w:val="0"/>
          <w:color w:val="auto"/>
          <w:kern w:val="2"/>
          <w:sz w:val="24"/>
          <w:szCs w:val="24"/>
          <w:highlight w:val="none"/>
          <w:lang w:val="en-US" w:eastAsia="zh-CN" w:bidi="ar-SA"/>
        </w:rPr>
        <w:t>Ф80mm</w:t>
      </w:r>
      <w:r>
        <w:rPr>
          <w:rFonts w:hint="eastAsia" w:ascii="Times New Roman" w:hAnsi="Times New Roman" w:eastAsia="宋体" w:cs="Times New Roman"/>
          <w:b w:val="0"/>
          <w:color w:val="auto"/>
          <w:kern w:val="2"/>
          <w:sz w:val="24"/>
          <w:szCs w:val="24"/>
          <w:highlight w:val="none"/>
          <w:lang w:val="en-US" w:eastAsia="zh-CN" w:bidi="ar-SA"/>
        </w:rPr>
        <w:t xml:space="preserve"> </w:t>
      </w:r>
    </w:p>
    <w:p w14:paraId="696B5084">
      <w:pPr>
        <w:keepNext w:val="0"/>
        <w:keepLines w:val="0"/>
        <w:pageBreakBefore w:val="0"/>
        <w:widowControl w:val="0"/>
        <w:shd w:val="clear"/>
        <w:kinsoku/>
        <w:wordWrap/>
        <w:overflowPunct/>
        <w:topLinePunct w:val="0"/>
        <w:autoSpaceDE w:val="0"/>
        <w:autoSpaceDN w:val="0"/>
        <w:bidi w:val="0"/>
        <w:adjustRightInd w:val="0"/>
        <w:spacing w:line="360" w:lineRule="auto"/>
        <w:ind w:left="36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drawing>
          <wp:inline distT="0" distB="0" distL="114300" distR="114300">
            <wp:extent cx="2105025" cy="2305685"/>
            <wp:effectExtent l="0" t="0" r="9525" b="18415"/>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48"/>
                    <a:stretch>
                      <a:fillRect/>
                    </a:stretch>
                  </pic:blipFill>
                  <pic:spPr>
                    <a:xfrm>
                      <a:off x="0" y="0"/>
                      <a:ext cx="2105025" cy="2305685"/>
                    </a:xfrm>
                    <a:prstGeom prst="rect">
                      <a:avLst/>
                    </a:prstGeom>
                    <a:noFill/>
                    <a:ln>
                      <a:noFill/>
                    </a:ln>
                  </pic:spPr>
                </pic:pic>
              </a:graphicData>
            </a:graphic>
          </wp:inline>
        </w:drawing>
      </w:r>
      <w:r>
        <w:rPr>
          <w:rFonts w:hint="default" w:ascii="Times New Roman" w:hAnsi="Times New Roman" w:eastAsia="宋体" w:cs="Times New Roman"/>
          <w:b w:val="0"/>
          <w:color w:val="auto"/>
          <w:kern w:val="2"/>
          <w:sz w:val="24"/>
          <w:szCs w:val="24"/>
          <w:highlight w:val="none"/>
          <w:lang w:val="en-US" w:eastAsia="zh-CN" w:bidi="ar-SA"/>
        </w:rPr>
        <w:t xml:space="preserve"> </w:t>
      </w:r>
      <w:r>
        <w:rPr>
          <w:rFonts w:ascii="Times New Roman" w:hAnsi="Times New Roman" w:eastAsia="宋体" w:cs="Times New Roman"/>
          <w:kern w:val="2"/>
          <w:sz w:val="24"/>
          <w:szCs w:val="24"/>
          <w:highlight w:val="none"/>
          <w:lang w:val="en-US" w:eastAsia="zh-CN" w:bidi="ar-SA"/>
        </w:rPr>
        <w:drawing>
          <wp:inline distT="0" distB="0" distL="114300" distR="114300">
            <wp:extent cx="2435225" cy="2094230"/>
            <wp:effectExtent l="0" t="0" r="1270" b="3175"/>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49"/>
                    <a:stretch>
                      <a:fillRect/>
                    </a:stretch>
                  </pic:blipFill>
                  <pic:spPr>
                    <a:xfrm rot="16200000">
                      <a:off x="0" y="0"/>
                      <a:ext cx="2435225" cy="2094230"/>
                    </a:xfrm>
                    <a:prstGeom prst="rect">
                      <a:avLst/>
                    </a:prstGeom>
                    <a:noFill/>
                    <a:ln>
                      <a:noFill/>
                    </a:ln>
                  </pic:spPr>
                </pic:pic>
              </a:graphicData>
            </a:graphic>
          </wp:inline>
        </w:drawing>
      </w:r>
    </w:p>
    <w:p w14:paraId="1231A1CD">
      <w:pPr>
        <w:keepNext w:val="0"/>
        <w:keepLines w:val="0"/>
        <w:pageBreakBefore w:val="0"/>
        <w:widowControl w:val="0"/>
        <w:shd w:val="clear"/>
        <w:kinsoku/>
        <w:wordWrap/>
        <w:overflowPunct/>
        <w:topLinePunct w:val="0"/>
        <w:autoSpaceDE w:val="0"/>
        <w:autoSpaceDN w:val="0"/>
        <w:bidi w:val="0"/>
        <w:adjustRightInd w:val="0"/>
        <w:spacing w:line="360" w:lineRule="auto"/>
        <w:ind w:left="36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主减壳总成</w:t>
      </w:r>
    </w:p>
    <w:p w14:paraId="068F52B5">
      <w:pPr>
        <w:keepNext w:val="0"/>
        <w:keepLines w:val="0"/>
        <w:pageBreakBefore w:val="0"/>
        <w:widowControl w:val="0"/>
        <w:numPr>
          <w:ilvl w:val="-1"/>
          <w:numId w:val="0"/>
        </w:numPr>
        <w:suppressLineNumbers w:val="0"/>
        <w:shd w:val="clear"/>
        <w:kinsoku/>
        <w:wordWrap/>
        <w:overflowPunct/>
        <w:topLinePunct w:val="0"/>
        <w:autoSpaceDE w:val="0"/>
        <w:autoSpaceDN w:val="0"/>
        <w:bidi w:val="0"/>
        <w:adjustRightInd w:val="0"/>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3.2.1.5</w:t>
      </w:r>
      <w:r>
        <w:rPr>
          <w:rFonts w:hint="default" w:ascii="Times New Roman" w:hAnsi="Times New Roman" w:eastAsia="宋体" w:cs="Times New Roman"/>
          <w:b w:val="0"/>
          <w:color w:val="auto"/>
          <w:kern w:val="2"/>
          <w:sz w:val="24"/>
          <w:szCs w:val="24"/>
          <w:highlight w:val="none"/>
          <w:lang w:val="en-US" w:eastAsia="zh-CN" w:bidi="ar"/>
        </w:rPr>
        <w:t>多联件总成（行星减速换挡差速器总成与输出轴总成）与减壳合装——新增多联件合装起吊装置1套。</w:t>
      </w:r>
    </w:p>
    <w:p w14:paraId="4268BE1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技术要求：多联件总成零部件重量70-90KG，该吊具额定工作载荷不得小于500KG,</w:t>
      </w:r>
      <w:r>
        <w:rPr>
          <w:rFonts w:hint="eastAsia" w:ascii="Times New Roman" w:hAnsi="Times New Roman" w:eastAsia="宋体" w:cs="Times New Roman"/>
          <w:b w:val="0"/>
          <w:color w:val="auto"/>
          <w:kern w:val="2"/>
          <w:sz w:val="24"/>
          <w:szCs w:val="24"/>
          <w:highlight w:val="none"/>
          <w:lang w:val="en-US" w:eastAsia="zh-CN" w:bidi="ar-SA"/>
        </w:rPr>
        <w:t>额定负载应在吊具本体清晰标识，</w:t>
      </w:r>
      <w:r>
        <w:rPr>
          <w:rFonts w:hint="default" w:ascii="Times New Roman" w:hAnsi="Times New Roman" w:eastAsia="宋体" w:cs="Times New Roman"/>
          <w:b w:val="0"/>
          <w:color w:val="auto"/>
          <w:kern w:val="2"/>
          <w:sz w:val="24"/>
          <w:szCs w:val="24"/>
          <w:highlight w:val="none"/>
          <w:lang w:val="en-US" w:eastAsia="zh-CN" w:bidi="ar-SA"/>
        </w:rPr>
        <w:t>材料具有足够强度及刚度，尺寸精确匹配多联件总成吊装点，吊装时多联件总成两端轴承不能受磕碰，设计定位或固定装置</w:t>
      </w:r>
      <w:r>
        <w:rPr>
          <w:rFonts w:hint="eastAsia" w:ascii="Times New Roman" w:hAnsi="Times New Roman" w:eastAsia="宋体" w:cs="Times New Roman"/>
          <w:b w:val="0"/>
          <w:color w:val="auto"/>
          <w:kern w:val="2"/>
          <w:sz w:val="24"/>
          <w:szCs w:val="24"/>
          <w:highlight w:val="none"/>
          <w:lang w:val="en-US" w:eastAsia="zh-CN" w:bidi="ar-SA"/>
        </w:rPr>
        <w:t>，配备横梁及</w:t>
      </w:r>
      <w:r>
        <w:rPr>
          <w:rFonts w:hint="eastAsia" w:ascii="Times New Roman" w:hAnsi="Times New Roman" w:eastAsia="宋体" w:cs="Times New Roman"/>
          <w:b w:val="0"/>
          <w:bCs w:val="0"/>
          <w:i w:val="0"/>
          <w:iCs w:val="0"/>
          <w:caps w:val="0"/>
          <w:color w:val="auto"/>
          <w:spacing w:val="0"/>
          <w:kern w:val="2"/>
          <w:sz w:val="24"/>
          <w:szCs w:val="24"/>
          <w:highlight w:val="none"/>
          <w:shd w:val="clear" w:fill="FFFFFF"/>
          <w:lang w:val="en-US" w:eastAsia="zh-CN" w:bidi="ar-SA"/>
        </w:rPr>
        <w:t>电动钢丝绳葫芦</w:t>
      </w:r>
      <w:r>
        <w:rPr>
          <w:rFonts w:hint="eastAsia" w:ascii="Times New Roman" w:hAnsi="Times New Roman" w:eastAsia="宋体" w:cs="Times New Roman"/>
          <w:b w:val="0"/>
          <w:bCs w:val="0"/>
          <w:i w:val="0"/>
          <w:iCs w:val="0"/>
          <w:caps w:val="0"/>
          <w:color w:val="auto"/>
          <w:spacing w:val="0"/>
          <w:kern w:val="2"/>
          <w:sz w:val="24"/>
          <w:szCs w:val="24"/>
          <w:highlight w:val="none"/>
          <w:shd w:val="clear"/>
          <w:lang w:val="en-US" w:eastAsia="zh-CN" w:bidi="ar-SA"/>
        </w:rPr>
        <w:t>；</w:t>
      </w:r>
    </w:p>
    <w:p w14:paraId="3FE79A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电驱主减多联件吊装，布置于差环与主环线中间，输出轴总成与行星减速换挡差速器总成合装后，组成多联件总成（行星端盖朝上，垂直放置），</w:t>
      </w:r>
      <w:r>
        <w:rPr>
          <w:rFonts w:hint="default" w:ascii="Times New Roman" w:hAnsi="Times New Roman" w:eastAsia="宋体" w:cs="Times New Roman"/>
          <w:b w:val="0"/>
          <w:bCs w:val="0"/>
          <w:color w:val="auto"/>
          <w:kern w:val="2"/>
          <w:sz w:val="24"/>
          <w:szCs w:val="24"/>
          <w:highlight w:val="none"/>
          <w:lang w:val="en-US" w:eastAsia="zh-CN" w:bidi="ar-SA"/>
        </w:rPr>
        <w:t>吊具需将多联件总成由垂直状态翻转90°后水平放置，以便吊起合装到减壳中；吊</w:t>
      </w:r>
      <w:r>
        <w:rPr>
          <w:rFonts w:hint="default" w:ascii="Times New Roman" w:hAnsi="Times New Roman" w:eastAsia="宋体" w:cs="Times New Roman"/>
          <w:b w:val="0"/>
          <w:color w:val="auto"/>
          <w:kern w:val="2"/>
          <w:sz w:val="24"/>
          <w:szCs w:val="24"/>
          <w:highlight w:val="none"/>
          <w:lang w:val="en-US" w:eastAsia="zh-CN" w:bidi="ar-SA"/>
        </w:rPr>
        <w:t>起多联件总成与主减壳合装时存在多个定位点（卡簧/换挡拨叉滑块/滚子轴承外环/定位销孔），需设计定位或固定落装装置，吊装作业过程严禁滑落松脱保证操作人员安全，结构简洁明了便于操作及维修。</w:t>
      </w:r>
    </w:p>
    <w:p w14:paraId="653A5C4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装配示意图：</w:t>
      </w:r>
    </w:p>
    <w:p w14:paraId="7356AC97">
      <w:pPr>
        <w:keepNext w:val="0"/>
        <w:keepLines w:val="0"/>
        <w:pageBreakBefore w:val="0"/>
        <w:widowControl w:val="0"/>
        <w:shd w:val="clear"/>
        <w:kinsoku/>
        <w:wordWrap/>
        <w:overflowPunct/>
        <w:topLinePunct w:val="0"/>
        <w:autoSpaceDE w:val="0"/>
        <w:autoSpaceDN w:val="0"/>
        <w:bidi w:val="0"/>
        <w:adjustRightInd w:val="0"/>
        <w:spacing w:line="360" w:lineRule="auto"/>
        <w:ind w:left="36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 </w:t>
      </w:r>
      <w:r>
        <w:rPr>
          <w:rFonts w:hint="default" w:ascii="Times New Roman" w:hAnsi="Times New Roman" w:eastAsia="宋体" w:cs="Times New Roman"/>
          <w:b w:val="0"/>
          <w:color w:val="auto"/>
          <w:kern w:val="2"/>
          <w:sz w:val="24"/>
          <w:szCs w:val="24"/>
          <w:highlight w:val="none"/>
          <w:lang w:val="en-US" w:eastAsia="zh-CN" w:bidi="ar-SA"/>
        </w:rPr>
        <w:drawing>
          <wp:inline distT="0" distB="0" distL="114300" distR="114300">
            <wp:extent cx="1446530" cy="2301875"/>
            <wp:effectExtent l="0" t="0" r="1270" b="317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0"/>
                    <a:stretch>
                      <a:fillRect/>
                    </a:stretch>
                  </pic:blipFill>
                  <pic:spPr>
                    <a:xfrm>
                      <a:off x="0" y="0"/>
                      <a:ext cx="1446530" cy="2301875"/>
                    </a:xfrm>
                    <a:prstGeom prst="rect">
                      <a:avLst/>
                    </a:prstGeom>
                    <a:noFill/>
                    <a:ln>
                      <a:noFill/>
                    </a:ln>
                  </pic:spPr>
                </pic:pic>
              </a:graphicData>
            </a:graphic>
          </wp:inline>
        </w:drawing>
      </w:r>
      <w:r>
        <w:rPr>
          <w:rFonts w:hint="default" w:ascii="Times New Roman" w:hAnsi="Times New Roman" w:eastAsia="宋体" w:cs="Times New Roman"/>
          <w:b w:val="0"/>
          <w:color w:val="auto"/>
          <w:kern w:val="2"/>
          <w:sz w:val="24"/>
          <w:szCs w:val="24"/>
          <w:highlight w:val="none"/>
          <w:lang w:val="en-US" w:eastAsia="zh-CN" w:bidi="ar-SA"/>
        </w:rPr>
        <w:t xml:space="preserve"> </w:t>
      </w:r>
      <w:r>
        <w:rPr>
          <w:rFonts w:hint="default" w:ascii="Times New Roman" w:hAnsi="Times New Roman" w:eastAsia="宋体" w:cs="Times New Roman"/>
          <w:b w:val="0"/>
          <w:color w:val="auto"/>
          <w:kern w:val="2"/>
          <w:sz w:val="24"/>
          <w:szCs w:val="24"/>
          <w:highlight w:val="none"/>
          <w:lang w:val="en-US" w:eastAsia="zh-CN" w:bidi="ar-SA"/>
        </w:rPr>
        <w:drawing>
          <wp:inline distT="0" distB="0" distL="114300" distR="114300">
            <wp:extent cx="1574800" cy="2288540"/>
            <wp:effectExtent l="0" t="0" r="6350" b="16510"/>
            <wp:docPr id="14461" name="ID_D5A720D6981A45D2B654F042E646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 name="ID_D5A720D6981A45D2B654F042E6468395"/>
                    <pic:cNvPicPr>
                      <a:picLocks noChangeAspect="1"/>
                    </pic:cNvPicPr>
                  </pic:nvPicPr>
                  <pic:blipFill>
                    <a:blip r:embed="rId51"/>
                    <a:stretch>
                      <a:fillRect/>
                    </a:stretch>
                  </pic:blipFill>
                  <pic:spPr>
                    <a:xfrm>
                      <a:off x="0" y="0"/>
                      <a:ext cx="1574800" cy="2288540"/>
                    </a:xfrm>
                    <a:prstGeom prst="rect">
                      <a:avLst/>
                    </a:prstGeom>
                    <a:noFill/>
                    <a:ln w="9525">
                      <a:noFill/>
                    </a:ln>
                  </pic:spPr>
                </pic:pic>
              </a:graphicData>
            </a:graphic>
          </wp:inline>
        </w:drawing>
      </w:r>
      <w:r>
        <w:rPr>
          <w:rFonts w:hint="default" w:ascii="Times New Roman" w:hAnsi="Times New Roman" w:eastAsia="宋体" w:cs="Times New Roman"/>
          <w:b w:val="0"/>
          <w:color w:val="auto"/>
          <w:kern w:val="2"/>
          <w:sz w:val="24"/>
          <w:szCs w:val="24"/>
          <w:highlight w:val="none"/>
          <w:lang w:val="en-US" w:eastAsia="zh-CN" w:bidi="ar-SA"/>
        </w:rPr>
        <w:t xml:space="preserve"> </w:t>
      </w:r>
      <w:r>
        <w:rPr>
          <w:rFonts w:hint="default" w:ascii="Times New Roman" w:hAnsi="Times New Roman" w:eastAsia="宋体" w:cs="Times New Roman"/>
          <w:b w:val="0"/>
          <w:color w:val="auto"/>
          <w:kern w:val="2"/>
          <w:sz w:val="24"/>
          <w:szCs w:val="24"/>
          <w:highlight w:val="none"/>
          <w:lang w:val="en-US" w:eastAsia="zh-CN" w:bidi="ar-SA"/>
        </w:rPr>
        <w:drawing>
          <wp:inline distT="0" distB="0" distL="114300" distR="114300">
            <wp:extent cx="1426210" cy="2294255"/>
            <wp:effectExtent l="0" t="0" r="2540" b="1079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52"/>
                    <a:stretch>
                      <a:fillRect/>
                    </a:stretch>
                  </pic:blipFill>
                  <pic:spPr>
                    <a:xfrm>
                      <a:off x="0" y="0"/>
                      <a:ext cx="1426210" cy="2294255"/>
                    </a:xfrm>
                    <a:prstGeom prst="rect">
                      <a:avLst/>
                    </a:prstGeom>
                    <a:noFill/>
                    <a:ln>
                      <a:noFill/>
                    </a:ln>
                  </pic:spPr>
                </pic:pic>
              </a:graphicData>
            </a:graphic>
          </wp:inline>
        </w:drawing>
      </w:r>
    </w:p>
    <w:p w14:paraId="07FEE2D7">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多联件总成垂直状态</w:t>
      </w:r>
    </w:p>
    <w:p w14:paraId="75DE26FF">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drawing>
          <wp:inline distT="0" distB="0" distL="0" distR="0">
            <wp:extent cx="2644775" cy="2032000"/>
            <wp:effectExtent l="0" t="0" r="3175" b="6350"/>
            <wp:docPr id="84" name="image.png"/>
            <wp:cNvGraphicFramePr/>
            <a:graphic xmlns:a="http://schemas.openxmlformats.org/drawingml/2006/main">
              <a:graphicData uri="http://schemas.openxmlformats.org/drawingml/2006/picture">
                <pic:pic xmlns:pic="http://schemas.openxmlformats.org/drawingml/2006/picture">
                  <pic:nvPicPr>
                    <pic:cNvPr id="84" name="image.png"/>
                    <pic:cNvPicPr/>
                  </pic:nvPicPr>
                  <pic:blipFill>
                    <a:blip r:embed="rId53"/>
                    <a:stretch>
                      <a:fillRect/>
                    </a:stretch>
                  </pic:blipFill>
                  <pic:spPr>
                    <a:xfrm>
                      <a:off x="0" y="0"/>
                      <a:ext cx="2644775" cy="2032000"/>
                    </a:xfrm>
                    <a:prstGeom prst="rect">
                      <a:avLst/>
                    </a:prstGeom>
                  </pic:spPr>
                </pic:pic>
              </a:graphicData>
            </a:graphic>
          </wp:inline>
        </w:drawing>
      </w:r>
    </w:p>
    <w:p w14:paraId="436EAC8C">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 xml:space="preserve">多联件总成水平状态合装到主减壳中 </w:t>
      </w:r>
    </w:p>
    <w:p w14:paraId="433414EC">
      <w:pPr>
        <w:keepNext w:val="0"/>
        <w:keepLines w:val="0"/>
        <w:pageBreakBefore w:val="0"/>
        <w:widowControl w:val="0"/>
        <w:numPr>
          <w:ilvl w:val="0"/>
          <w:numId w:val="0"/>
        </w:numPr>
        <w:suppressLineNumbers w:val="0"/>
        <w:shd w:val="clear"/>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3.2.1.6 </w:t>
      </w:r>
      <w:r>
        <w:rPr>
          <w:rFonts w:hint="default" w:ascii="Times New Roman" w:hAnsi="Times New Roman" w:eastAsia="宋体" w:cs="Times New Roman"/>
          <w:b w:val="0"/>
          <w:color w:val="auto"/>
          <w:kern w:val="2"/>
          <w:sz w:val="24"/>
          <w:szCs w:val="24"/>
          <w:highlight w:val="none"/>
          <w:lang w:val="en-US" w:eastAsia="zh-CN" w:bidi="ar-SA"/>
        </w:rPr>
        <w:t>中间轴轴承垫片选取装置——测距选垫装置1台</w:t>
      </w:r>
    </w:p>
    <w:p w14:paraId="16821FA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技术要求：中间轴调整垫片选取方式为测距式(L</w:t>
      </w:r>
      <w:r>
        <w:rPr>
          <w:rFonts w:hint="eastAsia" w:ascii="Times New Roman" w:hAnsi="Times New Roman" w:eastAsia="宋体" w:cs="Times New Roman"/>
          <w:b w:val="0"/>
          <w:color w:val="auto"/>
          <w:kern w:val="2"/>
          <w:sz w:val="24"/>
          <w:szCs w:val="24"/>
          <w:highlight w:val="none"/>
          <w:lang w:val="en-US" w:eastAsia="zh-CN" w:bidi="ar-SA"/>
        </w:rPr>
        <w:t>1+</w:t>
      </w:r>
      <w:r>
        <w:rPr>
          <w:rFonts w:hint="default" w:ascii="Times New Roman" w:hAnsi="Times New Roman" w:eastAsia="宋体" w:cs="Times New Roman"/>
          <w:b w:val="0"/>
          <w:color w:val="auto"/>
          <w:kern w:val="2"/>
          <w:sz w:val="24"/>
          <w:szCs w:val="24"/>
          <w:highlight w:val="none"/>
          <w:lang w:val="en-US" w:eastAsia="zh-CN" w:bidi="ar-SA"/>
        </w:rPr>
        <w:t>L2-L</w:t>
      </w:r>
      <w:r>
        <w:rPr>
          <w:rFonts w:hint="eastAsia" w:ascii="Times New Roman" w:hAnsi="Times New Roman" w:eastAsia="宋体" w:cs="Times New Roman"/>
          <w:b w:val="0"/>
          <w:color w:val="auto"/>
          <w:kern w:val="2"/>
          <w:sz w:val="24"/>
          <w:szCs w:val="24"/>
          <w:highlight w:val="none"/>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-0.02mm)按需选择相应调整垫片厚度;</w:t>
      </w:r>
      <w:r>
        <w:rPr>
          <w:rFonts w:hint="eastAsia" w:ascii="Times New Roman" w:hAnsi="Times New Roman" w:eastAsia="宋体" w:cs="Times New Roman"/>
          <w:b w:val="0"/>
          <w:color w:val="auto"/>
          <w:kern w:val="2"/>
          <w:sz w:val="24"/>
          <w:szCs w:val="24"/>
          <w:highlight w:val="none"/>
          <w:lang w:val="en-US" w:eastAsia="zh-CN" w:bidi="ar-SA"/>
        </w:rPr>
        <w:t>位移传感器绝对精度：≤±0.0                                                                            01mm，被测工件定位装置：基准统一，易拆卸，厂家配置测距探头标定及维护装置，设备自动测量距离（L1/L2/L3）后计算结果由</w:t>
      </w:r>
      <w:r>
        <w:rPr>
          <w:rFonts w:hint="eastAsia" w:ascii="宋体" w:hAnsi="宋体" w:eastAsia="宋体" w:cs="Times New Roman"/>
          <w:kern w:val="0"/>
          <w:sz w:val="24"/>
          <w:szCs w:val="21"/>
          <w:highlight w:val="none"/>
          <w:lang w:val="en-US" w:eastAsia="zh-CN" w:bidi="ar-SA"/>
        </w:rPr>
        <w:t>14寸触摸屏</w:t>
      </w:r>
      <w:r>
        <w:rPr>
          <w:rFonts w:hint="eastAsia" w:ascii="Times New Roman" w:hAnsi="Times New Roman" w:eastAsia="宋体" w:cs="Times New Roman"/>
          <w:b w:val="0"/>
          <w:color w:val="auto"/>
          <w:kern w:val="2"/>
          <w:sz w:val="24"/>
          <w:szCs w:val="24"/>
          <w:highlight w:val="none"/>
          <w:lang w:val="en-US" w:eastAsia="zh-CN" w:bidi="ar-SA"/>
        </w:rPr>
        <w:t>直接显示，人工选择相对应厚度数值垫片，设备可对单一距离（L1/L2/L3）进行标定及维护。</w:t>
      </w:r>
    </w:p>
    <w:p w14:paraId="1ABE871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L1:轴承盖端面止口距离</w:t>
      </w:r>
    </w:p>
    <w:p w14:paraId="3685FF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L2:施加约250N力压紧中间轴总成后，两端圆锥滚子轴承外环距离</w:t>
      </w:r>
    </w:p>
    <w:p w14:paraId="2C57A0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L3:主减壳体合盖状态下，中间轴轴孔下端面至减壳盖轴承孔端面距离</w:t>
      </w:r>
    </w:p>
    <w:p w14:paraId="745FA885">
      <w:pPr>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需求≥500N级压力测距装置1套，对中间轴总成施加约250N压力后测量中间轴两端圆锥滚子轴承外环距离（L2），测量作业前需在保压状态下</w:t>
      </w:r>
      <w:r>
        <w:rPr>
          <w:rFonts w:hint="eastAsia" w:ascii="Times New Roman" w:hAnsi="Times New Roman" w:eastAsia="宋体" w:cs="Times New Roman"/>
          <w:b w:val="0"/>
          <w:color w:val="auto"/>
          <w:kern w:val="2"/>
          <w:sz w:val="24"/>
          <w:szCs w:val="24"/>
          <w:highlight w:val="none"/>
          <w:lang w:val="en-US" w:eastAsia="zh-CN" w:bidi="ar-SA"/>
        </w:rPr>
        <w:t>人工使用工装</w:t>
      </w:r>
      <w:r>
        <w:rPr>
          <w:rFonts w:hint="default" w:ascii="Times New Roman" w:hAnsi="Times New Roman" w:eastAsia="宋体" w:cs="Times New Roman"/>
          <w:b w:val="0"/>
          <w:color w:val="auto"/>
          <w:kern w:val="2"/>
          <w:sz w:val="24"/>
          <w:szCs w:val="24"/>
          <w:highlight w:val="none"/>
          <w:lang w:val="en-US" w:eastAsia="zh-CN" w:bidi="ar-SA"/>
        </w:rPr>
        <w:t>转动中间轴齿轮保证圆锥滚子轴承位置正确，双侧压力装置需带有防护措施及定位装置，不能在测量过程中损伤轴承外环或歪斜，中间轴总成最大尺寸150mm。</w:t>
      </w:r>
    </w:p>
    <w:p w14:paraId="7A54D874">
      <w:pPr>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需求测距装置2套，接触式探头，分别对车桥轴承盖距离（L1）、主减壳体合盖状态下，中间轴轴孔</w:t>
      </w:r>
      <w:r>
        <w:rPr>
          <w:rFonts w:hint="eastAsia" w:ascii="Times New Roman" w:hAnsi="Times New Roman" w:eastAsia="宋体" w:cs="Times New Roman"/>
          <w:b w:val="0"/>
          <w:color w:val="auto"/>
          <w:kern w:val="2"/>
          <w:sz w:val="24"/>
          <w:szCs w:val="24"/>
          <w:highlight w:val="none"/>
          <w:lang w:val="en-US" w:eastAsia="zh-CN" w:bidi="ar-SA"/>
        </w:rPr>
        <w:t>下</w:t>
      </w:r>
      <w:r>
        <w:rPr>
          <w:rFonts w:hint="default" w:ascii="Times New Roman" w:hAnsi="Times New Roman" w:eastAsia="宋体" w:cs="Times New Roman"/>
          <w:b w:val="0"/>
          <w:color w:val="auto"/>
          <w:kern w:val="2"/>
          <w:sz w:val="24"/>
          <w:szCs w:val="24"/>
          <w:highlight w:val="none"/>
          <w:lang w:val="en-US" w:eastAsia="zh-CN" w:bidi="ar-SA"/>
        </w:rPr>
        <w:t>端面至减壳盖轴承孔端面距离（L3）进行测量，定位装置精准且兼容重卡行星排、MCE11\12产品进行测距，主减壳最大尺寸600mm，质量约60KG</w:t>
      </w:r>
      <w:r>
        <w:rPr>
          <w:rFonts w:hint="eastAsia" w:ascii="Times New Roman" w:hAnsi="Times New Roman" w:eastAsia="宋体" w:cs="Times New Roman"/>
          <w:b w:val="0"/>
          <w:color w:val="auto"/>
          <w:kern w:val="2"/>
          <w:sz w:val="24"/>
          <w:szCs w:val="24"/>
          <w:highlight w:val="none"/>
          <w:lang w:val="en-US" w:eastAsia="zh-CN" w:bidi="ar-SA"/>
        </w:rPr>
        <w:t>。</w:t>
      </w:r>
    </w:p>
    <w:p w14:paraId="0FB10783">
      <w:pPr>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该设备需计算(L</w:t>
      </w:r>
      <w:r>
        <w:rPr>
          <w:rFonts w:hint="eastAsia" w:ascii="Times New Roman" w:hAnsi="Times New Roman" w:eastAsia="宋体" w:cs="Times New Roman"/>
          <w:b w:val="0"/>
          <w:color w:val="auto"/>
          <w:kern w:val="2"/>
          <w:sz w:val="24"/>
          <w:szCs w:val="24"/>
          <w:highlight w:val="none"/>
          <w:lang w:val="en-US" w:eastAsia="zh-CN" w:bidi="ar-SA"/>
        </w:rPr>
        <w:t>1+</w:t>
      </w:r>
      <w:r>
        <w:rPr>
          <w:rFonts w:hint="default" w:ascii="Times New Roman" w:hAnsi="Times New Roman" w:eastAsia="宋体" w:cs="Times New Roman"/>
          <w:b w:val="0"/>
          <w:color w:val="auto"/>
          <w:kern w:val="2"/>
          <w:sz w:val="24"/>
          <w:szCs w:val="24"/>
          <w:highlight w:val="none"/>
          <w:lang w:val="en-US" w:eastAsia="zh-CN" w:bidi="ar-SA"/>
        </w:rPr>
        <w:t>L</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L3-</w:t>
      </w:r>
      <w:r>
        <w:rPr>
          <w:rFonts w:hint="default" w:ascii="Times New Roman" w:hAnsi="Times New Roman" w:eastAsia="宋体" w:cs="Times New Roman"/>
          <w:b w:val="0"/>
          <w:color w:val="auto"/>
          <w:kern w:val="2"/>
          <w:sz w:val="24"/>
          <w:szCs w:val="24"/>
          <w:highlight w:val="none"/>
          <w:lang w:val="en-US" w:eastAsia="zh-CN" w:bidi="ar-SA"/>
        </w:rPr>
        <w:t>0.02mm)后得出所选择调整垫片厚度</w:t>
      </w:r>
    </w:p>
    <w:p w14:paraId="01684FD5">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人工将主减壳体总成（合盖状态下）/中间轴总成/车桥轴承盖吊装或搬运至测距选垫设备之上，自动测量L1/L2/L3距离后设备计算出所需选择垫片厚度，通过</w:t>
      </w:r>
      <w:r>
        <w:rPr>
          <w:rFonts w:hint="eastAsia" w:ascii="宋体" w:hAnsi="宋体" w:eastAsia="宋体" w:cs="Times New Roman"/>
          <w:kern w:val="0"/>
          <w:sz w:val="24"/>
          <w:szCs w:val="21"/>
          <w:highlight w:val="none"/>
          <w:lang w:val="en-US" w:eastAsia="zh-CN" w:bidi="ar-SA"/>
        </w:rPr>
        <w:t>14寸触摸屏</w:t>
      </w:r>
      <w:r>
        <w:rPr>
          <w:rFonts w:hint="eastAsia" w:ascii="Times New Roman" w:hAnsi="Times New Roman" w:eastAsia="宋体" w:cs="Times New Roman"/>
          <w:b w:val="0"/>
          <w:color w:val="auto"/>
          <w:kern w:val="2"/>
          <w:sz w:val="24"/>
          <w:szCs w:val="24"/>
          <w:highlight w:val="none"/>
          <w:lang w:val="en-US" w:eastAsia="zh-CN" w:bidi="ar-SA"/>
        </w:rPr>
        <w:t>显示L1/L2/L3测量结果及垫片厚度，人工选择调整垫片后进行安装。</w:t>
      </w:r>
    </w:p>
    <w:p w14:paraId="04943EF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装配示意图： </w:t>
      </w:r>
    </w:p>
    <w:p w14:paraId="41B200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drawing>
          <wp:inline distT="0" distB="0" distL="114300" distR="114300">
            <wp:extent cx="2573655" cy="2790825"/>
            <wp:effectExtent l="0" t="0" r="17145" b="9525"/>
            <wp:docPr id="85" name="图片 85" descr="选垫机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选垫机原理图"/>
                    <pic:cNvPicPr>
                      <a:picLocks noChangeAspect="1"/>
                    </pic:cNvPicPr>
                  </pic:nvPicPr>
                  <pic:blipFill>
                    <a:blip r:embed="rId54"/>
                    <a:stretch>
                      <a:fillRect/>
                    </a:stretch>
                  </pic:blipFill>
                  <pic:spPr>
                    <a:xfrm>
                      <a:off x="0" y="0"/>
                      <a:ext cx="2573655" cy="2790825"/>
                    </a:xfrm>
                    <a:prstGeom prst="rect">
                      <a:avLst/>
                    </a:prstGeom>
                  </pic:spPr>
                </pic:pic>
              </a:graphicData>
            </a:graphic>
          </wp:inline>
        </w:drawing>
      </w:r>
    </w:p>
    <w:p w14:paraId="016B334C">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left="0" w:leftChars="0" w:firstLine="3840" w:firstLineChars="16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测距示意图</w:t>
      </w:r>
    </w:p>
    <w:p w14:paraId="2178A3F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SA"/>
        </w:rPr>
        <w:t>3.2.1.7</w:t>
      </w:r>
      <w:r>
        <w:rPr>
          <w:rFonts w:hint="default" w:ascii="Times New Roman" w:hAnsi="Times New Roman" w:eastAsia="宋体" w:cs="Times New Roman"/>
          <w:b w:val="0"/>
          <w:color w:val="auto"/>
          <w:kern w:val="0"/>
          <w:sz w:val="24"/>
          <w:szCs w:val="24"/>
          <w:highlight w:val="none"/>
          <w:lang w:val="en-US" w:eastAsia="zh-CN" w:bidi="ar"/>
        </w:rPr>
        <w:t>轴承外环、衬套压装装置</w:t>
      </w:r>
      <w:r>
        <w:rPr>
          <w:rFonts w:hint="default" w:ascii="Times New Roman" w:hAnsi="Times New Roman" w:eastAsia="宋体" w:cs="Times New Roman"/>
          <w:b w:val="0"/>
          <w:color w:val="auto"/>
          <w:kern w:val="2"/>
          <w:sz w:val="24"/>
          <w:szCs w:val="24"/>
          <w:highlight w:val="none"/>
          <w:lang w:val="en-US" w:eastAsia="zh-CN" w:bidi="ar"/>
        </w:rPr>
        <w:t>——新增固定式气液增压缸3T压力机1台</w:t>
      </w:r>
    </w:p>
    <w:p w14:paraId="30900490">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
        </w:rPr>
        <w:t>技术要求：需求落地式压力机1台，</w:t>
      </w:r>
      <w:r>
        <w:rPr>
          <w:rFonts w:hint="eastAsia" w:ascii="Times New Roman" w:hAnsi="Times New Roman" w:eastAsia="宋体" w:cs="Times New Roman"/>
          <w:b w:val="0"/>
          <w:color w:val="auto"/>
          <w:kern w:val="2"/>
          <w:sz w:val="24"/>
          <w:szCs w:val="24"/>
          <w:highlight w:val="none"/>
          <w:lang w:val="en-US" w:eastAsia="zh-CN" w:bidi="ar"/>
        </w:rPr>
        <w:t>通过</w:t>
      </w:r>
      <w:r>
        <w:rPr>
          <w:rFonts w:hint="default" w:ascii="Times New Roman" w:hAnsi="Times New Roman" w:eastAsia="宋体" w:cs="Times New Roman"/>
          <w:b w:val="0"/>
          <w:color w:val="auto"/>
          <w:kern w:val="2"/>
          <w:sz w:val="24"/>
          <w:szCs w:val="24"/>
          <w:highlight w:val="none"/>
          <w:lang w:val="en-US" w:eastAsia="zh-CN" w:bidi="ar"/>
        </w:rPr>
        <w:t>主减壳电驱结合盘面或螺栓孔定位，</w:t>
      </w:r>
      <w:r>
        <w:rPr>
          <w:rFonts w:hint="eastAsia" w:ascii="Times New Roman" w:hAnsi="Times New Roman" w:eastAsia="宋体" w:cs="Times New Roman"/>
          <w:b w:val="0"/>
          <w:color w:val="auto"/>
          <w:kern w:val="2"/>
          <w:sz w:val="24"/>
          <w:szCs w:val="24"/>
          <w:highlight w:val="none"/>
          <w:lang w:val="en-US" w:eastAsia="zh-CN" w:bidi="ar"/>
        </w:rPr>
        <w:t>厂家自行设计夹板式/螺栓连接/定位销孔式定位机构，</w:t>
      </w:r>
      <w:r>
        <w:rPr>
          <w:rFonts w:hint="default" w:ascii="Times New Roman" w:hAnsi="Times New Roman" w:eastAsia="宋体" w:cs="Times New Roman"/>
          <w:b w:val="0"/>
          <w:color w:val="auto"/>
          <w:kern w:val="2"/>
          <w:sz w:val="24"/>
          <w:szCs w:val="24"/>
          <w:highlight w:val="none"/>
          <w:lang w:val="en-US" w:eastAsia="zh-CN" w:bidi="ar"/>
        </w:rPr>
        <w:t>两个工装压头分别进行</w:t>
      </w:r>
      <w:r>
        <w:rPr>
          <w:rFonts w:hint="default" w:ascii="Times New Roman" w:hAnsi="Times New Roman" w:eastAsia="宋体" w:cs="Times New Roman"/>
          <w:b w:val="0"/>
          <w:color w:val="auto"/>
          <w:kern w:val="2"/>
          <w:sz w:val="24"/>
          <w:szCs w:val="24"/>
          <w:highlight w:val="none"/>
          <w:lang w:val="en-US" w:eastAsia="zh-CN" w:bidi="ar-SA"/>
        </w:rPr>
        <w:t>轴承外环及滑动衬套压装，</w:t>
      </w:r>
      <w:r>
        <w:rPr>
          <w:rFonts w:hint="default" w:ascii="Times New Roman" w:hAnsi="Times New Roman" w:eastAsia="宋体" w:cs="Times New Roman"/>
          <w:b w:val="0"/>
          <w:color w:val="auto"/>
          <w:kern w:val="2"/>
          <w:sz w:val="24"/>
          <w:szCs w:val="24"/>
          <w:highlight w:val="none"/>
          <w:lang w:val="en-US" w:eastAsia="zh-CN" w:bidi="ar"/>
        </w:rPr>
        <w:t>工装压头与压装工件匹配，</w:t>
      </w:r>
      <w:r>
        <w:rPr>
          <w:rFonts w:hint="default" w:ascii="Times New Roman" w:hAnsi="Times New Roman" w:eastAsia="宋体" w:cs="Times New Roman"/>
          <w:b w:val="0"/>
          <w:color w:val="auto"/>
          <w:kern w:val="0"/>
          <w:sz w:val="24"/>
          <w:szCs w:val="24"/>
          <w:highlight w:val="none"/>
          <w:lang w:val="en-US" w:eastAsia="zh-CN" w:bidi="ar-SA"/>
        </w:rPr>
        <w:t>压头与下工作面相对平行度≤0.02mm/100mm；精确可控压力：2000-3500KG；压</w:t>
      </w:r>
      <w:r>
        <w:rPr>
          <w:rFonts w:hint="eastAsia" w:ascii="Times New Roman" w:hAnsi="Times New Roman" w:eastAsia="宋体" w:cs="Times New Roman"/>
          <w:b w:val="0"/>
          <w:color w:val="auto"/>
          <w:kern w:val="0"/>
          <w:sz w:val="24"/>
          <w:szCs w:val="24"/>
          <w:highlight w:val="none"/>
          <w:lang w:val="en-US" w:eastAsia="zh-CN" w:bidi="ar-SA"/>
        </w:rPr>
        <w:t>装行程</w:t>
      </w:r>
      <w:r>
        <w:rPr>
          <w:rFonts w:hint="default" w:ascii="Times New Roman" w:hAnsi="Times New Roman" w:eastAsia="宋体" w:cs="Times New Roman"/>
          <w:b w:val="0"/>
          <w:color w:val="auto"/>
          <w:kern w:val="0"/>
          <w:sz w:val="24"/>
          <w:szCs w:val="24"/>
          <w:highlight w:val="none"/>
          <w:lang w:val="en-US" w:eastAsia="zh-CN" w:bidi="ar-SA"/>
        </w:rPr>
        <w:t>25</w:t>
      </w:r>
      <w:r>
        <w:rPr>
          <w:rFonts w:hint="eastAsia" w:ascii="Times New Roman" w:hAnsi="Times New Roman" w:eastAsia="宋体" w:cs="Times New Roman"/>
          <w:b w:val="0"/>
          <w:color w:val="auto"/>
          <w:kern w:val="0"/>
          <w:sz w:val="24"/>
          <w:szCs w:val="24"/>
          <w:highlight w:val="none"/>
          <w:lang w:val="en-US" w:eastAsia="zh-CN" w:bidi="ar-SA"/>
        </w:rPr>
        <w:t>0</w:t>
      </w:r>
      <w:r>
        <w:rPr>
          <w:rFonts w:hint="default" w:ascii="Times New Roman" w:hAnsi="Times New Roman" w:eastAsia="宋体" w:cs="Times New Roman"/>
          <w:b w:val="0"/>
          <w:color w:val="auto"/>
          <w:kern w:val="0"/>
          <w:sz w:val="24"/>
          <w:szCs w:val="24"/>
          <w:highlight w:val="none"/>
          <w:lang w:val="en-US" w:eastAsia="zh-CN" w:bidi="ar-SA"/>
        </w:rPr>
        <w:t>-30</w:t>
      </w:r>
      <w:r>
        <w:rPr>
          <w:rFonts w:hint="eastAsia" w:ascii="Times New Roman" w:hAnsi="Times New Roman" w:eastAsia="宋体" w:cs="Times New Roman"/>
          <w:b w:val="0"/>
          <w:color w:val="auto"/>
          <w:kern w:val="0"/>
          <w:sz w:val="24"/>
          <w:szCs w:val="24"/>
          <w:highlight w:val="none"/>
          <w:lang w:val="en-US" w:eastAsia="zh-CN" w:bidi="ar-SA"/>
        </w:rPr>
        <w:t>0</w:t>
      </w:r>
      <w:r>
        <w:rPr>
          <w:rFonts w:hint="default" w:ascii="Times New Roman" w:hAnsi="Times New Roman" w:eastAsia="宋体" w:cs="Times New Roman"/>
          <w:b w:val="0"/>
          <w:color w:val="auto"/>
          <w:kern w:val="0"/>
          <w:sz w:val="24"/>
          <w:szCs w:val="24"/>
          <w:highlight w:val="none"/>
          <w:lang w:val="en-US" w:eastAsia="zh-CN" w:bidi="ar-SA"/>
        </w:rPr>
        <w:t>mm；地面离工作台距离≥700mm；压头运动时相对于下工作面的垂直精度≤0.02mm/100mm，</w:t>
      </w:r>
      <w:r>
        <w:rPr>
          <w:rFonts w:hint="default" w:ascii="Times New Roman" w:hAnsi="Times New Roman" w:eastAsia="宋体" w:cs="Times New Roman"/>
          <w:b w:val="0"/>
          <w:color w:val="auto"/>
          <w:kern w:val="2"/>
          <w:sz w:val="24"/>
          <w:szCs w:val="24"/>
          <w:highlight w:val="none"/>
          <w:lang w:val="en-US" w:eastAsia="zh-CN" w:bidi="ar-SA"/>
        </w:rPr>
        <w:t>该设备需满足：</w:t>
      </w:r>
    </w:p>
    <w:p w14:paraId="044769B4">
      <w:pPr>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减壳中间轴轴承外环压装</w:t>
      </w:r>
    </w:p>
    <w:p w14:paraId="1221566A">
      <w:pPr>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SA"/>
        </w:rPr>
        <w:t>滑动衬套压装</w:t>
      </w:r>
    </w:p>
    <w:p w14:paraId="2D91ACC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20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SA"/>
        </w:rPr>
        <w:t>人工吊装主减壳体至压力机下方，将中间轴外环或滑动衬套平稳放置于主减壳体中，启动压力机将中间轴外环或滑动衬套压装到底。</w:t>
      </w:r>
    </w:p>
    <w:p w14:paraId="6B7484C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20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压装零部件尺寸：</w:t>
      </w:r>
    </w:p>
    <w:p w14:paraId="6B3CF279">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行星排中间轴外环压装内径Ф73mm</w:t>
      </w:r>
    </w:p>
    <w:p w14:paraId="62A044BA">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MCE05中间轴外环压装内径Ф65mm</w:t>
      </w:r>
    </w:p>
    <w:p w14:paraId="6C1661EF">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
        </w:rPr>
      </w:pPr>
      <w:r>
        <w:rPr>
          <w:rFonts w:hint="default" w:ascii="Times New Roman" w:hAnsi="Times New Roman" w:eastAsia="宋体" w:cs="Times New Roman"/>
          <w:b w:val="0"/>
          <w:color w:val="auto"/>
          <w:kern w:val="2"/>
          <w:sz w:val="24"/>
          <w:szCs w:val="24"/>
          <w:highlight w:val="none"/>
          <w:lang w:val="en-US" w:eastAsia="zh-CN" w:bidi="ar"/>
        </w:rPr>
        <w:t>滑动衬套压装内径Ф30mm</w:t>
      </w:r>
    </w:p>
    <w:p w14:paraId="4066D97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drawing>
          <wp:inline distT="0" distB="0" distL="114300" distR="114300">
            <wp:extent cx="2212975" cy="2077720"/>
            <wp:effectExtent l="0" t="0" r="15875" b="17780"/>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55"/>
                    <a:stretch>
                      <a:fillRect/>
                    </a:stretch>
                  </pic:blipFill>
                  <pic:spPr>
                    <a:xfrm>
                      <a:off x="0" y="0"/>
                      <a:ext cx="2212975" cy="2077720"/>
                    </a:xfrm>
                    <a:prstGeom prst="rect">
                      <a:avLst/>
                    </a:prstGeom>
                    <a:noFill/>
                    <a:ln>
                      <a:noFill/>
                    </a:ln>
                  </pic:spPr>
                </pic:pic>
              </a:graphicData>
            </a:graphic>
          </wp:inline>
        </w:drawing>
      </w:r>
    </w:p>
    <w:p w14:paraId="0EF0981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
        </w:rPr>
        <w:t>压装轴承外环、滑动衬套</w:t>
      </w:r>
    </w:p>
    <w:p w14:paraId="1E0C3A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3.2.1.8 电驱主减总成合环</w:t>
      </w:r>
      <w:r>
        <w:rPr>
          <w:rFonts w:hint="eastAsia" w:ascii="Times New Roman" w:hAnsi="Times New Roman" w:eastAsia="宋体" w:cs="Times New Roman"/>
          <w:color w:val="auto"/>
          <w:kern w:val="0"/>
          <w:sz w:val="24"/>
          <w:szCs w:val="24"/>
          <w:highlight w:val="none"/>
          <w:lang w:val="en-US" w:eastAsia="zh-CN" w:bidi="ar-SA"/>
        </w:rPr>
        <w:t>线</w:t>
      </w:r>
      <w:r>
        <w:rPr>
          <w:rFonts w:hint="default" w:ascii="Times New Roman" w:hAnsi="Times New Roman" w:eastAsia="宋体" w:cs="Times New Roman"/>
          <w:color w:val="auto"/>
          <w:kern w:val="0"/>
          <w:sz w:val="24"/>
          <w:szCs w:val="24"/>
          <w:highlight w:val="none"/>
          <w:lang w:val="en-US" w:eastAsia="zh-CN" w:bidi="ar-SA"/>
        </w:rPr>
        <w:t>随行装夹装置16套</w:t>
      </w:r>
    </w:p>
    <w:p w14:paraId="7B11CC0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合环线电驱减壳总成工装夹</w:t>
      </w:r>
      <w:r>
        <w:rPr>
          <w:rFonts w:hint="eastAsia" w:ascii="Times New Roman" w:hAnsi="Times New Roman" w:eastAsia="宋体" w:cs="Times New Roman"/>
          <w:color w:val="auto"/>
          <w:kern w:val="0"/>
          <w:sz w:val="24"/>
          <w:szCs w:val="24"/>
          <w:highlight w:val="none"/>
          <w:lang w:val="en-US" w:eastAsia="zh-CN" w:bidi="ar-SA"/>
        </w:rPr>
        <w:t>具</w:t>
      </w:r>
      <w:r>
        <w:rPr>
          <w:rFonts w:hint="default" w:ascii="Times New Roman" w:hAnsi="Times New Roman" w:eastAsia="宋体" w:cs="Times New Roman"/>
          <w:color w:val="auto"/>
          <w:kern w:val="0"/>
          <w:sz w:val="24"/>
          <w:szCs w:val="24"/>
          <w:highlight w:val="none"/>
          <w:lang w:val="en-US" w:eastAsia="zh-CN" w:bidi="ar-SA"/>
        </w:rPr>
        <w:t>16套，</w:t>
      </w:r>
      <w:r>
        <w:rPr>
          <w:rFonts w:hint="eastAsia" w:ascii="Times New Roman" w:hAnsi="Times New Roman" w:eastAsia="宋体" w:cs="Times New Roman"/>
          <w:color w:val="auto"/>
          <w:kern w:val="0"/>
          <w:sz w:val="24"/>
          <w:szCs w:val="24"/>
          <w:highlight w:val="none"/>
          <w:lang w:val="en-US" w:eastAsia="zh-CN" w:bidi="ar-SA"/>
        </w:rPr>
        <w:t>定位夹紧可靠，安装至合环线现有小车上，</w:t>
      </w:r>
      <w:r>
        <w:rPr>
          <w:rFonts w:hint="default" w:ascii="Times New Roman" w:hAnsi="Times New Roman" w:eastAsia="宋体" w:cs="Times New Roman"/>
          <w:color w:val="auto"/>
          <w:kern w:val="0"/>
          <w:sz w:val="24"/>
          <w:szCs w:val="24"/>
          <w:highlight w:val="none"/>
          <w:lang w:val="en-US" w:eastAsia="zh-CN" w:bidi="ar-SA"/>
        </w:rPr>
        <w:t>满足电驱MCE05Q\MCE05\06\12\16常规电驱及重卡行星排换档电驱主减器总成装夹要求</w:t>
      </w:r>
      <w:r>
        <w:rPr>
          <w:rFonts w:hint="eastAsia" w:ascii="Times New Roman" w:hAnsi="Times New Roman" w:eastAsia="宋体" w:cs="Times New Roman"/>
          <w:color w:val="auto"/>
          <w:kern w:val="0"/>
          <w:sz w:val="24"/>
          <w:szCs w:val="24"/>
          <w:highlight w:val="none"/>
          <w:lang w:val="en-US" w:eastAsia="zh-CN" w:bidi="ar-SA"/>
        </w:rPr>
        <w:t>。</w:t>
      </w:r>
    </w:p>
    <w:p w14:paraId="5B8D3B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bidi="ar-SA"/>
        </w:rPr>
        <w:drawing>
          <wp:inline distT="0" distB="0" distL="114300" distR="114300">
            <wp:extent cx="3152140" cy="3005455"/>
            <wp:effectExtent l="0" t="0" r="10160" b="444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56"/>
                    <a:stretch>
                      <a:fillRect/>
                    </a:stretch>
                  </pic:blipFill>
                  <pic:spPr>
                    <a:xfrm>
                      <a:off x="0" y="0"/>
                      <a:ext cx="3152140" cy="3005455"/>
                    </a:xfrm>
                    <a:prstGeom prst="rect">
                      <a:avLst/>
                    </a:prstGeom>
                    <a:noFill/>
                    <a:ln>
                      <a:noFill/>
                    </a:ln>
                  </pic:spPr>
                </pic:pic>
              </a:graphicData>
            </a:graphic>
          </wp:inline>
        </w:drawing>
      </w:r>
    </w:p>
    <w:p w14:paraId="6701AA3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随行装夹装置</w:t>
      </w:r>
    </w:p>
    <w:p w14:paraId="7BD3506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3.2.1.9中间轴调整螺母拧紧回退——新增电动定值拧紧工具1套</w:t>
      </w:r>
    </w:p>
    <w:p w14:paraId="2ADE04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MCE05/06/12/16电驱中间轴调整螺母拧紧力矩250N.m，复紧250N.m,复紧后螺母回退40°～50°。需求750N.m级的单台单轴定值拧紧工具，拧紧方式竖直向下（配备反力装置和悬挂装置），单轴拧紧机需满足100-750N.m的拧紧范围，实现拧紧、转动、复紧、回退的四步自动程序运行，实现拧紧参数</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回退角度可实时显示，参数设档调节，执行曲线展示数据存储传输等功能，参数设档满足10组以上，拧紧设备套头表面应标刻数字角度，可人工肉眼识别回退角度。</w:t>
      </w:r>
    </w:p>
    <w:p w14:paraId="3EE86CD9">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bidi="ar-SA"/>
        </w:rPr>
        <w:drawing>
          <wp:inline distT="0" distB="0" distL="114300" distR="114300">
            <wp:extent cx="3342005" cy="2471420"/>
            <wp:effectExtent l="0" t="0" r="10795" b="508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57"/>
                    <a:stretch>
                      <a:fillRect/>
                    </a:stretch>
                  </pic:blipFill>
                  <pic:spPr>
                    <a:xfrm>
                      <a:off x="0" y="0"/>
                      <a:ext cx="3342005" cy="2471420"/>
                    </a:xfrm>
                    <a:prstGeom prst="rect">
                      <a:avLst/>
                    </a:prstGeom>
                    <a:noFill/>
                    <a:ln>
                      <a:noFill/>
                    </a:ln>
                  </pic:spPr>
                </pic:pic>
              </a:graphicData>
            </a:graphic>
          </wp:inline>
        </w:drawing>
      </w:r>
    </w:p>
    <w:p w14:paraId="6BEF852D">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中间轴调整螺母</w:t>
      </w:r>
    </w:p>
    <w:p w14:paraId="2C4E08B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3.2.1.10 拨叉轴压装装置——新增气动换挡机构分装及拨叉轴弹簧压装装置1台</w:t>
      </w:r>
    </w:p>
    <w:p w14:paraId="309C3991">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该设备为双工位配置，设备需满足：</w:t>
      </w:r>
    </w:p>
    <w:p w14:paraId="4B520287">
      <w:pPr>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拨叉轴卡簧压装</w:t>
      </w:r>
    </w:p>
    <w:p w14:paraId="5579DF97">
      <w:pPr>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气动换挡机构总成合装</w:t>
      </w:r>
    </w:p>
    <w:p w14:paraId="255EAC0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一工位：需求≥2T气液增压缸压力机1台，分段精准出力，实现预压、主压、保压行程，配置定位导向在压装过程中拨叉轴无歪斜，压装拨叉轴弹簧到底后保压，人工装入卡簧圈</w:t>
      </w:r>
      <w:r>
        <w:rPr>
          <w:rFonts w:hint="eastAsia" w:ascii="Times New Roman" w:hAnsi="Times New Roman" w:eastAsia="宋体" w:cs="Times New Roman"/>
          <w:b w:val="0"/>
          <w:color w:val="auto"/>
          <w:kern w:val="2"/>
          <w:sz w:val="24"/>
          <w:szCs w:val="24"/>
          <w:highlight w:val="none"/>
          <w:lang w:val="en-US" w:eastAsia="zh-CN" w:bidi="ar-SA"/>
        </w:rPr>
        <w:t>（如下图），</w:t>
      </w:r>
      <w:r>
        <w:rPr>
          <w:rFonts w:hint="default" w:ascii="Times New Roman" w:hAnsi="Times New Roman" w:eastAsia="宋体" w:cs="Times New Roman"/>
          <w:b w:val="0"/>
          <w:color w:val="auto"/>
          <w:kern w:val="2"/>
          <w:sz w:val="24"/>
          <w:szCs w:val="24"/>
          <w:highlight w:val="none"/>
          <w:lang w:val="en-US" w:eastAsia="zh-CN" w:bidi="ar-SA"/>
        </w:rPr>
        <w:t>配置防护装置，保护操作人员安全。</w:t>
      </w:r>
    </w:p>
    <w:p w14:paraId="1FED4A4E">
      <w:pPr>
        <w:keepNext w:val="0"/>
        <w:keepLines w:val="0"/>
        <w:pageBreakBefore w:val="0"/>
        <w:widowControl w:val="0"/>
        <w:shd w:val="clear"/>
        <w:kinsoku/>
        <w:wordWrap/>
        <w:overflowPunct/>
        <w:topLinePunct w:val="0"/>
        <w:autoSpaceDE w:val="0"/>
        <w:autoSpaceDN w:val="0"/>
        <w:bidi w:val="0"/>
        <w:adjustRightInd w:val="0"/>
        <w:spacing w:line="360" w:lineRule="auto"/>
        <w:ind w:left="360" w:firstLine="480" w:firstLineChars="200"/>
        <w:jc w:val="center"/>
        <w:textAlignment w:val="auto"/>
        <w:rPr>
          <w:rFonts w:hint="eastAsia"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drawing>
          <wp:inline distT="0" distB="0" distL="114300" distR="114300">
            <wp:extent cx="1303655" cy="2893695"/>
            <wp:effectExtent l="0" t="0" r="10795" b="1905"/>
            <wp:docPr id="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
                    <pic:cNvPicPr>
                      <a:picLocks noChangeAspect="1"/>
                    </pic:cNvPicPr>
                  </pic:nvPicPr>
                  <pic:blipFill>
                    <a:blip r:embed="rId58"/>
                    <a:stretch>
                      <a:fillRect/>
                    </a:stretch>
                  </pic:blipFill>
                  <pic:spPr>
                    <a:xfrm>
                      <a:off x="0" y="0"/>
                      <a:ext cx="1303655" cy="2893695"/>
                    </a:xfrm>
                    <a:prstGeom prst="rect">
                      <a:avLst/>
                    </a:prstGeom>
                    <a:noFill/>
                    <a:ln>
                      <a:noFill/>
                    </a:ln>
                  </pic:spPr>
                </pic:pic>
              </a:graphicData>
            </a:graphic>
          </wp:inline>
        </w:drawing>
      </w:r>
      <w:r>
        <w:rPr>
          <w:rFonts w:hint="eastAsia" w:ascii="Times New Roman" w:hAnsi="Times New Roman" w:eastAsia="宋体" w:cs="Times New Roman"/>
          <w:kern w:val="2"/>
          <w:sz w:val="24"/>
          <w:szCs w:val="24"/>
          <w:highlight w:val="none"/>
          <w:lang w:val="en-US" w:eastAsia="zh-CN" w:bidi="ar-SA"/>
        </w:rPr>
        <w:t xml:space="preserve"> </w:t>
      </w:r>
      <w:r>
        <w:rPr>
          <w:rFonts w:hint="eastAsia" w:ascii="Times New Roman" w:hAnsi="Times New Roman" w:eastAsia="宋体" w:cs="Times New Roman"/>
          <w:b w:val="0"/>
          <w:color w:val="auto"/>
          <w:kern w:val="2"/>
          <w:sz w:val="24"/>
          <w:szCs w:val="24"/>
          <w:highlight w:val="none"/>
          <w:lang w:val="en-US" w:eastAsia="zh-CN" w:bidi="ar-SA"/>
        </w:rPr>
        <w:drawing>
          <wp:inline distT="0" distB="0" distL="114300" distR="114300">
            <wp:extent cx="2331085" cy="2890520"/>
            <wp:effectExtent l="0" t="0" r="12065" b="5080"/>
            <wp:docPr id="90" name="图片 90" descr="ee67004e6adbc88a1c3b3eb703141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e67004e6adbc88a1c3b3eb70314112d"/>
                    <pic:cNvPicPr>
                      <a:picLocks noChangeAspect="1"/>
                    </pic:cNvPicPr>
                  </pic:nvPicPr>
                  <pic:blipFill>
                    <a:blip r:embed="rId59"/>
                    <a:srcRect l="8537" r="19664"/>
                    <a:stretch>
                      <a:fillRect/>
                    </a:stretch>
                  </pic:blipFill>
                  <pic:spPr>
                    <a:xfrm>
                      <a:off x="0" y="0"/>
                      <a:ext cx="2331085" cy="2890520"/>
                    </a:xfrm>
                    <a:prstGeom prst="rect">
                      <a:avLst/>
                    </a:prstGeom>
                  </pic:spPr>
                </pic:pic>
              </a:graphicData>
            </a:graphic>
          </wp:inline>
        </w:drawing>
      </w:r>
    </w:p>
    <w:p w14:paraId="1C531A1F">
      <w:pPr>
        <w:keepNext w:val="0"/>
        <w:keepLines w:val="0"/>
        <w:pageBreakBefore w:val="0"/>
        <w:widowControl w:val="0"/>
        <w:kinsoku/>
        <w:wordWrap/>
        <w:overflowPunct/>
        <w:topLinePunct w:val="0"/>
        <w:autoSpaceDE/>
        <w:autoSpaceDN/>
        <w:bidi w:val="0"/>
        <w:adjustRightInd/>
        <w:snapToGrid/>
        <w:spacing w:line="360" w:lineRule="auto"/>
        <w:ind w:firstLine="4080" w:firstLineChars="17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拨叉轴总成</w:t>
      </w:r>
    </w:p>
    <w:p w14:paraId="6531EE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二工位：</w:t>
      </w:r>
      <w:r>
        <w:rPr>
          <w:rFonts w:hint="eastAsia" w:ascii="Times New Roman" w:hAnsi="Times New Roman" w:eastAsia="宋体" w:cs="Times New Roman"/>
          <w:b w:val="0"/>
          <w:color w:val="auto"/>
          <w:kern w:val="2"/>
          <w:sz w:val="24"/>
          <w:szCs w:val="24"/>
          <w:highlight w:val="none"/>
          <w:lang w:val="en-US" w:eastAsia="zh-CN" w:bidi="ar-SA"/>
        </w:rPr>
        <w:t>制作装配台，上面配置夹具用于</w:t>
      </w:r>
      <w:r>
        <w:rPr>
          <w:rFonts w:hint="default" w:ascii="Times New Roman" w:hAnsi="Times New Roman" w:eastAsia="宋体" w:cs="Times New Roman"/>
          <w:b w:val="0"/>
          <w:color w:val="auto"/>
          <w:kern w:val="2"/>
          <w:sz w:val="24"/>
          <w:szCs w:val="24"/>
          <w:highlight w:val="none"/>
          <w:lang w:val="en-US" w:eastAsia="zh-CN" w:bidi="ar-SA"/>
        </w:rPr>
        <w:t>固定气动换挡机构总成壳体，具</w:t>
      </w:r>
      <w:r>
        <w:rPr>
          <w:rFonts w:hint="eastAsia" w:ascii="Times New Roman" w:hAnsi="Times New Roman" w:eastAsia="宋体" w:cs="Times New Roman"/>
          <w:b w:val="0"/>
          <w:color w:val="auto"/>
          <w:kern w:val="2"/>
          <w:sz w:val="24"/>
          <w:szCs w:val="24"/>
          <w:highlight w:val="none"/>
          <w:lang w:val="en-US" w:eastAsia="zh-CN" w:bidi="ar-SA"/>
        </w:rPr>
        <w:t>备</w:t>
      </w:r>
      <w:r>
        <w:rPr>
          <w:rFonts w:hint="default" w:ascii="Times New Roman" w:hAnsi="Times New Roman" w:eastAsia="宋体" w:cs="Times New Roman"/>
          <w:b w:val="0"/>
          <w:color w:val="auto"/>
          <w:kern w:val="2"/>
          <w:sz w:val="24"/>
          <w:szCs w:val="24"/>
          <w:highlight w:val="none"/>
          <w:lang w:val="en-US" w:eastAsia="zh-CN" w:bidi="ar-SA"/>
        </w:rPr>
        <w:t>翻转能力</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灵活装配换挡销，能够提供螺塞拧紧最大力矩反力，换挡壳体质量15KG,装配示意图：</w:t>
      </w:r>
    </w:p>
    <w:p w14:paraId="10F49375">
      <w:pPr>
        <w:keepNext w:val="0"/>
        <w:keepLines w:val="0"/>
        <w:pageBreakBefore w:val="0"/>
        <w:widowControl w:val="0"/>
        <w:shd w:val="clear"/>
        <w:kinsoku/>
        <w:wordWrap/>
        <w:overflowPunct/>
        <w:topLinePunct w:val="0"/>
        <w:autoSpaceDE w:val="0"/>
        <w:autoSpaceDN w:val="0"/>
        <w:bidi w:val="0"/>
        <w:adjustRightInd w:val="0"/>
        <w:spacing w:line="360" w:lineRule="auto"/>
        <w:ind w:left="360" w:firstLine="480" w:firstLineChars="20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drawing>
          <wp:inline distT="0" distB="0" distL="114300" distR="114300">
            <wp:extent cx="3991610" cy="1916430"/>
            <wp:effectExtent l="0" t="0" r="8890" b="762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60"/>
                    <a:stretch>
                      <a:fillRect/>
                    </a:stretch>
                  </pic:blipFill>
                  <pic:spPr>
                    <a:xfrm>
                      <a:off x="0" y="0"/>
                      <a:ext cx="3991610" cy="1916430"/>
                    </a:xfrm>
                    <a:prstGeom prst="rect">
                      <a:avLst/>
                    </a:prstGeom>
                    <a:noFill/>
                    <a:ln>
                      <a:noFill/>
                    </a:ln>
                  </pic:spPr>
                </pic:pic>
              </a:graphicData>
            </a:graphic>
          </wp:inline>
        </w:drawing>
      </w:r>
    </w:p>
    <w:p w14:paraId="5732F4B3">
      <w:pPr>
        <w:keepNext w:val="0"/>
        <w:keepLines w:val="0"/>
        <w:pageBreakBefore w:val="0"/>
        <w:widowControl w:val="0"/>
        <w:shd w:val="clear"/>
        <w:kinsoku/>
        <w:wordWrap/>
        <w:overflowPunct/>
        <w:topLinePunct w:val="0"/>
        <w:bidi w:val="0"/>
        <w:spacing w:line="360" w:lineRule="auto"/>
        <w:ind w:firstLine="480" w:firstLineChars="200"/>
        <w:jc w:val="center"/>
        <w:textAlignment w:val="auto"/>
        <w:rPr>
          <w:rFonts w:hint="default" w:ascii="Times New Roman" w:hAnsi="Times New Roman" w:eastAsia="宋体" w:cs="Times New Roman"/>
          <w:b w:val="0"/>
          <w:color w:val="auto"/>
          <w:kern w:val="0"/>
          <w:sz w:val="24"/>
          <w:szCs w:val="24"/>
          <w:highlight w:val="none"/>
          <w:lang w:val="en-US" w:eastAsia="zh-CN" w:bidi="ar-SA"/>
        </w:rPr>
      </w:pPr>
      <w:r>
        <w:rPr>
          <w:rFonts w:hint="default" w:ascii="Times New Roman" w:hAnsi="Times New Roman" w:eastAsia="宋体" w:cs="Times New Roman"/>
          <w:b w:val="0"/>
          <w:color w:val="auto"/>
          <w:kern w:val="0"/>
          <w:sz w:val="24"/>
          <w:szCs w:val="24"/>
          <w:highlight w:val="none"/>
          <w:lang w:val="en-US" w:eastAsia="zh-CN" w:bidi="ar-SA"/>
        </w:rPr>
        <w:t>气动换挡机构小总成</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14:paraId="02C3BFE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 xml:space="preserve"> 投标货物设备要求</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286893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lang w:val="en-US" w:eastAsia="zh-CN"/>
        </w:rPr>
        <w:t>.1 设备规范</w:t>
      </w:r>
    </w:p>
    <w:p w14:paraId="22CA74F7">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.1.1 设备设计合理，制造精良，性能稳定可靠，且使用维修方便，造型美观，设备的结构应保证有足够的静态、动态、热稳态刚度。</w:t>
      </w:r>
    </w:p>
    <w:p w14:paraId="32868021">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.1.2 设备防护门安全性好，方便操作维修，并配置门联锁，门联锁与PLC数据程序有互锁要求，在安全门未关闭时，设备无法运行。</w:t>
      </w:r>
    </w:p>
    <w:p w14:paraId="4CEABE9F">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.1.3 设备所用全部轴承、丝杠、导轨选用NSK\SKF\THK及招标方认可的同等级品牌国际名牌产品。</w:t>
      </w:r>
    </w:p>
    <w:p w14:paraId="45D800BC">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 电气规范（如有）</w:t>
      </w:r>
    </w:p>
    <w:p w14:paraId="7E62813C">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.2.1 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381C91B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.2.2 设备及电气系统必须要做好屏蔽和良好接地；符合相关安全规定、操控部分使用安全电压。</w:t>
      </w:r>
    </w:p>
    <w:p w14:paraId="72D3A280">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.2.3 电器元件全部采用取得国际电工认证标准的正规厂商产品 ，主要电器元件采用施耐德、西门子、巴鲁夫、TRUCK、IFM等世界著名品牌；</w:t>
      </w:r>
    </w:p>
    <w:p w14:paraId="66AECD6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.2.4 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14:paraId="4C9D7C0A">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.2.5 电气PLC控制器的电源前端加有隔离变压器和滤波器，防止电网的波动和噪声污染使PLC发生故障。同时通过程序实现完善的互锁保护和报警功能使系统的安全运行得以保证。</w:t>
      </w:r>
    </w:p>
    <w:p w14:paraId="74EE57E1">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.2.6 整套设备配备电力计量装置。</w:t>
      </w:r>
    </w:p>
    <w:p w14:paraId="681DDBA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.2.7 采用LED亮度高、不眩目的照明设施。</w:t>
      </w:r>
    </w:p>
    <w:p w14:paraId="5B7CF6C7">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.2.8 对有电子记忆功能的设备推荐合适的电池或不间断电源设备，以使电子记忆在无电情况下不被消除。</w:t>
      </w:r>
    </w:p>
    <w:p w14:paraId="7D223022">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.3 设备液压系统主要配置（如有）：</w:t>
      </w:r>
    </w:p>
    <w:p w14:paraId="6D6EAC5E">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.3.1 液压系统加装功率足够的加热装置及强制制冷油冷机，油温控制在25-40℃，具备油位、油温显示；油冷却机的吸油口应加装过滤器，过滤器的滤芯应便于清洗和更换；油冷机采用国际知名品牌；</w:t>
      </w:r>
    </w:p>
    <w:p w14:paraId="3FA527B2">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.3.2 液压阀采用叠加式，采用国际知名品牌；</w:t>
      </w:r>
    </w:p>
    <w:p w14:paraId="31887CDB">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.3.3 液压系统全部采用选用知名产密封件；</w:t>
      </w:r>
    </w:p>
    <w:p w14:paraId="4522A508">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.3.4 具备液压失压保护、报警装置；</w:t>
      </w:r>
    </w:p>
    <w:p w14:paraId="398338D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 控制系统</w:t>
      </w:r>
    </w:p>
    <w:p w14:paraId="7E75AA69">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.4.1 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14:paraId="0C44C578">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.4.2投标方免费提供数据交互功能，交互数据包括但不限于实时数据、历史数据、报警信息等。</w:t>
      </w:r>
    </w:p>
    <w:p w14:paraId="15525C82">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.4.3 控制系统须具有相应的以太网、总线等通讯接口，且免费开放所有通讯接口，提供系统涉及所有通信协议，包括但不限于以太网、RS232、RS485、PROFIBUS、PROFINET、MODBUS 等常见接口，以及设备特有的专用接口。</w:t>
      </w:r>
    </w:p>
    <w:p w14:paraId="633A8270">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.4.4 控制系统具备自动、调试、手动功能模式。</w:t>
      </w:r>
    </w:p>
    <w:p w14:paraId="6114FD61">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.4.5 投标方必须提供所有设备程序的源代码，包括但不限于 PLC程序、HMI 程序、机器人程序、视觉程序、伺服等。</w:t>
      </w:r>
    </w:p>
    <w:p w14:paraId="4F357597">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.4.6 投标方所提供的程序不得设置任何密码、保护等限制手段，PLC 不得设置修改下载权限，功能块不得设置密码保护。HMI界面等需要密码保护的程序，投标方必须提供所有级别的用户名、密码。</w:t>
      </w:r>
    </w:p>
    <w:p w14:paraId="42E1B1C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.4.7 投标方需在设备入场前提供设备程序源码，HMI 界面各级用户名和密码，并保证与现场程序一致。</w:t>
      </w:r>
    </w:p>
    <w:p w14:paraId="56CB00FB">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.4.8 投标方需在终验收前提供最新的设备程序源码和电气图纸，图纸要求为可编辑原格式（EPLAN、CAD 格式）且与实际接线一致。</w:t>
      </w:r>
    </w:p>
    <w:p w14:paraId="5F31D5E4">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.4.9 投标方提供系统恢复盘（备份），在系统出现故障需要重装系统时，保证招标方自主重装系统后，控制系统能后恢复到投标方调试完成最终交付时的状态。</w:t>
      </w:r>
    </w:p>
    <w:p w14:paraId="0E37F6FD">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3.3</w:t>
      </w:r>
      <w:r>
        <w:rPr>
          <w:rFonts w:hint="default" w:ascii="Times New Roman" w:hAnsi="Times New Roman" w:eastAsia="宋体" w:cs="Times New Roman"/>
          <w:color w:val="auto"/>
          <w:kern w:val="0"/>
          <w:sz w:val="24"/>
          <w:szCs w:val="24"/>
          <w:highlight w:val="none"/>
          <w:lang w:val="en-US" w:eastAsia="zh-CN" w:bidi="ar-SA"/>
        </w:rPr>
        <w:t>.4.10 项目若包含在线监控或 MES 系统，所属 MES 系统均应将所提取数据传输至重汽 IOT 平台,并由I0T 平台再传输至厂家 MES系统内。</w:t>
      </w:r>
    </w:p>
    <w:p w14:paraId="7CC7158E">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298" w:name="_Toc2308"/>
      <w:bookmarkStart w:id="299" w:name="_Toc22074"/>
      <w:bookmarkStart w:id="300" w:name="_Toc16640"/>
      <w:bookmarkStart w:id="301" w:name="_Toc32414"/>
      <w:bookmarkStart w:id="302" w:name="_Toc8241"/>
      <w:bookmarkStart w:id="303" w:name="_Toc1066"/>
      <w:bookmarkStart w:id="304" w:name="_Toc18771"/>
      <w:bookmarkStart w:id="305" w:name="_Toc25559"/>
      <w:bookmarkStart w:id="306" w:name="_Toc28939"/>
      <w:bookmarkStart w:id="307" w:name="_Toc21361"/>
      <w:bookmarkStart w:id="308" w:name="_Toc9566"/>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4</w:t>
      </w:r>
      <w:r>
        <w:rPr>
          <w:rFonts w:hint="default" w:ascii="Times New Roman" w:hAnsi="Times New Roman" w:eastAsia="宋体" w:cs="Times New Roman"/>
          <w:color w:val="auto"/>
          <w:kern w:val="0"/>
          <w:sz w:val="24"/>
          <w:szCs w:val="24"/>
          <w:highlight w:val="none"/>
          <w:lang w:val="en-US" w:eastAsia="zh-CN" w:bidi="ar-SA"/>
        </w:rPr>
        <w:t>工器具要求</w:t>
      </w:r>
      <w:bookmarkEnd w:id="298"/>
      <w:bookmarkEnd w:id="299"/>
      <w:bookmarkEnd w:id="300"/>
      <w:bookmarkEnd w:id="301"/>
      <w:bookmarkEnd w:id="302"/>
      <w:bookmarkEnd w:id="303"/>
      <w:bookmarkEnd w:id="304"/>
      <w:bookmarkEnd w:id="305"/>
      <w:bookmarkEnd w:id="306"/>
      <w:bookmarkEnd w:id="307"/>
      <w:bookmarkEnd w:id="308"/>
    </w:p>
    <w:p w14:paraId="71585367">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bookmarkStart w:id="309" w:name="_Toc16996"/>
      <w:bookmarkStart w:id="310" w:name="_Toc6345"/>
      <w:bookmarkStart w:id="311" w:name="_Toc20611"/>
      <w:bookmarkStart w:id="312" w:name="_Toc32598"/>
      <w:bookmarkStart w:id="313" w:name="_Toc11183"/>
      <w:bookmarkStart w:id="314" w:name="_Toc20368"/>
      <w:bookmarkStart w:id="315" w:name="_Toc13942"/>
      <w:bookmarkStart w:id="316" w:name="_Toc6136"/>
      <w:bookmarkStart w:id="317" w:name="_Toc24889"/>
      <w:bookmarkStart w:id="318" w:name="_Toc15181"/>
      <w:bookmarkStart w:id="319" w:name="_Toc2985"/>
      <w:r>
        <w:rPr>
          <w:rFonts w:hint="default" w:ascii="Times New Roman" w:hAnsi="Times New Roman" w:eastAsia="宋体" w:cs="Times New Roman"/>
          <w:color w:val="auto"/>
          <w:kern w:val="0"/>
          <w:sz w:val="24"/>
          <w:szCs w:val="24"/>
          <w:highlight w:val="none"/>
          <w:lang w:val="en-US" w:eastAsia="zh-CN" w:bidi="ar-SA"/>
        </w:rPr>
        <w:t xml:space="preserve">设备附带各系列产品换型工装，压装机构设计制作设备压头及连接工装。工装要求定位精准，硬度达标。工装、夹具、工具由厂家提供且必须提供两套。提供各设备易损备件清单（包含规格型号）及非标易损件件图纸。 </w:t>
      </w:r>
    </w:p>
    <w:p w14:paraId="50998609">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5</w:t>
      </w:r>
      <w:bookmarkEnd w:id="309"/>
      <w:bookmarkEnd w:id="310"/>
      <w:bookmarkEnd w:id="311"/>
      <w:bookmarkEnd w:id="312"/>
      <w:bookmarkEnd w:id="313"/>
      <w:bookmarkEnd w:id="314"/>
      <w:bookmarkEnd w:id="315"/>
      <w:bookmarkEnd w:id="316"/>
      <w:bookmarkEnd w:id="317"/>
      <w:bookmarkEnd w:id="318"/>
      <w:bookmarkEnd w:id="319"/>
      <w:r>
        <w:rPr>
          <w:rFonts w:hint="default" w:ascii="Times New Roman" w:hAnsi="Times New Roman" w:eastAsia="宋体" w:cs="Times New Roman"/>
          <w:color w:val="auto"/>
          <w:kern w:val="0"/>
          <w:sz w:val="24"/>
          <w:szCs w:val="24"/>
          <w:highlight w:val="none"/>
          <w:lang w:val="en-US" w:eastAsia="zh-CN" w:bidi="ar-SA"/>
        </w:rPr>
        <w:t>本项目供货及品牌要求</w:t>
      </w:r>
    </w:p>
    <w:p w14:paraId="7BF591EF">
      <w:pPr>
        <w:keepNext w:val="0"/>
        <w:keepLines w:val="0"/>
        <w:pageBreakBefore w:val="0"/>
        <w:widowControl w:val="0"/>
        <w:numPr>
          <w:ilvl w:val="0"/>
          <w:numId w:val="0"/>
        </w:numPr>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.1 未注明国产或进口的元件均按进口元件选定；</w:t>
      </w:r>
    </w:p>
    <w:p w14:paraId="790C0E0C">
      <w:pPr>
        <w:keepNext w:val="0"/>
        <w:keepLines w:val="0"/>
        <w:pageBreakBefore w:val="0"/>
        <w:widowControl w:val="0"/>
        <w:numPr>
          <w:ilvl w:val="0"/>
          <w:numId w:val="0"/>
        </w:numPr>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.2 出现不能满足附表选型时，应与招标方进行协商，必须取得招标方的批准；</w:t>
      </w:r>
    </w:p>
    <w:p w14:paraId="4D732BB0">
      <w:pPr>
        <w:keepNext w:val="0"/>
        <w:keepLines w:val="0"/>
        <w:pageBreakBefore w:val="0"/>
        <w:widowControl w:val="0"/>
        <w:numPr>
          <w:ilvl w:val="0"/>
          <w:numId w:val="0"/>
        </w:numPr>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.3 所有电气零部件保护等级须符合IEC：IP-54以上，如工艺要求更高的防护以实际工艺要求为准。</w:t>
      </w:r>
    </w:p>
    <w:p w14:paraId="65FB0225">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其它主要要求</w:t>
      </w:r>
    </w:p>
    <w:p w14:paraId="5B1E6755">
      <w:pPr>
        <w:keepNext w:val="0"/>
        <w:keepLines w:val="0"/>
        <w:pageBreakBefore w:val="0"/>
        <w:widowControl w:val="0"/>
        <w:kinsoku/>
        <w:wordWrap/>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6</w:t>
      </w:r>
      <w:r>
        <w:rPr>
          <w:rFonts w:hint="default" w:ascii="Times New Roman" w:hAnsi="Times New Roman" w:eastAsia="宋体" w:cs="Times New Roman"/>
          <w:color w:val="auto"/>
          <w:kern w:val="0"/>
          <w:sz w:val="24"/>
          <w:szCs w:val="24"/>
          <w:highlight w:val="none"/>
          <w:lang w:val="en-US" w:eastAsia="zh-CN" w:bidi="ar-SA"/>
        </w:rPr>
        <w:t>.1项目用能统计</w:t>
      </w:r>
    </w:p>
    <w:tbl>
      <w:tblPr>
        <w:tblStyle w:val="37"/>
        <w:tblW w:w="4997" w:type="pct"/>
        <w:jc w:val="center"/>
        <w:tblLayout w:type="autofit"/>
        <w:tblCellMar>
          <w:top w:w="0" w:type="dxa"/>
          <w:left w:w="0" w:type="dxa"/>
          <w:bottom w:w="0" w:type="dxa"/>
          <w:right w:w="0" w:type="dxa"/>
        </w:tblCellMar>
      </w:tblPr>
      <w:tblGrid>
        <w:gridCol w:w="489"/>
        <w:gridCol w:w="1362"/>
        <w:gridCol w:w="1481"/>
        <w:gridCol w:w="1158"/>
        <w:gridCol w:w="1341"/>
        <w:gridCol w:w="1292"/>
        <w:gridCol w:w="1134"/>
        <w:gridCol w:w="839"/>
      </w:tblGrid>
      <w:tr w14:paraId="33844048">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FCEB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lang w:bidi="ar"/>
              </w:rPr>
              <w:t>序号</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E1D6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default" w:ascii="Times New Roman" w:hAnsi="Times New Roman" w:eastAsia="宋体" w:cs="Times New Roman"/>
                <w:color w:val="auto"/>
                <w:kern w:val="0"/>
                <w:sz w:val="22"/>
                <w:szCs w:val="22"/>
                <w:highlight w:val="none"/>
                <w:lang w:val="en-US" w:eastAsia="zh-CN" w:bidi="ar"/>
              </w:rPr>
              <w:t>项目（设备）</w:t>
            </w:r>
          </w:p>
          <w:p w14:paraId="4472097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val="en-US" w:eastAsia="zh-CN" w:bidi="ar"/>
              </w:rPr>
              <w:t>名称</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091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val="en-US" w:eastAsia="zh-CN" w:bidi="ar"/>
              </w:rPr>
              <w:t>项目装机容量（KW）</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C1AD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val="en-US" w:eastAsia="zh-CN" w:bidi="ar"/>
              </w:rPr>
              <w:t>项目压缩空气用量（m³/h）</w:t>
            </w: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6610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val="en-US" w:eastAsia="zh-CN" w:bidi="ar"/>
              </w:rPr>
              <w:t>项目用电量（KW/h）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A2AF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576A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1D1B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kern w:val="0"/>
                <w:sz w:val="22"/>
                <w:szCs w:val="22"/>
                <w:highlight w:val="none"/>
                <w:lang w:bidi="ar"/>
              </w:rPr>
              <w:t>备注</w:t>
            </w:r>
          </w:p>
        </w:tc>
      </w:tr>
      <w:tr w14:paraId="302AAE1E">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6E1E2">
            <w:pPr>
              <w:widowControl/>
              <w:spacing w:line="360" w:lineRule="auto"/>
              <w:jc w:val="center"/>
              <w:textAlignment w:val="center"/>
              <w:rPr>
                <w:rFonts w:hint="default" w:ascii="Times New Roman" w:hAnsi="Times New Roman" w:eastAsia="宋体" w:cs="Times New Roman"/>
                <w:color w:val="auto"/>
                <w:sz w:val="24"/>
                <w:szCs w:val="24"/>
                <w:highlight w:val="none"/>
                <w:lang w:val="en-US" w:eastAsia="zh-CN"/>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66025">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B2849">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C6FD0">
            <w:pPr>
              <w:widowControl/>
              <w:spacing w:line="360" w:lineRule="auto"/>
              <w:jc w:val="center"/>
              <w:textAlignment w:val="center"/>
              <w:rPr>
                <w:rFonts w:hint="default" w:ascii="Times New Roman" w:hAnsi="Times New Roman" w:eastAsia="宋体" w:cs="Times New Roman"/>
                <w:color w:val="auto"/>
                <w:kern w:val="0"/>
                <w:sz w:val="22"/>
                <w:szCs w:val="22"/>
                <w:highlight w:val="none"/>
                <w:lang w:bidi="ar"/>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3BDDF">
            <w:pPr>
              <w:widowControl/>
              <w:spacing w:line="360" w:lineRule="auto"/>
              <w:jc w:val="center"/>
              <w:textAlignment w:val="center"/>
              <w:rPr>
                <w:rFonts w:hint="default" w:ascii="Times New Roman" w:hAnsi="Times New Roman" w:eastAsia="宋体" w:cs="Times New Roman"/>
                <w:color w:val="auto"/>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6DA1D">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C55B4">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231C2">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r>
      <w:tr w14:paraId="626C710F">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36607">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90966">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5C167">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90B13">
            <w:pPr>
              <w:widowControl/>
              <w:spacing w:line="360" w:lineRule="auto"/>
              <w:jc w:val="center"/>
              <w:textAlignment w:val="center"/>
              <w:rPr>
                <w:rFonts w:hint="default" w:ascii="Times New Roman" w:hAnsi="Times New Roman" w:eastAsia="宋体" w:cs="Times New Roman"/>
                <w:color w:val="auto"/>
                <w:kern w:val="0"/>
                <w:sz w:val="22"/>
                <w:szCs w:val="22"/>
                <w:highlight w:val="none"/>
                <w:lang w:bidi="ar"/>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C57CF">
            <w:pPr>
              <w:widowControl/>
              <w:spacing w:line="360" w:lineRule="auto"/>
              <w:jc w:val="center"/>
              <w:textAlignment w:val="center"/>
              <w:rPr>
                <w:rFonts w:hint="default" w:ascii="Times New Roman" w:hAnsi="Times New Roman" w:eastAsia="宋体" w:cs="Times New Roman"/>
                <w:color w:val="auto"/>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B5636">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65D70">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DD6B4">
            <w:pPr>
              <w:widowControl/>
              <w:spacing w:line="360" w:lineRule="auto"/>
              <w:jc w:val="center"/>
              <w:textAlignment w:val="center"/>
              <w:rPr>
                <w:rFonts w:hint="default" w:ascii="Times New Roman" w:hAnsi="Times New Roman" w:eastAsia="宋体" w:cs="Times New Roman"/>
                <w:color w:val="auto"/>
                <w:kern w:val="0"/>
                <w:sz w:val="22"/>
                <w:szCs w:val="22"/>
                <w:highlight w:val="none"/>
                <w:lang w:val="en-US" w:eastAsia="zh-CN" w:bidi="ar"/>
              </w:rPr>
            </w:pPr>
          </w:p>
        </w:tc>
      </w:tr>
    </w:tbl>
    <w:p w14:paraId="2778A434">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备注：本表作为投标方编制投标技术文件的一般格式。表中应当尽可能准确并列全。</w:t>
      </w:r>
    </w:p>
    <w:p w14:paraId="445561D8">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3.7.安全及环保要求</w:t>
      </w:r>
    </w:p>
    <w:p w14:paraId="1E62F03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3.7.1</w:t>
      </w:r>
      <w:r>
        <w:rPr>
          <w:rFonts w:hint="default" w:ascii="Times New Roman" w:hAnsi="Times New Roman" w:eastAsia="宋体" w:cs="Times New Roman"/>
          <w:color w:val="auto"/>
          <w:sz w:val="24"/>
          <w:szCs w:val="24"/>
          <w:highlight w:val="none"/>
        </w:rPr>
        <w:t>投标方所供的货物（或生产线），必须符合中国最新版的安全</w:t>
      </w:r>
      <w:r>
        <w:rPr>
          <w:rFonts w:hint="default" w:ascii="Times New Roman" w:hAnsi="Times New Roman" w:eastAsia="宋体" w:cs="Times New Roman"/>
          <w:color w:val="auto"/>
          <w:sz w:val="24"/>
          <w:szCs w:val="24"/>
          <w:highlight w:val="none"/>
          <w:lang w:eastAsia="zh-CN"/>
        </w:rPr>
        <w:t>、环保、消防及职业健康的</w:t>
      </w:r>
      <w:r>
        <w:rPr>
          <w:rFonts w:hint="default" w:ascii="Times New Roman" w:hAnsi="Times New Roman" w:eastAsia="宋体" w:cs="Times New Roman"/>
          <w:color w:val="auto"/>
          <w:sz w:val="24"/>
          <w:szCs w:val="24"/>
          <w:highlight w:val="none"/>
        </w:rPr>
        <w:t>法律、法规要求，符合行业安全标准及项目所在地政府有关特殊要求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符合《机械制造企业安全生产标准化》各条款评审要求，符合设备“全生命”安全周期相关要求。</w:t>
      </w:r>
    </w:p>
    <w:p w14:paraId="5C97632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.2货物（或生产线）应完整且所有的零部件应该安装安全、牢固，外观无损伤，所有的焊缝饱满、无残渣等缺陷且符合国家及行业相关标准。</w:t>
      </w:r>
    </w:p>
    <w:p w14:paraId="39D828D3">
      <w:pPr>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.3对生产线存在安全</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的工位必须采取安全措施，如：线体防护板、高温防护、光栅等。</w:t>
      </w:r>
    </w:p>
    <w:p w14:paraId="4696ABB9">
      <w:pPr>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3.7.4</w:t>
      </w:r>
      <w:r>
        <w:rPr>
          <w:rFonts w:hint="default" w:ascii="Times New Roman" w:hAnsi="Times New Roman" w:eastAsia="宋体" w:cs="Times New Roman"/>
          <w:color w:val="auto"/>
          <w:sz w:val="24"/>
          <w:szCs w:val="24"/>
          <w:highlight w:val="none"/>
        </w:rPr>
        <w:t>加热机需配备烟雾净化系统，用于有效吸收和过滤加热产生的烟雾及有毒有害气体</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净化后的洁净空气需经活性碳过滤器进一步处理，确保最终排放达标，满足环保要求</w:t>
      </w:r>
      <w:r>
        <w:rPr>
          <w:rFonts w:hint="eastAsia" w:ascii="Times New Roman" w:hAnsi="Times New Roman" w:eastAsia="宋体" w:cs="Times New Roman"/>
          <w:color w:val="auto"/>
          <w:sz w:val="24"/>
          <w:szCs w:val="24"/>
          <w:highlight w:val="none"/>
          <w:lang w:eastAsia="zh-CN"/>
        </w:rPr>
        <w:t>，配备专用工具实现齿轮安全快速取放，加热机外装安全防护隔离罩，留有齿轮及工具取放通道。</w:t>
      </w:r>
    </w:p>
    <w:p w14:paraId="636EFCCF">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3.7.5</w:t>
      </w:r>
      <w:r>
        <w:rPr>
          <w:rFonts w:hint="default" w:ascii="Times New Roman" w:hAnsi="Times New Roman" w:eastAsia="宋体" w:cs="Times New Roman"/>
          <w:color w:val="auto"/>
          <w:sz w:val="24"/>
          <w:szCs w:val="24"/>
          <w:highlight w:val="none"/>
        </w:rPr>
        <w:t>从安全生产的角度考虑各单元及工位应设有</w:t>
      </w:r>
      <w:r>
        <w:rPr>
          <w:rFonts w:hint="eastAsia" w:ascii="Times New Roman" w:hAnsi="Times New Roman" w:eastAsia="宋体" w:cs="Times New Roman"/>
          <w:color w:val="auto"/>
          <w:sz w:val="24"/>
          <w:szCs w:val="24"/>
          <w:highlight w:val="none"/>
          <w:lang w:eastAsia="zh-CN"/>
        </w:rPr>
        <w:t>紧急制动按钮</w:t>
      </w:r>
      <w:r>
        <w:rPr>
          <w:rFonts w:hint="default" w:ascii="Times New Roman" w:hAnsi="Times New Roman" w:eastAsia="宋体" w:cs="Times New Roman"/>
          <w:color w:val="auto"/>
          <w:sz w:val="24"/>
          <w:szCs w:val="24"/>
          <w:highlight w:val="none"/>
        </w:rPr>
        <w:t>，并有明显</w:t>
      </w:r>
      <w:r>
        <w:rPr>
          <w:rFonts w:hint="eastAsia" w:ascii="Times New Roman" w:hAnsi="Times New Roman" w:eastAsia="宋体" w:cs="Times New Roman"/>
          <w:color w:val="auto"/>
          <w:sz w:val="24"/>
          <w:szCs w:val="24"/>
          <w:highlight w:val="none"/>
          <w:lang w:val="en-US" w:eastAsia="zh-CN"/>
        </w:rPr>
        <w:t>中文</w:t>
      </w:r>
      <w:r>
        <w:rPr>
          <w:rFonts w:hint="default" w:ascii="Times New Roman" w:hAnsi="Times New Roman" w:eastAsia="宋体" w:cs="Times New Roman"/>
          <w:color w:val="auto"/>
          <w:sz w:val="24"/>
          <w:szCs w:val="24"/>
          <w:highlight w:val="none"/>
        </w:rPr>
        <w:t>标识</w:t>
      </w:r>
      <w:r>
        <w:rPr>
          <w:rFonts w:hint="eastAsia" w:ascii="Times New Roman" w:hAnsi="Times New Roman" w:eastAsia="宋体" w:cs="Times New Roman"/>
          <w:color w:val="auto"/>
          <w:sz w:val="24"/>
          <w:szCs w:val="24"/>
          <w:highlight w:val="none"/>
          <w:lang w:eastAsia="zh-CN"/>
        </w:rPr>
        <w:t>，以停止所有的机械运动，并且将空气动力泄压，</w:t>
      </w:r>
      <w:r>
        <w:rPr>
          <w:rFonts w:hint="default" w:ascii="Times New Roman" w:hAnsi="Times New Roman" w:eastAsia="宋体" w:cs="Times New Roman"/>
          <w:color w:val="auto"/>
          <w:sz w:val="24"/>
          <w:szCs w:val="24"/>
          <w:highlight w:val="none"/>
          <w:lang w:val="en-US" w:eastAsia="zh-CN"/>
        </w:rPr>
        <w:t>压力设备应设有双手压装功能、安全光栅防护，并具备安全光栅触发下的保压能力</w:t>
      </w:r>
      <w:r>
        <w:rPr>
          <w:rFonts w:hint="eastAsia" w:ascii="Times New Roman" w:hAnsi="Times New Roman" w:eastAsia="宋体" w:cs="Times New Roman"/>
          <w:color w:val="auto"/>
          <w:sz w:val="24"/>
          <w:szCs w:val="24"/>
          <w:highlight w:val="none"/>
          <w:lang w:val="en-US" w:eastAsia="zh-CN"/>
        </w:rPr>
        <w:t xml:space="preserve">；断电安全保护功能。 </w:t>
      </w:r>
    </w:p>
    <w:p w14:paraId="1041BA5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3.7.6</w:t>
      </w:r>
      <w:r>
        <w:rPr>
          <w:rFonts w:hint="eastAsia" w:ascii="Times New Roman" w:hAnsi="Times New Roman" w:eastAsia="宋体" w:cs="Times New Roman"/>
          <w:color w:val="auto"/>
          <w:sz w:val="24"/>
          <w:szCs w:val="24"/>
          <w:highlight w:val="none"/>
          <w:lang w:val="en-US" w:eastAsia="zh-CN"/>
        </w:rPr>
        <w:t>投标</w:t>
      </w:r>
      <w:r>
        <w:rPr>
          <w:rFonts w:hint="default" w:ascii="Times New Roman" w:hAnsi="Times New Roman" w:eastAsia="宋体" w:cs="Times New Roman"/>
          <w:color w:val="auto"/>
          <w:sz w:val="24"/>
          <w:szCs w:val="24"/>
          <w:highlight w:val="none"/>
        </w:rPr>
        <w:t>方要确保所供设备各工作按钮、急停开关、行程限位、自动联锁保护装置及安全防护罩、盖、栏等应符合相关标准规范要求；设备供电线路及管线规范布设，无干涉、渗漏；设备外壳可靠PE保护接地且阻值不大于4欧姆。</w:t>
      </w:r>
    </w:p>
    <w:p w14:paraId="46F90290">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3.7.7</w:t>
      </w:r>
      <w:r>
        <w:rPr>
          <w:rFonts w:hint="default" w:ascii="Times New Roman" w:hAnsi="Times New Roman" w:eastAsia="宋体" w:cs="Times New Roman"/>
          <w:color w:val="auto"/>
          <w:kern w:val="0"/>
          <w:sz w:val="24"/>
          <w:szCs w:val="24"/>
          <w:highlight w:val="none"/>
          <w:lang w:val="en-US" w:eastAsia="zh-CN" w:bidi="ar-SA"/>
        </w:rPr>
        <w:t>所有电气安装和施工均应符合我国现行行业标准（规范），电器柜需张贴当心触电警示标识。</w:t>
      </w:r>
    </w:p>
    <w:p w14:paraId="7534BDF7">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3.7.8</w:t>
      </w:r>
      <w:r>
        <w:rPr>
          <w:rFonts w:hint="default" w:ascii="Times New Roman" w:hAnsi="Times New Roman" w:eastAsia="宋体" w:cs="Times New Roman"/>
          <w:color w:val="auto"/>
          <w:sz w:val="24"/>
          <w:szCs w:val="24"/>
          <w:highlight w:val="none"/>
        </w:rPr>
        <w:t>投标方要确保货物在使用管理过程中满足《职业健康安全管理体系》、《环境管理体系》等方面的规范及国家标准要求；投标方负责在交货之前，向</w:t>
      </w:r>
      <w:r>
        <w:rPr>
          <w:rFonts w:hint="eastAsia" w:ascii="Times New Roman" w:hAnsi="Times New Roman" w:eastAsia="宋体" w:cs="Times New Roman"/>
          <w:color w:val="auto"/>
          <w:sz w:val="24"/>
          <w:szCs w:val="24"/>
          <w:highlight w:val="none"/>
          <w:lang w:val="en-US" w:eastAsia="zh-CN"/>
        </w:rPr>
        <w:t>招标</w:t>
      </w:r>
      <w:r>
        <w:rPr>
          <w:rFonts w:hint="default" w:ascii="Times New Roman" w:hAnsi="Times New Roman" w:eastAsia="宋体" w:cs="Times New Roman"/>
          <w:color w:val="auto"/>
          <w:sz w:val="24"/>
          <w:szCs w:val="24"/>
          <w:highlight w:val="none"/>
        </w:rPr>
        <w:t>方提供相关设备设施的电子版安全操作规程，危险化学品“一书一签”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负责对招标方相关人员开展“四新”安全培训</w:t>
      </w:r>
      <w:r>
        <w:rPr>
          <w:rFonts w:hint="eastAsia" w:ascii="Times New Roman" w:hAnsi="Times New Roman" w:eastAsia="宋体" w:cs="Times New Roman"/>
          <w:color w:val="auto"/>
          <w:sz w:val="24"/>
          <w:szCs w:val="24"/>
          <w:highlight w:val="none"/>
          <w:lang w:eastAsia="zh-CN"/>
        </w:rPr>
        <w:t>。</w:t>
      </w:r>
    </w:p>
    <w:p w14:paraId="15B34A0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3.7.9</w:t>
      </w:r>
      <w:r>
        <w:rPr>
          <w:rFonts w:hint="default" w:ascii="Times New Roman" w:hAnsi="Times New Roman" w:eastAsia="宋体" w:cs="Times New Roman"/>
          <w:color w:val="auto"/>
          <w:sz w:val="24"/>
          <w:szCs w:val="24"/>
          <w:highlight w:val="none"/>
        </w:rPr>
        <w:t>投标方</w:t>
      </w:r>
      <w:r>
        <w:rPr>
          <w:rFonts w:hint="eastAsia" w:ascii="Times New Roman" w:hAnsi="Times New Roman" w:eastAsia="宋体" w:cs="Times New Roman"/>
          <w:color w:val="auto"/>
          <w:sz w:val="24"/>
          <w:szCs w:val="24"/>
          <w:highlight w:val="none"/>
          <w:lang w:val="en-US" w:eastAsia="zh-CN"/>
        </w:rPr>
        <w:t>所设计吊具应清晰标注额定载荷，配置防脱落及防夹手设计，投标方需对操作者进行专业培训后持证上岗。</w:t>
      </w:r>
    </w:p>
    <w:p w14:paraId="5C3A62B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货物（或生产线）应运行</w:t>
      </w:r>
      <w:r>
        <w:rPr>
          <w:rFonts w:hint="eastAsia"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rPr>
        <w:t>定、可靠、安全，无非正常变形，非正常振动，无异常声音；无漏水、漏液、漏气（汽）、漏电等现象。</w:t>
      </w:r>
    </w:p>
    <w:p w14:paraId="6B853A1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所有的管路和线缆等，接头应完全正确、可靠地联接；应排列有序（正确、牢固、整齐），有必要的防护，无皱褶、收缩和裂缝等不良现象。</w:t>
      </w:r>
    </w:p>
    <w:p w14:paraId="1EF621C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地线联接和地极符合国际（ISO/IEC）标准规范</w:t>
      </w:r>
      <w:r>
        <w:rPr>
          <w:rFonts w:hint="default" w:ascii="Times New Roman" w:hAnsi="Times New Roman" w:eastAsia="宋体" w:cs="Times New Roman"/>
          <w:color w:val="auto"/>
          <w:sz w:val="24"/>
          <w:szCs w:val="24"/>
          <w:highlight w:val="none"/>
          <w:lang w:eastAsia="zh-CN"/>
        </w:rPr>
        <w:t>，电器柜需张贴当心触电警示标识</w:t>
      </w:r>
      <w:r>
        <w:rPr>
          <w:rFonts w:hint="default" w:ascii="Times New Roman" w:hAnsi="Times New Roman" w:eastAsia="宋体" w:cs="Times New Roman"/>
          <w:color w:val="auto"/>
          <w:sz w:val="24"/>
          <w:szCs w:val="24"/>
          <w:highlight w:val="none"/>
        </w:rPr>
        <w:t>。</w:t>
      </w:r>
    </w:p>
    <w:p w14:paraId="57430A2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3FE85EBB">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2DE4928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3.7</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涉及需要进行环保、职业卫生强制检测的项目（设备、设施），应由中标方提供权威第三方检测机构出具的完工检测报告。</w:t>
      </w:r>
    </w:p>
    <w:p w14:paraId="4BBE606B">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3.7.</w:t>
      </w:r>
      <w:r>
        <w:rPr>
          <w:rFonts w:hint="eastAsia" w:ascii="Times New Roman" w:hAnsi="Times New Roman" w:eastAsia="宋体" w:cs="Times New Roman"/>
          <w:color w:val="auto"/>
          <w:kern w:val="0"/>
          <w:sz w:val="24"/>
          <w:szCs w:val="24"/>
          <w:highlight w:val="none"/>
          <w:lang w:val="en-US" w:eastAsia="zh-CN" w:bidi="ar-SA"/>
        </w:rPr>
        <w:t>16</w:t>
      </w:r>
      <w:r>
        <w:rPr>
          <w:rFonts w:hint="default" w:ascii="Times New Roman" w:hAnsi="Times New Roman" w:eastAsia="宋体" w:cs="Times New Roman"/>
          <w:color w:val="auto"/>
          <w:kern w:val="0"/>
          <w:sz w:val="24"/>
          <w:szCs w:val="24"/>
          <w:highlight w:val="none"/>
          <w:lang w:val="en-US" w:eastAsia="zh-CN" w:bidi="ar-SA"/>
        </w:rPr>
        <w:t>投标方所投货物外观颜色标准按招标方提供的标准《Q/ZZ 30070—2020》或双方书面约定的标准执行。</w:t>
      </w:r>
    </w:p>
    <w:p w14:paraId="4C097503">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3181985" cy="3162300"/>
            <wp:effectExtent l="0" t="0" r="18415" b="0"/>
            <wp:docPr id="93" name="图片 93" descr="172083819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720838193733"/>
                    <pic:cNvPicPr>
                      <a:picLocks noChangeAspect="1"/>
                    </pic:cNvPicPr>
                  </pic:nvPicPr>
                  <pic:blipFill>
                    <a:blip r:embed="rId61"/>
                    <a:stretch>
                      <a:fillRect/>
                    </a:stretch>
                  </pic:blipFill>
                  <pic:spPr>
                    <a:xfrm>
                      <a:off x="0" y="0"/>
                      <a:ext cx="3181985" cy="3162300"/>
                    </a:xfrm>
                    <a:prstGeom prst="rect">
                      <a:avLst/>
                    </a:prstGeom>
                  </pic:spPr>
                </pic:pic>
              </a:graphicData>
            </a:graphic>
          </wp:inline>
        </w:drawing>
      </w:r>
    </w:p>
    <w:p w14:paraId="6A0859DC">
      <w:pPr>
        <w:widowControl w:val="0"/>
        <w:snapToGrid w:val="0"/>
        <w:spacing w:line="360" w:lineRule="auto"/>
        <w:ind w:firstLine="480" w:firstLineChars="20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drawing>
          <wp:inline distT="0" distB="0" distL="114300" distR="114300">
            <wp:extent cx="3239770" cy="1148715"/>
            <wp:effectExtent l="0" t="0" r="17780" b="13335"/>
            <wp:docPr id="94" name="图片 94" descr="1720838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720838269968"/>
                    <pic:cNvPicPr>
                      <a:picLocks noChangeAspect="1"/>
                    </pic:cNvPicPr>
                  </pic:nvPicPr>
                  <pic:blipFill>
                    <a:blip r:embed="rId62"/>
                    <a:stretch>
                      <a:fillRect/>
                    </a:stretch>
                  </pic:blipFill>
                  <pic:spPr>
                    <a:xfrm>
                      <a:off x="0" y="0"/>
                      <a:ext cx="3239770" cy="1148715"/>
                    </a:xfrm>
                    <a:prstGeom prst="rect">
                      <a:avLst/>
                    </a:prstGeom>
                  </pic:spPr>
                </pic:pic>
              </a:graphicData>
            </a:graphic>
          </wp:inline>
        </w:drawing>
      </w:r>
    </w:p>
    <w:p w14:paraId="11FC333D">
      <w:pPr>
        <w:snapToGrid w:val="0"/>
        <w:spacing w:line="360" w:lineRule="auto"/>
        <w:ind w:firstLine="482" w:firstLineChars="200"/>
        <w:outlineLvl w:val="1"/>
        <w:rPr>
          <w:rFonts w:hint="default" w:ascii="Times New Roman" w:hAnsi="Times New Roman" w:eastAsia="宋体" w:cs="Times New Roman"/>
          <w:b/>
          <w:bCs/>
          <w:color w:val="auto"/>
          <w:sz w:val="24"/>
          <w:szCs w:val="24"/>
          <w:highlight w:val="none"/>
        </w:rPr>
      </w:pPr>
      <w:bookmarkStart w:id="320" w:name="_Toc3096"/>
      <w:bookmarkStart w:id="321" w:name="_Toc12383"/>
      <w:bookmarkStart w:id="322" w:name="_Toc31509"/>
      <w:bookmarkStart w:id="323" w:name="_Toc28134"/>
      <w:bookmarkStart w:id="324" w:name="_Toc12980"/>
      <w:bookmarkStart w:id="325" w:name="_Toc466"/>
      <w:bookmarkStart w:id="326" w:name="_Toc31046"/>
      <w:bookmarkStart w:id="327" w:name="_Toc30526"/>
      <w:bookmarkStart w:id="328" w:name="_Toc8333"/>
      <w:bookmarkStart w:id="329" w:name="_Toc1717"/>
      <w:bookmarkStart w:id="330" w:name="_Toc14715"/>
      <w:bookmarkStart w:id="331" w:name="_Toc2761"/>
      <w:bookmarkStart w:id="332" w:name="_Toc13730"/>
      <w:bookmarkStart w:id="333" w:name="_Toc17206"/>
      <w:bookmarkStart w:id="334" w:name="_Toc10224"/>
      <w:bookmarkStart w:id="335" w:name="_Toc2382"/>
      <w:bookmarkStart w:id="336" w:name="_Toc28302"/>
      <w:bookmarkStart w:id="337" w:name="_Toc14754"/>
      <w:bookmarkStart w:id="338" w:name="_Toc11582"/>
      <w:bookmarkStart w:id="339" w:name="_Toc16458"/>
      <w:bookmarkStart w:id="340" w:name="_Toc14086"/>
      <w:bookmarkStart w:id="341" w:name="_Toc11448"/>
      <w:bookmarkStart w:id="342" w:name="_Toc31832"/>
      <w:bookmarkStart w:id="343" w:name="_Toc24970"/>
      <w:bookmarkStart w:id="344" w:name="_Toc16723"/>
      <w:bookmarkStart w:id="345" w:name="_Toc963"/>
      <w:bookmarkStart w:id="346" w:name="_Toc10838"/>
      <w:bookmarkStart w:id="347" w:name="_Toc73112402"/>
      <w:bookmarkStart w:id="348" w:name="_Toc73"/>
      <w:bookmarkStart w:id="349" w:name="_Toc15063"/>
      <w:bookmarkStart w:id="350" w:name="_Toc3721"/>
      <w:bookmarkStart w:id="351" w:name="_Toc4932"/>
      <w:bookmarkStart w:id="352" w:name="_Toc8256"/>
      <w:bookmarkStart w:id="353" w:name="_Toc11237"/>
      <w:bookmarkStart w:id="354" w:name="_Toc24311"/>
      <w:bookmarkStart w:id="355" w:name="_Toc14191"/>
      <w:bookmarkStart w:id="356" w:name="_Toc900"/>
      <w:bookmarkStart w:id="357" w:name="_Toc13533"/>
      <w:bookmarkStart w:id="358" w:name="_Toc24239"/>
      <w:bookmarkStart w:id="359" w:name="_Toc28651"/>
      <w:bookmarkStart w:id="360" w:name="_Toc16595"/>
      <w:bookmarkStart w:id="361" w:name="_Toc25096"/>
      <w:bookmarkStart w:id="362" w:name="_Toc11655"/>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特别提示</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6B5A927E">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4.1 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7FACAA9F">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4.2 本技术要求所使用的标准、规范等，如与投标方所执行的标准、规范不一致时，应按高于本技术要求所列的标准、规范执行，并在投标文件“技术偏离”中予以说明。</w:t>
      </w:r>
    </w:p>
    <w:p w14:paraId="0EB9F54B">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4.3 投标方认为所供货物（或生产线）必需由招标方配备、解决或提供的其它要求，如设备基础隔振和减振设施、软化水、洁净气源等，均应在投标文件“技术偏离”中予以充分说明。</w:t>
      </w:r>
    </w:p>
    <w:p w14:paraId="4E328AAF">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4.4 投标方须负责在终验收前，在招标方设备现场对投标设备实施电能质量和公用电网谐波检测并出具检测报告。检测工作由投标方负责安排第三方实施（第三方的资质须由招标方认可）。</w:t>
      </w:r>
    </w:p>
    <w:p w14:paraId="53FBDAD6">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4.5 投标文件中，针对“特别提示”条款所做的回应，将作为投标方能否中标的重要依据之一。</w:t>
      </w:r>
      <w:bookmarkStart w:id="363" w:name="_Toc133783970"/>
    </w:p>
    <w:p w14:paraId="78A89996">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4.6 投标方所投货物外观颜色标准按招标方提供的标准或双方书面约定的标准执行。</w:t>
      </w:r>
    </w:p>
    <w:p w14:paraId="7B5CF8F9">
      <w:pPr>
        <w:adjustRightInd w:val="0"/>
        <w:snapToGrid w:val="0"/>
        <w:spacing w:before="163" w:beforeLines="50" w:after="163" w:afterLines="50" w:line="360" w:lineRule="auto"/>
        <w:jc w:val="center"/>
        <w:outlineLvl w:val="0"/>
        <w:rPr>
          <w:rFonts w:hint="default" w:ascii="Times New Roman" w:hAnsi="Times New Roman" w:eastAsia="宋体" w:cs="Times New Roman"/>
          <w:b/>
          <w:bCs/>
          <w:color w:val="auto"/>
          <w:sz w:val="24"/>
          <w:szCs w:val="24"/>
          <w:highlight w:val="none"/>
        </w:rPr>
      </w:pPr>
      <w:bookmarkStart w:id="364" w:name="_Toc4641"/>
      <w:bookmarkStart w:id="365" w:name="_Toc28398"/>
      <w:bookmarkStart w:id="366" w:name="_Toc11390"/>
      <w:bookmarkStart w:id="367" w:name="_Toc27327"/>
      <w:bookmarkStart w:id="368" w:name="_Toc1962"/>
      <w:bookmarkStart w:id="369" w:name="_Toc24173"/>
      <w:bookmarkStart w:id="370" w:name="_Toc16317"/>
      <w:bookmarkStart w:id="371" w:name="_Toc26551"/>
      <w:bookmarkStart w:id="372" w:name="_Toc21586"/>
      <w:bookmarkStart w:id="373" w:name="_Toc11725"/>
      <w:bookmarkStart w:id="374" w:name="_Toc22710"/>
      <w:bookmarkStart w:id="375" w:name="_Toc8892"/>
      <w:bookmarkStart w:id="376" w:name="_Toc16352"/>
      <w:bookmarkStart w:id="377" w:name="_Toc10828"/>
      <w:bookmarkStart w:id="378" w:name="_Toc20329"/>
      <w:bookmarkStart w:id="379" w:name="_Toc22516"/>
      <w:bookmarkStart w:id="380" w:name="_Toc3808"/>
      <w:bookmarkStart w:id="381" w:name="_Toc7258"/>
      <w:bookmarkStart w:id="382" w:name="_Toc22662"/>
      <w:bookmarkStart w:id="383" w:name="_Toc31816"/>
      <w:bookmarkStart w:id="384" w:name="_Toc19081"/>
      <w:bookmarkStart w:id="385" w:name="_Toc21086"/>
      <w:bookmarkStart w:id="386" w:name="_Toc1909"/>
      <w:bookmarkStart w:id="387" w:name="_Toc22347"/>
      <w:bookmarkStart w:id="388" w:name="_Toc6352"/>
      <w:bookmarkStart w:id="389" w:name="_Toc14583"/>
      <w:bookmarkStart w:id="390" w:name="_Toc1171"/>
      <w:bookmarkStart w:id="391" w:name="_Toc19805"/>
      <w:bookmarkStart w:id="392" w:name="_Toc29006"/>
      <w:bookmarkStart w:id="393" w:name="_Toc30892"/>
      <w:bookmarkStart w:id="394" w:name="_Toc28745"/>
      <w:bookmarkStart w:id="395" w:name="_Toc20841"/>
      <w:bookmarkStart w:id="396" w:name="_Toc26601"/>
      <w:bookmarkStart w:id="397" w:name="_Toc20994"/>
      <w:bookmarkStart w:id="398" w:name="_Toc16316"/>
      <w:bookmarkStart w:id="399" w:name="_Toc19022"/>
      <w:bookmarkStart w:id="400" w:name="_Toc22156"/>
      <w:bookmarkStart w:id="401" w:name="_Toc13526"/>
      <w:bookmarkStart w:id="402" w:name="_Toc19812"/>
      <w:bookmarkStart w:id="403" w:name="_Toc32382"/>
      <w:bookmarkStart w:id="404" w:name="_Toc73112403"/>
      <w:bookmarkStart w:id="405" w:name="_Toc20260"/>
      <w:bookmarkStart w:id="406" w:name="_Toc17909"/>
      <w:r>
        <w:rPr>
          <w:rFonts w:hint="default" w:ascii="Times New Roman" w:hAnsi="Times New Roman" w:eastAsia="宋体" w:cs="Times New Roman"/>
          <w:b/>
          <w:bCs/>
          <w:color w:val="auto"/>
          <w:sz w:val="24"/>
          <w:szCs w:val="24"/>
          <w:highlight w:val="none"/>
        </w:rPr>
        <w:t>第三章</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供货范围及供货方式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46EA9973">
      <w:pPr>
        <w:keepNext/>
        <w:keepLines/>
        <w:widowControl w:val="0"/>
        <w:snapToGrid w:val="0"/>
        <w:spacing w:before="0" w:after="0" w:line="360" w:lineRule="auto"/>
        <w:ind w:left="6" w:firstLine="474"/>
        <w:jc w:val="center"/>
        <w:outlineLvl w:val="1"/>
        <w:rPr>
          <w:rFonts w:hint="default" w:ascii="Times New Roman" w:hAnsi="Times New Roman" w:eastAsia="宋体" w:cs="Times New Roman"/>
          <w:b w:val="0"/>
          <w:bCs w:val="0"/>
          <w:color w:val="auto"/>
          <w:kern w:val="0"/>
          <w:sz w:val="24"/>
          <w:szCs w:val="24"/>
          <w:highlight w:val="none"/>
          <w:lang w:val="en-US" w:eastAsia="zh-CN" w:bidi="ar-SA"/>
        </w:rPr>
      </w:pPr>
      <w:bookmarkStart w:id="407" w:name="_Toc32750"/>
      <w:bookmarkStart w:id="408" w:name="_Toc19860"/>
      <w:bookmarkStart w:id="409" w:name="_Toc20301"/>
      <w:bookmarkStart w:id="410" w:name="_Toc19908"/>
      <w:bookmarkStart w:id="411" w:name="_Toc27831"/>
      <w:bookmarkStart w:id="412" w:name="_Toc12581"/>
      <w:bookmarkStart w:id="413" w:name="_Toc133783971"/>
      <w:bookmarkStart w:id="414" w:name="_Toc19111"/>
      <w:bookmarkStart w:id="415" w:name="_Toc8238"/>
      <w:bookmarkStart w:id="416" w:name="_Toc32716"/>
      <w:bookmarkStart w:id="417" w:name="_Toc4032"/>
      <w:bookmarkStart w:id="418" w:name="_Toc9580"/>
      <w:bookmarkStart w:id="419" w:name="_Toc14383"/>
      <w:bookmarkStart w:id="420" w:name="_Toc10323"/>
      <w:bookmarkStart w:id="421" w:name="_Toc6219"/>
      <w:bookmarkStart w:id="422" w:name="_Toc5052"/>
      <w:bookmarkStart w:id="423" w:name="_Toc9994"/>
      <w:bookmarkStart w:id="424" w:name="_Toc19155"/>
      <w:bookmarkStart w:id="425" w:name="_Toc19529"/>
      <w:bookmarkStart w:id="426" w:name="_Toc73112404"/>
      <w:bookmarkStart w:id="427" w:name="_Toc18238"/>
      <w:bookmarkStart w:id="428" w:name="_Toc29751"/>
      <w:bookmarkStart w:id="429" w:name="_Toc16027"/>
      <w:bookmarkStart w:id="430" w:name="_Toc680"/>
      <w:bookmarkStart w:id="431" w:name="_Toc6864"/>
      <w:bookmarkStart w:id="432" w:name="_Toc5032"/>
      <w:bookmarkStart w:id="433" w:name="_Toc3358"/>
      <w:bookmarkStart w:id="434" w:name="_Toc20066"/>
      <w:bookmarkStart w:id="435" w:name="_Toc31722"/>
      <w:bookmarkStart w:id="436" w:name="_Toc13578"/>
      <w:bookmarkStart w:id="437" w:name="_Toc20721"/>
      <w:bookmarkStart w:id="438" w:name="_Toc32542"/>
      <w:bookmarkStart w:id="439" w:name="_Toc17404"/>
      <w:bookmarkStart w:id="440" w:name="_Toc5131"/>
      <w:bookmarkStart w:id="441" w:name="_Toc28344"/>
      <w:bookmarkStart w:id="442" w:name="_Toc25354"/>
      <w:bookmarkStart w:id="443" w:name="_Toc2288"/>
      <w:bookmarkStart w:id="444" w:name="_Toc11227"/>
      <w:bookmarkStart w:id="445" w:name="_Toc8963"/>
      <w:bookmarkStart w:id="446" w:name="_Toc32286"/>
      <w:bookmarkStart w:id="447" w:name="_Toc2127"/>
      <w:bookmarkStart w:id="448" w:name="_Toc11979"/>
      <w:bookmarkStart w:id="449" w:name="_Toc4896"/>
      <w:bookmarkStart w:id="450" w:name="_Toc969"/>
      <w:bookmarkStart w:id="451" w:name="_Toc9571"/>
      <w:bookmarkStart w:id="452" w:name="_Toc3639"/>
      <w:bookmarkStart w:id="453" w:name="_Toc27567"/>
      <w:bookmarkStart w:id="454" w:name="_Toc32741"/>
      <w:r>
        <w:rPr>
          <w:rFonts w:hint="default" w:ascii="Times New Roman" w:hAnsi="Times New Roman" w:eastAsia="宋体" w:cs="Times New Roman"/>
          <w:b w:val="0"/>
          <w:bCs w:val="0"/>
          <w:color w:val="auto"/>
          <w:kern w:val="0"/>
          <w:sz w:val="24"/>
          <w:szCs w:val="24"/>
          <w:highlight w:val="none"/>
          <w:lang w:val="en-US" w:eastAsia="zh-CN" w:bidi="ar-SA"/>
        </w:rPr>
        <w:t>第一节 供货范围</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527CEF45">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455" w:name="_Toc25761"/>
      <w:bookmarkStart w:id="456" w:name="_Toc18305"/>
      <w:bookmarkStart w:id="457" w:name="_Toc17608"/>
      <w:bookmarkStart w:id="458" w:name="_Toc4815"/>
      <w:bookmarkStart w:id="459" w:name="_Toc6385"/>
      <w:bookmarkStart w:id="460" w:name="_Toc21071"/>
      <w:bookmarkStart w:id="461" w:name="_Toc5149"/>
      <w:bookmarkStart w:id="462" w:name="_Toc28468"/>
      <w:bookmarkStart w:id="463" w:name="_Toc14137"/>
      <w:bookmarkStart w:id="464" w:name="_Toc13760"/>
      <w:bookmarkStart w:id="465" w:name="_Toc272"/>
      <w:bookmarkStart w:id="466" w:name="_Toc29417"/>
      <w:bookmarkStart w:id="467" w:name="_Toc9769"/>
      <w:bookmarkStart w:id="468" w:name="_Toc17678"/>
      <w:bookmarkStart w:id="469" w:name="_Toc18228"/>
      <w:bookmarkStart w:id="470" w:name="_Toc73112405"/>
      <w:bookmarkStart w:id="471" w:name="_Toc4850"/>
      <w:bookmarkStart w:id="472" w:name="_Toc14280"/>
      <w:bookmarkStart w:id="473" w:name="_Toc17029"/>
      <w:bookmarkStart w:id="474" w:name="_Toc15878"/>
      <w:r>
        <w:rPr>
          <w:rFonts w:hint="default" w:ascii="Times New Roman" w:hAnsi="Times New Roman" w:eastAsia="宋体" w:cs="Times New Roman"/>
          <w:b/>
          <w:bCs/>
          <w:color w:val="auto"/>
          <w:sz w:val="24"/>
          <w:szCs w:val="24"/>
          <w:highlight w:val="none"/>
        </w:rPr>
        <w:t>1主要供货范围</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5206468">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 招标方只提供所需厂房、货物（或生产线）的基本砼基础，如不满足项目需求，由投标方负责进行建设。</w:t>
      </w:r>
    </w:p>
    <w:p w14:paraId="629F3472">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1.2 招标方只负责提供符合本技术标书中“采购货物概况”和“使用环境”章节所列明品质的电力、自来水、压缩空气、蒸汽、天然气（或煤气）管线至车间接口,投标方负责从车间接口到项目系统的对接。</w:t>
      </w:r>
    </w:p>
    <w:p w14:paraId="4C6E131A">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1.3 投标方应提供包括货物（或生产线）正常运行所必需的全套连线设备、材料等；如：联接法兰外端面（含联接螺栓）之内的、电气系统接口压线板（插座等）之内的设备、材料等；</w:t>
      </w:r>
    </w:p>
    <w:p w14:paraId="5765F478">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1.4 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7C2CC334">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1.5 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258200C7">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1.6 投标方应提供包括为保证货物（或生产线）自身正常运行所必需的、适应使用地点条件的通风、冷却、降温系统等。</w:t>
      </w:r>
    </w:p>
    <w:p w14:paraId="533182B0">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1.7 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123A972D">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1.8 投标方应提供货物（或生产线）维修所必需的专用工具，并在投标报价部分说明数量。</w:t>
      </w:r>
    </w:p>
    <w:p w14:paraId="3CDB1625">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475" w:name="_Toc20059"/>
      <w:bookmarkStart w:id="476" w:name="_Toc30004"/>
      <w:bookmarkStart w:id="477" w:name="_Toc31685"/>
      <w:bookmarkStart w:id="478" w:name="_Toc19187"/>
      <w:bookmarkStart w:id="479" w:name="_Toc30087"/>
      <w:bookmarkStart w:id="480" w:name="_Toc6916"/>
      <w:bookmarkStart w:id="481" w:name="_Toc25570"/>
      <w:bookmarkStart w:id="482" w:name="_Toc3726"/>
      <w:bookmarkStart w:id="483" w:name="_Toc11531"/>
      <w:bookmarkStart w:id="484" w:name="_Toc434"/>
      <w:bookmarkStart w:id="485" w:name="_Toc31074"/>
      <w:bookmarkStart w:id="486" w:name="_Toc8330"/>
      <w:bookmarkStart w:id="487" w:name="_Toc10027"/>
      <w:bookmarkStart w:id="488" w:name="_Toc10211"/>
      <w:bookmarkStart w:id="489" w:name="_Toc31723"/>
      <w:bookmarkStart w:id="490" w:name="_Toc2744"/>
      <w:bookmarkStart w:id="491" w:name="_Toc18018"/>
      <w:bookmarkStart w:id="492" w:name="_Toc5521"/>
      <w:bookmarkStart w:id="493" w:name="_Toc73112406"/>
      <w:bookmarkStart w:id="494" w:name="_Toc29389"/>
      <w:r>
        <w:rPr>
          <w:rFonts w:hint="default" w:ascii="Times New Roman" w:hAnsi="Times New Roman" w:eastAsia="宋体" w:cs="Times New Roman"/>
          <w:b/>
          <w:bCs/>
          <w:color w:val="auto"/>
          <w:sz w:val="24"/>
          <w:szCs w:val="24"/>
          <w:highlight w:val="none"/>
        </w:rPr>
        <w:t>2备品备件、易损件和专用耗材供货范围</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D2C5C6D">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2.1 招标方招标文件所指备品备件、易损件和专用耗材，是招标方为保证货物（或生产线）质保期之后正常运行一年所自备自用的备品备件、易损件和专用耗材。</w:t>
      </w:r>
    </w:p>
    <w:p w14:paraId="5A0AE395">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2.2 投标方按照招标文件要求提供、或投标方认为招标方应当储备的备品备件、易损件和专用耗材，投标方应当在投标报价部分分别说明所列备品备件、易损件和专用耗材的使用时间。</w:t>
      </w:r>
    </w:p>
    <w:p w14:paraId="1A7DA287">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2.3 投标方应提供易损件和专用耗材的制造图纸及其技术要求等资料。</w:t>
      </w:r>
    </w:p>
    <w:p w14:paraId="78D72B14">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2.4 投标文件中，应当有备品备件、易损件和专用耗材的详细清单（内容包括名称、型号、规格、单位、数量、品牌、生产厂家、单价、总价、重汽折扣价等）。机床和机器人的主要参数、配置表、关键件和进口外购明细表、随机附明细表、技术文件明细表等。</w:t>
      </w:r>
    </w:p>
    <w:p w14:paraId="7E0835F9">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2.5 备品备件、易损件和专用耗材的费用应分类单列，并计入投标总报价之内。</w:t>
      </w:r>
    </w:p>
    <w:p w14:paraId="4471302E">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495" w:name="_Toc20956"/>
      <w:bookmarkStart w:id="496" w:name="_Toc13573"/>
      <w:bookmarkStart w:id="497" w:name="_Toc73112407"/>
      <w:bookmarkStart w:id="498" w:name="_Toc29028"/>
      <w:bookmarkStart w:id="499" w:name="_Toc23668"/>
      <w:bookmarkStart w:id="500" w:name="_Toc14387"/>
      <w:bookmarkStart w:id="501" w:name="_Toc27176"/>
      <w:bookmarkStart w:id="502" w:name="_Toc8769"/>
      <w:bookmarkStart w:id="503" w:name="_Toc30460"/>
      <w:bookmarkStart w:id="504" w:name="_Toc26974"/>
      <w:bookmarkStart w:id="505" w:name="_Toc29622"/>
      <w:bookmarkStart w:id="506" w:name="_Toc8994"/>
      <w:bookmarkStart w:id="507" w:name="_Toc253"/>
      <w:bookmarkStart w:id="508" w:name="_Toc11396"/>
      <w:bookmarkStart w:id="509" w:name="_Toc30333"/>
      <w:bookmarkStart w:id="510" w:name="_Toc30185"/>
      <w:bookmarkStart w:id="511" w:name="_Toc21438"/>
      <w:bookmarkStart w:id="512" w:name="_Toc19082"/>
      <w:bookmarkStart w:id="513" w:name="_Toc6474"/>
      <w:bookmarkStart w:id="514" w:name="_Toc29526"/>
      <w:r>
        <w:rPr>
          <w:rFonts w:hint="default" w:ascii="Times New Roman" w:hAnsi="Times New Roman" w:eastAsia="宋体" w:cs="Times New Roman"/>
          <w:b/>
          <w:bCs/>
          <w:color w:val="auto"/>
          <w:sz w:val="24"/>
          <w:szCs w:val="24"/>
          <w:highlight w:val="none"/>
        </w:rPr>
        <w:t>3技术资料供货范围</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CADAABF">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bookmarkStart w:id="515" w:name="_Toc133783972"/>
      <w:r>
        <w:rPr>
          <w:rFonts w:hint="default" w:ascii="Times New Roman" w:hAnsi="Times New Roman" w:eastAsia="宋体" w:cs="Times New Roman"/>
          <w:color w:val="auto"/>
          <w:kern w:val="0"/>
          <w:sz w:val="24"/>
          <w:szCs w:val="24"/>
          <w:highlight w:val="none"/>
          <w:lang w:val="en-US" w:eastAsia="zh-CN" w:bidi="ar-SA"/>
        </w:rPr>
        <w:t>技术资料（进口设备要求中英文对照）包括：</w:t>
      </w:r>
    </w:p>
    <w:p w14:paraId="7F21764D">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 设备安全操作规程和使用手册；</w:t>
      </w:r>
    </w:p>
    <w:p w14:paraId="02D74173">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 PLC编程手册和使用手册；</w:t>
      </w:r>
    </w:p>
    <w:p w14:paraId="1B3499AE">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3.3 维修手册及保养手册；</w:t>
      </w:r>
    </w:p>
    <w:p w14:paraId="085BA5DC">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3.4 液压原理图（含动作顺序表）、气动原理图（含动作顺序表）、润滑原理图、电气原理图、电器接线图、电气元件分布图、梯形图（带中文注释）；</w:t>
      </w:r>
    </w:p>
    <w:p w14:paraId="755254A2">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3.5 总装配图和主要部件的装配图，全部自制零件正规图纸，提供机床所有零件的明细表，零件号与装配图应一一对应，且能方便地查找零件在装配图上的位置。提供关键件、易损件零件图。</w:t>
      </w:r>
    </w:p>
    <w:p w14:paraId="771F8DE4">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3.6 采购部件提供正规装配图及零件明细;标准件提供明细（包括型号、规格、部位、数量、制造厂家）并与装配图一一对应；提供关键件，易损件明细。</w:t>
      </w:r>
    </w:p>
    <w:p w14:paraId="64847F62">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3.7 提供所有电气元件，液压元件，气动元件，润滑元件明细表（包括型号、规格、部位、数量、制造厂家）。</w:t>
      </w:r>
    </w:p>
    <w:p w14:paraId="76DBC212">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3.8 主要外购装置、外购件的使用指导说明书。</w:t>
      </w:r>
    </w:p>
    <w:p w14:paraId="193DADD8">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3.9 主要零部件、元器件，由投标方负责检验，并提供检验报告。</w:t>
      </w:r>
    </w:p>
    <w:p w14:paraId="3839FC3E">
      <w:pPr>
        <w:snapToGrid w:val="0"/>
        <w:spacing w:line="360" w:lineRule="auto"/>
        <w:ind w:left="6" w:firstLine="47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3.10 应提供设备出厂所必须的具备国际标准或国内标准规定的具备相关计量检定资质单位精度检验证书、性能测试记录和报告。校准（标定）作业指导书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应提供具有测量、检定、校准等功能设备及具备有压力、温度、流量、位移等计量监控要求的计量器具进行检定/校准/标定所用受控标准器具及作业指导书、检定机构名单。</w:t>
      </w:r>
    </w:p>
    <w:p w14:paraId="12427FBB">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3.11 提供设备消耗水、电、气的详细资料。</w:t>
      </w:r>
    </w:p>
    <w:p w14:paraId="0333E5DE">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3.12 保证设备正常运行、维护和保养必需的其他参数和资料。</w:t>
      </w:r>
    </w:p>
    <w:p w14:paraId="173A15F6">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3.13 投标方须负责在合同签订后</w:t>
      </w:r>
      <w:r>
        <w:rPr>
          <w:rFonts w:hint="eastAsia"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en-US" w:eastAsia="zh-CN" w:bidi="ar-SA"/>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25A4D67F">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3.14 投标方须负责在预验收前，提供设备各部分的功能描述文件、图片、影像等资料（进口、设备应有中外文对照）；</w:t>
      </w:r>
    </w:p>
    <w:p w14:paraId="2D1E04DA">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3.15 投标方须负责在终验收前，提供招标方所需全套的工装、模具、吊（挂）具明细及其图纸、具体技术要求等资料；</w:t>
      </w:r>
    </w:p>
    <w:p w14:paraId="749B2DAC">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3.16 投标方须负责在终验收前，提供确定的设备的外购件、外协件、电气元件及主要原材料的供货厂家明细表；</w:t>
      </w:r>
    </w:p>
    <w:p w14:paraId="4AF444B4">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3.17 投标方须负责在设备到达招标方工厂时，与设备一并提供包括设备的备品备件、易损件和专用耗材规定的图纸及技术参数、技术要求等资料；</w:t>
      </w:r>
    </w:p>
    <w:p w14:paraId="12D634F6">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3.18 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0BA11118">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3.19 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244C66C4">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3.20 投标方在设备入场前提供接口的技术文档和参数说明，包括但不限于接口协议、通讯速率、数据格式等。 </w:t>
      </w:r>
    </w:p>
    <w:p w14:paraId="33C9993D">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3.21 本“技术资料范围”所列的技术资料、图片、影像等，投标方应各提供</w:t>
      </w:r>
      <w:r>
        <w:rPr>
          <w:rFonts w:hint="default" w:ascii="Times New Roman" w:hAnsi="Times New Roman" w:eastAsia="宋体" w:cs="Times New Roman"/>
          <w:color w:val="auto"/>
          <w:kern w:val="0"/>
          <w:sz w:val="24"/>
          <w:szCs w:val="24"/>
          <w:highlight w:val="none"/>
          <w:shd w:val="pct10" w:color="auto" w:fill="FFFFFF"/>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套，其中</w:t>
      </w:r>
      <w:r>
        <w:rPr>
          <w:rFonts w:hint="default" w:ascii="Times New Roman" w:hAnsi="Times New Roman" w:eastAsia="宋体" w:cs="Times New Roman"/>
          <w:color w:val="auto"/>
          <w:kern w:val="0"/>
          <w:sz w:val="24"/>
          <w:szCs w:val="24"/>
          <w:highlight w:val="none"/>
          <w:shd w:val="pct10" w:color="auto" w:fill="FFFFFF"/>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套为电子版U盘，2套为装订成册的纸质版；每份技术文件应装有目录清单；</w:t>
      </w:r>
    </w:p>
    <w:p w14:paraId="7A8D03E7">
      <w:pPr>
        <w:widowControl w:val="0"/>
        <w:snapToGrid w:val="0"/>
        <w:spacing w:line="360" w:lineRule="auto"/>
        <w:ind w:left="6" w:firstLine="474" w:firstLineChars="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3.22 本“技术资料范围”所列要求，如招标方认为投标方提供的资料不能满足要求时，有权要求投标方补充或增加。</w:t>
      </w:r>
    </w:p>
    <w:p w14:paraId="7D81BBEE">
      <w:pPr>
        <w:adjustRightInd w:val="0"/>
        <w:snapToGrid w:val="0"/>
        <w:spacing w:before="163" w:beforeLines="50" w:after="163" w:afterLines="50" w:line="360" w:lineRule="auto"/>
        <w:jc w:val="center"/>
        <w:outlineLvl w:val="1"/>
        <w:rPr>
          <w:rFonts w:hint="default" w:ascii="Times New Roman" w:hAnsi="Times New Roman" w:eastAsia="宋体" w:cs="Times New Roman"/>
          <w:b w:val="0"/>
          <w:bCs w:val="0"/>
          <w:color w:val="auto"/>
          <w:sz w:val="24"/>
          <w:szCs w:val="24"/>
          <w:highlight w:val="none"/>
        </w:rPr>
      </w:pPr>
      <w:bookmarkStart w:id="516" w:name="_Toc19194"/>
      <w:bookmarkStart w:id="517" w:name="_Toc17572"/>
      <w:bookmarkStart w:id="518" w:name="_Toc603"/>
      <w:bookmarkStart w:id="519" w:name="_Toc1897"/>
      <w:bookmarkStart w:id="520" w:name="_Toc4183"/>
      <w:bookmarkStart w:id="521" w:name="_Toc4601"/>
      <w:bookmarkStart w:id="522" w:name="_Toc29107"/>
      <w:bookmarkStart w:id="523" w:name="_Toc4676"/>
      <w:bookmarkStart w:id="524" w:name="_Toc3580"/>
      <w:bookmarkStart w:id="525" w:name="_Toc11851"/>
      <w:bookmarkStart w:id="526" w:name="_Toc10692"/>
      <w:bookmarkStart w:id="527" w:name="_Toc16163"/>
      <w:bookmarkStart w:id="528" w:name="_Toc17660"/>
      <w:bookmarkStart w:id="529" w:name="_Toc8309"/>
      <w:bookmarkStart w:id="530" w:name="_Toc24898"/>
      <w:bookmarkStart w:id="531" w:name="_Toc30635"/>
      <w:bookmarkStart w:id="532" w:name="_Toc20754"/>
      <w:bookmarkStart w:id="533" w:name="_Toc18118"/>
      <w:bookmarkStart w:id="534" w:name="_Toc23856"/>
      <w:bookmarkStart w:id="535" w:name="_Toc73112408"/>
      <w:bookmarkStart w:id="536" w:name="_Toc12288"/>
      <w:bookmarkStart w:id="537" w:name="_Toc27636"/>
      <w:bookmarkStart w:id="538" w:name="_Toc81"/>
      <w:bookmarkStart w:id="539" w:name="_Toc15671"/>
      <w:bookmarkStart w:id="540" w:name="_Toc21360"/>
      <w:bookmarkStart w:id="541" w:name="_Toc11837"/>
      <w:bookmarkStart w:id="542" w:name="_Toc32724"/>
      <w:bookmarkStart w:id="543" w:name="_Toc16689"/>
      <w:bookmarkStart w:id="544" w:name="_Toc15620"/>
      <w:bookmarkStart w:id="545" w:name="_Toc13201"/>
      <w:bookmarkStart w:id="546" w:name="_Toc6313"/>
      <w:bookmarkStart w:id="547" w:name="_Toc5634"/>
      <w:bookmarkStart w:id="548" w:name="_Toc25983"/>
      <w:bookmarkStart w:id="549" w:name="_Toc4381"/>
      <w:bookmarkStart w:id="550" w:name="_Toc18839"/>
      <w:bookmarkStart w:id="551" w:name="_Toc29792"/>
      <w:bookmarkStart w:id="552" w:name="_Toc23025"/>
      <w:bookmarkStart w:id="553" w:name="_Toc1998"/>
      <w:bookmarkStart w:id="554" w:name="_Toc17613"/>
      <w:bookmarkStart w:id="555" w:name="_Toc3548"/>
      <w:bookmarkStart w:id="556" w:name="_Toc27960"/>
      <w:bookmarkStart w:id="557" w:name="_Toc22358"/>
      <w:bookmarkStart w:id="558" w:name="_Toc18492"/>
      <w:r>
        <w:rPr>
          <w:rFonts w:hint="default" w:ascii="Times New Roman" w:hAnsi="Times New Roman" w:eastAsia="宋体" w:cs="Times New Roman"/>
          <w:b w:val="0"/>
          <w:bCs w:val="0"/>
          <w:color w:val="auto"/>
          <w:sz w:val="24"/>
          <w:szCs w:val="24"/>
          <w:highlight w:val="none"/>
        </w:rPr>
        <w:t>第二节</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供货方式</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217ED8C">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559" w:name="_Toc28534"/>
      <w:bookmarkStart w:id="560" w:name="_Toc28962"/>
      <w:bookmarkStart w:id="561" w:name="_Toc32491"/>
      <w:bookmarkStart w:id="562" w:name="_Toc20263"/>
      <w:bookmarkStart w:id="563" w:name="_Toc4344"/>
      <w:bookmarkStart w:id="564" w:name="_Toc27005"/>
      <w:bookmarkStart w:id="565" w:name="_Toc11533"/>
      <w:bookmarkStart w:id="566" w:name="_Toc22679"/>
      <w:bookmarkStart w:id="567" w:name="_Toc1474"/>
      <w:bookmarkStart w:id="568" w:name="_Toc73112409"/>
      <w:bookmarkStart w:id="569" w:name="_Toc24179"/>
      <w:bookmarkStart w:id="570" w:name="_Toc3032"/>
      <w:bookmarkStart w:id="571" w:name="_Toc28759"/>
      <w:bookmarkStart w:id="572" w:name="_Toc18282"/>
      <w:bookmarkStart w:id="573" w:name="_Toc28360"/>
      <w:bookmarkStart w:id="574" w:name="_Toc19237"/>
      <w:bookmarkStart w:id="575" w:name="_Toc1116"/>
      <w:bookmarkStart w:id="576" w:name="_Toc28222"/>
      <w:bookmarkStart w:id="577" w:name="_Toc10286"/>
      <w:bookmarkStart w:id="578" w:name="_Toc14135"/>
      <w:r>
        <w:rPr>
          <w:rFonts w:hint="default" w:ascii="Times New Roman" w:hAnsi="Times New Roman" w:eastAsia="宋体" w:cs="Times New Roman"/>
          <w:b/>
          <w:bCs/>
          <w:color w:val="auto"/>
          <w:sz w:val="24"/>
          <w:szCs w:val="24"/>
          <w:highlight w:val="none"/>
        </w:rPr>
        <w:t>1供货地点</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2CEED3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本项目建设工地。</w:t>
      </w:r>
    </w:p>
    <w:p w14:paraId="57037410">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579" w:name="_Toc6963"/>
      <w:bookmarkStart w:id="580" w:name="_Toc26178"/>
      <w:bookmarkStart w:id="581" w:name="_Toc6707"/>
      <w:bookmarkStart w:id="582" w:name="_Toc4215"/>
      <w:bookmarkStart w:id="583" w:name="_Toc22044"/>
      <w:bookmarkStart w:id="584" w:name="_Toc20257"/>
      <w:bookmarkStart w:id="585" w:name="_Toc531"/>
      <w:bookmarkStart w:id="586" w:name="_Toc73112410"/>
      <w:bookmarkStart w:id="587" w:name="_Toc11152"/>
      <w:bookmarkStart w:id="588" w:name="_Toc27724"/>
      <w:bookmarkStart w:id="589" w:name="_Toc31657"/>
      <w:bookmarkStart w:id="590" w:name="_Toc27558"/>
      <w:bookmarkStart w:id="591" w:name="_Toc11086"/>
      <w:bookmarkStart w:id="592" w:name="_Toc8043"/>
      <w:bookmarkStart w:id="593" w:name="_Toc5862"/>
      <w:bookmarkStart w:id="594" w:name="_Toc30858"/>
      <w:bookmarkStart w:id="595" w:name="_Toc9856"/>
      <w:bookmarkStart w:id="596" w:name="_Toc21521"/>
      <w:bookmarkStart w:id="597" w:name="_Toc2280"/>
      <w:bookmarkStart w:id="598" w:name="_Toc26611"/>
      <w:r>
        <w:rPr>
          <w:rFonts w:hint="default" w:ascii="Times New Roman" w:hAnsi="Times New Roman" w:eastAsia="宋体" w:cs="Times New Roman"/>
          <w:b/>
          <w:bCs/>
          <w:color w:val="auto"/>
          <w:sz w:val="24"/>
          <w:szCs w:val="24"/>
          <w:highlight w:val="none"/>
        </w:rPr>
        <w:t>2供货时间</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293B329E">
      <w:pPr>
        <w:snapToGrid w:val="0"/>
        <w:spacing w:line="360" w:lineRule="auto"/>
        <w:ind w:firstLine="480" w:firstLineChars="200"/>
        <w:jc w:val="left"/>
        <w:rPr>
          <w:rFonts w:hint="default" w:ascii="Times New Roman" w:hAnsi="Times New Roman" w:eastAsia="宋体" w:cs="Times New Roman"/>
          <w:strike/>
          <w:color w:val="auto"/>
          <w:sz w:val="24"/>
          <w:szCs w:val="24"/>
          <w:highlight w:val="none"/>
        </w:rPr>
      </w:pPr>
      <w:r>
        <w:rPr>
          <w:rFonts w:hint="default" w:ascii="Times New Roman" w:hAnsi="Times New Roman" w:eastAsia="宋体" w:cs="Times New Roman"/>
          <w:color w:val="auto"/>
          <w:sz w:val="24"/>
          <w:szCs w:val="24"/>
          <w:highlight w:val="none"/>
        </w:rPr>
        <w:t>2.1投标方应自</w:t>
      </w:r>
      <w:r>
        <w:rPr>
          <w:rFonts w:hint="eastAsia" w:ascii="Times New Roman" w:hAnsi="Times New Roman" w:eastAsia="宋体" w:cs="Times New Roman"/>
          <w:color w:val="auto"/>
          <w:sz w:val="24"/>
          <w:szCs w:val="24"/>
          <w:highlight w:val="none"/>
          <w:lang w:val="en-US" w:eastAsia="zh-CN"/>
        </w:rPr>
        <w:t>签订合同</w:t>
      </w:r>
      <w:r>
        <w:rPr>
          <w:rFonts w:hint="default" w:ascii="Times New Roman" w:hAnsi="Times New Roman" w:eastAsia="宋体" w:cs="Times New Roman"/>
          <w:color w:val="auto"/>
          <w:sz w:val="24"/>
          <w:szCs w:val="24"/>
          <w:highlight w:val="none"/>
        </w:rPr>
        <w:t>后，</w:t>
      </w:r>
      <w:r>
        <w:rPr>
          <w:rFonts w:hint="eastAsia" w:ascii="Times New Roman" w:hAnsi="Times New Roman" w:eastAsia="宋体" w:cs="Times New Roman"/>
          <w:color w:val="auto"/>
          <w:sz w:val="24"/>
          <w:szCs w:val="24"/>
          <w:highlight w:val="none"/>
          <w:u w:val="single"/>
          <w:lang w:val="en-US" w:eastAsia="zh-CN"/>
        </w:rPr>
        <w:t>85个</w:t>
      </w:r>
      <w:r>
        <w:rPr>
          <w:rFonts w:hint="default" w:ascii="Times New Roman" w:hAnsi="Times New Roman" w:eastAsia="宋体" w:cs="Times New Roman"/>
          <w:color w:val="auto"/>
          <w:sz w:val="24"/>
          <w:szCs w:val="24"/>
          <w:highlight w:val="none"/>
        </w:rPr>
        <w:t>日历日之内交货至供货地点。</w:t>
      </w:r>
    </w:p>
    <w:p w14:paraId="0D9D7F01">
      <w:pPr>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2.2连续</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shd w:val="pct10" w:color="auto" w:fill="FFFFFF"/>
          <w:lang w:val="en-US" w:eastAsia="zh-CN"/>
        </w:rPr>
        <w:t>20</w:t>
      </w:r>
      <w:r>
        <w:rPr>
          <w:rFonts w:hint="default" w:ascii="Times New Roman" w:hAnsi="Times New Roman" w:eastAsia="宋体" w:cs="Times New Roman"/>
          <w:color w:val="auto"/>
          <w:sz w:val="24"/>
          <w:szCs w:val="24"/>
          <w:highlight w:val="none"/>
        </w:rPr>
        <w:t>个日历日之内安装调试完毕；</w:t>
      </w:r>
    </w:p>
    <w:p w14:paraId="5C08DB8E">
      <w:pPr>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必要时，投标方应当提供详细的工期计划。</w:t>
      </w:r>
    </w:p>
    <w:p w14:paraId="784B2915">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599" w:name="_Toc9507"/>
      <w:bookmarkStart w:id="600" w:name="_Toc8419"/>
      <w:bookmarkStart w:id="601" w:name="_Toc16960"/>
      <w:bookmarkStart w:id="602" w:name="_Toc18153"/>
      <w:bookmarkStart w:id="603" w:name="_Toc22617"/>
      <w:bookmarkStart w:id="604" w:name="_Toc29786"/>
      <w:bookmarkStart w:id="605" w:name="_Toc4431"/>
      <w:bookmarkStart w:id="606" w:name="_Toc30983"/>
      <w:bookmarkStart w:id="607" w:name="_Toc73112411"/>
      <w:bookmarkStart w:id="608" w:name="_Toc22968"/>
      <w:bookmarkStart w:id="609" w:name="_Toc8193"/>
      <w:bookmarkStart w:id="610" w:name="_Toc18845"/>
      <w:bookmarkStart w:id="611" w:name="_Toc24587"/>
      <w:bookmarkStart w:id="612" w:name="_Toc17351"/>
      <w:bookmarkStart w:id="613" w:name="_Toc31485"/>
      <w:bookmarkStart w:id="614" w:name="_Toc22394"/>
      <w:bookmarkStart w:id="615" w:name="_Toc11749"/>
      <w:bookmarkStart w:id="616" w:name="_Toc17489"/>
      <w:bookmarkStart w:id="617" w:name="_Toc5288"/>
      <w:bookmarkStart w:id="618" w:name="_Toc23122"/>
      <w:r>
        <w:rPr>
          <w:rFonts w:hint="default" w:ascii="Times New Roman" w:hAnsi="Times New Roman" w:eastAsia="宋体" w:cs="Times New Roman"/>
          <w:b/>
          <w:bCs/>
          <w:color w:val="auto"/>
          <w:sz w:val="24"/>
          <w:szCs w:val="24"/>
          <w:highlight w:val="none"/>
        </w:rPr>
        <w:t>3质保期</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62549BD3">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3.1投标方所提供货物（或生产线）涉及的全部供货范围内的设备、材料、零配件和工器具等，除合同特别约定外，其质保期均自终验收签字生效之日起</w:t>
      </w:r>
      <w:r>
        <w:rPr>
          <w:rFonts w:hint="default" w:ascii="Times New Roman" w:hAnsi="Times New Roman" w:eastAsia="宋体" w:cs="Times New Roman"/>
          <w:color w:val="auto"/>
          <w:sz w:val="24"/>
          <w:szCs w:val="24"/>
          <w:highlight w:val="none"/>
          <w:u w:val="single"/>
          <w:shd w:val="pct10" w:color="auto" w:fill="FFFFFF"/>
        </w:rPr>
        <w:t>12</w:t>
      </w:r>
      <w:r>
        <w:rPr>
          <w:rFonts w:hint="default" w:ascii="Times New Roman" w:hAnsi="Times New Roman" w:eastAsia="宋体" w:cs="Times New Roman"/>
          <w:color w:val="auto"/>
          <w:sz w:val="24"/>
          <w:szCs w:val="24"/>
          <w:highlight w:val="none"/>
        </w:rPr>
        <w:t>个月。</w:t>
      </w:r>
    </w:p>
    <w:p w14:paraId="76CCECFE">
      <w:pPr>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3.2质保期之内，如果货物（或生产线）出现关键设备、总成、零部件或者多处一般设备、总成、零部件的更换或维修行为，则质保期自更换或维修行为结束、货物（或生产线）能够正常运行使用之日起重新计算。</w:t>
      </w:r>
    </w:p>
    <w:p w14:paraId="13881DB9">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619" w:name="_Toc426"/>
      <w:bookmarkStart w:id="620" w:name="_Toc17320"/>
      <w:bookmarkStart w:id="621" w:name="_Toc21555"/>
      <w:bookmarkStart w:id="622" w:name="_Toc27080"/>
      <w:bookmarkStart w:id="623" w:name="_Toc5126"/>
      <w:bookmarkStart w:id="624" w:name="_Toc14622"/>
      <w:bookmarkStart w:id="625" w:name="_Toc28907"/>
      <w:bookmarkStart w:id="626" w:name="_Toc27377"/>
      <w:bookmarkStart w:id="627" w:name="_Toc27729"/>
      <w:bookmarkStart w:id="628" w:name="_Toc29090"/>
      <w:bookmarkStart w:id="629" w:name="_Toc16664"/>
      <w:bookmarkStart w:id="630" w:name="_Toc21924"/>
      <w:bookmarkStart w:id="631" w:name="_Toc16381"/>
      <w:bookmarkStart w:id="632" w:name="_Toc10272"/>
      <w:bookmarkStart w:id="633" w:name="_Toc12791"/>
      <w:bookmarkStart w:id="634" w:name="_Toc20400"/>
      <w:bookmarkStart w:id="635" w:name="_Toc73112412"/>
      <w:bookmarkStart w:id="636" w:name="_Toc26040"/>
      <w:bookmarkStart w:id="637" w:name="_Toc20248"/>
      <w:bookmarkStart w:id="638" w:name="_Toc19011"/>
      <w:r>
        <w:rPr>
          <w:rFonts w:hint="default" w:ascii="Times New Roman" w:hAnsi="Times New Roman" w:eastAsia="宋体" w:cs="Times New Roman"/>
          <w:b/>
          <w:bCs/>
          <w:color w:val="auto"/>
          <w:sz w:val="24"/>
          <w:szCs w:val="24"/>
          <w:highlight w:val="none"/>
        </w:rPr>
        <w:t>4包装</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93EC215">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4.1投标方所提供货物（或设备）的包装，应遵照国家标准和有关包装、包皮的技术条件，或按照最好的商业惯例进行包装。</w:t>
      </w:r>
    </w:p>
    <w:p w14:paraId="356371A7">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4.2包装应能满足所需要采取的运输方式（船运、汽运或铁路运输）、多次吊装卸装、卸货以及长期露天堆放要求，应能防止雨淋、受潮、生锈、腐蚀、受振、受磁以及机械和化学因素等引起的损坏。</w:t>
      </w:r>
    </w:p>
    <w:p w14:paraId="3F135B50">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4.3投标方所提供货物（或设备）的包装，应能防止其一般性被窃或受外力破坏；一般不得采用有大缝隙的板条包装。</w:t>
      </w:r>
    </w:p>
    <w:p w14:paraId="2B28C991">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4.4投标方应对包装件做必要的加固和固定等防护措施，以防止运输可能造成的损坏。</w:t>
      </w:r>
    </w:p>
    <w:p w14:paraId="15A8F63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4.5每个包装件应有装箱单，并至少标明名称、型号规格、数量、净重和毛重、投标方（或供货商）名称和制造日期等相关内容。</w:t>
      </w:r>
    </w:p>
    <w:p w14:paraId="77F887A6">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4.6每个包装箱应有明显标志，并具有中文书写的合同号、装运标志、发货和到货地点名称、发货人和收货人名称、货物（或生产线）名称和项目号、箱号和外型尺寸等内容。</w:t>
      </w:r>
    </w:p>
    <w:p w14:paraId="25F1E9BF">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4.7投标方还应按照不同的装运要求在包装箱上标明“小心轻放”、“箭头向上”、“防潮”、“防磁”、“不准平放”等标志，以及其它适用的国标通用标志。</w:t>
      </w:r>
    </w:p>
    <w:p w14:paraId="3E177613">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4.8包装箱应连续编号，不应出现重复编号。</w:t>
      </w:r>
    </w:p>
    <w:p w14:paraId="4B73637E">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4.9在不受到外界破坏情况下，包装应保证自交货日起一年内货物（或设备）完好无损。</w:t>
      </w:r>
    </w:p>
    <w:p w14:paraId="24CE2DEE">
      <w:pPr>
        <w:snapToGrid w:val="0"/>
        <w:spacing w:line="360" w:lineRule="auto"/>
        <w:ind w:left="480"/>
        <w:outlineLvl w:val="2"/>
        <w:rPr>
          <w:rFonts w:hint="default" w:ascii="Times New Roman" w:hAnsi="Times New Roman" w:eastAsia="宋体" w:cs="Times New Roman"/>
          <w:b/>
          <w:bCs/>
          <w:color w:val="auto"/>
          <w:sz w:val="24"/>
          <w:szCs w:val="24"/>
          <w:highlight w:val="none"/>
        </w:rPr>
      </w:pPr>
      <w:bookmarkStart w:id="639" w:name="_Toc21308"/>
      <w:bookmarkStart w:id="640" w:name="_Toc17881"/>
      <w:bookmarkStart w:id="641" w:name="_Toc8"/>
      <w:bookmarkStart w:id="642" w:name="_Toc21886"/>
      <w:bookmarkStart w:id="643" w:name="_Toc25305"/>
      <w:bookmarkStart w:id="644" w:name="_Toc22992"/>
      <w:bookmarkStart w:id="645" w:name="_Toc26302"/>
      <w:bookmarkStart w:id="646" w:name="_Toc7889"/>
      <w:bookmarkStart w:id="647" w:name="_Toc22792"/>
      <w:bookmarkStart w:id="648" w:name="_Toc20536"/>
      <w:bookmarkStart w:id="649" w:name="_Toc73112413"/>
      <w:bookmarkStart w:id="650" w:name="_Toc17990"/>
      <w:bookmarkStart w:id="651" w:name="_Toc32266"/>
      <w:bookmarkStart w:id="652" w:name="_Toc22949"/>
      <w:bookmarkStart w:id="653" w:name="_Toc5373"/>
      <w:bookmarkStart w:id="654" w:name="_Toc7046"/>
      <w:bookmarkStart w:id="655" w:name="_Toc1857"/>
      <w:bookmarkStart w:id="656" w:name="_Toc4346"/>
      <w:bookmarkStart w:id="657" w:name="_Toc23221"/>
      <w:bookmarkStart w:id="658" w:name="_Toc31538"/>
      <w:r>
        <w:rPr>
          <w:rFonts w:hint="default" w:ascii="Times New Roman" w:hAnsi="Times New Roman" w:eastAsia="宋体" w:cs="Times New Roman"/>
          <w:b/>
          <w:bCs/>
          <w:color w:val="auto"/>
          <w:sz w:val="24"/>
          <w:szCs w:val="24"/>
          <w:highlight w:val="none"/>
        </w:rPr>
        <w:t>5运输</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EFFE072">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5.1投标方应负责将货物（或设备）运到目的地，并必须做到货物（或设备）在任何运输过程中不受损坏和遗失</w:t>
      </w:r>
    </w:p>
    <w:p w14:paraId="38863DE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5.2同批货物（或设备）应统一包装、编号运输。</w:t>
      </w:r>
    </w:p>
    <w:p w14:paraId="55A6BC5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5.3一般情况下，经由铁路、公路运输的包装件尺寸和重量不应超过国家所规定的尺寸限制。特殊情况应予以说明。</w:t>
      </w:r>
    </w:p>
    <w:p w14:paraId="4690692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5.4在每批货物（或设备）发出后，投标方应立即通知招标方；通知中应指明：合同号、货运单号、件数、重量和货物（或设备）发出日期等相关内容。</w:t>
      </w:r>
    </w:p>
    <w:p w14:paraId="2243F332">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5.5货物（或设备）运抵招标方现场后，投标方应负责货物（或设备）的卸货、搬运、保管等事宜；或按照合同约定。</w:t>
      </w:r>
      <w:bookmarkStart w:id="659" w:name="_Toc133783973"/>
    </w:p>
    <w:p w14:paraId="43EDBCD1">
      <w:pPr>
        <w:adjustRightInd w:val="0"/>
        <w:snapToGrid w:val="0"/>
        <w:spacing w:before="163" w:beforeLines="50" w:after="163" w:afterLines="50" w:line="360" w:lineRule="auto"/>
        <w:jc w:val="center"/>
        <w:outlineLvl w:val="0"/>
        <w:rPr>
          <w:rFonts w:hint="default" w:ascii="Times New Roman" w:hAnsi="Times New Roman" w:eastAsia="宋体" w:cs="Times New Roman"/>
          <w:b/>
          <w:bCs/>
          <w:color w:val="auto"/>
          <w:sz w:val="24"/>
          <w:szCs w:val="24"/>
          <w:highlight w:val="none"/>
        </w:rPr>
      </w:pPr>
      <w:bookmarkStart w:id="660" w:name="_Toc25780"/>
      <w:bookmarkStart w:id="661" w:name="_Toc12021"/>
      <w:bookmarkStart w:id="662" w:name="_Toc24978"/>
      <w:bookmarkStart w:id="663" w:name="_Toc32280"/>
      <w:bookmarkStart w:id="664" w:name="_Toc2668"/>
      <w:bookmarkStart w:id="665" w:name="_Toc13927"/>
      <w:bookmarkStart w:id="666" w:name="_Toc10894"/>
      <w:bookmarkStart w:id="667" w:name="_Toc28211"/>
      <w:bookmarkStart w:id="668" w:name="_Toc19986"/>
      <w:bookmarkStart w:id="669" w:name="_Toc26671"/>
      <w:bookmarkStart w:id="670" w:name="_Toc73112414"/>
      <w:bookmarkStart w:id="671" w:name="_Toc28164"/>
      <w:bookmarkStart w:id="672" w:name="_Toc7501"/>
      <w:bookmarkStart w:id="673" w:name="_Toc16036"/>
      <w:bookmarkStart w:id="674" w:name="_Toc24415"/>
      <w:bookmarkStart w:id="675" w:name="_Toc9059"/>
      <w:bookmarkStart w:id="676" w:name="_Toc26651"/>
      <w:bookmarkStart w:id="677" w:name="_Toc24397"/>
      <w:bookmarkStart w:id="678" w:name="_Toc14171"/>
      <w:bookmarkStart w:id="679" w:name="_Toc15153"/>
      <w:bookmarkStart w:id="680" w:name="_Toc10676"/>
      <w:bookmarkStart w:id="681" w:name="_Toc7672"/>
      <w:bookmarkStart w:id="682" w:name="_Toc31301"/>
      <w:bookmarkStart w:id="683" w:name="_Toc3739"/>
      <w:bookmarkStart w:id="684" w:name="_Toc14916"/>
      <w:bookmarkStart w:id="685" w:name="_Toc10275"/>
      <w:bookmarkStart w:id="686" w:name="_Toc25044"/>
      <w:bookmarkStart w:id="687" w:name="_Toc14023"/>
      <w:bookmarkStart w:id="688" w:name="_Toc8515"/>
      <w:bookmarkStart w:id="689" w:name="_Toc14414"/>
      <w:bookmarkStart w:id="690" w:name="_Toc25292"/>
      <w:bookmarkStart w:id="691" w:name="_Toc19133"/>
      <w:bookmarkStart w:id="692" w:name="_Toc14862"/>
      <w:bookmarkStart w:id="693" w:name="_Toc27085"/>
      <w:bookmarkStart w:id="694" w:name="_Toc18423"/>
      <w:bookmarkStart w:id="695" w:name="_Toc30607"/>
      <w:bookmarkStart w:id="696" w:name="_Toc22680"/>
      <w:bookmarkStart w:id="697" w:name="_Toc12478"/>
      <w:bookmarkStart w:id="698" w:name="_Toc14229"/>
      <w:bookmarkStart w:id="699" w:name="_Toc23255"/>
      <w:bookmarkStart w:id="700" w:name="_Toc27169"/>
      <w:bookmarkStart w:id="701" w:name="_Toc1740"/>
      <w:bookmarkStart w:id="702" w:name="_Toc29063"/>
      <w:bookmarkStart w:id="703" w:name="_Toc11027"/>
      <w:r>
        <w:rPr>
          <w:rFonts w:hint="default" w:ascii="Times New Roman" w:hAnsi="Times New Roman" w:eastAsia="宋体" w:cs="Times New Roman"/>
          <w:b/>
          <w:bCs/>
          <w:color w:val="auto"/>
          <w:sz w:val="24"/>
          <w:szCs w:val="24"/>
          <w:highlight w:val="none"/>
        </w:rPr>
        <w:t>第四章售中售后服务</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311BBC94">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704" w:name="_Toc19735"/>
      <w:bookmarkStart w:id="705" w:name="_Toc9079"/>
      <w:bookmarkStart w:id="706" w:name="_Toc14199"/>
      <w:bookmarkStart w:id="707" w:name="_Toc788"/>
      <w:bookmarkStart w:id="708" w:name="_Toc25505"/>
      <w:bookmarkStart w:id="709" w:name="_Toc414"/>
      <w:bookmarkStart w:id="710" w:name="_Toc7723"/>
      <w:bookmarkStart w:id="711" w:name="_Toc344"/>
      <w:bookmarkStart w:id="712" w:name="_Toc17645"/>
      <w:bookmarkStart w:id="713" w:name="_Toc27452"/>
      <w:bookmarkStart w:id="714" w:name="_Toc29262"/>
      <w:bookmarkStart w:id="715" w:name="_Toc23493"/>
      <w:bookmarkStart w:id="716" w:name="_Toc4682"/>
      <w:bookmarkStart w:id="717" w:name="_Toc4952"/>
      <w:bookmarkStart w:id="718" w:name="_Toc7036"/>
      <w:bookmarkStart w:id="719" w:name="_Toc20514"/>
      <w:bookmarkStart w:id="720" w:name="_Toc217"/>
      <w:bookmarkStart w:id="721" w:name="_Toc10787"/>
      <w:bookmarkStart w:id="722" w:name="_Toc17832"/>
      <w:bookmarkStart w:id="723" w:name="_Toc8910"/>
      <w:bookmarkStart w:id="724" w:name="_Toc20772"/>
      <w:bookmarkStart w:id="725" w:name="_Toc24654"/>
      <w:bookmarkStart w:id="726" w:name="_Toc2564"/>
      <w:bookmarkStart w:id="727" w:name="_Toc23541"/>
      <w:bookmarkStart w:id="728" w:name="_Toc12793"/>
      <w:bookmarkStart w:id="729" w:name="_Toc4180"/>
      <w:bookmarkStart w:id="730" w:name="_Toc27811"/>
      <w:bookmarkStart w:id="731" w:name="_Toc3697"/>
      <w:bookmarkStart w:id="732" w:name="_Toc28487"/>
      <w:bookmarkStart w:id="733" w:name="_Toc13786"/>
      <w:bookmarkStart w:id="734" w:name="_Toc2661"/>
      <w:bookmarkStart w:id="735" w:name="_Toc29321"/>
      <w:bookmarkStart w:id="736" w:name="_Toc13551"/>
      <w:bookmarkStart w:id="737" w:name="_Toc73112415"/>
      <w:bookmarkStart w:id="738" w:name="_Toc9919"/>
      <w:bookmarkStart w:id="739" w:name="_Toc10791"/>
      <w:bookmarkStart w:id="740" w:name="_Toc16066"/>
      <w:bookmarkStart w:id="741" w:name="_Toc19576"/>
      <w:bookmarkStart w:id="742" w:name="_Toc8465"/>
      <w:bookmarkStart w:id="743" w:name="_Toc18522"/>
      <w:bookmarkStart w:id="744" w:name="_Toc24344"/>
      <w:bookmarkStart w:id="745" w:name="_Toc3722"/>
      <w:bookmarkStart w:id="746" w:name="_Toc23892"/>
      <w:r>
        <w:rPr>
          <w:rFonts w:hint="default" w:ascii="Times New Roman" w:hAnsi="Times New Roman" w:eastAsia="宋体" w:cs="Times New Roman"/>
          <w:b/>
          <w:bCs/>
          <w:color w:val="auto"/>
          <w:sz w:val="24"/>
          <w:szCs w:val="24"/>
          <w:highlight w:val="none"/>
        </w:rPr>
        <w:t>1技术及培训服务</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770BA910">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1.1投标方应负责对招标方不少于</w:t>
      </w:r>
      <w:r>
        <w:rPr>
          <w:rFonts w:hint="default" w:ascii="Times New Roman" w:hAnsi="Times New Roman" w:eastAsia="宋体" w:cs="Times New Roman"/>
          <w:color w:val="auto"/>
          <w:kern w:val="0"/>
          <w:sz w:val="24"/>
          <w:szCs w:val="24"/>
          <w:highlight w:val="none"/>
          <w:u w:val="single"/>
          <w:shd w:val="pct10" w:color="auto" w:fill="FFFFFF"/>
          <w:lang w:val="en-US" w:eastAsia="zh-CN" w:bidi="ar-SA"/>
        </w:rPr>
        <w:t xml:space="preserve"> 5</w:t>
      </w:r>
      <w:r>
        <w:rPr>
          <w:rFonts w:hint="default" w:ascii="Times New Roman" w:hAnsi="Times New Roman" w:eastAsia="宋体" w:cs="Times New Roman"/>
          <w:color w:val="auto"/>
          <w:kern w:val="0"/>
          <w:sz w:val="24"/>
          <w:szCs w:val="24"/>
          <w:highlight w:val="none"/>
          <w:u w:val="single"/>
          <w:lang w:val="en-US" w:eastAsia="zh-CN" w:bidi="ar-SA"/>
        </w:rPr>
        <w:t xml:space="preserve"> </w:t>
      </w:r>
      <w:r>
        <w:rPr>
          <w:rFonts w:hint="default" w:ascii="Times New Roman" w:hAnsi="Times New Roman" w:eastAsia="宋体" w:cs="Times New Roman"/>
          <w:color w:val="auto"/>
          <w:kern w:val="0"/>
          <w:sz w:val="24"/>
          <w:szCs w:val="24"/>
          <w:highlight w:val="none"/>
          <w:lang w:val="en-US" w:eastAsia="zh-CN" w:bidi="ar-SA"/>
        </w:rPr>
        <w:t>名工程技术人员、维修人员和操作人员提供不少于</w:t>
      </w:r>
      <w:r>
        <w:rPr>
          <w:rFonts w:hint="default" w:ascii="Times New Roman" w:hAnsi="Times New Roman" w:eastAsia="宋体" w:cs="Times New Roman"/>
          <w:color w:val="auto"/>
          <w:kern w:val="0"/>
          <w:sz w:val="24"/>
          <w:szCs w:val="24"/>
          <w:highlight w:val="none"/>
          <w:u w:val="single"/>
          <w:shd w:val="pct10" w:color="auto" w:fill="FFFFFF"/>
          <w:lang w:val="en-US" w:eastAsia="zh-CN" w:bidi="ar-SA"/>
        </w:rPr>
        <w:t xml:space="preserve"> 10</w:t>
      </w:r>
      <w:r>
        <w:rPr>
          <w:rFonts w:hint="default" w:ascii="Times New Roman" w:hAnsi="Times New Roman" w:eastAsia="宋体" w:cs="Times New Roman"/>
          <w:color w:val="auto"/>
          <w:kern w:val="0"/>
          <w:sz w:val="24"/>
          <w:szCs w:val="24"/>
          <w:highlight w:val="none"/>
          <w:u w:val="single"/>
          <w:lang w:val="en-US" w:eastAsia="zh-CN" w:bidi="ar-SA"/>
        </w:rPr>
        <w:t xml:space="preserve"> </w:t>
      </w:r>
      <w:r>
        <w:rPr>
          <w:rFonts w:hint="default" w:ascii="Times New Roman" w:hAnsi="Times New Roman" w:eastAsia="宋体" w:cs="Times New Roman"/>
          <w:color w:val="auto"/>
          <w:kern w:val="0"/>
          <w:sz w:val="24"/>
          <w:szCs w:val="24"/>
          <w:highlight w:val="none"/>
          <w:lang w:val="en-US" w:eastAsia="zh-CN" w:bidi="ar-SA"/>
        </w:rPr>
        <w:t>个日历日</w:t>
      </w:r>
      <w:r>
        <w:rPr>
          <w:rFonts w:hint="default" w:ascii="Times New Roman" w:hAnsi="Times New Roman" w:eastAsia="宋体" w:cs="Times New Roman"/>
          <w:strike w:val="0"/>
          <w:dstrike w:val="0"/>
          <w:color w:val="auto"/>
          <w:kern w:val="0"/>
          <w:sz w:val="24"/>
          <w:szCs w:val="24"/>
          <w:highlight w:val="none"/>
          <w:u w:val="none"/>
          <w:lang w:val="en-US" w:eastAsia="zh-CN" w:bidi="ar-SA"/>
        </w:rPr>
        <w:t>时间</w:t>
      </w:r>
      <w:r>
        <w:rPr>
          <w:rFonts w:hint="default" w:ascii="Times New Roman" w:hAnsi="Times New Roman" w:eastAsia="宋体" w:cs="Times New Roman"/>
          <w:color w:val="auto"/>
          <w:kern w:val="0"/>
          <w:sz w:val="24"/>
          <w:szCs w:val="24"/>
          <w:highlight w:val="none"/>
          <w:lang w:val="en-US" w:eastAsia="zh-CN" w:bidi="ar-SA"/>
        </w:rPr>
        <w:t>的免费的、生产制造现场的理论、技术和操作、维修、安全等方面的指导和培训，并为招标方受培训人员提供免费的培训地交通、食宿条件。</w:t>
      </w:r>
    </w:p>
    <w:p w14:paraId="1C4A273B">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1.2投标方应负责在招标方货物（或生产线）使用现场，进行</w:t>
      </w:r>
      <w:r>
        <w:rPr>
          <w:rFonts w:hint="default" w:ascii="Times New Roman" w:hAnsi="Times New Roman" w:eastAsia="宋体" w:cs="Times New Roman"/>
          <w:color w:val="auto"/>
          <w:kern w:val="0"/>
          <w:sz w:val="24"/>
          <w:szCs w:val="24"/>
          <w:highlight w:val="none"/>
          <w:shd w:val="pct10" w:color="auto" w:fill="FFFFFF"/>
          <w:lang w:val="en-US" w:eastAsia="zh-CN" w:bidi="ar-SA"/>
        </w:rPr>
        <w:t>2～3</w:t>
      </w:r>
      <w:r>
        <w:rPr>
          <w:rFonts w:hint="default" w:ascii="Times New Roman" w:hAnsi="Times New Roman" w:eastAsia="宋体" w:cs="Times New Roman"/>
          <w:color w:val="auto"/>
          <w:kern w:val="0"/>
          <w:sz w:val="24"/>
          <w:szCs w:val="24"/>
          <w:highlight w:val="none"/>
          <w:lang w:val="en-US" w:eastAsia="zh-CN" w:bidi="ar-SA"/>
        </w:rPr>
        <w:t>次免费的技术指导和培训，并接受招标方有关人员的技术咨询。</w:t>
      </w:r>
    </w:p>
    <w:p w14:paraId="34719B3D">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1.3投标方应免费提供全套培训资料。所有设备均需要配备产品说明书，包括设备的内部结构、组成及保养、维护、调试等相关内容，便于生产人员及维修人员查阅。</w:t>
      </w:r>
    </w:p>
    <w:p w14:paraId="4909CE05">
      <w:pPr>
        <w:widowControl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1.4投标方应按要求，免费积极协助和提供招标方以及招标方所委托的工程设计单位有关人员所需要的、与货物（或生产线）有关的工程设计资料、技术咨询等。</w:t>
      </w:r>
      <w:r>
        <w:rPr>
          <w:rFonts w:hint="eastAsia" w:ascii="Times New Roman" w:hAnsi="Times New Roman" w:eastAsia="宋体" w:cs="Times New Roman"/>
          <w:color w:val="auto"/>
          <w:kern w:val="0"/>
          <w:sz w:val="24"/>
          <w:szCs w:val="24"/>
          <w:highlight w:val="none"/>
          <w:lang w:val="en-US" w:eastAsia="zh-CN" w:bidi="ar-SA"/>
        </w:rPr>
        <w:t xml:space="preserve"> </w:t>
      </w:r>
    </w:p>
    <w:p w14:paraId="657B1641">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67E49ACD">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6744B35F">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747" w:name="_Toc17516"/>
      <w:bookmarkStart w:id="748" w:name="_Toc11516"/>
      <w:bookmarkStart w:id="749" w:name="_Toc31039"/>
      <w:bookmarkStart w:id="750" w:name="_Toc17865"/>
      <w:bookmarkStart w:id="751" w:name="_Toc26430"/>
      <w:bookmarkStart w:id="752" w:name="_Toc25274"/>
      <w:bookmarkStart w:id="753" w:name="_Toc29981"/>
      <w:bookmarkStart w:id="754" w:name="_Toc1420"/>
      <w:bookmarkStart w:id="755" w:name="_Toc10782"/>
      <w:bookmarkStart w:id="756" w:name="_Toc17849"/>
      <w:bookmarkStart w:id="757" w:name="_Toc3042"/>
      <w:bookmarkStart w:id="758" w:name="_Toc25347"/>
      <w:bookmarkStart w:id="759" w:name="_Toc32690"/>
      <w:bookmarkStart w:id="760" w:name="_Toc16259"/>
      <w:bookmarkStart w:id="761" w:name="_Toc15460"/>
      <w:bookmarkStart w:id="762" w:name="_Toc16867"/>
      <w:bookmarkStart w:id="763" w:name="_Toc5703"/>
      <w:bookmarkStart w:id="764" w:name="_Toc13864"/>
      <w:bookmarkStart w:id="765" w:name="_Toc26880"/>
      <w:bookmarkStart w:id="766" w:name="_Toc3976"/>
      <w:bookmarkStart w:id="767" w:name="_Toc13970"/>
      <w:bookmarkStart w:id="768" w:name="_Toc30271"/>
      <w:bookmarkStart w:id="769" w:name="_Toc14504"/>
      <w:bookmarkStart w:id="770" w:name="_Toc16493"/>
      <w:bookmarkStart w:id="771" w:name="_Toc73112416"/>
      <w:bookmarkStart w:id="772" w:name="_Toc25721"/>
      <w:bookmarkStart w:id="773" w:name="_Toc1176"/>
      <w:bookmarkStart w:id="774" w:name="_Toc13235"/>
      <w:bookmarkStart w:id="775" w:name="_Toc22880"/>
      <w:bookmarkStart w:id="776" w:name="_Toc22719"/>
      <w:bookmarkStart w:id="777" w:name="_Toc21693"/>
      <w:bookmarkStart w:id="778" w:name="_Toc29413"/>
      <w:bookmarkStart w:id="779" w:name="_Toc19866"/>
      <w:bookmarkStart w:id="780" w:name="_Toc15028"/>
      <w:bookmarkStart w:id="781" w:name="_Toc3907"/>
      <w:bookmarkStart w:id="782" w:name="_Toc11060"/>
      <w:bookmarkStart w:id="783" w:name="_Toc3892"/>
      <w:bookmarkStart w:id="784" w:name="_Toc16207"/>
      <w:bookmarkStart w:id="785" w:name="_Toc19800"/>
      <w:bookmarkStart w:id="786" w:name="_Toc9824"/>
      <w:bookmarkStart w:id="787" w:name="_Toc22693"/>
      <w:bookmarkStart w:id="788" w:name="_Toc6394"/>
      <w:r>
        <w:rPr>
          <w:rFonts w:hint="default" w:ascii="Times New Roman" w:hAnsi="Times New Roman" w:eastAsia="宋体" w:cs="Times New Roman"/>
          <w:b/>
          <w:bCs/>
          <w:color w:val="auto"/>
          <w:sz w:val="24"/>
          <w:szCs w:val="24"/>
          <w:highlight w:val="none"/>
        </w:rPr>
        <w:t>2安装调试服务</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52A4B8D">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2.1根据货物（或生产线）的要求，调试可分空载和负载两个阶段进行；招标方将予以积极配合，协助投标方达到货物（或生产线）的各项技术指标和性能要求。</w:t>
      </w:r>
    </w:p>
    <w:p w14:paraId="3BD14CD1">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0E4AE138">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2.3投标方提供收费的或免费的、指导安装调试或负责安装调试，至少应在投标文件的报价章节中，予以明确说明。</w:t>
      </w:r>
    </w:p>
    <w:p w14:paraId="6C1A1A16">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789" w:name="_Toc29126"/>
      <w:bookmarkStart w:id="790" w:name="_Toc12739"/>
      <w:bookmarkStart w:id="791" w:name="_Toc9269"/>
      <w:bookmarkStart w:id="792" w:name="_Toc1565"/>
      <w:bookmarkStart w:id="793" w:name="_Toc19810"/>
      <w:bookmarkStart w:id="794" w:name="_Toc73112417"/>
      <w:bookmarkStart w:id="795" w:name="_Toc8975"/>
      <w:bookmarkStart w:id="796" w:name="_Toc30398"/>
      <w:bookmarkStart w:id="797" w:name="_Toc25079"/>
      <w:bookmarkStart w:id="798" w:name="_Toc16435"/>
      <w:bookmarkStart w:id="799" w:name="_Toc218"/>
      <w:bookmarkStart w:id="800" w:name="_Toc30193"/>
      <w:bookmarkStart w:id="801" w:name="_Toc9878"/>
      <w:bookmarkStart w:id="802" w:name="_Toc13921"/>
      <w:bookmarkStart w:id="803" w:name="_Toc9329"/>
      <w:bookmarkStart w:id="804" w:name="_Toc4751"/>
      <w:bookmarkStart w:id="805" w:name="_Toc32442"/>
      <w:bookmarkStart w:id="806" w:name="_Toc11229"/>
      <w:bookmarkStart w:id="807" w:name="_Toc29125"/>
      <w:bookmarkStart w:id="808" w:name="_Toc1585"/>
      <w:bookmarkStart w:id="809" w:name="_Toc19674"/>
      <w:bookmarkStart w:id="810" w:name="_Toc16337"/>
      <w:bookmarkStart w:id="811" w:name="_Toc13443"/>
      <w:bookmarkStart w:id="812" w:name="_Toc16706"/>
      <w:bookmarkStart w:id="813" w:name="_Toc29245"/>
      <w:bookmarkStart w:id="814" w:name="_Toc7956"/>
      <w:bookmarkStart w:id="815" w:name="_Toc7783"/>
      <w:bookmarkStart w:id="816" w:name="_Toc18269"/>
      <w:bookmarkStart w:id="817" w:name="_Toc16916"/>
      <w:bookmarkStart w:id="818" w:name="_Toc10635"/>
      <w:bookmarkStart w:id="819" w:name="_Toc17284"/>
      <w:bookmarkStart w:id="820" w:name="_Toc22871"/>
      <w:bookmarkStart w:id="821" w:name="_Toc4076"/>
      <w:bookmarkStart w:id="822" w:name="_Toc24615"/>
      <w:bookmarkStart w:id="823" w:name="_Toc16373"/>
      <w:bookmarkStart w:id="824" w:name="_Toc628"/>
      <w:bookmarkStart w:id="825" w:name="_Toc2657"/>
      <w:bookmarkStart w:id="826" w:name="_Toc17427"/>
      <w:bookmarkStart w:id="827" w:name="_Toc3170"/>
      <w:bookmarkStart w:id="828" w:name="_Toc32488"/>
      <w:bookmarkStart w:id="829" w:name="_Toc2097"/>
      <w:bookmarkStart w:id="830" w:name="_Toc5566"/>
      <w:bookmarkStart w:id="831" w:name="_Toc2510"/>
      <w:r>
        <w:rPr>
          <w:rFonts w:hint="default" w:ascii="Times New Roman" w:hAnsi="Times New Roman" w:eastAsia="宋体" w:cs="Times New Roman"/>
          <w:b/>
          <w:bCs/>
          <w:color w:val="auto"/>
          <w:sz w:val="24"/>
          <w:szCs w:val="24"/>
          <w:highlight w:val="none"/>
        </w:rPr>
        <w:t>3验收服务</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6D94F7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3.1投标方在招标方现场进行的货物（或生产线）的预验收和终验收配合或指导，应当是免费的。</w:t>
      </w:r>
    </w:p>
    <w:p w14:paraId="79DA820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1EFA316C">
      <w:pPr>
        <w:tabs>
          <w:tab w:val="left" w:pos="-1800"/>
          <w:tab w:val="left" w:pos="720"/>
        </w:tabs>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64B748D">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3.4合格验收时，投标方提供测量功能设备及计量器具资质合格证书，招标方根据实际情况进行相关复检，复检合格视为合格。</w:t>
      </w:r>
    </w:p>
    <w:p w14:paraId="35E4FBA1">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832" w:name="_Toc2093"/>
      <w:bookmarkStart w:id="833" w:name="_Toc73112418"/>
      <w:bookmarkStart w:id="834" w:name="_Toc10808"/>
      <w:bookmarkStart w:id="835" w:name="_Toc26773"/>
      <w:bookmarkStart w:id="836" w:name="_Toc14739"/>
      <w:bookmarkStart w:id="837" w:name="_Toc1311"/>
      <w:bookmarkStart w:id="838" w:name="_Toc19397"/>
      <w:bookmarkStart w:id="839" w:name="_Toc6099"/>
      <w:bookmarkStart w:id="840" w:name="_Toc28635"/>
      <w:bookmarkStart w:id="841" w:name="_Toc18836"/>
      <w:bookmarkStart w:id="842" w:name="_Toc20717"/>
      <w:bookmarkStart w:id="843" w:name="_Toc26554"/>
      <w:bookmarkStart w:id="844" w:name="_Toc1454"/>
      <w:bookmarkStart w:id="845" w:name="_Toc7478"/>
      <w:bookmarkStart w:id="846" w:name="_Toc22965"/>
      <w:bookmarkStart w:id="847" w:name="_Toc7782"/>
      <w:bookmarkStart w:id="848" w:name="_Toc29300"/>
      <w:bookmarkStart w:id="849" w:name="_Toc9592"/>
      <w:bookmarkStart w:id="850" w:name="_Toc20916"/>
      <w:bookmarkStart w:id="851" w:name="_Toc22392"/>
      <w:bookmarkStart w:id="852" w:name="_Toc17895"/>
      <w:bookmarkStart w:id="853" w:name="_Toc6232"/>
      <w:bookmarkStart w:id="854" w:name="_Toc8078"/>
      <w:bookmarkStart w:id="855" w:name="_Toc30412"/>
      <w:bookmarkStart w:id="856" w:name="_Toc4417"/>
      <w:bookmarkStart w:id="857" w:name="_Toc11699"/>
      <w:bookmarkStart w:id="858" w:name="_Toc19441"/>
      <w:bookmarkStart w:id="859" w:name="_Toc32079"/>
      <w:bookmarkStart w:id="860" w:name="_Toc542"/>
      <w:bookmarkStart w:id="861" w:name="_Toc10014"/>
      <w:bookmarkStart w:id="862" w:name="_Toc3798"/>
      <w:bookmarkStart w:id="863" w:name="_Toc29633"/>
      <w:bookmarkStart w:id="864" w:name="_Toc18968"/>
      <w:bookmarkStart w:id="865" w:name="_Toc21987"/>
      <w:bookmarkStart w:id="866" w:name="_Toc20426"/>
      <w:bookmarkStart w:id="867" w:name="_Toc20081"/>
      <w:bookmarkStart w:id="868" w:name="_Toc11213"/>
      <w:bookmarkStart w:id="869" w:name="_Toc29778"/>
      <w:bookmarkStart w:id="870" w:name="_Toc32682"/>
      <w:bookmarkStart w:id="871" w:name="_Toc28750"/>
      <w:bookmarkStart w:id="872" w:name="_Toc27224"/>
      <w:bookmarkStart w:id="873" w:name="_Toc17056"/>
      <w:bookmarkStart w:id="874" w:name="_Toc1199"/>
      <w:r>
        <w:rPr>
          <w:rFonts w:hint="default" w:ascii="Times New Roman" w:hAnsi="Times New Roman" w:eastAsia="宋体" w:cs="Times New Roman"/>
          <w:b/>
          <w:bCs/>
          <w:color w:val="auto"/>
          <w:sz w:val="24"/>
          <w:szCs w:val="24"/>
          <w:highlight w:val="none"/>
        </w:rPr>
        <w:t>4售后服务</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0B06E37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4.1所有的售后服务均由投标方受理。如果发生问题并且收到报告，投标方应当在2小时内予以答复。</w:t>
      </w:r>
    </w:p>
    <w:p w14:paraId="7C5D8CC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4.2如发现所提供的货物（或生产线）存在问题，需要投标方解决或配合解决时：在质保期之内，应在接到通知后</w:t>
      </w:r>
      <w:r>
        <w:rPr>
          <w:rFonts w:hint="default" w:ascii="Times New Roman" w:hAnsi="Times New Roman" w:eastAsia="宋体" w:cs="Times New Roman"/>
          <w:color w:val="auto"/>
          <w:sz w:val="24"/>
          <w:szCs w:val="24"/>
          <w:highlight w:val="none"/>
          <w:u w:val="single"/>
          <w:shd w:val="pct10" w:color="auto" w:fill="FFFFFF"/>
        </w:rPr>
        <w:t>24</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小时内派有关人员到达现场；在质保期之外，应在接到通知后</w:t>
      </w:r>
      <w:r>
        <w:rPr>
          <w:rFonts w:hint="default" w:ascii="Times New Roman" w:hAnsi="Times New Roman" w:eastAsia="宋体" w:cs="Times New Roman"/>
          <w:color w:val="auto"/>
          <w:sz w:val="24"/>
          <w:szCs w:val="24"/>
          <w:highlight w:val="none"/>
          <w:u w:val="single"/>
          <w:shd w:val="pct10" w:color="auto" w:fill="FFFFFF"/>
        </w:rPr>
        <w:t>48</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小时内派有关人员到达现场。</w:t>
      </w:r>
    </w:p>
    <w:p w14:paraId="6698DD1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4.3投标方派往招标方使用现场的人员，应具有较高的业务素质；现场解决问题时，不得无故拖延或推迟，应为招标方提供最佳的服务。</w:t>
      </w:r>
    </w:p>
    <w:p w14:paraId="369E69F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4设备（或生产线）在使用周期内，投标方免费派遣技术人员与甲方调试团队共同进行设备通讯接口的调试工作。</w:t>
      </w:r>
    </w:p>
    <w:p w14:paraId="0BCF92B2">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875" w:name="_Toc27285"/>
      <w:bookmarkStart w:id="876" w:name="_Toc32502"/>
      <w:bookmarkStart w:id="877" w:name="_Toc26287"/>
      <w:bookmarkStart w:id="878" w:name="_Toc9982"/>
      <w:bookmarkStart w:id="879" w:name="_Toc1118"/>
      <w:bookmarkStart w:id="880" w:name="_Toc25693"/>
      <w:bookmarkStart w:id="881" w:name="_Toc13974"/>
      <w:bookmarkStart w:id="882" w:name="_Toc20327"/>
      <w:bookmarkStart w:id="883" w:name="_Toc22732"/>
      <w:bookmarkStart w:id="884" w:name="_Toc9688"/>
      <w:bookmarkStart w:id="885" w:name="_Toc7130"/>
      <w:bookmarkStart w:id="886" w:name="_Toc16121"/>
      <w:bookmarkStart w:id="887" w:name="_Toc18148"/>
      <w:bookmarkStart w:id="888" w:name="_Toc115"/>
      <w:bookmarkStart w:id="889" w:name="_Toc19301"/>
      <w:bookmarkStart w:id="890" w:name="_Toc73112419"/>
      <w:bookmarkStart w:id="891" w:name="_Toc14349"/>
      <w:bookmarkStart w:id="892" w:name="_Toc913"/>
      <w:bookmarkStart w:id="893" w:name="_Toc6354"/>
      <w:bookmarkStart w:id="894" w:name="_Toc4793"/>
      <w:bookmarkStart w:id="895" w:name="_Toc16849"/>
      <w:bookmarkStart w:id="896" w:name="_Toc26976"/>
      <w:bookmarkStart w:id="897" w:name="_Toc27505"/>
      <w:bookmarkStart w:id="898" w:name="_Toc21895"/>
      <w:bookmarkStart w:id="899" w:name="_Toc22593"/>
      <w:bookmarkStart w:id="900" w:name="_Toc26623"/>
      <w:bookmarkStart w:id="901" w:name="_Toc12294"/>
      <w:bookmarkStart w:id="902" w:name="_Toc30887"/>
      <w:bookmarkStart w:id="903" w:name="_Toc6107"/>
      <w:bookmarkStart w:id="904" w:name="_Toc6984"/>
      <w:bookmarkStart w:id="905" w:name="_Toc31498"/>
      <w:bookmarkStart w:id="906" w:name="_Toc3819"/>
      <w:bookmarkStart w:id="907" w:name="_Toc25242"/>
      <w:bookmarkStart w:id="908" w:name="_Toc27733"/>
      <w:bookmarkStart w:id="909" w:name="_Toc32366"/>
      <w:bookmarkStart w:id="910" w:name="_Toc25994"/>
      <w:bookmarkStart w:id="911" w:name="_Toc17891"/>
      <w:bookmarkStart w:id="912" w:name="_Toc28927"/>
      <w:bookmarkStart w:id="913" w:name="_Toc6730"/>
      <w:bookmarkStart w:id="914" w:name="_Toc1573"/>
      <w:bookmarkStart w:id="915" w:name="_Toc20936"/>
      <w:bookmarkStart w:id="916" w:name="_Toc10752"/>
      <w:bookmarkStart w:id="917" w:name="_Toc30999"/>
      <w:r>
        <w:rPr>
          <w:rFonts w:hint="default" w:ascii="Times New Roman" w:hAnsi="Times New Roman" w:eastAsia="宋体" w:cs="Times New Roman"/>
          <w:b/>
          <w:bCs/>
          <w:color w:val="auto"/>
          <w:sz w:val="24"/>
          <w:szCs w:val="24"/>
          <w:highlight w:val="none"/>
        </w:rPr>
        <w:t>5其它服务</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43483FE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5.1若投标方所提供货物（或生产线）有需要进口的，投标方一般应自行、自费办理；必要时，招标方和投标方共同办理。</w:t>
      </w:r>
    </w:p>
    <w:p w14:paraId="2685E63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5.2除招标文件、投标文件、答疑文件、技术协议、合同等约定之外，投标方应免费负责必要的或强制性的货物（或生产线）的检验、试验、化验等直接费用。</w:t>
      </w:r>
      <w:bookmarkStart w:id="918" w:name="_Toc133783974"/>
    </w:p>
    <w:p w14:paraId="70D3B6D9">
      <w:pPr>
        <w:adjustRightInd w:val="0"/>
        <w:snapToGrid w:val="0"/>
        <w:spacing w:before="163" w:beforeLines="50" w:after="163" w:afterLines="50" w:line="360" w:lineRule="auto"/>
        <w:jc w:val="center"/>
        <w:outlineLvl w:val="0"/>
        <w:rPr>
          <w:rFonts w:hint="default" w:ascii="Times New Roman" w:hAnsi="Times New Roman" w:eastAsia="宋体" w:cs="Times New Roman"/>
          <w:b/>
          <w:bCs/>
          <w:color w:val="auto"/>
          <w:sz w:val="24"/>
          <w:szCs w:val="24"/>
          <w:highlight w:val="none"/>
        </w:rPr>
      </w:pPr>
      <w:bookmarkStart w:id="919" w:name="_Toc2800"/>
      <w:bookmarkStart w:id="920" w:name="_Toc15356"/>
      <w:bookmarkStart w:id="921" w:name="_Toc32483"/>
      <w:bookmarkStart w:id="922" w:name="_Toc26489"/>
      <w:bookmarkStart w:id="923" w:name="_Toc16312"/>
      <w:bookmarkStart w:id="924" w:name="_Toc9482"/>
      <w:bookmarkStart w:id="925" w:name="_Toc9121"/>
      <w:bookmarkStart w:id="926" w:name="_Toc8076"/>
      <w:bookmarkStart w:id="927" w:name="_Toc10492"/>
      <w:bookmarkStart w:id="928" w:name="_Toc2140"/>
      <w:bookmarkStart w:id="929" w:name="_Toc5013"/>
      <w:bookmarkStart w:id="930" w:name="_Toc29777"/>
      <w:bookmarkStart w:id="931" w:name="_Toc4011"/>
      <w:bookmarkStart w:id="932" w:name="_Toc32409"/>
      <w:bookmarkStart w:id="933" w:name="_Toc18030"/>
      <w:bookmarkStart w:id="934" w:name="_Toc6228"/>
      <w:bookmarkStart w:id="935" w:name="_Toc27484"/>
      <w:bookmarkStart w:id="936" w:name="_Toc19544"/>
      <w:bookmarkStart w:id="937" w:name="_Toc12454"/>
      <w:bookmarkStart w:id="938" w:name="_Toc24752"/>
      <w:bookmarkStart w:id="939" w:name="_Toc10438"/>
      <w:bookmarkStart w:id="940" w:name="_Toc19208"/>
      <w:bookmarkStart w:id="941" w:name="_Toc23730"/>
      <w:bookmarkStart w:id="942" w:name="_Toc25057"/>
      <w:bookmarkStart w:id="943" w:name="_Toc11150"/>
      <w:bookmarkStart w:id="944" w:name="_Toc16355"/>
      <w:bookmarkStart w:id="945" w:name="_Toc14411"/>
      <w:bookmarkStart w:id="946" w:name="_Toc22725"/>
      <w:bookmarkStart w:id="947" w:name="_Toc25825"/>
      <w:bookmarkStart w:id="948" w:name="_Toc18621"/>
      <w:bookmarkStart w:id="949" w:name="_Toc5996"/>
      <w:bookmarkStart w:id="950" w:name="_Toc19017"/>
      <w:bookmarkStart w:id="951" w:name="_Toc10873"/>
      <w:bookmarkStart w:id="952" w:name="_Toc7461"/>
      <w:bookmarkStart w:id="953" w:name="_Toc9498"/>
      <w:bookmarkStart w:id="954" w:name="_Toc30293"/>
      <w:bookmarkStart w:id="955" w:name="_Toc13895"/>
      <w:bookmarkStart w:id="956" w:name="_Toc8547"/>
      <w:bookmarkStart w:id="957" w:name="_Toc21122"/>
      <w:bookmarkStart w:id="958" w:name="_Toc12013"/>
      <w:bookmarkStart w:id="959" w:name="_Toc29269"/>
      <w:bookmarkStart w:id="960" w:name="_Toc73112420"/>
      <w:bookmarkStart w:id="961" w:name="_Toc13250"/>
      <w:bookmarkStart w:id="962" w:name="_Toc19942"/>
      <w:r>
        <w:rPr>
          <w:rFonts w:hint="default" w:ascii="Times New Roman" w:hAnsi="Times New Roman" w:eastAsia="宋体" w:cs="Times New Roman"/>
          <w:b/>
          <w:bCs/>
          <w:color w:val="auto"/>
          <w:sz w:val="24"/>
          <w:szCs w:val="24"/>
          <w:highlight w:val="none"/>
        </w:rPr>
        <w:t>第五章</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预验收和终验收</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25852FCB">
      <w:pPr>
        <w:snapToGrid w:val="0"/>
        <w:spacing w:line="360" w:lineRule="auto"/>
        <w:ind w:left="482"/>
        <w:outlineLvl w:val="1"/>
        <w:rPr>
          <w:rFonts w:hint="default" w:ascii="Times New Roman" w:hAnsi="Times New Roman" w:eastAsia="宋体" w:cs="Times New Roman"/>
          <w:b/>
          <w:bCs/>
          <w:color w:val="auto"/>
          <w:sz w:val="24"/>
          <w:szCs w:val="24"/>
          <w:highlight w:val="none"/>
        </w:rPr>
      </w:pPr>
      <w:bookmarkStart w:id="963" w:name="_Toc22207"/>
      <w:bookmarkStart w:id="964" w:name="_Toc27225"/>
      <w:bookmarkStart w:id="965" w:name="_Toc9902"/>
      <w:bookmarkStart w:id="966" w:name="_Toc24517"/>
      <w:bookmarkStart w:id="967" w:name="_Toc21557"/>
      <w:bookmarkStart w:id="968" w:name="_Toc29964"/>
      <w:bookmarkStart w:id="969" w:name="_Toc11331"/>
      <w:bookmarkStart w:id="970" w:name="_Toc6378"/>
      <w:bookmarkStart w:id="971" w:name="_Toc73112421"/>
      <w:bookmarkStart w:id="972" w:name="_Toc5401"/>
      <w:bookmarkStart w:id="973" w:name="_Toc22140"/>
      <w:bookmarkStart w:id="974" w:name="_Toc21206"/>
      <w:bookmarkStart w:id="975" w:name="_Toc29608"/>
      <w:bookmarkStart w:id="976" w:name="_Toc15047"/>
      <w:bookmarkStart w:id="977" w:name="_Toc17620"/>
      <w:bookmarkStart w:id="978" w:name="_Toc14965"/>
      <w:bookmarkStart w:id="979" w:name="_Toc28506"/>
      <w:bookmarkStart w:id="980" w:name="_Toc7184"/>
      <w:bookmarkStart w:id="981" w:name="_Toc28073"/>
      <w:bookmarkStart w:id="982" w:name="_Toc23231"/>
      <w:bookmarkStart w:id="983" w:name="_Toc31478"/>
      <w:bookmarkStart w:id="984" w:name="_Toc12676"/>
      <w:bookmarkStart w:id="985" w:name="_Toc7463"/>
      <w:bookmarkStart w:id="986" w:name="_Toc2326"/>
      <w:bookmarkStart w:id="987" w:name="_Toc6924"/>
      <w:bookmarkStart w:id="988" w:name="_Toc1286"/>
      <w:bookmarkStart w:id="989" w:name="_Toc4070"/>
      <w:bookmarkStart w:id="990" w:name="_Toc29611"/>
      <w:bookmarkStart w:id="991" w:name="_Toc15025"/>
      <w:bookmarkStart w:id="992" w:name="_Toc12239"/>
      <w:bookmarkStart w:id="993" w:name="_Toc13718"/>
      <w:bookmarkStart w:id="994" w:name="_Toc7191"/>
      <w:bookmarkStart w:id="995" w:name="_Toc29287"/>
      <w:bookmarkStart w:id="996" w:name="_Toc24809"/>
      <w:bookmarkStart w:id="997" w:name="_Toc27951"/>
      <w:bookmarkStart w:id="998" w:name="_Toc242"/>
      <w:bookmarkStart w:id="999" w:name="_Toc25574"/>
      <w:bookmarkStart w:id="1000" w:name="_Toc10033"/>
      <w:bookmarkStart w:id="1001" w:name="_Toc3676"/>
      <w:bookmarkStart w:id="1002" w:name="_Toc23191"/>
      <w:bookmarkStart w:id="1003" w:name="_Toc27448"/>
      <w:bookmarkStart w:id="1004" w:name="_Toc14541"/>
      <w:bookmarkStart w:id="1005" w:name="_Toc22981"/>
      <w:r>
        <w:rPr>
          <w:rFonts w:hint="default" w:ascii="Times New Roman" w:hAnsi="Times New Roman" w:eastAsia="宋体" w:cs="Times New Roman"/>
          <w:b/>
          <w:bCs/>
          <w:color w:val="auto"/>
          <w:sz w:val="24"/>
          <w:szCs w:val="24"/>
          <w:highlight w:val="none"/>
        </w:rPr>
        <w:t>1验收的一般约定</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57058B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1.1验收标准一般以技术协议书和合同规定验收。</w:t>
      </w:r>
    </w:p>
    <w:p w14:paraId="4DF31A8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1.2如果验收过程中，发现招标文件、投标文件、答疑文件、技术交流文件等与技术协议书、合同存在差异，原则上以涉及条款中对买方最有利条款为验收依据。</w:t>
      </w:r>
    </w:p>
    <w:p w14:paraId="3A698AC3">
      <w:pPr>
        <w:snapToGrid w:val="0"/>
        <w:spacing w:line="360" w:lineRule="auto"/>
        <w:ind w:left="482"/>
        <w:outlineLvl w:val="1"/>
        <w:rPr>
          <w:rFonts w:hint="default" w:ascii="Times New Roman" w:hAnsi="Times New Roman" w:eastAsia="宋体" w:cs="Times New Roman"/>
          <w:b/>
          <w:bCs/>
          <w:color w:val="auto"/>
          <w:sz w:val="24"/>
          <w:szCs w:val="24"/>
          <w:highlight w:val="none"/>
        </w:rPr>
      </w:pPr>
      <w:bookmarkStart w:id="1006" w:name="_Toc11335"/>
      <w:bookmarkStart w:id="1007" w:name="_Toc6471"/>
      <w:bookmarkStart w:id="1008" w:name="_Toc28925"/>
      <w:bookmarkStart w:id="1009" w:name="_Toc25951"/>
      <w:bookmarkStart w:id="1010" w:name="_Toc17335"/>
      <w:bookmarkStart w:id="1011" w:name="_Toc17720"/>
      <w:bookmarkStart w:id="1012" w:name="_Toc8093"/>
      <w:bookmarkStart w:id="1013" w:name="_Toc29669"/>
      <w:bookmarkStart w:id="1014" w:name="_Toc27467"/>
      <w:bookmarkStart w:id="1015" w:name="_Toc8742"/>
      <w:bookmarkStart w:id="1016" w:name="_Toc18517"/>
      <w:bookmarkStart w:id="1017" w:name="_Toc10568"/>
      <w:bookmarkStart w:id="1018" w:name="_Toc25539"/>
      <w:bookmarkStart w:id="1019" w:name="_Toc32581"/>
      <w:bookmarkStart w:id="1020" w:name="_Toc2310"/>
      <w:bookmarkStart w:id="1021" w:name="_Toc27120"/>
      <w:bookmarkStart w:id="1022" w:name="_Toc15379"/>
      <w:bookmarkStart w:id="1023" w:name="_Toc19505"/>
      <w:bookmarkStart w:id="1024" w:name="_Toc13173"/>
      <w:bookmarkStart w:id="1025" w:name="_Toc22558"/>
      <w:bookmarkStart w:id="1026" w:name="_Toc9729"/>
      <w:bookmarkStart w:id="1027" w:name="_Toc28873"/>
      <w:bookmarkStart w:id="1028" w:name="_Toc23133"/>
      <w:bookmarkStart w:id="1029" w:name="_Toc16943"/>
      <w:bookmarkStart w:id="1030" w:name="_Toc23919"/>
      <w:bookmarkStart w:id="1031" w:name="_Toc30274"/>
      <w:bookmarkStart w:id="1032" w:name="_Toc13736"/>
      <w:bookmarkStart w:id="1033" w:name="_Toc21722"/>
      <w:bookmarkStart w:id="1034" w:name="_Toc20876"/>
      <w:bookmarkStart w:id="1035" w:name="_Toc6206"/>
      <w:bookmarkStart w:id="1036" w:name="_Toc31116"/>
      <w:bookmarkStart w:id="1037" w:name="_Toc11248"/>
      <w:bookmarkStart w:id="1038" w:name="_Toc8338"/>
      <w:bookmarkStart w:id="1039" w:name="_Toc8916"/>
      <w:bookmarkStart w:id="1040" w:name="_Toc10200"/>
      <w:bookmarkStart w:id="1041" w:name="_Toc22158"/>
      <w:bookmarkStart w:id="1042" w:name="_Toc73112422"/>
      <w:bookmarkStart w:id="1043" w:name="_Toc21414"/>
      <w:bookmarkStart w:id="1044" w:name="_Toc7863"/>
      <w:bookmarkStart w:id="1045" w:name="_Toc7457"/>
      <w:bookmarkStart w:id="1046" w:name="_Toc513"/>
      <w:bookmarkStart w:id="1047" w:name="_Toc21568"/>
      <w:bookmarkStart w:id="1048" w:name="_Toc1155"/>
      <w:r>
        <w:rPr>
          <w:rFonts w:hint="default" w:ascii="Times New Roman" w:hAnsi="Times New Roman" w:eastAsia="宋体" w:cs="Times New Roman"/>
          <w:b/>
          <w:bCs/>
          <w:color w:val="auto"/>
          <w:sz w:val="24"/>
          <w:szCs w:val="24"/>
          <w:highlight w:val="none"/>
        </w:rPr>
        <w:t>2检验</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1894C2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2.1国产货物（或生产线）的检验由卖买双方按照合同要求或在制造现场进行。</w:t>
      </w:r>
    </w:p>
    <w:p w14:paraId="24E1CC0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2.2进口货物（或生产线）的检验按照下述要求进行：</w:t>
      </w:r>
    </w:p>
    <w:p w14:paraId="6573936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2.1.1进口货物（或生产线）发货前，卖方应对货物（或生产线）的质量、型号、规格、性能和数量/重量作精密、全面的检验，并出具证明书，证明所供货物（或生产线）符合合同规定。</w:t>
      </w:r>
    </w:p>
    <w:p w14:paraId="28AED00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2.1.2卖方应依据合同规定的要求，提供买卖双方达成一致的货物（或生产线）的验收标准和装箱单，作为买方检验的依据。</w:t>
      </w:r>
    </w:p>
    <w:p w14:paraId="240680F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default" w:ascii="Times New Roman" w:hAnsi="Times New Roman" w:eastAsia="宋体" w:cs="Times New Roman"/>
          <w:color w:val="auto"/>
          <w:sz w:val="24"/>
          <w:szCs w:val="24"/>
          <w:highlight w:val="none"/>
          <w:shd w:val="pct10" w:color="auto" w:fill="FFFFFF"/>
        </w:rPr>
        <w:t>180</w:t>
      </w:r>
      <w:r>
        <w:rPr>
          <w:rFonts w:hint="default" w:ascii="Times New Roman" w:hAnsi="Times New Roman" w:eastAsia="宋体" w:cs="Times New Roman"/>
          <w:color w:val="auto"/>
          <w:sz w:val="24"/>
          <w:szCs w:val="24"/>
          <w:highlight w:val="none"/>
        </w:rPr>
        <w:t>个日历日内，根据中国商品检验检疫局出具的证明书向卖方提出索赔，因索赔所发生的一切费用(包括检验检疫费等)均由卖方承担。</w:t>
      </w:r>
    </w:p>
    <w:p w14:paraId="68934777">
      <w:pPr>
        <w:snapToGrid w:val="0"/>
        <w:spacing w:line="360" w:lineRule="auto"/>
        <w:ind w:left="482"/>
        <w:outlineLvl w:val="1"/>
        <w:rPr>
          <w:rFonts w:hint="default" w:ascii="Times New Roman" w:hAnsi="Times New Roman" w:eastAsia="宋体" w:cs="Times New Roman"/>
          <w:b/>
          <w:bCs/>
          <w:color w:val="auto"/>
          <w:sz w:val="24"/>
          <w:szCs w:val="24"/>
          <w:highlight w:val="none"/>
        </w:rPr>
      </w:pPr>
      <w:bookmarkStart w:id="1049" w:name="_Toc16878"/>
      <w:bookmarkStart w:id="1050" w:name="_Toc19311"/>
      <w:bookmarkStart w:id="1051" w:name="_Toc5604"/>
      <w:bookmarkStart w:id="1052" w:name="_Toc27145"/>
      <w:bookmarkStart w:id="1053" w:name="_Toc17499"/>
      <w:bookmarkStart w:id="1054" w:name="_Toc31780"/>
      <w:bookmarkStart w:id="1055" w:name="_Toc21757"/>
      <w:bookmarkStart w:id="1056" w:name="_Toc32111"/>
      <w:bookmarkStart w:id="1057" w:name="_Toc29497"/>
      <w:bookmarkStart w:id="1058" w:name="_Toc8128"/>
      <w:bookmarkStart w:id="1059" w:name="_Toc5653"/>
      <w:bookmarkStart w:id="1060" w:name="_Toc73112423"/>
      <w:bookmarkStart w:id="1061" w:name="_Toc228"/>
      <w:bookmarkStart w:id="1062" w:name="_Toc21487"/>
      <w:bookmarkStart w:id="1063" w:name="_Toc8214"/>
      <w:bookmarkStart w:id="1064" w:name="_Toc15488"/>
      <w:bookmarkStart w:id="1065" w:name="_Toc28225"/>
      <w:bookmarkStart w:id="1066" w:name="_Toc8477"/>
      <w:bookmarkStart w:id="1067" w:name="_Toc27629"/>
      <w:bookmarkStart w:id="1068" w:name="_Toc9256"/>
      <w:bookmarkStart w:id="1069" w:name="_Toc10879"/>
      <w:bookmarkStart w:id="1070" w:name="_Toc8664"/>
      <w:bookmarkStart w:id="1071" w:name="_Toc6506"/>
      <w:bookmarkStart w:id="1072" w:name="_Toc14844"/>
      <w:bookmarkStart w:id="1073" w:name="_Toc11780"/>
      <w:bookmarkStart w:id="1074" w:name="_Toc30797"/>
      <w:bookmarkStart w:id="1075" w:name="_Toc14904"/>
      <w:bookmarkStart w:id="1076" w:name="_Toc23252"/>
      <w:bookmarkStart w:id="1077" w:name="_Toc14993"/>
      <w:bookmarkStart w:id="1078" w:name="_Toc25654"/>
      <w:bookmarkStart w:id="1079" w:name="_Toc27538"/>
      <w:bookmarkStart w:id="1080" w:name="_Toc1969"/>
      <w:bookmarkStart w:id="1081" w:name="_Toc18036"/>
      <w:bookmarkStart w:id="1082" w:name="_Toc14587"/>
      <w:bookmarkStart w:id="1083" w:name="_Toc23250"/>
      <w:bookmarkStart w:id="1084" w:name="_Toc22379"/>
      <w:bookmarkStart w:id="1085" w:name="_Toc16665"/>
      <w:bookmarkStart w:id="1086" w:name="_Toc1041"/>
      <w:bookmarkStart w:id="1087" w:name="_Toc1461"/>
      <w:bookmarkStart w:id="1088" w:name="_Toc18595"/>
      <w:bookmarkStart w:id="1089" w:name="_Toc27594"/>
      <w:bookmarkStart w:id="1090" w:name="_Toc11846"/>
      <w:bookmarkStart w:id="1091" w:name="_Toc27310"/>
      <w:r>
        <w:rPr>
          <w:rFonts w:hint="default" w:ascii="Times New Roman" w:hAnsi="Times New Roman" w:eastAsia="宋体" w:cs="Times New Roman"/>
          <w:b/>
          <w:bCs/>
          <w:color w:val="auto"/>
          <w:sz w:val="24"/>
          <w:szCs w:val="24"/>
          <w:highlight w:val="none"/>
        </w:rPr>
        <w:t>3验收条件</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59C828DB">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678F77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买卖双方按照合同约定执行了合同，同时货物（或生产线）完成了试运行并经检验合格，则具备验收条件。</w:t>
      </w:r>
    </w:p>
    <w:p w14:paraId="44C9997D">
      <w:pPr>
        <w:adjustRightInd w:val="0"/>
        <w:snapToGrid w:val="0"/>
        <w:spacing w:line="360" w:lineRule="auto"/>
        <w:ind w:firstLine="480" w:firstLineChars="200"/>
        <w:outlineLvl w:val="1"/>
        <w:rPr>
          <w:rFonts w:hint="default" w:ascii="Times New Roman" w:hAnsi="Times New Roman" w:eastAsia="宋体" w:cs="Times New Roman"/>
          <w:color w:val="auto"/>
          <w:sz w:val="24"/>
          <w:szCs w:val="24"/>
          <w:highlight w:val="none"/>
        </w:rPr>
      </w:pPr>
      <w:bookmarkStart w:id="1092" w:name="_Toc18903"/>
      <w:bookmarkStart w:id="1093" w:name="_Toc18487"/>
      <w:bookmarkStart w:id="1094" w:name="_Toc3034"/>
      <w:bookmarkStart w:id="1095" w:name="_Toc24921"/>
      <w:bookmarkStart w:id="1096" w:name="_Toc5952"/>
      <w:bookmarkStart w:id="1097" w:name="_Toc6977"/>
      <w:bookmarkStart w:id="1098" w:name="_Toc31639"/>
      <w:bookmarkStart w:id="1099" w:name="_Toc6731"/>
      <w:bookmarkStart w:id="1100" w:name="_Toc11902"/>
      <w:bookmarkStart w:id="1101" w:name="_Toc1849"/>
      <w:bookmarkStart w:id="1102" w:name="_Toc30563"/>
      <w:bookmarkStart w:id="1103" w:name="_Toc9015"/>
      <w:bookmarkStart w:id="1104" w:name="_Toc21811"/>
      <w:bookmarkStart w:id="1105" w:name="_Toc4157"/>
      <w:bookmarkStart w:id="1106" w:name="_Toc10052"/>
      <w:bookmarkStart w:id="1107" w:name="_Toc11234"/>
      <w:bookmarkStart w:id="1108" w:name="_Toc32498"/>
      <w:bookmarkStart w:id="1109" w:name="_Toc5473"/>
      <w:bookmarkStart w:id="1110" w:name="_Toc20087"/>
      <w:bookmarkStart w:id="1111" w:name="_Toc23548"/>
      <w:bookmarkStart w:id="1112" w:name="_Toc18963"/>
      <w:bookmarkStart w:id="1113" w:name="_Toc19344"/>
      <w:bookmarkStart w:id="1114" w:name="_Toc27856"/>
      <w:bookmarkStart w:id="1115" w:name="_Toc16974"/>
      <w:bookmarkStart w:id="1116" w:name="_Toc771"/>
      <w:bookmarkStart w:id="1117" w:name="_Toc4741"/>
      <w:bookmarkStart w:id="1118" w:name="_Toc362"/>
      <w:bookmarkStart w:id="1119" w:name="_Toc7303"/>
      <w:bookmarkStart w:id="1120" w:name="_Toc10586"/>
      <w:bookmarkStart w:id="1121" w:name="_Toc27848"/>
      <w:bookmarkStart w:id="1122" w:name="_Toc17709"/>
      <w:bookmarkStart w:id="1123" w:name="_Toc23170"/>
      <w:bookmarkStart w:id="1124" w:name="_Toc22247"/>
      <w:bookmarkStart w:id="1125" w:name="_Toc24814"/>
      <w:bookmarkStart w:id="1126" w:name="_Toc25547"/>
      <w:bookmarkStart w:id="1127" w:name="_Toc10339"/>
      <w:bookmarkStart w:id="1128" w:name="_Toc20504"/>
      <w:bookmarkStart w:id="1129" w:name="_Toc24377"/>
      <w:bookmarkStart w:id="1130" w:name="_Toc16622"/>
      <w:bookmarkStart w:id="1131" w:name="_Toc10389"/>
      <w:bookmarkStart w:id="1132" w:name="_Toc11412"/>
      <w:bookmarkStart w:id="1133" w:name="_Toc31328"/>
      <w:r>
        <w:rPr>
          <w:rFonts w:hint="default" w:ascii="Times New Roman" w:hAnsi="Times New Roman" w:eastAsia="宋体" w:cs="Times New Roman"/>
          <w:color w:val="auto"/>
          <w:sz w:val="24"/>
          <w:szCs w:val="24"/>
          <w:highlight w:val="none"/>
        </w:rPr>
        <w:t>3.1预验收一般条件</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307F13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3.1.1卖方已经按照“供货范围”要求提供了预验收资料，并且资料齐全、完整和有效。</w:t>
      </w:r>
    </w:p>
    <w:p w14:paraId="65B60B5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3.1.2货物（或生产线）应运行稳定、可靠、安全，无非正常变形，非正常振动，无异常声音；无漏水、漏液、漏气（汽）、漏电等现象。运动的零部件（如链条、联轴器、离合器、主轴、工作台等）动作平稳、灵活运动准确。</w:t>
      </w:r>
    </w:p>
    <w:p w14:paraId="331D7CB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3.1.3货物（或生产线）应完整且所有的零部件应该安装安全、牢固，外观无损伤，所有的焊缝饱满、无残渣等缺陷。</w:t>
      </w:r>
    </w:p>
    <w:p w14:paraId="0BF53CC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3.1.4一般情况下，所有的管路和线缆等，接头应完全正确、可靠地联接；应排列有序（正确、牢固、整齐），有必要的防护，无皱褶、收缩和裂缝等不良现象。</w:t>
      </w:r>
    </w:p>
    <w:p w14:paraId="19FE3220">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3.1.5货物（或生产线）的润滑系统工作正常、可靠，润滑点易于到达。</w:t>
      </w:r>
    </w:p>
    <w:p w14:paraId="08A5279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3.1.6使用的压力容器、电气等应具备合格证（如果有压力容器），</w:t>
      </w:r>
    </w:p>
    <w:p w14:paraId="41BDC09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3.1.7货物（或生产线）的油漆质量应饱满、有光泽，无掉漆、无色差、无“桔皮”等不良现象（特殊标志除外）。</w:t>
      </w:r>
    </w:p>
    <w:p w14:paraId="5E16F74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3.1.8货物（或生产线）标牌完整、清晰、明确。</w:t>
      </w:r>
    </w:p>
    <w:p w14:paraId="37B1E24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3.1.9地线联接和地极符合国际（ISO/IEC）标准规范。</w:t>
      </w:r>
    </w:p>
    <w:p w14:paraId="73C4442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3.1.10货物（或生产线）的安全要求符合中国最新的相关法律、法规、标准和规范以及合同要求。</w:t>
      </w:r>
    </w:p>
    <w:p w14:paraId="52295BF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3.1.11预验收试件的发放：试件品种及数量由技术协议约定，试件由招标方发到中标方所产生的一切费用（或损失）由中标方承担。</w:t>
      </w:r>
    </w:p>
    <w:p w14:paraId="757BB310">
      <w:pPr>
        <w:adjustRightInd w:val="0"/>
        <w:snapToGrid w:val="0"/>
        <w:spacing w:line="360" w:lineRule="auto"/>
        <w:ind w:firstLine="480" w:firstLineChars="200"/>
        <w:outlineLvl w:val="1"/>
        <w:rPr>
          <w:rFonts w:hint="default" w:ascii="Times New Roman" w:hAnsi="Times New Roman" w:eastAsia="宋体" w:cs="Times New Roman"/>
          <w:color w:val="auto"/>
          <w:sz w:val="24"/>
          <w:szCs w:val="24"/>
          <w:highlight w:val="none"/>
        </w:rPr>
      </w:pPr>
      <w:bookmarkStart w:id="1134" w:name="_Toc27491"/>
      <w:bookmarkStart w:id="1135" w:name="_Toc5422"/>
      <w:bookmarkStart w:id="1136" w:name="_Toc16821"/>
      <w:bookmarkStart w:id="1137" w:name="_Toc7060"/>
      <w:bookmarkStart w:id="1138" w:name="_Toc30498"/>
      <w:bookmarkStart w:id="1139" w:name="_Toc21671"/>
      <w:bookmarkStart w:id="1140" w:name="_Toc2134"/>
      <w:bookmarkStart w:id="1141" w:name="_Toc21629"/>
      <w:bookmarkStart w:id="1142" w:name="_Toc1293"/>
      <w:bookmarkStart w:id="1143" w:name="_Toc4108"/>
      <w:bookmarkStart w:id="1144" w:name="_Toc4066"/>
      <w:bookmarkStart w:id="1145" w:name="_Toc14552"/>
      <w:bookmarkStart w:id="1146" w:name="_Toc2362"/>
      <w:bookmarkStart w:id="1147" w:name="_Toc20374"/>
      <w:bookmarkStart w:id="1148" w:name="_Toc9105"/>
      <w:bookmarkStart w:id="1149" w:name="_Toc19728"/>
      <w:bookmarkStart w:id="1150" w:name="_Toc29327"/>
      <w:bookmarkStart w:id="1151" w:name="_Toc26496"/>
      <w:bookmarkStart w:id="1152" w:name="_Toc9505"/>
      <w:bookmarkStart w:id="1153" w:name="_Toc17523"/>
      <w:bookmarkStart w:id="1154" w:name="_Toc11537"/>
      <w:bookmarkStart w:id="1155" w:name="_Toc15751"/>
      <w:bookmarkStart w:id="1156" w:name="_Toc8938"/>
      <w:bookmarkStart w:id="1157" w:name="_Toc12439"/>
      <w:bookmarkStart w:id="1158" w:name="_Toc19887"/>
      <w:bookmarkStart w:id="1159" w:name="_Toc29661"/>
      <w:bookmarkStart w:id="1160" w:name="_Toc18823"/>
      <w:bookmarkStart w:id="1161" w:name="_Toc17491"/>
      <w:bookmarkStart w:id="1162" w:name="_Toc21953"/>
      <w:bookmarkStart w:id="1163" w:name="_Toc4643"/>
      <w:bookmarkStart w:id="1164" w:name="_Toc12987"/>
      <w:bookmarkStart w:id="1165" w:name="_Toc24950"/>
      <w:bookmarkStart w:id="1166" w:name="_Toc931"/>
      <w:bookmarkStart w:id="1167" w:name="_Toc3329"/>
      <w:bookmarkStart w:id="1168" w:name="_Toc8320"/>
      <w:bookmarkStart w:id="1169" w:name="_Toc22891"/>
      <w:bookmarkStart w:id="1170" w:name="_Toc8879"/>
      <w:bookmarkStart w:id="1171" w:name="_Toc6062"/>
      <w:bookmarkStart w:id="1172" w:name="_Toc23596"/>
      <w:bookmarkStart w:id="1173" w:name="_Toc24874"/>
      <w:bookmarkStart w:id="1174" w:name="_Toc17924"/>
      <w:bookmarkStart w:id="1175" w:name="_Toc28390"/>
      <w:r>
        <w:rPr>
          <w:rFonts w:hint="default" w:ascii="Times New Roman" w:hAnsi="Times New Roman" w:eastAsia="宋体" w:cs="Times New Roman"/>
          <w:color w:val="auto"/>
          <w:sz w:val="24"/>
          <w:szCs w:val="24"/>
          <w:highlight w:val="none"/>
        </w:rPr>
        <w:t>3.2终验收一般条件</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447B97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3.2.1经过预验收而且没有出现新的质量问题，或者满足预验收条款。</w:t>
      </w:r>
    </w:p>
    <w:p w14:paraId="10535F0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3.2.2货物（或生产线）安装调试完毕，并至少经过了验收要求的负荷试运行。</w:t>
      </w:r>
    </w:p>
    <w:p w14:paraId="3029062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1487541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3.2.4计量仪器、仪表配套合理，采用中国的法定计量单位，计量准确、灵敏可靠。保证设计指标和仪器说明书的参数的实现。</w:t>
      </w:r>
    </w:p>
    <w:p w14:paraId="61D91D1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3.2.5试运行期间或之后无维修、调整等行为（特殊情况除外）。</w:t>
      </w:r>
    </w:p>
    <w:p w14:paraId="77F9463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3.2.6货物（或生产线）质量、技术性能等，达到签定的技术协议书和合同规定的终验收标准。</w:t>
      </w:r>
    </w:p>
    <w:p w14:paraId="497C0A5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3.2.7 </w:t>
      </w:r>
      <w:r>
        <w:rPr>
          <w:rFonts w:hint="default" w:ascii="Times New Roman" w:hAnsi="Times New Roman" w:eastAsia="宋体" w:cs="Times New Roman"/>
          <w:color w:val="auto"/>
          <w:sz w:val="24"/>
          <w:szCs w:val="24"/>
          <w:highlight w:val="none"/>
        </w:rPr>
        <w:t>试件:终验收完成前的所有试件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主减速器壳、主被动锥齿轮等</w:t>
      </w:r>
      <w:r>
        <w:rPr>
          <w:rFonts w:hint="default" w:ascii="Times New Roman" w:hAnsi="Times New Roman" w:eastAsia="宋体" w:cs="Times New Roman"/>
          <w:color w:val="auto"/>
          <w:sz w:val="24"/>
          <w:szCs w:val="24"/>
          <w:highlight w:val="none"/>
        </w:rPr>
        <w:t>大件可允许报废5件，</w:t>
      </w:r>
      <w:r>
        <w:rPr>
          <w:rFonts w:hint="default" w:ascii="Times New Roman" w:hAnsi="Times New Roman" w:eastAsia="宋体" w:cs="Times New Roman"/>
          <w:color w:val="auto"/>
          <w:sz w:val="24"/>
          <w:szCs w:val="24"/>
          <w:highlight w:val="none"/>
          <w:lang w:val="en-US" w:eastAsia="zh-CN"/>
        </w:rPr>
        <w:t>法兰或同等体积之下的</w:t>
      </w:r>
      <w:r>
        <w:rPr>
          <w:rFonts w:hint="default" w:ascii="Times New Roman" w:hAnsi="Times New Roman" w:eastAsia="宋体" w:cs="Times New Roman"/>
          <w:color w:val="auto"/>
          <w:sz w:val="24"/>
          <w:szCs w:val="24"/>
          <w:highlight w:val="none"/>
        </w:rPr>
        <w:t>中小件可允许报废 10 件，超过此数量的产品损失费用由中标方承担。</w:t>
      </w:r>
    </w:p>
    <w:p w14:paraId="0ED7508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bookmarkStart w:id="1176" w:name="_Toc1804"/>
      <w:bookmarkStart w:id="1177" w:name="_Toc25411"/>
      <w:bookmarkStart w:id="1178" w:name="_Toc193"/>
      <w:r>
        <w:rPr>
          <w:rFonts w:hint="default" w:ascii="Times New Roman" w:hAnsi="Times New Roman" w:eastAsia="宋体" w:cs="Times New Roman"/>
          <w:color w:val="auto"/>
          <w:sz w:val="24"/>
          <w:szCs w:val="24"/>
          <w:highlight w:val="none"/>
        </w:rPr>
        <w:t>3.2.</w:t>
      </w:r>
      <w:r>
        <w:rPr>
          <w:rFonts w:hint="default" w:ascii="Times New Roman" w:hAnsi="Times New Roman" w:eastAsia="宋体" w:cs="Times New Roman"/>
          <w:color w:val="auto"/>
          <w:sz w:val="24"/>
          <w:szCs w:val="24"/>
          <w:highlight w:val="none"/>
          <w:lang w:val="en-US" w:eastAsia="zh-CN"/>
        </w:rPr>
        <w:t>8 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5082937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3.2.</w:t>
      </w:r>
      <w:r>
        <w:rPr>
          <w:rFonts w:hint="default" w:ascii="Times New Roman" w:hAnsi="Times New Roman" w:eastAsia="宋体" w:cs="Times New Roman"/>
          <w:color w:val="auto"/>
          <w:sz w:val="24"/>
          <w:szCs w:val="24"/>
          <w:highlight w:val="none"/>
          <w:lang w:val="en-US" w:eastAsia="zh-CN"/>
        </w:rPr>
        <w:t>9 在终验收之前:提供设备全生命周期内的备品备件、易损件和专用耗材的明细清单并全部移交完成。</w:t>
      </w:r>
    </w:p>
    <w:p w14:paraId="5B455B95">
      <w:pPr>
        <w:snapToGrid w:val="0"/>
        <w:spacing w:line="360" w:lineRule="auto"/>
        <w:ind w:left="482"/>
        <w:outlineLvl w:val="1"/>
        <w:rPr>
          <w:rFonts w:hint="default" w:ascii="Times New Roman" w:hAnsi="Times New Roman" w:eastAsia="宋体" w:cs="Times New Roman"/>
          <w:b/>
          <w:bCs/>
          <w:color w:val="auto"/>
          <w:sz w:val="24"/>
          <w:szCs w:val="24"/>
          <w:highlight w:val="none"/>
        </w:rPr>
      </w:pPr>
      <w:bookmarkStart w:id="1179" w:name="_Toc1961"/>
      <w:bookmarkStart w:id="1180" w:name="_Toc10673"/>
      <w:bookmarkStart w:id="1181" w:name="_Toc73112424"/>
      <w:bookmarkStart w:id="1182" w:name="_Toc32661"/>
      <w:bookmarkStart w:id="1183" w:name="_Toc11114"/>
      <w:bookmarkStart w:id="1184" w:name="_Toc1469"/>
      <w:bookmarkStart w:id="1185" w:name="_Toc7243"/>
      <w:bookmarkStart w:id="1186" w:name="_Toc9027"/>
      <w:bookmarkStart w:id="1187" w:name="_Toc1885"/>
      <w:bookmarkStart w:id="1188" w:name="_Toc20983"/>
      <w:bookmarkStart w:id="1189" w:name="_Toc26083"/>
      <w:bookmarkStart w:id="1190" w:name="_Toc21291"/>
      <w:bookmarkStart w:id="1191" w:name="_Toc1761"/>
      <w:bookmarkStart w:id="1192" w:name="_Toc6573"/>
      <w:bookmarkStart w:id="1193" w:name="_Toc21504"/>
      <w:bookmarkStart w:id="1194" w:name="_Toc22500"/>
      <w:bookmarkStart w:id="1195" w:name="_Toc17799"/>
      <w:bookmarkStart w:id="1196" w:name="_Toc17223"/>
      <w:bookmarkStart w:id="1197" w:name="_Toc17549"/>
      <w:r>
        <w:rPr>
          <w:rFonts w:hint="default" w:ascii="Times New Roman" w:hAnsi="Times New Roman" w:eastAsia="宋体" w:cs="Times New Roman"/>
          <w:b/>
          <w:bCs/>
          <w:color w:val="auto"/>
          <w:sz w:val="24"/>
          <w:szCs w:val="24"/>
          <w:highlight w:val="none"/>
        </w:rPr>
        <w:t>4终验收基本要求</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1EB9772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4.1货物（或生产线）允许情况下，一般先连续空运转</w:t>
      </w:r>
      <w:r>
        <w:rPr>
          <w:rFonts w:hint="default" w:ascii="Times New Roman" w:hAnsi="Times New Roman" w:eastAsia="宋体" w:cs="Times New Roman"/>
          <w:color w:val="auto"/>
          <w:sz w:val="24"/>
          <w:szCs w:val="24"/>
          <w:highlight w:val="none"/>
          <w:u w:val="single"/>
          <w:shd w:val="pct10" w:color="auto" w:fill="FFFFFF"/>
        </w:rPr>
        <w:t>8</w:t>
      </w:r>
      <w:r>
        <w:rPr>
          <w:rFonts w:hint="default" w:ascii="Times New Roman" w:hAnsi="Times New Roman" w:eastAsia="宋体" w:cs="Times New Roman"/>
          <w:color w:val="auto"/>
          <w:sz w:val="24"/>
          <w:szCs w:val="24"/>
          <w:highlight w:val="none"/>
        </w:rPr>
        <w:t>小时，然后再进行负荷运行。</w:t>
      </w:r>
    </w:p>
    <w:p w14:paraId="14F574F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4.2负荷运行时，货物（或生产线）应连续运行</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shd w:val="pct10" w:color="auto" w:fill="FFFFFF"/>
        </w:rPr>
        <w:t xml:space="preserve">5 </w:t>
      </w:r>
      <w:r>
        <w:rPr>
          <w:rFonts w:hint="default" w:ascii="Times New Roman" w:hAnsi="Times New Roman" w:eastAsia="宋体" w:cs="Times New Roman"/>
          <w:color w:val="auto"/>
          <w:sz w:val="24"/>
          <w:szCs w:val="24"/>
          <w:highlight w:val="none"/>
        </w:rPr>
        <w:t>天，每天连续</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shd w:val="pct10" w:color="auto" w:fill="FFFFFF"/>
        </w:rPr>
        <w:t xml:space="preserve">8 </w:t>
      </w:r>
      <w:r>
        <w:rPr>
          <w:rFonts w:hint="default" w:ascii="Times New Roman" w:hAnsi="Times New Roman" w:eastAsia="宋体" w:cs="Times New Roman"/>
          <w:color w:val="auto"/>
          <w:sz w:val="24"/>
          <w:szCs w:val="24"/>
          <w:highlight w:val="none"/>
        </w:rPr>
        <w:t>小时，除用户方面因素外，必须达到以下要求：</w:t>
      </w:r>
    </w:p>
    <w:p w14:paraId="6B411640">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4.2.1在整个验收过程中没有维修、更换零部件或元件行为；</w:t>
      </w:r>
    </w:p>
    <w:p w14:paraId="1758FD2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4.2.2所有出现的调整，每次调整时间均不超过</w:t>
      </w:r>
      <w:r>
        <w:rPr>
          <w:rFonts w:hint="default" w:ascii="Times New Roman" w:hAnsi="Times New Roman" w:eastAsia="宋体" w:cs="Times New Roman"/>
          <w:color w:val="auto"/>
          <w:sz w:val="24"/>
          <w:szCs w:val="24"/>
          <w:highlight w:val="none"/>
          <w:u w:val="single"/>
          <w:shd w:val="pct10" w:color="auto" w:fill="FFFFFF"/>
        </w:rPr>
        <w:t>120</w:t>
      </w:r>
      <w:r>
        <w:rPr>
          <w:rFonts w:hint="default" w:ascii="Times New Roman" w:hAnsi="Times New Roman" w:eastAsia="宋体" w:cs="Times New Roman"/>
          <w:color w:val="auto"/>
          <w:sz w:val="24"/>
          <w:szCs w:val="24"/>
          <w:highlight w:val="none"/>
        </w:rPr>
        <w:t>分钟；</w:t>
      </w:r>
    </w:p>
    <w:p w14:paraId="044676D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4.2.3所有调整时间的总和不超过总运行时间的</w:t>
      </w:r>
      <w:r>
        <w:rPr>
          <w:rFonts w:hint="default" w:ascii="Times New Roman" w:hAnsi="Times New Roman" w:eastAsia="宋体" w:cs="Times New Roman"/>
          <w:color w:val="auto"/>
          <w:sz w:val="24"/>
          <w:szCs w:val="24"/>
          <w:highlight w:val="none"/>
          <w:u w:val="single"/>
          <w:shd w:val="pct10" w:color="auto" w:fill="FFFFFF"/>
        </w:rPr>
        <w:t>10</w:t>
      </w:r>
      <w:r>
        <w:rPr>
          <w:rFonts w:hint="default" w:ascii="Times New Roman" w:hAnsi="Times New Roman" w:eastAsia="宋体" w:cs="Times New Roman"/>
          <w:color w:val="auto"/>
          <w:sz w:val="24"/>
          <w:szCs w:val="24"/>
          <w:highlight w:val="none"/>
        </w:rPr>
        <w:t>%；</w:t>
      </w:r>
    </w:p>
    <w:p w14:paraId="0472B51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4.2.4累计负载运行实际性能（或生产率）达到合同规定；</w:t>
      </w:r>
    </w:p>
    <w:p w14:paraId="6403DF0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4.2.5终验收原则上要求一次完成。若一次验收不成功，最多允许两次；</w:t>
      </w:r>
    </w:p>
    <w:p w14:paraId="4715613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4.2.6终验收通过后签署终验收报告（终验收报告以买方提供的签署完毕并盖章的《新增设备安装竣工验收转资单》为准），并移交、核对全部供货范围内物品。</w:t>
      </w:r>
      <w:bookmarkStart w:id="1198" w:name="_Toc133783975"/>
    </w:p>
    <w:p w14:paraId="605D4583">
      <w:pPr>
        <w:adjustRightInd w:val="0"/>
        <w:snapToGrid w:val="0"/>
        <w:spacing w:before="163" w:beforeLines="50" w:after="163" w:afterLines="50" w:line="360" w:lineRule="auto"/>
        <w:jc w:val="center"/>
        <w:outlineLvl w:val="0"/>
        <w:rPr>
          <w:rFonts w:hint="default" w:ascii="Times New Roman" w:hAnsi="Times New Roman" w:eastAsia="宋体" w:cs="Times New Roman"/>
          <w:b/>
          <w:bCs/>
          <w:color w:val="auto"/>
          <w:sz w:val="24"/>
          <w:szCs w:val="24"/>
          <w:highlight w:val="none"/>
        </w:rPr>
      </w:pPr>
      <w:bookmarkStart w:id="1199" w:name="_Toc1683"/>
      <w:bookmarkStart w:id="1200" w:name="_Toc8435"/>
      <w:bookmarkStart w:id="1201" w:name="_Toc18510"/>
      <w:bookmarkStart w:id="1202" w:name="_Toc4953"/>
      <w:bookmarkStart w:id="1203" w:name="_Toc25401"/>
      <w:bookmarkStart w:id="1204" w:name="_Toc1673"/>
      <w:bookmarkStart w:id="1205" w:name="_Toc23268"/>
      <w:bookmarkStart w:id="1206" w:name="_Toc18342"/>
      <w:bookmarkStart w:id="1207" w:name="_Toc7458"/>
      <w:bookmarkStart w:id="1208" w:name="_Toc1195"/>
      <w:bookmarkStart w:id="1209" w:name="_Toc2249"/>
      <w:bookmarkStart w:id="1210" w:name="_Toc22488"/>
      <w:bookmarkStart w:id="1211" w:name="_Toc17110"/>
      <w:bookmarkStart w:id="1212" w:name="_Toc25348"/>
      <w:bookmarkStart w:id="1213" w:name="_Toc23616"/>
      <w:bookmarkStart w:id="1214" w:name="_Toc22179"/>
      <w:bookmarkStart w:id="1215" w:name="_Toc30187"/>
      <w:bookmarkStart w:id="1216" w:name="_Toc1228"/>
      <w:bookmarkStart w:id="1217" w:name="_Toc1705"/>
      <w:bookmarkStart w:id="1218" w:name="_Toc23397"/>
      <w:bookmarkStart w:id="1219" w:name="_Toc2957"/>
      <w:bookmarkStart w:id="1220" w:name="_Toc14133"/>
      <w:bookmarkStart w:id="1221" w:name="_Toc24925"/>
      <w:bookmarkStart w:id="1222" w:name="_Toc8015"/>
      <w:bookmarkStart w:id="1223" w:name="_Toc663"/>
      <w:bookmarkStart w:id="1224" w:name="_Toc28594"/>
      <w:bookmarkStart w:id="1225" w:name="_Toc19911"/>
      <w:bookmarkStart w:id="1226" w:name="_Toc15351"/>
      <w:bookmarkStart w:id="1227" w:name="_Toc18146"/>
      <w:bookmarkStart w:id="1228" w:name="_Toc2612"/>
      <w:bookmarkStart w:id="1229" w:name="_Toc30219"/>
      <w:bookmarkStart w:id="1230" w:name="_Toc28136"/>
      <w:bookmarkStart w:id="1231" w:name="_Toc32074"/>
      <w:bookmarkStart w:id="1232" w:name="_Toc14217"/>
      <w:bookmarkStart w:id="1233" w:name="_Toc30125"/>
      <w:bookmarkStart w:id="1234" w:name="_Toc29322"/>
      <w:bookmarkStart w:id="1235" w:name="_Toc20836"/>
      <w:bookmarkStart w:id="1236" w:name="_Toc27346"/>
      <w:bookmarkStart w:id="1237" w:name="_Toc15914"/>
      <w:bookmarkStart w:id="1238" w:name="_Toc26248"/>
      <w:bookmarkStart w:id="1239" w:name="_Toc10830"/>
      <w:bookmarkStart w:id="1240" w:name="_Toc12636"/>
      <w:bookmarkStart w:id="1241" w:name="_Toc27525"/>
      <w:bookmarkStart w:id="1242" w:name="_Toc73112425"/>
      <w:r>
        <w:rPr>
          <w:rFonts w:hint="default" w:ascii="Times New Roman" w:hAnsi="Times New Roman" w:eastAsia="宋体" w:cs="Times New Roman"/>
          <w:b/>
          <w:bCs/>
          <w:color w:val="auto"/>
          <w:sz w:val="24"/>
          <w:szCs w:val="24"/>
          <w:highlight w:val="none"/>
        </w:rPr>
        <w:t>第六章投标技术文件一般要求</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2C7EEA8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1投标方应认真阅读招标文件和本技术标书，并按要求编写投标技术文件。</w:t>
      </w:r>
    </w:p>
    <w:p w14:paraId="5478DCD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2投标技术文件至少应对投标货物（或生产线）的“技术偏离”、“商务偏离”作出有无说明；若有，应予以详细填写和说明。</w:t>
      </w:r>
    </w:p>
    <w:p w14:paraId="007DB3B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3投标技术文件至少应对投标货物（或生产线）的功能用途、技术性能、质量标准、技术参数等作出详细说明。</w:t>
      </w:r>
    </w:p>
    <w:p w14:paraId="011E471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4投标技术文件至少应根据投标货物（或生产线）的关键设备、总成、零部件或系统作出优越性说明。</w:t>
      </w:r>
    </w:p>
    <w:p w14:paraId="1226A44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5投标技术文件至少应根据投标货物（或生产线）的配置，按照备品备件、易损件和专用耗材明细表要求以及投标货物（或生产线）主要配置一览表要求（见下表），认真全面填写。</w:t>
      </w:r>
    </w:p>
    <w:p w14:paraId="7FFCA73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6投标技术文件至少应对招标文件和本技术标书所提出的要求，将投标方认为难以满足的条款和要求，予以明确和详细的说明或澄清。</w:t>
      </w:r>
    </w:p>
    <w:p w14:paraId="2C2CB33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183E312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8供货范围内的物品或服务，应当尽可能详细且分类填入配置表，其费用应当计入投标总报价之内。如果出现不一致的报价，将有可能导致废标。</w:t>
      </w:r>
    </w:p>
    <w:p w14:paraId="503AF35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14:paraId="0D2CC09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10带 ★ 号条款为否定项条款。</w:t>
      </w:r>
      <w:bookmarkStart w:id="1243" w:name="_Toc133783976"/>
    </w:p>
    <w:p w14:paraId="6BE7B9DE">
      <w:pPr>
        <w:adjustRightInd w:val="0"/>
        <w:snapToGrid w:val="0"/>
        <w:spacing w:before="163" w:beforeLines="50" w:after="163" w:afterLines="50" w:line="360" w:lineRule="auto"/>
        <w:jc w:val="center"/>
        <w:outlineLvl w:val="0"/>
        <w:rPr>
          <w:rFonts w:hint="default" w:ascii="Times New Roman" w:hAnsi="Times New Roman" w:eastAsia="宋体" w:cs="Times New Roman"/>
          <w:b/>
          <w:bCs/>
          <w:color w:val="auto"/>
          <w:sz w:val="24"/>
          <w:szCs w:val="24"/>
          <w:highlight w:val="none"/>
        </w:rPr>
      </w:pPr>
      <w:bookmarkStart w:id="1244" w:name="_Toc29655"/>
      <w:bookmarkStart w:id="1245" w:name="_Toc7541"/>
      <w:bookmarkStart w:id="1246" w:name="_Toc13666"/>
      <w:bookmarkStart w:id="1247" w:name="_Toc19119"/>
      <w:bookmarkStart w:id="1248" w:name="_Toc23538"/>
      <w:bookmarkStart w:id="1249" w:name="_Toc11416"/>
      <w:bookmarkStart w:id="1250" w:name="_Toc31830"/>
      <w:bookmarkStart w:id="1251" w:name="_Toc25032"/>
      <w:bookmarkStart w:id="1252" w:name="_Toc15684"/>
      <w:bookmarkStart w:id="1253" w:name="_Toc1126"/>
      <w:bookmarkStart w:id="1254" w:name="_Toc11155"/>
      <w:bookmarkStart w:id="1255" w:name="_Toc17463"/>
      <w:bookmarkStart w:id="1256" w:name="_Toc2341"/>
      <w:bookmarkStart w:id="1257" w:name="_Toc29369"/>
      <w:bookmarkStart w:id="1258" w:name="_Toc671"/>
      <w:bookmarkStart w:id="1259" w:name="_Toc919"/>
      <w:bookmarkStart w:id="1260" w:name="_Toc2783"/>
      <w:bookmarkStart w:id="1261" w:name="_Toc5153"/>
      <w:bookmarkStart w:id="1262" w:name="_Toc9954"/>
      <w:bookmarkStart w:id="1263" w:name="_Toc25823"/>
      <w:bookmarkStart w:id="1264" w:name="_Toc147"/>
      <w:bookmarkStart w:id="1265" w:name="_Toc17045"/>
      <w:bookmarkStart w:id="1266" w:name="_Toc3256"/>
      <w:bookmarkStart w:id="1267" w:name="_Toc2177"/>
      <w:bookmarkStart w:id="1268" w:name="_Toc26481"/>
      <w:bookmarkStart w:id="1269" w:name="_Toc13350"/>
      <w:bookmarkStart w:id="1270" w:name="_Toc17174"/>
      <w:bookmarkStart w:id="1271" w:name="_Toc32403"/>
      <w:bookmarkStart w:id="1272" w:name="_Toc16301"/>
      <w:bookmarkStart w:id="1273" w:name="_Toc623"/>
      <w:bookmarkStart w:id="1274" w:name="_Toc3744"/>
      <w:bookmarkStart w:id="1275" w:name="_Toc19444"/>
      <w:bookmarkStart w:id="1276" w:name="_Toc15645"/>
      <w:bookmarkStart w:id="1277" w:name="_Toc7423"/>
      <w:bookmarkStart w:id="1278" w:name="_Toc26559"/>
      <w:bookmarkStart w:id="1279" w:name="_Toc4563"/>
      <w:bookmarkStart w:id="1280" w:name="_Toc5380"/>
      <w:bookmarkStart w:id="1281" w:name="_Toc19821"/>
      <w:bookmarkStart w:id="1282" w:name="_Toc22743"/>
      <w:bookmarkStart w:id="1283" w:name="_Toc73112426"/>
      <w:bookmarkStart w:id="1284" w:name="_Toc10081"/>
      <w:bookmarkStart w:id="1285" w:name="_Toc2151"/>
      <w:bookmarkStart w:id="1286" w:name="_Toc24401"/>
      <w:bookmarkStart w:id="1287" w:name="_Toc10484"/>
      <w:r>
        <w:rPr>
          <w:rFonts w:hint="default" w:ascii="Times New Roman" w:hAnsi="Times New Roman" w:eastAsia="宋体" w:cs="Times New Roman"/>
          <w:b/>
          <w:bCs/>
          <w:color w:val="auto"/>
          <w:sz w:val="24"/>
          <w:szCs w:val="24"/>
          <w:highlight w:val="none"/>
        </w:rPr>
        <w:t>第七章其它要求</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0EBA2555">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1288" w:name="_Toc16802"/>
      <w:bookmarkStart w:id="1289" w:name="_Toc15541"/>
      <w:bookmarkStart w:id="1290" w:name="_Toc13820"/>
      <w:bookmarkStart w:id="1291" w:name="_Toc29679"/>
      <w:bookmarkStart w:id="1292" w:name="_Toc21465"/>
      <w:bookmarkStart w:id="1293" w:name="_Toc16829"/>
      <w:bookmarkStart w:id="1294" w:name="_Toc32012"/>
      <w:bookmarkStart w:id="1295" w:name="_Toc26831"/>
      <w:bookmarkStart w:id="1296" w:name="_Toc15205"/>
      <w:bookmarkStart w:id="1297" w:name="_Toc5514"/>
      <w:bookmarkStart w:id="1298" w:name="_Toc11901"/>
      <w:bookmarkStart w:id="1299" w:name="_Toc4997"/>
      <w:bookmarkStart w:id="1300" w:name="_Toc31105"/>
      <w:bookmarkStart w:id="1301" w:name="_Toc12542"/>
      <w:bookmarkStart w:id="1302" w:name="_Toc22010"/>
      <w:bookmarkStart w:id="1303" w:name="_Toc24181"/>
      <w:bookmarkStart w:id="1304" w:name="_Toc73112427"/>
      <w:bookmarkStart w:id="1305" w:name="_Toc24782"/>
      <w:bookmarkStart w:id="1306" w:name="_Toc12406"/>
      <w:bookmarkStart w:id="1307" w:name="_Toc24680"/>
      <w:bookmarkStart w:id="1308" w:name="_Toc4752"/>
      <w:bookmarkStart w:id="1309" w:name="_Toc16614"/>
      <w:bookmarkStart w:id="1310" w:name="_Toc32470"/>
      <w:bookmarkStart w:id="1311" w:name="_Toc17435"/>
      <w:bookmarkStart w:id="1312" w:name="_Toc24669"/>
      <w:bookmarkStart w:id="1313" w:name="_Toc14684"/>
      <w:bookmarkStart w:id="1314" w:name="_Toc22430"/>
      <w:bookmarkStart w:id="1315" w:name="_Toc20262"/>
      <w:bookmarkStart w:id="1316" w:name="_Toc25903"/>
      <w:bookmarkStart w:id="1317" w:name="_Toc15256"/>
      <w:bookmarkStart w:id="1318" w:name="_Toc29015"/>
      <w:bookmarkStart w:id="1319" w:name="_Toc18469"/>
      <w:bookmarkStart w:id="1320" w:name="_Toc14484"/>
      <w:bookmarkStart w:id="1321" w:name="_Toc17727"/>
      <w:bookmarkStart w:id="1322" w:name="_Toc32544"/>
      <w:bookmarkStart w:id="1323" w:name="_Toc30535"/>
      <w:bookmarkStart w:id="1324" w:name="_Toc17357"/>
      <w:bookmarkStart w:id="1325" w:name="_Toc28364"/>
      <w:bookmarkStart w:id="1326" w:name="_Toc27273"/>
      <w:bookmarkStart w:id="1327" w:name="_Toc17702"/>
      <w:bookmarkStart w:id="1328" w:name="_Toc2497"/>
      <w:bookmarkStart w:id="1329" w:name="_Toc32525"/>
      <w:bookmarkStart w:id="1330" w:name="_Toc11058"/>
      <w:r>
        <w:rPr>
          <w:rFonts w:hint="default" w:ascii="Times New Roman" w:hAnsi="Times New Roman" w:eastAsia="宋体" w:cs="Times New Roman"/>
          <w:b/>
          <w:bCs/>
          <w:color w:val="auto"/>
          <w:sz w:val="24"/>
          <w:szCs w:val="24"/>
          <w:highlight w:val="none"/>
        </w:rPr>
        <w:t>1特殊要求</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33A646EA">
      <w:pPr>
        <w:widowControl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为保证本技术标书所列采购货物（或生产线）的质量以及先进性、可靠性、经济性和实用性，要求投标方在投标文件中，至少应具备以下资格证明文件或资料：</w:t>
      </w:r>
    </w:p>
    <w:p w14:paraId="6CB88EF6">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1.1投标方应是通过有关资格认证的单位，因此应附有有效期内的资格认证证书，如：ISO9001、VDA6.1、QS9000等。</w:t>
      </w:r>
    </w:p>
    <w:p w14:paraId="4952ED5B">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1.2国产设备应附有采购货物（或设备）涉及的由“中国质量认证中心”颁发的《中国国家强制性产品认证证书》（CCC证书）。</w:t>
      </w:r>
    </w:p>
    <w:p w14:paraId="3589124D">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5E50DA5F">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1.4应附有其它与投标单位、采购货物（或生产线）有关的荣誉证书或资料。</w:t>
      </w:r>
    </w:p>
    <w:p w14:paraId="5FB0C4E3">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1.5应附有中国相关国家部委颁发的有效期之内所必需的《生产许可证》。</w:t>
      </w:r>
    </w:p>
    <w:p w14:paraId="763D658F">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1.6应附有必要的采购货物（或设备）的相关检验、试验报告，如：《型式试验的检验报告》、《产品鉴定证书》、《新技术成果证书》等。</w:t>
      </w:r>
    </w:p>
    <w:p w14:paraId="09C3DFD6">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1.7投标方必须附有采购货物（或设备）涉及国家规定必须进行的检验、试验报告等。</w:t>
      </w:r>
    </w:p>
    <w:p w14:paraId="4F74627A">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542886D1">
      <w:pPr>
        <w:snapToGrid w:val="0"/>
        <w:spacing w:line="360" w:lineRule="auto"/>
        <w:ind w:left="480"/>
        <w:outlineLvl w:val="1"/>
        <w:rPr>
          <w:rFonts w:hint="default" w:ascii="Times New Roman" w:hAnsi="Times New Roman" w:eastAsia="宋体" w:cs="Times New Roman"/>
          <w:b/>
          <w:bCs/>
          <w:color w:val="auto"/>
          <w:sz w:val="24"/>
          <w:szCs w:val="24"/>
          <w:highlight w:val="none"/>
        </w:rPr>
      </w:pPr>
      <w:bookmarkStart w:id="1331" w:name="_Toc26626"/>
      <w:bookmarkStart w:id="1332" w:name="_Toc28267"/>
      <w:bookmarkStart w:id="1333" w:name="_Toc22893"/>
      <w:bookmarkStart w:id="1334" w:name="_Toc24176"/>
      <w:bookmarkStart w:id="1335" w:name="_Toc25028"/>
      <w:bookmarkStart w:id="1336" w:name="_Toc21942"/>
      <w:bookmarkStart w:id="1337" w:name="_Toc26307"/>
      <w:bookmarkStart w:id="1338" w:name="_Toc24482"/>
      <w:bookmarkStart w:id="1339" w:name="_Toc25498"/>
      <w:bookmarkStart w:id="1340" w:name="_Toc4243"/>
      <w:bookmarkStart w:id="1341" w:name="_Toc73112429"/>
      <w:bookmarkStart w:id="1342" w:name="_Toc18370"/>
      <w:bookmarkStart w:id="1343" w:name="_Toc16457"/>
      <w:bookmarkStart w:id="1344" w:name="_Toc27894"/>
      <w:bookmarkStart w:id="1345" w:name="_Toc26724"/>
      <w:bookmarkStart w:id="1346" w:name="_Toc28718"/>
      <w:bookmarkStart w:id="1347" w:name="_Toc8864"/>
      <w:bookmarkStart w:id="1348" w:name="_Toc20830"/>
      <w:bookmarkStart w:id="1349" w:name="_Toc3323"/>
      <w:bookmarkStart w:id="1350" w:name="_Toc28559"/>
      <w:bookmarkStart w:id="1351" w:name="_Toc13528"/>
      <w:bookmarkStart w:id="1352" w:name="_Toc4278"/>
      <w:bookmarkStart w:id="1353" w:name="_Toc28380"/>
      <w:bookmarkStart w:id="1354" w:name="_Toc19315"/>
      <w:bookmarkStart w:id="1355" w:name="_Toc22763"/>
      <w:bookmarkStart w:id="1356" w:name="_Toc29233"/>
      <w:bookmarkStart w:id="1357" w:name="_Toc27164"/>
      <w:bookmarkStart w:id="1358" w:name="_Toc5504"/>
      <w:bookmarkStart w:id="1359" w:name="_Toc13497"/>
      <w:bookmarkStart w:id="1360" w:name="_Toc20370"/>
      <w:bookmarkStart w:id="1361" w:name="_Toc18745"/>
      <w:bookmarkStart w:id="1362" w:name="_Toc3658"/>
      <w:bookmarkStart w:id="1363" w:name="_Toc18674"/>
      <w:bookmarkStart w:id="1364" w:name="_Toc8347"/>
      <w:bookmarkStart w:id="1365" w:name="_Toc11707"/>
      <w:bookmarkStart w:id="1366" w:name="_Toc14052"/>
      <w:bookmarkStart w:id="1367" w:name="_Toc28700"/>
      <w:bookmarkStart w:id="1368" w:name="_Toc335"/>
      <w:bookmarkStart w:id="1369" w:name="_Toc3821"/>
      <w:bookmarkStart w:id="1370" w:name="_Toc29954"/>
      <w:bookmarkStart w:id="1371" w:name="_Toc1823"/>
      <w:bookmarkStart w:id="1372" w:name="_Toc14956"/>
      <w:bookmarkStart w:id="1373" w:name="_Toc11255"/>
      <w:r>
        <w:rPr>
          <w:rFonts w:hint="default" w:ascii="Times New Roman" w:hAnsi="Times New Roman" w:eastAsia="宋体" w:cs="Times New Roman"/>
          <w:b/>
          <w:bCs/>
          <w:color w:val="auto"/>
          <w:sz w:val="24"/>
          <w:szCs w:val="24"/>
          <w:highlight w:val="none"/>
        </w:rPr>
        <w:t>2说明</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76B0249D">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57524C6B">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2.2即使有建议意见或建议方案，仍应依据招标文件和本技术标书要求，编写符合要求的投标文件。建议方案或建议意见，应以单独篇章或文件，予以说明。</w:t>
      </w:r>
    </w:p>
    <w:p w14:paraId="55CDE596">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24D60D0E">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2.4招标文件、投标文件、答疑文件、技术交流文件、技术协议书等，在招标过程全部为有效文件，如有差异，以对招标方或买方最有利的条款为准。</w:t>
      </w:r>
    </w:p>
    <w:p w14:paraId="072A37B1">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45E553C">
      <w:pPr>
        <w:snapToGrid w:val="0"/>
        <w:spacing w:line="360" w:lineRule="auto"/>
        <w:ind w:firstLine="480" w:firstLineChars="200"/>
        <w:rPr>
          <w:rFonts w:hint="default" w:ascii="Times New Roman" w:hAnsi="Times New Roman" w:eastAsia="宋体" w:cs="Times New Roman"/>
          <w:color w:val="auto"/>
          <w:sz w:val="24"/>
          <w:szCs w:val="24"/>
          <w:highlight w:val="none"/>
        </w:rPr>
      </w:pPr>
    </w:p>
    <w:p w14:paraId="16613D1C">
      <w:pPr>
        <w:rPr>
          <w:rFonts w:hint="eastAsia" w:ascii="宋体" w:hAnsi="宋体" w:eastAsia="宋体" w:cs="宋体"/>
          <w:sz w:val="24"/>
          <w:szCs w:val="24"/>
        </w:rPr>
      </w:pPr>
      <w:r>
        <w:rPr>
          <w:rFonts w:hint="eastAsia" w:ascii="宋体" w:hAnsi="宋体" w:eastAsia="宋体" w:cs="宋体"/>
          <w:sz w:val="24"/>
          <w:szCs w:val="24"/>
        </w:rPr>
        <w:br w:type="page"/>
      </w:r>
    </w:p>
    <w:p w14:paraId="0AB8C936">
      <w:pPr>
        <w:pStyle w:val="47"/>
      </w:pPr>
    </w:p>
    <w:p w14:paraId="549090A2">
      <w:pPr>
        <w:pStyle w:val="18"/>
      </w:pPr>
    </w:p>
    <w:p w14:paraId="1DA28A7D">
      <w:pPr>
        <w:spacing w:line="360" w:lineRule="auto"/>
        <w:jc w:val="center"/>
        <w:outlineLvl w:val="0"/>
        <w:rPr>
          <w:rFonts w:ascii="宋体" w:hAnsi="Calibri" w:eastAsia="宋体" w:cs="Times New Roman"/>
          <w:b/>
          <w:sz w:val="36"/>
          <w:szCs w:val="36"/>
        </w:rPr>
      </w:pPr>
      <w:bookmarkStart w:id="137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74"/>
    </w:p>
    <w:p w14:paraId="19A6CB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DF09048">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F8E3677">
      <w:pPr>
        <w:adjustRightInd w:val="0"/>
        <w:snapToGrid w:val="0"/>
        <w:spacing w:line="360" w:lineRule="auto"/>
        <w:jc w:val="left"/>
        <w:rPr>
          <w:rFonts w:ascii="宋体" w:hAnsi="宋体"/>
          <w:sz w:val="20"/>
          <w:szCs w:val="20"/>
        </w:rPr>
      </w:pPr>
    </w:p>
    <w:p w14:paraId="2EF2E971">
      <w:pPr>
        <w:adjustRightInd w:val="0"/>
        <w:snapToGrid w:val="0"/>
        <w:spacing w:line="360" w:lineRule="auto"/>
        <w:jc w:val="left"/>
        <w:rPr>
          <w:rFonts w:ascii="宋体" w:hAnsi="宋体"/>
          <w:sz w:val="20"/>
          <w:szCs w:val="20"/>
        </w:rPr>
      </w:pPr>
    </w:p>
    <w:p w14:paraId="670DCEFB">
      <w:pPr>
        <w:adjustRightInd w:val="0"/>
        <w:snapToGrid w:val="0"/>
        <w:spacing w:line="360" w:lineRule="auto"/>
        <w:jc w:val="left"/>
        <w:rPr>
          <w:rFonts w:ascii="宋体" w:hAnsi="宋体"/>
          <w:sz w:val="20"/>
          <w:szCs w:val="20"/>
        </w:rPr>
      </w:pPr>
    </w:p>
    <w:p w14:paraId="36F402B6">
      <w:pPr>
        <w:adjustRightInd w:val="0"/>
        <w:snapToGrid w:val="0"/>
        <w:spacing w:line="360" w:lineRule="auto"/>
        <w:jc w:val="left"/>
        <w:rPr>
          <w:rFonts w:ascii="宋体" w:hAnsi="宋体"/>
          <w:sz w:val="20"/>
          <w:szCs w:val="20"/>
        </w:rPr>
      </w:pPr>
    </w:p>
    <w:p w14:paraId="63267134">
      <w:pPr>
        <w:adjustRightInd w:val="0"/>
        <w:snapToGrid w:val="0"/>
        <w:spacing w:line="360" w:lineRule="auto"/>
        <w:jc w:val="center"/>
        <w:rPr>
          <w:rFonts w:ascii="方正小标宋简体" w:hAnsi="宋体" w:eastAsia="方正小标宋简体"/>
          <w:bCs/>
          <w:sz w:val="52"/>
          <w:szCs w:val="36"/>
        </w:rPr>
      </w:pPr>
    </w:p>
    <w:p w14:paraId="4A6F8FAE">
      <w:pPr>
        <w:adjustRightInd w:val="0"/>
        <w:snapToGrid w:val="0"/>
        <w:spacing w:line="360" w:lineRule="auto"/>
        <w:jc w:val="center"/>
        <w:rPr>
          <w:rFonts w:ascii="方正小标宋简体" w:hAnsi="宋体" w:eastAsia="方正小标宋简体"/>
          <w:bCs/>
          <w:sz w:val="52"/>
          <w:szCs w:val="36"/>
        </w:rPr>
      </w:pPr>
    </w:p>
    <w:p w14:paraId="1AD2AA1E">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40766953">
      <w:pPr>
        <w:pStyle w:val="18"/>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07189BE5">
      <w:pPr>
        <w:adjustRightInd w:val="0"/>
        <w:snapToGrid w:val="0"/>
        <w:spacing w:line="360" w:lineRule="auto"/>
        <w:jc w:val="left"/>
        <w:rPr>
          <w:rFonts w:ascii="宋体" w:hAnsi="宋体"/>
          <w:b/>
          <w:sz w:val="36"/>
          <w:szCs w:val="36"/>
        </w:rPr>
      </w:pPr>
    </w:p>
    <w:p w14:paraId="2378CBC2">
      <w:pPr>
        <w:adjustRightInd w:val="0"/>
        <w:snapToGrid w:val="0"/>
        <w:spacing w:line="360" w:lineRule="auto"/>
        <w:jc w:val="left"/>
        <w:rPr>
          <w:rFonts w:ascii="宋体" w:hAnsi="宋体"/>
          <w:b/>
          <w:sz w:val="36"/>
          <w:szCs w:val="36"/>
        </w:rPr>
      </w:pPr>
    </w:p>
    <w:p w14:paraId="06FB9089">
      <w:pPr>
        <w:adjustRightInd w:val="0"/>
        <w:snapToGrid w:val="0"/>
        <w:spacing w:line="360" w:lineRule="auto"/>
        <w:jc w:val="left"/>
        <w:rPr>
          <w:rFonts w:ascii="宋体" w:hAnsi="宋体"/>
          <w:b/>
          <w:sz w:val="36"/>
          <w:szCs w:val="36"/>
        </w:rPr>
      </w:pPr>
    </w:p>
    <w:p w14:paraId="2484187C">
      <w:pPr>
        <w:adjustRightInd w:val="0"/>
        <w:snapToGrid w:val="0"/>
        <w:spacing w:line="360" w:lineRule="auto"/>
        <w:jc w:val="left"/>
        <w:rPr>
          <w:rFonts w:ascii="宋体" w:hAnsi="宋体"/>
          <w:b/>
          <w:sz w:val="36"/>
          <w:szCs w:val="36"/>
        </w:rPr>
      </w:pPr>
    </w:p>
    <w:p w14:paraId="2933719A">
      <w:pPr>
        <w:adjustRightInd w:val="0"/>
        <w:snapToGrid w:val="0"/>
        <w:spacing w:line="360" w:lineRule="auto"/>
        <w:jc w:val="left"/>
        <w:rPr>
          <w:rFonts w:ascii="宋体" w:hAnsi="宋体"/>
          <w:b/>
          <w:sz w:val="36"/>
          <w:szCs w:val="36"/>
        </w:rPr>
      </w:pPr>
    </w:p>
    <w:p w14:paraId="170F4747">
      <w:pPr>
        <w:adjustRightInd w:val="0"/>
        <w:snapToGrid w:val="0"/>
        <w:spacing w:line="360" w:lineRule="auto"/>
        <w:jc w:val="left"/>
        <w:rPr>
          <w:rFonts w:ascii="宋体" w:hAnsi="宋体"/>
          <w:b/>
          <w:sz w:val="36"/>
          <w:szCs w:val="36"/>
        </w:rPr>
      </w:pPr>
    </w:p>
    <w:p w14:paraId="6534F53F">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BC5C421">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51C870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822999C">
      <w:pPr>
        <w:spacing w:line="360" w:lineRule="auto"/>
        <w:ind w:right="480"/>
        <w:rPr>
          <w:rFonts w:ascii="宋体" w:hAnsi="宋体" w:cs="宋体"/>
          <w:bCs/>
          <w:sz w:val="24"/>
          <w:u w:val="single"/>
        </w:rPr>
      </w:pPr>
      <w:r>
        <w:rPr>
          <w:rFonts w:hint="eastAsia" w:ascii="宋体" w:hAnsi="宋体" w:cs="宋体"/>
          <w:bCs/>
          <w:sz w:val="24"/>
        </w:rPr>
        <w:t xml:space="preserve">                                       </w:t>
      </w:r>
    </w:p>
    <w:p w14:paraId="0AA58A8C">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pgNumType w:fmt="decimal"/>
          <w:cols w:space="720" w:num="1"/>
          <w:docGrid w:linePitch="290" w:charSpace="-3931"/>
        </w:sectPr>
      </w:pPr>
    </w:p>
    <w:p w14:paraId="38A6BDDF">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375"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ACDEEF3">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3C62967">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6F8ED9E">
      <w:pPr>
        <w:spacing w:line="360" w:lineRule="auto"/>
        <w:ind w:right="-189" w:rightChars="-90"/>
        <w:jc w:val="left"/>
        <w:rPr>
          <w:rFonts w:ascii="仿宋_GB2312" w:hAnsi="宋体" w:eastAsia="仿宋_GB2312" w:cs="宋体"/>
          <w:b/>
          <w:bCs/>
          <w:sz w:val="24"/>
          <w:szCs w:val="24"/>
          <w:u w:val="single"/>
        </w:rPr>
      </w:pPr>
    </w:p>
    <w:p w14:paraId="088FA29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683294D">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BD264C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76" w:name="_Toc11930"/>
      <w:bookmarkStart w:id="1377" w:name="_Toc11823"/>
      <w:bookmarkStart w:id="1378" w:name="_Toc16330018"/>
      <w:bookmarkStart w:id="1379" w:name="_Toc17619"/>
      <w:r>
        <w:rPr>
          <w:rFonts w:hint="eastAsia" w:ascii="黑体" w:hAnsi="黑体" w:eastAsia="黑体" w:cstheme="minorEastAsia"/>
          <w:b w:val="0"/>
          <w:sz w:val="28"/>
          <w:szCs w:val="28"/>
        </w:rPr>
        <w:t>1 合同设备</w:t>
      </w:r>
      <w:bookmarkEnd w:id="1376"/>
      <w:bookmarkEnd w:id="1377"/>
      <w:bookmarkEnd w:id="1378"/>
      <w:bookmarkEnd w:id="1379"/>
    </w:p>
    <w:p w14:paraId="5CAB20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5765A77">
      <w:pPr>
        <w:spacing w:line="360" w:lineRule="auto"/>
        <w:ind w:firstLine="453" w:firstLineChars="189"/>
        <w:rPr>
          <w:rFonts w:ascii="仿宋_GB2312" w:eastAsia="仿宋_GB2312" w:hAnsiTheme="minorEastAsia" w:cstheme="minorEastAsia"/>
          <w:sz w:val="24"/>
          <w:szCs w:val="24"/>
        </w:rPr>
      </w:pPr>
      <w:bookmarkStart w:id="1380" w:name="_Toc29026"/>
      <w:bookmarkStart w:id="1381" w:name="_Toc22800"/>
      <w:bookmarkStart w:id="1382" w:name="_Toc32510"/>
      <w:r>
        <w:rPr>
          <w:rFonts w:hint="eastAsia" w:ascii="仿宋_GB2312" w:eastAsia="仿宋_GB2312" w:hAnsiTheme="minorEastAsia" w:cstheme="minorEastAsia"/>
          <w:sz w:val="24"/>
          <w:szCs w:val="24"/>
        </w:rPr>
        <w:t>1.2技术规格和标准</w:t>
      </w:r>
    </w:p>
    <w:p w14:paraId="073685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ED848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1B8F3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5399C6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83" w:name="_Toc16330019"/>
      <w:r>
        <w:rPr>
          <w:rFonts w:hint="eastAsia" w:ascii="黑体" w:hAnsi="黑体" w:eastAsia="黑体" w:cstheme="minorEastAsia"/>
          <w:b w:val="0"/>
          <w:sz w:val="28"/>
          <w:szCs w:val="28"/>
        </w:rPr>
        <w:t>2 包装</w:t>
      </w:r>
      <w:bookmarkEnd w:id="1380"/>
      <w:bookmarkEnd w:id="1381"/>
      <w:bookmarkEnd w:id="1382"/>
      <w:bookmarkEnd w:id="1383"/>
    </w:p>
    <w:p w14:paraId="312799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EC610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E248F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84" w:name="_Toc2833"/>
      <w:bookmarkStart w:id="1385" w:name="_Toc27144"/>
      <w:bookmarkStart w:id="1386" w:name="_Toc16330020"/>
      <w:bookmarkStart w:id="1387" w:name="_Toc27453"/>
      <w:r>
        <w:rPr>
          <w:rFonts w:hint="eastAsia" w:ascii="黑体" w:hAnsi="黑体" w:eastAsia="黑体" w:cstheme="minorEastAsia"/>
          <w:b w:val="0"/>
          <w:sz w:val="28"/>
          <w:szCs w:val="28"/>
        </w:rPr>
        <w:t>3 运输标记</w:t>
      </w:r>
      <w:bookmarkEnd w:id="1384"/>
      <w:bookmarkEnd w:id="1385"/>
      <w:bookmarkEnd w:id="1386"/>
      <w:bookmarkEnd w:id="1387"/>
    </w:p>
    <w:p w14:paraId="19370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EF443E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4CD640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00CE9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A2A89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1BBE9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E0CDC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86BDD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9288062">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88" w:name="_Toc16330021"/>
      <w:bookmarkStart w:id="1389" w:name="_Toc16133"/>
      <w:bookmarkStart w:id="1390" w:name="_Toc7431"/>
      <w:bookmarkStart w:id="1391" w:name="_Toc10630"/>
      <w:r>
        <w:rPr>
          <w:rFonts w:hint="eastAsia" w:ascii="黑体" w:hAnsi="黑体" w:eastAsia="黑体" w:cstheme="minorEastAsia"/>
          <w:b w:val="0"/>
          <w:sz w:val="28"/>
          <w:szCs w:val="28"/>
        </w:rPr>
        <w:t>4 检验</w:t>
      </w:r>
      <w:bookmarkEnd w:id="1388"/>
      <w:bookmarkEnd w:id="1389"/>
      <w:bookmarkEnd w:id="1390"/>
      <w:bookmarkEnd w:id="1391"/>
    </w:p>
    <w:p w14:paraId="64ACE5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47945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B716BE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92" w:name="_Toc16330022"/>
      <w:bookmarkStart w:id="1393" w:name="_Toc19850"/>
      <w:bookmarkStart w:id="1394" w:name="_Toc11217"/>
      <w:bookmarkStart w:id="1395" w:name="_Toc24467"/>
      <w:r>
        <w:rPr>
          <w:rFonts w:hint="eastAsia" w:ascii="黑体" w:hAnsi="黑体" w:eastAsia="黑体" w:cstheme="minorEastAsia"/>
          <w:b w:val="0"/>
          <w:sz w:val="28"/>
          <w:szCs w:val="28"/>
        </w:rPr>
        <w:t>5 权利担保</w:t>
      </w:r>
      <w:bookmarkEnd w:id="1392"/>
      <w:bookmarkEnd w:id="1393"/>
      <w:bookmarkEnd w:id="1394"/>
      <w:bookmarkEnd w:id="1395"/>
    </w:p>
    <w:p w14:paraId="5AAF34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A9AB0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928BB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0089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72845E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2DC711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96" w:name="_Toc14809"/>
      <w:bookmarkStart w:id="1397" w:name="_Toc27500"/>
      <w:bookmarkStart w:id="1398" w:name="_Toc11759"/>
      <w:bookmarkStart w:id="1399" w:name="_Toc16330023"/>
      <w:r>
        <w:rPr>
          <w:rFonts w:hint="eastAsia" w:ascii="黑体" w:hAnsi="黑体" w:eastAsia="黑体" w:cstheme="minorEastAsia"/>
          <w:b w:val="0"/>
          <w:sz w:val="28"/>
          <w:szCs w:val="28"/>
        </w:rPr>
        <w:t>6 交货</w:t>
      </w:r>
      <w:bookmarkEnd w:id="1396"/>
      <w:bookmarkEnd w:id="1397"/>
      <w:bookmarkEnd w:id="1398"/>
      <w:bookmarkEnd w:id="1399"/>
    </w:p>
    <w:p w14:paraId="6AFFD3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56542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15DFF7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CFE316C">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B7B48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8F08F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75AAE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A75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A70C8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3564D5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561A9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63E2A2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805770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B97F24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0" w:name="_Toc25510"/>
      <w:bookmarkStart w:id="1401" w:name="_Toc2984"/>
      <w:bookmarkStart w:id="1402" w:name="_Toc8024"/>
      <w:bookmarkStart w:id="1403" w:name="_Toc16330024"/>
      <w:r>
        <w:rPr>
          <w:rFonts w:hint="eastAsia" w:ascii="黑体" w:hAnsi="黑体" w:eastAsia="黑体" w:cstheme="minorEastAsia"/>
          <w:b w:val="0"/>
          <w:sz w:val="28"/>
          <w:szCs w:val="28"/>
        </w:rPr>
        <w:t>7 安装、调试</w:t>
      </w:r>
      <w:bookmarkEnd w:id="1400"/>
      <w:bookmarkEnd w:id="1401"/>
      <w:bookmarkEnd w:id="1402"/>
      <w:bookmarkEnd w:id="1403"/>
    </w:p>
    <w:p w14:paraId="36B75F59">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72EE8B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10618B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F1597F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613A45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BAF79C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4" w:name="_Toc14260"/>
      <w:bookmarkStart w:id="1405" w:name="_Toc6350"/>
      <w:bookmarkStart w:id="1406" w:name="_Toc14098"/>
      <w:bookmarkStart w:id="1407" w:name="_Toc16330025"/>
      <w:r>
        <w:rPr>
          <w:rFonts w:hint="eastAsia" w:ascii="黑体" w:hAnsi="黑体" w:eastAsia="黑体" w:cstheme="minorEastAsia"/>
          <w:b w:val="0"/>
          <w:sz w:val="28"/>
          <w:szCs w:val="28"/>
        </w:rPr>
        <w:t>8 价款与支付</w:t>
      </w:r>
      <w:bookmarkEnd w:id="1404"/>
      <w:bookmarkEnd w:id="1405"/>
      <w:bookmarkEnd w:id="1406"/>
      <w:bookmarkEnd w:id="1407"/>
    </w:p>
    <w:p w14:paraId="431E54B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846B3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58470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52710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3A4A802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FBE5F7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BAEC2EF">
      <w:pPr>
        <w:spacing w:line="360" w:lineRule="auto"/>
        <w:ind w:firstLine="453" w:firstLineChars="189"/>
        <w:rPr>
          <w:rFonts w:ascii="仿宋_GB2312" w:hAnsi="黑体" w:eastAsia="仿宋_GB2312" w:cstheme="minorEastAsia"/>
          <w:i/>
          <w:sz w:val="24"/>
          <w:szCs w:val="24"/>
        </w:rPr>
      </w:pPr>
      <w:bookmarkStart w:id="1408" w:name="_Toc14531628"/>
      <w:bookmarkStart w:id="140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08"/>
      <w:bookmarkEnd w:id="1409"/>
    </w:p>
    <w:p w14:paraId="27A4D66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0" w:name="_Toc16330026"/>
      <w:bookmarkStart w:id="1411" w:name="_Toc24085"/>
      <w:bookmarkStart w:id="1412" w:name="_Toc25708"/>
      <w:bookmarkStart w:id="1413" w:name="_Toc6726"/>
      <w:r>
        <w:rPr>
          <w:rFonts w:hint="eastAsia" w:ascii="黑体" w:hAnsi="黑体" w:eastAsia="黑体" w:cstheme="minorEastAsia"/>
          <w:b w:val="0"/>
          <w:sz w:val="28"/>
          <w:szCs w:val="28"/>
        </w:rPr>
        <w:t>9 质量保证及售后服务</w:t>
      </w:r>
      <w:bookmarkEnd w:id="1410"/>
      <w:bookmarkEnd w:id="1411"/>
      <w:bookmarkEnd w:id="1412"/>
      <w:bookmarkEnd w:id="1413"/>
    </w:p>
    <w:p w14:paraId="4E6BD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7D18D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9365A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C2C5A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0DB8D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71178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0389AA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B412F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67E128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4" w:name="_Toc15570"/>
      <w:bookmarkStart w:id="1415" w:name="_Toc12927"/>
      <w:bookmarkStart w:id="1416" w:name="_Toc16330027"/>
      <w:bookmarkStart w:id="1417" w:name="_Toc10359"/>
      <w:r>
        <w:rPr>
          <w:rFonts w:hint="eastAsia" w:ascii="黑体" w:hAnsi="黑体" w:eastAsia="黑体" w:cstheme="minorEastAsia"/>
          <w:b w:val="0"/>
          <w:sz w:val="28"/>
          <w:szCs w:val="28"/>
        </w:rPr>
        <w:t>10法定责任</w:t>
      </w:r>
      <w:bookmarkEnd w:id="1414"/>
      <w:bookmarkEnd w:id="1415"/>
      <w:bookmarkEnd w:id="1416"/>
      <w:bookmarkEnd w:id="1417"/>
    </w:p>
    <w:p w14:paraId="132446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A6824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E1938E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B6169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A04DBA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8" w:name="_Toc16330028"/>
      <w:bookmarkStart w:id="1419" w:name="_Toc27314"/>
      <w:bookmarkStart w:id="1420" w:name="_Toc9708"/>
      <w:bookmarkStart w:id="1421" w:name="_Toc30381"/>
      <w:r>
        <w:rPr>
          <w:rFonts w:hint="eastAsia" w:ascii="黑体" w:hAnsi="黑体" w:eastAsia="黑体" w:cstheme="minorEastAsia"/>
          <w:b w:val="0"/>
          <w:sz w:val="28"/>
          <w:szCs w:val="28"/>
        </w:rPr>
        <w:t>11 违约责任</w:t>
      </w:r>
      <w:bookmarkEnd w:id="1418"/>
      <w:bookmarkEnd w:id="1419"/>
      <w:bookmarkEnd w:id="1420"/>
      <w:bookmarkEnd w:id="1421"/>
    </w:p>
    <w:p w14:paraId="31BD33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FD610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E3E675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03DB0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3C419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20FF02F">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69304F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7909C8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5D408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E7E6BD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BF9DC31">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507E55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22" w:name="_Toc31554"/>
      <w:bookmarkStart w:id="1423" w:name="_Toc16330029"/>
      <w:bookmarkStart w:id="1424" w:name="_Toc1827"/>
      <w:bookmarkStart w:id="1425" w:name="_Toc9172"/>
      <w:r>
        <w:rPr>
          <w:rFonts w:hint="eastAsia" w:ascii="黑体" w:hAnsi="黑体" w:eastAsia="黑体" w:cstheme="minorEastAsia"/>
          <w:b w:val="0"/>
          <w:sz w:val="28"/>
          <w:szCs w:val="28"/>
        </w:rPr>
        <w:t>12 合同的终止与解除</w:t>
      </w:r>
      <w:bookmarkEnd w:id="1422"/>
      <w:bookmarkEnd w:id="1423"/>
      <w:bookmarkEnd w:id="1424"/>
      <w:bookmarkEnd w:id="1425"/>
    </w:p>
    <w:p w14:paraId="48B8BD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635C5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299338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11FF5A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39CC450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80C4B4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5D16704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6D2CD8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D5C87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AC7D5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F018C2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541CB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26" w:name="_Toc16330030"/>
      <w:bookmarkStart w:id="1427" w:name="_Toc13671"/>
      <w:bookmarkStart w:id="1428" w:name="_Toc8620"/>
      <w:bookmarkStart w:id="1429" w:name="_Toc31945"/>
      <w:r>
        <w:rPr>
          <w:rFonts w:hint="eastAsia" w:ascii="黑体" w:hAnsi="黑体" w:eastAsia="黑体" w:cstheme="minorEastAsia"/>
          <w:b w:val="0"/>
          <w:sz w:val="28"/>
          <w:szCs w:val="28"/>
        </w:rPr>
        <w:t>13 不可抗力</w:t>
      </w:r>
      <w:bookmarkEnd w:id="1426"/>
      <w:bookmarkEnd w:id="1427"/>
      <w:bookmarkEnd w:id="1428"/>
      <w:bookmarkEnd w:id="1429"/>
    </w:p>
    <w:p w14:paraId="53EADE8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A028E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172083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30" w:name="_Toc16330031"/>
      <w:bookmarkStart w:id="1431" w:name="_Toc31243"/>
      <w:bookmarkStart w:id="1432" w:name="_Toc637"/>
      <w:bookmarkStart w:id="1433" w:name="_Toc30389"/>
      <w:r>
        <w:rPr>
          <w:rFonts w:hint="eastAsia" w:ascii="黑体" w:hAnsi="黑体" w:eastAsia="黑体" w:cstheme="minorEastAsia"/>
          <w:b w:val="0"/>
          <w:sz w:val="28"/>
          <w:szCs w:val="28"/>
        </w:rPr>
        <w:t>14 通讯</w:t>
      </w:r>
      <w:bookmarkEnd w:id="1430"/>
      <w:bookmarkEnd w:id="1431"/>
      <w:bookmarkEnd w:id="1432"/>
      <w:bookmarkEnd w:id="1433"/>
    </w:p>
    <w:p w14:paraId="563003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6988CF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0BCD7E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E3E16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1F4F3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A5E5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48D64A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87B95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AD86F63">
      <w:pPr>
        <w:pStyle w:val="4"/>
        <w:tabs>
          <w:tab w:val="right" w:leader="dot" w:pos="9061"/>
        </w:tabs>
        <w:spacing w:before="240" w:beforeLines="100"/>
        <w:jc w:val="both"/>
        <w:rPr>
          <w:rFonts w:ascii="黑体" w:hAnsi="黑体" w:eastAsia="黑体" w:cstheme="minorEastAsia"/>
          <w:b w:val="0"/>
          <w:sz w:val="28"/>
          <w:szCs w:val="28"/>
        </w:rPr>
      </w:pPr>
      <w:bookmarkStart w:id="1434" w:name="_Toc12984"/>
      <w:bookmarkStart w:id="1435" w:name="_Toc11290"/>
      <w:bookmarkStart w:id="1436" w:name="_Toc16330032"/>
      <w:bookmarkStart w:id="1437" w:name="_Toc9915"/>
      <w:r>
        <w:rPr>
          <w:rFonts w:hint="eastAsia" w:ascii="黑体" w:hAnsi="黑体" w:eastAsia="黑体" w:cstheme="minorEastAsia"/>
          <w:b w:val="0"/>
          <w:sz w:val="28"/>
          <w:szCs w:val="28"/>
        </w:rPr>
        <w:t>15 适用法律及争议解决</w:t>
      </w:r>
      <w:bookmarkEnd w:id="1434"/>
      <w:bookmarkEnd w:id="1435"/>
      <w:bookmarkEnd w:id="1436"/>
      <w:bookmarkEnd w:id="1437"/>
    </w:p>
    <w:p w14:paraId="54EEB0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42EBF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C78BF5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38" w:name="_Toc23906"/>
      <w:bookmarkStart w:id="1439" w:name="_Toc18207"/>
      <w:bookmarkStart w:id="1440" w:name="_Toc16330033"/>
      <w:bookmarkStart w:id="1441" w:name="_Toc23765"/>
      <w:r>
        <w:rPr>
          <w:rFonts w:hint="eastAsia" w:ascii="黑体" w:hAnsi="黑体" w:eastAsia="黑体" w:cstheme="minorEastAsia"/>
          <w:b w:val="0"/>
          <w:sz w:val="28"/>
          <w:szCs w:val="28"/>
        </w:rPr>
        <w:t>16 附件</w:t>
      </w:r>
      <w:bookmarkEnd w:id="1438"/>
      <w:bookmarkEnd w:id="1439"/>
      <w:bookmarkEnd w:id="1440"/>
      <w:bookmarkEnd w:id="1441"/>
    </w:p>
    <w:p w14:paraId="18AA22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F0E08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5975D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2C4CA5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1FA8E7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95DEC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0D283036">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2" w:name="_Toc27202"/>
      <w:bookmarkStart w:id="1443" w:name="_Toc17656"/>
      <w:bookmarkStart w:id="1444" w:name="_Toc31331"/>
      <w:bookmarkStart w:id="1445" w:name="_Toc16330034"/>
      <w:r>
        <w:rPr>
          <w:rFonts w:hint="eastAsia" w:ascii="黑体" w:hAnsi="黑体" w:eastAsia="黑体" w:cstheme="minorEastAsia"/>
          <w:b w:val="0"/>
          <w:sz w:val="28"/>
          <w:szCs w:val="28"/>
        </w:rPr>
        <w:t>17 其他规定</w:t>
      </w:r>
      <w:bookmarkEnd w:id="1442"/>
      <w:bookmarkEnd w:id="1443"/>
      <w:bookmarkEnd w:id="1444"/>
      <w:bookmarkEnd w:id="1445"/>
    </w:p>
    <w:p w14:paraId="5606DA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62FA9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96C61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04C0F43">
      <w:pPr>
        <w:spacing w:line="360" w:lineRule="auto"/>
        <w:ind w:firstLine="453" w:firstLineChars="189"/>
        <w:rPr>
          <w:rFonts w:ascii="仿宋_GB2312" w:eastAsia="仿宋_GB2312" w:hAnsiTheme="minorEastAsia" w:cstheme="minorEastAsia"/>
          <w:sz w:val="24"/>
          <w:szCs w:val="24"/>
        </w:rPr>
      </w:pPr>
      <w:bookmarkStart w:id="1446" w:name="_Toc19077"/>
      <w:bookmarkStart w:id="1447" w:name="_Toc29136"/>
      <w:bookmarkStart w:id="1448" w:name="_Toc17952"/>
      <w:bookmarkStart w:id="1449"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027B26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5B72D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46"/>
      <w:bookmarkEnd w:id="1447"/>
      <w:bookmarkEnd w:id="1448"/>
      <w:bookmarkEnd w:id="1449"/>
    </w:p>
    <w:p w14:paraId="5D9206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1399CB21">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8814A48">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F9DCC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AB1A5FD">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794B2F8B">
      <w:pPr>
        <w:spacing w:line="360" w:lineRule="auto"/>
        <w:rPr>
          <w:rFonts w:ascii="宋体" w:hAnsi="宋体"/>
          <w:snapToGrid w:val="0"/>
          <w:kern w:val="0"/>
          <w:sz w:val="20"/>
          <w:szCs w:val="20"/>
          <w:lang w:eastAsia="zh-Hans"/>
        </w:rPr>
      </w:pPr>
    </w:p>
    <w:p w14:paraId="6E42C0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31D5167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9C3CCB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BA5C55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8A1AD7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262978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32555E8">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5BF7A80">
      <w:pPr>
        <w:spacing w:line="360" w:lineRule="auto"/>
        <w:rPr>
          <w:rFonts w:ascii="仿宋_GB2312" w:eastAsia="仿宋_GB2312"/>
          <w:sz w:val="24"/>
          <w:szCs w:val="24"/>
        </w:rPr>
      </w:pPr>
    </w:p>
    <w:p w14:paraId="05314FA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B67974B"/>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6D7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CDFB8C">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A819313">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EEDBC1C">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1FEB8D6">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C9C3FD3">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CC71208">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7472378">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F9C8D61">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15293AC">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2AC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E3A937">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B1A8E8E">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0FF4658">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F4F5646">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E0D9DC">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4ACA7A">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F359B7E">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2725E1">
            <w:pPr>
              <w:pStyle w:val="27"/>
              <w:spacing w:line="360" w:lineRule="auto"/>
              <w:ind w:left="480" w:hanging="480"/>
              <w:jc w:val="center"/>
              <w:rPr>
                <w:rFonts w:ascii="仿宋_GB2312" w:eastAsia="仿宋_GB2312" w:hAnsiTheme="minorEastAsia" w:cstheme="minorEastAsia"/>
                <w:sz w:val="24"/>
                <w:szCs w:val="24"/>
              </w:rPr>
            </w:pPr>
          </w:p>
        </w:tc>
      </w:tr>
      <w:tr w14:paraId="55BB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58B6672">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0FBB7C1">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5D95803">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803E95C">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E0FFFC5">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F39B5">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5CB81A">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EF16F14">
            <w:pPr>
              <w:pStyle w:val="27"/>
              <w:spacing w:line="360" w:lineRule="auto"/>
              <w:ind w:left="480" w:hanging="480"/>
              <w:jc w:val="center"/>
              <w:rPr>
                <w:rFonts w:ascii="仿宋_GB2312" w:eastAsia="仿宋_GB2312" w:hAnsiTheme="minorEastAsia" w:cstheme="minorEastAsia"/>
                <w:sz w:val="24"/>
                <w:szCs w:val="24"/>
              </w:rPr>
            </w:pPr>
          </w:p>
        </w:tc>
      </w:tr>
      <w:tr w14:paraId="583B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BD08E64">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EE8862A">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5BF693">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36E3382">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32B05B2">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120A60F">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19A016A">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2F3CBD8">
            <w:pPr>
              <w:pStyle w:val="27"/>
              <w:spacing w:line="360" w:lineRule="auto"/>
              <w:ind w:left="480" w:hanging="480"/>
              <w:jc w:val="center"/>
              <w:rPr>
                <w:rFonts w:ascii="仿宋_GB2312" w:eastAsia="仿宋_GB2312" w:hAnsiTheme="minorEastAsia" w:cstheme="minorEastAsia"/>
                <w:sz w:val="24"/>
                <w:szCs w:val="24"/>
              </w:rPr>
            </w:pPr>
          </w:p>
        </w:tc>
      </w:tr>
      <w:tr w14:paraId="6272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CEB350C">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A95A287">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C8477C0">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E7AE82C">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282526F">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2181CFB">
            <w:pPr>
              <w:spacing w:line="360" w:lineRule="auto"/>
              <w:jc w:val="center"/>
              <w:rPr>
                <w:rFonts w:ascii="仿宋_GB2312" w:eastAsia="仿宋_GB2312" w:hAnsiTheme="minorEastAsia" w:cstheme="minorEastAsia"/>
                <w:sz w:val="24"/>
                <w:szCs w:val="24"/>
              </w:rPr>
            </w:pPr>
          </w:p>
        </w:tc>
        <w:tc>
          <w:tcPr>
            <w:tcW w:w="708" w:type="dxa"/>
            <w:vAlign w:val="center"/>
          </w:tcPr>
          <w:p w14:paraId="006EF68E">
            <w:pPr>
              <w:spacing w:line="360" w:lineRule="auto"/>
              <w:jc w:val="center"/>
              <w:rPr>
                <w:rFonts w:ascii="仿宋_GB2312" w:eastAsia="仿宋_GB2312" w:hAnsiTheme="minorEastAsia" w:cstheme="minorEastAsia"/>
                <w:sz w:val="24"/>
                <w:szCs w:val="24"/>
              </w:rPr>
            </w:pPr>
          </w:p>
        </w:tc>
        <w:tc>
          <w:tcPr>
            <w:tcW w:w="708" w:type="dxa"/>
            <w:vAlign w:val="center"/>
          </w:tcPr>
          <w:p w14:paraId="2E44539F">
            <w:pPr>
              <w:spacing w:line="360" w:lineRule="auto"/>
              <w:jc w:val="center"/>
              <w:rPr>
                <w:rFonts w:ascii="仿宋_GB2312" w:eastAsia="仿宋_GB2312" w:hAnsiTheme="minorEastAsia" w:cstheme="minorEastAsia"/>
                <w:sz w:val="24"/>
                <w:szCs w:val="24"/>
              </w:rPr>
            </w:pPr>
          </w:p>
        </w:tc>
      </w:tr>
    </w:tbl>
    <w:p w14:paraId="5D16F8EB">
      <w:pPr>
        <w:rPr>
          <w:rFonts w:asciiTheme="minorEastAsia" w:hAnsiTheme="minorEastAsia" w:eastAsiaTheme="minorEastAsia" w:cstheme="minorEastAsia"/>
          <w:sz w:val="20"/>
          <w:szCs w:val="20"/>
        </w:rPr>
      </w:pPr>
      <w:bookmarkStart w:id="1450" w:name="_Toc25120"/>
      <w:bookmarkStart w:id="1451" w:name="_Toc16330037"/>
      <w:bookmarkStart w:id="1452" w:name="_Toc3778"/>
      <w:bookmarkStart w:id="1453" w:name="_Toc24623"/>
      <w:bookmarkStart w:id="1454" w:name="_Toc5379"/>
      <w:r>
        <w:rPr>
          <w:rFonts w:hint="eastAsia" w:asciiTheme="minorEastAsia" w:hAnsiTheme="minorEastAsia" w:eastAsiaTheme="minorEastAsia" w:cstheme="minorEastAsia"/>
          <w:sz w:val="20"/>
          <w:szCs w:val="20"/>
        </w:rPr>
        <w:br w:type="page"/>
      </w:r>
    </w:p>
    <w:p w14:paraId="351C6DDE">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450"/>
      <w:bookmarkEnd w:id="1451"/>
      <w:bookmarkEnd w:id="1452"/>
      <w:bookmarkEnd w:id="1453"/>
      <w:bookmarkEnd w:id="1454"/>
      <w:r>
        <w:rPr>
          <w:rFonts w:hint="eastAsia" w:ascii="黑体" w:hAnsi="黑体" w:eastAsia="黑体" w:cstheme="minorEastAsia"/>
          <w:b w:val="0"/>
          <w:sz w:val="28"/>
          <w:szCs w:val="28"/>
        </w:rPr>
        <w:t>技术协议书</w:t>
      </w:r>
    </w:p>
    <w:p w14:paraId="2F313BBA">
      <w:pPr>
        <w:ind w:right="360"/>
        <w:rPr>
          <w:rFonts w:asciiTheme="minorEastAsia" w:hAnsiTheme="minorEastAsia" w:eastAsiaTheme="minorEastAsia" w:cstheme="minorEastAsia"/>
          <w:sz w:val="20"/>
          <w:szCs w:val="20"/>
        </w:rPr>
      </w:pPr>
    </w:p>
    <w:p w14:paraId="43045302">
      <w:pPr>
        <w:jc w:val="right"/>
        <w:rPr>
          <w:rFonts w:asciiTheme="minorEastAsia" w:hAnsiTheme="minorEastAsia" w:eastAsiaTheme="minorEastAsia" w:cstheme="minorEastAsia"/>
          <w:sz w:val="20"/>
          <w:szCs w:val="20"/>
        </w:rPr>
      </w:pPr>
    </w:p>
    <w:p w14:paraId="0FC01C36">
      <w:pPr>
        <w:jc w:val="right"/>
        <w:rPr>
          <w:rFonts w:asciiTheme="minorEastAsia" w:hAnsiTheme="minorEastAsia" w:eastAsiaTheme="minorEastAsia" w:cstheme="minorEastAsia"/>
          <w:sz w:val="20"/>
          <w:szCs w:val="20"/>
        </w:rPr>
      </w:pPr>
    </w:p>
    <w:p w14:paraId="6CBBC64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6E7DFB39">
      <w:pPr>
        <w:jc w:val="right"/>
        <w:rPr>
          <w:rFonts w:asciiTheme="minorEastAsia" w:hAnsiTheme="minorEastAsia" w:eastAsiaTheme="minorEastAsia" w:cstheme="minorEastAsia"/>
          <w:sz w:val="20"/>
          <w:szCs w:val="20"/>
        </w:rPr>
      </w:pPr>
    </w:p>
    <w:p w14:paraId="4339498B">
      <w:pPr>
        <w:wordWrap w:val="0"/>
        <w:ind w:right="480"/>
        <w:rPr>
          <w:rFonts w:asciiTheme="minorEastAsia" w:hAnsiTheme="minorEastAsia" w:eastAsiaTheme="minorEastAsia" w:cstheme="minorEastAsia"/>
          <w:sz w:val="20"/>
          <w:szCs w:val="20"/>
        </w:rPr>
      </w:pPr>
    </w:p>
    <w:p w14:paraId="5DD26C66">
      <w:pPr>
        <w:jc w:val="right"/>
        <w:rPr>
          <w:rFonts w:ascii="楷体_GB2312" w:hAnsi="宋体" w:eastAsia="楷体_GB2312"/>
          <w:sz w:val="24"/>
        </w:rPr>
      </w:pPr>
      <w:bookmarkStart w:id="1455" w:name="_Toc14341849"/>
    </w:p>
    <w:p w14:paraId="4236A4A7">
      <w:pPr>
        <w:ind w:right="480"/>
        <w:jc w:val="center"/>
        <w:rPr>
          <w:sz w:val="24"/>
          <w:szCs w:val="24"/>
        </w:rPr>
      </w:pPr>
      <w:r>
        <w:rPr>
          <w:rFonts w:hint="eastAsia" w:ascii="楷体_GB2312" w:hAnsi="宋体" w:eastAsia="楷体_GB2312"/>
          <w:sz w:val="24"/>
        </w:rPr>
        <w:t xml:space="preserve">                                    </w:t>
      </w:r>
    </w:p>
    <w:bookmarkEnd w:id="1455"/>
    <w:p w14:paraId="0DCA8341">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36D3D80">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5938659">
      <w:pPr>
        <w:pStyle w:val="14"/>
        <w:spacing w:before="8"/>
        <w:ind w:left="0" w:firstLine="0"/>
        <w:rPr>
          <w:rFonts w:ascii="楷体" w:hAnsi="楷体" w:eastAsia="楷体" w:cs="楷体"/>
          <w:sz w:val="44"/>
          <w:szCs w:val="28"/>
        </w:rPr>
      </w:pPr>
    </w:p>
    <w:p w14:paraId="6C671970">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A3B728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A215297">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3730FC3">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DE06C13">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A51C364">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0DA3BBD">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478EF5CE">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01BD6A2">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13946EB3">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37185CB5">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4697D4A3">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69EBE6B7">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921A158">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2EDA4AC7">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6C84668A">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BE892A9">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313BF6D">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12C9C692">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39C2D7D">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F3B87B">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B4176B">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1C18850">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90690D6">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8387459">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4091CF0">
      <w:pPr>
        <w:pStyle w:val="128"/>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76EA6A0">
      <w:pPr>
        <w:pStyle w:val="128"/>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4E78B29">
      <w:pPr>
        <w:pStyle w:val="14"/>
        <w:spacing w:before="9"/>
        <w:ind w:left="0" w:firstLine="0"/>
        <w:rPr>
          <w:rFonts w:ascii="楷体" w:hAnsi="楷体" w:eastAsia="楷体" w:cs="楷体"/>
          <w:sz w:val="40"/>
          <w:szCs w:val="28"/>
        </w:rPr>
      </w:pPr>
    </w:p>
    <w:p w14:paraId="01A4F69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69BAE2E1">
      <w:pPr>
        <w:pStyle w:val="14"/>
        <w:ind w:left="0" w:firstLine="0"/>
        <w:rPr>
          <w:rFonts w:ascii="楷体" w:hAnsi="楷体" w:eastAsia="楷体" w:cs="楷体"/>
          <w:b/>
          <w:sz w:val="24"/>
          <w:szCs w:val="28"/>
        </w:rPr>
      </w:pPr>
    </w:p>
    <w:p w14:paraId="1C26C0BB">
      <w:pPr>
        <w:pStyle w:val="14"/>
        <w:spacing w:before="1"/>
        <w:ind w:left="0" w:firstLine="0"/>
        <w:rPr>
          <w:rFonts w:ascii="楷体" w:hAnsi="楷体" w:eastAsia="楷体" w:cs="楷体"/>
          <w:b/>
          <w:sz w:val="24"/>
          <w:szCs w:val="28"/>
        </w:rPr>
      </w:pPr>
    </w:p>
    <w:p w14:paraId="42CD6C8C">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AB6435F">
      <w:pPr>
        <w:pStyle w:val="14"/>
        <w:ind w:left="0" w:firstLine="0"/>
        <w:rPr>
          <w:rFonts w:ascii="楷体" w:hAnsi="楷体" w:eastAsia="楷体" w:cs="楷体"/>
          <w:b/>
          <w:sz w:val="24"/>
          <w:szCs w:val="28"/>
        </w:rPr>
      </w:pPr>
    </w:p>
    <w:p w14:paraId="53D839E3">
      <w:pPr>
        <w:pStyle w:val="14"/>
        <w:spacing w:before="4"/>
        <w:ind w:left="0" w:firstLine="0"/>
        <w:rPr>
          <w:rFonts w:ascii="楷体" w:hAnsi="楷体" w:eastAsia="楷体" w:cs="楷体"/>
          <w:b/>
          <w:sz w:val="24"/>
          <w:szCs w:val="28"/>
        </w:rPr>
      </w:pPr>
    </w:p>
    <w:p w14:paraId="235332C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93A16DF">
      <w:pPr>
        <w:tabs>
          <w:tab w:val="left" w:pos="5457"/>
        </w:tabs>
        <w:ind w:left="117"/>
        <w:rPr>
          <w:rFonts w:ascii="楷体" w:hAnsi="楷体" w:eastAsia="楷体" w:cs="楷体"/>
          <w:b/>
          <w:sz w:val="24"/>
          <w:szCs w:val="21"/>
        </w:rPr>
      </w:pPr>
    </w:p>
    <w:p w14:paraId="40B7AD9F">
      <w:pPr>
        <w:keepNext/>
        <w:keepLines/>
        <w:jc w:val="center"/>
        <w:outlineLvl w:val="0"/>
        <w:rPr>
          <w:rFonts w:hint="eastAsia"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558BA26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75"/>
    </w:p>
    <w:p w14:paraId="69256A97">
      <w:pPr>
        <w:keepNext/>
        <w:keepLines/>
        <w:outlineLvl w:val="9"/>
        <w:rPr>
          <w:rFonts w:hint="eastAsia" w:ascii="Times New Roman" w:hAnsi="Times New Roman" w:eastAsia="宋体" w:cs="Times New Roman"/>
          <w:b/>
          <w:bCs/>
          <w:color w:val="000000"/>
          <w:sz w:val="24"/>
          <w:szCs w:val="24"/>
        </w:rPr>
      </w:pPr>
    </w:p>
    <w:p w14:paraId="15287E79">
      <w:pPr>
        <w:pStyle w:val="18"/>
        <w:rPr>
          <w:rFonts w:hint="eastAsia" w:ascii="Times New Roman" w:hAnsi="Times New Roman" w:eastAsia="宋体" w:cs="Times New Roman"/>
          <w:b/>
          <w:bCs/>
          <w:color w:val="000000"/>
          <w:sz w:val="24"/>
          <w:szCs w:val="24"/>
        </w:rPr>
      </w:pPr>
    </w:p>
    <w:p w14:paraId="5957A89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BF353A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AE43CC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D7ED3C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662861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2A2193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A52576F">
      <w:pPr>
        <w:pStyle w:val="18"/>
        <w:rPr>
          <w:rFonts w:hint="eastAsia"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14:paraId="0DADAB0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56" w:name="_Toc25811"/>
      <w:bookmarkStart w:id="1457" w:name="_Toc353881012"/>
      <w:bookmarkStart w:id="1458" w:name="_Toc212369550"/>
      <w:bookmarkStart w:id="145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56"/>
      <w:bookmarkEnd w:id="1457"/>
      <w:bookmarkEnd w:id="1458"/>
      <w:bookmarkEnd w:id="1459"/>
    </w:p>
    <w:p w14:paraId="2202BA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08928B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车桥公司</w:t>
      </w:r>
      <w:r>
        <w:rPr>
          <w:rFonts w:hint="eastAsia" w:ascii="宋体" w:hAnsi="宋体" w:eastAsia="宋体" w:cs="宋体"/>
          <w:sz w:val="24"/>
          <w:szCs w:val="24"/>
          <w:highlight w:val="none"/>
          <w:u w:val="single"/>
          <w:lang w:val="en-US" w:eastAsia="zh-CN"/>
        </w:rPr>
        <w:t>电驱主减总成装配线改造技改项目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F7938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82606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53B4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9F85C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3A97ED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5437F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085CA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5FF14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49E7B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022F7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536A8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25BE9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9914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FACA6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C4F5A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68720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9873C5D">
      <w:pPr>
        <w:rPr>
          <w:rFonts w:ascii="黑体" w:hAnsi="Calibri" w:eastAsia="黑体" w:cs="Times New Roman"/>
          <w:color w:val="000000"/>
          <w:sz w:val="24"/>
          <w:szCs w:val="24"/>
        </w:rPr>
      </w:pPr>
    </w:p>
    <w:p w14:paraId="61514F49">
      <w:pPr>
        <w:rPr>
          <w:rFonts w:ascii="黑体" w:hAnsi="Calibri" w:eastAsia="黑体" w:cs="Times New Roman"/>
          <w:color w:val="000000"/>
          <w:sz w:val="24"/>
          <w:szCs w:val="24"/>
        </w:rPr>
      </w:pPr>
    </w:p>
    <w:p w14:paraId="73333519">
      <w:pPr>
        <w:pStyle w:val="18"/>
        <w:rPr>
          <w:rFonts w:ascii="黑体" w:hAnsi="Calibri" w:eastAsia="黑体" w:cs="Times New Roman"/>
          <w:color w:val="000000"/>
          <w:sz w:val="24"/>
          <w:szCs w:val="24"/>
        </w:rPr>
      </w:pPr>
    </w:p>
    <w:p w14:paraId="06AB6DCF">
      <w:pPr>
        <w:pStyle w:val="18"/>
        <w:rPr>
          <w:rFonts w:ascii="黑体" w:hAnsi="Calibri" w:eastAsia="黑体" w:cs="Times New Roman"/>
          <w:color w:val="000000"/>
          <w:sz w:val="24"/>
          <w:szCs w:val="24"/>
        </w:rPr>
      </w:pPr>
    </w:p>
    <w:p w14:paraId="137CA61E">
      <w:pPr>
        <w:pStyle w:val="18"/>
        <w:rPr>
          <w:rFonts w:ascii="黑体" w:hAnsi="Calibri" w:eastAsia="黑体" w:cs="Times New Roman"/>
          <w:color w:val="000000"/>
          <w:sz w:val="24"/>
          <w:szCs w:val="24"/>
        </w:rPr>
      </w:pPr>
    </w:p>
    <w:p w14:paraId="751F7641">
      <w:pPr>
        <w:pStyle w:val="18"/>
        <w:rPr>
          <w:rFonts w:ascii="黑体" w:hAnsi="Calibri" w:eastAsia="黑体" w:cs="Times New Roman"/>
          <w:color w:val="000000"/>
          <w:sz w:val="24"/>
          <w:szCs w:val="24"/>
        </w:rPr>
      </w:pPr>
    </w:p>
    <w:p w14:paraId="402037EF">
      <w:pPr>
        <w:rPr>
          <w:rFonts w:ascii="黑体" w:hAnsi="Calibri" w:eastAsia="黑体" w:cs="Times New Roman"/>
          <w:color w:val="000000"/>
          <w:sz w:val="24"/>
          <w:szCs w:val="24"/>
        </w:rPr>
      </w:pPr>
    </w:p>
    <w:p w14:paraId="768866B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363F83">
      <w:pPr>
        <w:adjustRightInd w:val="0"/>
        <w:snapToGrid w:val="0"/>
        <w:spacing w:before="93" w:beforeLines="30" w:line="240" w:lineRule="exact"/>
        <w:jc w:val="center"/>
        <w:rPr>
          <w:rFonts w:ascii="宋体" w:hAnsi="Calibri" w:eastAsia="宋体" w:cs="Times New Roman"/>
          <w:sz w:val="24"/>
          <w:szCs w:val="20"/>
        </w:rPr>
      </w:pPr>
    </w:p>
    <w:p w14:paraId="251D91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电驱主减总成装配线改造技改项目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lang w:eastAsia="zh-CN"/>
        </w:rPr>
        <w:t>CGZX2025090004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5525A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FC70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14CA93C">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23B5B06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1B1CB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D6D41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4EF9C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1F2A3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CE12D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8D04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389DB09">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08F8F8">
      <w:pPr>
        <w:rPr>
          <w:rFonts w:ascii="Calibri" w:hAnsi="Calibri" w:eastAsia="黑体" w:cs="Times New Roman"/>
          <w:b/>
          <w:bCs/>
          <w:color w:val="000000"/>
          <w:sz w:val="28"/>
          <w:szCs w:val="20"/>
        </w:rPr>
      </w:pPr>
    </w:p>
    <w:p w14:paraId="38B63B75">
      <w:pPr>
        <w:pStyle w:val="18"/>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ECF59A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11F73A45">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4BA9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CC01D5">
            <w:pPr>
              <w:pStyle w:val="132"/>
              <w:spacing w:before="114"/>
              <w:ind w:left="720"/>
            </w:pPr>
            <w:r>
              <w:t xml:space="preserve">企业名称 </w:t>
            </w:r>
          </w:p>
        </w:tc>
        <w:tc>
          <w:tcPr>
            <w:tcW w:w="4680" w:type="dxa"/>
            <w:gridSpan w:val="4"/>
            <w:vAlign w:val="center"/>
          </w:tcPr>
          <w:p w14:paraId="59DA3AA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04654E4">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0B9E54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D2A2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020C112">
            <w:pPr>
              <w:pStyle w:val="132"/>
              <w:spacing w:before="114"/>
              <w:ind w:left="720"/>
            </w:pPr>
            <w:r>
              <w:t xml:space="preserve">企业地址 </w:t>
            </w:r>
          </w:p>
        </w:tc>
        <w:tc>
          <w:tcPr>
            <w:tcW w:w="4680" w:type="dxa"/>
            <w:gridSpan w:val="4"/>
            <w:vAlign w:val="center"/>
          </w:tcPr>
          <w:p w14:paraId="3FD75D2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31B84F3">
            <w:pPr>
              <w:pStyle w:val="13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1C4764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129F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B6890F2">
            <w:pPr>
              <w:pStyle w:val="132"/>
              <w:spacing w:before="111"/>
              <w:ind w:left="720"/>
            </w:pPr>
            <w:r>
              <w:t xml:space="preserve">企业性质 </w:t>
            </w:r>
          </w:p>
        </w:tc>
        <w:tc>
          <w:tcPr>
            <w:tcW w:w="4680" w:type="dxa"/>
            <w:gridSpan w:val="4"/>
            <w:vAlign w:val="center"/>
          </w:tcPr>
          <w:p w14:paraId="7192825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D3AB66">
            <w:pPr>
              <w:pStyle w:val="13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231B42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30B4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48A1E7F">
            <w:pPr>
              <w:pStyle w:val="132"/>
              <w:spacing w:before="111"/>
              <w:ind w:left="509"/>
              <w:rPr>
                <w:highlight w:val="yellow"/>
              </w:rPr>
            </w:pPr>
            <w:r>
              <w:t xml:space="preserve">企业法人代表  </w:t>
            </w:r>
          </w:p>
        </w:tc>
        <w:tc>
          <w:tcPr>
            <w:tcW w:w="4680" w:type="dxa"/>
            <w:gridSpan w:val="4"/>
          </w:tcPr>
          <w:p w14:paraId="6E006F0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37A6EF1">
            <w:pPr>
              <w:pStyle w:val="13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4E0C3E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763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850834">
            <w:pPr>
              <w:pStyle w:val="132"/>
              <w:spacing w:before="114"/>
              <w:ind w:left="720"/>
            </w:pPr>
            <w:r>
              <w:t xml:space="preserve">品牌区分 </w:t>
            </w:r>
          </w:p>
        </w:tc>
        <w:tc>
          <w:tcPr>
            <w:tcW w:w="7500" w:type="dxa"/>
            <w:gridSpan w:val="6"/>
          </w:tcPr>
          <w:p w14:paraId="1D649C4D">
            <w:pPr>
              <w:pStyle w:val="13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06A4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F8A0F3">
            <w:pPr>
              <w:pStyle w:val="132"/>
              <w:spacing w:before="178"/>
              <w:ind w:left="720"/>
            </w:pPr>
            <w:r>
              <w:t xml:space="preserve">品牌名称 </w:t>
            </w:r>
          </w:p>
        </w:tc>
        <w:tc>
          <w:tcPr>
            <w:tcW w:w="3583" w:type="dxa"/>
            <w:gridSpan w:val="3"/>
            <w:vAlign w:val="center"/>
          </w:tcPr>
          <w:p w14:paraId="2C992803">
            <w:pPr>
              <w:widowControl/>
              <w:rPr>
                <w:rFonts w:ascii="宋体" w:hAnsi="宋体" w:eastAsia="仿宋_GB2312"/>
                <w:kern w:val="0"/>
                <w:szCs w:val="21"/>
                <w:lang w:bidi="ar"/>
              </w:rPr>
            </w:pPr>
          </w:p>
        </w:tc>
        <w:tc>
          <w:tcPr>
            <w:tcW w:w="1097" w:type="dxa"/>
          </w:tcPr>
          <w:p w14:paraId="0135E3BF">
            <w:pPr>
              <w:pStyle w:val="132"/>
              <w:spacing w:before="15"/>
              <w:ind w:left="279"/>
            </w:pPr>
            <w:r>
              <w:rPr>
                <w:spacing w:val="-2"/>
              </w:rPr>
              <w:t>质量</w:t>
            </w:r>
            <w:r>
              <w:t xml:space="preserve"> </w:t>
            </w:r>
          </w:p>
          <w:p w14:paraId="205C5E7B">
            <w:pPr>
              <w:pStyle w:val="132"/>
              <w:spacing w:before="30" w:line="277" w:lineRule="exact"/>
              <w:ind w:left="279"/>
            </w:pPr>
            <w:r>
              <w:rPr>
                <w:rFonts w:hint="eastAsia"/>
              </w:rPr>
              <w:t>体系</w:t>
            </w:r>
          </w:p>
        </w:tc>
        <w:tc>
          <w:tcPr>
            <w:tcW w:w="2820" w:type="dxa"/>
            <w:gridSpan w:val="2"/>
          </w:tcPr>
          <w:p w14:paraId="6ED600C6">
            <w:pPr>
              <w:pStyle w:val="132"/>
              <w:spacing w:before="158"/>
              <w:jc w:val="center"/>
              <w:rPr>
                <w:sz w:val="24"/>
              </w:rPr>
            </w:pPr>
            <w:r>
              <w:rPr>
                <w:rFonts w:hint="eastAsia"/>
                <w:kern w:val="0"/>
                <w:szCs w:val="21"/>
                <w:lang w:bidi="ar"/>
              </w:rPr>
              <w:t>/</w:t>
            </w:r>
          </w:p>
        </w:tc>
      </w:tr>
      <w:tr w14:paraId="6BFC0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6A97C82">
            <w:pPr>
              <w:pStyle w:val="132"/>
              <w:spacing w:before="149"/>
              <w:ind w:left="3345" w:right="3223"/>
              <w:jc w:val="center"/>
            </w:pPr>
            <w:r>
              <w:rPr>
                <w:rFonts w:hint="eastAsia"/>
                <w:szCs w:val="21"/>
              </w:rPr>
              <w:t>单位概况</w:t>
            </w:r>
          </w:p>
        </w:tc>
      </w:tr>
      <w:tr w14:paraId="24F03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B041B23">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EB6F6F8">
            <w:pPr>
              <w:widowControl/>
              <w:textAlignment w:val="center"/>
              <w:rPr>
                <w:rFonts w:ascii="宋体" w:hAnsi="宋体" w:eastAsia="宋体" w:cs="宋体"/>
                <w:szCs w:val="21"/>
              </w:rPr>
            </w:pPr>
          </w:p>
        </w:tc>
        <w:tc>
          <w:tcPr>
            <w:tcW w:w="1530" w:type="dxa"/>
            <w:vAlign w:val="center"/>
          </w:tcPr>
          <w:p w14:paraId="59856B5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8E95645">
            <w:pPr>
              <w:widowControl/>
              <w:jc w:val="center"/>
              <w:textAlignment w:val="center"/>
              <w:rPr>
                <w:rFonts w:ascii="宋体" w:hAnsi="宋体" w:eastAsia="宋体" w:cs="宋体"/>
                <w:szCs w:val="21"/>
              </w:rPr>
            </w:pPr>
          </w:p>
        </w:tc>
        <w:tc>
          <w:tcPr>
            <w:tcW w:w="1097" w:type="dxa"/>
            <w:vAlign w:val="center"/>
          </w:tcPr>
          <w:p w14:paraId="406ABFCE">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B68C6F8">
            <w:pPr>
              <w:widowControl/>
              <w:jc w:val="center"/>
              <w:textAlignment w:val="center"/>
              <w:rPr>
                <w:rFonts w:ascii="宋体" w:hAnsi="宋体" w:eastAsia="宋体" w:cs="宋体"/>
                <w:szCs w:val="21"/>
              </w:rPr>
            </w:pPr>
          </w:p>
        </w:tc>
      </w:tr>
      <w:tr w14:paraId="17F17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61769EB">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C5995E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4B3F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4F1D918">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1E74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80EF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FB083E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E1482F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516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95EA94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D5865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D283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A3A570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36E9B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2CD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C5D0E7E">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13FA1A0">
            <w:pPr>
              <w:widowControl/>
              <w:jc w:val="left"/>
              <w:rPr>
                <w:rFonts w:ascii="宋体" w:hAnsi="宋体" w:eastAsia="宋体" w:cs="宋体"/>
                <w:kern w:val="0"/>
                <w:szCs w:val="21"/>
                <w:lang w:bidi="ar"/>
              </w:rPr>
            </w:pPr>
          </w:p>
        </w:tc>
      </w:tr>
    </w:tbl>
    <w:p w14:paraId="20AE60AB">
      <w:pPr>
        <w:pStyle w:val="18"/>
        <w:rPr>
          <w:rFonts w:ascii="Times New Roman" w:hAnsi="Times New Roman" w:eastAsia="宋体" w:cs="Times New Roman"/>
          <w:b/>
          <w:bCs/>
          <w:color w:val="000000"/>
          <w:sz w:val="24"/>
          <w:szCs w:val="24"/>
        </w:rPr>
      </w:pPr>
    </w:p>
    <w:p w14:paraId="74106568">
      <w:pPr>
        <w:pStyle w:val="18"/>
        <w:rPr>
          <w:rFonts w:ascii="Times New Roman" w:hAnsi="Times New Roman" w:eastAsia="宋体" w:cs="Times New Roman"/>
          <w:b/>
          <w:bCs/>
          <w:color w:val="000000"/>
          <w:sz w:val="24"/>
          <w:szCs w:val="24"/>
        </w:rPr>
      </w:pPr>
    </w:p>
    <w:p w14:paraId="2173A10D">
      <w:pPr>
        <w:pStyle w:val="18"/>
        <w:rPr>
          <w:rFonts w:ascii="Times New Roman" w:hAnsi="Times New Roman" w:eastAsia="宋体" w:cs="Times New Roman"/>
          <w:b/>
          <w:bCs/>
          <w:color w:val="000000"/>
          <w:sz w:val="24"/>
          <w:szCs w:val="24"/>
        </w:rPr>
      </w:pPr>
    </w:p>
    <w:p w14:paraId="282D4096">
      <w:pPr>
        <w:pStyle w:val="18"/>
        <w:rPr>
          <w:rFonts w:ascii="Times New Roman" w:hAnsi="Times New Roman" w:eastAsia="宋体" w:cs="Times New Roman"/>
          <w:b/>
          <w:bCs/>
          <w:color w:val="000000"/>
          <w:sz w:val="24"/>
          <w:szCs w:val="24"/>
        </w:rPr>
      </w:pPr>
    </w:p>
    <w:p w14:paraId="1D19EC58">
      <w:pPr>
        <w:pStyle w:val="18"/>
        <w:rPr>
          <w:rFonts w:ascii="Times New Roman" w:hAnsi="Times New Roman" w:eastAsia="宋体" w:cs="Times New Roman"/>
          <w:b/>
          <w:bCs/>
          <w:color w:val="000000"/>
          <w:sz w:val="24"/>
          <w:szCs w:val="24"/>
        </w:rPr>
      </w:pPr>
    </w:p>
    <w:p w14:paraId="27FE7FBE">
      <w:pPr>
        <w:pStyle w:val="18"/>
        <w:rPr>
          <w:rFonts w:ascii="Times New Roman" w:hAnsi="Times New Roman" w:eastAsia="宋体" w:cs="Times New Roman"/>
          <w:b/>
          <w:bCs/>
          <w:color w:val="000000"/>
          <w:sz w:val="24"/>
          <w:szCs w:val="24"/>
        </w:rPr>
      </w:pPr>
    </w:p>
    <w:p w14:paraId="7A139AE0">
      <w:pPr>
        <w:pStyle w:val="18"/>
        <w:rPr>
          <w:rFonts w:ascii="Times New Roman" w:hAnsi="Times New Roman" w:eastAsia="宋体" w:cs="Times New Roman"/>
          <w:b/>
          <w:bCs/>
          <w:color w:val="000000"/>
          <w:sz w:val="24"/>
          <w:szCs w:val="24"/>
        </w:rPr>
      </w:pPr>
    </w:p>
    <w:p w14:paraId="2D6335E7">
      <w:pPr>
        <w:pStyle w:val="18"/>
        <w:rPr>
          <w:rFonts w:ascii="Times New Roman" w:hAnsi="Times New Roman" w:eastAsia="宋体" w:cs="Times New Roman"/>
          <w:b/>
          <w:bCs/>
          <w:color w:val="000000"/>
          <w:sz w:val="24"/>
          <w:szCs w:val="24"/>
        </w:rPr>
      </w:pPr>
    </w:p>
    <w:p w14:paraId="0B98D01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1EA0032">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A0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059691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67B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4E2D4D">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5593C08">
            <w:pPr>
              <w:spacing w:line="440" w:lineRule="exact"/>
              <w:jc w:val="center"/>
              <w:rPr>
                <w:rFonts w:ascii="宋体" w:hAnsi="宋体"/>
                <w:color w:val="000000"/>
                <w:sz w:val="24"/>
                <w:szCs w:val="24"/>
              </w:rPr>
            </w:pPr>
          </w:p>
        </w:tc>
      </w:tr>
      <w:tr w14:paraId="39A9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076E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9E389F7">
            <w:pPr>
              <w:spacing w:line="440" w:lineRule="exact"/>
              <w:jc w:val="center"/>
              <w:rPr>
                <w:rFonts w:ascii="宋体" w:hAnsi="宋体"/>
                <w:color w:val="000000"/>
                <w:sz w:val="24"/>
                <w:szCs w:val="24"/>
              </w:rPr>
            </w:pPr>
          </w:p>
        </w:tc>
      </w:tr>
      <w:tr w14:paraId="1DAE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76528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2955265F">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46523D0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4EE7A1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0C4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69E6A0">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221C884">
            <w:pPr>
              <w:spacing w:line="440" w:lineRule="exact"/>
              <w:jc w:val="center"/>
              <w:rPr>
                <w:rFonts w:ascii="宋体" w:hAnsi="宋体"/>
                <w:color w:val="000000"/>
                <w:sz w:val="24"/>
                <w:szCs w:val="24"/>
              </w:rPr>
            </w:pPr>
          </w:p>
        </w:tc>
        <w:tc>
          <w:tcPr>
            <w:tcW w:w="1288" w:type="dxa"/>
          </w:tcPr>
          <w:p w14:paraId="63942BEB">
            <w:pPr>
              <w:spacing w:line="440" w:lineRule="exact"/>
              <w:jc w:val="center"/>
              <w:rPr>
                <w:rFonts w:ascii="宋体" w:hAnsi="宋体"/>
                <w:color w:val="000000"/>
                <w:sz w:val="24"/>
                <w:szCs w:val="24"/>
              </w:rPr>
            </w:pPr>
          </w:p>
        </w:tc>
        <w:tc>
          <w:tcPr>
            <w:tcW w:w="1288" w:type="dxa"/>
          </w:tcPr>
          <w:p w14:paraId="7703251A">
            <w:pPr>
              <w:spacing w:line="440" w:lineRule="exact"/>
              <w:jc w:val="center"/>
              <w:rPr>
                <w:rFonts w:ascii="宋体" w:hAnsi="宋体"/>
                <w:color w:val="000000"/>
                <w:sz w:val="24"/>
                <w:szCs w:val="24"/>
              </w:rPr>
            </w:pPr>
          </w:p>
        </w:tc>
      </w:tr>
      <w:tr w14:paraId="37FE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17864D">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326E0F0">
            <w:pPr>
              <w:spacing w:line="440" w:lineRule="exact"/>
              <w:jc w:val="center"/>
              <w:rPr>
                <w:rFonts w:ascii="宋体" w:hAnsi="宋体"/>
                <w:color w:val="000000"/>
                <w:sz w:val="24"/>
                <w:szCs w:val="24"/>
              </w:rPr>
            </w:pPr>
          </w:p>
        </w:tc>
        <w:tc>
          <w:tcPr>
            <w:tcW w:w="1288" w:type="dxa"/>
          </w:tcPr>
          <w:p w14:paraId="64E97931">
            <w:pPr>
              <w:spacing w:line="440" w:lineRule="exact"/>
              <w:jc w:val="center"/>
              <w:rPr>
                <w:rFonts w:ascii="宋体" w:hAnsi="宋体"/>
                <w:color w:val="000000"/>
                <w:sz w:val="24"/>
                <w:szCs w:val="24"/>
              </w:rPr>
            </w:pPr>
          </w:p>
        </w:tc>
        <w:tc>
          <w:tcPr>
            <w:tcW w:w="1288" w:type="dxa"/>
          </w:tcPr>
          <w:p w14:paraId="64260B7B">
            <w:pPr>
              <w:spacing w:line="440" w:lineRule="exact"/>
              <w:jc w:val="center"/>
              <w:rPr>
                <w:rFonts w:ascii="宋体" w:hAnsi="宋体"/>
                <w:color w:val="000000"/>
                <w:sz w:val="24"/>
                <w:szCs w:val="24"/>
              </w:rPr>
            </w:pPr>
          </w:p>
        </w:tc>
      </w:tr>
      <w:tr w14:paraId="0385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A035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E2D8CC1">
            <w:pPr>
              <w:spacing w:line="440" w:lineRule="exact"/>
              <w:jc w:val="center"/>
              <w:rPr>
                <w:rFonts w:ascii="宋体" w:hAnsi="宋体"/>
                <w:color w:val="000000"/>
                <w:sz w:val="24"/>
                <w:szCs w:val="24"/>
                <w:highlight w:val="yellow"/>
              </w:rPr>
            </w:pPr>
          </w:p>
        </w:tc>
        <w:tc>
          <w:tcPr>
            <w:tcW w:w="1288" w:type="dxa"/>
          </w:tcPr>
          <w:p w14:paraId="1536BE15">
            <w:pPr>
              <w:spacing w:line="440" w:lineRule="exact"/>
              <w:jc w:val="center"/>
              <w:rPr>
                <w:rFonts w:ascii="宋体" w:hAnsi="宋体"/>
                <w:color w:val="000000"/>
                <w:sz w:val="24"/>
                <w:szCs w:val="24"/>
                <w:highlight w:val="yellow"/>
              </w:rPr>
            </w:pPr>
          </w:p>
        </w:tc>
        <w:tc>
          <w:tcPr>
            <w:tcW w:w="1288" w:type="dxa"/>
          </w:tcPr>
          <w:p w14:paraId="1F80AFD0">
            <w:pPr>
              <w:spacing w:line="440" w:lineRule="exact"/>
              <w:jc w:val="center"/>
              <w:rPr>
                <w:rFonts w:ascii="宋体" w:hAnsi="宋体"/>
                <w:color w:val="000000"/>
                <w:sz w:val="24"/>
                <w:szCs w:val="24"/>
                <w:highlight w:val="yellow"/>
              </w:rPr>
            </w:pPr>
          </w:p>
        </w:tc>
      </w:tr>
      <w:tr w14:paraId="2656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EFD3F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AD26447">
            <w:pPr>
              <w:spacing w:line="440" w:lineRule="exact"/>
              <w:jc w:val="center"/>
              <w:rPr>
                <w:rFonts w:ascii="宋体" w:hAnsi="宋体"/>
                <w:color w:val="000000"/>
                <w:sz w:val="24"/>
                <w:szCs w:val="24"/>
              </w:rPr>
            </w:pPr>
          </w:p>
        </w:tc>
        <w:tc>
          <w:tcPr>
            <w:tcW w:w="1288" w:type="dxa"/>
          </w:tcPr>
          <w:p w14:paraId="175B1FF4">
            <w:pPr>
              <w:spacing w:line="440" w:lineRule="exact"/>
              <w:jc w:val="center"/>
              <w:rPr>
                <w:rFonts w:ascii="宋体" w:hAnsi="宋体"/>
                <w:color w:val="000000"/>
                <w:sz w:val="24"/>
                <w:szCs w:val="24"/>
              </w:rPr>
            </w:pPr>
          </w:p>
        </w:tc>
        <w:tc>
          <w:tcPr>
            <w:tcW w:w="1288" w:type="dxa"/>
          </w:tcPr>
          <w:p w14:paraId="05373AFB">
            <w:pPr>
              <w:spacing w:line="440" w:lineRule="exact"/>
              <w:jc w:val="center"/>
              <w:rPr>
                <w:rFonts w:ascii="宋体" w:hAnsi="宋体"/>
                <w:color w:val="000000"/>
                <w:sz w:val="24"/>
                <w:szCs w:val="24"/>
              </w:rPr>
            </w:pPr>
          </w:p>
        </w:tc>
      </w:tr>
      <w:tr w14:paraId="0241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46CE2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083AFC">
            <w:pPr>
              <w:spacing w:line="440" w:lineRule="exact"/>
              <w:jc w:val="center"/>
              <w:rPr>
                <w:rFonts w:ascii="宋体" w:hAnsi="宋体"/>
                <w:color w:val="000000"/>
                <w:sz w:val="24"/>
                <w:szCs w:val="24"/>
              </w:rPr>
            </w:pPr>
          </w:p>
        </w:tc>
        <w:tc>
          <w:tcPr>
            <w:tcW w:w="1288" w:type="dxa"/>
          </w:tcPr>
          <w:p w14:paraId="3555D43D">
            <w:pPr>
              <w:spacing w:line="440" w:lineRule="exact"/>
              <w:jc w:val="center"/>
              <w:rPr>
                <w:rFonts w:ascii="宋体" w:hAnsi="宋体"/>
                <w:color w:val="000000"/>
                <w:sz w:val="24"/>
                <w:szCs w:val="24"/>
              </w:rPr>
            </w:pPr>
          </w:p>
        </w:tc>
        <w:tc>
          <w:tcPr>
            <w:tcW w:w="1288" w:type="dxa"/>
          </w:tcPr>
          <w:p w14:paraId="12AB234D">
            <w:pPr>
              <w:spacing w:line="440" w:lineRule="exact"/>
              <w:jc w:val="center"/>
              <w:rPr>
                <w:rFonts w:ascii="宋体" w:hAnsi="宋体"/>
                <w:color w:val="000000"/>
                <w:sz w:val="24"/>
                <w:szCs w:val="24"/>
              </w:rPr>
            </w:pPr>
          </w:p>
        </w:tc>
      </w:tr>
      <w:tr w14:paraId="621D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3022A5">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DB49061">
            <w:pPr>
              <w:spacing w:line="440" w:lineRule="exact"/>
              <w:jc w:val="center"/>
              <w:rPr>
                <w:rFonts w:ascii="宋体" w:hAnsi="宋体"/>
                <w:color w:val="000000"/>
                <w:sz w:val="24"/>
                <w:szCs w:val="24"/>
                <w:highlight w:val="yellow"/>
              </w:rPr>
            </w:pPr>
          </w:p>
        </w:tc>
        <w:tc>
          <w:tcPr>
            <w:tcW w:w="1288" w:type="dxa"/>
          </w:tcPr>
          <w:p w14:paraId="43580A7C">
            <w:pPr>
              <w:spacing w:line="440" w:lineRule="exact"/>
              <w:jc w:val="center"/>
              <w:rPr>
                <w:rFonts w:ascii="宋体" w:hAnsi="宋体"/>
                <w:color w:val="000000"/>
                <w:sz w:val="24"/>
                <w:szCs w:val="24"/>
                <w:highlight w:val="yellow"/>
              </w:rPr>
            </w:pPr>
          </w:p>
        </w:tc>
        <w:tc>
          <w:tcPr>
            <w:tcW w:w="1288" w:type="dxa"/>
          </w:tcPr>
          <w:p w14:paraId="47299B28">
            <w:pPr>
              <w:spacing w:line="440" w:lineRule="exact"/>
              <w:jc w:val="center"/>
              <w:rPr>
                <w:rFonts w:ascii="宋体" w:hAnsi="宋体"/>
                <w:color w:val="000000"/>
                <w:sz w:val="24"/>
                <w:szCs w:val="24"/>
                <w:highlight w:val="yellow"/>
              </w:rPr>
            </w:pPr>
          </w:p>
        </w:tc>
      </w:tr>
      <w:tr w14:paraId="0EE8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86402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752947C3">
            <w:pPr>
              <w:spacing w:line="440" w:lineRule="exact"/>
              <w:jc w:val="center"/>
              <w:rPr>
                <w:rFonts w:ascii="宋体" w:hAnsi="宋体"/>
                <w:color w:val="000000"/>
                <w:sz w:val="24"/>
                <w:szCs w:val="24"/>
                <w:highlight w:val="yellow"/>
              </w:rPr>
            </w:pPr>
          </w:p>
        </w:tc>
        <w:tc>
          <w:tcPr>
            <w:tcW w:w="1288" w:type="dxa"/>
          </w:tcPr>
          <w:p w14:paraId="235FABD5">
            <w:pPr>
              <w:spacing w:line="440" w:lineRule="exact"/>
              <w:jc w:val="center"/>
              <w:rPr>
                <w:rFonts w:ascii="宋体" w:hAnsi="宋体"/>
                <w:color w:val="000000"/>
                <w:sz w:val="24"/>
                <w:szCs w:val="24"/>
                <w:highlight w:val="yellow"/>
              </w:rPr>
            </w:pPr>
          </w:p>
        </w:tc>
        <w:tc>
          <w:tcPr>
            <w:tcW w:w="1288" w:type="dxa"/>
          </w:tcPr>
          <w:p w14:paraId="1D68D7C8">
            <w:pPr>
              <w:spacing w:line="440" w:lineRule="exact"/>
              <w:jc w:val="center"/>
              <w:rPr>
                <w:rFonts w:ascii="宋体" w:hAnsi="宋体"/>
                <w:color w:val="000000"/>
                <w:sz w:val="24"/>
                <w:szCs w:val="24"/>
                <w:highlight w:val="yellow"/>
              </w:rPr>
            </w:pPr>
          </w:p>
        </w:tc>
      </w:tr>
      <w:tr w14:paraId="5BFA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36C8C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F0AD63C">
            <w:pPr>
              <w:spacing w:line="440" w:lineRule="exact"/>
              <w:jc w:val="center"/>
              <w:rPr>
                <w:rFonts w:ascii="宋体" w:hAnsi="宋体"/>
                <w:color w:val="000000"/>
                <w:sz w:val="24"/>
                <w:szCs w:val="24"/>
              </w:rPr>
            </w:pPr>
          </w:p>
        </w:tc>
        <w:tc>
          <w:tcPr>
            <w:tcW w:w="1288" w:type="dxa"/>
          </w:tcPr>
          <w:p w14:paraId="53301F53">
            <w:pPr>
              <w:spacing w:line="440" w:lineRule="exact"/>
              <w:jc w:val="center"/>
              <w:rPr>
                <w:rFonts w:ascii="宋体" w:hAnsi="宋体"/>
                <w:color w:val="000000"/>
                <w:sz w:val="24"/>
                <w:szCs w:val="24"/>
              </w:rPr>
            </w:pPr>
          </w:p>
        </w:tc>
        <w:tc>
          <w:tcPr>
            <w:tcW w:w="1288" w:type="dxa"/>
          </w:tcPr>
          <w:p w14:paraId="49E442AD">
            <w:pPr>
              <w:spacing w:line="440" w:lineRule="exact"/>
              <w:jc w:val="center"/>
              <w:rPr>
                <w:rFonts w:ascii="宋体" w:hAnsi="宋体"/>
                <w:color w:val="000000"/>
                <w:sz w:val="24"/>
                <w:szCs w:val="24"/>
              </w:rPr>
            </w:pPr>
          </w:p>
        </w:tc>
      </w:tr>
      <w:tr w14:paraId="0DA3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B5900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18D6A9E">
            <w:pPr>
              <w:spacing w:line="440" w:lineRule="exact"/>
              <w:jc w:val="center"/>
              <w:rPr>
                <w:rFonts w:ascii="宋体" w:hAnsi="宋体"/>
                <w:color w:val="000000"/>
                <w:sz w:val="24"/>
                <w:szCs w:val="24"/>
              </w:rPr>
            </w:pPr>
          </w:p>
        </w:tc>
        <w:tc>
          <w:tcPr>
            <w:tcW w:w="1288" w:type="dxa"/>
          </w:tcPr>
          <w:p w14:paraId="7CE6AB73">
            <w:pPr>
              <w:spacing w:line="440" w:lineRule="exact"/>
              <w:jc w:val="center"/>
              <w:rPr>
                <w:rFonts w:ascii="宋体" w:hAnsi="宋体"/>
                <w:color w:val="000000"/>
                <w:sz w:val="24"/>
                <w:szCs w:val="24"/>
              </w:rPr>
            </w:pPr>
          </w:p>
        </w:tc>
        <w:tc>
          <w:tcPr>
            <w:tcW w:w="1288" w:type="dxa"/>
          </w:tcPr>
          <w:p w14:paraId="251DE47A">
            <w:pPr>
              <w:spacing w:line="440" w:lineRule="exact"/>
              <w:jc w:val="center"/>
              <w:rPr>
                <w:rFonts w:ascii="宋体" w:hAnsi="宋体"/>
                <w:color w:val="000000"/>
                <w:sz w:val="24"/>
                <w:szCs w:val="24"/>
              </w:rPr>
            </w:pPr>
          </w:p>
        </w:tc>
      </w:tr>
      <w:tr w14:paraId="42F6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5A3885">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A9C4D58">
            <w:pPr>
              <w:spacing w:line="440" w:lineRule="exact"/>
              <w:jc w:val="center"/>
              <w:rPr>
                <w:rFonts w:ascii="宋体" w:hAnsi="宋体"/>
                <w:color w:val="000000"/>
                <w:sz w:val="24"/>
                <w:szCs w:val="24"/>
              </w:rPr>
            </w:pPr>
          </w:p>
        </w:tc>
        <w:tc>
          <w:tcPr>
            <w:tcW w:w="1288" w:type="dxa"/>
          </w:tcPr>
          <w:p w14:paraId="72222462">
            <w:pPr>
              <w:spacing w:line="440" w:lineRule="exact"/>
              <w:jc w:val="center"/>
              <w:rPr>
                <w:rFonts w:ascii="宋体" w:hAnsi="宋体"/>
                <w:color w:val="000000"/>
                <w:sz w:val="24"/>
                <w:szCs w:val="24"/>
              </w:rPr>
            </w:pPr>
          </w:p>
        </w:tc>
        <w:tc>
          <w:tcPr>
            <w:tcW w:w="1288" w:type="dxa"/>
          </w:tcPr>
          <w:p w14:paraId="61BCF8CD">
            <w:pPr>
              <w:spacing w:line="440" w:lineRule="exact"/>
              <w:jc w:val="center"/>
              <w:rPr>
                <w:rFonts w:ascii="宋体" w:hAnsi="宋体"/>
                <w:color w:val="000000"/>
                <w:sz w:val="24"/>
                <w:szCs w:val="24"/>
              </w:rPr>
            </w:pPr>
          </w:p>
        </w:tc>
      </w:tr>
    </w:tbl>
    <w:p w14:paraId="5693648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9B2926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4E8AA7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F055D8">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2617D9A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64B420A">
      <w:pPr>
        <w:spacing w:line="240" w:lineRule="exact"/>
        <w:jc w:val="center"/>
        <w:rPr>
          <w:rFonts w:ascii="宋体" w:hAnsi="Calibri" w:eastAsia="宋体" w:cs="Times New Roman"/>
          <w:b/>
          <w:bCs/>
          <w:sz w:val="36"/>
          <w:szCs w:val="20"/>
        </w:rPr>
      </w:pPr>
    </w:p>
    <w:p w14:paraId="5CFA36FE">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车桥公司电驱主减总成装配线改造技改项目</w:t>
      </w:r>
    </w:p>
    <w:p w14:paraId="6F9C2B8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7C74D68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818A1D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D6A8B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AC8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F5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D30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C561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6818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C74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295F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D13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C8CE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7E7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70A5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179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891819">
      <w:pPr>
        <w:spacing w:line="360" w:lineRule="auto"/>
        <w:ind w:firstLine="480" w:firstLineChars="200"/>
        <w:rPr>
          <w:rFonts w:ascii="宋体" w:hAnsi="宋体" w:eastAsia="宋体" w:cs="Times New Roman"/>
          <w:sz w:val="24"/>
          <w:szCs w:val="20"/>
          <w:u w:val="single"/>
        </w:rPr>
      </w:pPr>
    </w:p>
    <w:p w14:paraId="5D5C12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030BB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F8D1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668B32">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042436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73D4EB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车桥公司电驱主减总成装配线改造技改项目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6F6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0DCA561">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29B3FB">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6D2EE9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4918B04">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64D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AEAA18">
            <w:pPr>
              <w:jc w:val="center"/>
              <w:rPr>
                <w:rFonts w:ascii="Times New Roman" w:hAnsi="Times New Roman" w:eastAsia="宋体" w:cs="Times New Roman"/>
                <w:b/>
                <w:sz w:val="24"/>
                <w:szCs w:val="20"/>
              </w:rPr>
            </w:pPr>
          </w:p>
        </w:tc>
        <w:tc>
          <w:tcPr>
            <w:tcW w:w="3449" w:type="dxa"/>
          </w:tcPr>
          <w:p w14:paraId="53758DCF">
            <w:pPr>
              <w:jc w:val="center"/>
              <w:rPr>
                <w:rFonts w:ascii="Times New Roman" w:hAnsi="Times New Roman" w:eastAsia="宋体" w:cs="Times New Roman"/>
                <w:b/>
                <w:sz w:val="24"/>
                <w:szCs w:val="20"/>
              </w:rPr>
            </w:pPr>
          </w:p>
        </w:tc>
        <w:tc>
          <w:tcPr>
            <w:tcW w:w="2414" w:type="dxa"/>
          </w:tcPr>
          <w:p w14:paraId="49156576">
            <w:pPr>
              <w:jc w:val="center"/>
              <w:rPr>
                <w:rFonts w:ascii="Times New Roman" w:hAnsi="Times New Roman" w:eastAsia="宋体" w:cs="Times New Roman"/>
                <w:b/>
                <w:sz w:val="24"/>
                <w:szCs w:val="20"/>
              </w:rPr>
            </w:pPr>
          </w:p>
        </w:tc>
        <w:tc>
          <w:tcPr>
            <w:tcW w:w="1608" w:type="dxa"/>
          </w:tcPr>
          <w:p w14:paraId="707FAC8B">
            <w:pPr>
              <w:jc w:val="center"/>
              <w:rPr>
                <w:rFonts w:ascii="Times New Roman" w:hAnsi="Times New Roman" w:eastAsia="宋体" w:cs="Times New Roman"/>
                <w:b/>
                <w:sz w:val="24"/>
                <w:szCs w:val="20"/>
              </w:rPr>
            </w:pPr>
          </w:p>
        </w:tc>
      </w:tr>
      <w:tr w14:paraId="5827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5925B">
            <w:pPr>
              <w:jc w:val="center"/>
              <w:rPr>
                <w:rFonts w:ascii="Times New Roman" w:hAnsi="Times New Roman" w:eastAsia="宋体" w:cs="Times New Roman"/>
                <w:b/>
                <w:sz w:val="24"/>
                <w:szCs w:val="20"/>
              </w:rPr>
            </w:pPr>
          </w:p>
        </w:tc>
        <w:tc>
          <w:tcPr>
            <w:tcW w:w="3449" w:type="dxa"/>
          </w:tcPr>
          <w:p w14:paraId="04CF5E81">
            <w:pPr>
              <w:jc w:val="center"/>
              <w:rPr>
                <w:rFonts w:ascii="Times New Roman" w:hAnsi="Times New Roman" w:eastAsia="宋体" w:cs="Times New Roman"/>
                <w:b/>
                <w:sz w:val="24"/>
                <w:szCs w:val="20"/>
              </w:rPr>
            </w:pPr>
          </w:p>
        </w:tc>
        <w:tc>
          <w:tcPr>
            <w:tcW w:w="2414" w:type="dxa"/>
          </w:tcPr>
          <w:p w14:paraId="0183A04F">
            <w:pPr>
              <w:jc w:val="center"/>
              <w:rPr>
                <w:rFonts w:ascii="Times New Roman" w:hAnsi="Times New Roman" w:eastAsia="宋体" w:cs="Times New Roman"/>
                <w:b/>
                <w:sz w:val="24"/>
                <w:szCs w:val="20"/>
              </w:rPr>
            </w:pPr>
          </w:p>
        </w:tc>
        <w:tc>
          <w:tcPr>
            <w:tcW w:w="1608" w:type="dxa"/>
          </w:tcPr>
          <w:p w14:paraId="76C54004">
            <w:pPr>
              <w:jc w:val="center"/>
              <w:rPr>
                <w:rFonts w:ascii="Times New Roman" w:hAnsi="Times New Roman" w:eastAsia="宋体" w:cs="Times New Roman"/>
                <w:b/>
                <w:sz w:val="24"/>
                <w:szCs w:val="20"/>
              </w:rPr>
            </w:pPr>
          </w:p>
        </w:tc>
      </w:tr>
      <w:tr w14:paraId="47EB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E38BC4">
            <w:pPr>
              <w:jc w:val="center"/>
              <w:rPr>
                <w:rFonts w:ascii="Times New Roman" w:hAnsi="Times New Roman" w:eastAsia="宋体" w:cs="Times New Roman"/>
                <w:b/>
                <w:sz w:val="24"/>
                <w:szCs w:val="20"/>
              </w:rPr>
            </w:pPr>
          </w:p>
        </w:tc>
        <w:tc>
          <w:tcPr>
            <w:tcW w:w="3449" w:type="dxa"/>
          </w:tcPr>
          <w:p w14:paraId="06908A84">
            <w:pPr>
              <w:jc w:val="center"/>
              <w:rPr>
                <w:rFonts w:ascii="Times New Roman" w:hAnsi="Times New Roman" w:eastAsia="宋体" w:cs="Times New Roman"/>
                <w:b/>
                <w:sz w:val="24"/>
                <w:szCs w:val="20"/>
              </w:rPr>
            </w:pPr>
          </w:p>
        </w:tc>
        <w:tc>
          <w:tcPr>
            <w:tcW w:w="2414" w:type="dxa"/>
          </w:tcPr>
          <w:p w14:paraId="2A0B3C1A">
            <w:pPr>
              <w:jc w:val="center"/>
              <w:rPr>
                <w:rFonts w:ascii="Times New Roman" w:hAnsi="Times New Roman" w:eastAsia="宋体" w:cs="Times New Roman"/>
                <w:b/>
                <w:sz w:val="24"/>
                <w:szCs w:val="20"/>
              </w:rPr>
            </w:pPr>
          </w:p>
        </w:tc>
        <w:tc>
          <w:tcPr>
            <w:tcW w:w="1608" w:type="dxa"/>
          </w:tcPr>
          <w:p w14:paraId="08020D95">
            <w:pPr>
              <w:jc w:val="center"/>
              <w:rPr>
                <w:rFonts w:ascii="Times New Roman" w:hAnsi="Times New Roman" w:eastAsia="宋体" w:cs="Times New Roman"/>
                <w:b/>
                <w:sz w:val="24"/>
                <w:szCs w:val="20"/>
              </w:rPr>
            </w:pPr>
          </w:p>
        </w:tc>
      </w:tr>
      <w:tr w14:paraId="7746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B4D45B8">
            <w:pPr>
              <w:jc w:val="center"/>
              <w:rPr>
                <w:rFonts w:ascii="Times New Roman" w:hAnsi="Times New Roman" w:eastAsia="宋体" w:cs="Times New Roman"/>
                <w:b/>
                <w:sz w:val="24"/>
                <w:szCs w:val="20"/>
              </w:rPr>
            </w:pPr>
          </w:p>
        </w:tc>
        <w:tc>
          <w:tcPr>
            <w:tcW w:w="3449" w:type="dxa"/>
          </w:tcPr>
          <w:p w14:paraId="535383E5">
            <w:pPr>
              <w:jc w:val="center"/>
              <w:rPr>
                <w:rFonts w:ascii="Times New Roman" w:hAnsi="Times New Roman" w:eastAsia="宋体" w:cs="Times New Roman"/>
                <w:b/>
                <w:sz w:val="24"/>
                <w:szCs w:val="20"/>
              </w:rPr>
            </w:pPr>
          </w:p>
        </w:tc>
        <w:tc>
          <w:tcPr>
            <w:tcW w:w="2414" w:type="dxa"/>
          </w:tcPr>
          <w:p w14:paraId="2B082B87">
            <w:pPr>
              <w:jc w:val="center"/>
              <w:rPr>
                <w:rFonts w:ascii="Times New Roman" w:hAnsi="Times New Roman" w:eastAsia="宋体" w:cs="Times New Roman"/>
                <w:b/>
                <w:sz w:val="24"/>
                <w:szCs w:val="20"/>
              </w:rPr>
            </w:pPr>
          </w:p>
        </w:tc>
        <w:tc>
          <w:tcPr>
            <w:tcW w:w="1608" w:type="dxa"/>
          </w:tcPr>
          <w:p w14:paraId="2CD3BA87">
            <w:pPr>
              <w:jc w:val="center"/>
              <w:rPr>
                <w:rFonts w:ascii="Times New Roman" w:hAnsi="Times New Roman" w:eastAsia="宋体" w:cs="Times New Roman"/>
                <w:b/>
                <w:sz w:val="24"/>
                <w:szCs w:val="20"/>
              </w:rPr>
            </w:pPr>
          </w:p>
        </w:tc>
      </w:tr>
      <w:tr w14:paraId="1363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D46E8D">
            <w:pPr>
              <w:jc w:val="center"/>
              <w:rPr>
                <w:rFonts w:ascii="Times New Roman" w:hAnsi="Times New Roman" w:eastAsia="宋体" w:cs="Times New Roman"/>
                <w:b/>
                <w:sz w:val="24"/>
                <w:szCs w:val="20"/>
              </w:rPr>
            </w:pPr>
          </w:p>
        </w:tc>
        <w:tc>
          <w:tcPr>
            <w:tcW w:w="3449" w:type="dxa"/>
          </w:tcPr>
          <w:p w14:paraId="14B46927">
            <w:pPr>
              <w:jc w:val="center"/>
              <w:rPr>
                <w:rFonts w:ascii="Times New Roman" w:hAnsi="Times New Roman" w:eastAsia="宋体" w:cs="Times New Roman"/>
                <w:b/>
                <w:sz w:val="24"/>
                <w:szCs w:val="20"/>
              </w:rPr>
            </w:pPr>
          </w:p>
        </w:tc>
        <w:tc>
          <w:tcPr>
            <w:tcW w:w="2414" w:type="dxa"/>
          </w:tcPr>
          <w:p w14:paraId="70CB30B1">
            <w:pPr>
              <w:jc w:val="center"/>
              <w:rPr>
                <w:rFonts w:ascii="Times New Roman" w:hAnsi="Times New Roman" w:eastAsia="宋体" w:cs="Times New Roman"/>
                <w:b/>
                <w:sz w:val="24"/>
                <w:szCs w:val="20"/>
              </w:rPr>
            </w:pPr>
          </w:p>
        </w:tc>
        <w:tc>
          <w:tcPr>
            <w:tcW w:w="1608" w:type="dxa"/>
          </w:tcPr>
          <w:p w14:paraId="131E40E4">
            <w:pPr>
              <w:jc w:val="center"/>
              <w:rPr>
                <w:rFonts w:ascii="Times New Roman" w:hAnsi="Times New Roman" w:eastAsia="宋体" w:cs="Times New Roman"/>
                <w:b/>
                <w:sz w:val="24"/>
                <w:szCs w:val="20"/>
              </w:rPr>
            </w:pPr>
          </w:p>
        </w:tc>
      </w:tr>
      <w:tr w14:paraId="133C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C16B24">
            <w:pPr>
              <w:jc w:val="center"/>
              <w:rPr>
                <w:rFonts w:ascii="Times New Roman" w:hAnsi="Times New Roman" w:eastAsia="宋体" w:cs="Times New Roman"/>
                <w:b/>
                <w:sz w:val="24"/>
                <w:szCs w:val="20"/>
              </w:rPr>
            </w:pPr>
          </w:p>
        </w:tc>
        <w:tc>
          <w:tcPr>
            <w:tcW w:w="3449" w:type="dxa"/>
          </w:tcPr>
          <w:p w14:paraId="75CF22AD">
            <w:pPr>
              <w:jc w:val="center"/>
              <w:rPr>
                <w:rFonts w:ascii="Times New Roman" w:hAnsi="Times New Roman" w:eastAsia="宋体" w:cs="Times New Roman"/>
                <w:b/>
                <w:sz w:val="24"/>
                <w:szCs w:val="20"/>
              </w:rPr>
            </w:pPr>
          </w:p>
        </w:tc>
        <w:tc>
          <w:tcPr>
            <w:tcW w:w="2414" w:type="dxa"/>
          </w:tcPr>
          <w:p w14:paraId="4B87C332">
            <w:pPr>
              <w:jc w:val="center"/>
              <w:rPr>
                <w:rFonts w:ascii="Times New Roman" w:hAnsi="Times New Roman" w:eastAsia="宋体" w:cs="Times New Roman"/>
                <w:b/>
                <w:sz w:val="24"/>
                <w:szCs w:val="20"/>
              </w:rPr>
            </w:pPr>
          </w:p>
        </w:tc>
        <w:tc>
          <w:tcPr>
            <w:tcW w:w="1608" w:type="dxa"/>
          </w:tcPr>
          <w:p w14:paraId="495A0CB8">
            <w:pPr>
              <w:jc w:val="center"/>
              <w:rPr>
                <w:rFonts w:ascii="Times New Roman" w:hAnsi="Times New Roman" w:eastAsia="宋体" w:cs="Times New Roman"/>
                <w:b/>
                <w:sz w:val="24"/>
                <w:szCs w:val="20"/>
              </w:rPr>
            </w:pPr>
          </w:p>
        </w:tc>
      </w:tr>
      <w:tr w14:paraId="08A6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C20ADB">
            <w:pPr>
              <w:jc w:val="center"/>
              <w:rPr>
                <w:rFonts w:ascii="Times New Roman" w:hAnsi="Times New Roman" w:eastAsia="宋体" w:cs="Times New Roman"/>
                <w:b/>
                <w:sz w:val="24"/>
                <w:szCs w:val="20"/>
              </w:rPr>
            </w:pPr>
          </w:p>
        </w:tc>
        <w:tc>
          <w:tcPr>
            <w:tcW w:w="3449" w:type="dxa"/>
          </w:tcPr>
          <w:p w14:paraId="53B7009F">
            <w:pPr>
              <w:jc w:val="center"/>
              <w:rPr>
                <w:rFonts w:ascii="Times New Roman" w:hAnsi="Times New Roman" w:eastAsia="宋体" w:cs="Times New Roman"/>
                <w:b/>
                <w:sz w:val="24"/>
                <w:szCs w:val="20"/>
              </w:rPr>
            </w:pPr>
          </w:p>
        </w:tc>
        <w:tc>
          <w:tcPr>
            <w:tcW w:w="2414" w:type="dxa"/>
          </w:tcPr>
          <w:p w14:paraId="26978BB1">
            <w:pPr>
              <w:jc w:val="center"/>
              <w:rPr>
                <w:rFonts w:ascii="Times New Roman" w:hAnsi="Times New Roman" w:eastAsia="宋体" w:cs="Times New Roman"/>
                <w:b/>
                <w:sz w:val="24"/>
                <w:szCs w:val="20"/>
              </w:rPr>
            </w:pPr>
          </w:p>
        </w:tc>
        <w:tc>
          <w:tcPr>
            <w:tcW w:w="1608" w:type="dxa"/>
          </w:tcPr>
          <w:p w14:paraId="6BF3348D">
            <w:pPr>
              <w:jc w:val="center"/>
              <w:rPr>
                <w:rFonts w:ascii="Times New Roman" w:hAnsi="Times New Roman" w:eastAsia="宋体" w:cs="Times New Roman"/>
                <w:b/>
                <w:sz w:val="24"/>
                <w:szCs w:val="20"/>
              </w:rPr>
            </w:pPr>
          </w:p>
        </w:tc>
      </w:tr>
      <w:tr w14:paraId="1362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D81D045">
            <w:pPr>
              <w:jc w:val="center"/>
              <w:rPr>
                <w:rFonts w:ascii="Times New Roman" w:hAnsi="Times New Roman" w:eastAsia="宋体" w:cs="Times New Roman"/>
                <w:b/>
                <w:sz w:val="24"/>
                <w:szCs w:val="20"/>
              </w:rPr>
            </w:pPr>
          </w:p>
        </w:tc>
        <w:tc>
          <w:tcPr>
            <w:tcW w:w="3449" w:type="dxa"/>
          </w:tcPr>
          <w:p w14:paraId="05E01EE8">
            <w:pPr>
              <w:jc w:val="center"/>
              <w:rPr>
                <w:rFonts w:ascii="Times New Roman" w:hAnsi="Times New Roman" w:eastAsia="宋体" w:cs="Times New Roman"/>
                <w:b/>
                <w:sz w:val="24"/>
                <w:szCs w:val="20"/>
              </w:rPr>
            </w:pPr>
          </w:p>
        </w:tc>
        <w:tc>
          <w:tcPr>
            <w:tcW w:w="2414" w:type="dxa"/>
          </w:tcPr>
          <w:p w14:paraId="1B8A330F">
            <w:pPr>
              <w:jc w:val="center"/>
              <w:rPr>
                <w:rFonts w:ascii="Times New Roman" w:hAnsi="Times New Roman" w:eastAsia="宋体" w:cs="Times New Roman"/>
                <w:b/>
                <w:sz w:val="24"/>
                <w:szCs w:val="20"/>
              </w:rPr>
            </w:pPr>
          </w:p>
        </w:tc>
        <w:tc>
          <w:tcPr>
            <w:tcW w:w="1608" w:type="dxa"/>
          </w:tcPr>
          <w:p w14:paraId="3433F96C">
            <w:pPr>
              <w:jc w:val="center"/>
              <w:rPr>
                <w:rFonts w:ascii="Times New Roman" w:hAnsi="Times New Roman" w:eastAsia="宋体" w:cs="Times New Roman"/>
                <w:b/>
                <w:sz w:val="24"/>
                <w:szCs w:val="20"/>
              </w:rPr>
            </w:pPr>
          </w:p>
        </w:tc>
      </w:tr>
      <w:tr w14:paraId="5FAF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3E34E1">
            <w:pPr>
              <w:jc w:val="center"/>
              <w:rPr>
                <w:rFonts w:ascii="Times New Roman" w:hAnsi="Times New Roman" w:eastAsia="宋体" w:cs="Times New Roman"/>
                <w:b/>
                <w:sz w:val="24"/>
                <w:szCs w:val="20"/>
              </w:rPr>
            </w:pPr>
          </w:p>
        </w:tc>
        <w:tc>
          <w:tcPr>
            <w:tcW w:w="3449" w:type="dxa"/>
          </w:tcPr>
          <w:p w14:paraId="36E8B204">
            <w:pPr>
              <w:jc w:val="center"/>
              <w:rPr>
                <w:rFonts w:ascii="Times New Roman" w:hAnsi="Times New Roman" w:eastAsia="宋体" w:cs="Times New Roman"/>
                <w:b/>
                <w:sz w:val="24"/>
                <w:szCs w:val="20"/>
              </w:rPr>
            </w:pPr>
          </w:p>
        </w:tc>
        <w:tc>
          <w:tcPr>
            <w:tcW w:w="2414" w:type="dxa"/>
          </w:tcPr>
          <w:p w14:paraId="214402B7">
            <w:pPr>
              <w:jc w:val="center"/>
              <w:rPr>
                <w:rFonts w:ascii="Times New Roman" w:hAnsi="Times New Roman" w:eastAsia="宋体" w:cs="Times New Roman"/>
                <w:b/>
                <w:sz w:val="24"/>
                <w:szCs w:val="20"/>
              </w:rPr>
            </w:pPr>
          </w:p>
        </w:tc>
        <w:tc>
          <w:tcPr>
            <w:tcW w:w="1608" w:type="dxa"/>
          </w:tcPr>
          <w:p w14:paraId="6920FB50">
            <w:pPr>
              <w:jc w:val="center"/>
              <w:rPr>
                <w:rFonts w:ascii="Times New Roman" w:hAnsi="Times New Roman" w:eastAsia="宋体" w:cs="Times New Roman"/>
                <w:b/>
                <w:sz w:val="24"/>
                <w:szCs w:val="20"/>
              </w:rPr>
            </w:pPr>
          </w:p>
        </w:tc>
      </w:tr>
      <w:tr w14:paraId="6A8D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3E2B5D2">
            <w:pPr>
              <w:jc w:val="center"/>
              <w:rPr>
                <w:rFonts w:ascii="Times New Roman" w:hAnsi="Times New Roman" w:eastAsia="宋体" w:cs="Times New Roman"/>
                <w:b/>
                <w:sz w:val="24"/>
                <w:szCs w:val="20"/>
              </w:rPr>
            </w:pPr>
          </w:p>
        </w:tc>
        <w:tc>
          <w:tcPr>
            <w:tcW w:w="3449" w:type="dxa"/>
          </w:tcPr>
          <w:p w14:paraId="2AE23B39">
            <w:pPr>
              <w:jc w:val="center"/>
              <w:rPr>
                <w:rFonts w:ascii="Times New Roman" w:hAnsi="Times New Roman" w:eastAsia="宋体" w:cs="Times New Roman"/>
                <w:b/>
                <w:sz w:val="24"/>
                <w:szCs w:val="20"/>
              </w:rPr>
            </w:pPr>
          </w:p>
        </w:tc>
        <w:tc>
          <w:tcPr>
            <w:tcW w:w="2414" w:type="dxa"/>
          </w:tcPr>
          <w:p w14:paraId="38858718">
            <w:pPr>
              <w:jc w:val="center"/>
              <w:rPr>
                <w:rFonts w:ascii="Times New Roman" w:hAnsi="Times New Roman" w:eastAsia="宋体" w:cs="Times New Roman"/>
                <w:b/>
                <w:sz w:val="24"/>
                <w:szCs w:val="20"/>
              </w:rPr>
            </w:pPr>
          </w:p>
        </w:tc>
        <w:tc>
          <w:tcPr>
            <w:tcW w:w="1608" w:type="dxa"/>
          </w:tcPr>
          <w:p w14:paraId="4F3387D4">
            <w:pPr>
              <w:jc w:val="center"/>
              <w:rPr>
                <w:rFonts w:ascii="Times New Roman" w:hAnsi="Times New Roman" w:eastAsia="宋体" w:cs="Times New Roman"/>
                <w:b/>
                <w:sz w:val="24"/>
                <w:szCs w:val="20"/>
              </w:rPr>
            </w:pPr>
          </w:p>
        </w:tc>
      </w:tr>
      <w:tr w14:paraId="461C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8C2671">
            <w:pPr>
              <w:jc w:val="center"/>
              <w:rPr>
                <w:rFonts w:ascii="Times New Roman" w:hAnsi="Times New Roman" w:eastAsia="宋体" w:cs="Times New Roman"/>
                <w:b/>
                <w:sz w:val="24"/>
                <w:szCs w:val="20"/>
              </w:rPr>
            </w:pPr>
          </w:p>
        </w:tc>
        <w:tc>
          <w:tcPr>
            <w:tcW w:w="3449" w:type="dxa"/>
          </w:tcPr>
          <w:p w14:paraId="327AF162">
            <w:pPr>
              <w:jc w:val="center"/>
              <w:rPr>
                <w:rFonts w:ascii="Times New Roman" w:hAnsi="Times New Roman" w:eastAsia="宋体" w:cs="Times New Roman"/>
                <w:b/>
                <w:sz w:val="24"/>
                <w:szCs w:val="20"/>
              </w:rPr>
            </w:pPr>
          </w:p>
        </w:tc>
        <w:tc>
          <w:tcPr>
            <w:tcW w:w="2414" w:type="dxa"/>
          </w:tcPr>
          <w:p w14:paraId="41EEB212">
            <w:pPr>
              <w:jc w:val="center"/>
              <w:rPr>
                <w:rFonts w:ascii="Times New Roman" w:hAnsi="Times New Roman" w:eastAsia="宋体" w:cs="Times New Roman"/>
                <w:b/>
                <w:sz w:val="24"/>
                <w:szCs w:val="20"/>
              </w:rPr>
            </w:pPr>
          </w:p>
        </w:tc>
        <w:tc>
          <w:tcPr>
            <w:tcW w:w="1608" w:type="dxa"/>
          </w:tcPr>
          <w:p w14:paraId="5AA3ACDE">
            <w:pPr>
              <w:jc w:val="center"/>
              <w:rPr>
                <w:rFonts w:ascii="Times New Roman" w:hAnsi="Times New Roman" w:eastAsia="宋体" w:cs="Times New Roman"/>
                <w:b/>
                <w:sz w:val="24"/>
                <w:szCs w:val="20"/>
              </w:rPr>
            </w:pPr>
          </w:p>
        </w:tc>
      </w:tr>
      <w:tr w14:paraId="16CC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9FCB03">
            <w:pPr>
              <w:jc w:val="center"/>
              <w:rPr>
                <w:rFonts w:ascii="Times New Roman" w:hAnsi="Times New Roman" w:eastAsia="宋体" w:cs="Times New Roman"/>
                <w:b/>
                <w:sz w:val="24"/>
                <w:szCs w:val="20"/>
              </w:rPr>
            </w:pPr>
          </w:p>
        </w:tc>
        <w:tc>
          <w:tcPr>
            <w:tcW w:w="3449" w:type="dxa"/>
          </w:tcPr>
          <w:p w14:paraId="29EFD93B">
            <w:pPr>
              <w:jc w:val="center"/>
              <w:rPr>
                <w:rFonts w:ascii="Times New Roman" w:hAnsi="Times New Roman" w:eastAsia="宋体" w:cs="Times New Roman"/>
                <w:b/>
                <w:sz w:val="24"/>
                <w:szCs w:val="20"/>
              </w:rPr>
            </w:pPr>
          </w:p>
        </w:tc>
        <w:tc>
          <w:tcPr>
            <w:tcW w:w="2414" w:type="dxa"/>
          </w:tcPr>
          <w:p w14:paraId="6CB58302">
            <w:pPr>
              <w:jc w:val="center"/>
              <w:rPr>
                <w:rFonts w:ascii="Times New Roman" w:hAnsi="Times New Roman" w:eastAsia="宋体" w:cs="Times New Roman"/>
                <w:b/>
                <w:sz w:val="24"/>
                <w:szCs w:val="20"/>
              </w:rPr>
            </w:pPr>
          </w:p>
        </w:tc>
        <w:tc>
          <w:tcPr>
            <w:tcW w:w="1608" w:type="dxa"/>
          </w:tcPr>
          <w:p w14:paraId="0099D494">
            <w:pPr>
              <w:jc w:val="center"/>
              <w:rPr>
                <w:rFonts w:ascii="Times New Roman" w:hAnsi="Times New Roman" w:eastAsia="宋体" w:cs="Times New Roman"/>
                <w:b/>
                <w:sz w:val="24"/>
                <w:szCs w:val="20"/>
              </w:rPr>
            </w:pPr>
          </w:p>
        </w:tc>
      </w:tr>
      <w:tr w14:paraId="4D60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560EBC">
            <w:pPr>
              <w:jc w:val="center"/>
              <w:rPr>
                <w:rFonts w:ascii="Times New Roman" w:hAnsi="Times New Roman" w:eastAsia="宋体" w:cs="Times New Roman"/>
                <w:b/>
                <w:sz w:val="24"/>
                <w:szCs w:val="20"/>
              </w:rPr>
            </w:pPr>
          </w:p>
        </w:tc>
        <w:tc>
          <w:tcPr>
            <w:tcW w:w="3449" w:type="dxa"/>
          </w:tcPr>
          <w:p w14:paraId="6BDD7CFB">
            <w:pPr>
              <w:jc w:val="center"/>
              <w:rPr>
                <w:rFonts w:ascii="Times New Roman" w:hAnsi="Times New Roman" w:eastAsia="宋体" w:cs="Times New Roman"/>
                <w:b/>
                <w:sz w:val="24"/>
                <w:szCs w:val="20"/>
              </w:rPr>
            </w:pPr>
          </w:p>
        </w:tc>
        <w:tc>
          <w:tcPr>
            <w:tcW w:w="2414" w:type="dxa"/>
          </w:tcPr>
          <w:p w14:paraId="34706FCC">
            <w:pPr>
              <w:jc w:val="center"/>
              <w:rPr>
                <w:rFonts w:ascii="Times New Roman" w:hAnsi="Times New Roman" w:eastAsia="宋体" w:cs="Times New Roman"/>
                <w:b/>
                <w:sz w:val="24"/>
                <w:szCs w:val="20"/>
              </w:rPr>
            </w:pPr>
          </w:p>
        </w:tc>
        <w:tc>
          <w:tcPr>
            <w:tcW w:w="1608" w:type="dxa"/>
          </w:tcPr>
          <w:p w14:paraId="467F28AD">
            <w:pPr>
              <w:jc w:val="center"/>
              <w:rPr>
                <w:rFonts w:ascii="Times New Roman" w:hAnsi="Times New Roman" w:eastAsia="宋体" w:cs="Times New Roman"/>
                <w:b/>
                <w:sz w:val="24"/>
                <w:szCs w:val="20"/>
              </w:rPr>
            </w:pPr>
          </w:p>
        </w:tc>
      </w:tr>
      <w:tr w14:paraId="426B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9D02B9">
            <w:pPr>
              <w:jc w:val="center"/>
              <w:rPr>
                <w:rFonts w:ascii="Times New Roman" w:hAnsi="Times New Roman" w:eastAsia="宋体" w:cs="Times New Roman"/>
                <w:b/>
                <w:sz w:val="24"/>
                <w:szCs w:val="20"/>
              </w:rPr>
            </w:pPr>
          </w:p>
        </w:tc>
        <w:tc>
          <w:tcPr>
            <w:tcW w:w="3449" w:type="dxa"/>
          </w:tcPr>
          <w:p w14:paraId="77CDC0F7">
            <w:pPr>
              <w:jc w:val="center"/>
              <w:rPr>
                <w:rFonts w:ascii="Times New Roman" w:hAnsi="Times New Roman" w:eastAsia="宋体" w:cs="Times New Roman"/>
                <w:b/>
                <w:sz w:val="24"/>
                <w:szCs w:val="20"/>
              </w:rPr>
            </w:pPr>
          </w:p>
        </w:tc>
        <w:tc>
          <w:tcPr>
            <w:tcW w:w="2414" w:type="dxa"/>
          </w:tcPr>
          <w:p w14:paraId="59E59B33">
            <w:pPr>
              <w:jc w:val="center"/>
              <w:rPr>
                <w:rFonts w:ascii="Times New Roman" w:hAnsi="Times New Roman" w:eastAsia="宋体" w:cs="Times New Roman"/>
                <w:b/>
                <w:sz w:val="24"/>
                <w:szCs w:val="20"/>
              </w:rPr>
            </w:pPr>
          </w:p>
        </w:tc>
        <w:tc>
          <w:tcPr>
            <w:tcW w:w="1608" w:type="dxa"/>
          </w:tcPr>
          <w:p w14:paraId="5F728513">
            <w:pPr>
              <w:jc w:val="center"/>
              <w:rPr>
                <w:rFonts w:ascii="Times New Roman" w:hAnsi="Times New Roman" w:eastAsia="宋体" w:cs="Times New Roman"/>
                <w:b/>
                <w:sz w:val="24"/>
                <w:szCs w:val="20"/>
              </w:rPr>
            </w:pPr>
          </w:p>
        </w:tc>
      </w:tr>
    </w:tbl>
    <w:p w14:paraId="47E7408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1DCEE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DA01CDF">
      <w:pPr>
        <w:rPr>
          <w:rFonts w:ascii="宋体" w:hAnsi="Calibri" w:eastAsia="宋体" w:cs="宋体"/>
          <w:b/>
          <w:bCs/>
          <w:color w:val="000000"/>
          <w:sz w:val="28"/>
          <w:szCs w:val="20"/>
        </w:rPr>
      </w:pPr>
    </w:p>
    <w:p w14:paraId="1D0D6806">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6D06BA7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14:paraId="3F0FF87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30"/>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2C823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4A81419D">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3664B42E">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5AEA9702">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0DA1B85C">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7AD95D5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78AA84DB">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344B0FB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35B6D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1BDAC4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449819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023D9E4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016D7C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53A875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1BC81A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614766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4C7EE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14:paraId="43246D5E">
            <w:pPr>
              <w:adjustRightInd w:val="0"/>
              <w:snapToGrid w:val="0"/>
              <w:spacing w:before="156" w:beforeLines="50" w:after="156" w:afterLines="50"/>
              <w:jc w:val="center"/>
              <w:rPr>
                <w:rFonts w:hint="eastAsia" w:ascii="宋体" w:hAnsi="宋体" w:cs="宋体"/>
                <w:szCs w:val="21"/>
              </w:rPr>
            </w:pPr>
          </w:p>
        </w:tc>
        <w:tc>
          <w:tcPr>
            <w:tcW w:w="1500" w:type="dxa"/>
          </w:tcPr>
          <w:p w14:paraId="084FDD28">
            <w:pPr>
              <w:pStyle w:val="138"/>
              <w:spacing w:before="133" w:line="220" w:lineRule="auto"/>
              <w:ind w:left="550"/>
              <w:rPr>
                <w:rFonts w:hint="eastAsia" w:ascii="宋体" w:hAnsi="宋体" w:cs="宋体"/>
                <w:sz w:val="20"/>
                <w:szCs w:val="20"/>
                <w:lang w:bidi="ar"/>
              </w:rPr>
            </w:pPr>
          </w:p>
        </w:tc>
        <w:tc>
          <w:tcPr>
            <w:tcW w:w="3150" w:type="dxa"/>
            <w:vAlign w:val="center"/>
          </w:tcPr>
          <w:p w14:paraId="60445244">
            <w:pPr>
              <w:pStyle w:val="138"/>
              <w:spacing w:before="12" w:line="204" w:lineRule="auto"/>
              <w:ind w:left="1107" w:right="130" w:hanging="977"/>
              <w:jc w:val="center"/>
              <w:rPr>
                <w:spacing w:val="-2"/>
                <w:sz w:val="21"/>
                <w:szCs w:val="21"/>
              </w:rPr>
            </w:pPr>
          </w:p>
        </w:tc>
        <w:tc>
          <w:tcPr>
            <w:tcW w:w="630" w:type="dxa"/>
            <w:vAlign w:val="center"/>
          </w:tcPr>
          <w:p w14:paraId="4A0FA82B">
            <w:pPr>
              <w:widowControl/>
              <w:jc w:val="center"/>
              <w:textAlignment w:val="center"/>
              <w:rPr>
                <w:rFonts w:hint="eastAsia" w:ascii="宋体" w:hAnsi="宋体" w:eastAsia="宋体" w:cs="宋体"/>
                <w:sz w:val="24"/>
                <w:szCs w:val="24"/>
              </w:rPr>
            </w:pPr>
          </w:p>
        </w:tc>
        <w:tc>
          <w:tcPr>
            <w:tcW w:w="645" w:type="dxa"/>
            <w:vAlign w:val="center"/>
          </w:tcPr>
          <w:p w14:paraId="369FDA46">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76E20560">
            <w:pPr>
              <w:jc w:val="left"/>
              <w:rPr>
                <w:rFonts w:hint="eastAsia" w:ascii="Arial"/>
              </w:rPr>
            </w:pPr>
          </w:p>
        </w:tc>
        <w:tc>
          <w:tcPr>
            <w:tcW w:w="915" w:type="dxa"/>
          </w:tcPr>
          <w:p w14:paraId="0048C836">
            <w:pPr>
              <w:jc w:val="left"/>
              <w:rPr>
                <w:rFonts w:hint="eastAsia" w:ascii="Arial"/>
              </w:rPr>
            </w:pPr>
          </w:p>
        </w:tc>
      </w:tr>
      <w:tr w14:paraId="16782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34436588">
            <w:pPr>
              <w:adjustRightInd w:val="0"/>
              <w:snapToGrid w:val="0"/>
              <w:spacing w:before="156" w:beforeLines="50" w:after="156" w:afterLines="50"/>
              <w:jc w:val="center"/>
              <w:rPr>
                <w:rFonts w:hint="eastAsia" w:ascii="宋体" w:hAnsi="宋体" w:cs="宋体"/>
                <w:szCs w:val="21"/>
              </w:rPr>
            </w:pPr>
          </w:p>
        </w:tc>
        <w:tc>
          <w:tcPr>
            <w:tcW w:w="1500" w:type="dxa"/>
          </w:tcPr>
          <w:p w14:paraId="1472E8F9">
            <w:pPr>
              <w:pStyle w:val="138"/>
              <w:spacing w:before="118" w:line="221" w:lineRule="auto"/>
              <w:ind w:left="339"/>
              <w:rPr>
                <w:rFonts w:hint="eastAsia" w:ascii="宋体" w:hAnsi="宋体" w:cs="宋体"/>
                <w:sz w:val="20"/>
                <w:szCs w:val="20"/>
                <w:lang w:bidi="ar"/>
              </w:rPr>
            </w:pPr>
          </w:p>
        </w:tc>
        <w:tc>
          <w:tcPr>
            <w:tcW w:w="3150" w:type="dxa"/>
          </w:tcPr>
          <w:p w14:paraId="6CC27AED">
            <w:pPr>
              <w:pStyle w:val="138"/>
              <w:spacing w:before="118" w:line="221" w:lineRule="auto"/>
              <w:ind w:left="607"/>
              <w:rPr>
                <w:rFonts w:hint="eastAsia" w:ascii="宋体" w:hAnsi="宋体" w:cs="宋体"/>
                <w:sz w:val="18"/>
                <w:szCs w:val="18"/>
              </w:rPr>
            </w:pPr>
          </w:p>
        </w:tc>
        <w:tc>
          <w:tcPr>
            <w:tcW w:w="630" w:type="dxa"/>
            <w:vAlign w:val="center"/>
          </w:tcPr>
          <w:p w14:paraId="25FCEBD4">
            <w:pPr>
              <w:widowControl/>
              <w:jc w:val="center"/>
              <w:textAlignment w:val="center"/>
              <w:rPr>
                <w:rFonts w:hint="eastAsia" w:ascii="宋体" w:hAnsi="宋体" w:eastAsia="宋体"/>
                <w:szCs w:val="21"/>
              </w:rPr>
            </w:pPr>
          </w:p>
        </w:tc>
        <w:tc>
          <w:tcPr>
            <w:tcW w:w="645" w:type="dxa"/>
            <w:vAlign w:val="center"/>
          </w:tcPr>
          <w:p w14:paraId="7FB6BF81">
            <w:pPr>
              <w:widowControl/>
              <w:jc w:val="center"/>
              <w:textAlignment w:val="center"/>
              <w:rPr>
                <w:rFonts w:hint="eastAsia" w:ascii="宋体" w:hAnsi="宋体" w:eastAsia="宋体"/>
                <w:szCs w:val="21"/>
              </w:rPr>
            </w:pPr>
          </w:p>
        </w:tc>
        <w:tc>
          <w:tcPr>
            <w:tcW w:w="1320" w:type="dxa"/>
            <w:tcBorders>
              <w:right w:val="single" w:color="000000" w:sz="4" w:space="0"/>
            </w:tcBorders>
          </w:tcPr>
          <w:p w14:paraId="1BC53B93">
            <w:pPr>
              <w:jc w:val="left"/>
              <w:rPr>
                <w:rFonts w:hint="eastAsia" w:ascii="Arial"/>
              </w:rPr>
            </w:pPr>
          </w:p>
        </w:tc>
        <w:tc>
          <w:tcPr>
            <w:tcW w:w="915" w:type="dxa"/>
          </w:tcPr>
          <w:p w14:paraId="54DA3981">
            <w:pPr>
              <w:jc w:val="left"/>
              <w:rPr>
                <w:rFonts w:hint="eastAsia" w:ascii="Arial"/>
              </w:rPr>
            </w:pPr>
          </w:p>
        </w:tc>
      </w:tr>
      <w:tr w14:paraId="23C0F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055DDB6F">
            <w:pPr>
              <w:adjustRightInd w:val="0"/>
              <w:snapToGrid w:val="0"/>
              <w:spacing w:before="156" w:beforeLines="50" w:after="156" w:afterLines="50"/>
              <w:jc w:val="center"/>
              <w:rPr>
                <w:rFonts w:hint="eastAsia" w:ascii="宋体" w:hAnsi="宋体" w:cs="宋体"/>
                <w:szCs w:val="21"/>
              </w:rPr>
            </w:pPr>
          </w:p>
        </w:tc>
        <w:tc>
          <w:tcPr>
            <w:tcW w:w="1500" w:type="dxa"/>
          </w:tcPr>
          <w:p w14:paraId="1E6BF0B7">
            <w:pPr>
              <w:pStyle w:val="138"/>
              <w:spacing w:before="157" w:line="221" w:lineRule="auto"/>
              <w:ind w:left="445"/>
              <w:rPr>
                <w:rFonts w:hint="eastAsia" w:ascii="宋体" w:hAnsi="宋体" w:cs="宋体"/>
                <w:sz w:val="20"/>
                <w:szCs w:val="20"/>
                <w:lang w:bidi="ar"/>
              </w:rPr>
            </w:pPr>
          </w:p>
        </w:tc>
        <w:tc>
          <w:tcPr>
            <w:tcW w:w="3150" w:type="dxa"/>
            <w:vAlign w:val="center"/>
          </w:tcPr>
          <w:p w14:paraId="570E4CEC">
            <w:pPr>
              <w:pStyle w:val="138"/>
              <w:spacing w:before="38" w:line="214" w:lineRule="auto"/>
              <w:ind w:left="1233" w:right="104" w:hanging="1124"/>
              <w:jc w:val="center"/>
              <w:rPr>
                <w:rFonts w:hint="eastAsia" w:ascii="宋体" w:hAnsi="宋体" w:cs="宋体"/>
                <w:sz w:val="18"/>
                <w:szCs w:val="18"/>
              </w:rPr>
            </w:pPr>
          </w:p>
        </w:tc>
        <w:tc>
          <w:tcPr>
            <w:tcW w:w="630" w:type="dxa"/>
            <w:vAlign w:val="center"/>
          </w:tcPr>
          <w:p w14:paraId="15F7E042">
            <w:pPr>
              <w:widowControl/>
              <w:jc w:val="center"/>
              <w:textAlignment w:val="center"/>
              <w:rPr>
                <w:rFonts w:hint="eastAsia" w:ascii="宋体" w:hAnsi="宋体" w:eastAsia="宋体"/>
                <w:szCs w:val="21"/>
              </w:rPr>
            </w:pPr>
          </w:p>
        </w:tc>
        <w:tc>
          <w:tcPr>
            <w:tcW w:w="645" w:type="dxa"/>
            <w:vAlign w:val="center"/>
          </w:tcPr>
          <w:p w14:paraId="504B3080">
            <w:pPr>
              <w:widowControl/>
              <w:jc w:val="center"/>
              <w:textAlignment w:val="center"/>
              <w:rPr>
                <w:rFonts w:hint="eastAsia" w:ascii="宋体" w:hAnsi="宋体" w:eastAsia="宋体"/>
                <w:szCs w:val="21"/>
              </w:rPr>
            </w:pPr>
          </w:p>
        </w:tc>
        <w:tc>
          <w:tcPr>
            <w:tcW w:w="1320" w:type="dxa"/>
            <w:tcBorders>
              <w:right w:val="single" w:color="000000" w:sz="4" w:space="0"/>
            </w:tcBorders>
          </w:tcPr>
          <w:p w14:paraId="3453A6CD">
            <w:pPr>
              <w:jc w:val="left"/>
              <w:rPr>
                <w:rFonts w:hint="eastAsia" w:ascii="Arial"/>
              </w:rPr>
            </w:pPr>
          </w:p>
        </w:tc>
        <w:tc>
          <w:tcPr>
            <w:tcW w:w="915" w:type="dxa"/>
          </w:tcPr>
          <w:p w14:paraId="3CF85FA9">
            <w:pPr>
              <w:jc w:val="left"/>
              <w:rPr>
                <w:rFonts w:hint="eastAsia" w:ascii="Arial"/>
              </w:rPr>
            </w:pPr>
          </w:p>
        </w:tc>
      </w:tr>
      <w:tr w14:paraId="7D822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7834A55">
            <w:pPr>
              <w:adjustRightInd w:val="0"/>
              <w:snapToGrid w:val="0"/>
              <w:spacing w:before="156" w:beforeLines="50" w:after="156" w:afterLines="50"/>
              <w:jc w:val="center"/>
              <w:rPr>
                <w:rFonts w:hint="eastAsia" w:ascii="宋体" w:hAnsi="宋体" w:cs="宋体"/>
                <w:szCs w:val="21"/>
              </w:rPr>
            </w:pPr>
          </w:p>
        </w:tc>
        <w:tc>
          <w:tcPr>
            <w:tcW w:w="1500" w:type="dxa"/>
          </w:tcPr>
          <w:p w14:paraId="1EE9FAF2">
            <w:pPr>
              <w:pStyle w:val="138"/>
              <w:spacing w:before="296" w:line="182" w:lineRule="auto"/>
              <w:ind w:left="706"/>
              <w:rPr>
                <w:rFonts w:hint="eastAsia" w:ascii="宋体" w:hAnsi="宋体" w:cs="宋体"/>
                <w:sz w:val="20"/>
                <w:szCs w:val="20"/>
                <w:lang w:bidi="ar"/>
              </w:rPr>
            </w:pPr>
          </w:p>
        </w:tc>
        <w:tc>
          <w:tcPr>
            <w:tcW w:w="3150" w:type="dxa"/>
          </w:tcPr>
          <w:p w14:paraId="28BAF2C0">
            <w:pPr>
              <w:pStyle w:val="138"/>
              <w:spacing w:before="140" w:line="216" w:lineRule="auto"/>
              <w:ind w:left="111" w:right="138" w:firstLine="3"/>
              <w:rPr>
                <w:rFonts w:hint="eastAsia" w:ascii="宋体" w:hAnsi="宋体" w:cs="宋体"/>
                <w:sz w:val="18"/>
                <w:szCs w:val="18"/>
              </w:rPr>
            </w:pPr>
          </w:p>
        </w:tc>
        <w:tc>
          <w:tcPr>
            <w:tcW w:w="630" w:type="dxa"/>
            <w:vAlign w:val="center"/>
          </w:tcPr>
          <w:p w14:paraId="446F60C1">
            <w:pPr>
              <w:widowControl/>
              <w:jc w:val="center"/>
              <w:textAlignment w:val="center"/>
              <w:rPr>
                <w:rFonts w:hint="eastAsia" w:ascii="宋体" w:hAnsi="宋体" w:eastAsia="宋体"/>
                <w:szCs w:val="21"/>
              </w:rPr>
            </w:pPr>
          </w:p>
        </w:tc>
        <w:tc>
          <w:tcPr>
            <w:tcW w:w="645" w:type="dxa"/>
            <w:vAlign w:val="center"/>
          </w:tcPr>
          <w:p w14:paraId="0BF08694">
            <w:pPr>
              <w:widowControl/>
              <w:jc w:val="center"/>
              <w:textAlignment w:val="center"/>
              <w:rPr>
                <w:rFonts w:hint="eastAsia" w:ascii="宋体" w:hAnsi="宋体" w:eastAsia="宋体"/>
                <w:szCs w:val="21"/>
              </w:rPr>
            </w:pPr>
          </w:p>
        </w:tc>
        <w:tc>
          <w:tcPr>
            <w:tcW w:w="1320" w:type="dxa"/>
            <w:tcBorders>
              <w:right w:val="single" w:color="000000" w:sz="4" w:space="0"/>
            </w:tcBorders>
          </w:tcPr>
          <w:p w14:paraId="42E8F35E">
            <w:pPr>
              <w:jc w:val="left"/>
              <w:rPr>
                <w:rFonts w:hint="eastAsia" w:ascii="Arial"/>
              </w:rPr>
            </w:pPr>
          </w:p>
        </w:tc>
        <w:tc>
          <w:tcPr>
            <w:tcW w:w="915" w:type="dxa"/>
          </w:tcPr>
          <w:p w14:paraId="2EA34146">
            <w:pPr>
              <w:jc w:val="left"/>
              <w:rPr>
                <w:rFonts w:hint="eastAsia" w:ascii="Arial"/>
              </w:rPr>
            </w:pPr>
          </w:p>
        </w:tc>
      </w:tr>
      <w:tr w14:paraId="2697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1DDBC64">
            <w:pPr>
              <w:adjustRightInd w:val="0"/>
              <w:snapToGrid w:val="0"/>
              <w:spacing w:before="156" w:beforeLines="50" w:after="156" w:afterLines="50"/>
              <w:jc w:val="center"/>
              <w:rPr>
                <w:rFonts w:hint="eastAsia" w:ascii="宋体" w:hAnsi="宋体" w:cs="宋体"/>
                <w:szCs w:val="21"/>
              </w:rPr>
            </w:pPr>
          </w:p>
        </w:tc>
        <w:tc>
          <w:tcPr>
            <w:tcW w:w="1500" w:type="dxa"/>
          </w:tcPr>
          <w:p w14:paraId="1BEB144A">
            <w:pPr>
              <w:pStyle w:val="138"/>
              <w:spacing w:before="132" w:line="221" w:lineRule="auto"/>
              <w:ind w:left="551"/>
              <w:rPr>
                <w:rFonts w:hint="eastAsia" w:ascii="宋体" w:hAnsi="宋体" w:cs="宋体"/>
                <w:sz w:val="20"/>
                <w:szCs w:val="20"/>
                <w:lang w:bidi="ar"/>
              </w:rPr>
            </w:pPr>
          </w:p>
        </w:tc>
        <w:tc>
          <w:tcPr>
            <w:tcW w:w="3150" w:type="dxa"/>
          </w:tcPr>
          <w:p w14:paraId="08F9894E">
            <w:pPr>
              <w:pStyle w:val="138"/>
              <w:spacing w:before="12" w:line="203" w:lineRule="auto"/>
              <w:ind w:left="113" w:right="104" w:firstLine="14"/>
              <w:rPr>
                <w:rFonts w:hint="eastAsia" w:ascii="宋体" w:hAnsi="宋体" w:cs="宋体"/>
                <w:sz w:val="18"/>
                <w:szCs w:val="18"/>
              </w:rPr>
            </w:pPr>
          </w:p>
        </w:tc>
        <w:tc>
          <w:tcPr>
            <w:tcW w:w="630" w:type="dxa"/>
            <w:vAlign w:val="center"/>
          </w:tcPr>
          <w:p w14:paraId="736368BD">
            <w:pPr>
              <w:widowControl/>
              <w:jc w:val="center"/>
              <w:textAlignment w:val="center"/>
              <w:rPr>
                <w:rFonts w:hint="eastAsia" w:ascii="宋体" w:hAnsi="宋体" w:eastAsia="宋体"/>
                <w:szCs w:val="21"/>
              </w:rPr>
            </w:pPr>
          </w:p>
        </w:tc>
        <w:tc>
          <w:tcPr>
            <w:tcW w:w="645" w:type="dxa"/>
            <w:vAlign w:val="center"/>
          </w:tcPr>
          <w:p w14:paraId="0EDB7334">
            <w:pPr>
              <w:widowControl/>
              <w:jc w:val="center"/>
              <w:textAlignment w:val="center"/>
              <w:rPr>
                <w:rFonts w:hint="eastAsia" w:ascii="宋体" w:hAnsi="宋体" w:eastAsia="宋体"/>
                <w:szCs w:val="21"/>
              </w:rPr>
            </w:pPr>
          </w:p>
        </w:tc>
        <w:tc>
          <w:tcPr>
            <w:tcW w:w="1320" w:type="dxa"/>
            <w:tcBorders>
              <w:right w:val="single" w:color="000000" w:sz="4" w:space="0"/>
            </w:tcBorders>
          </w:tcPr>
          <w:p w14:paraId="08299B2A">
            <w:pPr>
              <w:jc w:val="left"/>
              <w:rPr>
                <w:rFonts w:hint="eastAsia" w:ascii="Arial"/>
              </w:rPr>
            </w:pPr>
          </w:p>
        </w:tc>
        <w:tc>
          <w:tcPr>
            <w:tcW w:w="915" w:type="dxa"/>
          </w:tcPr>
          <w:p w14:paraId="13D79944">
            <w:pPr>
              <w:jc w:val="left"/>
              <w:rPr>
                <w:rFonts w:hint="eastAsia" w:ascii="Arial"/>
              </w:rPr>
            </w:pPr>
          </w:p>
        </w:tc>
      </w:tr>
      <w:tr w14:paraId="7CD7B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3CAD194">
            <w:pPr>
              <w:adjustRightInd w:val="0"/>
              <w:snapToGrid w:val="0"/>
              <w:spacing w:before="156" w:beforeLines="50" w:after="156" w:afterLines="50"/>
              <w:jc w:val="center"/>
              <w:rPr>
                <w:rFonts w:hint="eastAsia" w:ascii="宋体" w:hAnsi="宋体" w:cs="宋体"/>
                <w:szCs w:val="21"/>
              </w:rPr>
            </w:pPr>
          </w:p>
        </w:tc>
        <w:tc>
          <w:tcPr>
            <w:tcW w:w="1500" w:type="dxa"/>
          </w:tcPr>
          <w:p w14:paraId="275AAE38">
            <w:pPr>
              <w:pStyle w:val="138"/>
              <w:spacing w:before="144" w:line="220" w:lineRule="auto"/>
              <w:ind w:left="447"/>
              <w:rPr>
                <w:rFonts w:hint="eastAsia" w:ascii="宋体" w:hAnsi="宋体" w:cs="宋体"/>
                <w:sz w:val="20"/>
                <w:szCs w:val="20"/>
                <w:lang w:bidi="ar"/>
              </w:rPr>
            </w:pPr>
          </w:p>
        </w:tc>
        <w:tc>
          <w:tcPr>
            <w:tcW w:w="3150" w:type="dxa"/>
          </w:tcPr>
          <w:p w14:paraId="3F7558DE">
            <w:pPr>
              <w:pStyle w:val="138"/>
              <w:spacing w:before="25" w:line="207" w:lineRule="auto"/>
              <w:ind w:left="118" w:right="107" w:hanging="3"/>
              <w:rPr>
                <w:rFonts w:hint="eastAsia" w:ascii="宋体" w:hAnsi="宋体" w:cs="宋体"/>
                <w:sz w:val="18"/>
                <w:szCs w:val="18"/>
              </w:rPr>
            </w:pPr>
          </w:p>
        </w:tc>
        <w:tc>
          <w:tcPr>
            <w:tcW w:w="630" w:type="dxa"/>
            <w:vAlign w:val="center"/>
          </w:tcPr>
          <w:p w14:paraId="715035D0">
            <w:pPr>
              <w:widowControl/>
              <w:jc w:val="center"/>
              <w:textAlignment w:val="center"/>
              <w:rPr>
                <w:rFonts w:hint="eastAsia" w:ascii="宋体" w:hAnsi="宋体" w:eastAsia="宋体"/>
                <w:szCs w:val="21"/>
              </w:rPr>
            </w:pPr>
          </w:p>
        </w:tc>
        <w:tc>
          <w:tcPr>
            <w:tcW w:w="645" w:type="dxa"/>
            <w:vAlign w:val="center"/>
          </w:tcPr>
          <w:p w14:paraId="7914963C">
            <w:pPr>
              <w:widowControl/>
              <w:jc w:val="center"/>
              <w:textAlignment w:val="center"/>
              <w:rPr>
                <w:rFonts w:hint="eastAsia" w:ascii="宋体" w:hAnsi="宋体" w:eastAsia="宋体"/>
                <w:szCs w:val="21"/>
              </w:rPr>
            </w:pPr>
          </w:p>
        </w:tc>
        <w:tc>
          <w:tcPr>
            <w:tcW w:w="1320" w:type="dxa"/>
            <w:tcBorders>
              <w:right w:val="single" w:color="000000" w:sz="4" w:space="0"/>
            </w:tcBorders>
          </w:tcPr>
          <w:p w14:paraId="5CD7E4B2">
            <w:pPr>
              <w:jc w:val="left"/>
              <w:rPr>
                <w:rFonts w:hint="eastAsia" w:ascii="Arial"/>
              </w:rPr>
            </w:pPr>
          </w:p>
        </w:tc>
        <w:tc>
          <w:tcPr>
            <w:tcW w:w="915" w:type="dxa"/>
          </w:tcPr>
          <w:p w14:paraId="08823BDD">
            <w:pPr>
              <w:jc w:val="left"/>
              <w:rPr>
                <w:rFonts w:hint="eastAsia" w:ascii="Arial"/>
              </w:rPr>
            </w:pPr>
          </w:p>
        </w:tc>
      </w:tr>
      <w:tr w14:paraId="0B671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53870C4">
            <w:pPr>
              <w:widowControl/>
              <w:jc w:val="center"/>
              <w:textAlignment w:val="center"/>
              <w:rPr>
                <w:rFonts w:hint="eastAsia" w:ascii="宋体" w:hAnsi="宋体" w:cs="宋体"/>
                <w:szCs w:val="21"/>
              </w:rPr>
            </w:pPr>
          </w:p>
        </w:tc>
        <w:tc>
          <w:tcPr>
            <w:tcW w:w="1500" w:type="dxa"/>
          </w:tcPr>
          <w:p w14:paraId="21457858">
            <w:pPr>
              <w:pStyle w:val="138"/>
              <w:spacing w:before="204" w:line="221" w:lineRule="auto"/>
              <w:ind w:left="341"/>
              <w:rPr>
                <w:rFonts w:hint="eastAsia" w:ascii="宋体" w:hAnsi="宋体" w:cs="宋体"/>
                <w:sz w:val="20"/>
                <w:szCs w:val="20"/>
                <w:lang w:bidi="ar"/>
              </w:rPr>
            </w:pPr>
          </w:p>
        </w:tc>
        <w:tc>
          <w:tcPr>
            <w:tcW w:w="3150" w:type="dxa"/>
          </w:tcPr>
          <w:p w14:paraId="2DE8137C">
            <w:pPr>
              <w:pStyle w:val="138"/>
              <w:spacing w:before="53" w:line="248" w:lineRule="auto"/>
              <w:ind w:left="118" w:right="107" w:hanging="3"/>
              <w:rPr>
                <w:rFonts w:hint="eastAsia" w:ascii="宋体" w:hAnsi="宋体" w:cs="宋体"/>
                <w:sz w:val="20"/>
                <w:szCs w:val="20"/>
                <w:lang w:bidi="ar"/>
              </w:rPr>
            </w:pPr>
          </w:p>
        </w:tc>
        <w:tc>
          <w:tcPr>
            <w:tcW w:w="630" w:type="dxa"/>
            <w:vAlign w:val="center"/>
          </w:tcPr>
          <w:p w14:paraId="3CCFFBFF">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4C662C80">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42ACD18A">
            <w:pPr>
              <w:jc w:val="left"/>
              <w:rPr>
                <w:rFonts w:hint="eastAsia" w:ascii="Arial"/>
              </w:rPr>
            </w:pPr>
          </w:p>
        </w:tc>
        <w:tc>
          <w:tcPr>
            <w:tcW w:w="915" w:type="dxa"/>
          </w:tcPr>
          <w:p w14:paraId="2A80C93C">
            <w:pPr>
              <w:jc w:val="left"/>
              <w:rPr>
                <w:rFonts w:hint="eastAsia" w:ascii="Arial"/>
              </w:rPr>
            </w:pPr>
          </w:p>
        </w:tc>
      </w:tr>
      <w:tr w14:paraId="3EAC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04E4955">
            <w:pPr>
              <w:widowControl/>
              <w:jc w:val="center"/>
              <w:textAlignment w:val="center"/>
              <w:rPr>
                <w:rFonts w:hint="eastAsia" w:ascii="宋体" w:hAnsi="宋体" w:cs="宋体"/>
                <w:szCs w:val="21"/>
              </w:rPr>
            </w:pPr>
          </w:p>
        </w:tc>
        <w:tc>
          <w:tcPr>
            <w:tcW w:w="1500" w:type="dxa"/>
          </w:tcPr>
          <w:p w14:paraId="0E895DA6">
            <w:pPr>
              <w:pStyle w:val="138"/>
              <w:spacing w:before="262" w:line="221" w:lineRule="auto"/>
              <w:ind w:left="130"/>
              <w:rPr>
                <w:rFonts w:hint="eastAsia" w:ascii="宋体" w:hAnsi="宋体" w:cs="宋体"/>
              </w:rPr>
            </w:pPr>
          </w:p>
        </w:tc>
        <w:tc>
          <w:tcPr>
            <w:tcW w:w="3150" w:type="dxa"/>
          </w:tcPr>
          <w:p w14:paraId="582DDB62">
            <w:pPr>
              <w:pStyle w:val="138"/>
              <w:spacing w:before="267" w:line="221" w:lineRule="auto"/>
              <w:ind w:left="120"/>
              <w:rPr>
                <w:rFonts w:hint="eastAsia" w:ascii="宋体" w:hAnsi="宋体" w:cs="宋体"/>
                <w:sz w:val="18"/>
                <w:szCs w:val="18"/>
              </w:rPr>
            </w:pPr>
          </w:p>
        </w:tc>
        <w:tc>
          <w:tcPr>
            <w:tcW w:w="630" w:type="dxa"/>
            <w:vAlign w:val="center"/>
          </w:tcPr>
          <w:p w14:paraId="1A7EC283">
            <w:pPr>
              <w:widowControl/>
              <w:jc w:val="center"/>
              <w:textAlignment w:val="center"/>
              <w:rPr>
                <w:rFonts w:hint="eastAsia" w:ascii="宋体" w:hAnsi="宋体" w:eastAsia="宋体"/>
                <w:szCs w:val="21"/>
              </w:rPr>
            </w:pPr>
          </w:p>
        </w:tc>
        <w:tc>
          <w:tcPr>
            <w:tcW w:w="645" w:type="dxa"/>
            <w:vAlign w:val="center"/>
          </w:tcPr>
          <w:p w14:paraId="47660CA0">
            <w:pPr>
              <w:widowControl/>
              <w:jc w:val="center"/>
              <w:textAlignment w:val="center"/>
              <w:rPr>
                <w:rFonts w:hint="eastAsia" w:ascii="宋体" w:hAnsi="宋体" w:eastAsia="宋体"/>
                <w:szCs w:val="21"/>
              </w:rPr>
            </w:pPr>
          </w:p>
        </w:tc>
        <w:tc>
          <w:tcPr>
            <w:tcW w:w="1320" w:type="dxa"/>
            <w:tcBorders>
              <w:right w:val="single" w:color="000000" w:sz="4" w:space="0"/>
            </w:tcBorders>
          </w:tcPr>
          <w:p w14:paraId="70F04C3D">
            <w:pPr>
              <w:jc w:val="left"/>
              <w:rPr>
                <w:rFonts w:hint="eastAsia" w:ascii="Arial"/>
              </w:rPr>
            </w:pPr>
          </w:p>
        </w:tc>
        <w:tc>
          <w:tcPr>
            <w:tcW w:w="915" w:type="dxa"/>
          </w:tcPr>
          <w:p w14:paraId="3F48A6E8">
            <w:pPr>
              <w:jc w:val="left"/>
              <w:rPr>
                <w:rFonts w:hint="eastAsia" w:ascii="Arial"/>
              </w:rPr>
            </w:pPr>
          </w:p>
        </w:tc>
      </w:tr>
      <w:tr w14:paraId="0B5A0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21DD597">
            <w:pPr>
              <w:widowControl/>
              <w:jc w:val="center"/>
              <w:textAlignment w:val="center"/>
              <w:rPr>
                <w:rFonts w:hint="eastAsia" w:ascii="宋体" w:hAnsi="宋体" w:cs="宋体"/>
                <w:szCs w:val="21"/>
              </w:rPr>
            </w:pPr>
          </w:p>
        </w:tc>
        <w:tc>
          <w:tcPr>
            <w:tcW w:w="1500" w:type="dxa"/>
          </w:tcPr>
          <w:p w14:paraId="639C9302">
            <w:pPr>
              <w:pStyle w:val="138"/>
              <w:spacing w:before="172" w:line="221" w:lineRule="auto"/>
              <w:ind w:left="444"/>
              <w:rPr>
                <w:rFonts w:hint="eastAsia" w:ascii="宋体" w:hAnsi="宋体" w:cs="宋体"/>
              </w:rPr>
            </w:pPr>
          </w:p>
        </w:tc>
        <w:tc>
          <w:tcPr>
            <w:tcW w:w="3150" w:type="dxa"/>
          </w:tcPr>
          <w:p w14:paraId="095C0B54">
            <w:pPr>
              <w:pStyle w:val="138"/>
              <w:spacing w:before="172" w:line="221" w:lineRule="auto"/>
              <w:ind w:left="346"/>
              <w:rPr>
                <w:rFonts w:hint="eastAsia" w:ascii="宋体" w:hAnsi="宋体" w:cs="宋体"/>
                <w:sz w:val="18"/>
                <w:szCs w:val="18"/>
              </w:rPr>
            </w:pPr>
          </w:p>
        </w:tc>
        <w:tc>
          <w:tcPr>
            <w:tcW w:w="630" w:type="dxa"/>
            <w:vAlign w:val="center"/>
          </w:tcPr>
          <w:p w14:paraId="323261CA">
            <w:pPr>
              <w:widowControl/>
              <w:jc w:val="center"/>
              <w:textAlignment w:val="center"/>
              <w:rPr>
                <w:rFonts w:hint="eastAsia" w:ascii="宋体" w:hAnsi="宋体" w:eastAsia="宋体"/>
                <w:szCs w:val="21"/>
              </w:rPr>
            </w:pPr>
          </w:p>
        </w:tc>
        <w:tc>
          <w:tcPr>
            <w:tcW w:w="645" w:type="dxa"/>
            <w:vAlign w:val="center"/>
          </w:tcPr>
          <w:p w14:paraId="01909D6E">
            <w:pPr>
              <w:widowControl/>
              <w:jc w:val="center"/>
              <w:textAlignment w:val="center"/>
              <w:rPr>
                <w:rFonts w:hint="eastAsia" w:ascii="宋体" w:hAnsi="宋体" w:eastAsia="宋体"/>
                <w:szCs w:val="21"/>
              </w:rPr>
            </w:pPr>
          </w:p>
        </w:tc>
        <w:tc>
          <w:tcPr>
            <w:tcW w:w="1320" w:type="dxa"/>
            <w:tcBorders>
              <w:right w:val="single" w:color="000000" w:sz="4" w:space="0"/>
            </w:tcBorders>
          </w:tcPr>
          <w:p w14:paraId="24935016">
            <w:pPr>
              <w:jc w:val="left"/>
              <w:rPr>
                <w:rFonts w:hint="eastAsia" w:ascii="Arial"/>
              </w:rPr>
            </w:pPr>
          </w:p>
        </w:tc>
        <w:tc>
          <w:tcPr>
            <w:tcW w:w="915" w:type="dxa"/>
          </w:tcPr>
          <w:p w14:paraId="35D379DB">
            <w:pPr>
              <w:jc w:val="left"/>
              <w:rPr>
                <w:rFonts w:hint="eastAsia" w:ascii="Arial"/>
              </w:rPr>
            </w:pPr>
          </w:p>
        </w:tc>
      </w:tr>
      <w:tr w14:paraId="62BBE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64D895E">
            <w:pPr>
              <w:widowControl/>
              <w:jc w:val="center"/>
              <w:textAlignment w:val="center"/>
              <w:rPr>
                <w:rFonts w:hint="eastAsia" w:ascii="宋体" w:hAnsi="宋体" w:cs="宋体"/>
                <w:szCs w:val="21"/>
              </w:rPr>
            </w:pPr>
          </w:p>
        </w:tc>
        <w:tc>
          <w:tcPr>
            <w:tcW w:w="1500" w:type="dxa"/>
          </w:tcPr>
          <w:p w14:paraId="0396F71A">
            <w:pPr>
              <w:pStyle w:val="138"/>
              <w:spacing w:before="142" w:line="222" w:lineRule="auto"/>
              <w:ind w:left="555"/>
              <w:rPr>
                <w:rFonts w:hint="eastAsia" w:ascii="宋体" w:hAnsi="宋体" w:cs="宋体"/>
              </w:rPr>
            </w:pPr>
          </w:p>
        </w:tc>
        <w:tc>
          <w:tcPr>
            <w:tcW w:w="3150" w:type="dxa"/>
          </w:tcPr>
          <w:p w14:paraId="7F171ADF">
            <w:pPr>
              <w:pStyle w:val="138"/>
              <w:spacing w:before="141" w:line="221" w:lineRule="auto"/>
              <w:ind w:left="399"/>
              <w:rPr>
                <w:rFonts w:hint="eastAsia" w:ascii="宋体" w:hAnsi="宋体" w:cs="宋体"/>
                <w:sz w:val="18"/>
                <w:szCs w:val="18"/>
              </w:rPr>
            </w:pPr>
          </w:p>
        </w:tc>
        <w:tc>
          <w:tcPr>
            <w:tcW w:w="630" w:type="dxa"/>
            <w:vAlign w:val="center"/>
          </w:tcPr>
          <w:p w14:paraId="3254E1CC">
            <w:pPr>
              <w:widowControl/>
              <w:jc w:val="center"/>
              <w:textAlignment w:val="center"/>
              <w:rPr>
                <w:rFonts w:hint="eastAsia" w:ascii="宋体" w:hAnsi="宋体" w:eastAsia="宋体"/>
                <w:szCs w:val="21"/>
              </w:rPr>
            </w:pPr>
          </w:p>
        </w:tc>
        <w:tc>
          <w:tcPr>
            <w:tcW w:w="645" w:type="dxa"/>
            <w:vAlign w:val="center"/>
          </w:tcPr>
          <w:p w14:paraId="10AE0B1F">
            <w:pPr>
              <w:widowControl/>
              <w:jc w:val="center"/>
              <w:textAlignment w:val="center"/>
              <w:rPr>
                <w:rFonts w:hint="eastAsia" w:ascii="宋体" w:hAnsi="宋体" w:eastAsia="宋体"/>
                <w:szCs w:val="21"/>
              </w:rPr>
            </w:pPr>
          </w:p>
        </w:tc>
        <w:tc>
          <w:tcPr>
            <w:tcW w:w="1320" w:type="dxa"/>
            <w:tcBorders>
              <w:right w:val="single" w:color="000000" w:sz="4" w:space="0"/>
            </w:tcBorders>
          </w:tcPr>
          <w:p w14:paraId="0B284897">
            <w:pPr>
              <w:jc w:val="left"/>
              <w:rPr>
                <w:rFonts w:hint="eastAsia" w:ascii="Arial"/>
              </w:rPr>
            </w:pPr>
          </w:p>
        </w:tc>
        <w:tc>
          <w:tcPr>
            <w:tcW w:w="915" w:type="dxa"/>
          </w:tcPr>
          <w:p w14:paraId="313A926F">
            <w:pPr>
              <w:jc w:val="left"/>
              <w:rPr>
                <w:rFonts w:hint="eastAsia" w:ascii="Arial"/>
              </w:rPr>
            </w:pPr>
          </w:p>
        </w:tc>
      </w:tr>
      <w:tr w14:paraId="66D31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41AE79C">
            <w:pPr>
              <w:widowControl/>
              <w:jc w:val="center"/>
              <w:textAlignment w:val="center"/>
              <w:rPr>
                <w:rFonts w:hint="eastAsia" w:ascii="宋体" w:hAnsi="宋体" w:cs="宋体"/>
                <w:szCs w:val="21"/>
              </w:rPr>
            </w:pPr>
          </w:p>
        </w:tc>
        <w:tc>
          <w:tcPr>
            <w:tcW w:w="1500" w:type="dxa"/>
            <w:shd w:val="clear" w:color="auto" w:fill="auto"/>
            <w:vAlign w:val="center"/>
          </w:tcPr>
          <w:p w14:paraId="58526B99">
            <w:pPr>
              <w:pStyle w:val="138"/>
              <w:spacing w:before="142" w:line="222" w:lineRule="auto"/>
              <w:ind w:left="555"/>
              <w:rPr>
                <w:spacing w:val="-2"/>
                <w:sz w:val="21"/>
                <w:szCs w:val="21"/>
              </w:rPr>
            </w:pPr>
          </w:p>
        </w:tc>
        <w:tc>
          <w:tcPr>
            <w:tcW w:w="3150" w:type="dxa"/>
            <w:shd w:val="clear" w:color="auto" w:fill="auto"/>
            <w:vAlign w:val="center"/>
          </w:tcPr>
          <w:p w14:paraId="5227645F">
            <w:pPr>
              <w:pStyle w:val="138"/>
              <w:spacing w:before="142" w:line="222" w:lineRule="auto"/>
              <w:ind w:left="555"/>
              <w:rPr>
                <w:spacing w:val="-2"/>
                <w:sz w:val="21"/>
                <w:szCs w:val="21"/>
              </w:rPr>
            </w:pPr>
          </w:p>
        </w:tc>
        <w:tc>
          <w:tcPr>
            <w:tcW w:w="630" w:type="dxa"/>
            <w:shd w:val="clear" w:color="auto" w:fill="auto"/>
            <w:vAlign w:val="center"/>
          </w:tcPr>
          <w:p w14:paraId="3E0DBC30">
            <w:pPr>
              <w:widowControl/>
              <w:jc w:val="center"/>
              <w:textAlignment w:val="center"/>
              <w:rPr>
                <w:rFonts w:hint="eastAsia" w:ascii="宋体" w:hAnsi="宋体" w:eastAsia="宋体"/>
                <w:szCs w:val="21"/>
              </w:rPr>
            </w:pPr>
          </w:p>
        </w:tc>
        <w:tc>
          <w:tcPr>
            <w:tcW w:w="645" w:type="dxa"/>
            <w:shd w:val="clear" w:color="auto" w:fill="auto"/>
            <w:vAlign w:val="center"/>
          </w:tcPr>
          <w:p w14:paraId="4DDD021A">
            <w:pPr>
              <w:widowControl/>
              <w:jc w:val="center"/>
              <w:textAlignment w:val="center"/>
              <w:rPr>
                <w:rFonts w:hint="eastAsia" w:ascii="宋体" w:hAnsi="宋体" w:eastAsia="宋体"/>
                <w:szCs w:val="21"/>
              </w:rPr>
            </w:pPr>
          </w:p>
        </w:tc>
        <w:tc>
          <w:tcPr>
            <w:tcW w:w="1320" w:type="dxa"/>
            <w:tcBorders>
              <w:right w:val="single" w:color="000000" w:sz="4" w:space="0"/>
            </w:tcBorders>
          </w:tcPr>
          <w:p w14:paraId="13C572DB">
            <w:pPr>
              <w:jc w:val="left"/>
              <w:rPr>
                <w:rFonts w:hint="eastAsia" w:ascii="Arial"/>
              </w:rPr>
            </w:pPr>
          </w:p>
        </w:tc>
        <w:tc>
          <w:tcPr>
            <w:tcW w:w="915" w:type="dxa"/>
          </w:tcPr>
          <w:p w14:paraId="53C1382D">
            <w:pPr>
              <w:jc w:val="left"/>
              <w:rPr>
                <w:rFonts w:hint="eastAsia" w:ascii="Arial"/>
              </w:rPr>
            </w:pPr>
          </w:p>
        </w:tc>
      </w:tr>
      <w:tr w14:paraId="7BFD9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5252B30">
            <w:pPr>
              <w:widowControl/>
              <w:jc w:val="center"/>
              <w:textAlignment w:val="center"/>
              <w:rPr>
                <w:rFonts w:hint="eastAsia" w:ascii="宋体" w:hAnsi="宋体" w:cs="宋体"/>
                <w:szCs w:val="21"/>
              </w:rPr>
            </w:pPr>
          </w:p>
        </w:tc>
        <w:tc>
          <w:tcPr>
            <w:tcW w:w="1500" w:type="dxa"/>
            <w:shd w:val="clear" w:color="auto" w:fill="auto"/>
            <w:vAlign w:val="center"/>
          </w:tcPr>
          <w:p w14:paraId="54D9253F">
            <w:pPr>
              <w:pStyle w:val="138"/>
              <w:spacing w:before="142" w:line="222" w:lineRule="auto"/>
              <w:rPr>
                <w:spacing w:val="-2"/>
                <w:sz w:val="21"/>
                <w:szCs w:val="21"/>
              </w:rPr>
            </w:pPr>
          </w:p>
        </w:tc>
        <w:tc>
          <w:tcPr>
            <w:tcW w:w="3150" w:type="dxa"/>
            <w:shd w:val="clear" w:color="auto" w:fill="auto"/>
            <w:vAlign w:val="center"/>
          </w:tcPr>
          <w:p w14:paraId="670A3722">
            <w:pPr>
              <w:pStyle w:val="138"/>
              <w:spacing w:before="142" w:line="222" w:lineRule="auto"/>
              <w:ind w:left="555"/>
              <w:rPr>
                <w:spacing w:val="-2"/>
                <w:sz w:val="21"/>
                <w:szCs w:val="21"/>
              </w:rPr>
            </w:pPr>
          </w:p>
        </w:tc>
        <w:tc>
          <w:tcPr>
            <w:tcW w:w="630" w:type="dxa"/>
            <w:shd w:val="clear" w:color="auto" w:fill="auto"/>
            <w:vAlign w:val="center"/>
          </w:tcPr>
          <w:p w14:paraId="56A240B3">
            <w:pPr>
              <w:widowControl/>
              <w:jc w:val="center"/>
              <w:textAlignment w:val="center"/>
              <w:rPr>
                <w:rFonts w:hint="eastAsia" w:ascii="宋体" w:hAnsi="宋体" w:eastAsia="宋体"/>
                <w:szCs w:val="21"/>
              </w:rPr>
            </w:pPr>
          </w:p>
        </w:tc>
        <w:tc>
          <w:tcPr>
            <w:tcW w:w="645" w:type="dxa"/>
            <w:shd w:val="clear" w:color="auto" w:fill="auto"/>
            <w:vAlign w:val="center"/>
          </w:tcPr>
          <w:p w14:paraId="702A9E4A">
            <w:pPr>
              <w:widowControl/>
              <w:jc w:val="center"/>
              <w:textAlignment w:val="center"/>
              <w:rPr>
                <w:rFonts w:hint="eastAsia" w:ascii="宋体" w:hAnsi="宋体" w:eastAsia="宋体"/>
                <w:szCs w:val="21"/>
              </w:rPr>
            </w:pPr>
          </w:p>
        </w:tc>
        <w:tc>
          <w:tcPr>
            <w:tcW w:w="1320" w:type="dxa"/>
            <w:tcBorders>
              <w:right w:val="single" w:color="000000" w:sz="4" w:space="0"/>
            </w:tcBorders>
          </w:tcPr>
          <w:p w14:paraId="3E0C183E">
            <w:pPr>
              <w:jc w:val="left"/>
              <w:rPr>
                <w:rFonts w:hint="eastAsia" w:ascii="Arial"/>
              </w:rPr>
            </w:pPr>
          </w:p>
        </w:tc>
        <w:tc>
          <w:tcPr>
            <w:tcW w:w="915" w:type="dxa"/>
          </w:tcPr>
          <w:p w14:paraId="2EE51B5A">
            <w:pPr>
              <w:jc w:val="left"/>
              <w:rPr>
                <w:rFonts w:hint="eastAsia" w:ascii="Arial"/>
              </w:rPr>
            </w:pPr>
          </w:p>
        </w:tc>
      </w:tr>
      <w:tr w14:paraId="2F919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7E31C3D">
            <w:pPr>
              <w:widowControl/>
              <w:jc w:val="center"/>
              <w:textAlignment w:val="center"/>
              <w:rPr>
                <w:rFonts w:hint="eastAsia" w:ascii="宋体" w:hAnsi="宋体" w:cs="宋体"/>
                <w:szCs w:val="21"/>
              </w:rPr>
            </w:pPr>
          </w:p>
        </w:tc>
        <w:tc>
          <w:tcPr>
            <w:tcW w:w="1500" w:type="dxa"/>
            <w:shd w:val="clear" w:color="auto" w:fill="auto"/>
            <w:vAlign w:val="center"/>
          </w:tcPr>
          <w:p w14:paraId="2EC6D4C3">
            <w:pPr>
              <w:pStyle w:val="138"/>
              <w:spacing w:before="142" w:line="222" w:lineRule="auto"/>
              <w:rPr>
                <w:spacing w:val="-2"/>
                <w:sz w:val="21"/>
                <w:szCs w:val="21"/>
              </w:rPr>
            </w:pPr>
          </w:p>
        </w:tc>
        <w:tc>
          <w:tcPr>
            <w:tcW w:w="3150" w:type="dxa"/>
            <w:shd w:val="clear" w:color="auto" w:fill="auto"/>
            <w:vAlign w:val="center"/>
          </w:tcPr>
          <w:p w14:paraId="2A400F6E">
            <w:pPr>
              <w:pStyle w:val="138"/>
              <w:spacing w:before="142" w:line="222" w:lineRule="auto"/>
              <w:ind w:left="555"/>
              <w:rPr>
                <w:spacing w:val="-2"/>
                <w:sz w:val="21"/>
                <w:szCs w:val="21"/>
              </w:rPr>
            </w:pPr>
          </w:p>
        </w:tc>
        <w:tc>
          <w:tcPr>
            <w:tcW w:w="630" w:type="dxa"/>
            <w:shd w:val="clear" w:color="auto" w:fill="auto"/>
            <w:vAlign w:val="center"/>
          </w:tcPr>
          <w:p w14:paraId="658C8E29">
            <w:pPr>
              <w:widowControl/>
              <w:jc w:val="center"/>
              <w:textAlignment w:val="center"/>
              <w:rPr>
                <w:rFonts w:hint="eastAsia" w:ascii="宋体" w:hAnsi="宋体" w:eastAsia="宋体"/>
                <w:szCs w:val="21"/>
              </w:rPr>
            </w:pPr>
          </w:p>
        </w:tc>
        <w:tc>
          <w:tcPr>
            <w:tcW w:w="645" w:type="dxa"/>
            <w:shd w:val="clear" w:color="auto" w:fill="auto"/>
            <w:vAlign w:val="center"/>
          </w:tcPr>
          <w:p w14:paraId="78AEBCEE">
            <w:pPr>
              <w:widowControl/>
              <w:jc w:val="center"/>
              <w:textAlignment w:val="center"/>
              <w:rPr>
                <w:rFonts w:hint="eastAsia" w:ascii="宋体" w:hAnsi="宋体" w:eastAsia="宋体"/>
                <w:szCs w:val="21"/>
              </w:rPr>
            </w:pPr>
          </w:p>
        </w:tc>
        <w:tc>
          <w:tcPr>
            <w:tcW w:w="1320" w:type="dxa"/>
            <w:tcBorders>
              <w:right w:val="single" w:color="000000" w:sz="4" w:space="0"/>
            </w:tcBorders>
          </w:tcPr>
          <w:p w14:paraId="7D15CC6A">
            <w:pPr>
              <w:jc w:val="left"/>
              <w:rPr>
                <w:rFonts w:hint="eastAsia" w:ascii="Arial"/>
              </w:rPr>
            </w:pPr>
          </w:p>
        </w:tc>
        <w:tc>
          <w:tcPr>
            <w:tcW w:w="915" w:type="dxa"/>
          </w:tcPr>
          <w:p w14:paraId="0CC3C81C">
            <w:pPr>
              <w:jc w:val="left"/>
              <w:rPr>
                <w:rFonts w:hint="eastAsia" w:ascii="Arial"/>
              </w:rPr>
            </w:pPr>
          </w:p>
        </w:tc>
      </w:tr>
      <w:tr w14:paraId="6155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14:paraId="417D491E">
            <w:pPr>
              <w:spacing w:before="79"/>
              <w:jc w:val="center"/>
              <w:rPr>
                <w:rFonts w:hint="eastAsia" w:ascii="宋体" w:hAnsi="宋体" w:eastAsia="宋体" w:cs="宋体"/>
                <w:szCs w:val="21"/>
              </w:rPr>
            </w:pPr>
          </w:p>
        </w:tc>
        <w:tc>
          <w:tcPr>
            <w:tcW w:w="1500" w:type="dxa"/>
            <w:shd w:val="clear" w:color="auto" w:fill="auto"/>
            <w:vAlign w:val="center"/>
          </w:tcPr>
          <w:p w14:paraId="72098E82">
            <w:pPr>
              <w:pStyle w:val="138"/>
              <w:spacing w:before="142" w:line="222" w:lineRule="auto"/>
              <w:rPr>
                <w:spacing w:val="-2"/>
                <w:sz w:val="21"/>
                <w:szCs w:val="21"/>
              </w:rPr>
            </w:pPr>
          </w:p>
        </w:tc>
        <w:tc>
          <w:tcPr>
            <w:tcW w:w="3150" w:type="dxa"/>
            <w:shd w:val="clear" w:color="auto" w:fill="auto"/>
            <w:vAlign w:val="center"/>
          </w:tcPr>
          <w:p w14:paraId="4192A6FC">
            <w:pPr>
              <w:pStyle w:val="138"/>
              <w:spacing w:before="142" w:line="222" w:lineRule="auto"/>
              <w:ind w:left="555"/>
              <w:rPr>
                <w:spacing w:val="-2"/>
                <w:sz w:val="21"/>
                <w:szCs w:val="21"/>
              </w:rPr>
            </w:pPr>
          </w:p>
        </w:tc>
        <w:tc>
          <w:tcPr>
            <w:tcW w:w="630" w:type="dxa"/>
            <w:shd w:val="clear" w:color="auto" w:fill="auto"/>
            <w:vAlign w:val="center"/>
          </w:tcPr>
          <w:p w14:paraId="2BE148EC">
            <w:pPr>
              <w:widowControl/>
              <w:jc w:val="center"/>
              <w:textAlignment w:val="center"/>
              <w:rPr>
                <w:rFonts w:hint="eastAsia" w:ascii="宋体" w:hAnsi="宋体" w:eastAsia="宋体"/>
                <w:szCs w:val="21"/>
              </w:rPr>
            </w:pPr>
          </w:p>
        </w:tc>
        <w:tc>
          <w:tcPr>
            <w:tcW w:w="645" w:type="dxa"/>
            <w:shd w:val="clear" w:color="auto" w:fill="auto"/>
            <w:vAlign w:val="center"/>
          </w:tcPr>
          <w:p w14:paraId="12609ABF">
            <w:pPr>
              <w:widowControl/>
              <w:jc w:val="center"/>
              <w:textAlignment w:val="center"/>
              <w:rPr>
                <w:rFonts w:hint="eastAsia" w:ascii="宋体" w:hAnsi="宋体" w:eastAsia="宋体"/>
                <w:szCs w:val="21"/>
              </w:rPr>
            </w:pPr>
          </w:p>
        </w:tc>
        <w:tc>
          <w:tcPr>
            <w:tcW w:w="1320" w:type="dxa"/>
            <w:tcBorders>
              <w:right w:val="single" w:color="000000" w:sz="4" w:space="0"/>
            </w:tcBorders>
          </w:tcPr>
          <w:p w14:paraId="267F8F16">
            <w:pPr>
              <w:rPr>
                <w:rFonts w:hint="eastAsia" w:ascii="Arial"/>
              </w:rPr>
            </w:pPr>
          </w:p>
        </w:tc>
        <w:tc>
          <w:tcPr>
            <w:tcW w:w="915" w:type="dxa"/>
          </w:tcPr>
          <w:p w14:paraId="1C6FE48B">
            <w:pPr>
              <w:rPr>
                <w:rFonts w:hint="eastAsia" w:ascii="Arial"/>
              </w:rPr>
            </w:pPr>
          </w:p>
        </w:tc>
      </w:tr>
    </w:tbl>
    <w:p w14:paraId="79F0A807">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11AD514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13DB4F2B">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33D69A88">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66D5D563">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709084A3">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4FEC2D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793C5C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车桥公司电驱主减总成装配线改造技改项目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BD9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C0A855B">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D31981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28596E0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53D5F3E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E2FC2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0DA74E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378515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71EB96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6FCD19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7E0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2E58E4">
            <w:pPr>
              <w:ind w:left="420" w:hanging="420"/>
              <w:rPr>
                <w:rFonts w:ascii="宋体" w:hAnsi="Times New Roman" w:eastAsia="宋体" w:cs="Times New Roman"/>
                <w:b/>
                <w:szCs w:val="20"/>
              </w:rPr>
            </w:pPr>
          </w:p>
        </w:tc>
        <w:tc>
          <w:tcPr>
            <w:tcW w:w="2082" w:type="dxa"/>
          </w:tcPr>
          <w:p w14:paraId="54A393A6">
            <w:pPr>
              <w:ind w:left="420" w:hanging="420"/>
              <w:rPr>
                <w:rFonts w:ascii="宋体" w:hAnsi="Times New Roman" w:eastAsia="宋体" w:cs="Times New Roman"/>
                <w:b/>
                <w:szCs w:val="20"/>
              </w:rPr>
            </w:pPr>
          </w:p>
        </w:tc>
        <w:tc>
          <w:tcPr>
            <w:tcW w:w="1355" w:type="dxa"/>
          </w:tcPr>
          <w:p w14:paraId="07653D95">
            <w:pPr>
              <w:ind w:left="420" w:hanging="420"/>
              <w:rPr>
                <w:rFonts w:ascii="宋体" w:hAnsi="Times New Roman" w:eastAsia="宋体" w:cs="Times New Roman"/>
                <w:b/>
                <w:szCs w:val="20"/>
              </w:rPr>
            </w:pPr>
          </w:p>
        </w:tc>
        <w:tc>
          <w:tcPr>
            <w:tcW w:w="826" w:type="dxa"/>
          </w:tcPr>
          <w:p w14:paraId="48C7B744">
            <w:pPr>
              <w:ind w:left="420" w:hanging="420"/>
              <w:rPr>
                <w:rFonts w:ascii="宋体" w:hAnsi="Times New Roman" w:eastAsia="宋体" w:cs="Times New Roman"/>
                <w:b/>
                <w:szCs w:val="20"/>
              </w:rPr>
            </w:pPr>
          </w:p>
        </w:tc>
        <w:tc>
          <w:tcPr>
            <w:tcW w:w="1320" w:type="dxa"/>
          </w:tcPr>
          <w:p w14:paraId="28F64041">
            <w:pPr>
              <w:ind w:left="420" w:hanging="420"/>
              <w:rPr>
                <w:rFonts w:ascii="宋体" w:hAnsi="Times New Roman" w:eastAsia="宋体" w:cs="Times New Roman"/>
                <w:b/>
                <w:szCs w:val="20"/>
              </w:rPr>
            </w:pPr>
          </w:p>
        </w:tc>
        <w:tc>
          <w:tcPr>
            <w:tcW w:w="1023" w:type="dxa"/>
          </w:tcPr>
          <w:p w14:paraId="31E7EC56">
            <w:pPr>
              <w:ind w:left="420" w:hanging="420"/>
              <w:rPr>
                <w:rFonts w:ascii="宋体" w:hAnsi="Times New Roman" w:eastAsia="宋体" w:cs="Times New Roman"/>
                <w:b/>
                <w:szCs w:val="20"/>
              </w:rPr>
            </w:pPr>
          </w:p>
        </w:tc>
        <w:tc>
          <w:tcPr>
            <w:tcW w:w="1590" w:type="dxa"/>
          </w:tcPr>
          <w:p w14:paraId="007CD389">
            <w:pPr>
              <w:ind w:left="420" w:hanging="420"/>
              <w:rPr>
                <w:rFonts w:ascii="宋体" w:hAnsi="Times New Roman" w:eastAsia="宋体" w:cs="Times New Roman"/>
                <w:b/>
                <w:szCs w:val="20"/>
              </w:rPr>
            </w:pPr>
          </w:p>
        </w:tc>
      </w:tr>
      <w:tr w14:paraId="7217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3E86A7">
            <w:pPr>
              <w:ind w:left="420" w:hanging="420"/>
              <w:rPr>
                <w:rFonts w:ascii="宋体" w:hAnsi="Times New Roman" w:eastAsia="宋体" w:cs="Times New Roman"/>
                <w:b/>
                <w:szCs w:val="20"/>
              </w:rPr>
            </w:pPr>
          </w:p>
        </w:tc>
        <w:tc>
          <w:tcPr>
            <w:tcW w:w="2082" w:type="dxa"/>
          </w:tcPr>
          <w:p w14:paraId="64437E15">
            <w:pPr>
              <w:ind w:left="420" w:hanging="420"/>
              <w:rPr>
                <w:rFonts w:ascii="宋体" w:hAnsi="Times New Roman" w:eastAsia="宋体" w:cs="Times New Roman"/>
                <w:b/>
                <w:szCs w:val="20"/>
              </w:rPr>
            </w:pPr>
          </w:p>
        </w:tc>
        <w:tc>
          <w:tcPr>
            <w:tcW w:w="1355" w:type="dxa"/>
          </w:tcPr>
          <w:p w14:paraId="75B44C87">
            <w:pPr>
              <w:ind w:left="420" w:hanging="420"/>
              <w:rPr>
                <w:rFonts w:ascii="宋体" w:hAnsi="Times New Roman" w:eastAsia="宋体" w:cs="Times New Roman"/>
                <w:b/>
                <w:szCs w:val="20"/>
              </w:rPr>
            </w:pPr>
          </w:p>
        </w:tc>
        <w:tc>
          <w:tcPr>
            <w:tcW w:w="826" w:type="dxa"/>
          </w:tcPr>
          <w:p w14:paraId="3E9D91A5">
            <w:pPr>
              <w:ind w:left="420" w:hanging="420"/>
              <w:rPr>
                <w:rFonts w:ascii="宋体" w:hAnsi="Times New Roman" w:eastAsia="宋体" w:cs="Times New Roman"/>
                <w:b/>
                <w:szCs w:val="20"/>
              </w:rPr>
            </w:pPr>
          </w:p>
        </w:tc>
        <w:tc>
          <w:tcPr>
            <w:tcW w:w="1320" w:type="dxa"/>
          </w:tcPr>
          <w:p w14:paraId="6FD3140D">
            <w:pPr>
              <w:ind w:left="420" w:hanging="420"/>
              <w:rPr>
                <w:rFonts w:ascii="宋体" w:hAnsi="Times New Roman" w:eastAsia="宋体" w:cs="Times New Roman"/>
                <w:b/>
                <w:szCs w:val="20"/>
              </w:rPr>
            </w:pPr>
          </w:p>
        </w:tc>
        <w:tc>
          <w:tcPr>
            <w:tcW w:w="1023" w:type="dxa"/>
          </w:tcPr>
          <w:p w14:paraId="5596CB88">
            <w:pPr>
              <w:ind w:left="420" w:hanging="420"/>
              <w:rPr>
                <w:rFonts w:ascii="宋体" w:hAnsi="Times New Roman" w:eastAsia="宋体" w:cs="Times New Roman"/>
                <w:b/>
                <w:szCs w:val="20"/>
              </w:rPr>
            </w:pPr>
          </w:p>
        </w:tc>
        <w:tc>
          <w:tcPr>
            <w:tcW w:w="1590" w:type="dxa"/>
          </w:tcPr>
          <w:p w14:paraId="622D4FE3">
            <w:pPr>
              <w:ind w:left="420" w:hanging="420"/>
              <w:rPr>
                <w:rFonts w:ascii="宋体" w:hAnsi="Times New Roman" w:eastAsia="宋体" w:cs="Times New Roman"/>
                <w:b/>
                <w:szCs w:val="20"/>
              </w:rPr>
            </w:pPr>
          </w:p>
        </w:tc>
      </w:tr>
      <w:tr w14:paraId="532F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0D28C6">
            <w:pPr>
              <w:ind w:left="420" w:hanging="420"/>
              <w:rPr>
                <w:rFonts w:ascii="宋体" w:hAnsi="Times New Roman" w:eastAsia="宋体" w:cs="Times New Roman"/>
                <w:b/>
                <w:szCs w:val="20"/>
              </w:rPr>
            </w:pPr>
          </w:p>
        </w:tc>
        <w:tc>
          <w:tcPr>
            <w:tcW w:w="2082" w:type="dxa"/>
          </w:tcPr>
          <w:p w14:paraId="79DFD412">
            <w:pPr>
              <w:ind w:left="420" w:hanging="420"/>
              <w:rPr>
                <w:rFonts w:ascii="宋体" w:hAnsi="Times New Roman" w:eastAsia="宋体" w:cs="Times New Roman"/>
                <w:b/>
                <w:szCs w:val="20"/>
              </w:rPr>
            </w:pPr>
          </w:p>
        </w:tc>
        <w:tc>
          <w:tcPr>
            <w:tcW w:w="1355" w:type="dxa"/>
          </w:tcPr>
          <w:p w14:paraId="3473F9B4">
            <w:pPr>
              <w:ind w:left="420" w:hanging="420"/>
              <w:rPr>
                <w:rFonts w:ascii="宋体" w:hAnsi="Times New Roman" w:eastAsia="宋体" w:cs="Times New Roman"/>
                <w:b/>
                <w:szCs w:val="20"/>
              </w:rPr>
            </w:pPr>
          </w:p>
        </w:tc>
        <w:tc>
          <w:tcPr>
            <w:tcW w:w="826" w:type="dxa"/>
          </w:tcPr>
          <w:p w14:paraId="0B6D70F5">
            <w:pPr>
              <w:ind w:left="420" w:hanging="420"/>
              <w:rPr>
                <w:rFonts w:ascii="宋体" w:hAnsi="Times New Roman" w:eastAsia="宋体" w:cs="Times New Roman"/>
                <w:b/>
                <w:szCs w:val="20"/>
              </w:rPr>
            </w:pPr>
          </w:p>
        </w:tc>
        <w:tc>
          <w:tcPr>
            <w:tcW w:w="1320" w:type="dxa"/>
          </w:tcPr>
          <w:p w14:paraId="5C874796">
            <w:pPr>
              <w:ind w:left="420" w:hanging="420"/>
              <w:rPr>
                <w:rFonts w:ascii="宋体" w:hAnsi="Times New Roman" w:eastAsia="宋体" w:cs="Times New Roman"/>
                <w:b/>
                <w:szCs w:val="20"/>
              </w:rPr>
            </w:pPr>
          </w:p>
        </w:tc>
        <w:tc>
          <w:tcPr>
            <w:tcW w:w="1023" w:type="dxa"/>
          </w:tcPr>
          <w:p w14:paraId="5CAF8B08">
            <w:pPr>
              <w:ind w:left="420" w:hanging="420"/>
              <w:rPr>
                <w:rFonts w:ascii="宋体" w:hAnsi="Times New Roman" w:eastAsia="宋体" w:cs="Times New Roman"/>
                <w:b/>
                <w:szCs w:val="20"/>
              </w:rPr>
            </w:pPr>
          </w:p>
        </w:tc>
        <w:tc>
          <w:tcPr>
            <w:tcW w:w="1590" w:type="dxa"/>
          </w:tcPr>
          <w:p w14:paraId="0951A078">
            <w:pPr>
              <w:ind w:left="420" w:hanging="420"/>
              <w:rPr>
                <w:rFonts w:ascii="宋体" w:hAnsi="Times New Roman" w:eastAsia="宋体" w:cs="Times New Roman"/>
                <w:b/>
                <w:szCs w:val="20"/>
              </w:rPr>
            </w:pPr>
          </w:p>
        </w:tc>
      </w:tr>
      <w:tr w14:paraId="536C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61823">
            <w:pPr>
              <w:ind w:left="420" w:hanging="420"/>
              <w:rPr>
                <w:rFonts w:ascii="宋体" w:hAnsi="Times New Roman" w:eastAsia="宋体" w:cs="Times New Roman"/>
                <w:b/>
                <w:szCs w:val="20"/>
              </w:rPr>
            </w:pPr>
          </w:p>
        </w:tc>
        <w:tc>
          <w:tcPr>
            <w:tcW w:w="2082" w:type="dxa"/>
          </w:tcPr>
          <w:p w14:paraId="462A0B6F">
            <w:pPr>
              <w:ind w:left="420" w:hanging="420"/>
              <w:rPr>
                <w:rFonts w:ascii="宋体" w:hAnsi="Times New Roman" w:eastAsia="宋体" w:cs="Times New Roman"/>
                <w:b/>
                <w:szCs w:val="20"/>
              </w:rPr>
            </w:pPr>
          </w:p>
        </w:tc>
        <w:tc>
          <w:tcPr>
            <w:tcW w:w="1355" w:type="dxa"/>
          </w:tcPr>
          <w:p w14:paraId="2204CCC0">
            <w:pPr>
              <w:ind w:left="420" w:hanging="420"/>
              <w:rPr>
                <w:rFonts w:ascii="宋体" w:hAnsi="Times New Roman" w:eastAsia="宋体" w:cs="Times New Roman"/>
                <w:b/>
                <w:szCs w:val="20"/>
              </w:rPr>
            </w:pPr>
          </w:p>
        </w:tc>
        <w:tc>
          <w:tcPr>
            <w:tcW w:w="826" w:type="dxa"/>
          </w:tcPr>
          <w:p w14:paraId="7B88C2A2">
            <w:pPr>
              <w:ind w:left="420" w:hanging="420"/>
              <w:rPr>
                <w:rFonts w:ascii="宋体" w:hAnsi="Times New Roman" w:eastAsia="宋体" w:cs="Times New Roman"/>
                <w:b/>
                <w:szCs w:val="20"/>
              </w:rPr>
            </w:pPr>
          </w:p>
        </w:tc>
        <w:tc>
          <w:tcPr>
            <w:tcW w:w="1320" w:type="dxa"/>
          </w:tcPr>
          <w:p w14:paraId="5290CF0D">
            <w:pPr>
              <w:ind w:left="420" w:hanging="420"/>
              <w:rPr>
                <w:rFonts w:ascii="宋体" w:hAnsi="Times New Roman" w:eastAsia="宋体" w:cs="Times New Roman"/>
                <w:b/>
                <w:szCs w:val="20"/>
              </w:rPr>
            </w:pPr>
          </w:p>
        </w:tc>
        <w:tc>
          <w:tcPr>
            <w:tcW w:w="1023" w:type="dxa"/>
          </w:tcPr>
          <w:p w14:paraId="4022E390">
            <w:pPr>
              <w:ind w:left="420" w:hanging="420"/>
              <w:rPr>
                <w:rFonts w:ascii="宋体" w:hAnsi="Times New Roman" w:eastAsia="宋体" w:cs="Times New Roman"/>
                <w:b/>
                <w:szCs w:val="20"/>
              </w:rPr>
            </w:pPr>
          </w:p>
        </w:tc>
        <w:tc>
          <w:tcPr>
            <w:tcW w:w="1590" w:type="dxa"/>
          </w:tcPr>
          <w:p w14:paraId="315786F9">
            <w:pPr>
              <w:ind w:left="420" w:hanging="420"/>
              <w:rPr>
                <w:rFonts w:ascii="宋体" w:hAnsi="Times New Roman" w:eastAsia="宋体" w:cs="Times New Roman"/>
                <w:b/>
                <w:szCs w:val="20"/>
              </w:rPr>
            </w:pPr>
          </w:p>
        </w:tc>
      </w:tr>
      <w:tr w14:paraId="7FB1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95117B">
            <w:pPr>
              <w:ind w:left="420" w:hanging="420"/>
              <w:rPr>
                <w:rFonts w:ascii="宋体" w:hAnsi="Times New Roman" w:eastAsia="宋体" w:cs="Times New Roman"/>
                <w:b/>
                <w:szCs w:val="20"/>
              </w:rPr>
            </w:pPr>
          </w:p>
        </w:tc>
        <w:tc>
          <w:tcPr>
            <w:tcW w:w="2082" w:type="dxa"/>
          </w:tcPr>
          <w:p w14:paraId="471B03A6">
            <w:pPr>
              <w:ind w:left="420" w:hanging="420"/>
              <w:rPr>
                <w:rFonts w:ascii="宋体" w:hAnsi="Times New Roman" w:eastAsia="宋体" w:cs="Times New Roman"/>
                <w:b/>
                <w:szCs w:val="20"/>
              </w:rPr>
            </w:pPr>
          </w:p>
        </w:tc>
        <w:tc>
          <w:tcPr>
            <w:tcW w:w="1355" w:type="dxa"/>
          </w:tcPr>
          <w:p w14:paraId="2A647258">
            <w:pPr>
              <w:ind w:left="420" w:hanging="420"/>
              <w:rPr>
                <w:rFonts w:ascii="宋体" w:hAnsi="Times New Roman" w:eastAsia="宋体" w:cs="Times New Roman"/>
                <w:b/>
                <w:szCs w:val="20"/>
              </w:rPr>
            </w:pPr>
          </w:p>
        </w:tc>
        <w:tc>
          <w:tcPr>
            <w:tcW w:w="826" w:type="dxa"/>
          </w:tcPr>
          <w:p w14:paraId="78B11D1A">
            <w:pPr>
              <w:ind w:left="420" w:hanging="420"/>
              <w:rPr>
                <w:rFonts w:ascii="宋体" w:hAnsi="Times New Roman" w:eastAsia="宋体" w:cs="Times New Roman"/>
                <w:b/>
                <w:szCs w:val="20"/>
              </w:rPr>
            </w:pPr>
          </w:p>
        </w:tc>
        <w:tc>
          <w:tcPr>
            <w:tcW w:w="1320" w:type="dxa"/>
          </w:tcPr>
          <w:p w14:paraId="700FA292">
            <w:pPr>
              <w:ind w:left="420" w:hanging="420"/>
              <w:rPr>
                <w:rFonts w:ascii="宋体" w:hAnsi="Times New Roman" w:eastAsia="宋体" w:cs="Times New Roman"/>
                <w:b/>
                <w:szCs w:val="20"/>
              </w:rPr>
            </w:pPr>
          </w:p>
        </w:tc>
        <w:tc>
          <w:tcPr>
            <w:tcW w:w="1023" w:type="dxa"/>
          </w:tcPr>
          <w:p w14:paraId="122897D4">
            <w:pPr>
              <w:ind w:left="420" w:hanging="420"/>
              <w:rPr>
                <w:rFonts w:ascii="宋体" w:hAnsi="Times New Roman" w:eastAsia="宋体" w:cs="Times New Roman"/>
                <w:b/>
                <w:szCs w:val="20"/>
              </w:rPr>
            </w:pPr>
          </w:p>
        </w:tc>
        <w:tc>
          <w:tcPr>
            <w:tcW w:w="1590" w:type="dxa"/>
          </w:tcPr>
          <w:p w14:paraId="6983F06A">
            <w:pPr>
              <w:ind w:left="420" w:hanging="420"/>
              <w:rPr>
                <w:rFonts w:ascii="宋体" w:hAnsi="Times New Roman" w:eastAsia="宋体" w:cs="Times New Roman"/>
                <w:b/>
                <w:szCs w:val="20"/>
              </w:rPr>
            </w:pPr>
          </w:p>
        </w:tc>
      </w:tr>
      <w:tr w14:paraId="5A01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27B636">
            <w:pPr>
              <w:ind w:left="420" w:hanging="420"/>
              <w:rPr>
                <w:rFonts w:ascii="宋体" w:hAnsi="Times New Roman" w:eastAsia="宋体" w:cs="Times New Roman"/>
                <w:b/>
                <w:szCs w:val="20"/>
              </w:rPr>
            </w:pPr>
          </w:p>
        </w:tc>
        <w:tc>
          <w:tcPr>
            <w:tcW w:w="2082" w:type="dxa"/>
          </w:tcPr>
          <w:p w14:paraId="4806D78B">
            <w:pPr>
              <w:ind w:left="420" w:hanging="420"/>
              <w:rPr>
                <w:rFonts w:ascii="宋体" w:hAnsi="Times New Roman" w:eastAsia="宋体" w:cs="Times New Roman"/>
                <w:b/>
                <w:szCs w:val="20"/>
              </w:rPr>
            </w:pPr>
          </w:p>
        </w:tc>
        <w:tc>
          <w:tcPr>
            <w:tcW w:w="1355" w:type="dxa"/>
          </w:tcPr>
          <w:p w14:paraId="01F2072C">
            <w:pPr>
              <w:ind w:left="420" w:hanging="420"/>
              <w:rPr>
                <w:rFonts w:ascii="宋体" w:hAnsi="Times New Roman" w:eastAsia="宋体" w:cs="Times New Roman"/>
                <w:b/>
                <w:szCs w:val="20"/>
              </w:rPr>
            </w:pPr>
          </w:p>
        </w:tc>
        <w:tc>
          <w:tcPr>
            <w:tcW w:w="826" w:type="dxa"/>
          </w:tcPr>
          <w:p w14:paraId="433F5D06">
            <w:pPr>
              <w:ind w:left="420" w:hanging="420"/>
              <w:rPr>
                <w:rFonts w:ascii="宋体" w:hAnsi="Times New Roman" w:eastAsia="宋体" w:cs="Times New Roman"/>
                <w:b/>
                <w:szCs w:val="20"/>
              </w:rPr>
            </w:pPr>
          </w:p>
        </w:tc>
        <w:tc>
          <w:tcPr>
            <w:tcW w:w="1320" w:type="dxa"/>
          </w:tcPr>
          <w:p w14:paraId="153BEA79">
            <w:pPr>
              <w:ind w:left="420" w:hanging="420"/>
              <w:rPr>
                <w:rFonts w:ascii="宋体" w:hAnsi="Times New Roman" w:eastAsia="宋体" w:cs="Times New Roman"/>
                <w:b/>
                <w:szCs w:val="20"/>
              </w:rPr>
            </w:pPr>
          </w:p>
        </w:tc>
        <w:tc>
          <w:tcPr>
            <w:tcW w:w="1023" w:type="dxa"/>
          </w:tcPr>
          <w:p w14:paraId="30EC17D9">
            <w:pPr>
              <w:ind w:left="420" w:hanging="420"/>
              <w:rPr>
                <w:rFonts w:ascii="宋体" w:hAnsi="Times New Roman" w:eastAsia="宋体" w:cs="Times New Roman"/>
                <w:b/>
                <w:szCs w:val="20"/>
              </w:rPr>
            </w:pPr>
          </w:p>
        </w:tc>
        <w:tc>
          <w:tcPr>
            <w:tcW w:w="1590" w:type="dxa"/>
          </w:tcPr>
          <w:p w14:paraId="0E3F7BCB">
            <w:pPr>
              <w:ind w:left="420" w:hanging="420"/>
              <w:rPr>
                <w:rFonts w:ascii="宋体" w:hAnsi="Times New Roman" w:eastAsia="宋体" w:cs="Times New Roman"/>
                <w:b/>
                <w:szCs w:val="20"/>
              </w:rPr>
            </w:pPr>
          </w:p>
        </w:tc>
      </w:tr>
      <w:tr w14:paraId="6AE7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D58769">
            <w:pPr>
              <w:ind w:left="420" w:hanging="420"/>
              <w:rPr>
                <w:rFonts w:ascii="宋体" w:hAnsi="Times New Roman" w:eastAsia="宋体" w:cs="Times New Roman"/>
                <w:b/>
                <w:szCs w:val="20"/>
              </w:rPr>
            </w:pPr>
          </w:p>
        </w:tc>
        <w:tc>
          <w:tcPr>
            <w:tcW w:w="2082" w:type="dxa"/>
          </w:tcPr>
          <w:p w14:paraId="3459F363">
            <w:pPr>
              <w:ind w:left="420" w:hanging="420"/>
              <w:rPr>
                <w:rFonts w:ascii="宋体" w:hAnsi="Times New Roman" w:eastAsia="宋体" w:cs="Times New Roman"/>
                <w:b/>
                <w:szCs w:val="20"/>
              </w:rPr>
            </w:pPr>
          </w:p>
        </w:tc>
        <w:tc>
          <w:tcPr>
            <w:tcW w:w="1355" w:type="dxa"/>
          </w:tcPr>
          <w:p w14:paraId="527B8428">
            <w:pPr>
              <w:ind w:left="420" w:hanging="420"/>
              <w:rPr>
                <w:rFonts w:ascii="宋体" w:hAnsi="Times New Roman" w:eastAsia="宋体" w:cs="Times New Roman"/>
                <w:b/>
                <w:szCs w:val="20"/>
              </w:rPr>
            </w:pPr>
          </w:p>
        </w:tc>
        <w:tc>
          <w:tcPr>
            <w:tcW w:w="826" w:type="dxa"/>
          </w:tcPr>
          <w:p w14:paraId="141416A2">
            <w:pPr>
              <w:ind w:left="420" w:hanging="420"/>
              <w:rPr>
                <w:rFonts w:ascii="宋体" w:hAnsi="Times New Roman" w:eastAsia="宋体" w:cs="Times New Roman"/>
                <w:b/>
                <w:szCs w:val="20"/>
              </w:rPr>
            </w:pPr>
          </w:p>
        </w:tc>
        <w:tc>
          <w:tcPr>
            <w:tcW w:w="1320" w:type="dxa"/>
          </w:tcPr>
          <w:p w14:paraId="648FCD93">
            <w:pPr>
              <w:ind w:left="420" w:hanging="420"/>
              <w:rPr>
                <w:rFonts w:ascii="宋体" w:hAnsi="Times New Roman" w:eastAsia="宋体" w:cs="Times New Roman"/>
                <w:b/>
                <w:szCs w:val="20"/>
              </w:rPr>
            </w:pPr>
          </w:p>
        </w:tc>
        <w:tc>
          <w:tcPr>
            <w:tcW w:w="1023" w:type="dxa"/>
          </w:tcPr>
          <w:p w14:paraId="7C596394">
            <w:pPr>
              <w:ind w:left="420" w:hanging="420"/>
              <w:rPr>
                <w:rFonts w:ascii="宋体" w:hAnsi="Times New Roman" w:eastAsia="宋体" w:cs="Times New Roman"/>
                <w:b/>
                <w:szCs w:val="20"/>
              </w:rPr>
            </w:pPr>
          </w:p>
        </w:tc>
        <w:tc>
          <w:tcPr>
            <w:tcW w:w="1590" w:type="dxa"/>
          </w:tcPr>
          <w:p w14:paraId="55805EA3">
            <w:pPr>
              <w:ind w:left="420" w:hanging="420"/>
              <w:rPr>
                <w:rFonts w:ascii="宋体" w:hAnsi="Times New Roman" w:eastAsia="宋体" w:cs="Times New Roman"/>
                <w:b/>
                <w:szCs w:val="20"/>
              </w:rPr>
            </w:pPr>
          </w:p>
        </w:tc>
      </w:tr>
      <w:tr w14:paraId="64ED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C358BD">
            <w:pPr>
              <w:ind w:left="420" w:hanging="420"/>
              <w:rPr>
                <w:rFonts w:ascii="宋体" w:hAnsi="Times New Roman" w:eastAsia="宋体" w:cs="Times New Roman"/>
                <w:b/>
                <w:szCs w:val="20"/>
              </w:rPr>
            </w:pPr>
          </w:p>
        </w:tc>
        <w:tc>
          <w:tcPr>
            <w:tcW w:w="2082" w:type="dxa"/>
          </w:tcPr>
          <w:p w14:paraId="2C69D4FA">
            <w:pPr>
              <w:ind w:left="420" w:hanging="420"/>
              <w:rPr>
                <w:rFonts w:ascii="宋体" w:hAnsi="Times New Roman" w:eastAsia="宋体" w:cs="Times New Roman"/>
                <w:b/>
                <w:szCs w:val="20"/>
              </w:rPr>
            </w:pPr>
          </w:p>
        </w:tc>
        <w:tc>
          <w:tcPr>
            <w:tcW w:w="1355" w:type="dxa"/>
          </w:tcPr>
          <w:p w14:paraId="4D7CB4C5">
            <w:pPr>
              <w:ind w:left="420" w:hanging="420"/>
              <w:rPr>
                <w:rFonts w:ascii="宋体" w:hAnsi="Times New Roman" w:eastAsia="宋体" w:cs="Times New Roman"/>
                <w:b/>
                <w:szCs w:val="20"/>
              </w:rPr>
            </w:pPr>
          </w:p>
        </w:tc>
        <w:tc>
          <w:tcPr>
            <w:tcW w:w="826" w:type="dxa"/>
          </w:tcPr>
          <w:p w14:paraId="59F8D96D">
            <w:pPr>
              <w:ind w:left="420" w:hanging="420"/>
              <w:rPr>
                <w:rFonts w:ascii="宋体" w:hAnsi="Times New Roman" w:eastAsia="宋体" w:cs="Times New Roman"/>
                <w:b/>
                <w:szCs w:val="20"/>
              </w:rPr>
            </w:pPr>
          </w:p>
        </w:tc>
        <w:tc>
          <w:tcPr>
            <w:tcW w:w="1320" w:type="dxa"/>
          </w:tcPr>
          <w:p w14:paraId="3BCD4250">
            <w:pPr>
              <w:ind w:left="420" w:hanging="420"/>
              <w:rPr>
                <w:rFonts w:ascii="宋体" w:hAnsi="Times New Roman" w:eastAsia="宋体" w:cs="Times New Roman"/>
                <w:b/>
                <w:szCs w:val="20"/>
              </w:rPr>
            </w:pPr>
          </w:p>
        </w:tc>
        <w:tc>
          <w:tcPr>
            <w:tcW w:w="1023" w:type="dxa"/>
          </w:tcPr>
          <w:p w14:paraId="1FEB9C91">
            <w:pPr>
              <w:ind w:left="420" w:hanging="420"/>
              <w:rPr>
                <w:rFonts w:ascii="宋体" w:hAnsi="Times New Roman" w:eastAsia="宋体" w:cs="Times New Roman"/>
                <w:b/>
                <w:szCs w:val="20"/>
              </w:rPr>
            </w:pPr>
          </w:p>
        </w:tc>
        <w:tc>
          <w:tcPr>
            <w:tcW w:w="1590" w:type="dxa"/>
          </w:tcPr>
          <w:p w14:paraId="4BF4CCC5">
            <w:pPr>
              <w:ind w:left="420" w:hanging="420"/>
              <w:rPr>
                <w:rFonts w:ascii="宋体" w:hAnsi="Times New Roman" w:eastAsia="宋体" w:cs="Times New Roman"/>
                <w:b/>
                <w:szCs w:val="20"/>
              </w:rPr>
            </w:pPr>
          </w:p>
        </w:tc>
      </w:tr>
      <w:tr w14:paraId="0F4D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A3A82A">
            <w:pPr>
              <w:ind w:left="420" w:hanging="420"/>
              <w:rPr>
                <w:rFonts w:ascii="宋体" w:hAnsi="Times New Roman" w:eastAsia="宋体" w:cs="Times New Roman"/>
                <w:b/>
                <w:szCs w:val="20"/>
              </w:rPr>
            </w:pPr>
          </w:p>
        </w:tc>
        <w:tc>
          <w:tcPr>
            <w:tcW w:w="2082" w:type="dxa"/>
          </w:tcPr>
          <w:p w14:paraId="11E18E10">
            <w:pPr>
              <w:ind w:left="420" w:hanging="420"/>
              <w:rPr>
                <w:rFonts w:ascii="宋体" w:hAnsi="Times New Roman" w:eastAsia="宋体" w:cs="Times New Roman"/>
                <w:b/>
                <w:szCs w:val="20"/>
              </w:rPr>
            </w:pPr>
          </w:p>
        </w:tc>
        <w:tc>
          <w:tcPr>
            <w:tcW w:w="1355" w:type="dxa"/>
          </w:tcPr>
          <w:p w14:paraId="6C951BE3">
            <w:pPr>
              <w:ind w:left="420" w:hanging="420"/>
              <w:rPr>
                <w:rFonts w:ascii="宋体" w:hAnsi="Times New Roman" w:eastAsia="宋体" w:cs="Times New Roman"/>
                <w:b/>
                <w:szCs w:val="20"/>
              </w:rPr>
            </w:pPr>
          </w:p>
        </w:tc>
        <w:tc>
          <w:tcPr>
            <w:tcW w:w="826" w:type="dxa"/>
          </w:tcPr>
          <w:p w14:paraId="7F7B14EB">
            <w:pPr>
              <w:ind w:left="420" w:hanging="420"/>
              <w:rPr>
                <w:rFonts w:ascii="宋体" w:hAnsi="Times New Roman" w:eastAsia="宋体" w:cs="Times New Roman"/>
                <w:b/>
                <w:szCs w:val="20"/>
              </w:rPr>
            </w:pPr>
          </w:p>
        </w:tc>
        <w:tc>
          <w:tcPr>
            <w:tcW w:w="1320" w:type="dxa"/>
          </w:tcPr>
          <w:p w14:paraId="03C12B26">
            <w:pPr>
              <w:ind w:left="420" w:hanging="420"/>
              <w:rPr>
                <w:rFonts w:ascii="宋体" w:hAnsi="Times New Roman" w:eastAsia="宋体" w:cs="Times New Roman"/>
                <w:b/>
                <w:szCs w:val="20"/>
              </w:rPr>
            </w:pPr>
          </w:p>
        </w:tc>
        <w:tc>
          <w:tcPr>
            <w:tcW w:w="1023" w:type="dxa"/>
          </w:tcPr>
          <w:p w14:paraId="2B3817A7">
            <w:pPr>
              <w:ind w:left="420" w:hanging="420"/>
              <w:rPr>
                <w:rFonts w:ascii="宋体" w:hAnsi="Times New Roman" w:eastAsia="宋体" w:cs="Times New Roman"/>
                <w:b/>
                <w:szCs w:val="20"/>
              </w:rPr>
            </w:pPr>
          </w:p>
        </w:tc>
        <w:tc>
          <w:tcPr>
            <w:tcW w:w="1590" w:type="dxa"/>
          </w:tcPr>
          <w:p w14:paraId="0A6177B2">
            <w:pPr>
              <w:ind w:left="420" w:hanging="420"/>
              <w:rPr>
                <w:rFonts w:ascii="宋体" w:hAnsi="Times New Roman" w:eastAsia="宋体" w:cs="Times New Roman"/>
                <w:b/>
                <w:szCs w:val="20"/>
              </w:rPr>
            </w:pPr>
          </w:p>
        </w:tc>
      </w:tr>
      <w:tr w14:paraId="361D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E44CA1">
            <w:pPr>
              <w:ind w:left="420" w:hanging="420"/>
              <w:rPr>
                <w:rFonts w:ascii="宋体" w:hAnsi="Times New Roman" w:eastAsia="宋体" w:cs="Times New Roman"/>
                <w:b/>
                <w:szCs w:val="20"/>
              </w:rPr>
            </w:pPr>
          </w:p>
        </w:tc>
        <w:tc>
          <w:tcPr>
            <w:tcW w:w="2082" w:type="dxa"/>
          </w:tcPr>
          <w:p w14:paraId="67EE89C6">
            <w:pPr>
              <w:ind w:left="420" w:hanging="420"/>
              <w:rPr>
                <w:rFonts w:ascii="宋体" w:hAnsi="Times New Roman" w:eastAsia="宋体" w:cs="Times New Roman"/>
                <w:b/>
                <w:szCs w:val="20"/>
              </w:rPr>
            </w:pPr>
          </w:p>
        </w:tc>
        <w:tc>
          <w:tcPr>
            <w:tcW w:w="1355" w:type="dxa"/>
          </w:tcPr>
          <w:p w14:paraId="33CC7A36">
            <w:pPr>
              <w:ind w:left="420" w:hanging="420"/>
              <w:rPr>
                <w:rFonts w:ascii="宋体" w:hAnsi="Times New Roman" w:eastAsia="宋体" w:cs="Times New Roman"/>
                <w:b/>
                <w:szCs w:val="20"/>
              </w:rPr>
            </w:pPr>
          </w:p>
        </w:tc>
        <w:tc>
          <w:tcPr>
            <w:tcW w:w="826" w:type="dxa"/>
          </w:tcPr>
          <w:p w14:paraId="46244A05">
            <w:pPr>
              <w:ind w:left="420" w:hanging="420"/>
              <w:rPr>
                <w:rFonts w:ascii="宋体" w:hAnsi="Times New Roman" w:eastAsia="宋体" w:cs="Times New Roman"/>
                <w:b/>
                <w:szCs w:val="20"/>
              </w:rPr>
            </w:pPr>
          </w:p>
        </w:tc>
        <w:tc>
          <w:tcPr>
            <w:tcW w:w="1320" w:type="dxa"/>
          </w:tcPr>
          <w:p w14:paraId="5B0961D2">
            <w:pPr>
              <w:ind w:left="420" w:hanging="420"/>
              <w:rPr>
                <w:rFonts w:ascii="宋体" w:hAnsi="Times New Roman" w:eastAsia="宋体" w:cs="Times New Roman"/>
                <w:b/>
                <w:szCs w:val="20"/>
              </w:rPr>
            </w:pPr>
          </w:p>
        </w:tc>
        <w:tc>
          <w:tcPr>
            <w:tcW w:w="1023" w:type="dxa"/>
          </w:tcPr>
          <w:p w14:paraId="4B9E1E11">
            <w:pPr>
              <w:ind w:left="420" w:hanging="420"/>
              <w:rPr>
                <w:rFonts w:ascii="宋体" w:hAnsi="Times New Roman" w:eastAsia="宋体" w:cs="Times New Roman"/>
                <w:b/>
                <w:szCs w:val="20"/>
              </w:rPr>
            </w:pPr>
          </w:p>
        </w:tc>
        <w:tc>
          <w:tcPr>
            <w:tcW w:w="1590" w:type="dxa"/>
          </w:tcPr>
          <w:p w14:paraId="3C889D6E">
            <w:pPr>
              <w:ind w:left="420" w:hanging="420"/>
              <w:rPr>
                <w:rFonts w:ascii="宋体" w:hAnsi="Times New Roman" w:eastAsia="宋体" w:cs="Times New Roman"/>
                <w:b/>
                <w:szCs w:val="20"/>
              </w:rPr>
            </w:pPr>
          </w:p>
        </w:tc>
      </w:tr>
      <w:tr w14:paraId="7B0E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52D9DD">
            <w:pPr>
              <w:ind w:left="420" w:hanging="420"/>
              <w:rPr>
                <w:rFonts w:ascii="宋体" w:hAnsi="Times New Roman" w:eastAsia="宋体" w:cs="Times New Roman"/>
                <w:b/>
                <w:szCs w:val="20"/>
              </w:rPr>
            </w:pPr>
          </w:p>
        </w:tc>
        <w:tc>
          <w:tcPr>
            <w:tcW w:w="2082" w:type="dxa"/>
          </w:tcPr>
          <w:p w14:paraId="0B7DAFBC">
            <w:pPr>
              <w:ind w:left="420" w:hanging="420"/>
              <w:rPr>
                <w:rFonts w:ascii="宋体" w:hAnsi="Times New Roman" w:eastAsia="宋体" w:cs="Times New Roman"/>
                <w:b/>
                <w:szCs w:val="20"/>
              </w:rPr>
            </w:pPr>
          </w:p>
        </w:tc>
        <w:tc>
          <w:tcPr>
            <w:tcW w:w="1355" w:type="dxa"/>
          </w:tcPr>
          <w:p w14:paraId="5AB60392">
            <w:pPr>
              <w:ind w:left="420" w:hanging="420"/>
              <w:rPr>
                <w:rFonts w:ascii="宋体" w:hAnsi="Times New Roman" w:eastAsia="宋体" w:cs="Times New Roman"/>
                <w:b/>
                <w:szCs w:val="20"/>
              </w:rPr>
            </w:pPr>
          </w:p>
        </w:tc>
        <w:tc>
          <w:tcPr>
            <w:tcW w:w="826" w:type="dxa"/>
          </w:tcPr>
          <w:p w14:paraId="5222A8E5">
            <w:pPr>
              <w:ind w:left="420" w:hanging="420"/>
              <w:rPr>
                <w:rFonts w:ascii="宋体" w:hAnsi="Times New Roman" w:eastAsia="宋体" w:cs="Times New Roman"/>
                <w:b/>
                <w:szCs w:val="20"/>
              </w:rPr>
            </w:pPr>
          </w:p>
        </w:tc>
        <w:tc>
          <w:tcPr>
            <w:tcW w:w="1320" w:type="dxa"/>
          </w:tcPr>
          <w:p w14:paraId="56066920">
            <w:pPr>
              <w:ind w:left="420" w:hanging="420"/>
              <w:rPr>
                <w:rFonts w:ascii="宋体" w:hAnsi="Times New Roman" w:eastAsia="宋体" w:cs="Times New Roman"/>
                <w:b/>
                <w:szCs w:val="20"/>
              </w:rPr>
            </w:pPr>
          </w:p>
        </w:tc>
        <w:tc>
          <w:tcPr>
            <w:tcW w:w="1023" w:type="dxa"/>
          </w:tcPr>
          <w:p w14:paraId="77BABE45">
            <w:pPr>
              <w:ind w:left="420" w:hanging="420"/>
              <w:rPr>
                <w:rFonts w:ascii="宋体" w:hAnsi="Times New Roman" w:eastAsia="宋体" w:cs="Times New Roman"/>
                <w:b/>
                <w:szCs w:val="20"/>
              </w:rPr>
            </w:pPr>
          </w:p>
        </w:tc>
        <w:tc>
          <w:tcPr>
            <w:tcW w:w="1590" w:type="dxa"/>
          </w:tcPr>
          <w:p w14:paraId="1B2EA2A5">
            <w:pPr>
              <w:ind w:left="420" w:hanging="420"/>
              <w:rPr>
                <w:rFonts w:ascii="宋体" w:hAnsi="Times New Roman" w:eastAsia="宋体" w:cs="Times New Roman"/>
                <w:b/>
                <w:szCs w:val="20"/>
              </w:rPr>
            </w:pPr>
          </w:p>
        </w:tc>
      </w:tr>
      <w:tr w14:paraId="67F8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EB361F">
            <w:pPr>
              <w:ind w:left="420" w:hanging="420"/>
              <w:rPr>
                <w:rFonts w:ascii="宋体" w:hAnsi="Times New Roman" w:eastAsia="宋体" w:cs="Times New Roman"/>
                <w:b/>
                <w:szCs w:val="20"/>
              </w:rPr>
            </w:pPr>
          </w:p>
        </w:tc>
        <w:tc>
          <w:tcPr>
            <w:tcW w:w="2082" w:type="dxa"/>
          </w:tcPr>
          <w:p w14:paraId="206796C2">
            <w:pPr>
              <w:ind w:left="420" w:hanging="420"/>
              <w:rPr>
                <w:rFonts w:ascii="宋体" w:hAnsi="Times New Roman" w:eastAsia="宋体" w:cs="Times New Roman"/>
                <w:b/>
                <w:szCs w:val="20"/>
              </w:rPr>
            </w:pPr>
          </w:p>
        </w:tc>
        <w:tc>
          <w:tcPr>
            <w:tcW w:w="1355" w:type="dxa"/>
          </w:tcPr>
          <w:p w14:paraId="4BEF0FE0">
            <w:pPr>
              <w:ind w:left="420" w:hanging="420"/>
              <w:rPr>
                <w:rFonts w:ascii="宋体" w:hAnsi="Times New Roman" w:eastAsia="宋体" w:cs="Times New Roman"/>
                <w:b/>
                <w:szCs w:val="20"/>
              </w:rPr>
            </w:pPr>
          </w:p>
        </w:tc>
        <w:tc>
          <w:tcPr>
            <w:tcW w:w="826" w:type="dxa"/>
          </w:tcPr>
          <w:p w14:paraId="2DC2CE14">
            <w:pPr>
              <w:ind w:left="420" w:hanging="420"/>
              <w:rPr>
                <w:rFonts w:ascii="宋体" w:hAnsi="Times New Roman" w:eastAsia="宋体" w:cs="Times New Roman"/>
                <w:b/>
                <w:szCs w:val="20"/>
              </w:rPr>
            </w:pPr>
          </w:p>
        </w:tc>
        <w:tc>
          <w:tcPr>
            <w:tcW w:w="1320" w:type="dxa"/>
          </w:tcPr>
          <w:p w14:paraId="692F33E4">
            <w:pPr>
              <w:ind w:left="420" w:hanging="420"/>
              <w:rPr>
                <w:rFonts w:ascii="宋体" w:hAnsi="Times New Roman" w:eastAsia="宋体" w:cs="Times New Roman"/>
                <w:b/>
                <w:szCs w:val="20"/>
              </w:rPr>
            </w:pPr>
          </w:p>
        </w:tc>
        <w:tc>
          <w:tcPr>
            <w:tcW w:w="1023" w:type="dxa"/>
          </w:tcPr>
          <w:p w14:paraId="19001D66">
            <w:pPr>
              <w:ind w:left="420" w:hanging="420"/>
              <w:rPr>
                <w:rFonts w:ascii="宋体" w:hAnsi="Times New Roman" w:eastAsia="宋体" w:cs="Times New Roman"/>
                <w:b/>
                <w:szCs w:val="20"/>
              </w:rPr>
            </w:pPr>
          </w:p>
        </w:tc>
        <w:tc>
          <w:tcPr>
            <w:tcW w:w="1590" w:type="dxa"/>
          </w:tcPr>
          <w:p w14:paraId="64EE331C">
            <w:pPr>
              <w:ind w:left="420" w:hanging="420"/>
              <w:rPr>
                <w:rFonts w:ascii="宋体" w:hAnsi="Times New Roman" w:eastAsia="宋体" w:cs="Times New Roman"/>
                <w:b/>
                <w:szCs w:val="20"/>
              </w:rPr>
            </w:pPr>
          </w:p>
        </w:tc>
      </w:tr>
      <w:tr w14:paraId="6F29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7CEF279">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323CFA80">
            <w:pPr>
              <w:ind w:left="420" w:hanging="420"/>
              <w:rPr>
                <w:rFonts w:ascii="宋体" w:hAnsi="Times New Roman" w:eastAsia="宋体" w:cs="Times New Roman"/>
                <w:b/>
                <w:szCs w:val="20"/>
              </w:rPr>
            </w:pPr>
          </w:p>
        </w:tc>
        <w:tc>
          <w:tcPr>
            <w:tcW w:w="1320" w:type="dxa"/>
          </w:tcPr>
          <w:p w14:paraId="03AC0A86">
            <w:pPr>
              <w:ind w:left="420" w:hanging="420"/>
              <w:rPr>
                <w:rFonts w:ascii="宋体" w:hAnsi="Times New Roman" w:eastAsia="宋体" w:cs="Times New Roman"/>
                <w:b/>
                <w:szCs w:val="20"/>
              </w:rPr>
            </w:pPr>
          </w:p>
        </w:tc>
        <w:tc>
          <w:tcPr>
            <w:tcW w:w="1023" w:type="dxa"/>
          </w:tcPr>
          <w:p w14:paraId="4D8A0F49">
            <w:pPr>
              <w:ind w:left="420" w:hanging="420"/>
              <w:rPr>
                <w:rFonts w:ascii="宋体" w:hAnsi="Times New Roman" w:eastAsia="宋体" w:cs="Times New Roman"/>
                <w:b/>
                <w:szCs w:val="20"/>
              </w:rPr>
            </w:pPr>
          </w:p>
        </w:tc>
        <w:tc>
          <w:tcPr>
            <w:tcW w:w="1590" w:type="dxa"/>
          </w:tcPr>
          <w:p w14:paraId="22422373">
            <w:pPr>
              <w:ind w:left="420" w:hanging="420"/>
              <w:rPr>
                <w:rFonts w:ascii="宋体" w:hAnsi="Times New Roman" w:eastAsia="宋体" w:cs="Times New Roman"/>
                <w:b/>
                <w:szCs w:val="20"/>
              </w:rPr>
            </w:pPr>
          </w:p>
        </w:tc>
      </w:tr>
    </w:tbl>
    <w:p w14:paraId="02B5B69B">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21EF1B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8E87F1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0A6B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7BAD85">
      <w:pPr>
        <w:rPr>
          <w:rFonts w:ascii="宋体" w:hAnsi="Calibri" w:eastAsia="宋体" w:cs="宋体"/>
          <w:b/>
          <w:bCs/>
          <w:color w:val="000000"/>
          <w:sz w:val="28"/>
        </w:rPr>
      </w:pPr>
    </w:p>
    <w:p w14:paraId="6956494E">
      <w:pPr>
        <w:rPr>
          <w:rFonts w:ascii="宋体" w:hAnsi="Calibri" w:eastAsia="宋体" w:cs="宋体"/>
          <w:b/>
          <w:bCs/>
          <w:color w:val="000000"/>
          <w:sz w:val="28"/>
        </w:rPr>
        <w:sectPr>
          <w:footerReference r:id="rId26" w:type="default"/>
          <w:pgSz w:w="11906" w:h="16838"/>
          <w:pgMar w:top="1588" w:right="1418" w:bottom="1134" w:left="1418" w:header="851" w:footer="992" w:gutter="0"/>
          <w:pgNumType w:fmt="decimal"/>
          <w:cols w:space="720" w:num="1"/>
          <w:titlePg/>
          <w:docGrid w:type="lines" w:linePitch="312" w:charSpace="0"/>
        </w:sectPr>
      </w:pPr>
    </w:p>
    <w:p w14:paraId="3A21C8B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DC64EA0">
      <w:pPr>
        <w:spacing w:line="240" w:lineRule="exact"/>
        <w:rPr>
          <w:rFonts w:ascii="宋体" w:hAnsi="宋体" w:eastAsia="宋体" w:cs="Times New Roman"/>
          <w:szCs w:val="20"/>
        </w:rPr>
      </w:pPr>
      <w:r>
        <w:rPr>
          <w:rFonts w:ascii="宋体" w:hAnsi="宋体" w:eastAsia="宋体" w:cs="Times New Roman"/>
          <w:szCs w:val="20"/>
        </w:rPr>
        <w:t xml:space="preserve">                                               </w:t>
      </w:r>
    </w:p>
    <w:p w14:paraId="38E09829">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车桥公司电驱主减总成装配线改造技改项目</w:t>
      </w:r>
    </w:p>
    <w:p w14:paraId="2F94B58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2FCC92E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D715F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ECC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9748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55EB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BC8A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5B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1772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3B8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7129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291B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1570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99E2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CF3D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594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178D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0A47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CBBC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E0F3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E334D9">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6DEACF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BC9644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46CA6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6FD1516">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3DAB54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B983E8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386FE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车桥公司电驱主减总成装配线改造技改项目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CA6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5DDFF7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6CC96CA8">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6B8152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585F8C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BAA4EC8">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5D80F4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370E0D">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BEE326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6D4A27E">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29A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4AF24E7">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390762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车桥公司电驱主减总成装配线改造技改项目</w:t>
            </w:r>
          </w:p>
        </w:tc>
        <w:tc>
          <w:tcPr>
            <w:tcW w:w="848" w:type="dxa"/>
            <w:vAlign w:val="center"/>
          </w:tcPr>
          <w:p w14:paraId="5554E626">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3CE1EED5">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03340D0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D72E511">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D98F08C">
            <w:pPr>
              <w:jc w:val="center"/>
              <w:rPr>
                <w:rFonts w:ascii="Times New Roman" w:hAnsi="Times New Roman" w:eastAsia="宋体" w:cs="Times New Roman"/>
                <w:b/>
                <w:szCs w:val="20"/>
              </w:rPr>
            </w:pPr>
          </w:p>
        </w:tc>
        <w:tc>
          <w:tcPr>
            <w:tcW w:w="1243" w:type="dxa"/>
            <w:vAlign w:val="center"/>
          </w:tcPr>
          <w:p w14:paraId="79F261C7">
            <w:pPr>
              <w:jc w:val="center"/>
              <w:rPr>
                <w:rFonts w:ascii="Times New Roman" w:hAnsi="Times New Roman" w:eastAsia="宋体" w:cs="Times New Roman"/>
                <w:b/>
                <w:szCs w:val="20"/>
              </w:rPr>
            </w:pPr>
          </w:p>
        </w:tc>
        <w:tc>
          <w:tcPr>
            <w:tcW w:w="705" w:type="dxa"/>
            <w:vAlign w:val="center"/>
          </w:tcPr>
          <w:p w14:paraId="2C1AE1B1">
            <w:pPr>
              <w:jc w:val="center"/>
              <w:rPr>
                <w:rFonts w:ascii="Times New Roman" w:hAnsi="Times New Roman" w:eastAsia="宋体" w:cs="Times New Roman"/>
                <w:b/>
                <w:szCs w:val="20"/>
              </w:rPr>
            </w:pPr>
          </w:p>
        </w:tc>
        <w:tc>
          <w:tcPr>
            <w:tcW w:w="699" w:type="dxa"/>
            <w:vAlign w:val="center"/>
          </w:tcPr>
          <w:p w14:paraId="4E11D0A3">
            <w:pPr>
              <w:jc w:val="center"/>
              <w:rPr>
                <w:rFonts w:ascii="Times New Roman" w:hAnsi="Times New Roman" w:eastAsia="宋体" w:cs="Times New Roman"/>
                <w:b/>
                <w:szCs w:val="20"/>
              </w:rPr>
            </w:pPr>
          </w:p>
        </w:tc>
      </w:tr>
    </w:tbl>
    <w:p w14:paraId="29BAF24A">
      <w:pPr>
        <w:rPr>
          <w:rFonts w:ascii="宋体" w:hAnsi="Arial" w:eastAsia="宋体" w:cs="Times New Roman"/>
          <w:sz w:val="24"/>
          <w:szCs w:val="24"/>
        </w:rPr>
      </w:pPr>
    </w:p>
    <w:p w14:paraId="280CC52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85AB616">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0EC9A9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567363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76CF822">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138AFE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AE96D4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7480C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2E66E1">
      <w:pPr>
        <w:ind w:firstLine="480"/>
        <w:rPr>
          <w:rFonts w:ascii="宋体" w:hAnsi="Calibri" w:eastAsia="宋体" w:cs="Times New Roman"/>
          <w:color w:val="000000"/>
          <w:sz w:val="24"/>
          <w:szCs w:val="24"/>
        </w:rPr>
      </w:pPr>
    </w:p>
    <w:p w14:paraId="055344C1">
      <w:pPr>
        <w:pStyle w:val="18"/>
        <w:sectPr>
          <w:pgSz w:w="11906" w:h="16838"/>
          <w:pgMar w:top="1588" w:right="1418" w:bottom="1134" w:left="1418" w:header="851" w:footer="992" w:gutter="0"/>
          <w:pgNumType w:fmt="decimal"/>
          <w:cols w:space="720" w:num="1"/>
          <w:titlePg/>
          <w:docGrid w:type="lines" w:linePitch="312" w:charSpace="0"/>
        </w:sectPr>
      </w:pPr>
    </w:p>
    <w:p w14:paraId="5379BF5E">
      <w:pPr>
        <w:rPr>
          <w:rFonts w:hint="eastAsia" w:ascii="宋体" w:hAnsi="宋体" w:cs="宋体"/>
          <w:color w:val="000000"/>
          <w:sz w:val="24"/>
          <w:szCs w:val="24"/>
        </w:rPr>
      </w:pPr>
    </w:p>
    <w:p w14:paraId="32569779">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E2462EE">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B147674">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0"/>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14:paraId="624CE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D415331">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14:paraId="0A8B2DAF">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14:paraId="79031CF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1F435F0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02C50CD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4468B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667E9FF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4D0D9FD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7FB0A41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7AD8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FFCB82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14:paraId="60F67F5C">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14:paraId="1BAE091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2A6317D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1F2A409">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23760385">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71AC66A6">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0B505BF6">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3D875C8">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6296A04C">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09F5319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584A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377A6E">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CDDEAB">
            <w:pPr>
              <w:jc w:val="center"/>
              <w:rPr>
                <w:rFonts w:ascii="宋体" w:hAnsi="宋体" w:eastAsia="宋体" w:cs="宋体"/>
                <w:sz w:val="24"/>
                <w:szCs w:val="24"/>
              </w:rPr>
            </w:pPr>
            <w:r>
              <w:rPr>
                <w:rFonts w:hint="eastAsia" w:ascii="宋体" w:hAnsi="宋体" w:eastAsia="宋体" w:cs="宋体"/>
                <w:sz w:val="24"/>
                <w:szCs w:val="24"/>
              </w:rPr>
              <w:t>加热机（台式）</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C84415">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7415BD">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97C46F">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590F69BF">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5326484">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71C90C8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2EDFB68">
            <w:pPr>
              <w:jc w:val="left"/>
              <w:rPr>
                <w:rFonts w:ascii="Arial" w:hAnsi="Times New Roman" w:eastAsia="宋体" w:cs="Times New Roman"/>
                <w:kern w:val="0"/>
                <w:sz w:val="20"/>
                <w:szCs w:val="20"/>
              </w:rPr>
            </w:pPr>
          </w:p>
        </w:tc>
      </w:tr>
      <w:tr w14:paraId="07970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94A1B8">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2B22C">
            <w:pPr>
              <w:jc w:val="center"/>
              <w:rPr>
                <w:rFonts w:ascii="宋体" w:hAnsi="宋体" w:eastAsia="宋体" w:cs="宋体"/>
                <w:sz w:val="24"/>
                <w:szCs w:val="24"/>
              </w:rPr>
            </w:pPr>
            <w:r>
              <w:rPr>
                <w:rFonts w:hint="eastAsia" w:ascii="宋体" w:hAnsi="宋体" w:eastAsia="宋体" w:cs="宋体"/>
                <w:sz w:val="24"/>
                <w:szCs w:val="24"/>
              </w:rPr>
              <w:t>多联件合装</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04BC4B">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379B0F">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396C7">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F30DC09">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4742A92">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7587163A">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9D7B679">
            <w:pPr>
              <w:jc w:val="left"/>
              <w:rPr>
                <w:rFonts w:ascii="Arial" w:hAnsi="Times New Roman" w:eastAsia="宋体" w:cs="Times New Roman"/>
                <w:kern w:val="0"/>
                <w:sz w:val="20"/>
                <w:szCs w:val="20"/>
              </w:rPr>
            </w:pPr>
          </w:p>
        </w:tc>
      </w:tr>
      <w:tr w14:paraId="35EE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5456F2">
            <w:pPr>
              <w:widowControl/>
              <w:jc w:val="center"/>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C76F7F">
            <w:pPr>
              <w:jc w:val="center"/>
              <w:rPr>
                <w:rFonts w:ascii="宋体" w:hAnsi="宋体" w:eastAsia="宋体" w:cs="宋体"/>
                <w:sz w:val="24"/>
                <w:szCs w:val="24"/>
              </w:rPr>
            </w:pPr>
            <w:r>
              <w:rPr>
                <w:rFonts w:hint="eastAsia" w:ascii="宋体" w:hAnsi="宋体" w:eastAsia="宋体" w:cs="宋体"/>
                <w:sz w:val="24"/>
                <w:szCs w:val="24"/>
              </w:rPr>
              <w:t>压装减壳二轴轴承外环、滑动衬套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775EDE">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0AE5B6">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604F18">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53471509">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A02EA39">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756D887A">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FEDB199">
            <w:pPr>
              <w:jc w:val="left"/>
              <w:rPr>
                <w:rFonts w:ascii="Arial" w:hAnsi="Times New Roman" w:eastAsia="宋体" w:cs="Times New Roman"/>
                <w:kern w:val="0"/>
                <w:sz w:val="20"/>
                <w:szCs w:val="20"/>
              </w:rPr>
            </w:pPr>
          </w:p>
        </w:tc>
      </w:tr>
      <w:tr w14:paraId="37DF1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53682C">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87046A">
            <w:pPr>
              <w:jc w:val="center"/>
              <w:rPr>
                <w:rFonts w:ascii="宋体" w:hAnsi="宋体" w:eastAsia="宋体" w:cs="宋体"/>
                <w:sz w:val="24"/>
                <w:szCs w:val="24"/>
              </w:rPr>
            </w:pPr>
            <w:r>
              <w:rPr>
                <w:rFonts w:hint="eastAsia" w:ascii="宋体" w:hAnsi="宋体" w:eastAsia="宋体" w:cs="宋体"/>
                <w:sz w:val="24"/>
                <w:szCs w:val="24"/>
              </w:rPr>
              <w:t>合装线随行装置重新制作</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C85B9C">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648AA1">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D5379F">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5B0054EB">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B5CF9F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A53470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4424ECD9">
            <w:pPr>
              <w:jc w:val="center"/>
              <w:textAlignment w:val="center"/>
              <w:rPr>
                <w:rFonts w:ascii="宋体" w:hAnsi="宋体" w:eastAsia="宋体" w:cs="Times New Roman"/>
                <w:sz w:val="24"/>
                <w:szCs w:val="24"/>
              </w:rPr>
            </w:pPr>
          </w:p>
        </w:tc>
      </w:tr>
      <w:tr w14:paraId="2DC14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C7F8B8">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7E546E">
            <w:pPr>
              <w:jc w:val="center"/>
              <w:rPr>
                <w:rFonts w:ascii="宋体" w:hAnsi="宋体" w:eastAsia="宋体" w:cs="宋体"/>
                <w:sz w:val="24"/>
                <w:szCs w:val="24"/>
              </w:rPr>
            </w:pPr>
            <w:r>
              <w:rPr>
                <w:rFonts w:hint="eastAsia" w:ascii="宋体" w:hAnsi="宋体" w:eastAsia="宋体" w:cs="宋体"/>
                <w:sz w:val="24"/>
                <w:szCs w:val="24"/>
              </w:rPr>
              <w:t xml:space="preserve">中间轴间隙测量及选垫片 </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C9E028">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30D8BF">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707DC9">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01FB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72559F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2EE7FB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3688474">
            <w:pPr>
              <w:jc w:val="center"/>
              <w:textAlignment w:val="center"/>
              <w:rPr>
                <w:rFonts w:ascii="宋体" w:hAnsi="宋体" w:eastAsia="宋体" w:cs="Times New Roman"/>
                <w:sz w:val="24"/>
                <w:szCs w:val="24"/>
              </w:rPr>
            </w:pPr>
          </w:p>
        </w:tc>
      </w:tr>
      <w:tr w14:paraId="4995B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F09EBE">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A0235F">
            <w:pPr>
              <w:jc w:val="center"/>
              <w:rPr>
                <w:rFonts w:ascii="宋体" w:hAnsi="宋体" w:eastAsia="宋体" w:cs="宋体"/>
                <w:sz w:val="24"/>
                <w:szCs w:val="24"/>
              </w:rPr>
            </w:pPr>
            <w:r>
              <w:rPr>
                <w:rFonts w:hint="eastAsia" w:ascii="宋体" w:hAnsi="宋体" w:eastAsia="宋体" w:cs="宋体"/>
                <w:sz w:val="24"/>
                <w:szCs w:val="24"/>
              </w:rPr>
              <w:t>拧紧二轴调整螺母/二轴拧紧回退（MCE06/12/16）</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4C6AC5">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D618BE">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46775C">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506DADB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F7C342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B69A8B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E2827ED">
            <w:pPr>
              <w:jc w:val="center"/>
              <w:textAlignment w:val="center"/>
              <w:rPr>
                <w:rFonts w:ascii="宋体" w:hAnsi="宋体" w:eastAsia="宋体" w:cs="Times New Roman"/>
                <w:sz w:val="24"/>
                <w:szCs w:val="24"/>
              </w:rPr>
            </w:pPr>
          </w:p>
        </w:tc>
      </w:tr>
      <w:tr w14:paraId="6BEB4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017914">
            <w:pPr>
              <w:widowControl/>
              <w:jc w:val="center"/>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B24C59">
            <w:pPr>
              <w:jc w:val="center"/>
              <w:rPr>
                <w:rFonts w:ascii="宋体" w:hAnsi="宋体" w:eastAsia="宋体" w:cs="宋体"/>
                <w:sz w:val="24"/>
                <w:szCs w:val="24"/>
              </w:rPr>
            </w:pPr>
            <w:r>
              <w:rPr>
                <w:rFonts w:hint="eastAsia" w:ascii="宋体" w:hAnsi="宋体" w:eastAsia="宋体" w:cs="宋体"/>
                <w:sz w:val="24"/>
                <w:szCs w:val="24"/>
              </w:rPr>
              <w:t>拨叉轴压装卡簧、装差速锁机构</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5E448A">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15631A">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12D4B4">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6FF0CF4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E59F75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FDF284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207C8CA">
            <w:pPr>
              <w:jc w:val="center"/>
              <w:textAlignment w:val="center"/>
              <w:rPr>
                <w:rFonts w:ascii="宋体" w:hAnsi="宋体" w:eastAsia="宋体" w:cs="Times New Roman"/>
                <w:sz w:val="24"/>
                <w:szCs w:val="24"/>
              </w:rPr>
            </w:pPr>
          </w:p>
        </w:tc>
      </w:tr>
      <w:tr w14:paraId="73621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984CCD">
            <w:pPr>
              <w:widowControl/>
              <w:jc w:val="center"/>
              <w:textAlignment w:val="center"/>
              <w:rPr>
                <w:rFonts w:hint="eastAsia" w:ascii="仿宋_GB2312" w:hAnsi="仿宋_GB2312" w:eastAsia="仿宋_GB2312" w:cs="仿宋_GB2312"/>
                <w:color w:val="000000"/>
                <w:kern w:val="0"/>
                <w:szCs w:val="21"/>
                <w:lang w:val="en-US" w:eastAsia="zh-CN" w:bidi="ar"/>
              </w:rPr>
            </w:pPr>
            <w:r>
              <w:rPr>
                <w:rFonts w:hint="eastAsia" w:ascii="仿宋_GB2312" w:hAnsi="仿宋_GB2312" w:eastAsia="仿宋_GB2312" w:cs="仿宋_GB2312"/>
                <w:color w:val="000000"/>
                <w:kern w:val="0"/>
                <w:szCs w:val="21"/>
                <w:lang w:val="en-US" w:eastAsia="zh-CN" w:bidi="ar"/>
              </w:rPr>
              <w:t>8</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290355">
            <w:pPr>
              <w:jc w:val="center"/>
              <w:rPr>
                <w:rFonts w:hint="eastAsia" w:ascii="宋体" w:hAnsi="宋体" w:eastAsia="宋体" w:cs="宋体"/>
                <w:sz w:val="24"/>
                <w:szCs w:val="24"/>
              </w:rPr>
            </w:pPr>
            <w:r>
              <w:rPr>
                <w:rFonts w:hint="eastAsia" w:ascii="宋体" w:hAnsi="宋体" w:eastAsia="宋体" w:cs="宋体"/>
                <w:sz w:val="24"/>
                <w:szCs w:val="24"/>
              </w:rPr>
              <w:t>设备线体运输费</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D0737">
            <w:pPr>
              <w:widowControl/>
              <w:jc w:val="center"/>
              <w:textAlignment w:val="center"/>
              <w:rPr>
                <w:rFonts w:ascii="宋体" w:hAnsi="宋体" w:eastAsia="宋体" w:cs="宋体"/>
                <w:color w:val="000000"/>
                <w:kern w:val="0"/>
                <w:sz w:val="22"/>
                <w:lang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8AC9C7">
            <w:pPr>
              <w:widowControl/>
              <w:jc w:val="center"/>
              <w:textAlignment w:val="center"/>
              <w:rPr>
                <w:rFonts w:ascii="宋体" w:hAnsi="宋体" w:eastAsia="宋体" w:cs="宋体"/>
                <w:sz w:val="24"/>
                <w:szCs w:val="24"/>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687327">
            <w:pPr>
              <w:widowControl/>
              <w:jc w:val="center"/>
              <w:textAlignment w:val="center"/>
              <w:rPr>
                <w:rFonts w:ascii="宋体" w:hAnsi="宋体" w:eastAsia="宋体" w:cs="宋体"/>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0B4474E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48CFE3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A9EE70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F9ADAF3">
            <w:pPr>
              <w:jc w:val="center"/>
              <w:textAlignment w:val="center"/>
              <w:rPr>
                <w:rFonts w:ascii="宋体" w:hAnsi="宋体" w:eastAsia="宋体" w:cs="Times New Roman"/>
                <w:sz w:val="24"/>
                <w:szCs w:val="24"/>
              </w:rPr>
            </w:pPr>
          </w:p>
        </w:tc>
      </w:tr>
      <w:tr w14:paraId="07E82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0A956A30">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34D2D040">
            <w:pPr>
              <w:jc w:val="center"/>
              <w:rPr>
                <w:rFonts w:hint="eastAsia" w:ascii="Arial" w:hAnsi="Times New Roman" w:eastAsia="宋体" w:cs="Times New Roman"/>
                <w:kern w:val="0"/>
                <w:sz w:val="20"/>
                <w:szCs w:val="20"/>
                <w:lang w:eastAsia="zh-CN"/>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w:t>
            </w:r>
            <w:r>
              <w:rPr>
                <w:rFonts w:hint="eastAsia" w:ascii="宋体" w:hAnsi="宋体" w:eastAsia="宋体" w:cs="Times New Roman"/>
                <w:spacing w:val="-4"/>
                <w:kern w:val="0"/>
                <w:sz w:val="20"/>
                <w:szCs w:val="20"/>
                <w:lang w:val="en-US" w:eastAsia="zh-CN"/>
              </w:rPr>
              <w:t>3</w:t>
            </w:r>
          </w:p>
        </w:tc>
        <w:tc>
          <w:tcPr>
            <w:tcW w:w="1725" w:type="dxa"/>
            <w:tcBorders>
              <w:top w:val="single" w:color="000000" w:sz="2" w:space="0"/>
              <w:left w:val="nil"/>
              <w:bottom w:val="single" w:color="000000" w:sz="2" w:space="0"/>
              <w:right w:val="single" w:color="000000" w:sz="2" w:space="0"/>
            </w:tcBorders>
            <w:vAlign w:val="center"/>
          </w:tcPr>
          <w:p w14:paraId="23EE3CB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5B36FD9">
            <w:pPr>
              <w:jc w:val="left"/>
              <w:rPr>
                <w:rFonts w:ascii="Arial" w:hAnsi="Times New Roman" w:eastAsia="宋体" w:cs="Times New Roman"/>
                <w:kern w:val="0"/>
                <w:sz w:val="20"/>
                <w:szCs w:val="20"/>
              </w:rPr>
            </w:pPr>
          </w:p>
        </w:tc>
      </w:tr>
    </w:tbl>
    <w:p w14:paraId="1519027F">
      <w:pPr>
        <w:spacing w:before="52" w:line="221" w:lineRule="auto"/>
        <w:ind w:left="9"/>
        <w:jc w:val="right"/>
        <w:rPr>
          <w:rFonts w:hint="eastAsia" w:ascii="宋体" w:hAnsi="宋体" w:eastAsia="宋体" w:cs="Times New Roman"/>
          <w:b/>
          <w:bCs/>
          <w:sz w:val="24"/>
          <w:szCs w:val="24"/>
        </w:rPr>
      </w:pPr>
    </w:p>
    <w:p w14:paraId="28C2B990">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14:paraId="1A729EB8">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D79E28A">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6418E4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9F6A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5759CE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A0B42B">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75E3B2CD">
      <w:pPr>
        <w:spacing w:before="85" w:line="198" w:lineRule="auto"/>
        <w:ind w:left="432"/>
        <w:rPr>
          <w:rFonts w:hint="eastAsia" w:ascii="宋体" w:hAnsi="宋体" w:eastAsia="宋体" w:cs="宋体"/>
          <w:spacing w:val="-4"/>
          <w:sz w:val="24"/>
          <w:szCs w:val="24"/>
        </w:rPr>
      </w:pPr>
    </w:p>
    <w:p w14:paraId="26392704">
      <w:pPr>
        <w:spacing w:before="85" w:line="198" w:lineRule="auto"/>
        <w:ind w:left="432"/>
        <w:rPr>
          <w:rFonts w:hint="eastAsia" w:ascii="宋体" w:hAnsi="宋体" w:eastAsia="宋体" w:cs="宋体"/>
          <w:spacing w:val="-4"/>
          <w:sz w:val="24"/>
          <w:szCs w:val="24"/>
        </w:rPr>
      </w:pPr>
    </w:p>
    <w:p w14:paraId="15D0C69F">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14:paraId="61DDA8C0">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14:paraId="52C3D4A5">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2F7D83CB">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33EB33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6CE3A11">
      <w:pPr>
        <w:spacing w:line="172" w:lineRule="exact"/>
      </w:pPr>
    </w:p>
    <w:tbl>
      <w:tblPr>
        <w:tblStyle w:val="13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AD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913377">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F72E14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3ACF4F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0D01C3F">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48E8CF79">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3CE005D">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8EA8AD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3146F5F2">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71A74D53">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8FF6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E16F5A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0FABEA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4A589A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DA8780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3FF11B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33D4D27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723454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07F0C582">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3FAF0BD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58822F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F3C8CA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61811CC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30DA3E4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376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95DDD2">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00EEAF3B">
            <w:pPr>
              <w:rPr>
                <w:rFonts w:ascii="Arial"/>
              </w:rPr>
            </w:pPr>
          </w:p>
        </w:tc>
        <w:tc>
          <w:tcPr>
            <w:tcW w:w="2100" w:type="dxa"/>
          </w:tcPr>
          <w:p w14:paraId="3447B6BA">
            <w:pPr>
              <w:rPr>
                <w:rFonts w:ascii="Arial"/>
              </w:rPr>
            </w:pPr>
          </w:p>
        </w:tc>
        <w:tc>
          <w:tcPr>
            <w:tcW w:w="840" w:type="dxa"/>
          </w:tcPr>
          <w:p w14:paraId="3E798486">
            <w:pPr>
              <w:rPr>
                <w:rFonts w:ascii="Arial"/>
              </w:rPr>
            </w:pPr>
          </w:p>
        </w:tc>
        <w:tc>
          <w:tcPr>
            <w:tcW w:w="2239" w:type="dxa"/>
          </w:tcPr>
          <w:p w14:paraId="331E9668">
            <w:pPr>
              <w:rPr>
                <w:rFonts w:ascii="Arial"/>
              </w:rPr>
            </w:pPr>
          </w:p>
        </w:tc>
        <w:tc>
          <w:tcPr>
            <w:tcW w:w="1498" w:type="dxa"/>
          </w:tcPr>
          <w:p w14:paraId="3BF26C24">
            <w:pPr>
              <w:rPr>
                <w:rFonts w:ascii="Arial"/>
              </w:rPr>
            </w:pPr>
          </w:p>
        </w:tc>
        <w:tc>
          <w:tcPr>
            <w:tcW w:w="1861" w:type="dxa"/>
          </w:tcPr>
          <w:p w14:paraId="0D1CC1F1">
            <w:pPr>
              <w:rPr>
                <w:rFonts w:ascii="Arial"/>
              </w:rPr>
            </w:pPr>
          </w:p>
        </w:tc>
        <w:tc>
          <w:tcPr>
            <w:tcW w:w="1120" w:type="dxa"/>
          </w:tcPr>
          <w:p w14:paraId="6FEA614F">
            <w:pPr>
              <w:rPr>
                <w:rFonts w:ascii="Arial"/>
              </w:rPr>
            </w:pPr>
          </w:p>
        </w:tc>
        <w:tc>
          <w:tcPr>
            <w:tcW w:w="1125" w:type="dxa"/>
          </w:tcPr>
          <w:p w14:paraId="4DBF13A2">
            <w:pPr>
              <w:rPr>
                <w:rFonts w:ascii="Arial"/>
              </w:rPr>
            </w:pPr>
          </w:p>
        </w:tc>
      </w:tr>
      <w:tr w14:paraId="2E3FE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0C66A15">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3BFAB5E4">
            <w:pPr>
              <w:rPr>
                <w:rFonts w:ascii="Arial"/>
              </w:rPr>
            </w:pPr>
          </w:p>
        </w:tc>
        <w:tc>
          <w:tcPr>
            <w:tcW w:w="2100" w:type="dxa"/>
          </w:tcPr>
          <w:p w14:paraId="64D211B2">
            <w:pPr>
              <w:rPr>
                <w:rFonts w:ascii="Arial"/>
              </w:rPr>
            </w:pPr>
          </w:p>
        </w:tc>
        <w:tc>
          <w:tcPr>
            <w:tcW w:w="840" w:type="dxa"/>
          </w:tcPr>
          <w:p w14:paraId="0769A4BD">
            <w:pPr>
              <w:rPr>
                <w:rFonts w:ascii="Arial"/>
              </w:rPr>
            </w:pPr>
          </w:p>
        </w:tc>
        <w:tc>
          <w:tcPr>
            <w:tcW w:w="2239" w:type="dxa"/>
          </w:tcPr>
          <w:p w14:paraId="4F540D63">
            <w:pPr>
              <w:rPr>
                <w:rFonts w:ascii="Arial"/>
              </w:rPr>
            </w:pPr>
          </w:p>
        </w:tc>
        <w:tc>
          <w:tcPr>
            <w:tcW w:w="1498" w:type="dxa"/>
          </w:tcPr>
          <w:p w14:paraId="6CBAA9FA">
            <w:pPr>
              <w:rPr>
                <w:rFonts w:ascii="Arial"/>
              </w:rPr>
            </w:pPr>
          </w:p>
        </w:tc>
        <w:tc>
          <w:tcPr>
            <w:tcW w:w="1861" w:type="dxa"/>
          </w:tcPr>
          <w:p w14:paraId="3A187CAB">
            <w:pPr>
              <w:rPr>
                <w:rFonts w:ascii="Arial"/>
              </w:rPr>
            </w:pPr>
          </w:p>
        </w:tc>
        <w:tc>
          <w:tcPr>
            <w:tcW w:w="1120" w:type="dxa"/>
          </w:tcPr>
          <w:p w14:paraId="298CA8BF">
            <w:pPr>
              <w:rPr>
                <w:rFonts w:ascii="Arial"/>
              </w:rPr>
            </w:pPr>
          </w:p>
        </w:tc>
        <w:tc>
          <w:tcPr>
            <w:tcW w:w="1125" w:type="dxa"/>
          </w:tcPr>
          <w:p w14:paraId="13312A34">
            <w:pPr>
              <w:rPr>
                <w:rFonts w:ascii="Arial"/>
              </w:rPr>
            </w:pPr>
          </w:p>
        </w:tc>
      </w:tr>
      <w:tr w14:paraId="6991D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DB6EE74">
            <w:pPr>
              <w:rPr>
                <w:rFonts w:ascii="Arial"/>
              </w:rPr>
            </w:pPr>
          </w:p>
        </w:tc>
        <w:tc>
          <w:tcPr>
            <w:tcW w:w="2543" w:type="dxa"/>
          </w:tcPr>
          <w:p w14:paraId="598B83BE">
            <w:pPr>
              <w:rPr>
                <w:rFonts w:ascii="Arial"/>
              </w:rPr>
            </w:pPr>
          </w:p>
        </w:tc>
        <w:tc>
          <w:tcPr>
            <w:tcW w:w="2100" w:type="dxa"/>
          </w:tcPr>
          <w:p w14:paraId="6619C4D0">
            <w:pPr>
              <w:rPr>
                <w:rFonts w:ascii="Arial"/>
              </w:rPr>
            </w:pPr>
          </w:p>
        </w:tc>
        <w:tc>
          <w:tcPr>
            <w:tcW w:w="840" w:type="dxa"/>
          </w:tcPr>
          <w:p w14:paraId="10E55A54">
            <w:pPr>
              <w:rPr>
                <w:rFonts w:ascii="Arial"/>
              </w:rPr>
            </w:pPr>
          </w:p>
        </w:tc>
        <w:tc>
          <w:tcPr>
            <w:tcW w:w="2239" w:type="dxa"/>
          </w:tcPr>
          <w:p w14:paraId="6946BDB1">
            <w:pPr>
              <w:rPr>
                <w:rFonts w:ascii="Arial"/>
              </w:rPr>
            </w:pPr>
          </w:p>
        </w:tc>
        <w:tc>
          <w:tcPr>
            <w:tcW w:w="1498" w:type="dxa"/>
          </w:tcPr>
          <w:p w14:paraId="3599C749">
            <w:pPr>
              <w:rPr>
                <w:rFonts w:ascii="Arial"/>
              </w:rPr>
            </w:pPr>
          </w:p>
        </w:tc>
        <w:tc>
          <w:tcPr>
            <w:tcW w:w="1861" w:type="dxa"/>
          </w:tcPr>
          <w:p w14:paraId="6D401D11">
            <w:pPr>
              <w:rPr>
                <w:rFonts w:ascii="Arial"/>
              </w:rPr>
            </w:pPr>
          </w:p>
        </w:tc>
        <w:tc>
          <w:tcPr>
            <w:tcW w:w="1120" w:type="dxa"/>
          </w:tcPr>
          <w:p w14:paraId="5E545BE5">
            <w:pPr>
              <w:rPr>
                <w:rFonts w:ascii="Arial"/>
              </w:rPr>
            </w:pPr>
          </w:p>
        </w:tc>
        <w:tc>
          <w:tcPr>
            <w:tcW w:w="1125" w:type="dxa"/>
          </w:tcPr>
          <w:p w14:paraId="79140719">
            <w:pPr>
              <w:rPr>
                <w:rFonts w:ascii="Arial"/>
              </w:rPr>
            </w:pPr>
          </w:p>
        </w:tc>
      </w:tr>
      <w:tr w14:paraId="79B6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E53A112">
            <w:pPr>
              <w:rPr>
                <w:rFonts w:ascii="Arial"/>
              </w:rPr>
            </w:pPr>
          </w:p>
        </w:tc>
        <w:tc>
          <w:tcPr>
            <w:tcW w:w="2543" w:type="dxa"/>
          </w:tcPr>
          <w:p w14:paraId="139C45CF">
            <w:pPr>
              <w:rPr>
                <w:rFonts w:ascii="Arial"/>
              </w:rPr>
            </w:pPr>
          </w:p>
        </w:tc>
        <w:tc>
          <w:tcPr>
            <w:tcW w:w="2100" w:type="dxa"/>
          </w:tcPr>
          <w:p w14:paraId="2779CE2E">
            <w:pPr>
              <w:rPr>
                <w:rFonts w:ascii="Arial"/>
              </w:rPr>
            </w:pPr>
          </w:p>
        </w:tc>
        <w:tc>
          <w:tcPr>
            <w:tcW w:w="840" w:type="dxa"/>
          </w:tcPr>
          <w:p w14:paraId="280F14F0">
            <w:pPr>
              <w:rPr>
                <w:rFonts w:ascii="Arial"/>
              </w:rPr>
            </w:pPr>
          </w:p>
        </w:tc>
        <w:tc>
          <w:tcPr>
            <w:tcW w:w="2239" w:type="dxa"/>
          </w:tcPr>
          <w:p w14:paraId="3C9E929E">
            <w:pPr>
              <w:rPr>
                <w:rFonts w:ascii="Arial"/>
              </w:rPr>
            </w:pPr>
          </w:p>
        </w:tc>
        <w:tc>
          <w:tcPr>
            <w:tcW w:w="1498" w:type="dxa"/>
          </w:tcPr>
          <w:p w14:paraId="633854BF">
            <w:pPr>
              <w:rPr>
                <w:rFonts w:ascii="Arial"/>
              </w:rPr>
            </w:pPr>
          </w:p>
        </w:tc>
        <w:tc>
          <w:tcPr>
            <w:tcW w:w="1861" w:type="dxa"/>
          </w:tcPr>
          <w:p w14:paraId="383EE365">
            <w:pPr>
              <w:rPr>
                <w:rFonts w:ascii="Arial"/>
              </w:rPr>
            </w:pPr>
          </w:p>
        </w:tc>
        <w:tc>
          <w:tcPr>
            <w:tcW w:w="1120" w:type="dxa"/>
          </w:tcPr>
          <w:p w14:paraId="0A626D8D">
            <w:pPr>
              <w:rPr>
                <w:rFonts w:ascii="Arial"/>
              </w:rPr>
            </w:pPr>
          </w:p>
        </w:tc>
        <w:tc>
          <w:tcPr>
            <w:tcW w:w="1125" w:type="dxa"/>
          </w:tcPr>
          <w:p w14:paraId="7C1F8E15">
            <w:pPr>
              <w:rPr>
                <w:rFonts w:ascii="Arial"/>
              </w:rPr>
            </w:pPr>
          </w:p>
        </w:tc>
      </w:tr>
      <w:tr w14:paraId="432C6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4632ECF">
            <w:pPr>
              <w:rPr>
                <w:rFonts w:ascii="Arial"/>
              </w:rPr>
            </w:pPr>
          </w:p>
        </w:tc>
        <w:tc>
          <w:tcPr>
            <w:tcW w:w="2543" w:type="dxa"/>
          </w:tcPr>
          <w:p w14:paraId="0BF1E4A8">
            <w:pPr>
              <w:rPr>
                <w:rFonts w:ascii="Arial"/>
              </w:rPr>
            </w:pPr>
          </w:p>
        </w:tc>
        <w:tc>
          <w:tcPr>
            <w:tcW w:w="2100" w:type="dxa"/>
          </w:tcPr>
          <w:p w14:paraId="1EE67396">
            <w:pPr>
              <w:rPr>
                <w:rFonts w:ascii="Arial"/>
              </w:rPr>
            </w:pPr>
          </w:p>
        </w:tc>
        <w:tc>
          <w:tcPr>
            <w:tcW w:w="840" w:type="dxa"/>
          </w:tcPr>
          <w:p w14:paraId="4C2F8DD4">
            <w:pPr>
              <w:rPr>
                <w:rFonts w:ascii="Arial"/>
              </w:rPr>
            </w:pPr>
          </w:p>
        </w:tc>
        <w:tc>
          <w:tcPr>
            <w:tcW w:w="2239" w:type="dxa"/>
          </w:tcPr>
          <w:p w14:paraId="7C88F757">
            <w:pPr>
              <w:rPr>
                <w:rFonts w:ascii="Arial"/>
              </w:rPr>
            </w:pPr>
          </w:p>
        </w:tc>
        <w:tc>
          <w:tcPr>
            <w:tcW w:w="1498" w:type="dxa"/>
          </w:tcPr>
          <w:p w14:paraId="2BF18258">
            <w:pPr>
              <w:rPr>
                <w:rFonts w:ascii="Arial"/>
              </w:rPr>
            </w:pPr>
          </w:p>
        </w:tc>
        <w:tc>
          <w:tcPr>
            <w:tcW w:w="1861" w:type="dxa"/>
          </w:tcPr>
          <w:p w14:paraId="3FB399C0">
            <w:pPr>
              <w:rPr>
                <w:rFonts w:ascii="Arial"/>
              </w:rPr>
            </w:pPr>
          </w:p>
        </w:tc>
        <w:tc>
          <w:tcPr>
            <w:tcW w:w="1120" w:type="dxa"/>
          </w:tcPr>
          <w:p w14:paraId="44789B0E">
            <w:pPr>
              <w:rPr>
                <w:rFonts w:ascii="Arial"/>
              </w:rPr>
            </w:pPr>
          </w:p>
        </w:tc>
        <w:tc>
          <w:tcPr>
            <w:tcW w:w="1125" w:type="dxa"/>
          </w:tcPr>
          <w:p w14:paraId="0204FEC0">
            <w:pPr>
              <w:rPr>
                <w:rFonts w:ascii="Arial"/>
              </w:rPr>
            </w:pPr>
          </w:p>
        </w:tc>
      </w:tr>
      <w:tr w14:paraId="79209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8ABFE5C">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223175C4">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11967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BE9369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C10B2F8">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689C658">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AA4780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ABF0D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ECE4B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983FB5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53E178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C939970">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28690C5C">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7594A500">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0E1773C">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98E10BB">
      <w:pPr>
        <w:spacing w:line="127" w:lineRule="exact"/>
      </w:pPr>
    </w:p>
    <w:tbl>
      <w:tblPr>
        <w:tblStyle w:val="13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E2D8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96F81DD">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F389C54">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133105C">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13F7863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FED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E98C9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DF629A5">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1FFD925">
            <w:pPr>
              <w:rPr>
                <w:rFonts w:ascii="Arial"/>
              </w:rPr>
            </w:pPr>
          </w:p>
        </w:tc>
        <w:tc>
          <w:tcPr>
            <w:tcW w:w="3362" w:type="dxa"/>
          </w:tcPr>
          <w:p w14:paraId="281DDBDB">
            <w:pPr>
              <w:rPr>
                <w:rFonts w:ascii="Arial"/>
              </w:rPr>
            </w:pPr>
          </w:p>
        </w:tc>
      </w:tr>
      <w:tr w14:paraId="0DB53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8E4F1A2">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030FD4C">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F562696">
            <w:pPr>
              <w:rPr>
                <w:rFonts w:ascii="Arial"/>
              </w:rPr>
            </w:pPr>
          </w:p>
        </w:tc>
        <w:tc>
          <w:tcPr>
            <w:tcW w:w="3362" w:type="dxa"/>
          </w:tcPr>
          <w:p w14:paraId="33717E28">
            <w:pPr>
              <w:rPr>
                <w:rFonts w:ascii="Arial"/>
              </w:rPr>
            </w:pPr>
          </w:p>
        </w:tc>
      </w:tr>
      <w:tr w14:paraId="51456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43F3EE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3CEF465">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3593C20">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0076D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C7D54A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123C0A45">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02D5750">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4CCE512">
      <w:pPr>
        <w:spacing w:line="291" w:lineRule="auto"/>
        <w:rPr>
          <w:rFonts w:ascii="Arial"/>
        </w:rPr>
      </w:pPr>
    </w:p>
    <w:p w14:paraId="65A3C6EE">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3BAE5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BB075D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3D27E51">
      <w:pPr>
        <w:pStyle w:val="18"/>
      </w:pPr>
    </w:p>
    <w:p w14:paraId="7E44E292">
      <w:pPr>
        <w:pStyle w:val="18"/>
      </w:pPr>
    </w:p>
    <w:p w14:paraId="57A4ABEE">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E7013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EBC401">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3C731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B2C84EB">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车桥公司电驱主减总成装配线改造技改项目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7AECD234">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3CDB6B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23AFE3F">
            <w:pPr>
              <w:jc w:val="center"/>
              <w:rPr>
                <w:rFonts w:ascii="Times New Roman" w:hAnsi="Times New Roman" w:eastAsia="宋体" w:cs="Times New Roman"/>
                <w:b/>
                <w:szCs w:val="20"/>
              </w:rPr>
            </w:pPr>
            <w:r>
              <w:rPr>
                <w:rFonts w:hint="eastAsia" w:ascii="宋体" w:hAnsi="宋体" w:eastAsia="宋体" w:cs="宋体"/>
                <w:b/>
                <w:szCs w:val="20"/>
              </w:rPr>
              <w:t>是否偏离</w:t>
            </w:r>
          </w:p>
          <w:p w14:paraId="753589D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2CFA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8A794E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63B3B4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15176C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42F692A">
            <w:pPr>
              <w:jc w:val="center"/>
              <w:rPr>
                <w:rFonts w:ascii="Times New Roman" w:hAnsi="Times New Roman" w:eastAsia="宋体" w:cs="Times New Roman"/>
                <w:b/>
                <w:szCs w:val="20"/>
              </w:rPr>
            </w:pPr>
          </w:p>
        </w:tc>
      </w:tr>
      <w:tr w14:paraId="28DE6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83AAA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F7D904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BA8A49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ED7100">
            <w:pPr>
              <w:jc w:val="center"/>
              <w:rPr>
                <w:rFonts w:ascii="Times New Roman" w:hAnsi="Times New Roman" w:eastAsia="宋体" w:cs="Times New Roman"/>
                <w:b/>
                <w:szCs w:val="21"/>
              </w:rPr>
            </w:pPr>
          </w:p>
        </w:tc>
      </w:tr>
      <w:tr w14:paraId="370D1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80D09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E52CB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64D751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65A5B2B">
            <w:pPr>
              <w:jc w:val="center"/>
              <w:rPr>
                <w:rFonts w:ascii="Times New Roman" w:hAnsi="Times New Roman" w:eastAsia="宋体" w:cs="Times New Roman"/>
                <w:b/>
                <w:szCs w:val="20"/>
              </w:rPr>
            </w:pPr>
          </w:p>
        </w:tc>
      </w:tr>
      <w:tr w14:paraId="5F63A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A30B4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25BA75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EF280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C8F7C7">
            <w:pPr>
              <w:jc w:val="center"/>
              <w:rPr>
                <w:rFonts w:ascii="Times New Roman" w:hAnsi="Times New Roman" w:eastAsia="宋体" w:cs="Times New Roman"/>
                <w:b/>
                <w:szCs w:val="21"/>
              </w:rPr>
            </w:pPr>
          </w:p>
          <w:p w14:paraId="5DF5EE01">
            <w:pPr>
              <w:jc w:val="center"/>
              <w:rPr>
                <w:rFonts w:ascii="Times New Roman" w:hAnsi="Times New Roman" w:eastAsia="宋体" w:cs="Times New Roman"/>
                <w:b/>
                <w:szCs w:val="21"/>
              </w:rPr>
            </w:pPr>
          </w:p>
          <w:p w14:paraId="138C7045">
            <w:pPr>
              <w:jc w:val="center"/>
              <w:rPr>
                <w:rFonts w:ascii="Times New Roman" w:hAnsi="Times New Roman" w:eastAsia="宋体" w:cs="Times New Roman"/>
                <w:b/>
                <w:szCs w:val="21"/>
              </w:rPr>
            </w:pPr>
          </w:p>
          <w:p w14:paraId="653A17B8">
            <w:pPr>
              <w:jc w:val="center"/>
              <w:rPr>
                <w:rFonts w:ascii="Times New Roman" w:hAnsi="Times New Roman" w:eastAsia="宋体" w:cs="Times New Roman"/>
                <w:b/>
                <w:szCs w:val="21"/>
              </w:rPr>
            </w:pPr>
          </w:p>
          <w:p w14:paraId="7DEAB900">
            <w:pPr>
              <w:jc w:val="center"/>
              <w:rPr>
                <w:rFonts w:ascii="Times New Roman" w:hAnsi="Times New Roman" w:eastAsia="宋体" w:cs="Times New Roman"/>
                <w:b/>
                <w:szCs w:val="21"/>
              </w:rPr>
            </w:pPr>
          </w:p>
          <w:p w14:paraId="59A68BDC">
            <w:pPr>
              <w:jc w:val="center"/>
              <w:rPr>
                <w:rFonts w:ascii="Times New Roman" w:hAnsi="Times New Roman" w:eastAsia="宋体" w:cs="Times New Roman"/>
                <w:b/>
                <w:szCs w:val="21"/>
              </w:rPr>
            </w:pPr>
          </w:p>
          <w:p w14:paraId="45635EBC">
            <w:pPr>
              <w:jc w:val="center"/>
              <w:rPr>
                <w:rFonts w:ascii="Times New Roman" w:hAnsi="Times New Roman" w:eastAsia="宋体" w:cs="Times New Roman"/>
                <w:b/>
                <w:szCs w:val="21"/>
              </w:rPr>
            </w:pPr>
          </w:p>
          <w:p w14:paraId="3DE3E919">
            <w:pPr>
              <w:jc w:val="center"/>
              <w:rPr>
                <w:rFonts w:ascii="Times New Roman" w:hAnsi="Times New Roman" w:eastAsia="宋体" w:cs="Times New Roman"/>
                <w:b/>
                <w:szCs w:val="21"/>
              </w:rPr>
            </w:pPr>
          </w:p>
          <w:p w14:paraId="0D6DE7D6">
            <w:pPr>
              <w:jc w:val="center"/>
              <w:rPr>
                <w:rFonts w:ascii="Times New Roman" w:hAnsi="Times New Roman" w:eastAsia="宋体" w:cs="Times New Roman"/>
                <w:b/>
                <w:szCs w:val="21"/>
              </w:rPr>
            </w:pPr>
          </w:p>
          <w:p w14:paraId="359DDE81">
            <w:pPr>
              <w:jc w:val="center"/>
              <w:rPr>
                <w:rFonts w:ascii="Times New Roman" w:hAnsi="Times New Roman" w:eastAsia="宋体" w:cs="Times New Roman"/>
                <w:b/>
                <w:szCs w:val="21"/>
              </w:rPr>
            </w:pPr>
          </w:p>
          <w:p w14:paraId="714754D4">
            <w:pPr>
              <w:jc w:val="center"/>
              <w:rPr>
                <w:rFonts w:ascii="Times New Roman" w:hAnsi="Times New Roman" w:eastAsia="宋体" w:cs="Times New Roman"/>
                <w:b/>
                <w:szCs w:val="21"/>
              </w:rPr>
            </w:pPr>
          </w:p>
          <w:p w14:paraId="6569C9AD">
            <w:pPr>
              <w:jc w:val="center"/>
              <w:rPr>
                <w:rFonts w:ascii="Times New Roman" w:hAnsi="Times New Roman" w:eastAsia="宋体" w:cs="Times New Roman"/>
                <w:b/>
                <w:szCs w:val="21"/>
              </w:rPr>
            </w:pPr>
          </w:p>
          <w:p w14:paraId="30A86701">
            <w:pPr>
              <w:jc w:val="center"/>
              <w:rPr>
                <w:rFonts w:ascii="Times New Roman" w:hAnsi="Times New Roman" w:eastAsia="宋体" w:cs="Times New Roman"/>
                <w:b/>
                <w:szCs w:val="21"/>
              </w:rPr>
            </w:pPr>
          </w:p>
          <w:p w14:paraId="26103B32">
            <w:pPr>
              <w:jc w:val="center"/>
              <w:rPr>
                <w:rFonts w:ascii="Times New Roman" w:hAnsi="Times New Roman" w:eastAsia="宋体" w:cs="Times New Roman"/>
                <w:b/>
                <w:szCs w:val="21"/>
              </w:rPr>
            </w:pPr>
          </w:p>
          <w:p w14:paraId="12EF2B5F">
            <w:pPr>
              <w:jc w:val="center"/>
              <w:rPr>
                <w:rFonts w:ascii="Times New Roman" w:hAnsi="Times New Roman" w:eastAsia="宋体" w:cs="Times New Roman"/>
                <w:b/>
                <w:szCs w:val="21"/>
              </w:rPr>
            </w:pPr>
          </w:p>
          <w:p w14:paraId="364306DC">
            <w:pPr>
              <w:jc w:val="center"/>
              <w:rPr>
                <w:rFonts w:ascii="Times New Roman" w:hAnsi="Times New Roman" w:eastAsia="宋体" w:cs="Times New Roman"/>
                <w:b/>
                <w:szCs w:val="21"/>
              </w:rPr>
            </w:pPr>
          </w:p>
          <w:p w14:paraId="0F107B26">
            <w:pPr>
              <w:jc w:val="center"/>
              <w:rPr>
                <w:rFonts w:ascii="Times New Roman" w:hAnsi="Times New Roman" w:eastAsia="宋体" w:cs="Times New Roman"/>
                <w:b/>
                <w:szCs w:val="20"/>
              </w:rPr>
            </w:pPr>
          </w:p>
        </w:tc>
      </w:tr>
      <w:tr w14:paraId="5C12C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C02B52">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11890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A39ADF6">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AEC0989">
            <w:pPr>
              <w:jc w:val="center"/>
              <w:rPr>
                <w:rFonts w:ascii="Times New Roman" w:hAnsi="Times New Roman" w:eastAsia="宋体" w:cs="Times New Roman"/>
                <w:b/>
                <w:szCs w:val="20"/>
              </w:rPr>
            </w:pPr>
          </w:p>
        </w:tc>
      </w:tr>
    </w:tbl>
    <w:p w14:paraId="4DE82C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C6BB0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E23D24">
      <w:pPr>
        <w:rPr>
          <w:rFonts w:ascii="宋体" w:hAnsi="Calibri" w:eastAsia="宋体" w:cs="Times New Roman"/>
          <w:szCs w:val="20"/>
        </w:rPr>
      </w:pPr>
    </w:p>
    <w:p w14:paraId="19487E1B">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pgNumType w:fmt="decimal"/>
          <w:cols w:space="720" w:num="1"/>
          <w:titlePg/>
          <w:docGrid w:type="lines" w:linePitch="312" w:charSpace="0"/>
        </w:sectPr>
      </w:pPr>
    </w:p>
    <w:p w14:paraId="1657F79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6CDB593">
      <w:pPr>
        <w:spacing w:line="272" w:lineRule="auto"/>
        <w:rPr>
          <w:rFonts w:ascii="Arial"/>
        </w:rPr>
      </w:pPr>
    </w:p>
    <w:p w14:paraId="349A378E">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车桥公司电驱主减总成装配线改造技改项目</w:t>
      </w:r>
    </w:p>
    <w:p w14:paraId="5F0C4C9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06EF332"/>
    <w:p w14:paraId="006968FD">
      <w:pPr>
        <w:spacing w:line="109" w:lineRule="exact"/>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EB2FE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477B3D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21EFB83">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78C5DDD">
      <w:pPr>
        <w:keepNext/>
        <w:keepLines/>
        <w:rPr>
          <w:rFonts w:ascii="Times New Roman" w:hAnsi="Times New Roman" w:eastAsia="宋体" w:cs="Times New Roman"/>
          <w:b/>
          <w:bCs/>
          <w:color w:val="000000"/>
          <w:sz w:val="24"/>
          <w:szCs w:val="24"/>
        </w:rPr>
      </w:pPr>
    </w:p>
    <w:p w14:paraId="75C8E77E">
      <w:pPr>
        <w:spacing w:before="75" w:line="227" w:lineRule="auto"/>
        <w:ind w:left="135"/>
        <w:rPr>
          <w:rFonts w:ascii="宋体" w:hAnsi="宋体" w:eastAsia="宋体" w:cs="宋体"/>
          <w:spacing w:val="-2"/>
          <w:sz w:val="24"/>
          <w:szCs w:val="24"/>
        </w:rPr>
      </w:pPr>
    </w:p>
    <w:p w14:paraId="5843B529">
      <w:pPr>
        <w:spacing w:before="75" w:line="227" w:lineRule="auto"/>
        <w:ind w:left="135"/>
        <w:rPr>
          <w:rFonts w:ascii="宋体" w:hAnsi="宋体" w:eastAsia="宋体" w:cs="宋体"/>
          <w:spacing w:val="-2"/>
          <w:sz w:val="24"/>
          <w:szCs w:val="24"/>
        </w:rPr>
      </w:pPr>
    </w:p>
    <w:p w14:paraId="3CB10A3C">
      <w:pPr>
        <w:spacing w:before="75" w:line="227" w:lineRule="auto"/>
        <w:ind w:left="135"/>
        <w:rPr>
          <w:rFonts w:eastAsia="宋体"/>
          <w:sz w:val="24"/>
          <w:szCs w:val="24"/>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AFDF4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90D6E4B">
      <w:pPr>
        <w:spacing w:line="240" w:lineRule="exact"/>
        <w:jc w:val="center"/>
        <w:rPr>
          <w:rFonts w:ascii="宋体" w:hAnsi="Calibri" w:eastAsia="宋体" w:cs="Times New Roman"/>
          <w:b/>
          <w:bCs/>
          <w:sz w:val="36"/>
          <w:szCs w:val="20"/>
        </w:rPr>
      </w:pPr>
    </w:p>
    <w:p w14:paraId="0B92A2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车桥公司电驱主减总成装配线改造技改项目</w:t>
      </w:r>
    </w:p>
    <w:p w14:paraId="042DAC8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430A87F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1AE645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9036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AA85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C5BD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16AD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656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D889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31D5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513C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2723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4D9A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E4A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7D20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83D5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63B4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35B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6A38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01E5F">
      <w:pPr>
        <w:spacing w:line="360" w:lineRule="auto"/>
        <w:ind w:firstLine="480" w:firstLineChars="200"/>
        <w:rPr>
          <w:rFonts w:ascii="宋体" w:hAnsi="宋体" w:eastAsia="宋体" w:cs="Times New Roman"/>
          <w:sz w:val="24"/>
          <w:szCs w:val="20"/>
          <w:u w:val="single"/>
        </w:rPr>
      </w:pPr>
    </w:p>
    <w:p w14:paraId="13FAB0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FD2F3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73445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CFD0BB">
      <w:pPr>
        <w:rPr>
          <w:rFonts w:ascii="宋体" w:hAnsi="Calibri" w:eastAsia="宋体" w:cs="宋体"/>
          <w:b/>
          <w:bCs/>
          <w:color w:val="000000"/>
          <w:sz w:val="28"/>
          <w:szCs w:val="20"/>
        </w:rPr>
      </w:pPr>
    </w:p>
    <w:p w14:paraId="36A5BC2C">
      <w:pPr>
        <w:pStyle w:val="18"/>
        <w:rPr>
          <w:rFonts w:hAnsi="Calibri" w:eastAsia="宋体" w:cs="宋体"/>
          <w:b/>
          <w:bCs/>
          <w:color w:val="000000"/>
          <w:sz w:val="28"/>
          <w:szCs w:val="20"/>
        </w:rPr>
      </w:pPr>
    </w:p>
    <w:p w14:paraId="7B9A27B1">
      <w:pPr>
        <w:rPr>
          <w:rFonts w:ascii="宋体" w:hAnsi="Calibri" w:eastAsia="宋体" w:cs="宋体"/>
          <w:b/>
          <w:bCs/>
          <w:color w:val="000000"/>
          <w:sz w:val="28"/>
          <w:szCs w:val="20"/>
        </w:rPr>
      </w:pPr>
    </w:p>
    <w:p w14:paraId="562F319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A7C6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963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8248207">
            <w:pPr>
              <w:jc w:val="center"/>
              <w:rPr>
                <w:rFonts w:ascii="Times New Roman" w:hAnsi="Times New Roman" w:eastAsia="宋体" w:cs="Times New Roman"/>
                <w:b/>
                <w:szCs w:val="20"/>
              </w:rPr>
            </w:pPr>
          </w:p>
          <w:p w14:paraId="55C6139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6E92576">
            <w:pPr>
              <w:rPr>
                <w:rFonts w:ascii="Times New Roman" w:hAnsi="Times New Roman" w:eastAsia="等线" w:cs="Times New Roman"/>
                <w:b/>
                <w:sz w:val="30"/>
                <w:szCs w:val="30"/>
              </w:rPr>
            </w:pPr>
          </w:p>
          <w:p w14:paraId="6C7E2EC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B19947D">
            <w:pPr>
              <w:jc w:val="center"/>
              <w:rPr>
                <w:rFonts w:ascii="Times New Roman" w:hAnsi="Times New Roman" w:eastAsia="宋体" w:cs="Times New Roman"/>
                <w:b/>
                <w:szCs w:val="20"/>
              </w:rPr>
            </w:pPr>
          </w:p>
          <w:p w14:paraId="6A3C09EB">
            <w:pPr>
              <w:jc w:val="center"/>
              <w:rPr>
                <w:rFonts w:ascii="Times New Roman" w:hAnsi="Times New Roman" w:eastAsia="宋体" w:cs="Times New Roman"/>
                <w:b/>
                <w:szCs w:val="20"/>
              </w:rPr>
            </w:pPr>
          </w:p>
          <w:p w14:paraId="755C03FD">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车桥公司电驱主减总成装配线改造技改项目</w:t>
            </w:r>
          </w:p>
          <w:p w14:paraId="6822B658">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0492DC52">
            <w:pPr>
              <w:jc w:val="center"/>
              <w:rPr>
                <w:rFonts w:ascii="Times New Roman" w:hAnsi="Times New Roman" w:eastAsia="宋体" w:cs="Times New Roman"/>
                <w:b/>
                <w:szCs w:val="20"/>
              </w:rPr>
            </w:pPr>
            <w:r>
              <w:rPr>
                <w:rFonts w:hint="eastAsia" w:ascii="宋体" w:hAnsi="宋体" w:eastAsia="宋体" w:cs="宋体"/>
                <w:b/>
                <w:szCs w:val="20"/>
              </w:rPr>
              <w:t>地址：</w:t>
            </w:r>
          </w:p>
          <w:p w14:paraId="63CA0AE3">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5D7E07E">
            <w:pPr>
              <w:jc w:val="center"/>
              <w:rPr>
                <w:rFonts w:ascii="Times New Roman" w:hAnsi="Times New Roman" w:eastAsia="宋体" w:cs="Times New Roman"/>
                <w:b/>
                <w:szCs w:val="20"/>
              </w:rPr>
            </w:pPr>
            <w:r>
              <w:rPr>
                <w:rFonts w:hint="eastAsia" w:ascii="宋体" w:hAnsi="宋体" w:eastAsia="宋体" w:cs="宋体"/>
                <w:b/>
                <w:szCs w:val="20"/>
              </w:rPr>
              <w:t>传真：</w:t>
            </w:r>
          </w:p>
          <w:p w14:paraId="4888AEBE">
            <w:pPr>
              <w:jc w:val="center"/>
              <w:rPr>
                <w:rFonts w:ascii="Times New Roman" w:hAnsi="Times New Roman" w:eastAsia="宋体" w:cs="Times New Roman"/>
                <w:b/>
                <w:szCs w:val="20"/>
              </w:rPr>
            </w:pPr>
          </w:p>
          <w:p w14:paraId="7B9A65AF">
            <w:pPr>
              <w:jc w:val="center"/>
              <w:rPr>
                <w:rFonts w:ascii="Times New Roman" w:hAnsi="Times New Roman" w:eastAsia="宋体" w:cs="Times New Roman"/>
                <w:b/>
                <w:szCs w:val="20"/>
              </w:rPr>
            </w:pPr>
          </w:p>
        </w:tc>
      </w:tr>
    </w:tbl>
    <w:p w14:paraId="5141F3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477FC9D">
      <w:pPr>
        <w:pStyle w:val="18"/>
      </w:pPr>
    </w:p>
    <w:p w14:paraId="1C7C919B">
      <w:pPr>
        <w:jc w:val="right"/>
        <w:rPr>
          <w:rFonts w:asciiTheme="minorEastAsia" w:hAnsiTheme="minorEastAsia" w:cstheme="minorEastAsia"/>
          <w:sz w:val="20"/>
          <w:szCs w:val="20"/>
        </w:rPr>
      </w:pPr>
    </w:p>
    <w:p w14:paraId="7E321693">
      <w:pPr>
        <w:jc w:val="right"/>
        <w:rPr>
          <w:rFonts w:asciiTheme="minorEastAsia" w:hAnsiTheme="minorEastAsia" w:cstheme="minorEastAsia"/>
          <w:sz w:val="20"/>
          <w:szCs w:val="20"/>
        </w:rPr>
      </w:pPr>
    </w:p>
    <w:p w14:paraId="3143E0D9">
      <w:p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p>
    <w:p w14:paraId="60909EA5">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bookmarkStart w:id="1460" w:name="OLE_LINK3"/>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7"/>
        <w:tblpPr w:leftFromText="180" w:rightFromText="180" w:vertAnchor="text" w:horzAnchor="page" w:tblpX="1342" w:tblpY="469"/>
        <w:tblOverlap w:val="never"/>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48B3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6330FCC8">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0526E7F3">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1F9B264C">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6617568B">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0F96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71955477">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4CBD68A6">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38578A28">
            <w:pPr>
              <w:spacing w:line="420" w:lineRule="exact"/>
              <w:jc w:val="center"/>
              <w:rPr>
                <w:rFonts w:ascii="宋体" w:hAnsi="宋体" w:eastAsia="宋体"/>
                <w:szCs w:val="21"/>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79BCD28A">
            <w:pPr>
              <w:spacing w:line="420" w:lineRule="exact"/>
              <w:rPr>
                <w:rFonts w:ascii="宋体" w:hAnsi="宋体"/>
                <w:bCs/>
                <w:szCs w:val="21"/>
              </w:rPr>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14:paraId="6C7B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7EFDF7E8">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563D049B">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78DE1CFC">
            <w:pPr>
              <w:spacing w:line="420" w:lineRule="exact"/>
              <w:jc w:val="center"/>
              <w:rPr>
                <w:rFonts w:ascii="宋体" w:hAnsi="宋体" w:eastAsia="宋体"/>
                <w:szCs w:val="21"/>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14:paraId="7EDF1AD6">
            <w:pPr>
              <w:spacing w:line="420" w:lineRule="exact"/>
              <w:rPr>
                <w:rFonts w:ascii="宋体" w:hAnsi="宋体"/>
                <w:bCs/>
                <w:szCs w:val="21"/>
              </w:rPr>
            </w:pPr>
            <w:r>
              <w:rPr>
                <w:rFonts w:hint="eastAsia" w:ascii="宋体" w:hAnsi="宋体"/>
                <w:bCs/>
              </w:rPr>
              <w:t>产品方案技术先进、各系统完善、性能可靠，设备主要核心部件，具备自身技术优势，节能环保，视情况得0-</w:t>
            </w:r>
            <w:r>
              <w:rPr>
                <w:rFonts w:hint="eastAsia" w:ascii="宋体" w:hAnsi="宋体"/>
                <w:bCs/>
                <w:lang w:val="en-US" w:eastAsia="zh-CN"/>
              </w:rPr>
              <w:t>50分。</w:t>
            </w:r>
          </w:p>
        </w:tc>
      </w:tr>
      <w:tr w14:paraId="65B9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7B9E2C00">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7761201F">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55C0D08F">
            <w:pPr>
              <w:spacing w:line="420" w:lineRule="exact"/>
              <w:jc w:val="center"/>
              <w:rPr>
                <w:rFonts w:ascii="宋体" w:hAnsi="宋体" w:eastAsia="宋体"/>
                <w:szCs w:val="21"/>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5A61AB6F">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14:paraId="0AED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4BE4B25B">
            <w:pPr>
              <w:spacing w:line="420" w:lineRule="exact"/>
              <w:jc w:val="center"/>
              <w:rPr>
                <w:rFonts w:ascii="宋体" w:hAnsi="宋体" w:eastAsia="宋体"/>
                <w:szCs w:val="21"/>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14:paraId="54F43F8A">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30F8D899">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06D42A01">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465B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67B69674">
            <w:pPr>
              <w:spacing w:line="420" w:lineRule="exact"/>
              <w:jc w:val="center"/>
              <w:rPr>
                <w:rFonts w:ascii="宋体" w:hAnsi="宋体" w:eastAsia="宋体"/>
                <w:szCs w:val="21"/>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14:paraId="2397811A">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474115A2">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683B9B1D">
            <w:pPr>
              <w:spacing w:line="420" w:lineRule="exact"/>
              <w:rPr>
                <w:rFonts w:ascii="宋体" w:hAnsi="Times New Roman" w:eastAsia="宋体"/>
                <w:bCs/>
                <w:szCs w:val="21"/>
              </w:rPr>
            </w:pPr>
            <w:r>
              <w:rPr>
                <w:rFonts w:hint="eastAsia" w:ascii="宋体" w:hAnsi="宋体"/>
                <w:bCs/>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36D1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436F757A">
            <w:pPr>
              <w:spacing w:line="420" w:lineRule="exact"/>
              <w:jc w:val="center"/>
              <w:rPr>
                <w:rFonts w:ascii="宋体" w:hAnsi="宋体" w:eastAsia="宋体"/>
                <w:szCs w:val="21"/>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14:paraId="096424EB">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5E7313F5">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099D9B61">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297E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E568249">
            <w:pPr>
              <w:spacing w:line="420" w:lineRule="exact"/>
              <w:jc w:val="center"/>
              <w:rPr>
                <w:rFonts w:ascii="宋体" w:hAnsi="宋体" w:eastAsia="宋体"/>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14:paraId="0F82F0B8">
            <w:pPr>
              <w:spacing w:line="420" w:lineRule="exact"/>
              <w:rPr>
                <w:rFonts w:ascii="宋体" w:hAnsi="宋体"/>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46A4B751">
            <w:pPr>
              <w:spacing w:line="420" w:lineRule="exact"/>
              <w:jc w:val="center"/>
              <w:rPr>
                <w:rFonts w:ascii="宋体" w:hAnsi="宋体"/>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14:paraId="2E15FC1C">
            <w:pPr>
              <w:spacing w:line="420" w:lineRule="exact"/>
              <w:rPr>
                <w:rFonts w:ascii="宋体" w:hAnsi="宋体"/>
                <w:bCs/>
              </w:rPr>
            </w:pPr>
            <w:r>
              <w:rPr>
                <w:rFonts w:hint="eastAsia"/>
                <w:szCs w:val="21"/>
                <w:lang w:val="en-US" w:eastAsia="zh-CN"/>
              </w:rPr>
              <w:t>技术方案优于招标要求的加分，不满足招标要求的减分，综合评议，自主赋分</w:t>
            </w:r>
            <w:r>
              <w:rPr>
                <w:rFonts w:hint="eastAsia"/>
                <w:szCs w:val="21"/>
              </w:rPr>
              <w:t>。</w:t>
            </w:r>
          </w:p>
        </w:tc>
      </w:tr>
      <w:tr w14:paraId="49F4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6B9A5D28">
            <w:pPr>
              <w:spacing w:line="420" w:lineRule="exact"/>
              <w:jc w:val="center"/>
              <w:rPr>
                <w:rFonts w:ascii="宋体" w:hAnsi="宋体" w:eastAsia="宋体"/>
                <w:szCs w:val="21"/>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14:paraId="14C0F435">
            <w:pPr>
              <w:spacing w:line="420" w:lineRule="exact"/>
              <w:rPr>
                <w:rFonts w:ascii="宋体" w:hAnsi="宋体" w:eastAsia="宋体"/>
                <w:szCs w:val="21"/>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713C3FBC">
            <w:pPr>
              <w:spacing w:line="420" w:lineRule="exact"/>
              <w:jc w:val="center"/>
              <w:rPr>
                <w:rFonts w:ascii="宋体" w:hAnsi="宋体" w:eastAsia="宋体"/>
                <w:szCs w:val="21"/>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3E4A7AC7">
            <w:pPr>
              <w:tabs>
                <w:tab w:val="left" w:pos="7854"/>
              </w:tabs>
              <w:rPr>
                <w:rFonts w:ascii="宋体" w:hAnsi="Times New Roman"/>
                <w:bCs/>
                <w:szCs w:val="21"/>
              </w:rPr>
            </w:pPr>
            <w:r>
              <w:rPr>
                <w:rFonts w:hint="eastAsia"/>
                <w:szCs w:val="21"/>
              </w:rPr>
              <w:t>可以提前完成项目交货，视情况得</w:t>
            </w:r>
            <w:r>
              <w:rPr>
                <w:szCs w:val="21"/>
              </w:rPr>
              <w:t>0-</w:t>
            </w:r>
            <w:r>
              <w:rPr>
                <w:rFonts w:hint="eastAsia"/>
                <w:szCs w:val="21"/>
                <w:lang w:val="en-US" w:eastAsia="zh-CN"/>
              </w:rPr>
              <w:t>10分。</w:t>
            </w:r>
          </w:p>
        </w:tc>
      </w:tr>
      <w:bookmarkEnd w:id="1460"/>
    </w:tbl>
    <w:p w14:paraId="135F4E6A">
      <w:pPr>
        <w:pStyle w:val="47"/>
        <w:rPr>
          <w:rFonts w:hint="eastAsia"/>
        </w:rPr>
      </w:pPr>
    </w:p>
    <w:p w14:paraId="3F140579">
      <w:pPr>
        <w:rPr>
          <w:rFonts w:hint="eastAsia" w:ascii="宋体" w:hAnsi="宋体" w:eastAsia="宋体" w:cs="宋体"/>
          <w:sz w:val="18"/>
          <w:szCs w:val="18"/>
        </w:rPr>
      </w:pPr>
      <w:r>
        <w:rPr>
          <w:rFonts w:hint="eastAsia" w:ascii="宋体" w:hAnsi="宋体" w:eastAsia="宋体" w:cs="宋体"/>
          <w:sz w:val="18"/>
          <w:szCs w:val="18"/>
        </w:rPr>
        <w:br w:type="page"/>
      </w:r>
    </w:p>
    <w:p w14:paraId="197AC22B">
      <w:pPr>
        <w:pStyle w:val="47"/>
        <w:rPr>
          <w:rFonts w:hint="eastAsia"/>
        </w:rPr>
      </w:pPr>
    </w:p>
    <w:p w14:paraId="37D346F3">
      <w:pPr>
        <w:pStyle w:val="18"/>
        <w:outlineLvl w:val="2"/>
        <w:rPr>
          <w:rFonts w:hint="eastAsia" w:ascii="宋体" w:hAnsi="宋体" w:eastAsia="宋体" w:cs="宋体"/>
          <w:b/>
          <w:bCs/>
          <w:color w:val="000000"/>
          <w:sz w:val="24"/>
          <w:szCs w:val="24"/>
          <w:lang w:val="en-US" w:eastAsia="zh-CN"/>
        </w:rPr>
      </w:pPr>
    </w:p>
    <w:p w14:paraId="43245470">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BCEF4D1">
      <w:pPr>
        <w:pStyle w:val="18"/>
        <w:rPr>
          <w:rFonts w:hint="eastAsia" w:eastAsia="宋体"/>
          <w:lang w:val="en-US" w:eastAsia="zh-CN"/>
        </w:rPr>
      </w:pPr>
    </w:p>
    <w:p w14:paraId="2411761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93D4CE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57BB2D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8933F77">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3"/>
                    <a:stretch>
                      <a:fillRect/>
                    </a:stretch>
                  </pic:blipFill>
                  <pic:spPr>
                    <a:xfrm>
                      <a:off x="0" y="0"/>
                      <a:ext cx="5760085" cy="2933377"/>
                    </a:xfrm>
                    <a:prstGeom prst="rect">
                      <a:avLst/>
                    </a:prstGeom>
                  </pic:spPr>
                </pic:pic>
              </a:graphicData>
            </a:graphic>
          </wp:inline>
        </w:drawing>
      </w:r>
    </w:p>
    <w:p w14:paraId="0BB6B73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C4D95C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64"/>
                    <a:stretch>
                      <a:fillRect/>
                    </a:stretch>
                  </pic:blipFill>
                  <pic:spPr>
                    <a:xfrm>
                      <a:off x="0" y="0"/>
                      <a:ext cx="5760085" cy="2766707"/>
                    </a:xfrm>
                    <a:prstGeom prst="rect">
                      <a:avLst/>
                    </a:prstGeom>
                  </pic:spPr>
                </pic:pic>
              </a:graphicData>
            </a:graphic>
          </wp:inline>
        </w:drawing>
      </w:r>
    </w:p>
    <w:p w14:paraId="2B013A4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12EAC5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65"/>
                    <a:stretch>
                      <a:fillRect/>
                    </a:stretch>
                  </pic:blipFill>
                  <pic:spPr>
                    <a:xfrm>
                      <a:off x="0" y="0"/>
                      <a:ext cx="5760085" cy="2870054"/>
                    </a:xfrm>
                    <a:prstGeom prst="rect">
                      <a:avLst/>
                    </a:prstGeom>
                  </pic:spPr>
                </pic:pic>
              </a:graphicData>
            </a:graphic>
          </wp:inline>
        </w:drawing>
      </w:r>
    </w:p>
    <w:p w14:paraId="31C16E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2AF4CCDB">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66"/>
                    <a:stretch>
                      <a:fillRect/>
                    </a:stretch>
                  </pic:blipFill>
                  <pic:spPr>
                    <a:xfrm>
                      <a:off x="0" y="0"/>
                      <a:ext cx="5760085" cy="2853375"/>
                    </a:xfrm>
                    <a:prstGeom prst="rect">
                      <a:avLst/>
                    </a:prstGeom>
                  </pic:spPr>
                </pic:pic>
              </a:graphicData>
            </a:graphic>
          </wp:inline>
        </w:drawing>
      </w:r>
    </w:p>
    <w:p w14:paraId="4CC4BA7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030D6D8C">
      <w:pPr>
        <w:pStyle w:val="18"/>
        <w:rPr>
          <w:rFonts w:hint="default"/>
          <w:lang w:val="en-US" w:eastAsia="zh-CN"/>
        </w:rPr>
      </w:pPr>
    </w:p>
    <w:p w14:paraId="10A2E64F">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7"/>
                    <a:stretch>
                      <a:fillRect/>
                    </a:stretch>
                  </pic:blipFill>
                  <pic:spPr>
                    <a:xfrm>
                      <a:off x="0" y="0"/>
                      <a:ext cx="5760085" cy="2810122"/>
                    </a:xfrm>
                    <a:prstGeom prst="rect">
                      <a:avLst/>
                    </a:prstGeom>
                  </pic:spPr>
                </pic:pic>
              </a:graphicData>
            </a:graphic>
          </wp:inline>
        </w:drawing>
      </w:r>
    </w:p>
    <w:p w14:paraId="0EF391BA">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8"/>
                    <a:stretch>
                      <a:fillRect/>
                    </a:stretch>
                  </pic:blipFill>
                  <pic:spPr>
                    <a:xfrm>
                      <a:off x="0" y="0"/>
                      <a:ext cx="5760085" cy="2820042"/>
                    </a:xfrm>
                    <a:prstGeom prst="rect">
                      <a:avLst/>
                    </a:prstGeom>
                  </pic:spPr>
                </pic:pic>
              </a:graphicData>
            </a:graphic>
          </wp:inline>
        </w:drawing>
      </w:r>
    </w:p>
    <w:p w14:paraId="0F195CD6">
      <w:pPr>
        <w:pStyle w:val="18"/>
      </w:pPr>
    </w:p>
    <w:p w14:paraId="01AC3F84">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145C6F0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10446318">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09F3599E">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w:t>
      </w:r>
      <w:r>
        <w:rPr>
          <w:rStyle w:val="45"/>
          <w:rFonts w:hint="eastAsia" w:ascii="宋体" w:hAnsi="宋体" w:eastAsia="宋体" w:cs="宋体"/>
          <w:sz w:val="24"/>
          <w:szCs w:val="24"/>
          <w:lang w:val="en-US" w:eastAsia="zh-CN"/>
        </w:rPr>
        <w:t>s</w:t>
      </w:r>
      <w:r>
        <w:rPr>
          <w:rStyle w:val="45"/>
          <w:rFonts w:hint="eastAsia" w:ascii="宋体" w:hAnsi="宋体" w:eastAsia="宋体" w:cs="宋体"/>
          <w:sz w:val="24"/>
          <w:szCs w:val="24"/>
        </w:rPr>
        <w:t>://ecaitong.sinotruk.com:8012/</w:t>
      </w:r>
      <w:r>
        <w:rPr>
          <w:rStyle w:val="45"/>
          <w:rFonts w:hint="eastAsia" w:ascii="宋体" w:hAnsi="宋体" w:eastAsia="宋体" w:cs="宋体"/>
          <w:sz w:val="24"/>
          <w:szCs w:val="24"/>
        </w:rPr>
        <w:fldChar w:fldCharType="end"/>
      </w:r>
    </w:p>
    <w:p w14:paraId="6460357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22548070">
      <w:pPr>
        <w:snapToGrid/>
        <w:spacing w:before="0" w:after="0" w:line="360" w:lineRule="auto"/>
        <w:ind w:left="0" w:right="0" w:firstLine="0"/>
        <w:jc w:val="both"/>
        <w:rPr>
          <w:rFonts w:hint="default"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u w:val="none"/>
          <w:lang w:val="en-US" w:eastAsia="zh-CN"/>
        </w:rPr>
        <w:t>注册手机收到的密码</w:t>
      </w:r>
    </w:p>
    <w:p w14:paraId="4BF516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09A7F27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659BB5C">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58E578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9"/>
                    <a:stretch>
                      <a:fillRect/>
                    </a:stretch>
                  </pic:blipFill>
                  <pic:spPr>
                    <a:xfrm>
                      <a:off x="0" y="0"/>
                      <a:ext cx="5760085" cy="2269864"/>
                    </a:xfrm>
                    <a:prstGeom prst="rect">
                      <a:avLst/>
                    </a:prstGeom>
                  </pic:spPr>
                </pic:pic>
              </a:graphicData>
            </a:graphic>
          </wp:inline>
        </w:drawing>
      </w:r>
    </w:p>
    <w:p w14:paraId="1E6E63E1">
      <w:pPr>
        <w:snapToGrid/>
        <w:spacing w:before="0" w:after="0" w:line="240" w:lineRule="auto"/>
        <w:ind w:left="0" w:right="0"/>
        <w:jc w:val="both"/>
      </w:pPr>
    </w:p>
    <w:p w14:paraId="1B49498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99210D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4E9AFD52">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70"/>
                    <a:stretch>
                      <a:fillRect/>
                    </a:stretch>
                  </pic:blipFill>
                  <pic:spPr>
                    <a:xfrm>
                      <a:off x="0" y="0"/>
                      <a:ext cx="5760085" cy="2125673"/>
                    </a:xfrm>
                    <a:prstGeom prst="rect">
                      <a:avLst/>
                    </a:prstGeom>
                  </pic:spPr>
                </pic:pic>
              </a:graphicData>
            </a:graphic>
          </wp:inline>
        </w:drawing>
      </w:r>
    </w:p>
    <w:p w14:paraId="159D292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5A3D41A6">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76CB3FF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71"/>
                    <a:stretch>
                      <a:fillRect/>
                    </a:stretch>
                  </pic:blipFill>
                  <pic:spPr>
                    <a:xfrm>
                      <a:off x="0" y="0"/>
                      <a:ext cx="5490210" cy="2669498"/>
                    </a:xfrm>
                    <a:prstGeom prst="rect">
                      <a:avLst/>
                    </a:prstGeom>
                  </pic:spPr>
                </pic:pic>
              </a:graphicData>
            </a:graphic>
          </wp:inline>
        </w:drawing>
      </w:r>
    </w:p>
    <w:p w14:paraId="22B0752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063FDAA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3CB848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2D3D0769">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72"/>
                    <a:stretch>
                      <a:fillRect/>
                    </a:stretch>
                  </pic:blipFill>
                  <pic:spPr>
                    <a:xfrm>
                      <a:off x="0" y="0"/>
                      <a:ext cx="5490210" cy="1992743"/>
                    </a:xfrm>
                    <a:prstGeom prst="rect">
                      <a:avLst/>
                    </a:prstGeom>
                  </pic:spPr>
                </pic:pic>
              </a:graphicData>
            </a:graphic>
          </wp:inline>
        </w:drawing>
      </w:r>
    </w:p>
    <w:p w14:paraId="20A1F9D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10C54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13C1BB9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E821AE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4CD4F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22CBC0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531E6EA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73"/>
                    <a:stretch>
                      <a:fillRect/>
                    </a:stretch>
                  </pic:blipFill>
                  <pic:spPr>
                    <a:xfrm>
                      <a:off x="0" y="0"/>
                      <a:ext cx="5490210" cy="2544669"/>
                    </a:xfrm>
                    <a:prstGeom prst="rect">
                      <a:avLst/>
                    </a:prstGeom>
                  </pic:spPr>
                </pic:pic>
              </a:graphicData>
            </a:graphic>
          </wp:inline>
        </w:drawing>
      </w:r>
    </w:p>
    <w:p w14:paraId="3E84DC7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1266D97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B58C99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1526EF8">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74"/>
                    <a:stretch>
                      <a:fillRect/>
                    </a:stretch>
                  </pic:blipFill>
                  <pic:spPr>
                    <a:xfrm>
                      <a:off x="0" y="0"/>
                      <a:ext cx="5760085" cy="1956600"/>
                    </a:xfrm>
                    <a:prstGeom prst="rect">
                      <a:avLst/>
                    </a:prstGeom>
                  </pic:spPr>
                </pic:pic>
              </a:graphicData>
            </a:graphic>
          </wp:inline>
        </w:drawing>
      </w:r>
    </w:p>
    <w:p w14:paraId="65A389B5">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45477">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F6630">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68F6630">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E08E">
    <w:pPr>
      <w:pStyle w:val="2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4AEB7">
                          <w:pPr>
                            <w:pStyle w:val="2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834AEB7">
                    <w:pPr>
                      <w:pStyle w:val="2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E276">
    <w:pPr>
      <w:pStyle w:val="23"/>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FAFC5">
                          <w:pPr>
                            <w:pStyle w:val="2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ADFAFC5">
                    <w:pPr>
                      <w:pStyle w:val="2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A531">
    <w:pPr>
      <w:pStyle w:val="2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796C4">
                          <w:pPr>
                            <w:pStyle w:val="2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90796C4">
                    <w:pPr>
                      <w:pStyle w:val="2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47CD2">
    <w:pPr>
      <w:pStyle w:val="23"/>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BD4F2">
                          <w:pPr>
                            <w:pStyle w:val="2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F0BD4F2">
                    <w:pPr>
                      <w:pStyle w:val="2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4B890">
    <w:pPr>
      <w:pStyle w:val="23"/>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ECB1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14ECB19">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35A5B">
    <w:pPr>
      <w:pStyle w:val="23"/>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5D631">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1E5D631">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463E4">
    <w:pPr>
      <w:pStyle w:val="23"/>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8F492">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C08F492">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EB44">
    <w:pPr>
      <w:pStyle w:val="23"/>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D7315">
                          <w:pPr>
                            <w:pStyle w:val="2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1CD7315">
                    <w:pPr>
                      <w:pStyle w:val="2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482C">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CAC6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DCAC6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6D8D3">
    <w:pPr>
      <w:pStyle w:val="23"/>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1A321">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0B1A321">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78294">
    <w:pPr>
      <w:pStyle w:val="2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3D1F5">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23D1F5">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591E3">
    <w:pPr>
      <w:pStyle w:val="23"/>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D356D">
                          <w:pPr>
                            <w:pStyle w:val="2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3ED356D">
                    <w:pPr>
                      <w:pStyle w:val="2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6C20">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C4366">
                          <w:pPr>
                            <w:pStyle w:val="2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FBC4366">
                    <w:pPr>
                      <w:pStyle w:val="2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2152E">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1CC1B">
                          <w:pPr>
                            <w:pStyle w:val="2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4751CC1B">
                    <w:pPr>
                      <w:pStyle w:val="2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B7DB1">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F7E7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CBF7E7E">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FA56">
    <w:pPr>
      <w:pStyle w:val="23"/>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AEC7A">
                          <w:pPr>
                            <w:pStyle w:val="2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60AEC7A">
                    <w:pPr>
                      <w:pStyle w:val="2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5E32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9BE6E">
                          <w:pPr>
                            <w:pStyle w:val="2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479BE6E">
                    <w:pPr>
                      <w:pStyle w:val="2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8F73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F76AE">
                          <w:pPr>
                            <w:pStyle w:val="2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AAF76AE">
                    <w:pPr>
                      <w:pStyle w:val="2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9B4C">
    <w:pPr>
      <w:pStyle w:val="23"/>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42400">
                          <w:pPr>
                            <w:pStyle w:val="2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8D42400">
                    <w:pPr>
                      <w:pStyle w:val="2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B510D">
    <w:pPr>
      <w:pStyle w:val="23"/>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AF4A7">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E2AF4A7">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B0BBD">
    <w:pPr>
      <w:pStyle w:val="2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2A3C0">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22A3C0">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258EC54F">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7A2DB">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170DE">
                          <w:pPr>
                            <w:pStyle w:val="2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E8170DE">
                    <w:pPr>
                      <w:pStyle w:val="2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C24A2">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F9E25">
                          <w:pPr>
                            <w:pStyle w:val="2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6AF9E25">
                    <w:pPr>
                      <w:pStyle w:val="2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773A">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46F86">
                          <w:pPr>
                            <w:pStyle w:val="2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6446F86">
                    <w:pPr>
                      <w:pStyle w:val="2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F0F4">
    <w:pPr>
      <w:pStyle w:val="2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1999E">
                          <w:pPr>
                            <w:pStyle w:val="2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DC1999E">
                    <w:pPr>
                      <w:pStyle w:val="2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A812">
    <w:pPr>
      <w:pStyle w:val="2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E8236">
                          <w:pPr>
                            <w:pStyle w:val="2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DDE8236">
                    <w:pPr>
                      <w:pStyle w:val="2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49339">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EF919">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91CFB">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09B50">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1AEEC">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A15AC">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0FF0">
    <w:pPr>
      <w:pStyle w:val="24"/>
    </w:pPr>
  </w:p>
  <w:p w14:paraId="2DAA1E75">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28FB5">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71174"/>
    <w:multiLevelType w:val="singleLevel"/>
    <w:tmpl w:val="92E71174"/>
    <w:lvl w:ilvl="0" w:tentative="0">
      <w:start w:val="1"/>
      <w:numFmt w:val="decimalEnclosedCircleChinese"/>
      <w:suff w:val="nothing"/>
      <w:lvlText w:val="%1　"/>
      <w:lvlJc w:val="left"/>
      <w:pPr>
        <w:ind w:left="0" w:firstLine="400"/>
      </w:pPr>
      <w:rPr>
        <w:rFonts w:hint="eastAsia"/>
      </w:rPr>
    </w:lvl>
  </w:abstractNum>
  <w:abstractNum w:abstractNumId="1">
    <w:nsid w:val="9958FE74"/>
    <w:multiLevelType w:val="singleLevel"/>
    <w:tmpl w:val="9958FE74"/>
    <w:lvl w:ilvl="0" w:tentative="0">
      <w:start w:val="1"/>
      <w:numFmt w:val="decimalEnclosedCircleChinese"/>
      <w:suff w:val="nothing"/>
      <w:lvlText w:val="%1　"/>
      <w:lvlJc w:val="left"/>
      <w:pPr>
        <w:ind w:left="0" w:firstLine="400"/>
      </w:pPr>
      <w:rPr>
        <w:rFonts w:hint="eastAsia"/>
      </w:rPr>
    </w:lvl>
  </w:abstractNum>
  <w:abstractNum w:abstractNumId="2">
    <w:nsid w:val="9C86A882"/>
    <w:multiLevelType w:val="singleLevel"/>
    <w:tmpl w:val="9C86A882"/>
    <w:lvl w:ilvl="0" w:tentative="0">
      <w:start w:val="1"/>
      <w:numFmt w:val="decimalEnclosedCircleChinese"/>
      <w:suff w:val="nothing"/>
      <w:lvlText w:val="%1　"/>
      <w:lvlJc w:val="left"/>
      <w:pPr>
        <w:ind w:left="0" w:firstLine="400"/>
      </w:pPr>
      <w:rPr>
        <w:rFonts w:hint="eastAsia"/>
      </w:rPr>
    </w:lvl>
  </w:abstractNum>
  <w:abstractNum w:abstractNumId="3">
    <w:nsid w:val="A6849FB6"/>
    <w:multiLevelType w:val="singleLevel"/>
    <w:tmpl w:val="A6849FB6"/>
    <w:lvl w:ilvl="0" w:tentative="0">
      <w:start w:val="2"/>
      <w:numFmt w:val="chineseCounting"/>
      <w:suff w:val="nothing"/>
      <w:lvlText w:val="%1、"/>
      <w:lvlJc w:val="left"/>
      <w:rPr>
        <w:rFonts w:hint="eastAsia"/>
      </w:rPr>
    </w:lvl>
  </w:abstractNum>
  <w:abstractNum w:abstractNumId="4">
    <w:nsid w:val="C3A90B2F"/>
    <w:multiLevelType w:val="singleLevel"/>
    <w:tmpl w:val="C3A90B2F"/>
    <w:lvl w:ilvl="0" w:tentative="0">
      <w:start w:val="1"/>
      <w:numFmt w:val="decimalEnclosedCircleChinese"/>
      <w:suff w:val="nothing"/>
      <w:lvlText w:val="%1　"/>
      <w:lvlJc w:val="left"/>
      <w:pPr>
        <w:ind w:left="0" w:firstLine="400"/>
      </w:pPr>
      <w:rPr>
        <w:rFonts w:hint="eastAsia"/>
      </w:rPr>
    </w:lvl>
  </w:abstractNum>
  <w:abstractNum w:abstractNumId="5">
    <w:nsid w:val="CE4AECA5"/>
    <w:multiLevelType w:val="singleLevel"/>
    <w:tmpl w:val="CE4AECA5"/>
    <w:lvl w:ilvl="0" w:tentative="0">
      <w:start w:val="1"/>
      <w:numFmt w:val="decimalEnclosedCircleChinese"/>
      <w:suff w:val="nothing"/>
      <w:lvlText w:val="%1　"/>
      <w:lvlJc w:val="left"/>
      <w:pPr>
        <w:ind w:left="0" w:firstLine="400"/>
      </w:pPr>
      <w:rPr>
        <w:rFonts w:hint="eastAsia"/>
      </w:r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2BE4595"/>
    <w:multiLevelType w:val="singleLevel"/>
    <w:tmpl w:val="32BE4595"/>
    <w:lvl w:ilvl="0" w:tentative="0">
      <w:start w:val="1"/>
      <w:numFmt w:val="decimalEnclosedCircleChinese"/>
      <w:suff w:val="nothing"/>
      <w:lvlText w:val="%1　"/>
      <w:lvlJc w:val="left"/>
      <w:pPr>
        <w:ind w:left="0" w:firstLine="400"/>
      </w:pPr>
      <w:rPr>
        <w:rFonts w:hint="eastAsia"/>
      </w:rPr>
    </w:lvl>
  </w:abstractNum>
  <w:abstractNum w:abstractNumId="12">
    <w:nsid w:val="3F462708"/>
    <w:multiLevelType w:val="singleLevel"/>
    <w:tmpl w:val="3F462708"/>
    <w:lvl w:ilvl="0" w:tentative="0">
      <w:start w:val="1"/>
      <w:numFmt w:val="decimalEnclosedCircleChinese"/>
      <w:suff w:val="nothing"/>
      <w:lvlText w:val="%1　"/>
      <w:lvlJc w:val="left"/>
      <w:pPr>
        <w:ind w:left="0" w:firstLine="400"/>
      </w:pPr>
      <w:rPr>
        <w:rFonts w:hint="eastAsia"/>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602D561A"/>
    <w:multiLevelType w:val="singleLevel"/>
    <w:tmpl w:val="602D561A"/>
    <w:lvl w:ilvl="0" w:tentative="0">
      <w:start w:val="1"/>
      <w:numFmt w:val="decimalEnclosedCircleChinese"/>
      <w:suff w:val="nothing"/>
      <w:lvlText w:val="%1　"/>
      <w:lvlJc w:val="left"/>
      <w:pPr>
        <w:ind w:left="0" w:firstLine="4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6FE1DC72"/>
    <w:multiLevelType w:val="singleLevel"/>
    <w:tmpl w:val="6FE1DC72"/>
    <w:lvl w:ilvl="0" w:tentative="0">
      <w:start w:val="1"/>
      <w:numFmt w:val="decimalEnclosedCircleChinese"/>
      <w:suff w:val="nothing"/>
      <w:lvlText w:val="%1　"/>
      <w:lvlJc w:val="left"/>
      <w:pPr>
        <w:ind w:left="0" w:firstLine="400"/>
      </w:pPr>
      <w:rPr>
        <w:rFonts w:hint="eastAsia"/>
      </w:rPr>
    </w:lvl>
  </w:abstractNum>
  <w:abstractNum w:abstractNumId="17">
    <w:nsid w:val="77DE7897"/>
    <w:multiLevelType w:val="singleLevel"/>
    <w:tmpl w:val="77DE7897"/>
    <w:lvl w:ilvl="0" w:tentative="0">
      <w:start w:val="1"/>
      <w:numFmt w:val="decimal"/>
      <w:lvlText w:val="%1."/>
      <w:lvlJc w:val="left"/>
      <w:pPr>
        <w:tabs>
          <w:tab w:val="left" w:pos="312"/>
        </w:tabs>
      </w:pPr>
    </w:lvl>
  </w:abstractNum>
  <w:abstractNum w:abstractNumId="18">
    <w:nsid w:val="7A612DE2"/>
    <w:multiLevelType w:val="singleLevel"/>
    <w:tmpl w:val="7A612DE2"/>
    <w:lvl w:ilvl="0" w:tentative="0">
      <w:start w:val="2"/>
      <w:numFmt w:val="decimal"/>
      <w:lvlText w:val="%1."/>
      <w:lvlJc w:val="left"/>
      <w:pPr>
        <w:tabs>
          <w:tab w:val="left" w:pos="312"/>
        </w:tabs>
      </w:pPr>
    </w:lvl>
  </w:abstractNum>
  <w:num w:numId="1">
    <w:abstractNumId w:val="15"/>
  </w:num>
  <w:num w:numId="2">
    <w:abstractNumId w:val="17"/>
  </w:num>
  <w:num w:numId="3">
    <w:abstractNumId w:val="3"/>
  </w:num>
  <w:num w:numId="4">
    <w:abstractNumId w:val="18"/>
  </w:num>
  <w:num w:numId="5">
    <w:abstractNumId w:val="9"/>
  </w:num>
  <w:num w:numId="6">
    <w:abstractNumId w:val="7"/>
  </w:num>
  <w:num w:numId="7">
    <w:abstractNumId w:val="13"/>
  </w:num>
  <w:num w:numId="8">
    <w:abstractNumId w:val="6"/>
  </w:num>
  <w:num w:numId="9">
    <w:abstractNumId w:val="10"/>
  </w:num>
  <w:num w:numId="10">
    <w:abstractNumId w:val="8"/>
  </w:num>
  <w:num w:numId="11">
    <w:abstractNumId w:val="0"/>
  </w:num>
  <w:num w:numId="12">
    <w:abstractNumId w:val="1"/>
  </w:num>
  <w:num w:numId="13">
    <w:abstractNumId w:val="14"/>
  </w:num>
  <w:num w:numId="14">
    <w:abstractNumId w:val="4"/>
  </w:num>
  <w:num w:numId="15">
    <w:abstractNumId w:val="5"/>
  </w:num>
  <w:num w:numId="16">
    <w:abstractNumId w:val="11"/>
  </w:num>
  <w:num w:numId="17">
    <w:abstractNumId w:val="2"/>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xM2MwOTcxY2Q2MGFhODg4Y2JlMjcwYTY1MjdkMTI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095D"/>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7343F5"/>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0350CF"/>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B100A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5A03E5"/>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4224E"/>
    <w:rsid w:val="0FA75561"/>
    <w:rsid w:val="0FB83603"/>
    <w:rsid w:val="0FBE4261"/>
    <w:rsid w:val="0FCA77F1"/>
    <w:rsid w:val="0FCD5DCC"/>
    <w:rsid w:val="10043197"/>
    <w:rsid w:val="101A497B"/>
    <w:rsid w:val="102351BA"/>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B633F9"/>
    <w:rsid w:val="11C07DA5"/>
    <w:rsid w:val="11C2491E"/>
    <w:rsid w:val="11F36B75"/>
    <w:rsid w:val="123B45F5"/>
    <w:rsid w:val="12491386"/>
    <w:rsid w:val="12985829"/>
    <w:rsid w:val="12DE232A"/>
    <w:rsid w:val="12E60579"/>
    <w:rsid w:val="12EB0F02"/>
    <w:rsid w:val="13057392"/>
    <w:rsid w:val="13695B36"/>
    <w:rsid w:val="1372609F"/>
    <w:rsid w:val="138A301D"/>
    <w:rsid w:val="13B17A1C"/>
    <w:rsid w:val="13CD6F8A"/>
    <w:rsid w:val="13D73572"/>
    <w:rsid w:val="14134B52"/>
    <w:rsid w:val="141476FE"/>
    <w:rsid w:val="1449272D"/>
    <w:rsid w:val="14504752"/>
    <w:rsid w:val="145A6A37"/>
    <w:rsid w:val="1467440F"/>
    <w:rsid w:val="146B2014"/>
    <w:rsid w:val="147F6DAD"/>
    <w:rsid w:val="14846AB8"/>
    <w:rsid w:val="14E05B4D"/>
    <w:rsid w:val="14FA1F7A"/>
    <w:rsid w:val="15400323"/>
    <w:rsid w:val="15433A9B"/>
    <w:rsid w:val="15545B0C"/>
    <w:rsid w:val="15845569"/>
    <w:rsid w:val="158B1288"/>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BB757F"/>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0381A"/>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9A4CFA"/>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3E4F1B"/>
    <w:rsid w:val="2D4178F0"/>
    <w:rsid w:val="2DAE631A"/>
    <w:rsid w:val="2DD877E0"/>
    <w:rsid w:val="2DE616C9"/>
    <w:rsid w:val="2DFC2451"/>
    <w:rsid w:val="2E3422F8"/>
    <w:rsid w:val="2E6E566D"/>
    <w:rsid w:val="2E7F188E"/>
    <w:rsid w:val="2EBC0905"/>
    <w:rsid w:val="2EC73739"/>
    <w:rsid w:val="2ED95618"/>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036DC2"/>
    <w:rsid w:val="311933AA"/>
    <w:rsid w:val="31414A5E"/>
    <w:rsid w:val="315B788A"/>
    <w:rsid w:val="315E658D"/>
    <w:rsid w:val="3168109A"/>
    <w:rsid w:val="317D15BB"/>
    <w:rsid w:val="31D07E6C"/>
    <w:rsid w:val="323F65DA"/>
    <w:rsid w:val="32412074"/>
    <w:rsid w:val="32DE0199"/>
    <w:rsid w:val="333B535B"/>
    <w:rsid w:val="333C2963"/>
    <w:rsid w:val="335B2774"/>
    <w:rsid w:val="338B331E"/>
    <w:rsid w:val="33A20D45"/>
    <w:rsid w:val="33A4642E"/>
    <w:rsid w:val="33D1020F"/>
    <w:rsid w:val="33D4039C"/>
    <w:rsid w:val="33D47E05"/>
    <w:rsid w:val="33EC194A"/>
    <w:rsid w:val="3413677D"/>
    <w:rsid w:val="342B544B"/>
    <w:rsid w:val="343208DC"/>
    <w:rsid w:val="345E036E"/>
    <w:rsid w:val="34C47852"/>
    <w:rsid w:val="34DE1E4F"/>
    <w:rsid w:val="34F07DB1"/>
    <w:rsid w:val="35187CC4"/>
    <w:rsid w:val="351B0FFB"/>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CD3690"/>
    <w:rsid w:val="43D110E1"/>
    <w:rsid w:val="43E048FB"/>
    <w:rsid w:val="43E873C9"/>
    <w:rsid w:val="43EF4482"/>
    <w:rsid w:val="448B5C69"/>
    <w:rsid w:val="44905B1F"/>
    <w:rsid w:val="44A3327A"/>
    <w:rsid w:val="44C81F67"/>
    <w:rsid w:val="45316885"/>
    <w:rsid w:val="459B1F40"/>
    <w:rsid w:val="45A95EE9"/>
    <w:rsid w:val="45EA5542"/>
    <w:rsid w:val="45FB0F21"/>
    <w:rsid w:val="46065EAB"/>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00C74"/>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1356E"/>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8227D0"/>
    <w:rsid w:val="4DD7034C"/>
    <w:rsid w:val="4DE312CB"/>
    <w:rsid w:val="4DF5318E"/>
    <w:rsid w:val="4E0D199A"/>
    <w:rsid w:val="4E0E0BAE"/>
    <w:rsid w:val="4E1F4862"/>
    <w:rsid w:val="4E2E4393"/>
    <w:rsid w:val="4E344C3D"/>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B35114"/>
    <w:rsid w:val="52EF4CB5"/>
    <w:rsid w:val="52F959F0"/>
    <w:rsid w:val="5302488E"/>
    <w:rsid w:val="530323B4"/>
    <w:rsid w:val="53136173"/>
    <w:rsid w:val="534B12B7"/>
    <w:rsid w:val="539A4AC7"/>
    <w:rsid w:val="53F86552"/>
    <w:rsid w:val="542631B6"/>
    <w:rsid w:val="542B7CA6"/>
    <w:rsid w:val="5447483C"/>
    <w:rsid w:val="544D14DF"/>
    <w:rsid w:val="5472193F"/>
    <w:rsid w:val="547748A2"/>
    <w:rsid w:val="54942CAE"/>
    <w:rsid w:val="5499280E"/>
    <w:rsid w:val="54A61722"/>
    <w:rsid w:val="54B31FAF"/>
    <w:rsid w:val="54DC2048"/>
    <w:rsid w:val="550C502E"/>
    <w:rsid w:val="55224E1C"/>
    <w:rsid w:val="55326D63"/>
    <w:rsid w:val="55441F77"/>
    <w:rsid w:val="555D1A10"/>
    <w:rsid w:val="55963292"/>
    <w:rsid w:val="55A31929"/>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94302F"/>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8005D2"/>
    <w:rsid w:val="5D0E2082"/>
    <w:rsid w:val="5D161948"/>
    <w:rsid w:val="5D722852"/>
    <w:rsid w:val="5E1D6F56"/>
    <w:rsid w:val="5E52187F"/>
    <w:rsid w:val="5E6A13CD"/>
    <w:rsid w:val="5E705D15"/>
    <w:rsid w:val="5E93326C"/>
    <w:rsid w:val="5E9640DF"/>
    <w:rsid w:val="5E9F1A7A"/>
    <w:rsid w:val="5EAB5261"/>
    <w:rsid w:val="5EAF3818"/>
    <w:rsid w:val="5EE62ABD"/>
    <w:rsid w:val="5EFA52E3"/>
    <w:rsid w:val="5EFB4BA4"/>
    <w:rsid w:val="5EFD23AE"/>
    <w:rsid w:val="5F025452"/>
    <w:rsid w:val="5F5F46B5"/>
    <w:rsid w:val="5FB25360"/>
    <w:rsid w:val="5FBA3CC0"/>
    <w:rsid w:val="5FD90D61"/>
    <w:rsid w:val="60177697"/>
    <w:rsid w:val="60216D06"/>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4F6094"/>
    <w:rsid w:val="66580EAF"/>
    <w:rsid w:val="66694D0D"/>
    <w:rsid w:val="667B4472"/>
    <w:rsid w:val="66F041A8"/>
    <w:rsid w:val="66FC0BE4"/>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00074E"/>
    <w:rsid w:val="6C5660C1"/>
    <w:rsid w:val="6C5E6A51"/>
    <w:rsid w:val="6C6513C3"/>
    <w:rsid w:val="6C744268"/>
    <w:rsid w:val="6C913746"/>
    <w:rsid w:val="6C953BEC"/>
    <w:rsid w:val="6C9D0B3F"/>
    <w:rsid w:val="6CD62D03"/>
    <w:rsid w:val="6CD97FB6"/>
    <w:rsid w:val="6D0B1173"/>
    <w:rsid w:val="6D0E5050"/>
    <w:rsid w:val="6D4B22B8"/>
    <w:rsid w:val="6D930013"/>
    <w:rsid w:val="6DA51372"/>
    <w:rsid w:val="6DB53B8B"/>
    <w:rsid w:val="6DBA5A94"/>
    <w:rsid w:val="6E1A1656"/>
    <w:rsid w:val="6E231DD6"/>
    <w:rsid w:val="6E556DC5"/>
    <w:rsid w:val="6E5A5288"/>
    <w:rsid w:val="6EE013EE"/>
    <w:rsid w:val="6EE079F1"/>
    <w:rsid w:val="6EE42C42"/>
    <w:rsid w:val="6F143527"/>
    <w:rsid w:val="6F7F7CB0"/>
    <w:rsid w:val="6F8F625A"/>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BC15A9"/>
    <w:rsid w:val="71CF3B6C"/>
    <w:rsid w:val="71F80F33"/>
    <w:rsid w:val="722922C6"/>
    <w:rsid w:val="72367C59"/>
    <w:rsid w:val="723C5278"/>
    <w:rsid w:val="723F4D5F"/>
    <w:rsid w:val="72532C9F"/>
    <w:rsid w:val="727176A7"/>
    <w:rsid w:val="72CB03A1"/>
    <w:rsid w:val="72FC49FE"/>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9A77D4"/>
    <w:rsid w:val="7CAE2219"/>
    <w:rsid w:val="7CB14B4D"/>
    <w:rsid w:val="7CC60B6C"/>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B73496"/>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8"/>
    <w:qFormat/>
    <w:uiPriority w:val="9"/>
    <w:pPr>
      <w:keepNext/>
      <w:keepLines/>
      <w:jc w:val="center"/>
      <w:outlineLvl w:val="0"/>
    </w:pPr>
    <w:rPr>
      <w:b/>
      <w:bCs/>
      <w:kern w:val="44"/>
      <w:sz w:val="36"/>
      <w:szCs w:val="44"/>
    </w:rPr>
  </w:style>
  <w:style w:type="paragraph" w:styleId="4">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pPr>
    <w:rPr>
      <w:rFonts w:ascii="Times New Roman" w:hAnsi="Times New Roman"/>
      <w:kern w:val="0"/>
      <w:sz w:val="20"/>
      <w:szCs w:val="2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1"/>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2"/>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3"/>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4"/>
    <w:qFormat/>
    <w:uiPriority w:val="0"/>
    <w:pPr>
      <w:ind w:left="100" w:leftChars="2500"/>
    </w:pPr>
    <w:rPr>
      <w:sz w:val="24"/>
    </w:rPr>
  </w:style>
  <w:style w:type="paragraph" w:styleId="21">
    <w:name w:val="Body Text Indent 2"/>
    <w:basedOn w:val="1"/>
    <w:link w:val="52"/>
    <w:qFormat/>
    <w:uiPriority w:val="0"/>
    <w:pPr>
      <w:spacing w:after="120" w:line="480" w:lineRule="auto"/>
      <w:ind w:left="420" w:leftChars="200"/>
    </w:pPr>
  </w:style>
  <w:style w:type="paragraph" w:styleId="22">
    <w:name w:val="Balloon Text"/>
    <w:basedOn w:val="1"/>
    <w:link w:val="68"/>
    <w:qFormat/>
    <w:uiPriority w:val="0"/>
    <w:rPr>
      <w:sz w:val="18"/>
    </w:rPr>
  </w:style>
  <w:style w:type="paragraph" w:styleId="23">
    <w:name w:val="footer"/>
    <w:basedOn w:val="1"/>
    <w:link w:val="74"/>
    <w:qFormat/>
    <w:uiPriority w:val="99"/>
    <w:pPr>
      <w:tabs>
        <w:tab w:val="center" w:pos="4153"/>
        <w:tab w:val="right" w:pos="8306"/>
      </w:tabs>
      <w:snapToGrid w:val="0"/>
      <w:jc w:val="left"/>
    </w:pPr>
    <w:rPr>
      <w:sz w:val="18"/>
    </w:rPr>
  </w:style>
  <w:style w:type="paragraph" w:styleId="24">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4"/>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3"/>
    <w:qFormat/>
    <w:uiPriority w:val="0"/>
    <w:rPr>
      <w:b/>
    </w:rPr>
  </w:style>
  <w:style w:type="paragraph" w:styleId="36">
    <w:name w:val="Body Text First Indent 2"/>
    <w:basedOn w:val="15"/>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paragraph" w:customStyle="1" w:styleId="47">
    <w:name w:val="Fließtext"/>
    <w:basedOn w:val="1"/>
    <w:qFormat/>
    <w:uiPriority w:val="99"/>
    <w:pPr>
      <w:widowControl/>
      <w:ind w:left="1134"/>
      <w:jc w:val="left"/>
    </w:pPr>
    <w:rPr>
      <w:rFonts w:ascii="Arial" w:hAnsi="Arial"/>
      <w:kern w:val="0"/>
      <w:szCs w:val="20"/>
      <w:lang w:val="de-DE" w:eastAsia="de-DE"/>
    </w:rPr>
  </w:style>
  <w:style w:type="character" w:customStyle="1" w:styleId="48">
    <w:name w:val="标题 1 字符"/>
    <w:basedOn w:val="39"/>
    <w:link w:val="2"/>
    <w:qFormat/>
    <w:uiPriority w:val="9"/>
    <w:rPr>
      <w:rFonts w:ascii="Calibri" w:hAnsi="Calibri" w:eastAsia="宋体" w:cs="Times New Roman"/>
      <w:b/>
      <w:bCs/>
      <w:kern w:val="44"/>
      <w:sz w:val="36"/>
      <w:szCs w:val="44"/>
    </w:rPr>
  </w:style>
  <w:style w:type="character" w:customStyle="1" w:styleId="49">
    <w:name w:val="标题 2 字符"/>
    <w:basedOn w:val="39"/>
    <w:link w:val="4"/>
    <w:qFormat/>
    <w:uiPriority w:val="9"/>
    <w:rPr>
      <w:rFonts w:ascii="Arial" w:hAnsi="Arial" w:eastAsia="宋体" w:cs="Times New Roman"/>
      <w:b/>
      <w:bCs/>
      <w:sz w:val="24"/>
      <w:szCs w:val="32"/>
    </w:rPr>
  </w:style>
  <w:style w:type="character" w:customStyle="1" w:styleId="50">
    <w:name w:val="标题 3 字符"/>
    <w:basedOn w:val="39"/>
    <w:link w:val="5"/>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1"/>
    <w:qFormat/>
    <w:locked/>
    <w:uiPriority w:val="0"/>
  </w:style>
  <w:style w:type="character" w:customStyle="1" w:styleId="53">
    <w:name w:val="批注主题 字符"/>
    <w:link w:val="35"/>
    <w:qFormat/>
    <w:locked/>
    <w:uiPriority w:val="0"/>
    <w:rPr>
      <w:b/>
    </w:rPr>
  </w:style>
  <w:style w:type="character" w:customStyle="1" w:styleId="54">
    <w:name w:val="正文文本缩进 3 字符"/>
    <w:link w:val="29"/>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39"/>
    <w:qFormat/>
    <w:uiPriority w:val="0"/>
    <w:rPr>
      <w:rFonts w:cs="Times New Roman"/>
    </w:rPr>
  </w:style>
  <w:style w:type="character" w:customStyle="1" w:styleId="60">
    <w:name w:val="页眉 字符"/>
    <w:link w:val="24"/>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2"/>
    <w:qFormat/>
    <w:locked/>
    <w:uiPriority w:val="0"/>
  </w:style>
  <w:style w:type="character" w:customStyle="1" w:styleId="63">
    <w:name w:val="标题 字符"/>
    <w:link w:val="34"/>
    <w:qFormat/>
    <w:locked/>
    <w:uiPriority w:val="0"/>
    <w:rPr>
      <w:rFonts w:ascii="Arial" w:hAnsi="Arial"/>
      <w:b/>
      <w:sz w:val="32"/>
    </w:rPr>
  </w:style>
  <w:style w:type="character" w:customStyle="1" w:styleId="64">
    <w:name w:val="日期 字符"/>
    <w:link w:val="20"/>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2"/>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10"/>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8"/>
    <w:qFormat/>
    <w:locked/>
    <w:uiPriority w:val="0"/>
    <w:rPr>
      <w:rFonts w:ascii="宋体" w:hAnsi="Courier New"/>
    </w:rPr>
  </w:style>
  <w:style w:type="character" w:customStyle="1" w:styleId="74">
    <w:name w:val="页脚 字符"/>
    <w:link w:val="23"/>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39"/>
    <w:semiHidden/>
    <w:qFormat/>
    <w:uiPriority w:val="99"/>
  </w:style>
  <w:style w:type="character" w:customStyle="1" w:styleId="79">
    <w:name w:val="批注文字 字符11"/>
    <w:basedOn w:val="39"/>
    <w:qFormat/>
    <w:uiPriority w:val="0"/>
    <w:rPr>
      <w:rFonts w:cs="Times New Roman"/>
      <w:kern w:val="2"/>
      <w:sz w:val="21"/>
    </w:rPr>
  </w:style>
  <w:style w:type="character" w:customStyle="1" w:styleId="80">
    <w:name w:val="正文文本缩进 字符"/>
    <w:basedOn w:val="39"/>
    <w:link w:val="15"/>
    <w:qFormat/>
    <w:uiPriority w:val="99"/>
    <w:rPr>
      <w:rFonts w:ascii="Calibri" w:hAnsi="Calibri" w:eastAsia="宋体" w:cs="Times New Roman"/>
      <w:szCs w:val="20"/>
    </w:rPr>
  </w:style>
  <w:style w:type="character" w:customStyle="1" w:styleId="81">
    <w:name w:val="文档结构图 字符1"/>
    <w:basedOn w:val="39"/>
    <w:semiHidden/>
    <w:qFormat/>
    <w:uiPriority w:val="99"/>
    <w:rPr>
      <w:rFonts w:ascii="Microsoft YaHei UI" w:eastAsia="Microsoft YaHei UI"/>
      <w:sz w:val="18"/>
      <w:szCs w:val="18"/>
    </w:rPr>
  </w:style>
  <w:style w:type="character" w:customStyle="1" w:styleId="82">
    <w:name w:val="文档结构图 字符11"/>
    <w:basedOn w:val="39"/>
    <w:semiHidden/>
    <w:qFormat/>
    <w:uiPriority w:val="99"/>
    <w:rPr>
      <w:rFonts w:ascii="Microsoft YaHei UI" w:eastAsia="Microsoft YaHei UI" w:cs="Times New Roman"/>
      <w:kern w:val="2"/>
      <w:sz w:val="18"/>
      <w:szCs w:val="18"/>
    </w:rPr>
  </w:style>
  <w:style w:type="character" w:customStyle="1" w:styleId="83">
    <w:name w:val="正文文本 字符"/>
    <w:basedOn w:val="39"/>
    <w:link w:val="14"/>
    <w:qFormat/>
    <w:uiPriority w:val="99"/>
    <w:rPr>
      <w:rFonts w:ascii="Calibri" w:hAnsi="Calibri" w:eastAsia="新宋体" w:cs="Times New Roman"/>
      <w:szCs w:val="21"/>
    </w:rPr>
  </w:style>
  <w:style w:type="character" w:customStyle="1" w:styleId="84">
    <w:name w:val="纯文本 字符1"/>
    <w:basedOn w:val="39"/>
    <w:semiHidden/>
    <w:qFormat/>
    <w:uiPriority w:val="99"/>
    <w:rPr>
      <w:rFonts w:hAnsi="Courier New" w:cs="Courier New" w:asciiTheme="minorEastAsia"/>
    </w:rPr>
  </w:style>
  <w:style w:type="character" w:customStyle="1" w:styleId="85">
    <w:name w:val="纯文本 字符11"/>
    <w:basedOn w:val="39"/>
    <w:qFormat/>
    <w:uiPriority w:val="0"/>
    <w:rPr>
      <w:rFonts w:hAnsi="Courier New" w:cs="Courier New" w:asciiTheme="minorEastAsia" w:eastAsiaTheme="minorEastAsia"/>
      <w:kern w:val="2"/>
      <w:sz w:val="21"/>
    </w:rPr>
  </w:style>
  <w:style w:type="character" w:customStyle="1" w:styleId="86">
    <w:name w:val="页眉 字符1"/>
    <w:basedOn w:val="39"/>
    <w:semiHidden/>
    <w:qFormat/>
    <w:uiPriority w:val="99"/>
    <w:rPr>
      <w:sz w:val="18"/>
      <w:szCs w:val="18"/>
    </w:rPr>
  </w:style>
  <w:style w:type="character" w:customStyle="1" w:styleId="87">
    <w:name w:val="页眉 字符11"/>
    <w:basedOn w:val="39"/>
    <w:semiHidden/>
    <w:qFormat/>
    <w:uiPriority w:val="99"/>
    <w:rPr>
      <w:rFonts w:cs="Times New Roman"/>
      <w:kern w:val="2"/>
      <w:sz w:val="18"/>
      <w:szCs w:val="18"/>
    </w:rPr>
  </w:style>
  <w:style w:type="character" w:customStyle="1" w:styleId="88">
    <w:name w:val="批注框文本 字符1"/>
    <w:basedOn w:val="39"/>
    <w:semiHidden/>
    <w:qFormat/>
    <w:uiPriority w:val="99"/>
    <w:rPr>
      <w:sz w:val="18"/>
      <w:szCs w:val="18"/>
    </w:rPr>
  </w:style>
  <w:style w:type="character" w:customStyle="1" w:styleId="89">
    <w:name w:val="批注框文本 字符11"/>
    <w:basedOn w:val="39"/>
    <w:semiHidden/>
    <w:qFormat/>
    <w:uiPriority w:val="99"/>
    <w:rPr>
      <w:rFonts w:cs="Times New Roman"/>
      <w:kern w:val="2"/>
      <w:sz w:val="18"/>
      <w:szCs w:val="18"/>
    </w:rPr>
  </w:style>
  <w:style w:type="character" w:customStyle="1" w:styleId="90">
    <w:name w:val="日期 字符1"/>
    <w:basedOn w:val="39"/>
    <w:semiHidden/>
    <w:qFormat/>
    <w:uiPriority w:val="99"/>
  </w:style>
  <w:style w:type="character" w:customStyle="1" w:styleId="91">
    <w:name w:val="日期 字符11"/>
    <w:basedOn w:val="39"/>
    <w:semiHidden/>
    <w:qFormat/>
    <w:uiPriority w:val="99"/>
    <w:rPr>
      <w:rFonts w:cs="Times New Roman"/>
      <w:kern w:val="2"/>
      <w:sz w:val="21"/>
    </w:rPr>
  </w:style>
  <w:style w:type="character" w:customStyle="1" w:styleId="92">
    <w:name w:val="页脚 字符1"/>
    <w:basedOn w:val="39"/>
    <w:semiHidden/>
    <w:qFormat/>
    <w:uiPriority w:val="99"/>
    <w:rPr>
      <w:sz w:val="18"/>
      <w:szCs w:val="18"/>
    </w:rPr>
  </w:style>
  <w:style w:type="character" w:customStyle="1" w:styleId="93">
    <w:name w:val="页脚 字符11"/>
    <w:basedOn w:val="39"/>
    <w:semiHidden/>
    <w:qFormat/>
    <w:uiPriority w:val="99"/>
    <w:rPr>
      <w:rFonts w:cs="Times New Roman"/>
      <w:kern w:val="2"/>
      <w:sz w:val="18"/>
      <w:szCs w:val="18"/>
    </w:rPr>
  </w:style>
  <w:style w:type="character" w:customStyle="1" w:styleId="94">
    <w:name w:val="正文文本缩进 2 字符1"/>
    <w:basedOn w:val="39"/>
    <w:semiHidden/>
    <w:qFormat/>
    <w:uiPriority w:val="99"/>
  </w:style>
  <w:style w:type="character" w:customStyle="1" w:styleId="95">
    <w:name w:val="正文文本缩进 2 字符11"/>
    <w:basedOn w:val="39"/>
    <w:semiHidden/>
    <w:qFormat/>
    <w:uiPriority w:val="99"/>
    <w:rPr>
      <w:rFonts w:cs="Times New Roman"/>
      <w:kern w:val="2"/>
      <w:sz w:val="21"/>
    </w:rPr>
  </w:style>
  <w:style w:type="character" w:customStyle="1" w:styleId="96">
    <w:name w:val="正文文本缩进 3 字符1"/>
    <w:basedOn w:val="39"/>
    <w:semiHidden/>
    <w:qFormat/>
    <w:uiPriority w:val="99"/>
    <w:rPr>
      <w:sz w:val="16"/>
      <w:szCs w:val="16"/>
    </w:rPr>
  </w:style>
  <w:style w:type="character" w:customStyle="1" w:styleId="97">
    <w:name w:val="正文文本缩进 3 字符11"/>
    <w:basedOn w:val="39"/>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39"/>
    <w:qFormat/>
    <w:uiPriority w:val="10"/>
    <w:rPr>
      <w:rFonts w:asciiTheme="majorHAnsi" w:hAnsiTheme="majorHAnsi" w:eastAsiaTheme="majorEastAsia" w:cstheme="majorBidi"/>
      <w:b/>
      <w:bCs/>
      <w:sz w:val="32"/>
      <w:szCs w:val="32"/>
    </w:rPr>
  </w:style>
  <w:style w:type="character" w:customStyle="1" w:styleId="101">
    <w:name w:val="标题 字符11"/>
    <w:basedOn w:val="39"/>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8"/>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4"/>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5"/>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4">
    <w:name w:val="无间隔1"/>
    <w:qFormat/>
    <w:uiPriority w:val="0"/>
    <w:rPr>
      <w:rFonts w:ascii="Calibri" w:hAnsi="Calibri" w:eastAsia="Calibri" w:cs="Times New Roman"/>
      <w:szCs w:val="22"/>
      <w:lang w:val="en-GB" w:eastAsia="en-US" w:bidi="ar-SA"/>
    </w:rPr>
  </w:style>
  <w:style w:type="paragraph" w:customStyle="1" w:styleId="135">
    <w:name w:val="CM22"/>
    <w:basedOn w:val="76"/>
    <w:next w:val="76"/>
    <w:qFormat/>
    <w:uiPriority w:val="0"/>
    <w:pPr>
      <w:spacing w:after="125"/>
    </w:pPr>
    <w:rPr>
      <w:rFonts w:cs="Times New Roman"/>
      <w:color w:val="auto"/>
    </w:rPr>
  </w:style>
  <w:style w:type="paragraph" w:customStyle="1" w:styleId="136">
    <w:name w:val="List Paragraph1"/>
    <w:basedOn w:val="1"/>
    <w:qFormat/>
    <w:uiPriority w:val="0"/>
    <w:pPr>
      <w:ind w:firstLine="420" w:firstLineChars="200"/>
    </w:pPr>
    <w:rPr>
      <w:rFonts w:ascii="Calibri" w:hAnsi="Calibri"/>
      <w:szCs w:val="22"/>
    </w:rPr>
  </w:style>
  <w:style w:type="paragraph" w:customStyle="1" w:styleId="137">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8">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9">
    <w:name w:val="font41"/>
    <w:basedOn w:val="39"/>
    <w:qFormat/>
    <w:uiPriority w:val="0"/>
    <w:rPr>
      <w:rFonts w:hint="eastAsia" w:ascii="宋体" w:hAnsi="宋体" w:eastAsia="宋体" w:cs="宋体"/>
      <w:color w:val="000000"/>
      <w:sz w:val="21"/>
      <w:szCs w:val="21"/>
      <w:u w:val="none"/>
    </w:rPr>
  </w:style>
  <w:style w:type="table" w:customStyle="1" w:styleId="140">
    <w:name w:val="无格式表格 11"/>
    <w:basedOn w:val="37"/>
    <w:qFormat/>
    <w:uiPriority w:val="41"/>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png"/><Relationship Id="rId7" Type="http://schemas.openxmlformats.org/officeDocument/2006/relationships/header" Target="header2.xml"/><Relationship Id="rId69" Type="http://schemas.openxmlformats.org/officeDocument/2006/relationships/image" Target="media/image31.png"/><Relationship Id="rId68" Type="http://schemas.openxmlformats.org/officeDocument/2006/relationships/image" Target="media/image30.png"/><Relationship Id="rId67" Type="http://schemas.openxmlformats.org/officeDocument/2006/relationships/image" Target="media/image29.png"/><Relationship Id="rId66" Type="http://schemas.openxmlformats.org/officeDocument/2006/relationships/image" Target="media/image28.png"/><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png"/><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footer" Target="footer3.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jpeg"/><Relationship Id="rId40" Type="http://schemas.openxmlformats.org/officeDocument/2006/relationships/image" Target="media/image2.jpeg"/><Relationship Id="rId4" Type="http://schemas.openxmlformats.org/officeDocument/2006/relationships/footer" Target="footer2.xml"/><Relationship Id="rId39" Type="http://schemas.openxmlformats.org/officeDocument/2006/relationships/image" Target="media/image1.jpeg"/><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91</Pages>
  <Words>14608</Words>
  <Characters>15997</Characters>
  <Lines>305</Lines>
  <Paragraphs>86</Paragraphs>
  <TotalTime>149</TotalTime>
  <ScaleCrop>false</ScaleCrop>
  <LinksUpToDate>false</LinksUpToDate>
  <CharactersWithSpaces>16339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张志纯</cp:lastModifiedBy>
  <cp:lastPrinted>2022-07-01T11:19:00Z</cp:lastPrinted>
  <dcterms:modified xsi:type="dcterms:W3CDTF">2025-09-05T03:05:29Z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C18B03248193483FBADDAEEE4E6B063F_13</vt:lpwstr>
  </property>
  <property fmtid="{D5CDD505-2E9C-101B-9397-08002B2CF9AE}" pid="4" name="KSOTemplateDocerSaveRecord">
    <vt:lpwstr>eyJoZGlkIjoiODY0NTcxYjI4Y2NjNTJkNmIwYzM2NDk2ZTI0NWYxZjQiLCJ1c2VySWQiOiIxNjcxODY1NzIwIn0=</vt:lpwstr>
  </property>
</Properties>
</file>