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济南商用车制造公司2025年固定资产投资项目冲压模具维修区域起重机更新项目</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tabs>
          <w:tab w:val="left" w:pos="6073"/>
        </w:tabs>
        <w:rPr>
          <w:rFonts w:hint="eastAsia"/>
          <w:lang w:eastAsia="zh-CN"/>
        </w:rPr>
      </w:pPr>
      <w:r>
        <w:rPr>
          <w:rFonts w:hint="eastAsia"/>
          <w:lang w:eastAsia="zh-CN"/>
        </w:rPr>
        <w:tab/>
      </w:r>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highlight w:val="yellow"/>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rPr>
        <w:t>中国重汽集团济南商用车有限公司</w:t>
      </w:r>
    </w:p>
    <w:p>
      <w:pPr>
        <w:jc w:val="center"/>
        <w:rPr>
          <w:rFonts w:ascii="宋体" w:hAnsi="Calibri" w:eastAsia="宋体" w:cs="Times New Roman"/>
          <w:color w:val="000000"/>
          <w:sz w:val="28"/>
          <w:szCs w:val="28"/>
          <w:highlight w:val="yellow"/>
        </w:rPr>
      </w:pPr>
      <w:r>
        <w:rPr>
          <w:rFonts w:ascii="Calibri" w:hAnsi="Calibri" w:eastAsia="宋体" w:cs="Times New Roman"/>
          <w:color w:val="000000"/>
          <w:sz w:val="28"/>
          <w:szCs w:val="28"/>
          <w:highlight w:val="yellow"/>
        </w:rPr>
        <w:t>202</w:t>
      </w:r>
      <w:r>
        <w:rPr>
          <w:rFonts w:hint="eastAsia" w:ascii="Calibri" w:hAnsi="Calibri" w:eastAsia="宋体" w:cs="Times New Roman"/>
          <w:color w:val="000000"/>
          <w:sz w:val="28"/>
          <w:szCs w:val="28"/>
          <w:highlight w:val="yellow"/>
          <w:lang w:val="en-US" w:eastAsia="zh-CN"/>
        </w:rPr>
        <w:t>5</w:t>
      </w:r>
      <w:r>
        <w:rPr>
          <w:rFonts w:hint="eastAsia" w:ascii="宋体" w:hAnsi="宋体" w:eastAsia="宋体" w:cs="Times New Roman"/>
          <w:color w:val="000000"/>
          <w:sz w:val="28"/>
          <w:szCs w:val="28"/>
          <w:highlight w:val="yellow"/>
        </w:rPr>
        <w:t>年</w:t>
      </w:r>
      <w:r>
        <w:rPr>
          <w:rFonts w:ascii="Calibri" w:hAnsi="Calibri" w:eastAsia="宋体" w:cs="Times New Roman"/>
          <w:color w:val="000000"/>
          <w:sz w:val="28"/>
          <w:szCs w:val="28"/>
          <w:highlight w:val="yellow"/>
        </w:rPr>
        <w:t xml:space="preserve"> </w:t>
      </w:r>
      <w:r>
        <w:rPr>
          <w:rFonts w:hint="eastAsia" w:ascii="Calibri" w:hAnsi="Calibri" w:eastAsia="宋体" w:cs="Times New Roman"/>
          <w:color w:val="000000"/>
          <w:sz w:val="28"/>
          <w:szCs w:val="28"/>
          <w:highlight w:val="yellow"/>
          <w:lang w:val="en-US" w:eastAsia="zh-CN"/>
        </w:rPr>
        <w:t>10</w:t>
      </w:r>
      <w:r>
        <w:rPr>
          <w:rFonts w:hint="eastAsia" w:ascii="Calibri" w:hAnsi="Calibri" w:eastAsia="宋体" w:cs="Times New Roman"/>
          <w:color w:val="000000"/>
          <w:sz w:val="28"/>
          <w:szCs w:val="28"/>
          <w:highlight w:val="yellow"/>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kern w:val="44"/>
              <w:szCs w:val="44"/>
            </w:rPr>
            <w:fldChar w:fldCharType="end"/>
          </w:r>
        </w:p>
      </w:sdtContent>
    </w:sdt>
    <w:bookmarkEnd w:id="0"/>
    <w:bookmarkEnd w:id="1"/>
    <w:p>
      <w:pPr>
        <w:pStyle w:val="17"/>
        <w:numPr>
          <w:ilvl w:val="0"/>
          <w:numId w:val="1"/>
        </w:numPr>
        <w:jc w:val="center"/>
        <w:outlineLvl w:val="0"/>
        <w:rPr>
          <w:rFonts w:ascii="Calibri" w:hAnsi="Calibri" w:eastAsia="宋体" w:cs="Times New Roman"/>
          <w:b/>
          <w:bCs/>
          <w:kern w:val="44"/>
          <w:sz w:val="36"/>
          <w:szCs w:val="44"/>
        </w:rPr>
      </w:pPr>
      <w:bookmarkStart w:id="2" w:name="_Toc25915"/>
      <w:bookmarkStart w:id="3" w:name="_Toc11980"/>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4"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val="en-US" w:eastAsia="zh-CN"/>
              </w:rPr>
              <w:t>2025年固定资产投资项目冲压模具维修区域起重机更新项目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color w:val="FF0000"/>
                <w:sz w:val="24"/>
                <w:szCs w:val="24"/>
              </w:rPr>
              <w:t>采购形式编号：FSCZB2025100054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拆除冲压车间模具维修区域现有30T/5T起重机，更新为一台欧式40T/20T电动双梁起重机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20" w:firstLineChars="200"/>
              <w:rPr>
                <w:rFonts w:hint="eastAsia"/>
              </w:rPr>
            </w:pPr>
            <w:r>
              <w:rPr>
                <w:rFonts w:hint="eastAsia"/>
              </w:rPr>
              <w:t>招标人名称：中国重汽集团济南商用车有限公司</w:t>
            </w:r>
          </w:p>
          <w:p>
            <w:pPr>
              <w:ind w:firstLine="420" w:firstLineChars="200"/>
              <w:rPr>
                <w:rFonts w:hint="eastAsia"/>
              </w:rPr>
            </w:pPr>
            <w:r>
              <w:rPr>
                <w:rFonts w:hint="eastAsia"/>
              </w:rPr>
              <w:t>招标人地址：山东省章丘市圣井潘王路西重汽工业园5号门</w:t>
            </w:r>
          </w:p>
          <w:p>
            <w:pPr>
              <w:ind w:firstLine="420" w:firstLineChars="200"/>
              <w:rPr>
                <w:rFonts w:hint="eastAsia"/>
                <w:lang w:val="en-US" w:eastAsia="zh-CN"/>
              </w:rPr>
            </w:pPr>
            <w:r>
              <w:rPr>
                <w:rFonts w:hint="eastAsia"/>
                <w:lang w:val="en-US" w:eastAsia="zh-CN"/>
              </w:rPr>
              <w:t>商务</w:t>
            </w:r>
            <w:r>
              <w:rPr>
                <w:rFonts w:hint="eastAsia"/>
              </w:rPr>
              <w:t>联系人：</w:t>
            </w:r>
            <w:r>
              <w:rPr>
                <w:rFonts w:hint="eastAsia"/>
                <w:lang w:val="en-US" w:eastAsia="zh-CN"/>
              </w:rPr>
              <w:t>赵力</w:t>
            </w:r>
          </w:p>
          <w:p>
            <w:pPr>
              <w:ind w:firstLine="420" w:firstLineChars="200"/>
              <w:rPr>
                <w:rFonts w:hint="eastAsia"/>
                <w:lang w:val="en-US" w:eastAsia="zh-CN"/>
              </w:rPr>
            </w:pPr>
            <w:r>
              <w:rPr>
                <w:rFonts w:hint="eastAsia"/>
                <w:lang w:val="en-US" w:eastAsia="zh-CN"/>
              </w:rPr>
              <w:t>电话：</w:t>
            </w:r>
            <w:r>
              <w:rPr>
                <w:rFonts w:hint="eastAsia"/>
                <w:lang w:val="en-US" w:eastAsia="zh-CN"/>
              </w:rPr>
              <w:t>17860606595</w:t>
            </w:r>
          </w:p>
          <w:p>
            <w:pPr>
              <w:ind w:firstLine="420" w:firstLineChars="200"/>
              <w:rPr>
                <w:rFonts w:hint="default"/>
                <w:lang w:val="en-US" w:eastAsia="zh-CN"/>
              </w:rPr>
            </w:pPr>
            <w:r>
              <w:rPr>
                <w:rFonts w:hint="eastAsia"/>
                <w:lang w:val="en-US" w:eastAsia="zh-CN"/>
              </w:rPr>
              <w:t>邮箱：zhaoli@sinotruk.com</w:t>
            </w:r>
          </w:p>
          <w:p>
            <w:pPr>
              <w:ind w:firstLine="420" w:firstLineChars="200"/>
              <w:rPr>
                <w:rFonts w:hint="eastAsia"/>
                <w:lang w:val="en-US" w:eastAsia="zh-CN"/>
              </w:rPr>
            </w:pPr>
            <w:r>
              <w:rPr>
                <w:rFonts w:hint="eastAsia"/>
                <w:lang w:val="en-US" w:eastAsia="zh-CN"/>
              </w:rPr>
              <w:t>技术联系人：聂新钊</w:t>
            </w:r>
          </w:p>
          <w:p>
            <w:pPr>
              <w:ind w:firstLine="420" w:firstLineChars="200"/>
              <w:rPr>
                <w:rFonts w:hint="eastAsia"/>
                <w:lang w:val="en-US" w:eastAsia="zh-CN"/>
              </w:rPr>
            </w:pPr>
            <w:r>
              <w:rPr>
                <w:rFonts w:hint="eastAsia"/>
                <w:lang w:val="en-US" w:eastAsia="zh-CN"/>
              </w:rPr>
              <w:t>电话：18668974837</w:t>
            </w:r>
          </w:p>
          <w:p>
            <w:pPr>
              <w:ind w:firstLine="420" w:firstLineChars="200"/>
              <w:rPr>
                <w:rFonts w:hint="default"/>
                <w:lang w:val="en-US" w:eastAsia="zh-CN"/>
              </w:rPr>
            </w:pPr>
            <w:r>
              <w:rPr>
                <w:rFonts w:hint="eastAsia"/>
                <w:lang w:val="en-US" w:eastAsia="zh-CN"/>
              </w:rPr>
              <w:t>邮箱：niexinzhao@sinotruk.com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17"/>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FF0000"/>
                <w:sz w:val="24"/>
                <w:szCs w:val="24"/>
                <w:lang w:val="en-US" w:eastAsia="zh-CN"/>
              </w:rPr>
              <w:t>110</w:t>
            </w:r>
            <w:r>
              <w:rPr>
                <w:rFonts w:hint="eastAsia" w:ascii="宋体" w:hAnsi="宋体" w:eastAsia="宋体" w:cs="Times New Roman"/>
                <w:b/>
                <w:bCs/>
                <w:color w:val="FF0000"/>
                <w:kern w:val="2"/>
                <w:sz w:val="24"/>
                <w:szCs w:val="24"/>
                <w:lang w:val="en-US" w:eastAsia="zh-CN" w:bidi="ar-SA"/>
              </w:rPr>
              <w:t>万</w:t>
            </w:r>
            <w:r>
              <w:rPr>
                <w:rFonts w:hint="eastAsia" w:hAnsi="宋体" w:eastAsia="宋体" w:cs="Times New Roman"/>
                <w:color w:val="000000"/>
                <w:sz w:val="24"/>
                <w:szCs w:val="24"/>
              </w:rPr>
              <w:t>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lang w:eastAsia="zh-CN"/>
              </w:rPr>
              <w:t>标的额或</w:t>
            </w:r>
            <w:r>
              <w:rPr>
                <w:rFonts w:hint="eastAsia" w:hAnsi="宋体" w:eastAsia="宋体" w:cs="宋体"/>
                <w:b/>
                <w:bCs/>
                <w:color w:val="auto"/>
                <w:sz w:val="24"/>
                <w:szCs w:val="24"/>
                <w:u w:val="single"/>
                <w:lang w:val="en-US" w:eastAsia="zh-CN"/>
              </w:rPr>
              <w:t>5</w:t>
            </w:r>
            <w:r>
              <w:rPr>
                <w:rFonts w:hint="eastAsia" w:hAnsi="宋体" w:eastAsia="宋体" w:cs="宋体"/>
                <w:b/>
                <w:color w:val="auto"/>
                <w:sz w:val="24"/>
                <w:szCs w:val="24"/>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rPr>
              <w:t>202</w:t>
            </w:r>
            <w:r>
              <w:rPr>
                <w:rFonts w:hint="eastAsia" w:hAnsi="宋体" w:eastAsia="宋体" w:cs="宋体"/>
                <w:sz w:val="24"/>
                <w:szCs w:val="24"/>
                <w:lang w:val="en-US" w:eastAsia="zh-CN"/>
              </w:rPr>
              <w:t>2</w:t>
            </w:r>
            <w:r>
              <w:rPr>
                <w:rFonts w:hint="eastAsia" w:hAnsi="宋体" w:eastAsia="宋体" w:cs="宋体"/>
                <w:sz w:val="24"/>
                <w:szCs w:val="24"/>
              </w:rPr>
              <w:t>年1月1日至今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w:t>
            </w:r>
            <w:r>
              <w:rPr>
                <w:rFonts w:hint="eastAsia" w:hAnsi="宋体" w:eastAsia="宋体" w:cs="宋体"/>
                <w:sz w:val="24"/>
                <w:szCs w:val="24"/>
              </w:rPr>
              <w:t>或有相关项目经验，</w:t>
            </w:r>
            <w:r>
              <w:rPr>
                <w:rFonts w:hint="eastAsia" w:hAnsi="宋体" w:eastAsia="宋体" w:cs="宋体"/>
                <w:color w:val="000000"/>
                <w:sz w:val="24"/>
                <w:szCs w:val="24"/>
              </w:rPr>
              <w:t>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color w:val="FF0000"/>
                <w:sz w:val="24"/>
                <w:szCs w:val="24"/>
              </w:rPr>
              <w:t>发标时间：</w:t>
            </w:r>
            <w:r>
              <w:rPr>
                <w:rFonts w:hint="eastAsia" w:ascii="宋体" w:hAnsi="宋体" w:eastAsia="宋体" w:cs="宋体"/>
                <w:bCs/>
                <w:color w:val="FF0000"/>
                <w:sz w:val="24"/>
                <w:szCs w:val="24"/>
              </w:rPr>
              <w:t>202</w:t>
            </w:r>
            <w:r>
              <w:rPr>
                <w:rFonts w:hint="eastAsia" w:ascii="宋体" w:hAnsi="宋体" w:eastAsia="宋体" w:cs="宋体"/>
                <w:bCs/>
                <w:color w:val="FF0000"/>
                <w:sz w:val="24"/>
                <w:szCs w:val="24"/>
                <w:lang w:val="en-US" w:eastAsia="zh-CN"/>
              </w:rPr>
              <w:t>5</w:t>
            </w:r>
            <w:r>
              <w:rPr>
                <w:rFonts w:hint="eastAsia" w:ascii="宋体" w:hAnsi="宋体" w:eastAsia="宋体" w:cs="宋体"/>
                <w:bCs/>
                <w:color w:val="FF0000"/>
                <w:sz w:val="24"/>
                <w:szCs w:val="24"/>
              </w:rPr>
              <w:t>年</w:t>
            </w:r>
            <w:r>
              <w:rPr>
                <w:rFonts w:hint="eastAsia" w:ascii="宋体" w:hAnsi="宋体" w:eastAsia="宋体" w:cs="宋体"/>
                <w:bCs/>
                <w:color w:val="FF0000"/>
                <w:sz w:val="24"/>
                <w:szCs w:val="24"/>
                <w:u w:val="single"/>
                <w:lang w:val="en-US" w:eastAsia="zh-CN"/>
              </w:rPr>
              <w:t xml:space="preserve"> 10 </w:t>
            </w:r>
            <w:r>
              <w:rPr>
                <w:rFonts w:hint="eastAsia" w:ascii="宋体" w:hAnsi="宋体" w:eastAsia="宋体" w:cs="宋体"/>
                <w:bCs/>
                <w:color w:val="FF0000"/>
                <w:sz w:val="24"/>
                <w:szCs w:val="24"/>
              </w:rPr>
              <w:t>月</w:t>
            </w:r>
            <w:r>
              <w:rPr>
                <w:rFonts w:hint="eastAsia" w:ascii="宋体" w:hAnsi="宋体" w:eastAsia="宋体" w:cs="宋体"/>
                <w:bCs/>
                <w:color w:val="FF0000"/>
                <w:sz w:val="24"/>
                <w:szCs w:val="24"/>
                <w:u w:val="single"/>
                <w:lang w:val="en-US" w:eastAsia="zh-CN"/>
              </w:rPr>
              <w:t xml:space="preserve"> 20 </w:t>
            </w:r>
            <w:r>
              <w:rPr>
                <w:rFonts w:hint="eastAsia" w:ascii="宋体" w:hAnsi="宋体" w:eastAsia="宋体" w:cs="宋体"/>
                <w:bCs/>
                <w:color w:val="FF0000"/>
                <w:sz w:val="24"/>
                <w:szCs w:val="24"/>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color w:val="FF0000"/>
                <w:sz w:val="24"/>
                <w:szCs w:val="24"/>
              </w:rPr>
            </w:pPr>
            <w:r>
              <w:rPr>
                <w:rFonts w:hint="eastAsia" w:ascii="宋体" w:hAnsi="宋体" w:eastAsia="宋体" w:cs="宋体"/>
                <w:b/>
                <w:bCs/>
                <w:color w:val="FF0000"/>
                <w:sz w:val="24"/>
                <w:szCs w:val="24"/>
              </w:rPr>
              <w:t>提交疑问时间：</w:t>
            </w:r>
            <w:r>
              <w:rPr>
                <w:rFonts w:hint="eastAsia" w:ascii="宋体" w:hAnsi="宋体" w:eastAsia="宋体" w:cs="宋体"/>
                <w:bCs/>
                <w:color w:val="FF0000"/>
                <w:sz w:val="24"/>
                <w:szCs w:val="24"/>
              </w:rPr>
              <w:t>202</w:t>
            </w:r>
            <w:r>
              <w:rPr>
                <w:rFonts w:hint="eastAsia" w:ascii="宋体" w:hAnsi="宋体" w:eastAsia="宋体" w:cs="宋体"/>
                <w:bCs/>
                <w:color w:val="FF0000"/>
                <w:sz w:val="24"/>
                <w:szCs w:val="24"/>
                <w:lang w:val="en-US" w:eastAsia="zh-CN"/>
              </w:rPr>
              <w:t>5</w:t>
            </w:r>
            <w:r>
              <w:rPr>
                <w:rFonts w:hint="eastAsia" w:ascii="宋体" w:hAnsi="宋体" w:eastAsia="宋体" w:cs="宋体"/>
                <w:bCs/>
                <w:color w:val="FF0000"/>
                <w:sz w:val="24"/>
                <w:szCs w:val="24"/>
              </w:rPr>
              <w:t>年</w:t>
            </w:r>
            <w:r>
              <w:rPr>
                <w:rFonts w:hint="eastAsia" w:ascii="宋体" w:hAnsi="宋体" w:eastAsia="宋体" w:cs="宋体"/>
                <w:bCs/>
                <w:color w:val="FF0000"/>
                <w:sz w:val="24"/>
                <w:szCs w:val="24"/>
                <w:u w:val="single"/>
                <w:lang w:val="en-US" w:eastAsia="zh-CN"/>
              </w:rPr>
              <w:t xml:space="preserve"> 10 </w:t>
            </w:r>
            <w:r>
              <w:rPr>
                <w:rFonts w:hint="eastAsia" w:ascii="宋体" w:hAnsi="宋体" w:eastAsia="宋体" w:cs="宋体"/>
                <w:bCs/>
                <w:color w:val="FF0000"/>
                <w:sz w:val="24"/>
                <w:szCs w:val="24"/>
              </w:rPr>
              <w:t>月</w:t>
            </w:r>
            <w:r>
              <w:rPr>
                <w:rFonts w:hint="eastAsia" w:ascii="宋体" w:hAnsi="宋体" w:eastAsia="宋体" w:cs="宋体"/>
                <w:bCs/>
                <w:color w:val="FF0000"/>
                <w:sz w:val="24"/>
                <w:szCs w:val="24"/>
                <w:u w:val="single"/>
                <w:lang w:val="en-US" w:eastAsia="zh-CN"/>
              </w:rPr>
              <w:t xml:space="preserve"> 30 </w:t>
            </w:r>
            <w:r>
              <w:rPr>
                <w:rFonts w:hint="eastAsia" w:ascii="宋体" w:hAnsi="宋体" w:eastAsia="宋体" w:cs="宋体"/>
                <w:bCs/>
                <w:color w:val="FF0000"/>
                <w:sz w:val="24"/>
                <w:szCs w:val="24"/>
              </w:rPr>
              <w:t>日</w:t>
            </w:r>
            <w:r>
              <w:rPr>
                <w:rFonts w:hint="eastAsia" w:ascii="宋体" w:hAnsi="宋体" w:eastAsia="宋体" w:cs="宋体"/>
                <w:bCs/>
                <w:color w:val="FF0000"/>
                <w:sz w:val="24"/>
                <w:szCs w:val="24"/>
                <w:lang w:val="en-US" w:eastAsia="zh-CN"/>
              </w:rPr>
              <w:t>17</w:t>
            </w:r>
            <w:r>
              <w:rPr>
                <w:rFonts w:hint="eastAsia" w:ascii="宋体" w:hAnsi="宋体" w:eastAsia="宋体" w:cs="宋体"/>
                <w:bCs/>
                <w:color w:val="FF0000"/>
                <w:sz w:val="24"/>
                <w:szCs w:val="24"/>
              </w:rPr>
              <w:t>:00:00前；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color w:val="FF0000"/>
                <w:sz w:val="24"/>
                <w:szCs w:val="24"/>
              </w:rPr>
            </w:pPr>
            <w:r>
              <w:rPr>
                <w:rFonts w:hint="eastAsia" w:ascii="宋体" w:hAnsi="宋体" w:eastAsia="宋体" w:cs="宋体"/>
                <w:color w:val="FF0000"/>
                <w:sz w:val="24"/>
                <w:szCs w:val="24"/>
              </w:rPr>
              <w:t>领取答疑、澄清和修改文件时间：202</w:t>
            </w:r>
            <w:r>
              <w:rPr>
                <w:rFonts w:hint="eastAsia" w:ascii="宋体" w:hAnsi="宋体" w:eastAsia="宋体" w:cs="宋体"/>
                <w:color w:val="FF0000"/>
                <w:sz w:val="24"/>
                <w:szCs w:val="24"/>
                <w:lang w:val="en-US" w:eastAsia="zh-CN"/>
              </w:rPr>
              <w:t>5</w:t>
            </w:r>
            <w:r>
              <w:rPr>
                <w:rFonts w:hint="eastAsia" w:ascii="宋体" w:hAnsi="宋体" w:eastAsia="宋体" w:cs="宋体"/>
                <w:color w:val="FF0000"/>
                <w:sz w:val="24"/>
                <w:szCs w:val="24"/>
              </w:rPr>
              <w:t>年</w:t>
            </w:r>
            <w:r>
              <w:rPr>
                <w:rFonts w:hint="eastAsia" w:ascii="宋体" w:hAnsi="宋体" w:eastAsia="宋体" w:cs="宋体"/>
                <w:color w:val="FF0000"/>
                <w:sz w:val="24"/>
                <w:szCs w:val="24"/>
                <w:u w:val="single"/>
                <w:lang w:val="en-US" w:eastAsia="zh-CN"/>
              </w:rPr>
              <w:t xml:space="preserve"> 10 </w:t>
            </w:r>
            <w:r>
              <w:rPr>
                <w:rFonts w:hint="eastAsia" w:ascii="宋体" w:hAnsi="宋体" w:eastAsia="宋体" w:cs="宋体"/>
                <w:color w:val="FF0000"/>
                <w:sz w:val="24"/>
                <w:szCs w:val="24"/>
              </w:rPr>
              <w:t>月</w:t>
            </w:r>
            <w:r>
              <w:rPr>
                <w:rFonts w:hint="eastAsia" w:ascii="宋体" w:hAnsi="宋体" w:eastAsia="宋体" w:cs="宋体"/>
                <w:color w:val="FF0000"/>
                <w:sz w:val="24"/>
                <w:szCs w:val="24"/>
                <w:u w:val="single"/>
                <w:lang w:val="en-US" w:eastAsia="zh-CN"/>
              </w:rPr>
              <w:t xml:space="preserve"> 30 </w:t>
            </w:r>
            <w:r>
              <w:rPr>
                <w:rFonts w:hint="eastAsia" w:ascii="宋体" w:hAnsi="宋体" w:eastAsia="宋体" w:cs="宋体"/>
                <w:color w:val="FF0000"/>
                <w:sz w:val="24"/>
                <w:szCs w:val="24"/>
              </w:rPr>
              <w:t>日17:00</w:t>
            </w:r>
            <w:r>
              <w:rPr>
                <w:rFonts w:hint="eastAsia" w:ascii="宋体" w:hAnsi="宋体" w:eastAsia="宋体" w:cs="宋体"/>
                <w:bCs/>
                <w:color w:val="FF0000"/>
                <w:sz w:val="24"/>
                <w:szCs w:val="24"/>
              </w:rPr>
              <w:t>:00</w:t>
            </w:r>
            <w:r>
              <w:rPr>
                <w:rFonts w:hint="eastAsia" w:ascii="宋体" w:hAnsi="宋体" w:eastAsia="宋体" w:cs="宋体"/>
                <w:color w:val="FF0000"/>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w:t>
            </w:r>
            <w:r>
              <w:rPr>
                <w:rFonts w:hint="eastAsia" w:eastAsia="宋体" w:cs="Times New Roman"/>
                <w:b/>
                <w:bCs/>
                <w:lang w:eastAsia="zh-CN"/>
              </w:rPr>
              <w:t>附件16</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w:t>
            </w:r>
            <w:r>
              <w:rPr>
                <w:rFonts w:hint="eastAsia" w:eastAsia="宋体" w:cs="宋体"/>
                <w:b/>
                <w:lang w:eastAsia="zh-CN"/>
              </w:rPr>
              <w:t>附件17</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rPr>
            </w:pPr>
            <w:r>
              <w:rPr>
                <w:rFonts w:hint="eastAsia" w:eastAsia="宋体" w:cs="宋体"/>
                <w:b/>
                <w:bCs/>
                <w:color w:val="FF0000"/>
              </w:rPr>
              <w:t>应标截止时间：</w:t>
            </w:r>
            <w:r>
              <w:rPr>
                <w:rFonts w:hint="eastAsia" w:eastAsia="宋体" w:cs="宋体"/>
                <w:color w:val="FF0000"/>
              </w:rPr>
              <w:t>202</w:t>
            </w:r>
            <w:r>
              <w:rPr>
                <w:rFonts w:hint="eastAsia" w:eastAsia="宋体" w:cs="宋体"/>
                <w:color w:val="FF0000"/>
                <w:lang w:val="en-US" w:eastAsia="zh-CN"/>
              </w:rPr>
              <w:t>5</w:t>
            </w:r>
            <w:r>
              <w:rPr>
                <w:rFonts w:hint="eastAsia" w:eastAsia="宋体" w:cs="宋体"/>
                <w:color w:val="FF0000"/>
              </w:rPr>
              <w:t>年</w:t>
            </w:r>
            <w:r>
              <w:rPr>
                <w:rFonts w:hint="eastAsia" w:eastAsia="宋体" w:cs="宋体"/>
                <w:color w:val="FF0000"/>
                <w:u w:val="single"/>
                <w:lang w:val="en-US" w:eastAsia="zh-CN"/>
              </w:rPr>
              <w:t xml:space="preserve"> 10 </w:t>
            </w:r>
            <w:r>
              <w:rPr>
                <w:rFonts w:hint="eastAsia" w:eastAsia="宋体" w:cs="宋体"/>
                <w:color w:val="FF0000"/>
              </w:rPr>
              <w:t>月</w:t>
            </w:r>
            <w:r>
              <w:rPr>
                <w:rFonts w:hint="eastAsia" w:eastAsia="宋体" w:cs="宋体"/>
                <w:color w:val="FF0000"/>
                <w:u w:val="single"/>
                <w:lang w:val="en-US" w:eastAsia="zh-CN"/>
              </w:rPr>
              <w:t xml:space="preserve"> 25 </w:t>
            </w:r>
            <w:r>
              <w:rPr>
                <w:rFonts w:hint="eastAsia" w:eastAsia="宋体" w:cs="宋体"/>
                <w:color w:val="FF0000"/>
              </w:rPr>
              <w:t>日</w:t>
            </w:r>
            <w:r>
              <w:rPr>
                <w:rFonts w:hint="eastAsia" w:ascii="宋体" w:hAnsi="宋体" w:eastAsia="宋体" w:cs="宋体"/>
                <w:color w:val="FF0000"/>
                <w:sz w:val="24"/>
                <w:szCs w:val="24"/>
              </w:rPr>
              <w:t>17:00</w:t>
            </w:r>
            <w:r>
              <w:rPr>
                <w:rFonts w:hint="eastAsia" w:ascii="宋体" w:hAnsi="宋体" w:eastAsia="宋体" w:cs="宋体"/>
                <w:bCs/>
                <w:color w:val="FF0000"/>
                <w:sz w:val="24"/>
                <w:szCs w:val="24"/>
              </w:rPr>
              <w:t>:00</w:t>
            </w:r>
            <w:r>
              <w:rPr>
                <w:rFonts w:hint="eastAsia" w:ascii="宋体" w:hAnsi="宋体" w:eastAsia="宋体" w:cs="宋体"/>
                <w:color w:val="FF0000"/>
                <w:sz w:val="24"/>
                <w:szCs w:val="24"/>
              </w:rPr>
              <w:t>前</w:t>
            </w:r>
          </w:p>
          <w:p>
            <w:pPr>
              <w:pStyle w:val="112"/>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17"/>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17"/>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17"/>
              <w:ind w:firstLine="482" w:firstLineChars="200"/>
              <w:rPr>
                <w:rFonts w:hAnsi="宋体" w:eastAsia="宋体" w:cs="Times New Roman"/>
                <w:color w:val="FF0000"/>
                <w:sz w:val="24"/>
                <w:szCs w:val="24"/>
              </w:rPr>
            </w:pPr>
            <w:r>
              <w:rPr>
                <w:rFonts w:hint="eastAsia" w:eastAsia="宋体" w:cs="宋体" w:asciiTheme="minorHAnsi" w:hAnsiTheme="minorHAnsi"/>
                <w:b/>
                <w:color w:val="FF0000"/>
                <w:sz w:val="24"/>
                <w:szCs w:val="24"/>
              </w:rPr>
              <w:t>邮寄地址：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p>
          <w:p>
            <w:pPr>
              <w:ind w:firstLine="482" w:firstLineChars="200"/>
              <w:rPr>
                <w:rFonts w:hint="eastAsia" w:eastAsia="宋体" w:cs="宋体" w:asciiTheme="minorHAnsi" w:hAnsiTheme="minorHAnsi"/>
                <w:bCs/>
                <w:kern w:val="2"/>
                <w:sz w:val="24"/>
                <w:szCs w:val="24"/>
                <w:lang w:val="en-US" w:eastAsia="zh-CN" w:bidi="ar-SA"/>
              </w:rPr>
            </w:pPr>
            <w:r>
              <w:rPr>
                <w:rFonts w:hint="eastAsia" w:hAnsi="宋体" w:eastAsia="宋体" w:cs="Times New Roman"/>
                <w:b/>
                <w:bCs/>
                <w:color w:val="FF0000"/>
                <w:sz w:val="24"/>
                <w:szCs w:val="24"/>
              </w:rPr>
              <w:t>联系人及联系方式</w:t>
            </w:r>
            <w:r>
              <w:rPr>
                <w:rFonts w:hint="eastAsia" w:hAnsi="宋体" w:eastAsia="宋体" w:cs="Times New Roman"/>
                <w:b/>
                <w:bCs/>
                <w:color w:val="FF0000"/>
                <w:sz w:val="24"/>
                <w:szCs w:val="24"/>
                <w:lang w:eastAsia="zh-CN"/>
              </w:rPr>
              <w:t>：</w:t>
            </w:r>
            <w:r>
              <w:rPr>
                <w:rFonts w:hint="eastAsia" w:eastAsia="宋体" w:cs="宋体" w:asciiTheme="minorHAnsi" w:hAnsiTheme="minorHAnsi"/>
                <w:bCs/>
                <w:kern w:val="2"/>
                <w:sz w:val="24"/>
                <w:szCs w:val="24"/>
                <w:lang w:val="en-US" w:eastAsia="zh-CN" w:bidi="ar-SA"/>
              </w:rPr>
              <w:t>聂新钊（请联系技术负责人是否需要提供纸质文件）</w:t>
            </w:r>
          </w:p>
          <w:p>
            <w:pPr>
              <w:pStyle w:val="17"/>
              <w:rPr>
                <w:rFonts w:hint="eastAsia" w:hAnsi="宋体" w:eastAsia="宋体" w:cs="Times New Roman"/>
                <w:color w:val="000000"/>
                <w:sz w:val="24"/>
                <w:szCs w:val="24"/>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sz w:val="24"/>
                <w:szCs w:val="24"/>
              </w:rPr>
            </w:pPr>
            <w:r>
              <w:rPr>
                <w:rFonts w:hint="eastAsia" w:hAnsi="宋体" w:eastAsia="宋体" w:cs="宋体"/>
                <w:b/>
                <w:bCs/>
                <w:color w:val="FF0000"/>
                <w:sz w:val="24"/>
                <w:szCs w:val="24"/>
              </w:rPr>
              <w:t>投标文件递交截止时间：</w:t>
            </w:r>
            <w:r>
              <w:rPr>
                <w:rFonts w:hint="eastAsia" w:hAnsi="宋体" w:eastAsia="宋体" w:cs="宋体"/>
                <w:color w:val="FF0000"/>
                <w:sz w:val="24"/>
                <w:szCs w:val="24"/>
                <w:u w:val="single"/>
              </w:rPr>
              <w:t>202</w:t>
            </w:r>
            <w:r>
              <w:rPr>
                <w:rFonts w:hint="eastAsia" w:hAnsi="宋体" w:eastAsia="宋体" w:cs="宋体"/>
                <w:color w:val="FF0000"/>
                <w:sz w:val="24"/>
                <w:szCs w:val="24"/>
                <w:u w:val="single"/>
                <w:lang w:val="en-US" w:eastAsia="zh-CN"/>
              </w:rPr>
              <w:t>5</w:t>
            </w:r>
            <w:r>
              <w:rPr>
                <w:rFonts w:hint="eastAsia" w:hAnsi="宋体" w:eastAsia="宋体" w:cs="宋体"/>
                <w:color w:val="FF0000"/>
                <w:sz w:val="24"/>
                <w:szCs w:val="24"/>
              </w:rPr>
              <w:t>年</w:t>
            </w:r>
            <w:r>
              <w:rPr>
                <w:rFonts w:hint="eastAsia" w:hAnsi="宋体" w:eastAsia="宋体" w:cs="宋体"/>
                <w:color w:val="FF0000"/>
                <w:sz w:val="24"/>
                <w:szCs w:val="24"/>
                <w:u w:val="single"/>
                <w:lang w:val="en-US" w:eastAsia="zh-CN"/>
              </w:rPr>
              <w:t xml:space="preserve"> 11 </w:t>
            </w:r>
            <w:r>
              <w:rPr>
                <w:rFonts w:hint="eastAsia" w:hAnsi="宋体" w:eastAsia="宋体" w:cs="宋体"/>
                <w:color w:val="FF0000"/>
                <w:sz w:val="24"/>
                <w:szCs w:val="24"/>
              </w:rPr>
              <w:t>月</w:t>
            </w:r>
            <w:r>
              <w:rPr>
                <w:rFonts w:hint="eastAsia" w:hAnsi="宋体" w:eastAsia="宋体" w:cs="宋体"/>
                <w:color w:val="FF0000"/>
                <w:sz w:val="24"/>
                <w:szCs w:val="24"/>
                <w:u w:val="single"/>
                <w:lang w:val="en-US" w:eastAsia="zh-CN"/>
              </w:rPr>
              <w:t xml:space="preserve"> 15 </w:t>
            </w:r>
            <w:r>
              <w:rPr>
                <w:rFonts w:hint="eastAsia" w:hAnsi="宋体" w:eastAsia="宋体" w:cs="宋体"/>
                <w:color w:val="FF0000"/>
                <w:sz w:val="24"/>
                <w:szCs w:val="24"/>
              </w:rPr>
              <w:t>日</w:t>
            </w:r>
            <w:r>
              <w:rPr>
                <w:rFonts w:hint="eastAsia" w:hAnsi="宋体" w:eastAsia="宋体" w:cs="宋体"/>
                <w:color w:val="FF0000"/>
                <w:sz w:val="24"/>
                <w:szCs w:val="24"/>
                <w:lang w:val="en-US" w:eastAsia="zh-CN"/>
              </w:rPr>
              <w:t>下</w:t>
            </w:r>
            <w:r>
              <w:rPr>
                <w:rFonts w:hint="eastAsia" w:hAnsi="宋体" w:eastAsia="宋体" w:cs="宋体"/>
                <w:color w:val="FF0000"/>
                <w:kern w:val="0"/>
                <w:sz w:val="24"/>
                <w:szCs w:val="24"/>
              </w:rPr>
              <w:t>午</w:t>
            </w:r>
            <w:r>
              <w:rPr>
                <w:rFonts w:hint="eastAsia" w:hAnsi="宋体" w:eastAsia="宋体" w:cs="宋体"/>
                <w:color w:val="FF0000"/>
                <w:kern w:val="0"/>
                <w:sz w:val="24"/>
                <w:szCs w:val="24"/>
                <w:lang w:val="en-US" w:eastAsia="zh-CN"/>
              </w:rPr>
              <w:t>17</w:t>
            </w:r>
            <w:r>
              <w:rPr>
                <w:rFonts w:hint="eastAsia" w:hAnsi="宋体" w:eastAsia="宋体" w:cs="宋体"/>
                <w:color w:val="FF0000"/>
                <w:sz w:val="24"/>
                <w:szCs w:val="24"/>
              </w:rPr>
              <w:t>:00:00（北京时间）</w:t>
            </w:r>
          </w:p>
          <w:p>
            <w:pPr>
              <w:pStyle w:val="17"/>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color w:val="FF0000"/>
                <w:sz w:val="24"/>
                <w:szCs w:val="24"/>
              </w:rPr>
            </w:pPr>
            <w:r>
              <w:rPr>
                <w:rFonts w:hint="eastAsia" w:ascii="宋体" w:hAnsi="宋体" w:eastAsia="宋体" w:cs="宋体"/>
                <w:b/>
                <w:bCs/>
                <w:color w:val="FF0000"/>
                <w:sz w:val="24"/>
                <w:szCs w:val="24"/>
              </w:rPr>
              <w:t>投标保证金的金额：</w:t>
            </w:r>
            <w:r>
              <w:rPr>
                <w:rFonts w:hint="eastAsia" w:ascii="宋体" w:hAnsi="宋体" w:eastAsia="宋体" w:cs="宋体"/>
                <w:color w:val="FF0000"/>
                <w:sz w:val="24"/>
                <w:szCs w:val="24"/>
              </w:rPr>
              <w:t>人民币</w:t>
            </w:r>
            <w:r>
              <w:rPr>
                <w:rFonts w:hint="eastAsia" w:ascii="宋体" w:hAnsi="宋体" w:eastAsia="宋体" w:cs="宋体"/>
                <w:color w:val="FF0000"/>
                <w:sz w:val="24"/>
                <w:szCs w:val="24"/>
                <w:lang w:val="en-US" w:eastAsia="zh-CN"/>
              </w:rPr>
              <w:t>20</w:t>
            </w:r>
            <w:r>
              <w:rPr>
                <w:rFonts w:hint="eastAsia" w:ascii="宋体" w:hAnsi="宋体" w:eastAsia="宋体" w:cs="宋体"/>
                <w:color w:val="FF0000"/>
                <w:sz w:val="24"/>
                <w:szCs w:val="24"/>
              </w:rPr>
              <w:t>000元</w:t>
            </w:r>
          </w:p>
          <w:p>
            <w:pPr>
              <w:ind w:firstLine="482" w:firstLineChars="200"/>
              <w:rPr>
                <w:rFonts w:hint="eastAsia" w:ascii="宋体" w:hAnsi="宋体" w:eastAsia="宋体" w:cs="宋体"/>
                <w:b/>
                <w:bCs/>
                <w:color w:val="FF0000"/>
                <w:kern w:val="0"/>
                <w:sz w:val="24"/>
                <w:szCs w:val="24"/>
              </w:rPr>
            </w:pPr>
            <w:r>
              <w:rPr>
                <w:rFonts w:hint="eastAsia" w:ascii="宋体" w:hAnsi="宋体" w:eastAsia="宋体" w:cs="宋体"/>
                <w:b/>
                <w:bCs/>
                <w:color w:val="FF0000"/>
                <w:kern w:val="0"/>
                <w:sz w:val="24"/>
                <w:szCs w:val="24"/>
              </w:rPr>
              <w:t>开户银行:中国建设银行济南市天桥区支行</w:t>
            </w:r>
          </w:p>
          <w:p>
            <w:pPr>
              <w:ind w:firstLine="482" w:firstLineChars="200"/>
              <w:rPr>
                <w:rFonts w:hint="eastAsia" w:ascii="宋体" w:hAnsi="宋体" w:eastAsia="宋体" w:cs="宋体"/>
                <w:b/>
                <w:bCs/>
                <w:color w:val="FF0000"/>
                <w:kern w:val="0"/>
                <w:sz w:val="24"/>
                <w:szCs w:val="24"/>
              </w:rPr>
            </w:pPr>
            <w:r>
              <w:rPr>
                <w:rFonts w:hint="eastAsia" w:ascii="宋体" w:hAnsi="宋体" w:eastAsia="宋体" w:cs="宋体"/>
                <w:b/>
                <w:bCs/>
                <w:color w:val="FF0000"/>
                <w:kern w:val="0"/>
                <w:sz w:val="24"/>
                <w:szCs w:val="24"/>
              </w:rPr>
              <w:t>户名:中国重汽集团济南动力有限公司</w:t>
            </w:r>
          </w:p>
          <w:p>
            <w:pPr>
              <w:ind w:firstLine="482" w:firstLineChars="200"/>
              <w:rPr>
                <w:rFonts w:hint="eastAsia" w:ascii="宋体" w:hAnsi="宋体" w:eastAsia="宋体" w:cs="宋体"/>
                <w:b/>
                <w:bCs/>
                <w:color w:val="FF0000"/>
                <w:kern w:val="0"/>
                <w:sz w:val="24"/>
                <w:szCs w:val="24"/>
              </w:rPr>
            </w:pPr>
            <w:r>
              <w:rPr>
                <w:rFonts w:hint="eastAsia" w:ascii="宋体" w:hAnsi="宋体" w:eastAsia="宋体" w:cs="宋体"/>
                <w:b/>
                <w:bCs/>
                <w:color w:val="FF0000"/>
                <w:kern w:val="0"/>
                <w:sz w:val="24"/>
                <w:szCs w:val="24"/>
              </w:rPr>
              <w:t>账号:37001616508050150300</w:t>
            </w:r>
          </w:p>
          <w:p>
            <w:pPr>
              <w:ind w:firstLine="482" w:firstLineChars="200"/>
              <w:rPr>
                <w:rFonts w:hint="eastAsia" w:ascii="宋体" w:hAnsi="宋体" w:eastAsia="宋体" w:cs="宋体"/>
                <w:b/>
                <w:bCs/>
                <w:color w:val="FF0000"/>
                <w:kern w:val="0"/>
                <w:sz w:val="24"/>
                <w:szCs w:val="24"/>
              </w:rPr>
            </w:pPr>
            <w:r>
              <w:rPr>
                <w:rFonts w:hint="eastAsia" w:ascii="宋体" w:hAnsi="宋体" w:eastAsia="宋体" w:cs="宋体"/>
                <w:b/>
                <w:bCs/>
                <w:color w:val="FF0000"/>
                <w:kern w:val="0"/>
                <w:sz w:val="24"/>
                <w:szCs w:val="24"/>
              </w:rPr>
              <w:t>开户行行号:105451000362</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pPr>
              <w:ind w:firstLine="480" w:firstLineChars="200"/>
              <w:rPr>
                <w:rFonts w:ascii="宋体" w:hAnsi="宋体" w:eastAsia="宋体" w:cs="宋体"/>
                <w:sz w:val="24"/>
                <w:szCs w:val="24"/>
              </w:rPr>
            </w:pPr>
            <w:r>
              <w:rPr>
                <w:rFonts w:hint="eastAsia" w:eastAsia="宋体" w:cs="Times New Roman"/>
                <w:color w:val="auto"/>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ascii="宋体" w:hAnsi="宋体" w:cs="宋体"/>
                <w:sz w:val="24"/>
                <w:szCs w:val="24"/>
              </w:rPr>
            </w:pPr>
            <w:r>
              <w:rPr>
                <w:rFonts w:hint="eastAsia" w:ascii="宋体" w:hAnsi="宋体" w:cs="宋体"/>
                <w:b/>
                <w:bCs/>
                <w:color w:val="FF0000"/>
                <w:sz w:val="24"/>
                <w:szCs w:val="24"/>
              </w:rPr>
              <w:t>保证金缴纳截止时间：</w:t>
            </w:r>
            <w:r>
              <w:rPr>
                <w:rFonts w:hint="eastAsia" w:ascii="宋体" w:hAnsi="宋体" w:cs="宋体"/>
                <w:color w:val="FF0000"/>
                <w:sz w:val="24"/>
                <w:szCs w:val="24"/>
              </w:rPr>
              <w:t>20</w:t>
            </w:r>
            <w:r>
              <w:rPr>
                <w:rFonts w:ascii="宋体" w:hAnsi="宋体" w:cs="宋体"/>
                <w:color w:val="FF0000"/>
                <w:sz w:val="24"/>
                <w:szCs w:val="24"/>
              </w:rPr>
              <w:t>2</w:t>
            </w:r>
            <w:r>
              <w:rPr>
                <w:rFonts w:hint="eastAsia" w:ascii="宋体" w:hAnsi="宋体" w:cs="宋体"/>
                <w:color w:val="FF0000"/>
                <w:sz w:val="24"/>
                <w:szCs w:val="24"/>
                <w:lang w:val="en-US" w:eastAsia="zh-CN"/>
              </w:rPr>
              <w:t>5</w:t>
            </w:r>
            <w:r>
              <w:rPr>
                <w:rFonts w:hint="eastAsia" w:ascii="宋体" w:hAnsi="宋体" w:cs="宋体"/>
                <w:color w:val="FF0000"/>
                <w:sz w:val="24"/>
                <w:szCs w:val="24"/>
              </w:rPr>
              <w:t>年</w:t>
            </w:r>
            <w:r>
              <w:rPr>
                <w:rFonts w:hint="eastAsia" w:ascii="宋体" w:hAnsi="宋体" w:cs="宋体"/>
                <w:color w:val="FF0000"/>
                <w:sz w:val="24"/>
                <w:szCs w:val="24"/>
                <w:lang w:val="en-US" w:eastAsia="zh-CN"/>
              </w:rPr>
              <w:t xml:space="preserve"> 11 </w:t>
            </w:r>
            <w:r>
              <w:rPr>
                <w:rFonts w:hint="eastAsia" w:ascii="宋体" w:hAnsi="宋体" w:cs="宋体"/>
                <w:color w:val="FF0000"/>
                <w:sz w:val="24"/>
                <w:szCs w:val="24"/>
              </w:rPr>
              <w:t>月</w:t>
            </w:r>
            <w:r>
              <w:rPr>
                <w:rFonts w:hint="eastAsia" w:ascii="宋体" w:hAnsi="宋体" w:cs="宋体"/>
                <w:color w:val="FF0000"/>
                <w:sz w:val="24"/>
                <w:szCs w:val="24"/>
                <w:lang w:val="en-US" w:eastAsia="zh-CN"/>
              </w:rPr>
              <w:t xml:space="preserve"> 15 </w:t>
            </w:r>
            <w:r>
              <w:rPr>
                <w:rFonts w:hint="eastAsia" w:ascii="宋体" w:hAnsi="宋体" w:cs="宋体"/>
                <w:color w:val="FF0000"/>
                <w:sz w:val="24"/>
                <w:szCs w:val="24"/>
              </w:rPr>
              <w:t>日1</w:t>
            </w:r>
            <w:r>
              <w:rPr>
                <w:rFonts w:hint="eastAsia" w:ascii="宋体" w:hAnsi="宋体" w:cs="宋体"/>
                <w:color w:val="FF0000"/>
                <w:sz w:val="24"/>
                <w:szCs w:val="24"/>
                <w:lang w:val="en-US" w:eastAsia="zh-CN"/>
              </w:rPr>
              <w:t>7</w:t>
            </w:r>
            <w:r>
              <w:rPr>
                <w:rFonts w:hint="eastAsia" w:ascii="宋体" w:hAnsi="宋体" w:cs="宋体"/>
                <w:color w:val="FF0000"/>
                <w:sz w:val="24"/>
                <w:szCs w:val="24"/>
              </w:rPr>
              <w:t>:</w:t>
            </w:r>
            <w:r>
              <w:rPr>
                <w:rFonts w:ascii="宋体" w:hAnsi="宋体" w:cs="宋体"/>
                <w:color w:val="FF0000"/>
                <w:sz w:val="24"/>
                <w:szCs w:val="24"/>
              </w:rPr>
              <w:t>0</w:t>
            </w:r>
            <w:r>
              <w:rPr>
                <w:rFonts w:hint="eastAsia" w:ascii="宋体" w:hAnsi="宋体" w:cs="宋体"/>
                <w:color w:val="FF0000"/>
                <w:sz w:val="24"/>
                <w:szCs w:val="24"/>
              </w:rPr>
              <w:t>0:00前（同应标截止时间）</w:t>
            </w:r>
          </w:p>
          <w:p>
            <w:pPr>
              <w:pStyle w:val="35"/>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FF0000"/>
                <w:sz w:val="24"/>
                <w:szCs w:val="24"/>
              </w:rPr>
            </w:pPr>
            <w:r>
              <w:rPr>
                <w:rFonts w:hint="eastAsia" w:ascii="宋体" w:hAnsi="宋体" w:eastAsia="宋体" w:cs="宋体"/>
                <w:b/>
                <w:bCs/>
                <w:color w:val="FF0000"/>
                <w:sz w:val="24"/>
                <w:szCs w:val="24"/>
              </w:rPr>
              <w:t>开标时间：</w:t>
            </w:r>
            <w:r>
              <w:rPr>
                <w:rFonts w:hint="eastAsia" w:ascii="宋体" w:hAnsi="宋体" w:cs="宋体"/>
                <w:color w:val="FF0000"/>
                <w:sz w:val="24"/>
                <w:szCs w:val="24"/>
              </w:rPr>
              <w:t>20</w:t>
            </w:r>
            <w:r>
              <w:rPr>
                <w:rFonts w:ascii="宋体" w:hAnsi="宋体" w:cs="宋体"/>
                <w:color w:val="FF0000"/>
                <w:sz w:val="24"/>
                <w:szCs w:val="24"/>
              </w:rPr>
              <w:t>2</w:t>
            </w:r>
            <w:r>
              <w:rPr>
                <w:rFonts w:hint="eastAsia" w:ascii="宋体" w:hAnsi="宋体" w:cs="宋体"/>
                <w:color w:val="FF0000"/>
                <w:sz w:val="24"/>
                <w:szCs w:val="24"/>
                <w:lang w:val="en-US" w:eastAsia="zh-CN"/>
              </w:rPr>
              <w:t>5</w:t>
            </w:r>
            <w:r>
              <w:rPr>
                <w:rFonts w:hint="eastAsia" w:ascii="宋体" w:hAnsi="宋体" w:cs="宋体"/>
                <w:color w:val="FF0000"/>
                <w:sz w:val="24"/>
                <w:szCs w:val="24"/>
              </w:rPr>
              <w:t>年</w:t>
            </w:r>
            <w:r>
              <w:rPr>
                <w:rFonts w:hint="eastAsia" w:ascii="宋体" w:hAnsi="宋体" w:cs="宋体"/>
                <w:color w:val="FF0000"/>
                <w:sz w:val="24"/>
                <w:szCs w:val="24"/>
                <w:lang w:val="en-US" w:eastAsia="zh-CN"/>
              </w:rPr>
              <w:t xml:space="preserve"> 11</w:t>
            </w:r>
            <w:r>
              <w:rPr>
                <w:rFonts w:hint="eastAsia" w:ascii="宋体" w:hAnsi="宋体" w:cs="宋体"/>
                <w:color w:val="FF0000"/>
                <w:sz w:val="24"/>
                <w:szCs w:val="24"/>
              </w:rPr>
              <w:t>月</w:t>
            </w:r>
            <w:r>
              <w:rPr>
                <w:rFonts w:hint="eastAsia" w:ascii="宋体" w:hAnsi="宋体" w:cs="宋体"/>
                <w:color w:val="FF0000"/>
                <w:sz w:val="24"/>
                <w:szCs w:val="24"/>
                <w:lang w:val="en-US" w:eastAsia="zh-CN"/>
              </w:rPr>
              <w:t xml:space="preserve">16 </w:t>
            </w:r>
            <w:r>
              <w:rPr>
                <w:rFonts w:hint="eastAsia" w:ascii="宋体" w:hAnsi="宋体" w:cs="宋体"/>
                <w:color w:val="FF0000"/>
                <w:sz w:val="24"/>
                <w:szCs w:val="24"/>
              </w:rPr>
              <w:t>日</w:t>
            </w:r>
            <w:r>
              <w:rPr>
                <w:rFonts w:hint="eastAsia" w:ascii="宋体" w:hAnsi="宋体" w:cs="宋体"/>
                <w:color w:val="FF0000"/>
                <w:sz w:val="24"/>
                <w:szCs w:val="24"/>
                <w:lang w:val="en-US" w:eastAsia="zh-CN"/>
              </w:rPr>
              <w:t>9</w:t>
            </w:r>
            <w:r>
              <w:rPr>
                <w:rFonts w:hint="eastAsia" w:ascii="宋体" w:hAnsi="宋体" w:cs="宋体"/>
                <w:color w:val="FF0000"/>
                <w:sz w:val="24"/>
                <w:szCs w:val="24"/>
              </w:rPr>
              <w:t>:</w:t>
            </w:r>
            <w:r>
              <w:rPr>
                <w:rFonts w:ascii="宋体" w:hAnsi="宋体" w:cs="宋体"/>
                <w:color w:val="FF0000"/>
                <w:sz w:val="24"/>
                <w:szCs w:val="24"/>
              </w:rPr>
              <w:t>0</w:t>
            </w:r>
            <w:r>
              <w:rPr>
                <w:rFonts w:hint="eastAsia" w:ascii="宋体" w:hAnsi="宋体" w:cs="宋体"/>
                <w:color w:val="FF0000"/>
                <w:sz w:val="24"/>
                <w:szCs w:val="24"/>
              </w:rPr>
              <w:t>0:00</w:t>
            </w:r>
          </w:p>
          <w:p>
            <w:pPr>
              <w:ind w:firstLine="482" w:firstLineChars="200"/>
              <w:rPr>
                <w:rFonts w:hint="default" w:ascii="宋体" w:hAnsi="宋体" w:eastAsia="宋体" w:cs="宋体"/>
                <w:sz w:val="24"/>
                <w:szCs w:val="24"/>
                <w:lang w:val="en-US" w:eastAsia="zh-CN"/>
              </w:rPr>
            </w:pPr>
            <w:r>
              <w:rPr>
                <w:rFonts w:hint="eastAsia" w:ascii="宋体" w:hAnsi="宋体" w:eastAsia="宋体" w:cs="宋体"/>
                <w:b/>
                <w:bCs/>
                <w:color w:val="FF0000"/>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w:t>
            </w:r>
            <w:r>
              <w:rPr>
                <w:rFonts w:hint="eastAsia" w:ascii="宋体" w:hAnsi="宋体" w:eastAsia="宋体" w:cs="宋体"/>
                <w:sz w:val="24"/>
                <w:szCs w:val="24"/>
                <w:highlight w:val="yellow"/>
                <w:lang w:val="en-US" w:eastAsia="zh-CN"/>
              </w:rPr>
              <w:t>重汽科技大厦3楼会议室（具体时间地点另行通知）</w:t>
            </w:r>
            <w:bookmarkStart w:id="195" w:name="_GoBack"/>
            <w:bookmarkEnd w:id="195"/>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评标方法：资质标审核→唱标→技术标评审→商务标评审。技术标入围后，原则上合理最低价中标</w:t>
            </w:r>
            <w:r>
              <w:rPr>
                <w:rFonts w:hint="eastAsia" w:ascii="宋体" w:hAnsi="宋体" w:eastAsia="宋体" w:cs="宋体"/>
                <w:b/>
                <w:sz w:val="24"/>
                <w:szCs w:val="24"/>
              </w:rPr>
              <w:t>。</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个日历日之内交货至供货地点。</w:t>
            </w:r>
          </w:p>
          <w:p>
            <w:pPr>
              <w:ind w:firstLine="480" w:firstLineChars="200"/>
              <w:rPr>
                <w:rFonts w:hAnsi="宋体" w:eastAsia="宋体" w:cs="宋体"/>
                <w:color w:val="000000"/>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w:t>
            </w:r>
            <w:r>
              <w:rPr>
                <w:rFonts w:hint="eastAsia" w:ascii="宋体" w:hAnsi="宋体" w:eastAsia="宋体" w:cs="宋体"/>
                <w:sz w:val="24"/>
                <w:szCs w:val="24"/>
              </w:rPr>
              <w:t>0个日历日的，投标人应当随标书提供详细的工期计划</w:t>
            </w:r>
            <w:r>
              <w:rPr>
                <w:rFonts w:hint="eastAsia" w:ascii="宋体" w:hAnsi="宋体" w:eastAsia="宋体" w:cs="宋体"/>
                <w:color w:val="FF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360" w:lineRule="auto"/>
              <w:ind w:firstLine="482" w:firstLineChars="200"/>
              <w:outlineLvl w:val="3"/>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kern w:val="2"/>
                <w:sz w:val="24"/>
                <w:szCs w:val="24"/>
                <w:highlight w:val="none"/>
                <w:lang w:val="en-US" w:eastAsia="zh-CN" w:bidi="ar-SA"/>
              </w:rPr>
              <w:t xml:space="preserve">济南商用车有限公司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00"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pStyle w:val="35"/>
              <w:adjustRightInd w:val="0"/>
              <w:spacing w:after="0" w:line="240" w:lineRule="auto"/>
              <w:ind w:firstLine="0" w:firstLineChars="0"/>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A.设备全部到货经检验无问题后，中标人提交金额为合同价款30%的收据并提供合同价款30%的增值税专用发票（含复印件二份），经招标人依照财务制度审核通过后30日支付；</w:t>
            </w:r>
          </w:p>
          <w:p>
            <w:pPr>
              <w:pStyle w:val="35"/>
              <w:adjustRightInd w:val="0"/>
              <w:spacing w:after="0" w:line="240" w:lineRule="auto"/>
              <w:ind w:firstLine="0" w:firstLineChars="0"/>
              <w:rPr>
                <w:rFonts w:hint="eastAsia" w:ascii="宋体" w:hAnsi="宋体" w:cs="宋体"/>
                <w:sz w:val="24"/>
                <w:szCs w:val="24"/>
              </w:rPr>
            </w:pPr>
            <w:r>
              <w:rPr>
                <w:rFonts w:hint="eastAsia" w:ascii="宋体" w:hAnsi="宋体" w:cs="宋体"/>
                <w:sz w:val="24"/>
                <w:szCs w:val="24"/>
              </w:rPr>
              <w:t xml:space="preserve">    B.设备终验收合格后，中标人提交金额为合同价款60%的收据并提供合同价款70%的增值税专用发票（含复印件二份），经招标人依照财务制度审核通过后30日支付；</w:t>
            </w:r>
          </w:p>
          <w:p>
            <w:pPr>
              <w:pStyle w:val="35"/>
              <w:adjustRightInd w:val="0"/>
              <w:spacing w:after="0" w:line="240" w:lineRule="auto"/>
              <w:ind w:firstLine="0" w:firstLineChars="0"/>
              <w:rPr>
                <w:rFonts w:ascii="宋体" w:hAnsi="宋体" w:cs="宋体"/>
                <w:sz w:val="24"/>
                <w:szCs w:val="24"/>
              </w:rPr>
            </w:pPr>
            <w:r>
              <w:rPr>
                <w:rFonts w:hint="eastAsia" w:ascii="宋体" w:hAnsi="宋体" w:cs="宋体"/>
                <w:sz w:val="24"/>
                <w:szCs w:val="24"/>
              </w:rPr>
              <w:t xml:space="preserve">    C.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p>
            <w:pPr>
              <w:ind w:firstLine="480" w:firstLineChars="200"/>
              <w:rPr>
                <w:rFonts w:hint="eastAsia" w:ascii="宋体" w:hAnsi="Courier New" w:eastAsia="宋体" w:cs="Times New Roman"/>
                <w:color w:val="000000"/>
                <w:sz w:val="24"/>
                <w:szCs w:val="24"/>
                <w:highlight w:val="none"/>
                <w:lang w:eastAsia="zh-CN"/>
              </w:rPr>
            </w:pPr>
            <w:r>
              <w:rPr>
                <w:rFonts w:hint="eastAsia" w:ascii="宋体" w:hAnsi="宋体" w:eastAsia="宋体" w:cs="宋体"/>
                <w:sz w:val="24"/>
                <w:szCs w:val="24"/>
                <w:highlight w:val="yellow"/>
                <w:lang w:val="en-US" w:eastAsia="zh-CN"/>
              </w:rPr>
              <w:t>*注：付款方式及付款比例原则上不允许偏离。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cs="宋体"/>
                <w:bCs/>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4"/>
    </w:tbl>
    <w:p>
      <w:pPr>
        <w:rPr>
          <w:rFonts w:hint="eastAsia"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br w:type="page"/>
      </w:r>
    </w:p>
    <w:p>
      <w:pPr>
        <w:pStyle w:val="17"/>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5"/>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rPr>
        <w:t>见《投标须知前附表》。</w:t>
      </w:r>
    </w:p>
    <w:bookmarkEnd w:id="6"/>
    <w:p>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lang w:eastAsia="zh-CN"/>
        </w:rPr>
        <w:t>附件16</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lang w:eastAsia="zh-CN"/>
        </w:rPr>
        <w:t>附件17</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pPr>
        <w:pStyle w:val="17"/>
        <w:spacing w:line="360" w:lineRule="auto"/>
        <w:rPr>
          <w:rFonts w:hAnsi="宋体" w:eastAsia="宋体" w:cs="宋体"/>
          <w:color w:val="000000"/>
          <w:sz w:val="24"/>
          <w:szCs w:val="24"/>
        </w:rPr>
      </w:pPr>
      <w:r>
        <w:rPr>
          <w:rFonts w:hint="eastAsia" w:hAnsi="宋体" w:eastAsia="宋体" w:cs="宋体"/>
          <w:color w:val="000000"/>
          <w:sz w:val="24"/>
          <w:szCs w:val="24"/>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2"/>
        <w:ind w:firstLine="480"/>
        <w:rPr>
          <w:rFonts w:eastAsia="宋体" w:cs="宋体"/>
        </w:rPr>
      </w:pPr>
      <w:r>
        <w:rPr>
          <w:rFonts w:hint="eastAsia" w:eastAsia="宋体" w:cs="宋体"/>
        </w:rPr>
        <w:t>4.2招标人银行账户信息如下：见《投标须知前附表》4.2。</w:t>
      </w:r>
    </w:p>
    <w:p>
      <w:pPr>
        <w:pStyle w:val="112"/>
        <w:ind w:firstLine="480"/>
        <w:rPr>
          <w:rFonts w:eastAsia="宋体" w:cs="宋体"/>
        </w:rPr>
      </w:pPr>
      <w:r>
        <w:rPr>
          <w:rFonts w:hint="eastAsia" w:eastAsia="宋体" w:cs="宋体"/>
        </w:rPr>
        <w:t>转账附言：公司名称+项目名称+投标保证金；</w:t>
      </w:r>
    </w:p>
    <w:p>
      <w:pPr>
        <w:pStyle w:val="112"/>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2"/>
        <w:ind w:firstLine="480"/>
        <w:rPr>
          <w:rFonts w:eastAsia="宋体" w:cs="宋体"/>
        </w:rPr>
      </w:pPr>
      <w:r>
        <w:rPr>
          <w:rFonts w:hint="eastAsia" w:eastAsia="宋体" w:cs="宋体"/>
        </w:rPr>
        <w:t>4.3说明</w:t>
      </w:r>
    </w:p>
    <w:p>
      <w:pPr>
        <w:pStyle w:val="112"/>
        <w:ind w:firstLine="480"/>
        <w:rPr>
          <w:rFonts w:eastAsia="宋体" w:cs="宋体"/>
        </w:rPr>
      </w:pPr>
      <w:r>
        <w:rPr>
          <w:rFonts w:hint="eastAsia" w:eastAsia="宋体" w:cs="宋体"/>
        </w:rPr>
        <w:t>4.3.1 投标人在向招标人出示《投标保证金缴纳凭证》后方可进行投标；</w:t>
      </w:r>
    </w:p>
    <w:p>
      <w:pPr>
        <w:pStyle w:val="112"/>
        <w:ind w:firstLine="480"/>
        <w:rPr>
          <w:rFonts w:eastAsia="宋体" w:cs="宋体"/>
        </w:rPr>
      </w:pPr>
      <w:r>
        <w:rPr>
          <w:rFonts w:hint="eastAsia" w:eastAsia="宋体" w:cs="宋体"/>
        </w:rPr>
        <w:t>4.3.2 发生以下情况时，招标人有权没收保证金：</w:t>
      </w:r>
    </w:p>
    <w:p>
      <w:pPr>
        <w:pStyle w:val="112"/>
        <w:ind w:firstLine="480"/>
        <w:rPr>
          <w:rFonts w:eastAsia="宋体" w:cs="宋体"/>
        </w:rPr>
      </w:pPr>
      <w:r>
        <w:rPr>
          <w:rFonts w:hint="eastAsia" w:eastAsia="宋体" w:cs="宋体"/>
        </w:rPr>
        <w:t>4.3.2.1 截至开标前3天，投标人无正当理由且未以书面形式递交说明而在投标截止日不来投标的；</w:t>
      </w:r>
    </w:p>
    <w:p>
      <w:pPr>
        <w:pStyle w:val="112"/>
        <w:ind w:firstLine="480"/>
        <w:rPr>
          <w:rFonts w:eastAsia="宋体" w:cs="宋体"/>
        </w:rPr>
      </w:pPr>
      <w:r>
        <w:rPr>
          <w:rFonts w:hint="eastAsia" w:eastAsia="宋体" w:cs="宋体"/>
        </w:rPr>
        <w:t>4.3.2.2 投标人递送投标文件后，无正当理由放弃投标的；</w:t>
      </w:r>
    </w:p>
    <w:p>
      <w:pPr>
        <w:pStyle w:val="112"/>
        <w:ind w:firstLine="480"/>
        <w:rPr>
          <w:rFonts w:eastAsia="宋体" w:cs="宋体"/>
        </w:rPr>
      </w:pPr>
      <w:r>
        <w:rPr>
          <w:rFonts w:hint="eastAsia" w:eastAsia="宋体" w:cs="宋体"/>
        </w:rPr>
        <w:t>4.3.2.3若为视频开标，招标过程中澄清函等资料原件未按要求提交的；</w:t>
      </w:r>
    </w:p>
    <w:p>
      <w:pPr>
        <w:pStyle w:val="112"/>
        <w:ind w:firstLine="480"/>
        <w:rPr>
          <w:rFonts w:eastAsia="宋体" w:cs="宋体"/>
        </w:rPr>
      </w:pPr>
      <w:r>
        <w:rPr>
          <w:rFonts w:hint="eastAsia" w:eastAsia="宋体" w:cs="宋体"/>
        </w:rPr>
        <w:t>4.3.2.4自中标通知书发出之日起30日内，中标人无正当理由不签订合同的；</w:t>
      </w:r>
    </w:p>
    <w:p>
      <w:pPr>
        <w:pStyle w:val="112"/>
        <w:ind w:firstLine="480"/>
        <w:rPr>
          <w:rFonts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2"/>
        <w:ind w:firstLine="480"/>
        <w:rPr>
          <w:rFonts w:eastAsia="宋体" w:cs="宋体"/>
        </w:rPr>
      </w:pPr>
      <w:r>
        <w:rPr>
          <w:rFonts w:hint="eastAsia" w:eastAsia="宋体" w:cs="宋体"/>
        </w:rPr>
        <w:t>4.4投标报名截止时间</w:t>
      </w:r>
    </w:p>
    <w:p>
      <w:pPr>
        <w:pStyle w:val="112"/>
        <w:ind w:firstLine="480"/>
        <w:rPr>
          <w:rFonts w:eastAsia="宋体" w:cs="宋体"/>
        </w:rPr>
      </w:pPr>
      <w:r>
        <w:rPr>
          <w:rFonts w:hint="eastAsia" w:eastAsia="宋体" w:cs="宋体"/>
        </w:rPr>
        <w:t>报名方式：见《投标须知前附表》2.3。</w:t>
      </w:r>
    </w:p>
    <w:p>
      <w:pPr>
        <w:pStyle w:val="112"/>
        <w:ind w:firstLine="480"/>
        <w:rPr>
          <w:rFonts w:eastAsia="宋体" w:cs="宋体"/>
        </w:rPr>
      </w:pPr>
      <w:r>
        <w:rPr>
          <w:rFonts w:hint="eastAsia" w:eastAsia="宋体" w:cs="宋体"/>
        </w:rPr>
        <w:t>报名提交资料：均为盖章电子扫描版，用“公司名称+文件名称”命名。</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7" w:name="_Toc33265653"/>
      <w:bookmarkStart w:id="8" w:name="_Toc33266914"/>
      <w:bookmarkStart w:id="9" w:name="_Toc33266950"/>
      <w:bookmarkStart w:id="10" w:name="_Toc33266627"/>
      <w:bookmarkStart w:id="11" w:name="_Toc33267001"/>
      <w:bookmarkStart w:id="12" w:name="_Toc33285487"/>
      <w:bookmarkStart w:id="13" w:name="_Toc33265752"/>
      <w:r>
        <w:rPr>
          <w:rFonts w:hint="eastAsia" w:ascii="宋体" w:hAnsi="宋体" w:eastAsia="宋体" w:cs="宋体"/>
          <w:b/>
          <w:sz w:val="24"/>
          <w:szCs w:val="24"/>
        </w:rPr>
        <w:t>六、评价原则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5" w:name="_Toc395116634"/>
      <w:bookmarkStart w:id="16" w:name="_Toc33267002"/>
      <w:bookmarkStart w:id="17" w:name="_Toc33266951"/>
      <w:bookmarkStart w:id="18" w:name="_Toc33265753"/>
      <w:bookmarkStart w:id="19" w:name="_Toc33266628"/>
      <w:bookmarkStart w:id="20" w:name="_Toc33265654"/>
      <w:bookmarkStart w:id="21" w:name="_Toc33266915"/>
      <w:bookmarkStart w:id="22" w:name="_Toc33285489"/>
      <w:r>
        <w:rPr>
          <w:rFonts w:hint="eastAsia" w:ascii="宋体" w:hAnsi="宋体" w:eastAsia="宋体" w:cs="宋体"/>
          <w:b/>
          <w:bCs/>
          <w:color w:val="auto"/>
          <w:sz w:val="24"/>
          <w:szCs w:val="24"/>
          <w:lang w:eastAsia="zh-CN"/>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w:t>
      </w:r>
      <w:r>
        <w:rPr>
          <w:rFonts w:hint="eastAsia" w:ascii="宋体" w:hAnsi="宋体" w:eastAsia="宋体" w:cs="宋体"/>
          <w:b/>
          <w:bCs/>
          <w:color w:val="000000"/>
          <w:sz w:val="24"/>
          <w:szCs w:val="24"/>
        </w:rPr>
        <w:t>在通过技术标评审后入围的前提下，</w:t>
      </w:r>
      <w:r>
        <w:rPr>
          <w:rFonts w:hint="eastAsia" w:ascii="宋体" w:hAnsi="宋体" w:eastAsia="宋体" w:cs="Times New Roman"/>
          <w:b/>
          <w:bCs/>
          <w:color w:val="000000"/>
          <w:sz w:val="24"/>
          <w:szCs w:val="24"/>
        </w:rPr>
        <w:t>对招标</w:t>
      </w:r>
      <w:r>
        <w:rPr>
          <w:rFonts w:hint="eastAsia" w:ascii="Calibri" w:hAnsi="Calibri" w:eastAsia="宋体" w:cs="Times New Roman"/>
          <w:b/>
          <w:bCs/>
          <w:color w:val="000000"/>
          <w:sz w:val="24"/>
          <w:szCs w:val="24"/>
        </w:rPr>
        <w:t>文件中规定的各项因素进行综合评审，</w:t>
      </w:r>
      <w:r>
        <w:rPr>
          <w:rFonts w:hint="eastAsia" w:ascii="Calibri" w:hAnsi="宋体" w:eastAsia="宋体" w:cs="Times New Roman"/>
          <w:b/>
          <w:bCs/>
          <w:color w:val="000000"/>
          <w:sz w:val="24"/>
          <w:szCs w:val="24"/>
        </w:rPr>
        <w:t>确定中标人</w:t>
      </w:r>
      <w:r>
        <w:rPr>
          <w:rFonts w:hint="eastAsia" w:ascii="宋体" w:hAnsi="宋体" w:eastAsia="宋体" w:cs="宋体"/>
          <w:b/>
          <w:bCs/>
          <w:color w:val="000000"/>
          <w:sz w:val="24"/>
          <w:szCs w:val="24"/>
        </w:rPr>
        <w:t>，</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7</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w:t>
      </w:r>
    </w:p>
    <w:p>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lang w:eastAsia="zh-CN"/>
        </w:rPr>
        <w:t>合理最低价</w:t>
      </w:r>
      <w:r>
        <w:rPr>
          <w:rFonts w:hint="eastAsia" w:ascii="宋体" w:hAnsi="宋体" w:eastAsia="宋体" w:cs="宋体"/>
          <w:b/>
          <w:bCs/>
          <w:sz w:val="24"/>
          <w:szCs w:val="24"/>
        </w:rPr>
        <w:t>的投标方</w:t>
      </w:r>
      <w:r>
        <w:rPr>
          <w:rFonts w:hint="eastAsia" w:ascii="宋体" w:hAnsi="宋体" w:eastAsia="宋体" w:cs="宋体"/>
          <w:b/>
          <w:sz w:val="24"/>
          <w:szCs w:val="24"/>
        </w:rPr>
        <w:t>中标。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pPr>
      <w:r>
        <w:rPr>
          <w:rFonts w:hint="eastAsia" w:ascii="宋体" w:hAnsi="宋体" w:eastAsia="宋体" w:cs="宋体"/>
          <w:color w:val="000000"/>
          <w:sz w:val="24"/>
          <w:szCs w:val="24"/>
        </w:rPr>
        <w:t>（15）法律、法规规定的其他情况。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9"/>
      <w:bookmarkStart w:id="24" w:name="OLE_LINK26"/>
      <w:bookmarkStart w:id="25" w:name="OLE_LINK27"/>
      <w:bookmarkStart w:id="26" w:name="OLE_LINK28"/>
      <w:bookmarkStart w:id="27" w:name="OLE_LINK25"/>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w:t>
      </w:r>
      <w:r>
        <w:rPr>
          <w:rFonts w:hint="eastAsia" w:ascii="宋体" w:hAnsi="宋体" w:eastAsia="宋体" w:cs="宋体"/>
          <w:b/>
          <w:color w:val="000000"/>
          <w:sz w:val="24"/>
          <w:szCs w:val="24"/>
          <w:lang w:eastAsia="zh-CN"/>
        </w:rPr>
        <w:t>济南商用车有限公司</w:t>
      </w:r>
      <w:r>
        <w:rPr>
          <w:rFonts w:hint="eastAsia" w:ascii="宋体" w:hAnsi="宋体" w:eastAsia="宋体" w:cs="宋体"/>
          <w:b/>
          <w:color w:val="000000"/>
          <w:sz w:val="24"/>
          <w:szCs w:val="24"/>
        </w:rPr>
        <w:t>。</w:t>
      </w:r>
    </w:p>
    <w:p>
      <w:pPr>
        <w:pStyle w:val="17"/>
        <w:spacing w:line="360" w:lineRule="auto"/>
        <w:jc w:val="center"/>
        <w:rPr>
          <w:rFonts w:hAnsi="宋体" w:eastAsia="宋体" w:cs="宋体"/>
          <w:b/>
          <w:bCs/>
          <w:kern w:val="44"/>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7"/>
        <w:numPr>
          <w:ilvl w:val="255"/>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rPr>
        <w:t>第三部分 投标文件编制</w:t>
      </w:r>
      <w:bookmarkEnd w:id="28"/>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pPr>
        <w:numPr>
          <w:ilvl w:val="0"/>
          <w:numId w:val="0"/>
        </w:numPr>
        <w:spacing w:line="360" w:lineRule="auto"/>
        <w:ind w:firstLine="482" w:firstLineChars="200"/>
        <w:rPr>
          <w:rFonts w:hint="default" w:ascii="宋体" w:hAnsi="宋体" w:eastAsia="宋体" w:cs="宋体"/>
          <w:b/>
          <w:bCs/>
          <w:color w:val="000000"/>
          <w:kern w:val="2"/>
          <w:sz w:val="24"/>
          <w:szCs w:val="24"/>
          <w:highlight w:val="yellow"/>
          <w:lang w:val="en-US" w:eastAsia="zh-CN" w:bidi="ar-SA"/>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《投标文件（资质标）》包括</w:t>
      </w:r>
      <w:r>
        <w:rPr>
          <w:rFonts w:hint="eastAsia" w:ascii="宋体" w:hAnsi="宋体" w:eastAsia="宋体" w:cs="宋体"/>
          <w:color w:val="000000"/>
          <w:sz w:val="24"/>
          <w:szCs w:val="24"/>
        </w:rPr>
        <w:t>：</w:t>
      </w:r>
      <w:r>
        <w:rPr>
          <w:rFonts w:hint="eastAsia" w:ascii="宋体" w:hAnsi="宋体" w:eastAsia="宋体" w:cs="宋体"/>
          <w:b/>
          <w:bCs/>
          <w:color w:val="FF0000"/>
          <w:kern w:val="2"/>
          <w:sz w:val="24"/>
          <w:szCs w:val="24"/>
          <w:highlight w:val="yellow"/>
          <w:lang w:val="en-US" w:eastAsia="zh-CN" w:bidi="ar-SA"/>
        </w:rPr>
        <w:t>项目名称—目录—1.1至1.13资料及其他文件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b/>
          <w:bCs/>
          <w:color w:val="FF0000"/>
          <w:sz w:val="24"/>
          <w:szCs w:val="24"/>
        </w:rPr>
        <w:t>包括所代理品牌针</w:t>
      </w:r>
      <w:r>
        <w:rPr>
          <w:rFonts w:hint="eastAsia" w:hAnsi="宋体" w:eastAsia="宋体" w:cs="宋体"/>
          <w:b/>
          <w:bCs/>
          <w:color w:val="FF0000"/>
          <w:sz w:val="24"/>
          <w:szCs w:val="24"/>
          <w:lang w:eastAsia="zh-CN"/>
        </w:rPr>
        <w:t>本项目的</w:t>
      </w:r>
      <w:r>
        <w:rPr>
          <w:rFonts w:hint="eastAsia" w:hAnsi="宋体" w:eastAsia="宋体" w:cs="宋体"/>
          <w:b/>
          <w:bCs/>
          <w:color w:val="FF0000"/>
          <w:sz w:val="24"/>
          <w:szCs w:val="24"/>
        </w:rPr>
        <w:t>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pPr>
        <w:spacing w:line="360" w:lineRule="auto"/>
        <w:ind w:firstLine="482" w:firstLineChars="200"/>
        <w:rPr>
          <w:rFonts w:ascii="宋体" w:hAnsi="宋体" w:eastAsia="宋体" w:cs="宋体"/>
          <w:b/>
          <w:bCs/>
          <w:sz w:val="24"/>
          <w:szCs w:val="24"/>
        </w:rPr>
      </w:pPr>
      <w:bookmarkStart w:id="29"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9"/>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ascii="宋体" w:hAnsi="宋体" w:eastAsia="宋体" w:cs="宋体"/>
          <w:color w:val="000000"/>
          <w:sz w:val="24"/>
          <w:szCs w:val="24"/>
        </w:rPr>
      </w:pPr>
      <w:bookmarkStart w:id="30" w:name="_Toc536542319"/>
      <w:r>
        <w:rPr>
          <w:rFonts w:hint="eastAsia" w:ascii="宋体" w:hAnsi="宋体" w:eastAsia="宋体" w:cs="宋体"/>
          <w:color w:val="000000"/>
          <w:sz w:val="24"/>
          <w:szCs w:val="24"/>
        </w:rPr>
        <w:t>2.7投标产品技术支持材料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bookmarkEnd w:id="3"/>
    </w:p>
    <w:p>
      <w:pPr>
        <w:pStyle w:val="17"/>
      </w:pP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eastAsia="zh-CN"/>
        </w:rPr>
        <w:t>202</w:t>
      </w:r>
      <w:r>
        <w:rPr>
          <w:rFonts w:hint="eastAsia" w:ascii="Calibri" w:hAnsi="宋体" w:eastAsia="宋体" w:cs="Times New Roman"/>
          <w:b/>
          <w:bCs/>
          <w:color w:val="000000"/>
          <w:spacing w:val="-8"/>
          <w:sz w:val="48"/>
          <w:szCs w:val="44"/>
          <w:lang w:val="en-US" w:eastAsia="zh-CN"/>
        </w:rPr>
        <w:t>5</w:t>
      </w:r>
      <w:r>
        <w:rPr>
          <w:rFonts w:hint="eastAsia" w:ascii="Calibri" w:hAnsi="宋体" w:eastAsia="宋体" w:cs="Times New Roman"/>
          <w:b/>
          <w:bCs/>
          <w:color w:val="000000"/>
          <w:spacing w:val="-8"/>
          <w:sz w:val="48"/>
          <w:szCs w:val="44"/>
          <w:lang w:eastAsia="zh-CN"/>
        </w:rPr>
        <w:t>年济南商用车制造公司更新冲压模具维修区域起重机技改项目</w:t>
      </w: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spacing w:line="360" w:lineRule="auto"/>
        <w:jc w:val="center"/>
        <w:rPr>
          <w:rFonts w:hint="eastAsia" w:ascii="仿宋_GB2312" w:hAnsi="仿宋_GB2312" w:eastAsia="仿宋_GB2312" w:cs="仿宋_GB2312"/>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仿宋_GB2312" w:hAnsi="仿宋_GB2312" w:eastAsia="仿宋_GB2312" w:cs="仿宋_GB2312"/>
          <w:color w:val="000000"/>
          <w:sz w:val="28"/>
          <w:szCs w:val="28"/>
          <w:highlight w:val="none"/>
        </w:rPr>
        <w:t>中国重汽集团济南</w:t>
      </w:r>
      <w:r>
        <w:rPr>
          <w:rFonts w:hint="eastAsia" w:ascii="仿宋_GB2312" w:hAnsi="仿宋_GB2312" w:eastAsia="仿宋_GB2312" w:cs="仿宋_GB2312"/>
          <w:color w:val="000000"/>
          <w:sz w:val="28"/>
          <w:szCs w:val="28"/>
          <w:highlight w:val="none"/>
          <w:lang w:val="en-US" w:eastAsia="zh-CN"/>
        </w:rPr>
        <w:t>商用车</w:t>
      </w:r>
      <w:r>
        <w:rPr>
          <w:rFonts w:hint="eastAsia" w:ascii="仿宋_GB2312" w:hAnsi="仿宋_GB2312" w:eastAsia="仿宋_GB2312" w:cs="仿宋_GB2312"/>
          <w:color w:val="000000"/>
          <w:sz w:val="28"/>
          <w:szCs w:val="28"/>
          <w:highlight w:val="none"/>
        </w:rPr>
        <w:t>有限公司</w:t>
      </w:r>
    </w:p>
    <w:p>
      <w:pPr>
        <w:jc w:val="center"/>
        <w:rPr>
          <w:rFonts w:ascii="宋体" w:hAnsi="Calibri" w:eastAsia="宋体" w:cs="Times New Roman"/>
          <w:color w:val="000000"/>
          <w:sz w:val="28"/>
          <w:szCs w:val="28"/>
        </w:rPr>
      </w:pP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 xml:space="preserve">年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2"/>
        <w:sectPr>
          <w:headerReference r:id="rId11" w:type="default"/>
          <w:footerReference r:id="rId12"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480" w:lineRule="exact"/>
        <w:ind w:firstLine="377" w:firstLineChars="118"/>
        <w:rPr>
          <w:rFonts w:ascii="仿宋" w:hAnsi="仿宋" w:eastAsia="仿宋" w:cs="仿宋"/>
          <w:sz w:val="32"/>
          <w:szCs w:val="32"/>
          <w:highlight w:val="none"/>
        </w:rPr>
      </w:pPr>
      <w:bookmarkStart w:id="33" w:name="_Toc169605877"/>
    </w:p>
    <w:sdt>
      <w:sdtPr>
        <w:rPr>
          <w:rFonts w:ascii="宋体" w:hAnsi="宋体" w:eastAsia="宋体" w:cs="Times New Roman"/>
          <w:kern w:val="2"/>
          <w:sz w:val="21"/>
          <w:szCs w:val="24"/>
          <w:lang w:val="en-US" w:eastAsia="zh-CN" w:bidi="ar-SA"/>
        </w:rPr>
        <w:id w:val="147460507"/>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ascii="仿宋" w:hAnsi="仿宋" w:eastAsia="仿宋" w:cs="Times New Roman"/>
              <w:b/>
              <w:bCs/>
              <w:color w:val="auto"/>
              <w:kern w:val="0"/>
              <w:sz w:val="32"/>
              <w:szCs w:val="32"/>
              <w:highlight w:val="none"/>
              <w:lang w:val="zh-CN" w:eastAsia="zh-CN" w:bidi="ar-SA"/>
            </w:rPr>
          </w:pPr>
          <w:r>
            <w:rPr>
              <w:rFonts w:ascii="仿宋" w:hAnsi="仿宋" w:eastAsia="仿宋" w:cs="Times New Roman"/>
              <w:b/>
              <w:bCs/>
              <w:color w:val="auto"/>
              <w:kern w:val="0"/>
              <w:sz w:val="32"/>
              <w:szCs w:val="32"/>
              <w:highlight w:val="none"/>
              <w:lang w:val="zh-CN" w:eastAsia="zh-CN" w:bidi="ar-SA"/>
            </w:rPr>
            <w:t>目录</w:t>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textAlignment w:val="auto"/>
            <w:rPr>
              <w:rFonts w:ascii="Times New Roman" w:hAnsi="Times New Roman" w:eastAsia="宋体" w:cs="Times New Roman"/>
              <w:b/>
              <w:sz w:val="24"/>
              <w:szCs w:val="24"/>
              <w:lang w:val="en-US" w:eastAsia="zh-CN" w:bidi="ar-SA"/>
            </w:rPr>
          </w:pPr>
          <w:r>
            <w:rPr>
              <w:rFonts w:ascii="Times New Roman" w:hAnsi="Times New Roman" w:eastAsia="宋体" w:cs="Times New Roman"/>
              <w:lang w:val="en-US" w:eastAsia="zh-CN" w:bidi="ar-SA"/>
            </w:rPr>
            <w:fldChar w:fldCharType="begin"/>
          </w:r>
          <w:r>
            <w:rPr>
              <w:rFonts w:ascii="Times New Roman" w:hAnsi="Times New Roman" w:eastAsia="宋体" w:cs="Times New Roman"/>
              <w:lang w:val="en-US" w:eastAsia="zh-CN" w:bidi="ar-SA"/>
            </w:rPr>
            <w:instrText xml:space="preserve">TOC \o "1-2" \h \u </w:instrText>
          </w:r>
          <w:r>
            <w:rPr>
              <w:rFonts w:ascii="Times New Roman" w:hAnsi="Times New Roman" w:eastAsia="宋体" w:cs="Times New Roman"/>
              <w:lang w:val="en-US" w:eastAsia="zh-CN" w:bidi="ar-SA"/>
            </w:rPr>
            <w:fldChar w:fldCharType="separate"/>
          </w: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HYPERLINK \l _Toc1215 </w:instrText>
          </w:r>
          <w:r>
            <w:rPr>
              <w:rFonts w:ascii="Times New Roman" w:hAnsi="Times New Roman" w:eastAsia="宋体" w:cs="Times New Roman"/>
              <w:b/>
              <w:sz w:val="24"/>
              <w:szCs w:val="24"/>
              <w:lang w:val="en-US" w:eastAsia="zh-CN" w:bidi="ar-SA"/>
            </w:rPr>
            <w:fldChar w:fldCharType="separate"/>
          </w:r>
          <w:r>
            <w:rPr>
              <w:rFonts w:hint="eastAsia" w:ascii="Times New Roman" w:hAnsi="Times New Roman" w:eastAsia="宋体" w:cs="Times New Roman"/>
              <w:b/>
              <w:sz w:val="24"/>
              <w:szCs w:val="24"/>
              <w:lang w:val="en-US" w:eastAsia="zh-CN" w:bidi="ar-SA"/>
            </w:rPr>
            <w:t>第一章 采购货物概况</w:t>
          </w:r>
          <w:r>
            <w:rPr>
              <w:rFonts w:ascii="Times New Roman" w:hAnsi="Times New Roman" w:eastAsia="宋体" w:cs="Times New Roman"/>
              <w:b/>
              <w:sz w:val="24"/>
              <w:szCs w:val="24"/>
              <w:lang w:val="en-US" w:eastAsia="zh-CN" w:bidi="ar-SA"/>
            </w:rPr>
            <w:tab/>
          </w: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PAGEREF _Toc1215 \h </w:instrText>
          </w:r>
          <w:r>
            <w:rPr>
              <w:rFonts w:ascii="Times New Roman" w:hAnsi="Times New Roman" w:eastAsia="宋体" w:cs="Times New Roman"/>
              <w:b/>
              <w:sz w:val="24"/>
              <w:szCs w:val="24"/>
              <w:lang w:val="en-US" w:eastAsia="zh-CN" w:bidi="ar-SA"/>
            </w:rPr>
            <w:fldChar w:fldCharType="separate"/>
          </w:r>
          <w:r>
            <w:rPr>
              <w:rFonts w:ascii="Times New Roman" w:hAnsi="Times New Roman" w:eastAsia="宋体" w:cs="Times New Roman"/>
              <w:b/>
              <w:sz w:val="24"/>
              <w:szCs w:val="24"/>
              <w:lang w:val="en-US" w:eastAsia="zh-CN" w:bidi="ar-SA"/>
            </w:rPr>
            <w:t>1</w:t>
          </w:r>
          <w:r>
            <w:rPr>
              <w:rFonts w:ascii="Times New Roman" w:hAnsi="Times New Roman" w:eastAsia="宋体" w:cs="Times New Roman"/>
              <w:b/>
              <w:sz w:val="24"/>
              <w:szCs w:val="24"/>
              <w:lang w:val="en-US" w:eastAsia="zh-CN" w:bidi="ar-SA"/>
            </w:rPr>
            <w:fldChar w:fldCharType="end"/>
          </w:r>
          <w:r>
            <w:rPr>
              <w:rFonts w:ascii="Times New Roman" w:hAnsi="Times New Roman" w:eastAsia="宋体" w:cs="Times New Roman"/>
              <w:b/>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_Toc29469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第一节 使用环境</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_Toc29469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1</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b/>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_Toc28091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第二节 采购货物概况</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_Toc28091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1</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textAlignment w:val="auto"/>
            <w:rPr>
              <w:rFonts w:ascii="Times New Roman" w:hAnsi="Times New Roman" w:eastAsia="宋体" w:cs="Times New Roman"/>
              <w:b/>
              <w:sz w:val="24"/>
              <w:szCs w:val="24"/>
              <w:lang w:val="en-US" w:eastAsia="zh-CN" w:bidi="ar-SA"/>
            </w:rPr>
          </w:pP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HYPERLINK \l _Toc1769 </w:instrText>
          </w:r>
          <w:r>
            <w:rPr>
              <w:rFonts w:ascii="Times New Roman" w:hAnsi="Times New Roman" w:eastAsia="宋体" w:cs="Times New Roman"/>
              <w:b/>
              <w:sz w:val="24"/>
              <w:szCs w:val="24"/>
              <w:lang w:val="en-US" w:eastAsia="zh-CN" w:bidi="ar-SA"/>
            </w:rPr>
            <w:fldChar w:fldCharType="separate"/>
          </w:r>
          <w:r>
            <w:rPr>
              <w:rFonts w:hint="eastAsia" w:ascii="Times New Roman" w:hAnsi="Times New Roman" w:eastAsia="宋体" w:cs="Times New Roman"/>
              <w:b/>
              <w:sz w:val="24"/>
              <w:szCs w:val="24"/>
              <w:lang w:val="en-US" w:eastAsia="zh-CN" w:bidi="ar-SA"/>
            </w:rPr>
            <w:t>第二章 技术要求</w:t>
          </w:r>
          <w:r>
            <w:rPr>
              <w:rFonts w:ascii="Times New Roman" w:hAnsi="Times New Roman" w:eastAsia="宋体" w:cs="Times New Roman"/>
              <w:b/>
              <w:sz w:val="24"/>
              <w:szCs w:val="24"/>
              <w:lang w:val="en-US" w:eastAsia="zh-CN" w:bidi="ar-SA"/>
            </w:rPr>
            <w:tab/>
          </w: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PAGEREF _Toc1769 \h </w:instrText>
          </w:r>
          <w:r>
            <w:rPr>
              <w:rFonts w:ascii="Times New Roman" w:hAnsi="Times New Roman" w:eastAsia="宋体" w:cs="Times New Roman"/>
              <w:b/>
              <w:sz w:val="24"/>
              <w:szCs w:val="24"/>
              <w:lang w:val="en-US" w:eastAsia="zh-CN" w:bidi="ar-SA"/>
            </w:rPr>
            <w:fldChar w:fldCharType="separate"/>
          </w:r>
          <w:r>
            <w:rPr>
              <w:rFonts w:ascii="Times New Roman" w:hAnsi="Times New Roman" w:eastAsia="宋体" w:cs="Times New Roman"/>
              <w:b/>
              <w:sz w:val="24"/>
              <w:szCs w:val="24"/>
              <w:lang w:val="en-US" w:eastAsia="zh-CN" w:bidi="ar-SA"/>
            </w:rPr>
            <w:t>4</w:t>
          </w:r>
          <w:r>
            <w:rPr>
              <w:rFonts w:ascii="Times New Roman" w:hAnsi="Times New Roman" w:eastAsia="宋体" w:cs="Times New Roman"/>
              <w:b/>
              <w:sz w:val="24"/>
              <w:szCs w:val="24"/>
              <w:lang w:val="en-US" w:eastAsia="zh-CN" w:bidi="ar-SA"/>
            </w:rPr>
            <w:fldChar w:fldCharType="end"/>
          </w:r>
          <w:r>
            <w:rPr>
              <w:rFonts w:ascii="Times New Roman" w:hAnsi="Times New Roman" w:eastAsia="宋体" w:cs="Times New Roman"/>
              <w:b/>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_Toc15919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第一节 基本要求</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_Toc15919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4</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_Toc12330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第二节 执行标准</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_Toc12330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6</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_Toc11078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第三节 技术规范</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_Toc11078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9</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_Toc15736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第四节 特别提示</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_Toc15736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31</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textAlignment w:val="auto"/>
            <w:rPr>
              <w:rFonts w:ascii="Times New Roman" w:hAnsi="Times New Roman" w:eastAsia="宋体" w:cs="Times New Roman"/>
              <w:b/>
              <w:sz w:val="24"/>
              <w:szCs w:val="24"/>
              <w:lang w:val="en-US" w:eastAsia="zh-CN" w:bidi="ar-SA"/>
            </w:rPr>
          </w:pP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HYPERLINK \l _Toc7154 </w:instrText>
          </w:r>
          <w:r>
            <w:rPr>
              <w:rFonts w:ascii="Times New Roman" w:hAnsi="Times New Roman" w:eastAsia="宋体" w:cs="Times New Roman"/>
              <w:b/>
              <w:sz w:val="24"/>
              <w:szCs w:val="24"/>
              <w:lang w:val="en-US" w:eastAsia="zh-CN" w:bidi="ar-SA"/>
            </w:rPr>
            <w:fldChar w:fldCharType="separate"/>
          </w:r>
          <w:r>
            <w:rPr>
              <w:rFonts w:hint="eastAsia" w:ascii="Times New Roman" w:hAnsi="Times New Roman" w:eastAsia="宋体" w:cs="Times New Roman"/>
              <w:b/>
              <w:sz w:val="24"/>
              <w:szCs w:val="24"/>
              <w:lang w:val="en-US" w:eastAsia="zh-CN" w:bidi="ar-SA"/>
            </w:rPr>
            <w:t>第三章供货范围及供货方式</w:t>
          </w:r>
          <w:r>
            <w:rPr>
              <w:rFonts w:ascii="Times New Roman" w:hAnsi="Times New Roman" w:eastAsia="宋体" w:cs="Times New Roman"/>
              <w:b/>
              <w:sz w:val="24"/>
              <w:szCs w:val="24"/>
              <w:lang w:val="en-US" w:eastAsia="zh-CN" w:bidi="ar-SA"/>
            </w:rPr>
            <w:tab/>
          </w: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PAGEREF _Toc7154 \h </w:instrText>
          </w:r>
          <w:r>
            <w:rPr>
              <w:rFonts w:ascii="Times New Roman" w:hAnsi="Times New Roman" w:eastAsia="宋体" w:cs="Times New Roman"/>
              <w:b/>
              <w:sz w:val="24"/>
              <w:szCs w:val="24"/>
              <w:lang w:val="en-US" w:eastAsia="zh-CN" w:bidi="ar-SA"/>
            </w:rPr>
            <w:fldChar w:fldCharType="separate"/>
          </w:r>
          <w:r>
            <w:rPr>
              <w:rFonts w:ascii="Times New Roman" w:hAnsi="Times New Roman" w:eastAsia="宋体" w:cs="Times New Roman"/>
              <w:b/>
              <w:sz w:val="24"/>
              <w:szCs w:val="24"/>
              <w:lang w:val="en-US" w:eastAsia="zh-CN" w:bidi="ar-SA"/>
            </w:rPr>
            <w:t>33</w:t>
          </w:r>
          <w:r>
            <w:rPr>
              <w:rFonts w:ascii="Times New Roman" w:hAnsi="Times New Roman" w:eastAsia="宋体" w:cs="Times New Roman"/>
              <w:b/>
              <w:sz w:val="24"/>
              <w:szCs w:val="24"/>
              <w:lang w:val="en-US" w:eastAsia="zh-CN" w:bidi="ar-SA"/>
            </w:rPr>
            <w:fldChar w:fldCharType="end"/>
          </w:r>
          <w:r>
            <w:rPr>
              <w:rFonts w:ascii="Times New Roman" w:hAnsi="Times New Roman" w:eastAsia="宋体" w:cs="Times New Roman"/>
              <w:b/>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_Toc23627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第一节 供货范围</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_Toc23627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33</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_Toc13701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highlight w:val="none"/>
              <w:lang w:val="en-US" w:eastAsia="zh-CN" w:bidi="ar-SA"/>
            </w:rPr>
            <w:t>第二</w:t>
          </w:r>
          <w:r>
            <w:rPr>
              <w:rFonts w:hint="eastAsia" w:ascii="Times New Roman" w:hAnsi="Times New Roman" w:eastAsia="宋体" w:cs="Times New Roman"/>
              <w:sz w:val="24"/>
              <w:szCs w:val="24"/>
              <w:lang w:val="en-US" w:eastAsia="zh-CN" w:bidi="ar-SA"/>
            </w:rPr>
            <w:t>节 供货方式</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_Toc13701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36</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textAlignment w:val="auto"/>
            <w:rPr>
              <w:rFonts w:ascii="Times New Roman" w:hAnsi="Times New Roman" w:eastAsia="宋体" w:cs="Times New Roman"/>
              <w:b/>
              <w:sz w:val="24"/>
              <w:szCs w:val="24"/>
              <w:lang w:val="en-US" w:eastAsia="zh-CN" w:bidi="ar-SA"/>
            </w:rPr>
          </w:pP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HYPERLINK \l _Toc22071 </w:instrText>
          </w:r>
          <w:r>
            <w:rPr>
              <w:rFonts w:ascii="Times New Roman" w:hAnsi="Times New Roman" w:eastAsia="宋体" w:cs="Times New Roman"/>
              <w:b/>
              <w:sz w:val="24"/>
              <w:szCs w:val="24"/>
              <w:lang w:val="en-US" w:eastAsia="zh-CN" w:bidi="ar-SA"/>
            </w:rPr>
            <w:fldChar w:fldCharType="separate"/>
          </w:r>
          <w:r>
            <w:rPr>
              <w:rFonts w:hint="eastAsia" w:ascii="Times New Roman" w:hAnsi="Times New Roman" w:eastAsia="宋体" w:cs="Times New Roman"/>
              <w:b/>
              <w:sz w:val="24"/>
              <w:szCs w:val="24"/>
              <w:lang w:val="en-US" w:eastAsia="zh-CN" w:bidi="ar-SA"/>
            </w:rPr>
            <w:t>第四章售中售后服务</w:t>
          </w:r>
          <w:r>
            <w:rPr>
              <w:rFonts w:ascii="Times New Roman" w:hAnsi="Times New Roman" w:eastAsia="宋体" w:cs="Times New Roman"/>
              <w:b/>
              <w:sz w:val="24"/>
              <w:szCs w:val="24"/>
              <w:lang w:val="en-US" w:eastAsia="zh-CN" w:bidi="ar-SA"/>
            </w:rPr>
            <w:tab/>
          </w: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PAGEREF _Toc22071 \h </w:instrText>
          </w:r>
          <w:r>
            <w:rPr>
              <w:rFonts w:ascii="Times New Roman" w:hAnsi="Times New Roman" w:eastAsia="宋体" w:cs="Times New Roman"/>
              <w:b/>
              <w:sz w:val="24"/>
              <w:szCs w:val="24"/>
              <w:lang w:val="en-US" w:eastAsia="zh-CN" w:bidi="ar-SA"/>
            </w:rPr>
            <w:fldChar w:fldCharType="separate"/>
          </w:r>
          <w:r>
            <w:rPr>
              <w:rFonts w:ascii="Times New Roman" w:hAnsi="Times New Roman" w:eastAsia="宋体" w:cs="Times New Roman"/>
              <w:b/>
              <w:sz w:val="24"/>
              <w:szCs w:val="24"/>
              <w:lang w:val="en-US" w:eastAsia="zh-CN" w:bidi="ar-SA"/>
            </w:rPr>
            <w:t>38</w:t>
          </w:r>
          <w:r>
            <w:rPr>
              <w:rFonts w:ascii="Times New Roman" w:hAnsi="Times New Roman" w:eastAsia="宋体" w:cs="Times New Roman"/>
              <w:b/>
              <w:sz w:val="24"/>
              <w:szCs w:val="24"/>
              <w:lang w:val="en-US" w:eastAsia="zh-CN" w:bidi="ar-SA"/>
            </w:rPr>
            <w:fldChar w:fldCharType="end"/>
          </w:r>
          <w:r>
            <w:rPr>
              <w:rFonts w:ascii="Times New Roman" w:hAnsi="Times New Roman" w:eastAsia="宋体" w:cs="Times New Roman"/>
              <w:b/>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_Toc15728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第一节 技术及培训服务</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_Toc15728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38</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_Toc139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第二节 安装调试服务</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_Toc139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38</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_Toc3796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第三节 验收服务</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_Toc3796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39</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_Toc22366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第四节 售后服务</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_Toc22366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39</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_Toc29950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第五节 其它服务</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_Toc29950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40</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textAlignment w:val="auto"/>
            <w:rPr>
              <w:rFonts w:ascii="Times New Roman" w:hAnsi="Times New Roman" w:eastAsia="宋体" w:cs="Times New Roman"/>
              <w:b/>
              <w:sz w:val="24"/>
              <w:szCs w:val="24"/>
              <w:lang w:val="en-US" w:eastAsia="zh-CN" w:bidi="ar-SA"/>
            </w:rPr>
          </w:pP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HYPERLINK \l _Toc530 </w:instrText>
          </w:r>
          <w:r>
            <w:rPr>
              <w:rFonts w:ascii="Times New Roman" w:hAnsi="Times New Roman" w:eastAsia="宋体" w:cs="Times New Roman"/>
              <w:b/>
              <w:sz w:val="24"/>
              <w:szCs w:val="24"/>
              <w:lang w:val="en-US" w:eastAsia="zh-CN" w:bidi="ar-SA"/>
            </w:rPr>
            <w:fldChar w:fldCharType="separate"/>
          </w:r>
          <w:r>
            <w:rPr>
              <w:rFonts w:hint="eastAsia" w:ascii="Times New Roman" w:hAnsi="Times New Roman" w:eastAsia="宋体" w:cs="Times New Roman"/>
              <w:b/>
              <w:sz w:val="24"/>
              <w:szCs w:val="24"/>
              <w:lang w:val="en-US" w:eastAsia="zh-CN" w:bidi="ar-SA"/>
            </w:rPr>
            <w:t>第五章 预验收和终验收</w:t>
          </w:r>
          <w:r>
            <w:rPr>
              <w:rFonts w:ascii="Times New Roman" w:hAnsi="Times New Roman" w:eastAsia="宋体" w:cs="Times New Roman"/>
              <w:b/>
              <w:sz w:val="24"/>
              <w:szCs w:val="24"/>
              <w:lang w:val="en-US" w:eastAsia="zh-CN" w:bidi="ar-SA"/>
            </w:rPr>
            <w:tab/>
          </w: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PAGEREF _Toc530 \h </w:instrText>
          </w:r>
          <w:r>
            <w:rPr>
              <w:rFonts w:ascii="Times New Roman" w:hAnsi="Times New Roman" w:eastAsia="宋体" w:cs="Times New Roman"/>
              <w:b/>
              <w:sz w:val="24"/>
              <w:szCs w:val="24"/>
              <w:lang w:val="en-US" w:eastAsia="zh-CN" w:bidi="ar-SA"/>
            </w:rPr>
            <w:fldChar w:fldCharType="separate"/>
          </w:r>
          <w:r>
            <w:rPr>
              <w:rFonts w:ascii="Times New Roman" w:hAnsi="Times New Roman" w:eastAsia="宋体" w:cs="Times New Roman"/>
              <w:b/>
              <w:sz w:val="24"/>
              <w:szCs w:val="24"/>
              <w:lang w:val="en-US" w:eastAsia="zh-CN" w:bidi="ar-SA"/>
            </w:rPr>
            <w:t>41</w:t>
          </w:r>
          <w:r>
            <w:rPr>
              <w:rFonts w:ascii="Times New Roman" w:hAnsi="Times New Roman" w:eastAsia="宋体" w:cs="Times New Roman"/>
              <w:b/>
              <w:sz w:val="24"/>
              <w:szCs w:val="24"/>
              <w:lang w:val="en-US" w:eastAsia="zh-CN" w:bidi="ar-SA"/>
            </w:rPr>
            <w:fldChar w:fldCharType="end"/>
          </w:r>
          <w:r>
            <w:rPr>
              <w:rFonts w:ascii="Times New Roman" w:hAnsi="Times New Roman" w:eastAsia="宋体" w:cs="Times New Roman"/>
              <w:b/>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_Toc1519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第一节 验收的一般约定</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_Toc1519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41</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_Toc8767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第二节 检验</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_Toc8767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42</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_Toc6667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第三节 设备监造</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_Toc6667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42</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_Toc16160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第四节 性能验收</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_Toc16160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43</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_Toc4708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第五节 验收条件</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_Toc4708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43</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_Toc22843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第六节 终验收基本要求</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_Toc22843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45</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textAlignment w:val="auto"/>
            <w:rPr>
              <w:rFonts w:ascii="Times New Roman" w:hAnsi="Times New Roman" w:eastAsia="宋体" w:cs="Times New Roman"/>
              <w:b/>
              <w:sz w:val="24"/>
              <w:szCs w:val="24"/>
              <w:lang w:val="en-US" w:eastAsia="zh-CN" w:bidi="ar-SA"/>
            </w:rPr>
          </w:pP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HYPERLINK \l _Toc27198 </w:instrText>
          </w:r>
          <w:r>
            <w:rPr>
              <w:rFonts w:ascii="Times New Roman" w:hAnsi="Times New Roman" w:eastAsia="宋体" w:cs="Times New Roman"/>
              <w:b/>
              <w:sz w:val="24"/>
              <w:szCs w:val="24"/>
              <w:lang w:val="en-US" w:eastAsia="zh-CN" w:bidi="ar-SA"/>
            </w:rPr>
            <w:fldChar w:fldCharType="separate"/>
          </w:r>
          <w:r>
            <w:rPr>
              <w:rFonts w:hint="eastAsia" w:ascii="Times New Roman" w:hAnsi="Times New Roman" w:eastAsia="宋体" w:cs="Times New Roman"/>
              <w:b/>
              <w:sz w:val="24"/>
              <w:szCs w:val="24"/>
              <w:lang w:val="en-US" w:eastAsia="zh-CN" w:bidi="ar-SA"/>
            </w:rPr>
            <w:t>第六章 投标技术文件一般要求</w:t>
          </w:r>
          <w:r>
            <w:rPr>
              <w:rFonts w:ascii="Times New Roman" w:hAnsi="Times New Roman" w:eastAsia="宋体" w:cs="Times New Roman"/>
              <w:b/>
              <w:sz w:val="24"/>
              <w:szCs w:val="24"/>
              <w:lang w:val="en-US" w:eastAsia="zh-CN" w:bidi="ar-SA"/>
            </w:rPr>
            <w:tab/>
          </w: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PAGEREF _Toc27198 \h </w:instrText>
          </w:r>
          <w:r>
            <w:rPr>
              <w:rFonts w:ascii="Times New Roman" w:hAnsi="Times New Roman" w:eastAsia="宋体" w:cs="Times New Roman"/>
              <w:b/>
              <w:sz w:val="24"/>
              <w:szCs w:val="24"/>
              <w:lang w:val="en-US" w:eastAsia="zh-CN" w:bidi="ar-SA"/>
            </w:rPr>
            <w:fldChar w:fldCharType="separate"/>
          </w:r>
          <w:r>
            <w:rPr>
              <w:rFonts w:ascii="Times New Roman" w:hAnsi="Times New Roman" w:eastAsia="宋体" w:cs="Times New Roman"/>
              <w:b/>
              <w:sz w:val="24"/>
              <w:szCs w:val="24"/>
              <w:lang w:val="en-US" w:eastAsia="zh-CN" w:bidi="ar-SA"/>
            </w:rPr>
            <w:t>46</w:t>
          </w:r>
          <w:r>
            <w:rPr>
              <w:rFonts w:ascii="Times New Roman" w:hAnsi="Times New Roman" w:eastAsia="宋体" w:cs="Times New Roman"/>
              <w:b/>
              <w:sz w:val="24"/>
              <w:szCs w:val="24"/>
              <w:lang w:val="en-US" w:eastAsia="zh-CN" w:bidi="ar-SA"/>
            </w:rPr>
            <w:fldChar w:fldCharType="end"/>
          </w:r>
          <w:r>
            <w:rPr>
              <w:rFonts w:ascii="Times New Roman" w:hAnsi="Times New Roman" w:eastAsia="宋体" w:cs="Times New Roman"/>
              <w:b/>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textAlignment w:val="auto"/>
            <w:rPr>
              <w:rFonts w:ascii="Times New Roman" w:hAnsi="Times New Roman" w:eastAsia="宋体" w:cs="Times New Roman"/>
              <w:b/>
              <w:sz w:val="24"/>
              <w:szCs w:val="24"/>
              <w:lang w:val="en-US" w:eastAsia="zh-CN" w:bidi="ar-SA"/>
            </w:rPr>
          </w:pP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HYPERLINK \l _Toc13750 </w:instrText>
          </w:r>
          <w:r>
            <w:rPr>
              <w:rFonts w:ascii="Times New Roman" w:hAnsi="Times New Roman" w:eastAsia="宋体" w:cs="Times New Roman"/>
              <w:b/>
              <w:sz w:val="24"/>
              <w:szCs w:val="24"/>
              <w:lang w:val="en-US" w:eastAsia="zh-CN" w:bidi="ar-SA"/>
            </w:rPr>
            <w:fldChar w:fldCharType="separate"/>
          </w:r>
          <w:r>
            <w:rPr>
              <w:rFonts w:hint="eastAsia" w:ascii="Times New Roman" w:hAnsi="Times New Roman" w:eastAsia="宋体" w:cs="Times New Roman"/>
              <w:b/>
              <w:sz w:val="24"/>
              <w:szCs w:val="24"/>
              <w:lang w:val="en-US" w:eastAsia="zh-CN" w:bidi="ar-SA"/>
            </w:rPr>
            <w:t>第七章 其它要求</w:t>
          </w:r>
          <w:r>
            <w:rPr>
              <w:rFonts w:ascii="Times New Roman" w:hAnsi="Times New Roman" w:eastAsia="宋体" w:cs="Times New Roman"/>
              <w:b/>
              <w:sz w:val="24"/>
              <w:szCs w:val="24"/>
              <w:lang w:val="en-US" w:eastAsia="zh-CN" w:bidi="ar-SA"/>
            </w:rPr>
            <w:tab/>
          </w:r>
          <w:r>
            <w:rPr>
              <w:rFonts w:ascii="Times New Roman" w:hAnsi="Times New Roman" w:eastAsia="宋体" w:cs="Times New Roman"/>
              <w:b/>
              <w:sz w:val="24"/>
              <w:szCs w:val="24"/>
              <w:lang w:val="en-US" w:eastAsia="zh-CN" w:bidi="ar-SA"/>
            </w:rPr>
            <w:fldChar w:fldCharType="begin"/>
          </w:r>
          <w:r>
            <w:rPr>
              <w:rFonts w:ascii="Times New Roman" w:hAnsi="Times New Roman" w:eastAsia="宋体" w:cs="Times New Roman"/>
              <w:b/>
              <w:sz w:val="24"/>
              <w:szCs w:val="24"/>
              <w:lang w:val="en-US" w:eastAsia="zh-CN" w:bidi="ar-SA"/>
            </w:rPr>
            <w:instrText xml:space="preserve"> PAGEREF _Toc13750 \h </w:instrText>
          </w:r>
          <w:r>
            <w:rPr>
              <w:rFonts w:ascii="Times New Roman" w:hAnsi="Times New Roman" w:eastAsia="宋体" w:cs="Times New Roman"/>
              <w:b/>
              <w:sz w:val="24"/>
              <w:szCs w:val="24"/>
              <w:lang w:val="en-US" w:eastAsia="zh-CN" w:bidi="ar-SA"/>
            </w:rPr>
            <w:fldChar w:fldCharType="separate"/>
          </w:r>
          <w:r>
            <w:rPr>
              <w:rFonts w:ascii="Times New Roman" w:hAnsi="Times New Roman" w:eastAsia="宋体" w:cs="Times New Roman"/>
              <w:b/>
              <w:sz w:val="24"/>
              <w:szCs w:val="24"/>
              <w:lang w:val="en-US" w:eastAsia="zh-CN" w:bidi="ar-SA"/>
            </w:rPr>
            <w:t>48</w:t>
          </w:r>
          <w:r>
            <w:rPr>
              <w:rFonts w:ascii="Times New Roman" w:hAnsi="Times New Roman" w:eastAsia="宋体" w:cs="Times New Roman"/>
              <w:b/>
              <w:sz w:val="24"/>
              <w:szCs w:val="24"/>
              <w:lang w:val="en-US" w:eastAsia="zh-CN" w:bidi="ar-SA"/>
            </w:rPr>
            <w:fldChar w:fldCharType="end"/>
          </w:r>
          <w:r>
            <w:rPr>
              <w:rFonts w:ascii="Times New Roman" w:hAnsi="Times New Roman" w:eastAsia="宋体" w:cs="Times New Roman"/>
              <w:b/>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_Toc21986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第一节 特殊要求</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_Toc21986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48</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tabs>
              <w:tab w:val="right" w:leader="dot" w:pos="8312"/>
            </w:tabs>
            <w:kinsoku/>
            <w:wordWrap/>
            <w:overflowPunct/>
            <w:topLinePunct w:val="0"/>
            <w:autoSpaceDE/>
            <w:autoSpaceDN/>
            <w:bidi w:val="0"/>
            <w:adjustRightInd/>
            <w:snapToGrid/>
            <w:spacing w:line="312" w:lineRule="auto"/>
            <w:ind w:left="420" w:leftChars="200"/>
            <w:textAlignment w:val="auto"/>
            <w:rPr>
              <w:rFonts w:ascii="Times New Roman" w:hAnsi="Times New Roman" w:eastAsia="宋体" w:cs="Times New Roman"/>
              <w:lang w:val="en-US" w:eastAsia="zh-CN" w:bidi="ar-SA"/>
            </w:rPr>
          </w:pP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HYPERLINK \l _Toc14539 </w:instrText>
          </w:r>
          <w:r>
            <w:rPr>
              <w:rFonts w:ascii="Times New Roman" w:hAnsi="Times New Roman" w:eastAsia="宋体" w:cs="Times New Roman"/>
              <w:sz w:val="24"/>
              <w:szCs w:val="24"/>
              <w:lang w:val="en-US" w:eastAsia="zh-CN" w:bidi="ar-SA"/>
            </w:rPr>
            <w:fldChar w:fldCharType="separate"/>
          </w:r>
          <w:r>
            <w:rPr>
              <w:rFonts w:hint="eastAsia" w:ascii="Times New Roman" w:hAnsi="Times New Roman" w:eastAsia="宋体" w:cs="Times New Roman"/>
              <w:sz w:val="24"/>
              <w:szCs w:val="24"/>
              <w:lang w:val="en-US" w:eastAsia="zh-CN" w:bidi="ar-SA"/>
            </w:rPr>
            <w:t>第二节 说明</w:t>
          </w:r>
          <w:r>
            <w:rPr>
              <w:rFonts w:ascii="Times New Roman" w:hAnsi="Times New Roman" w:eastAsia="宋体" w:cs="Times New Roman"/>
              <w:sz w:val="24"/>
              <w:szCs w:val="24"/>
              <w:lang w:val="en-US" w:eastAsia="zh-CN" w:bidi="ar-SA"/>
            </w:rPr>
            <w:tab/>
          </w:r>
          <w:r>
            <w:rPr>
              <w:rFonts w:ascii="Times New Roman" w:hAnsi="Times New Roman" w:eastAsia="宋体" w:cs="Times New Roman"/>
              <w:sz w:val="24"/>
              <w:szCs w:val="24"/>
              <w:lang w:val="en-US" w:eastAsia="zh-CN" w:bidi="ar-SA"/>
            </w:rPr>
            <w:fldChar w:fldCharType="begin"/>
          </w:r>
          <w:r>
            <w:rPr>
              <w:rFonts w:ascii="Times New Roman" w:hAnsi="Times New Roman" w:eastAsia="宋体" w:cs="Times New Roman"/>
              <w:sz w:val="24"/>
              <w:szCs w:val="24"/>
              <w:lang w:val="en-US" w:eastAsia="zh-CN" w:bidi="ar-SA"/>
            </w:rPr>
            <w:instrText xml:space="preserve"> PAGEREF _Toc14539 \h </w:instrText>
          </w:r>
          <w:r>
            <w:rPr>
              <w:rFonts w:ascii="Times New Roman" w:hAnsi="Times New Roman" w:eastAsia="宋体" w:cs="Times New Roman"/>
              <w:sz w:val="24"/>
              <w:szCs w:val="24"/>
              <w:lang w:val="en-US" w:eastAsia="zh-CN" w:bidi="ar-SA"/>
            </w:rPr>
            <w:fldChar w:fldCharType="separate"/>
          </w:r>
          <w:r>
            <w:rPr>
              <w:rFonts w:ascii="Times New Roman" w:hAnsi="Times New Roman" w:eastAsia="宋体" w:cs="Times New Roman"/>
              <w:sz w:val="24"/>
              <w:szCs w:val="24"/>
              <w:lang w:val="en-US" w:eastAsia="zh-CN" w:bidi="ar-SA"/>
            </w:rPr>
            <w:t>48</w:t>
          </w:r>
          <w:r>
            <w:rPr>
              <w:rFonts w:ascii="Times New Roman" w:hAnsi="Times New Roman" w:eastAsia="宋体" w:cs="Times New Roman"/>
              <w:sz w:val="24"/>
              <w:szCs w:val="24"/>
              <w:lang w:val="en-US" w:eastAsia="zh-CN" w:bidi="ar-SA"/>
            </w:rPr>
            <w:fldChar w:fldCharType="end"/>
          </w:r>
          <w:r>
            <w:rPr>
              <w:rFonts w:ascii="Times New Roman" w:hAnsi="Times New Roman" w:eastAsia="宋体" w:cs="Times New Roman"/>
              <w:sz w:val="24"/>
              <w:szCs w:val="24"/>
              <w:lang w:val="en-US" w:eastAsia="zh-CN" w:bidi="ar-SA"/>
            </w:rPr>
            <w:fldChar w:fldCharType="end"/>
          </w:r>
        </w:p>
        <w:p>
          <w:pPr>
            <w:keepNext w:val="0"/>
            <w:keepLines w:val="0"/>
            <w:pageBreakBefore w:val="0"/>
            <w:widowControl/>
            <w:kinsoku/>
            <w:wordWrap/>
            <w:overflowPunct/>
            <w:topLinePunct w:val="0"/>
            <w:autoSpaceDE/>
            <w:autoSpaceDN/>
            <w:bidi w:val="0"/>
            <w:adjustRightInd/>
            <w:snapToGrid/>
            <w:spacing w:line="312" w:lineRule="auto"/>
            <w:textAlignment w:val="auto"/>
            <w:rPr>
              <w:rFonts w:ascii="仿宋" w:hAnsi="仿宋" w:eastAsia="仿宋" w:cs="仿宋"/>
              <w:b/>
              <w:bCs/>
              <w:sz w:val="24"/>
              <w:szCs w:val="24"/>
              <w:highlight w:val="none"/>
            </w:rPr>
          </w:pPr>
          <w:r>
            <w:rPr>
              <w:rFonts w:ascii="Times New Roman" w:hAnsi="Times New Roman" w:eastAsia="宋体" w:cs="Times New Roman"/>
              <w:b/>
              <w:sz w:val="24"/>
              <w:szCs w:val="24"/>
            </w:rPr>
            <w:fldChar w:fldCharType="end"/>
          </w:r>
        </w:p>
      </w:sdtContent>
    </w:sdt>
    <w:p>
      <w:pPr>
        <w:adjustRightInd w:val="0"/>
        <w:snapToGrid w:val="0"/>
        <w:spacing w:before="163" w:beforeLines="50" w:after="163" w:afterLines="50" w:line="360" w:lineRule="auto"/>
        <w:jc w:val="center"/>
        <w:outlineLvl w:val="9"/>
        <w:rPr>
          <w:rFonts w:ascii="仿宋" w:hAnsi="仿宋" w:eastAsia="仿宋" w:cs="仿宋"/>
          <w:highlight w:val="none"/>
        </w:rPr>
        <w:sectPr>
          <w:headerReference r:id="rId13" w:type="default"/>
          <w:footerReference r:id="rId14" w:type="default"/>
          <w:pgSz w:w="11906" w:h="16838"/>
          <w:pgMar w:top="1383" w:right="1797" w:bottom="1440" w:left="1797" w:header="1021" w:footer="680" w:gutter="0"/>
          <w:pgNumType w:start="1" w:chapStyle="1"/>
          <w:cols w:space="720" w:num="1"/>
          <w:docGrid w:type="lines" w:linePitch="326" w:charSpace="0"/>
        </w:sectPr>
      </w:pPr>
    </w:p>
    <w:p>
      <w:pPr>
        <w:keepNext/>
        <w:keepLines/>
        <w:widowControl w:val="0"/>
        <w:bidi w:val="0"/>
        <w:spacing w:before="50" w:beforeLines="50" w:after="50" w:afterLines="50" w:line="360" w:lineRule="auto"/>
        <w:jc w:val="center"/>
        <w:outlineLvl w:val="0"/>
        <w:rPr>
          <w:rFonts w:ascii="仿宋" w:hAnsi="仿宋" w:eastAsia="仿宋" w:cs="仿宋"/>
          <w:b/>
          <w:bCs/>
          <w:kern w:val="44"/>
          <w:sz w:val="24"/>
          <w:szCs w:val="44"/>
          <w:highlight w:val="none"/>
          <w:lang w:val="en-US" w:eastAsia="zh-CN" w:bidi="ar-SA"/>
        </w:rPr>
      </w:pPr>
      <w:bookmarkStart w:id="34" w:name="_Toc1215"/>
      <w:bookmarkStart w:id="35" w:name="_Toc8984"/>
      <w:r>
        <w:rPr>
          <w:rFonts w:hint="eastAsia" w:ascii="Times New Roman" w:hAnsi="Times New Roman" w:eastAsia="仿宋" w:cs="Times New Roman"/>
          <w:b/>
          <w:bCs/>
          <w:kern w:val="44"/>
          <w:sz w:val="24"/>
          <w:szCs w:val="44"/>
          <w:lang w:val="en-US" w:eastAsia="zh-CN" w:bidi="ar-SA"/>
        </w:rPr>
        <w:t>第一章 采购货物概况</w:t>
      </w:r>
      <w:bookmarkEnd w:id="34"/>
      <w:bookmarkEnd w:id="35"/>
    </w:p>
    <w:p>
      <w:pPr>
        <w:keepNext/>
        <w:keepLines/>
        <w:widowControl w:val="0"/>
        <w:bidi w:val="0"/>
        <w:spacing w:before="10" w:after="10" w:line="360" w:lineRule="auto"/>
        <w:jc w:val="center"/>
        <w:outlineLvl w:val="1"/>
        <w:rPr>
          <w:rFonts w:ascii="仿宋" w:hAnsi="仿宋" w:eastAsia="仿宋" w:cs="仿宋"/>
          <w:b/>
          <w:bCs/>
          <w:kern w:val="0"/>
          <w:sz w:val="24"/>
          <w:szCs w:val="32"/>
          <w:highlight w:val="none"/>
          <w:lang w:val="en-US" w:eastAsia="zh-CN" w:bidi="ar-SA"/>
        </w:rPr>
      </w:pPr>
      <w:bookmarkStart w:id="36" w:name="_Toc7488"/>
      <w:bookmarkStart w:id="37" w:name="_Toc29469"/>
      <w:r>
        <w:rPr>
          <w:rFonts w:hint="eastAsia" w:ascii="Cambria" w:hAnsi="Cambria" w:eastAsia="仿宋" w:cs="Times New Roman"/>
          <w:b/>
          <w:bCs/>
          <w:kern w:val="0"/>
          <w:sz w:val="24"/>
          <w:szCs w:val="32"/>
          <w:lang w:val="en-US" w:eastAsia="zh-CN" w:bidi="ar-SA"/>
        </w:rPr>
        <w:t>第一节 使用环境</w:t>
      </w:r>
      <w:bookmarkEnd w:id="36"/>
      <w:bookmarkEnd w:id="37"/>
    </w:p>
    <w:p>
      <w:pPr>
        <w:widowControl w:val="0"/>
        <w:snapToGrid w:val="0"/>
        <w:spacing w:line="360" w:lineRule="auto"/>
        <w:ind w:firstLine="480" w:firstLine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 项目名称：</w:t>
      </w:r>
    </w:p>
    <w:p>
      <w:pPr>
        <w:widowControl w:val="0"/>
        <w:snapToGrid w:val="0"/>
        <w:spacing w:line="360" w:lineRule="auto"/>
        <w:ind w:firstLine="480" w:firstLine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济南商用车制造公司更新冲压模具维修区域起重机技改项目</w:t>
      </w:r>
    </w:p>
    <w:p>
      <w:pPr>
        <w:widowControl w:val="0"/>
        <w:snapToGrid w:val="0"/>
        <w:spacing w:line="360" w:lineRule="auto"/>
        <w:ind w:firstLine="480" w:firstLine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 建设地点：济南商用车冲压车间</w:t>
      </w:r>
    </w:p>
    <w:p>
      <w:pPr>
        <w:widowControl w:val="0"/>
        <w:snapToGrid w:val="0"/>
        <w:spacing w:line="360" w:lineRule="auto"/>
        <w:ind w:left="1620" w:leftChars="200" w:hanging="1200" w:hangingChars="5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 使用地点：济南商用车冲压车间模具维修区</w:t>
      </w:r>
    </w:p>
    <w:p>
      <w:pPr>
        <w:widowControl w:val="0"/>
        <w:snapToGrid w:val="0"/>
        <w:spacing w:line="360" w:lineRule="auto"/>
        <w:ind w:firstLine="480" w:firstLineChars="200"/>
        <w:jc w:val="both"/>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4 工作制度：设备年时基数 7200 小时</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5 使用地点区域自然环境：</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5.1 海拨高度：1000m以下。</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5.2 环境温度：室外极端最低温度-19.7℃、极端最高温度42℃，昼夜最大温差25℃；室内温度0～40℃。</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5.3 相对湿度：年平均59%，最大95%、最小15%。</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5.4 地震裂度：七度。</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6 能源环境：</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6.1 电力：中国制式，供电电压380V±15%/220V±15%，供电频率50Hz±2%。</w:t>
      </w:r>
    </w:p>
    <w:p>
      <w:pPr>
        <w:snapToGrid w:val="0"/>
        <w:spacing w:line="360" w:lineRule="auto"/>
        <w:ind w:firstLine="48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sz w:val="24"/>
          <w:szCs w:val="24"/>
          <w:highlight w:val="none"/>
        </w:rPr>
        <w:t xml:space="preserve">6.2 </w:t>
      </w:r>
      <w:r>
        <w:rPr>
          <w:rFonts w:hint="eastAsia" w:ascii="仿宋" w:hAnsi="仿宋" w:eastAsia="仿宋" w:cs="仿宋"/>
          <w:kern w:val="0"/>
          <w:sz w:val="24"/>
          <w:szCs w:val="24"/>
          <w:highlight w:val="none"/>
        </w:rPr>
        <w:t>给水：市政自来水</w:t>
      </w:r>
      <w:r>
        <w:rPr>
          <w:rFonts w:hint="eastAsia" w:ascii="仿宋" w:hAnsi="仿宋" w:eastAsia="仿宋" w:cs="仿宋"/>
          <w:kern w:val="0"/>
          <w:sz w:val="24"/>
          <w:szCs w:val="24"/>
          <w:highlight w:val="none"/>
          <w:lang w:eastAsia="zh-CN"/>
        </w:rPr>
        <w:t>。</w:t>
      </w:r>
    </w:p>
    <w:p>
      <w:pPr>
        <w:widowControl w:val="0"/>
        <w:snapToGrid w:val="0"/>
        <w:spacing w:line="360" w:lineRule="auto"/>
        <w:ind w:firstLine="480" w:firstLine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6.3 压缩空气：自备空压机自产压缩空气，压力范围0.5 ±0.1MPa。</w:t>
      </w:r>
    </w:p>
    <w:p>
      <w:pPr>
        <w:keepNext/>
        <w:keepLines/>
        <w:widowControl w:val="0"/>
        <w:bidi w:val="0"/>
        <w:spacing w:before="10" w:after="10" w:line="360" w:lineRule="auto"/>
        <w:jc w:val="center"/>
        <w:outlineLvl w:val="1"/>
        <w:rPr>
          <w:rFonts w:ascii="Cambria" w:hAnsi="Cambria" w:eastAsia="仿宋" w:cs="Times New Roman"/>
          <w:b/>
          <w:bCs/>
          <w:kern w:val="0"/>
          <w:sz w:val="24"/>
          <w:szCs w:val="32"/>
          <w:lang w:val="en-US" w:eastAsia="zh-CN" w:bidi="ar-SA"/>
        </w:rPr>
      </w:pPr>
      <w:bookmarkStart w:id="38" w:name="_Toc6594"/>
      <w:bookmarkStart w:id="39" w:name="_Toc28091"/>
      <w:r>
        <w:rPr>
          <w:rFonts w:hint="eastAsia" w:ascii="Cambria" w:hAnsi="Cambria" w:eastAsia="仿宋" w:cs="Times New Roman"/>
          <w:b/>
          <w:bCs/>
          <w:kern w:val="0"/>
          <w:sz w:val="24"/>
          <w:szCs w:val="32"/>
          <w:lang w:val="en-US" w:eastAsia="zh-CN" w:bidi="ar-SA"/>
        </w:rPr>
        <w:t>第二节 采购货物概况</w:t>
      </w:r>
      <w:bookmarkEnd w:id="38"/>
      <w:bookmarkEnd w:id="39"/>
    </w:p>
    <w:p>
      <w:pPr>
        <w:widowControl w:val="0"/>
        <w:snapToGrid w:val="0"/>
        <w:spacing w:line="360" w:lineRule="auto"/>
        <w:ind w:firstLine="480" w:firstLineChars="200"/>
        <w:jc w:val="both"/>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 货物（或生产线）：详见下表</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 货物（或生产线）数量： 详见下表</w:t>
      </w:r>
    </w:p>
    <w:p>
      <w:pPr>
        <w:widowControl w:val="0"/>
        <w:snapToGrid w:val="0"/>
        <w:spacing w:line="360" w:lineRule="auto"/>
        <w:ind w:firstLine="480" w:firstLineChars="200"/>
        <w:jc w:val="both"/>
        <w:outlineLvl w:val="0"/>
        <w:rPr>
          <w:rFonts w:ascii="仿宋" w:hAnsi="仿宋" w:eastAsia="仿宋" w:cs="仿宋"/>
          <w:kern w:val="0"/>
          <w:sz w:val="24"/>
          <w:szCs w:val="24"/>
          <w:highlight w:val="none"/>
          <w:lang w:val="en-US" w:eastAsia="zh-CN" w:bidi="ar-SA"/>
        </w:rPr>
      </w:pPr>
      <w:bookmarkStart w:id="40" w:name="_Toc10601"/>
      <w:r>
        <w:rPr>
          <w:rFonts w:hint="eastAsia" w:ascii="仿宋" w:hAnsi="仿宋" w:eastAsia="仿宋" w:cs="仿宋"/>
          <w:kern w:val="0"/>
          <w:sz w:val="24"/>
          <w:szCs w:val="24"/>
          <w:highlight w:val="none"/>
          <w:lang w:val="en-US" w:eastAsia="zh-CN" w:bidi="ar-SA"/>
        </w:rPr>
        <w:t>采购货物（或生产线）主要构成一览表</w:t>
      </w:r>
      <w:bookmarkEnd w:id="40"/>
    </w:p>
    <w:tbl>
      <w:tblPr>
        <w:tblStyle w:val="36"/>
        <w:tblW w:w="8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405"/>
        <w:gridCol w:w="1888"/>
        <w:gridCol w:w="1379"/>
        <w:gridCol w:w="454"/>
        <w:gridCol w:w="454"/>
        <w:gridCol w:w="1734"/>
        <w:gridCol w:w="850"/>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94"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2"/>
                <w:sz w:val="24"/>
                <w:szCs w:val="24"/>
                <w:highlight w:val="none"/>
                <w:lang w:val="en-US" w:eastAsia="zh-CN" w:bidi="ar-SA"/>
              </w:rPr>
              <w:t>项目</w:t>
            </w:r>
          </w:p>
        </w:tc>
        <w:tc>
          <w:tcPr>
            <w:tcW w:w="405"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序号</w:t>
            </w:r>
          </w:p>
        </w:tc>
        <w:tc>
          <w:tcPr>
            <w:tcW w:w="1888" w:type="dxa"/>
            <w:shd w:val="clear" w:color="auto" w:fill="auto"/>
            <w:vAlign w:val="center"/>
          </w:tcPr>
          <w:p>
            <w:pPr>
              <w:widowControl w:val="0"/>
              <w:snapToGrid w:val="0"/>
              <w:spacing w:line="240" w:lineRule="auto"/>
              <w:ind w:firstLine="0" w:firstLineChars="0"/>
              <w:jc w:val="center"/>
              <w:rPr>
                <w:rFonts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货物名称</w:t>
            </w:r>
          </w:p>
        </w:tc>
        <w:tc>
          <w:tcPr>
            <w:tcW w:w="1379" w:type="dxa"/>
            <w:shd w:val="clear" w:color="auto" w:fill="auto"/>
            <w:vAlign w:val="center"/>
          </w:tcPr>
          <w:p>
            <w:pPr>
              <w:widowControl w:val="0"/>
              <w:snapToGrid w:val="0"/>
              <w:spacing w:line="240" w:lineRule="auto"/>
              <w:ind w:firstLine="0" w:firstLineChars="0"/>
              <w:jc w:val="center"/>
              <w:rPr>
                <w:rFonts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型号规格</w:t>
            </w:r>
          </w:p>
        </w:tc>
        <w:tc>
          <w:tcPr>
            <w:tcW w:w="454" w:type="dxa"/>
            <w:shd w:val="clear" w:color="auto" w:fill="auto"/>
            <w:vAlign w:val="center"/>
          </w:tcPr>
          <w:p>
            <w:pPr>
              <w:widowControl w:val="0"/>
              <w:snapToGrid w:val="0"/>
              <w:spacing w:line="240" w:lineRule="auto"/>
              <w:ind w:firstLine="0" w:firstLineChars="0"/>
              <w:jc w:val="center"/>
              <w:rPr>
                <w:rFonts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单位</w:t>
            </w:r>
          </w:p>
        </w:tc>
        <w:tc>
          <w:tcPr>
            <w:tcW w:w="454" w:type="dxa"/>
            <w:shd w:val="clear" w:color="auto" w:fill="auto"/>
            <w:vAlign w:val="center"/>
          </w:tcPr>
          <w:p>
            <w:pPr>
              <w:widowControl w:val="0"/>
              <w:snapToGrid w:val="0"/>
              <w:spacing w:line="240" w:lineRule="auto"/>
              <w:ind w:firstLine="0" w:firstLineChars="0"/>
              <w:jc w:val="center"/>
              <w:rPr>
                <w:rFonts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数量</w:t>
            </w:r>
          </w:p>
        </w:tc>
        <w:tc>
          <w:tcPr>
            <w:tcW w:w="1734" w:type="dxa"/>
            <w:shd w:val="clear" w:color="auto" w:fill="auto"/>
            <w:vAlign w:val="center"/>
          </w:tcPr>
          <w:p>
            <w:pPr>
              <w:widowControl w:val="0"/>
              <w:snapToGrid w:val="0"/>
              <w:spacing w:line="240" w:lineRule="auto"/>
              <w:ind w:firstLine="0" w:firstLineChars="0"/>
              <w:jc w:val="center"/>
              <w:rPr>
                <w:rFonts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安装地点/ 服务对象</w:t>
            </w:r>
          </w:p>
        </w:tc>
        <w:tc>
          <w:tcPr>
            <w:tcW w:w="850" w:type="dxa"/>
            <w:shd w:val="clear" w:color="auto" w:fill="auto"/>
            <w:vAlign w:val="center"/>
          </w:tcPr>
          <w:p>
            <w:pPr>
              <w:widowControl w:val="0"/>
              <w:snapToGrid w:val="0"/>
              <w:spacing w:line="240" w:lineRule="auto"/>
              <w:ind w:firstLine="0" w:firstLineChars="0"/>
              <w:jc w:val="center"/>
              <w:rPr>
                <w:rFonts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供货方式</w:t>
            </w:r>
          </w:p>
        </w:tc>
        <w:tc>
          <w:tcPr>
            <w:tcW w:w="737"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济南商用车冲压模具维修区域起重机更新项目</w:t>
            </w:r>
          </w:p>
        </w:tc>
        <w:tc>
          <w:tcPr>
            <w:tcW w:w="405" w:type="dxa"/>
            <w:shd w:val="clear" w:color="auto" w:fill="auto"/>
            <w:vAlign w:val="center"/>
          </w:tcPr>
          <w:p>
            <w:pPr>
              <w:widowControl w:val="0"/>
              <w:snapToGrid w:val="0"/>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w:t>
            </w:r>
          </w:p>
        </w:tc>
        <w:tc>
          <w:tcPr>
            <w:tcW w:w="1888"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40/20T-22.5m通用桥式起重机</w:t>
            </w:r>
          </w:p>
        </w:tc>
        <w:tc>
          <w:tcPr>
            <w:tcW w:w="1379"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Gn=40/20t；S=22.5m；</w:t>
            </w:r>
          </w:p>
        </w:tc>
        <w:tc>
          <w:tcPr>
            <w:tcW w:w="454"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台</w:t>
            </w:r>
          </w:p>
        </w:tc>
        <w:tc>
          <w:tcPr>
            <w:tcW w:w="454"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w:t>
            </w:r>
          </w:p>
        </w:tc>
        <w:tc>
          <w:tcPr>
            <w:tcW w:w="1734" w:type="dxa"/>
            <w:shd w:val="clear" w:color="auto" w:fill="auto"/>
            <w:vAlign w:val="center"/>
          </w:tcPr>
          <w:p>
            <w:pPr>
              <w:widowControl w:val="0"/>
              <w:snapToGrid w:val="0"/>
              <w:spacing w:line="360" w:lineRule="auto"/>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济南商用车冲压车间</w:t>
            </w:r>
          </w:p>
        </w:tc>
        <w:tc>
          <w:tcPr>
            <w:tcW w:w="850"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交钥匙</w:t>
            </w:r>
          </w:p>
        </w:tc>
        <w:tc>
          <w:tcPr>
            <w:tcW w:w="737"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p>
        </w:tc>
        <w:tc>
          <w:tcPr>
            <w:tcW w:w="405" w:type="dxa"/>
            <w:shd w:val="clear" w:color="auto" w:fill="auto"/>
            <w:vAlign w:val="center"/>
          </w:tcPr>
          <w:p>
            <w:pPr>
              <w:widowControl w:val="0"/>
              <w:snapToGrid w:val="0"/>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w:t>
            </w:r>
          </w:p>
        </w:tc>
        <w:tc>
          <w:tcPr>
            <w:tcW w:w="1888"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旧32/5T-22.5m桥式起重机拆除和转运至济南商用车客车园区</w:t>
            </w:r>
          </w:p>
        </w:tc>
        <w:tc>
          <w:tcPr>
            <w:tcW w:w="1379"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p>
        </w:tc>
        <w:tc>
          <w:tcPr>
            <w:tcW w:w="454"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台</w:t>
            </w:r>
          </w:p>
        </w:tc>
        <w:tc>
          <w:tcPr>
            <w:tcW w:w="454"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w:t>
            </w:r>
          </w:p>
        </w:tc>
        <w:tc>
          <w:tcPr>
            <w:tcW w:w="1734"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济南商用车冲压车间</w:t>
            </w:r>
          </w:p>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济南商用车客车园区</w:t>
            </w:r>
          </w:p>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p>
        </w:tc>
        <w:tc>
          <w:tcPr>
            <w:tcW w:w="850"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交钥匙</w:t>
            </w:r>
          </w:p>
        </w:tc>
        <w:tc>
          <w:tcPr>
            <w:tcW w:w="737" w:type="dxa"/>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拆除</w:t>
            </w:r>
          </w:p>
        </w:tc>
      </w:tr>
    </w:tbl>
    <w:p>
      <w:pPr>
        <w:widowControl w:val="0"/>
        <w:snapToGrid w:val="0"/>
        <w:spacing w:line="360" w:lineRule="auto"/>
        <w:ind w:firstLine="420" w:firstLineChars="200"/>
        <w:jc w:val="both"/>
        <w:rPr>
          <w:rFonts w:hint="eastAsia" w:ascii="仿宋" w:hAnsi="仿宋" w:eastAsia="仿宋" w:cs="仿宋"/>
          <w:kern w:val="0"/>
          <w:sz w:val="21"/>
          <w:szCs w:val="21"/>
          <w:highlight w:val="none"/>
          <w:lang w:val="en-US" w:eastAsia="zh-CN" w:bidi="ar-SA"/>
        </w:rPr>
      </w:pPr>
    </w:p>
    <w:p>
      <w:pPr>
        <w:pStyle w:val="2"/>
        <w:rPr>
          <w:rFonts w:hint="eastAsia"/>
          <w:lang w:val="en-US" w:eastAsia="zh-CN"/>
        </w:r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1"/>
        <w:gridCol w:w="6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项目</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济南商用车冲压模具维修区域起重机更新项目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设备名称</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40/20T-22.5m欧式通用桥式起重机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数量</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类型</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QD40/20T-22.5m A6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主钩起重量(T)</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副钩起重量（T)</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跨度(M)</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起升高度(M)</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起重机工作级别</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A6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大车运行速度(m/min)</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0～40变频调速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小车运行速度(m/min)</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0～20 变频调速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主钩起升速度(m/min)</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0～5变频调速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副钩起升速度(m/min)</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0～5变频调速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导轨长度（M）</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操作模式</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地操手电门+遥控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备注</w:t>
            </w:r>
          </w:p>
        </w:tc>
        <w:tc>
          <w:tcPr>
            <w:tcW w:w="3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spacing w:line="240" w:lineRule="auto"/>
              <w:ind w:firstLine="0" w:firstLineChars="0"/>
              <w:jc w:val="center"/>
              <w:rPr>
                <w:rFonts w:hint="eastAsia" w:ascii="仿宋" w:hAnsi="仿宋" w:eastAsia="仿宋" w:cs="仿宋"/>
                <w:kern w:val="0"/>
                <w:sz w:val="21"/>
                <w:szCs w:val="21"/>
                <w:highlight w:val="none"/>
                <w:lang w:val="en-US" w:eastAsia="zh-CN" w:bidi="ar-SA"/>
              </w:rPr>
            </w:pPr>
          </w:p>
        </w:tc>
      </w:tr>
    </w:tbl>
    <w:p>
      <w:pPr>
        <w:widowControl w:val="0"/>
        <w:snapToGrid w:val="0"/>
        <w:spacing w:line="360" w:lineRule="auto"/>
        <w:ind w:firstLine="420" w:firstLineChars="200"/>
        <w:jc w:val="both"/>
        <w:rPr>
          <w:rFonts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备注：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pPr>
        <w:widowControl w:val="0"/>
        <w:snapToGrid w:val="0"/>
        <w:spacing w:line="360" w:lineRule="auto"/>
        <w:ind w:firstLine="420" w:firstLineChars="200"/>
        <w:jc w:val="both"/>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②本表“供货方式”指：交钥匙方式——包括制造、运输、定点卸货、安装、调试和验收以及培训等。</w:t>
      </w:r>
    </w:p>
    <w:p>
      <w:pPr>
        <w:rPr>
          <w:rFonts w:hint="eastAsia" w:ascii="仿宋" w:hAnsi="仿宋" w:eastAsia="仿宋" w:cs="仿宋"/>
          <w:sz w:val="21"/>
          <w:szCs w:val="21"/>
          <w:highlight w:val="none"/>
        </w:rPr>
      </w:pPr>
      <w:r>
        <w:rPr>
          <w:rFonts w:hint="eastAsia" w:ascii="仿宋" w:hAnsi="仿宋" w:eastAsia="仿宋" w:cs="仿宋"/>
          <w:sz w:val="21"/>
          <w:szCs w:val="21"/>
          <w:highlight w:val="none"/>
        </w:rPr>
        <w:br w:type="page"/>
      </w:r>
    </w:p>
    <w:p>
      <w:pPr>
        <w:keepNext/>
        <w:keepLines/>
        <w:widowControl w:val="0"/>
        <w:bidi w:val="0"/>
        <w:spacing w:before="50" w:beforeLines="50" w:after="50" w:afterLines="50" w:line="360" w:lineRule="auto"/>
        <w:jc w:val="center"/>
        <w:outlineLvl w:val="0"/>
        <w:rPr>
          <w:rFonts w:ascii="仿宋" w:hAnsi="仿宋" w:eastAsia="仿宋" w:cs="仿宋"/>
          <w:b/>
          <w:bCs/>
          <w:kern w:val="44"/>
          <w:sz w:val="24"/>
          <w:szCs w:val="44"/>
          <w:highlight w:val="none"/>
          <w:lang w:val="en-US" w:eastAsia="zh-CN" w:bidi="ar-SA"/>
        </w:rPr>
      </w:pPr>
      <w:bookmarkStart w:id="41" w:name="_Toc30010"/>
      <w:bookmarkStart w:id="42" w:name="_Toc1769"/>
      <w:r>
        <w:rPr>
          <w:rFonts w:hint="eastAsia" w:ascii="Times New Roman" w:hAnsi="Times New Roman" w:eastAsia="仿宋" w:cs="Times New Roman"/>
          <w:b/>
          <w:bCs/>
          <w:kern w:val="44"/>
          <w:sz w:val="24"/>
          <w:szCs w:val="44"/>
          <w:lang w:val="en-US" w:eastAsia="zh-CN" w:bidi="ar-SA"/>
        </w:rPr>
        <w:t>第二章 技术要求</w:t>
      </w:r>
      <w:bookmarkEnd w:id="41"/>
      <w:bookmarkEnd w:id="42"/>
    </w:p>
    <w:p>
      <w:pPr>
        <w:keepNext/>
        <w:keepLines/>
        <w:widowControl w:val="0"/>
        <w:bidi w:val="0"/>
        <w:spacing w:before="10" w:after="10" w:line="360" w:lineRule="auto"/>
        <w:jc w:val="center"/>
        <w:outlineLvl w:val="1"/>
        <w:rPr>
          <w:rFonts w:ascii="仿宋" w:hAnsi="仿宋" w:eastAsia="仿宋" w:cs="仿宋"/>
          <w:b/>
          <w:bCs/>
          <w:kern w:val="0"/>
          <w:sz w:val="24"/>
          <w:szCs w:val="32"/>
          <w:highlight w:val="none"/>
          <w:lang w:val="en-US" w:eastAsia="zh-CN" w:bidi="ar-SA"/>
        </w:rPr>
      </w:pPr>
      <w:bookmarkStart w:id="43" w:name="_Toc15919"/>
      <w:bookmarkStart w:id="44" w:name="_Toc31244"/>
      <w:r>
        <w:rPr>
          <w:rFonts w:hint="eastAsia" w:ascii="Cambria" w:hAnsi="Cambria" w:eastAsia="仿宋" w:cs="Times New Roman"/>
          <w:b/>
          <w:bCs/>
          <w:kern w:val="0"/>
          <w:sz w:val="24"/>
          <w:szCs w:val="32"/>
          <w:lang w:val="en-US" w:eastAsia="zh-CN" w:bidi="ar-SA"/>
        </w:rPr>
        <w:t>第一节 基本要求</w:t>
      </w:r>
      <w:bookmarkEnd w:id="43"/>
      <w:bookmarkEnd w:id="44"/>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 投标方所供的货物（或生产线），必须符合中国最新版的法律、法规和相关标准、规范的要求，符合项目所在地政府有关特殊要求。</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1.2 投标方所供货物（或生产线）涉及的、招标方有权使用的专利权技术以及知识产权保护的其它技术等，应保证招标方不因此受到任何侵权指控以及实际损失。</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1.3 投标方应保证所供货物（或生产线）的先进性、可靠性、经济性和实用性，并为全新货物（或设备）,并具有该货物(或设备)所有功能的永久使用权。</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1.4 投标方应满足招标方提出的各项技术要求，必要时应当免费提供技术承诺或担保。</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★1.5 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★1.6 投标方应保证所供货物（或设备）为中国公布的非淘汰货物（或设备），并为中国指定或规定的主管部门认可的环保型和节能型货物（或设备）。招标的中标货物不接受试验品（提供证据），还应是原产地的货物。</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1.7 设备用能设计基本要求</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1.7.1 任何用能设备均应遵循《能源管理体系要求》（ISO 50001:2018）、《能源管理体系 机械制造企业认证要求》（RB/T 119-2015）的相关规定，并在《能源管理体系要求》下开展设备的采购、维护、保养、淘汰更换等工作。</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1.7.2 为方便用能设备的计量统计，新增采购设备应在《用能单位能源计量器具配备和管理通则》（GB17167-2006）指导下配备符合相应要求的能源计量器具。</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pPr>
        <w:widowControl w:val="0"/>
        <w:snapToGrid w:val="0"/>
        <w:spacing w:line="360" w:lineRule="auto"/>
        <w:ind w:firstLine="480" w:firstLineChars="200"/>
        <w:jc w:val="both"/>
        <w:rPr>
          <w:rFonts w:ascii="仿宋" w:hAnsi="仿宋" w:eastAsia="仿宋" w:cs="仿宋"/>
          <w:b/>
          <w:bCs/>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1.7.4 </w:t>
      </w:r>
      <w:r>
        <w:rPr>
          <w:rFonts w:hint="eastAsia" w:ascii="仿宋" w:hAnsi="仿宋" w:eastAsia="仿宋" w:cs="仿宋"/>
          <w:b/>
          <w:bCs/>
          <w:kern w:val="0"/>
          <w:sz w:val="24"/>
          <w:szCs w:val="24"/>
          <w:highlight w:val="none"/>
          <w:lang w:val="en-US" w:eastAsia="zh-CN" w:bidi="ar-SA"/>
        </w:rPr>
        <w:t>在各类机电设备（产品）的采购过程中应优先选用符合《节能机电设备（产品）推荐目录（第七批）》的机电设备（产品），必须选用一级能效；工艺设备的电机必须选用一级能效，杜绝选用三级及以下能效。空调必须选用一级能效，变压器最低选用二级能效，对于特殊场景、特殊用途其他设备结合性价比综合考虑、充分论证。</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1.7.5 供方应确保设备的附属各类机电设备、设施（如：电机、风机、电器控制系统、润滑、保温隔热、照明等等）符合国家现行的相关专项标准要求。</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1.8 投标方应保证所供货物（或生产线）的完整性和成套性，能保证货物（或生产线）的正常运行、使用。</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1.9 投标方应对招标方采购的货物（或生产线）所涉及的技术、产能等信息负有保密义务，特殊项目应当无条件签署保密协议。</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1.10 设备使用仪表和自控设备要求</w:t>
      </w:r>
    </w:p>
    <w:p>
      <w:pPr>
        <w:widowControl w:val="0"/>
        <w:snapToGrid w:val="0"/>
        <w:spacing w:line="360" w:lineRule="auto"/>
        <w:ind w:firstLine="480" w:firstLine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1.10.1 设备使用仪表通用技术要求：</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1.10.1.1 投标人及供货商应保证所提供的仪表和自控设备，完全符合或高于本文通用技术要求及相应产品技术规范的要求，并应保证其供应产品在本工程指明的环境条件下能够长期安全、正常地运行。</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pPr>
        <w:widowControl w:val="0"/>
        <w:snapToGrid w:val="0"/>
        <w:spacing w:line="360" w:lineRule="auto"/>
        <w:ind w:firstLine="480" w:firstLine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1.10.2 准确度要求：</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1.10.2.3 项目验收时，投标方提供测量功能设备及计量器具资质合格证书，招标方根据实际情况进行相关复检，复检合格视为合格。</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1.10.3 材质要求</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1.11 投标方所供设备应按“交钥匙工程”要求。</w:t>
      </w:r>
    </w:p>
    <w:p>
      <w:pPr>
        <w:widowControl w:val="0"/>
        <w:snapToGrid w:val="0"/>
        <w:spacing w:line="360" w:lineRule="auto"/>
        <w:ind w:firstLine="480" w:firstLine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★1.12</w:t>
      </w:r>
      <w:r>
        <w:rPr>
          <w:rFonts w:ascii="仿宋" w:hAnsi="仿宋" w:eastAsia="仿宋" w:cs="仿宋"/>
          <w:kern w:val="0"/>
          <w:sz w:val="24"/>
          <w:szCs w:val="24"/>
          <w:highlight w:val="none"/>
          <w:lang w:val="en-US" w:eastAsia="zh-CN" w:bidi="ar-SA"/>
        </w:rPr>
        <w:t xml:space="preserve"> </w:t>
      </w:r>
      <w:r>
        <w:rPr>
          <w:rFonts w:hint="eastAsia" w:ascii="仿宋" w:hAnsi="仿宋" w:eastAsia="仿宋" w:cs="仿宋"/>
          <w:kern w:val="0"/>
          <w:sz w:val="24"/>
          <w:szCs w:val="24"/>
          <w:highlight w:val="none"/>
          <w:lang w:val="en-US" w:eastAsia="zh-CN" w:bidi="ar-SA"/>
        </w:rPr>
        <w:t>在横梁与</w:t>
      </w:r>
      <w:r>
        <w:rPr>
          <w:rFonts w:ascii="仿宋" w:hAnsi="仿宋" w:eastAsia="仿宋" w:cs="仿宋"/>
          <w:kern w:val="0"/>
          <w:sz w:val="24"/>
          <w:szCs w:val="24"/>
          <w:highlight w:val="none"/>
          <w:lang w:val="en-US" w:eastAsia="zh-CN" w:bidi="ar-SA"/>
        </w:rPr>
        <w:t>大车行走机构</w:t>
      </w:r>
      <w:r>
        <w:rPr>
          <w:rFonts w:hint="eastAsia" w:ascii="仿宋" w:hAnsi="仿宋" w:eastAsia="仿宋" w:cs="仿宋"/>
          <w:kern w:val="0"/>
          <w:sz w:val="24"/>
          <w:szCs w:val="24"/>
          <w:highlight w:val="none"/>
          <w:lang w:val="en-US" w:eastAsia="zh-CN" w:bidi="ar-SA"/>
        </w:rPr>
        <w:t>配置横梁防脱落结构。</w:t>
      </w:r>
    </w:p>
    <w:p>
      <w:pPr>
        <w:keepNext/>
        <w:keepLines/>
        <w:widowControl w:val="0"/>
        <w:bidi w:val="0"/>
        <w:spacing w:before="10" w:after="10" w:line="360" w:lineRule="auto"/>
        <w:jc w:val="center"/>
        <w:outlineLvl w:val="1"/>
        <w:rPr>
          <w:rFonts w:ascii="Cambria" w:hAnsi="Cambria" w:eastAsia="仿宋" w:cs="Times New Roman"/>
          <w:b/>
          <w:bCs/>
          <w:kern w:val="0"/>
          <w:sz w:val="24"/>
          <w:szCs w:val="32"/>
          <w:lang w:val="en-US" w:eastAsia="zh-CN" w:bidi="ar-SA"/>
        </w:rPr>
      </w:pPr>
      <w:bookmarkStart w:id="45" w:name="_Toc18265"/>
      <w:bookmarkStart w:id="46" w:name="_Toc12330"/>
      <w:r>
        <w:rPr>
          <w:rFonts w:hint="eastAsia" w:ascii="Cambria" w:hAnsi="Cambria" w:eastAsia="仿宋" w:cs="Times New Roman"/>
          <w:b/>
          <w:bCs/>
          <w:kern w:val="0"/>
          <w:sz w:val="24"/>
          <w:szCs w:val="32"/>
          <w:lang w:val="en-US" w:eastAsia="zh-CN" w:bidi="ar-SA"/>
        </w:rPr>
        <w:t>第二节 执行标准</w:t>
      </w:r>
      <w:bookmarkEnd w:id="45"/>
      <w:bookmarkEnd w:id="46"/>
    </w:p>
    <w:p>
      <w:pPr>
        <w:spacing w:line="48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bidi="ar"/>
        </w:rPr>
        <w:t>2.1</w:t>
      </w:r>
      <w:r>
        <w:rPr>
          <w:rFonts w:hint="eastAsia" w:ascii="仿宋" w:hAnsi="仿宋" w:eastAsia="仿宋" w:cs="仿宋"/>
          <w:sz w:val="24"/>
          <w:szCs w:val="24"/>
          <w:highlight w:val="none"/>
          <w:lang w:val="en-US" w:eastAsia="zh-CN" w:bidi="ar"/>
        </w:rPr>
        <w:t xml:space="preserve"> </w:t>
      </w:r>
      <w:r>
        <w:rPr>
          <w:rFonts w:hint="eastAsia" w:ascii="仿宋" w:hAnsi="仿宋" w:eastAsia="仿宋" w:cs="仿宋"/>
          <w:sz w:val="24"/>
          <w:szCs w:val="24"/>
          <w:highlight w:val="none"/>
          <w:lang w:bidi="ar"/>
        </w:rPr>
        <w:t>招标方此处所列标准仅为涉及的主要标准，而且不保证其为最新版执行标准；投标方应当在投标文件中予以补充和完善。</w:t>
      </w:r>
    </w:p>
    <w:p>
      <w:pPr>
        <w:spacing w:line="48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bidi="ar"/>
        </w:rPr>
        <w:t>2.2</w:t>
      </w:r>
      <w:r>
        <w:rPr>
          <w:rFonts w:hint="eastAsia" w:ascii="仿宋" w:hAnsi="仿宋" w:eastAsia="仿宋" w:cs="仿宋"/>
          <w:sz w:val="24"/>
          <w:szCs w:val="24"/>
          <w:highlight w:val="none"/>
          <w:lang w:val="en-US" w:eastAsia="zh-CN" w:bidi="ar"/>
        </w:rPr>
        <w:t xml:space="preserve"> </w:t>
      </w:r>
      <w:r>
        <w:rPr>
          <w:rFonts w:hint="eastAsia" w:ascii="仿宋" w:hAnsi="仿宋" w:eastAsia="仿宋" w:cs="仿宋"/>
          <w:sz w:val="24"/>
          <w:szCs w:val="24"/>
          <w:highlight w:val="none"/>
          <w:lang w:bidi="ar"/>
        </w:rPr>
        <w:t>投标方需要执行的标准，应当以所供设备通过招标方将来组织的最终验收之日后需要执行的标准。</w:t>
      </w:r>
    </w:p>
    <w:p>
      <w:pPr>
        <w:spacing w:line="480" w:lineRule="exact"/>
        <w:ind w:firstLine="480" w:firstLineChars="200"/>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2.3</w:t>
      </w:r>
      <w:r>
        <w:rPr>
          <w:rFonts w:hint="eastAsia" w:ascii="仿宋" w:hAnsi="仿宋" w:eastAsia="仿宋" w:cs="仿宋"/>
          <w:sz w:val="24"/>
          <w:szCs w:val="24"/>
          <w:highlight w:val="none"/>
          <w:lang w:val="en-US" w:eastAsia="zh-CN" w:bidi="ar"/>
        </w:rPr>
        <w:t xml:space="preserve"> </w:t>
      </w:r>
      <w:r>
        <w:rPr>
          <w:rFonts w:hint="eastAsia" w:ascii="仿宋" w:hAnsi="仿宋" w:eastAsia="仿宋" w:cs="仿宋"/>
          <w:sz w:val="24"/>
          <w:szCs w:val="24"/>
          <w:highlight w:val="none"/>
          <w:lang w:bidi="ar"/>
        </w:rPr>
        <w:t>涉及的主要标准表（包含但不限于）</w:t>
      </w:r>
    </w:p>
    <w:p>
      <w:pPr>
        <w:spacing w:line="480" w:lineRule="exact"/>
        <w:ind w:firstLine="480" w:firstLineChars="200"/>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本起重机的设计、制造、安装和试验应遵照中国最新版本的标准与规范以及经需方认可的等于或高于本技术文件的替代标准。适用标准包括但不仅限于以下清单所列标准：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5136"/>
        <w:gridCol w:w="2120"/>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序号</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标准名称</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标准编号</w:t>
            </w:r>
          </w:p>
        </w:tc>
        <w:tc>
          <w:tcPr>
            <w:tcW w:w="67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szCs w:val="24"/>
                <w:highlight w:val="none"/>
              </w:rPr>
            </w:pPr>
            <w:r>
              <w:rPr>
                <w:rFonts w:hint="eastAsia" w:ascii="仿宋" w:hAnsi="仿宋" w:eastAsia="仿宋" w:cs="仿宋"/>
                <w:sz w:val="21"/>
                <w:szCs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1</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电工成套装置中的导线颜色</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GB/T2681-81</w:t>
            </w:r>
          </w:p>
        </w:tc>
        <w:tc>
          <w:tcPr>
            <w:tcW w:w="678" w:type="dxa"/>
            <w:vMerge w:val="restart"/>
            <w:tcBorders>
              <w:top w:val="single" w:color="auto" w:sz="4" w:space="0"/>
              <w:left w:val="single" w:color="auto" w:sz="4" w:space="0"/>
              <w:right w:val="single" w:color="auto" w:sz="4" w:space="0"/>
            </w:tcBorders>
            <w:shd w:val="clear" w:color="auto" w:fill="auto"/>
          </w:tcPr>
          <w:p>
            <w:pPr>
              <w:spacing w:line="360" w:lineRule="exact"/>
              <w:rPr>
                <w:rFonts w:ascii="仿宋" w:hAnsi="仿宋" w:eastAsia="仿宋" w:cs="仿宋"/>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2</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电工成套装置中的指示灯和按钮的颜色</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GB/T2682-81</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3</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电能质量公用电网谐波</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GB/T14549-93</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4</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GB/T23821-2022</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5</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双手操纵装置 设计和选择原则</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GB/T19671-2022</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6</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安全防护的实施准则</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GB/T30574-2021</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7</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接近机械的固定设施 </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17888-2020</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8</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《工业企业设计卫生标准》</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GBZ 1-2002</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9</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《工业企业噪声控制设计规范》</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GB/T50087-2013</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10</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《工业企业噪声测量规范》</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GBJ122-88</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11</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GBZ/T189.1-2007</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12</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高耗能落后机电设备（产品）淘汰目录（第二批）</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13</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高耗能落后机电设备（产品）淘汰目录（第三批）</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14</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高耗能落后机电设备（产品）淘汰目录（第一批）</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15</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高耗能落后机电设备（产品）淘汰目录（第四批）</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16</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节能机电设备（产品）推荐目录</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17</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用能单位能源计量器具配备和管理</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GB17167-2006</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18</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《工作场所物理因素测量》第8部分噪声</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GBZ/T189.8-2007</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19</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钢结构防火涂料通用技术条件</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GB/T14907-94</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20</w:t>
            </w:r>
          </w:p>
        </w:tc>
        <w:tc>
          <w:tcPr>
            <w:tcW w:w="5136"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建筑机械与设备涂装通用技术条件</w:t>
            </w:r>
          </w:p>
        </w:tc>
        <w:tc>
          <w:tcPr>
            <w:tcW w:w="212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GB/T5011.12-92</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21</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接近机械的固定设施</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17888-2020</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22</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环链电动葫芦技术条件</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JB/T5317.2-1991</w:t>
            </w:r>
          </w:p>
        </w:tc>
        <w:tc>
          <w:tcPr>
            <w:tcW w:w="678" w:type="dxa"/>
            <w:vMerge w:val="continue"/>
            <w:tcBorders>
              <w:left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23</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柔性组合式悬挂起重机</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JB/T 10381-2002</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24</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起重机械超载保护装置安全技术规范</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GB12602-90</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25</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起重机试验规范和程序</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5905-2011</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26</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起重机设计规范</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GB/T3811-2008</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27</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起重机安全规程第1部分总则</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GB/T6067.1-2010</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28</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起重机安全规程第5部分桥式和门式起重机</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GB/T6067.5-2014</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29</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通用桥式起重机</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GB/T14405-2011</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30</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机械电气安全机械电气设备第32部分；起重机械技术条件</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GB/T5223.32-2017</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31</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起重机司机室第1部分总则</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GB/T20303.1-2016</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32</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起重机司机室第5部分桥式和门式起重机</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GB/T20303.5-2006</w:t>
            </w:r>
          </w:p>
        </w:tc>
        <w:tc>
          <w:tcPr>
            <w:tcW w:w="678" w:type="dxa"/>
            <w:vMerge w:val="restart"/>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33</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起重机载荷与载荷组合的设计原则 第1部分；总则</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22437.1-2018</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34</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起重吊具分类</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35975-2018</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35</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起重机和动芦绳、和滑轮的选择</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GB/T34029-2017</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36</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起重机用钢丝绳</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GM/T3418-2017</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37</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起重机钢丝绳保养、维护、检验和报废</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5972-2016</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38</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起重机检查第1部分；总则</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GB/T23723.1-2016</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39</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 第7部分；杆起重机</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20303.1-2016</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40</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起重机械检查与维护规程第10部分；轻小型起重设备</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20303.1-2016</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41</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起重机械检查与维护规程第1部分；总则</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GB/T31052.10-2016</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42</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 工作和非工作状态下的锚定装置第1部分；总则</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31052.1-2014</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43</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起重机械用电力驱动起升机构能效测试方法</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31051.1-2014</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44</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起重机械用电动机能效测试方法第3部分；锥形转子三相异步电动机</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29562.3-2013</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45</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 通道及安全防护设施第1部分；总则</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24818.1-2009</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46</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 通道及安全防护设施第5部分；桥式和门式起重机</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24818.5-2009</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47</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 载荷与载荷组合的设计原则第5部分；桥式和门式起重机</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GB/T22437.5-2008</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48</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 分级第5部分；桥式和门式起重机</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20863.5-2007</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49</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桥式和门式起重机 制造及轨道安装公差</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10183-2005</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50</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 备件手册</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18875-2002</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51</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 维护手册第1部分；总则</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18453-2001</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52</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起重机和起重机械 技术性能和验收文件</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17908-1999</w:t>
            </w:r>
          </w:p>
        </w:tc>
        <w:tc>
          <w:tcPr>
            <w:tcW w:w="678" w:type="dxa"/>
            <w:vMerge w:val="restart"/>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53</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电动桥式起重机跨度和起升高度系列</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790-1995</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54</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电气设备安全设计导则</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GB/T25295-2010</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55</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起重机械超载保护装置</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 xml:space="preserve">GB/T12602-2009  </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56</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起重机械安全监控管理系统</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GB/T28264-2017</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57</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气焊、手工焊及气保焊焊缝坡口基本形式与尺寸</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GB986-1998</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58</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旋转电机整体结构的防护等级</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GB/T4942.1-2006</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59</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供配电系统设计规范</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GB50052-2016</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60</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低压配电设计规范</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GB50054-2011</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61</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优质碳素结构钢</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GB699-88</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62</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碳素结构钢</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GB700-88</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63</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起重机车轮</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JB/T6392-2008</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64</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重要用途钢丝绳</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GB8918-2006</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65</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低合金结构钢</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GB1348-88</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66</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一般工程用铸造碳钢件</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GB11352-89</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67</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起重机用三合一减速器检验标准与规范(3)</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J8/T9003-2004</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68</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起重机试验规范和规程</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GB5905-2011</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69</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钢熔化焊对接头射线照相和质量分级</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GB/T3323-2005</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70</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焊缝无损检测技术、检测等级和评定</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GB11345-2013</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71</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涂覆涂料前钢材表面处理</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GB/T8923.2-2008</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72</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起重设备安装工程施工及验收规范</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GB50278-2010</w:t>
            </w:r>
          </w:p>
        </w:tc>
        <w:tc>
          <w:tcPr>
            <w:tcW w:w="678" w:type="dxa"/>
            <w:vMerge w:val="restart"/>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73</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电气装置安装工程起重机电气装置施工及验收规范</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GB50256-2014</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bottom"/>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74</w:t>
            </w:r>
          </w:p>
        </w:tc>
        <w:tc>
          <w:tcPr>
            <w:tcW w:w="51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吊车轨道联结及车挡</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05G525</w:t>
            </w:r>
          </w:p>
        </w:tc>
        <w:tc>
          <w:tcPr>
            <w:tcW w:w="678" w:type="dxa"/>
            <w:vMerge w:val="continue"/>
            <w:tcBorders>
              <w:left w:val="single" w:color="auto" w:sz="4" w:space="0"/>
              <w:right w:val="single" w:color="auto" w:sz="4" w:space="0"/>
            </w:tcBorders>
            <w:shd w:val="clear" w:color="auto" w:fill="auto"/>
            <w:vAlign w:val="center"/>
          </w:tcPr>
          <w:p>
            <w:pPr>
              <w:rPr>
                <w:rFonts w:ascii="仿宋" w:hAnsi="仿宋" w:eastAsia="仿宋" w:cs="仿宋"/>
                <w:sz w:val="20"/>
                <w:szCs w:val="20"/>
                <w:highlight w:val="none"/>
              </w:rPr>
            </w:pPr>
          </w:p>
        </w:tc>
      </w:tr>
    </w:tbl>
    <w:p>
      <w:pPr>
        <w:spacing w:line="360" w:lineRule="exact"/>
        <w:rPr>
          <w:rFonts w:ascii="仿宋" w:hAnsi="仿宋" w:eastAsia="仿宋" w:cs="仿宋"/>
          <w:sz w:val="21"/>
          <w:szCs w:val="24"/>
          <w:highlight w:val="none"/>
        </w:rPr>
      </w:pPr>
      <w:r>
        <w:rPr>
          <w:rFonts w:hint="eastAsia" w:ascii="仿宋" w:hAnsi="仿宋" w:eastAsia="仿宋" w:cs="仿宋"/>
          <w:sz w:val="21"/>
          <w:szCs w:val="24"/>
          <w:highlight w:val="none"/>
          <w:lang w:bidi="ar"/>
        </w:rPr>
        <w:t>备注：如果有采用国际标准的货物，其执行标准由投标方提供、招标方确认。</w:t>
      </w:r>
    </w:p>
    <w:p>
      <w:pPr>
        <w:keepNext/>
        <w:keepLines/>
        <w:widowControl w:val="0"/>
        <w:bidi w:val="0"/>
        <w:spacing w:before="10" w:after="10" w:line="360" w:lineRule="auto"/>
        <w:jc w:val="center"/>
        <w:outlineLvl w:val="1"/>
        <w:rPr>
          <w:rFonts w:hint="eastAsia" w:ascii="Cambria" w:hAnsi="Cambria" w:eastAsia="仿宋" w:cs="Times New Roman"/>
          <w:b/>
          <w:bCs/>
          <w:kern w:val="0"/>
          <w:sz w:val="24"/>
          <w:szCs w:val="32"/>
          <w:lang w:val="en-US" w:eastAsia="zh-CN" w:bidi="ar-SA"/>
        </w:rPr>
      </w:pPr>
      <w:bookmarkStart w:id="47" w:name="_Toc11078"/>
      <w:bookmarkStart w:id="48" w:name="_Toc10199"/>
      <w:r>
        <w:rPr>
          <w:rFonts w:hint="eastAsia" w:ascii="Cambria" w:hAnsi="Cambria" w:eastAsia="仿宋" w:cs="Times New Roman"/>
          <w:b/>
          <w:bCs/>
          <w:kern w:val="0"/>
          <w:sz w:val="24"/>
          <w:szCs w:val="32"/>
          <w:lang w:val="en-US" w:eastAsia="zh-CN" w:bidi="ar-SA"/>
        </w:rPr>
        <w:t>第三节 技术规范</w:t>
      </w:r>
      <w:bookmarkEnd w:id="47"/>
      <w:bookmarkEnd w:id="48"/>
    </w:p>
    <w:p>
      <w:pPr>
        <w:keepNext/>
        <w:keepLines/>
        <w:widowControl w:val="0"/>
        <w:bidi w:val="0"/>
        <w:spacing w:before="10" w:after="10" w:line="360" w:lineRule="auto"/>
        <w:jc w:val="left"/>
        <w:outlineLvl w:val="2"/>
        <w:rPr>
          <w:rFonts w:hint="eastAsia" w:ascii="Times New Roman" w:hAnsi="Times New Roman" w:eastAsia="仿宋" w:cs="Times New Roman"/>
          <w:b/>
          <w:bCs/>
          <w:kern w:val="0"/>
          <w:sz w:val="24"/>
          <w:szCs w:val="32"/>
          <w:lang w:val="en-US" w:eastAsia="zh-CN" w:bidi="ar-SA"/>
        </w:rPr>
      </w:pPr>
      <w:bookmarkStart w:id="49" w:name="_Toc23066"/>
      <w:r>
        <w:rPr>
          <w:rFonts w:hint="eastAsia" w:ascii="Times New Roman" w:hAnsi="Times New Roman" w:eastAsia="仿宋" w:cs="Times New Roman"/>
          <w:b/>
          <w:bCs/>
          <w:kern w:val="0"/>
          <w:sz w:val="24"/>
          <w:szCs w:val="32"/>
          <w:lang w:val="en-US" w:eastAsia="zh-CN" w:bidi="ar-SA"/>
        </w:rPr>
        <w:t>3.1统一要求</w:t>
      </w:r>
      <w:bookmarkEnd w:id="49"/>
    </w:p>
    <w:p>
      <w:pPr>
        <w:widowControl w:val="0"/>
        <w:numPr>
          <w:ilvl w:val="2"/>
          <w:numId w:val="10"/>
        </w:numPr>
        <w:snapToGrid w:val="0"/>
        <w:spacing w:line="360" w:lineRule="auto"/>
        <w:ind w:left="709" w:leftChars="0" w:hanging="709"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设备性能要求</w:t>
      </w:r>
    </w:p>
    <w:p>
      <w:pPr>
        <w:widowControl w:val="0"/>
        <w:numPr>
          <w:ilvl w:val="3"/>
          <w:numId w:val="10"/>
        </w:numPr>
        <w:snapToGrid w:val="0"/>
        <w:spacing w:line="360" w:lineRule="auto"/>
        <w:ind w:left="850" w:leftChars="0" w:hanging="85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起重机的设计与制造须运行安全、设计先进、结构合理、操作简单、维修方便，其总体技术水平达到当今国内外同类产品的先进水平。</w:t>
      </w:r>
    </w:p>
    <w:p>
      <w:pPr>
        <w:widowControl w:val="0"/>
        <w:numPr>
          <w:ilvl w:val="3"/>
          <w:numId w:val="10"/>
        </w:numPr>
        <w:snapToGrid w:val="0"/>
        <w:spacing w:line="360" w:lineRule="auto"/>
        <w:ind w:left="850" w:leftChars="0" w:hanging="85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起重机的钢结构、机械系统、电气系统和安全保护装置要符合或高于现行国家有关规范和标准。</w:t>
      </w:r>
    </w:p>
    <w:p>
      <w:pPr>
        <w:widowControl w:val="0"/>
        <w:numPr>
          <w:ilvl w:val="3"/>
          <w:numId w:val="10"/>
        </w:numPr>
        <w:snapToGrid w:val="0"/>
        <w:spacing w:line="360" w:lineRule="auto"/>
        <w:ind w:left="850" w:leftChars="0" w:hanging="85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起重机有足够的强度、刚度、稳定性和抗倾覆性，各机构能安全可靠地运行，震动、噪声、环保均符合现行有关标准的要求，消防和安全均符合ISO国际标准或国家标准。</w:t>
      </w:r>
    </w:p>
    <w:p>
      <w:pPr>
        <w:widowControl w:val="0"/>
        <w:numPr>
          <w:ilvl w:val="3"/>
          <w:numId w:val="10"/>
        </w:numPr>
        <w:snapToGrid w:val="0"/>
        <w:spacing w:line="360" w:lineRule="auto"/>
        <w:ind w:left="850" w:leftChars="0" w:hanging="85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起重机须把充分满足使用方的要求作为最重要的追求目标。</w:t>
      </w:r>
    </w:p>
    <w:p>
      <w:pPr>
        <w:widowControl w:val="0"/>
        <w:numPr>
          <w:ilvl w:val="3"/>
          <w:numId w:val="10"/>
        </w:numPr>
        <w:snapToGrid w:val="0"/>
        <w:spacing w:line="360" w:lineRule="auto"/>
        <w:ind w:left="850" w:leftChars="0" w:hanging="85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起重机的设计图纸和技术文件的制图方法、尺寸、公差配合、符号等都应采用公制体系，并符合ISO现行有关标准或中国现行有关国家标准的规定。</w:t>
      </w:r>
    </w:p>
    <w:p>
      <w:pPr>
        <w:widowControl w:val="0"/>
        <w:numPr>
          <w:ilvl w:val="3"/>
          <w:numId w:val="10"/>
        </w:numPr>
        <w:snapToGrid w:val="0"/>
        <w:spacing w:line="360" w:lineRule="auto"/>
        <w:ind w:left="850" w:leftChars="0" w:hanging="85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起重机钢结构设计合理、结构优化、符合规范和标准，满足强度、刚度和稳定性的要求，设计中应充分考虑现场的工作环境；钢结构的设计必须考虑到制造、检查、运输、安装和维护的方便与可靠性。在满足需求和有关现行规范标准条件下，通过优化设计，最大限度地降低钢结构的重量。</w:t>
      </w:r>
    </w:p>
    <w:p>
      <w:pPr>
        <w:widowControl w:val="0"/>
        <w:numPr>
          <w:ilvl w:val="0"/>
          <w:numId w:val="0"/>
        </w:numPr>
        <w:snapToGrid w:val="0"/>
        <w:spacing w:line="360" w:lineRule="auto"/>
        <w:ind w:left="840" w:leftChars="400" w:firstLine="240" w:firstLineChars="1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所有钢结构件对接焊缝按照国家标准（钢结构超声波探伤标准GB/T3323-2005）进行探伤并且焊接后都要经过抛丸2.5Sa预处理，以达到消除焊接应力和除锈除氧化皮的目的，保证焊接质量。</w:t>
      </w:r>
    </w:p>
    <w:p>
      <w:pPr>
        <w:widowControl w:val="0"/>
        <w:numPr>
          <w:ilvl w:val="0"/>
          <w:numId w:val="0"/>
        </w:numPr>
        <w:snapToGrid w:val="0"/>
        <w:spacing w:line="360" w:lineRule="auto"/>
        <w:ind w:left="840" w:leftChars="400" w:firstLine="240" w:firstLineChars="1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起重机的钢结构主要由主梁、端梁等组成；主梁与端梁采用高强螺栓连接（不低于8.8级），整机精度高和运行平稳。</w:t>
      </w:r>
    </w:p>
    <w:p>
      <w:pPr>
        <w:widowControl w:val="0"/>
        <w:numPr>
          <w:ilvl w:val="2"/>
          <w:numId w:val="10"/>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ascii="仿宋" w:hAnsi="仿宋" w:eastAsia="仿宋" w:cs="仿宋"/>
          <w:kern w:val="0"/>
          <w:sz w:val="24"/>
          <w:szCs w:val="24"/>
          <w:highlight w:val="none"/>
          <w:lang w:val="en-US" w:eastAsia="zh-CN" w:bidi="ar-SA"/>
        </w:rPr>
        <w:t>润滑系统</w:t>
      </w:r>
    </w:p>
    <w:p>
      <w:pPr>
        <w:widowControl w:val="0"/>
        <w:numPr>
          <w:ilvl w:val="3"/>
          <w:numId w:val="10"/>
        </w:numPr>
        <w:snapToGrid w:val="0"/>
        <w:spacing w:line="360" w:lineRule="auto"/>
        <w:ind w:left="850" w:leftChars="0" w:hanging="850" w:firstLineChars="0"/>
        <w:jc w:val="both"/>
        <w:rPr>
          <w:rFonts w:ascii="仿宋" w:hAnsi="仿宋" w:eastAsia="仿宋" w:cs="仿宋"/>
          <w:kern w:val="0"/>
          <w:sz w:val="24"/>
          <w:szCs w:val="24"/>
          <w:highlight w:val="none"/>
          <w:lang w:val="en-US" w:eastAsia="zh-CN" w:bidi="ar-SA"/>
        </w:rPr>
      </w:pPr>
      <w:r>
        <w:rPr>
          <w:rFonts w:ascii="仿宋" w:hAnsi="仿宋" w:eastAsia="仿宋" w:cs="仿宋"/>
          <w:kern w:val="0"/>
          <w:sz w:val="24"/>
          <w:szCs w:val="24"/>
          <w:highlight w:val="none"/>
          <w:lang w:val="en-US" w:eastAsia="zh-CN" w:bidi="ar-SA"/>
        </w:rPr>
        <w:t>各减速箱应有润滑油面显示标记，进出轴和剖分面有良好的密封且不漏</w:t>
      </w:r>
      <w:r>
        <w:rPr>
          <w:rFonts w:hint="eastAsia" w:ascii="仿宋" w:hAnsi="仿宋" w:eastAsia="仿宋" w:cs="仿宋"/>
          <w:kern w:val="0"/>
          <w:sz w:val="24"/>
          <w:szCs w:val="24"/>
          <w:highlight w:val="none"/>
          <w:lang w:val="en-US" w:eastAsia="zh-CN" w:bidi="ar-SA"/>
        </w:rPr>
        <w:t>油。</w:t>
      </w:r>
    </w:p>
    <w:p>
      <w:pPr>
        <w:widowControl w:val="0"/>
        <w:numPr>
          <w:ilvl w:val="3"/>
          <w:numId w:val="10"/>
        </w:numPr>
        <w:snapToGrid w:val="0"/>
        <w:spacing w:line="360" w:lineRule="auto"/>
        <w:ind w:left="850" w:leftChars="0" w:hanging="850" w:firstLineChars="0"/>
        <w:jc w:val="both"/>
        <w:rPr>
          <w:rFonts w:ascii="仿宋" w:hAnsi="仿宋" w:eastAsia="仿宋" w:cs="仿宋"/>
          <w:kern w:val="0"/>
          <w:sz w:val="24"/>
          <w:szCs w:val="24"/>
          <w:highlight w:val="none"/>
          <w:lang w:val="en-US" w:eastAsia="zh-CN" w:bidi="ar-SA"/>
        </w:rPr>
      </w:pPr>
      <w:r>
        <w:rPr>
          <w:rFonts w:ascii="仿宋" w:hAnsi="仿宋" w:eastAsia="仿宋" w:cs="仿宋"/>
          <w:kern w:val="0"/>
          <w:sz w:val="24"/>
          <w:szCs w:val="24"/>
          <w:highlight w:val="none"/>
          <w:lang w:val="en-US" w:eastAsia="zh-CN" w:bidi="ar-SA"/>
        </w:rPr>
        <w:t>起重机的轴承、滑轮及所有运动部件应均能可靠地润滑。润滑的油和脂应适合当地的环境温度，润滑点的位置要便利安全。</w:t>
      </w:r>
    </w:p>
    <w:p>
      <w:pPr>
        <w:widowControl w:val="0"/>
        <w:numPr>
          <w:ilvl w:val="2"/>
          <w:numId w:val="10"/>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ascii="仿宋" w:hAnsi="仿宋" w:eastAsia="仿宋" w:cs="仿宋"/>
          <w:kern w:val="0"/>
          <w:sz w:val="24"/>
          <w:szCs w:val="24"/>
          <w:highlight w:val="none"/>
          <w:lang w:val="en-US" w:eastAsia="zh-CN" w:bidi="ar-SA"/>
        </w:rPr>
        <w:t>其它要求</w:t>
      </w:r>
    </w:p>
    <w:p>
      <w:pPr>
        <w:widowControl w:val="0"/>
        <w:numPr>
          <w:ilvl w:val="3"/>
          <w:numId w:val="10"/>
        </w:numPr>
        <w:snapToGrid w:val="0"/>
        <w:spacing w:line="360" w:lineRule="auto"/>
        <w:ind w:left="850" w:leftChars="0" w:hanging="850" w:firstLineChars="0"/>
        <w:jc w:val="both"/>
        <w:rPr>
          <w:rFonts w:ascii="仿宋" w:hAnsi="仿宋" w:eastAsia="仿宋" w:cs="仿宋"/>
          <w:kern w:val="0"/>
          <w:sz w:val="24"/>
          <w:szCs w:val="24"/>
          <w:highlight w:val="none"/>
          <w:lang w:val="en-US" w:eastAsia="zh-CN" w:bidi="ar-SA"/>
        </w:rPr>
      </w:pPr>
      <w:r>
        <w:rPr>
          <w:rFonts w:ascii="仿宋" w:hAnsi="仿宋" w:eastAsia="仿宋" w:cs="仿宋"/>
          <w:kern w:val="0"/>
          <w:sz w:val="24"/>
          <w:szCs w:val="24"/>
          <w:highlight w:val="none"/>
          <w:lang w:val="en-US" w:eastAsia="zh-CN" w:bidi="ar-SA"/>
        </w:rPr>
        <w:t>电器元件全部采用取得国际或国家电工认证标准的正规厂商产品。</w:t>
      </w:r>
    </w:p>
    <w:p>
      <w:pPr>
        <w:widowControl w:val="0"/>
        <w:numPr>
          <w:ilvl w:val="3"/>
          <w:numId w:val="10"/>
        </w:numPr>
        <w:snapToGrid w:val="0"/>
        <w:spacing w:line="360" w:lineRule="auto"/>
        <w:ind w:left="850" w:leftChars="0" w:hanging="850" w:firstLineChars="0"/>
        <w:jc w:val="both"/>
        <w:rPr>
          <w:rFonts w:ascii="仿宋" w:hAnsi="仿宋" w:eastAsia="仿宋" w:cs="仿宋"/>
          <w:kern w:val="0"/>
          <w:sz w:val="24"/>
          <w:szCs w:val="24"/>
          <w:highlight w:val="none"/>
          <w:lang w:val="en-US" w:eastAsia="zh-CN" w:bidi="ar-SA"/>
        </w:rPr>
      </w:pPr>
      <w:r>
        <w:rPr>
          <w:rFonts w:ascii="仿宋" w:hAnsi="仿宋" w:eastAsia="仿宋" w:cs="仿宋"/>
          <w:kern w:val="0"/>
          <w:sz w:val="24"/>
          <w:szCs w:val="24"/>
          <w:highlight w:val="none"/>
          <w:lang w:val="en-US" w:eastAsia="zh-CN" w:bidi="ar-SA"/>
        </w:rPr>
        <w:t>轴承采用国内外名牌产品，关键部位采用 NSK或 SKF品牌。</w:t>
      </w:r>
    </w:p>
    <w:p>
      <w:pPr>
        <w:widowControl w:val="0"/>
        <w:numPr>
          <w:ilvl w:val="2"/>
          <w:numId w:val="10"/>
        </w:numPr>
        <w:snapToGrid w:val="0"/>
        <w:spacing w:line="360" w:lineRule="auto"/>
        <w:ind w:left="709" w:leftChars="0" w:hanging="709" w:firstLineChars="0"/>
        <w:jc w:val="both"/>
        <w:rPr>
          <w:rFonts w:ascii="仿宋" w:hAnsi="仿宋" w:eastAsia="仿宋" w:cs="Times New Roman"/>
          <w:kern w:val="0"/>
          <w:sz w:val="24"/>
          <w:szCs w:val="24"/>
          <w:highlight w:val="yellow"/>
          <w:lang w:val="en-US" w:eastAsia="zh-CN" w:bidi="ar-SA"/>
        </w:rPr>
      </w:pPr>
      <w:r>
        <w:rPr>
          <w:rFonts w:hint="eastAsia" w:ascii="仿宋" w:hAnsi="仿宋" w:eastAsia="仿宋" w:cs="Times New Roman"/>
          <w:kern w:val="0"/>
          <w:sz w:val="24"/>
          <w:szCs w:val="24"/>
          <w:highlight w:val="yellow"/>
          <w:lang w:val="en-US" w:eastAsia="zh-CN" w:bidi="ar-SA"/>
        </w:rPr>
        <w:t>关重易损件储备2套。</w:t>
      </w:r>
    </w:p>
    <w:p>
      <w:pPr>
        <w:widowControl w:val="0"/>
        <w:numPr>
          <w:ilvl w:val="2"/>
          <w:numId w:val="10"/>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投标货物设备要求</w:t>
      </w:r>
    </w:p>
    <w:p>
      <w:pPr>
        <w:widowControl w:val="0"/>
        <w:numPr>
          <w:ilvl w:val="3"/>
          <w:numId w:val="10"/>
        </w:numPr>
        <w:snapToGrid w:val="0"/>
        <w:spacing w:line="360" w:lineRule="auto"/>
        <w:ind w:left="850" w:leftChars="0" w:hanging="850"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设备规范</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设备设计合理，制造精良，性能稳定可靠，且使用维修方便，造型美观，设备的结构应保证有足够的静态、动态、热稳态刚度。</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设备防护门安全性好，方便操作维修，并配置门联锁，门联锁与PLC数据程序有互锁要求，在安全门未关闭时，设备无法运行。</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设备所用全部轴承、丝杠、导轨选用NSK\SKF\THK及招标方认可的同等级品牌国际名牌产品。</w:t>
      </w:r>
    </w:p>
    <w:p>
      <w:pPr>
        <w:widowControl w:val="0"/>
        <w:numPr>
          <w:ilvl w:val="3"/>
          <w:numId w:val="10"/>
        </w:numPr>
        <w:snapToGrid w:val="0"/>
        <w:spacing w:line="360" w:lineRule="auto"/>
        <w:ind w:left="850" w:leftChars="0" w:hanging="850"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电气规范</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电器柜标准配置采用全封闭式，电器柜加装工业空调，门框加装密封条，保证密封防尘，外形光洁美观；电器柜内的元件须布局合理，元件之间应保证有足够的空间以便于维修，装有维修用电源插座，元件的安装应整齐规范，号码清晰、耐油、不易脱落，电缆线在电气柜内应长短合适、布局美观。</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设备及电气系统必须要做好屏蔽和良好接地；符合相关安全规定、操控部分使用安全电压。</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电器元件全部采用取得国际电工认证标准的正规厂商产品，主要电器元件采用施耐德、西门子、巴鲁夫、TRUCK、IFM等世界著名品牌。</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ascii="仿宋" w:hAnsi="仿宋" w:eastAsia="仿宋" w:cs="仿宋"/>
          <w:kern w:val="0"/>
          <w:sz w:val="24"/>
          <w:szCs w:val="24"/>
          <w:highlight w:val="none"/>
          <w:lang w:val="en-US" w:eastAsia="zh-CN" w:bidi="ar-SA"/>
        </w:rPr>
        <w:t>4</w:t>
      </w:r>
      <w:r>
        <w:rPr>
          <w:rFonts w:hint="eastAsia" w:ascii="仿宋" w:hAnsi="仿宋" w:eastAsia="仿宋" w:cs="仿宋"/>
          <w:kern w:val="0"/>
          <w:sz w:val="24"/>
          <w:szCs w:val="24"/>
          <w:highlight w:val="none"/>
          <w:lang w:val="en-US" w:eastAsia="zh-CN" w:bidi="ar-SA"/>
        </w:rPr>
        <w:t>设备和PLC控制系统采用西门子samrt系列、S1200系列、S1500系列、三菱等世界著名品牌，输入输出点各留20%备用点；主要低压元件采用著名公司产品；气动元件、光电开关、行程开关等均采用国内外知名产品；伺服电机、变频器选用西门子等世界著名品牌。</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电气PLC控制器的电源前端加有隔离变压器和滤波器，防止电网的波动和噪声污染使PLC发生故障。同时通过程序实现完善的互锁保护和报警功能使系统的安全运行得以保证。</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整套设备配备电力计量装置。</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采用LED亮度高、不眩目的照明设施。</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对有电子记忆功能的设备推荐合适的电池或不间断电源设备，以使电子记忆在无电情况下不被消除。</w:t>
      </w:r>
    </w:p>
    <w:p>
      <w:pPr>
        <w:widowControl w:val="0"/>
        <w:numPr>
          <w:ilvl w:val="3"/>
          <w:numId w:val="10"/>
        </w:numPr>
        <w:snapToGrid w:val="0"/>
        <w:spacing w:line="360" w:lineRule="auto"/>
        <w:ind w:left="850" w:leftChars="0" w:hanging="850"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控制系统</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控制系统具备简体中文显示的人机交互界面，应具备数据自动采集、监控并显示、数据存储、历史数据查询、生产线（设备）运行状况及生产活动信息数据等功能。生产线（设备）运行状况及生产活动信息数据不限于以下信息：生产状态统计、产品质量监控与统计、设备运行管控、程序管理等。</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投标方免费提供数据交互功能，交互数据包括但不限于实时数据、历史数据、报警信息等。</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控制系统须具有相应的以太网、总线等通讯接口，且免费开放所有通讯接口，提供系统涉及所有通信协议，包括但不限于以太网、RS232、RS485、PROFIBUS、PROFINET、MODBUS 等常见接口，以及设备特有的专用接口。</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控制系统具备自动、调试、手动功能模式。</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w:t>
      </w:r>
      <w:r>
        <w:rPr>
          <w:rFonts w:ascii="仿宋" w:hAnsi="仿宋" w:eastAsia="仿宋" w:cs="仿宋"/>
          <w:kern w:val="0"/>
          <w:sz w:val="24"/>
          <w:szCs w:val="24"/>
          <w:highlight w:val="none"/>
          <w:lang w:val="en-US" w:eastAsia="zh-CN" w:bidi="ar-SA"/>
        </w:rPr>
        <w:t>必须提供所有设备程序的源代码，包括但不限于 PLC</w:t>
      </w:r>
      <w:r>
        <w:rPr>
          <w:rFonts w:hint="eastAsia" w:ascii="仿宋" w:hAnsi="仿宋" w:eastAsia="仿宋" w:cs="仿宋"/>
          <w:kern w:val="0"/>
          <w:sz w:val="24"/>
          <w:szCs w:val="24"/>
          <w:highlight w:val="none"/>
          <w:lang w:val="en-US" w:eastAsia="zh-CN" w:bidi="ar-SA"/>
        </w:rPr>
        <w:t>程序、HMI 程序、机器人程序、视觉程序、伺服等。</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w:t>
      </w:r>
      <w:r>
        <w:rPr>
          <w:rFonts w:ascii="仿宋" w:hAnsi="仿宋" w:eastAsia="仿宋" w:cs="仿宋"/>
          <w:kern w:val="0"/>
          <w:sz w:val="24"/>
          <w:szCs w:val="24"/>
          <w:highlight w:val="none"/>
          <w:lang w:val="en-US" w:eastAsia="zh-CN" w:bidi="ar-SA"/>
        </w:rPr>
        <w:t>所提供的程序不得设置任何密码、保护等限制手段，</w:t>
      </w:r>
      <w:r>
        <w:rPr>
          <w:rFonts w:hint="eastAsia" w:ascii="仿宋" w:hAnsi="仿宋" w:eastAsia="仿宋" w:cs="仿宋"/>
          <w:kern w:val="0"/>
          <w:sz w:val="24"/>
          <w:szCs w:val="24"/>
          <w:highlight w:val="none"/>
          <w:lang w:val="en-US" w:eastAsia="zh-CN" w:bidi="ar-SA"/>
        </w:rPr>
        <w:t>PLC 不得设置修改下载权限，功能块不得设置密码保护。HMI界面等需要密码保护的程序，投标方必须提供所有级别的用户名、密码。</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投标方需在设备入场前提供设备程序源码，HMI 界面各级用户名和密码，并保证与现场程序一致。</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投标方需在终验收前提供最新的设备程序源码和电气图纸，图纸要求为可编辑原格式（EPLAN、CAD 格式）且与实际接线一致。</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投标方提供系统恢复盘（备份），在系统出现故障需要重装系统时，保证招标方自主重装系统后，控制系统能后恢复到投标方调试完成最终交付时的状态。</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项目若包含在线监控或 MES 系统，所属 MES 系统均应将所提取数据传输至重汽 IOT 平台,并由I0T 平台再传输至厂家 MES系统内。</w:t>
      </w:r>
    </w:p>
    <w:p>
      <w:pPr>
        <w:widowControl w:val="0"/>
        <w:numPr>
          <w:ilvl w:val="2"/>
          <w:numId w:val="10"/>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本项目供货及品牌清单</w:t>
      </w:r>
    </w:p>
    <w:tbl>
      <w:tblPr>
        <w:tblStyle w:val="37"/>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515"/>
        <w:gridCol w:w="842"/>
        <w:gridCol w:w="1120"/>
        <w:gridCol w:w="1077"/>
        <w:gridCol w:w="1134"/>
        <w:gridCol w:w="9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widowControl w:val="0"/>
              <w:snapToGrid w:val="0"/>
              <w:spacing w:line="240" w:lineRule="auto"/>
              <w:ind w:firstLine="0" w:firstLineChars="0"/>
              <w:jc w:val="center"/>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序号</w:t>
            </w:r>
          </w:p>
        </w:tc>
        <w:tc>
          <w:tcPr>
            <w:tcW w:w="1515" w:type="dxa"/>
            <w:vAlign w:val="center"/>
          </w:tcPr>
          <w:p>
            <w:pPr>
              <w:widowControl w:val="0"/>
              <w:snapToGrid w:val="0"/>
              <w:spacing w:line="240" w:lineRule="auto"/>
              <w:ind w:firstLine="0" w:firstLineChars="0"/>
              <w:jc w:val="center"/>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名称</w:t>
            </w:r>
          </w:p>
        </w:tc>
        <w:tc>
          <w:tcPr>
            <w:tcW w:w="842" w:type="dxa"/>
            <w:vAlign w:val="center"/>
          </w:tcPr>
          <w:p>
            <w:pPr>
              <w:widowControl w:val="0"/>
              <w:snapToGrid w:val="0"/>
              <w:spacing w:line="240" w:lineRule="auto"/>
              <w:ind w:firstLine="0" w:firstLineChars="0"/>
              <w:jc w:val="center"/>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数量</w:t>
            </w:r>
          </w:p>
        </w:tc>
        <w:tc>
          <w:tcPr>
            <w:tcW w:w="1120" w:type="dxa"/>
            <w:vAlign w:val="center"/>
          </w:tcPr>
          <w:p>
            <w:pPr>
              <w:widowControl w:val="0"/>
              <w:snapToGrid w:val="0"/>
              <w:spacing w:line="240" w:lineRule="auto"/>
              <w:ind w:firstLine="0" w:firstLineChars="0"/>
              <w:jc w:val="center"/>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品牌1</w:t>
            </w:r>
          </w:p>
        </w:tc>
        <w:tc>
          <w:tcPr>
            <w:tcW w:w="1077" w:type="dxa"/>
            <w:vAlign w:val="center"/>
          </w:tcPr>
          <w:p>
            <w:pPr>
              <w:widowControl w:val="0"/>
              <w:snapToGrid w:val="0"/>
              <w:spacing w:line="240" w:lineRule="auto"/>
              <w:ind w:firstLine="0" w:firstLineChars="0"/>
              <w:jc w:val="center"/>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品牌2</w:t>
            </w:r>
          </w:p>
        </w:tc>
        <w:tc>
          <w:tcPr>
            <w:tcW w:w="1134" w:type="dxa"/>
            <w:vAlign w:val="center"/>
          </w:tcPr>
          <w:p>
            <w:pPr>
              <w:widowControl w:val="0"/>
              <w:snapToGrid w:val="0"/>
              <w:spacing w:line="240" w:lineRule="auto"/>
              <w:ind w:firstLine="0" w:firstLineChars="0"/>
              <w:jc w:val="center"/>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品牌3</w:t>
            </w:r>
          </w:p>
        </w:tc>
        <w:tc>
          <w:tcPr>
            <w:tcW w:w="990" w:type="dxa"/>
            <w:vAlign w:val="center"/>
          </w:tcPr>
          <w:p>
            <w:pPr>
              <w:widowControl w:val="0"/>
              <w:snapToGrid w:val="0"/>
              <w:spacing w:line="240" w:lineRule="auto"/>
              <w:ind w:firstLine="0" w:firstLineChars="0"/>
              <w:jc w:val="center"/>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可验证阶段</w:t>
            </w:r>
          </w:p>
        </w:tc>
        <w:tc>
          <w:tcPr>
            <w:tcW w:w="990" w:type="dxa"/>
            <w:vAlign w:val="center"/>
          </w:tcPr>
          <w:p>
            <w:pPr>
              <w:widowControl w:val="0"/>
              <w:snapToGrid w:val="0"/>
              <w:spacing w:line="240" w:lineRule="auto"/>
              <w:ind w:firstLine="0" w:firstLineChars="0"/>
              <w:jc w:val="center"/>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widowControl/>
              <w:jc w:val="center"/>
              <w:textAlignment w:val="center"/>
              <w:rPr>
                <w:rFonts w:ascii="仿宋" w:hAnsi="仿宋" w:eastAsia="仿宋" w:cs="仿宋"/>
                <w:strike/>
                <w:color w:val="000000"/>
                <w:sz w:val="24"/>
                <w:szCs w:val="24"/>
                <w:highlight w:val="none"/>
              </w:rPr>
            </w:pPr>
          </w:p>
        </w:tc>
        <w:tc>
          <w:tcPr>
            <w:tcW w:w="1515" w:type="dxa"/>
            <w:vAlign w:val="center"/>
          </w:tcPr>
          <w:p>
            <w:pPr>
              <w:widowControl/>
              <w:jc w:val="left"/>
              <w:textAlignment w:val="center"/>
              <w:rPr>
                <w:rFonts w:ascii="仿宋" w:hAnsi="仿宋" w:eastAsia="仿宋" w:cs="仿宋"/>
                <w:strike/>
                <w:color w:val="000000"/>
                <w:sz w:val="24"/>
                <w:szCs w:val="24"/>
                <w:highlight w:val="none"/>
              </w:rPr>
            </w:pPr>
          </w:p>
        </w:tc>
        <w:tc>
          <w:tcPr>
            <w:tcW w:w="842" w:type="dxa"/>
          </w:tcPr>
          <w:p>
            <w:pPr>
              <w:widowControl w:val="0"/>
              <w:snapToGrid w:val="0"/>
              <w:spacing w:line="240" w:lineRule="auto"/>
              <w:ind w:firstLine="477" w:firstLineChars="199"/>
              <w:jc w:val="both"/>
              <w:rPr>
                <w:rFonts w:ascii="仿宋" w:hAnsi="仿宋" w:eastAsia="仿宋" w:cs="仿宋"/>
                <w:strike/>
                <w:kern w:val="0"/>
                <w:sz w:val="24"/>
                <w:szCs w:val="24"/>
                <w:highlight w:val="none"/>
                <w:lang w:val="en-US" w:eastAsia="zh-CN" w:bidi="ar-SA"/>
              </w:rPr>
            </w:pPr>
          </w:p>
        </w:tc>
        <w:tc>
          <w:tcPr>
            <w:tcW w:w="1120" w:type="dxa"/>
          </w:tcPr>
          <w:p>
            <w:pPr>
              <w:widowControl w:val="0"/>
              <w:snapToGrid w:val="0"/>
              <w:spacing w:line="240" w:lineRule="auto"/>
              <w:ind w:firstLine="477" w:firstLineChars="199"/>
              <w:jc w:val="both"/>
              <w:rPr>
                <w:rFonts w:ascii="仿宋" w:hAnsi="仿宋" w:eastAsia="仿宋" w:cs="仿宋"/>
                <w:strike/>
                <w:kern w:val="0"/>
                <w:sz w:val="24"/>
                <w:szCs w:val="24"/>
                <w:highlight w:val="none"/>
                <w:lang w:val="en-US" w:eastAsia="zh-CN" w:bidi="ar-SA"/>
              </w:rPr>
            </w:pPr>
          </w:p>
        </w:tc>
        <w:tc>
          <w:tcPr>
            <w:tcW w:w="1077" w:type="dxa"/>
          </w:tcPr>
          <w:p>
            <w:pPr>
              <w:widowControl w:val="0"/>
              <w:snapToGrid w:val="0"/>
              <w:spacing w:line="240" w:lineRule="auto"/>
              <w:ind w:firstLine="477" w:firstLineChars="199"/>
              <w:jc w:val="both"/>
              <w:rPr>
                <w:rFonts w:ascii="仿宋" w:hAnsi="仿宋" w:eastAsia="仿宋" w:cs="仿宋"/>
                <w:strike/>
                <w:kern w:val="0"/>
                <w:sz w:val="24"/>
                <w:szCs w:val="24"/>
                <w:highlight w:val="none"/>
                <w:lang w:val="en-US" w:eastAsia="zh-CN" w:bidi="ar-SA"/>
              </w:rPr>
            </w:pPr>
          </w:p>
        </w:tc>
        <w:tc>
          <w:tcPr>
            <w:tcW w:w="1134" w:type="dxa"/>
          </w:tcPr>
          <w:p>
            <w:pPr>
              <w:widowControl w:val="0"/>
              <w:snapToGrid w:val="0"/>
              <w:spacing w:line="240" w:lineRule="auto"/>
              <w:ind w:firstLine="477" w:firstLineChars="199"/>
              <w:jc w:val="both"/>
              <w:rPr>
                <w:rFonts w:ascii="仿宋" w:hAnsi="仿宋" w:eastAsia="仿宋" w:cs="仿宋"/>
                <w:strike/>
                <w:kern w:val="0"/>
                <w:sz w:val="24"/>
                <w:szCs w:val="24"/>
                <w:highlight w:val="none"/>
                <w:lang w:val="en-US" w:eastAsia="zh-CN" w:bidi="ar-SA"/>
              </w:rPr>
            </w:pPr>
          </w:p>
        </w:tc>
        <w:tc>
          <w:tcPr>
            <w:tcW w:w="990" w:type="dxa"/>
          </w:tcPr>
          <w:p>
            <w:pPr>
              <w:widowControl w:val="0"/>
              <w:snapToGrid w:val="0"/>
              <w:spacing w:line="240" w:lineRule="auto"/>
              <w:ind w:firstLine="0" w:firstLineChars="0"/>
              <w:jc w:val="both"/>
              <w:rPr>
                <w:rFonts w:ascii="仿宋" w:hAnsi="仿宋" w:eastAsia="仿宋" w:cs="仿宋"/>
                <w:strike/>
                <w:kern w:val="0"/>
                <w:sz w:val="24"/>
                <w:szCs w:val="24"/>
                <w:highlight w:val="none"/>
                <w:lang w:val="en-US" w:eastAsia="zh-CN" w:bidi="ar-SA"/>
              </w:rPr>
            </w:pPr>
          </w:p>
        </w:tc>
        <w:tc>
          <w:tcPr>
            <w:tcW w:w="990" w:type="dxa"/>
          </w:tcPr>
          <w:p>
            <w:pPr>
              <w:widowControl w:val="0"/>
              <w:snapToGrid w:val="0"/>
              <w:spacing w:line="240" w:lineRule="auto"/>
              <w:ind w:firstLine="0" w:firstLineChars="0"/>
              <w:jc w:val="both"/>
              <w:rPr>
                <w:rFonts w:ascii="仿宋" w:hAnsi="仿宋" w:eastAsia="仿宋" w:cs="仿宋"/>
                <w:strike/>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widowControl/>
              <w:jc w:val="center"/>
              <w:textAlignment w:val="center"/>
              <w:rPr>
                <w:rFonts w:ascii="仿宋" w:hAnsi="仿宋" w:eastAsia="仿宋" w:cs="仿宋"/>
                <w:strike/>
                <w:color w:val="000000"/>
                <w:sz w:val="24"/>
                <w:szCs w:val="24"/>
                <w:highlight w:val="none"/>
              </w:rPr>
            </w:pPr>
          </w:p>
        </w:tc>
        <w:tc>
          <w:tcPr>
            <w:tcW w:w="1515" w:type="dxa"/>
            <w:vAlign w:val="center"/>
          </w:tcPr>
          <w:p>
            <w:pPr>
              <w:widowControl/>
              <w:jc w:val="left"/>
              <w:textAlignment w:val="center"/>
              <w:rPr>
                <w:rFonts w:ascii="仿宋" w:hAnsi="仿宋" w:eastAsia="仿宋" w:cs="仿宋"/>
                <w:strike/>
                <w:color w:val="000000"/>
                <w:sz w:val="24"/>
                <w:szCs w:val="24"/>
                <w:highlight w:val="none"/>
              </w:rPr>
            </w:pPr>
          </w:p>
        </w:tc>
        <w:tc>
          <w:tcPr>
            <w:tcW w:w="842" w:type="dxa"/>
          </w:tcPr>
          <w:p>
            <w:pPr>
              <w:widowControl w:val="0"/>
              <w:snapToGrid w:val="0"/>
              <w:spacing w:line="240" w:lineRule="auto"/>
              <w:ind w:firstLine="477" w:firstLineChars="199"/>
              <w:jc w:val="both"/>
              <w:rPr>
                <w:rFonts w:ascii="仿宋" w:hAnsi="仿宋" w:eastAsia="仿宋" w:cs="仿宋"/>
                <w:strike/>
                <w:kern w:val="0"/>
                <w:sz w:val="24"/>
                <w:szCs w:val="24"/>
                <w:highlight w:val="none"/>
                <w:lang w:val="en-US" w:eastAsia="zh-CN" w:bidi="ar-SA"/>
              </w:rPr>
            </w:pPr>
          </w:p>
        </w:tc>
        <w:tc>
          <w:tcPr>
            <w:tcW w:w="1120" w:type="dxa"/>
          </w:tcPr>
          <w:p>
            <w:pPr>
              <w:widowControl w:val="0"/>
              <w:snapToGrid w:val="0"/>
              <w:spacing w:line="240" w:lineRule="auto"/>
              <w:ind w:firstLine="0" w:firstLineChars="0"/>
              <w:jc w:val="both"/>
              <w:rPr>
                <w:rFonts w:ascii="仿宋" w:hAnsi="仿宋" w:eastAsia="仿宋" w:cs="仿宋"/>
                <w:strike/>
                <w:kern w:val="0"/>
                <w:sz w:val="24"/>
                <w:szCs w:val="24"/>
                <w:highlight w:val="none"/>
                <w:lang w:val="en-US" w:eastAsia="zh-CN" w:bidi="ar-SA"/>
              </w:rPr>
            </w:pPr>
          </w:p>
        </w:tc>
        <w:tc>
          <w:tcPr>
            <w:tcW w:w="1077" w:type="dxa"/>
          </w:tcPr>
          <w:p>
            <w:pPr>
              <w:widowControl w:val="0"/>
              <w:snapToGrid w:val="0"/>
              <w:spacing w:line="240" w:lineRule="auto"/>
              <w:ind w:firstLine="477" w:firstLineChars="199"/>
              <w:jc w:val="both"/>
              <w:rPr>
                <w:rFonts w:ascii="仿宋" w:hAnsi="仿宋" w:eastAsia="仿宋" w:cs="仿宋"/>
                <w:strike/>
                <w:kern w:val="0"/>
                <w:sz w:val="24"/>
                <w:szCs w:val="24"/>
                <w:highlight w:val="none"/>
                <w:lang w:val="en-US" w:eastAsia="zh-CN" w:bidi="ar-SA"/>
              </w:rPr>
            </w:pPr>
          </w:p>
        </w:tc>
        <w:tc>
          <w:tcPr>
            <w:tcW w:w="1134" w:type="dxa"/>
          </w:tcPr>
          <w:p>
            <w:pPr>
              <w:widowControl w:val="0"/>
              <w:snapToGrid w:val="0"/>
              <w:spacing w:line="240" w:lineRule="auto"/>
              <w:ind w:firstLine="477" w:firstLineChars="199"/>
              <w:jc w:val="both"/>
              <w:rPr>
                <w:rFonts w:ascii="仿宋" w:hAnsi="仿宋" w:eastAsia="仿宋" w:cs="仿宋"/>
                <w:strike/>
                <w:kern w:val="0"/>
                <w:sz w:val="24"/>
                <w:szCs w:val="24"/>
                <w:highlight w:val="none"/>
                <w:lang w:val="en-US" w:eastAsia="zh-CN" w:bidi="ar-SA"/>
              </w:rPr>
            </w:pPr>
          </w:p>
        </w:tc>
        <w:tc>
          <w:tcPr>
            <w:tcW w:w="990" w:type="dxa"/>
          </w:tcPr>
          <w:p>
            <w:pPr>
              <w:widowControl w:val="0"/>
              <w:snapToGrid w:val="0"/>
              <w:spacing w:line="240" w:lineRule="auto"/>
              <w:ind w:firstLine="0" w:firstLineChars="0"/>
              <w:jc w:val="both"/>
              <w:rPr>
                <w:rFonts w:ascii="仿宋" w:hAnsi="仿宋" w:eastAsia="仿宋" w:cs="仿宋"/>
                <w:strike/>
                <w:kern w:val="0"/>
                <w:sz w:val="24"/>
                <w:szCs w:val="24"/>
                <w:highlight w:val="none"/>
                <w:lang w:val="en-US" w:eastAsia="zh-CN" w:bidi="ar-SA"/>
              </w:rPr>
            </w:pPr>
          </w:p>
        </w:tc>
        <w:tc>
          <w:tcPr>
            <w:tcW w:w="990" w:type="dxa"/>
          </w:tcPr>
          <w:p>
            <w:pPr>
              <w:widowControl w:val="0"/>
              <w:snapToGrid w:val="0"/>
              <w:spacing w:line="240" w:lineRule="auto"/>
              <w:ind w:firstLine="0" w:firstLineChars="0"/>
              <w:jc w:val="both"/>
              <w:rPr>
                <w:rFonts w:ascii="仿宋" w:hAnsi="仿宋" w:eastAsia="仿宋" w:cs="仿宋"/>
                <w:strike/>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widowControl/>
              <w:jc w:val="center"/>
              <w:textAlignment w:val="center"/>
              <w:rPr>
                <w:rFonts w:ascii="仿宋" w:hAnsi="仿宋" w:eastAsia="仿宋" w:cs="仿宋"/>
                <w:strike/>
                <w:color w:val="000000"/>
                <w:kern w:val="0"/>
                <w:sz w:val="24"/>
                <w:szCs w:val="24"/>
                <w:highlight w:val="none"/>
                <w:lang w:bidi="ar"/>
              </w:rPr>
            </w:pPr>
          </w:p>
        </w:tc>
        <w:tc>
          <w:tcPr>
            <w:tcW w:w="1515" w:type="dxa"/>
            <w:vAlign w:val="center"/>
          </w:tcPr>
          <w:p>
            <w:pPr>
              <w:widowControl/>
              <w:jc w:val="left"/>
              <w:textAlignment w:val="center"/>
              <w:rPr>
                <w:rFonts w:ascii="仿宋" w:hAnsi="仿宋" w:eastAsia="仿宋" w:cs="仿宋"/>
                <w:strike/>
                <w:color w:val="000000"/>
                <w:kern w:val="0"/>
                <w:sz w:val="24"/>
                <w:szCs w:val="24"/>
                <w:highlight w:val="none"/>
                <w:lang w:bidi="ar"/>
              </w:rPr>
            </w:pPr>
          </w:p>
        </w:tc>
        <w:tc>
          <w:tcPr>
            <w:tcW w:w="842" w:type="dxa"/>
          </w:tcPr>
          <w:p>
            <w:pPr>
              <w:widowControl w:val="0"/>
              <w:snapToGrid w:val="0"/>
              <w:spacing w:line="240" w:lineRule="auto"/>
              <w:ind w:firstLine="477" w:firstLineChars="199"/>
              <w:jc w:val="both"/>
              <w:rPr>
                <w:rFonts w:ascii="仿宋" w:hAnsi="仿宋" w:eastAsia="仿宋" w:cs="仿宋"/>
                <w:strike/>
                <w:kern w:val="0"/>
                <w:sz w:val="24"/>
                <w:szCs w:val="24"/>
                <w:highlight w:val="none"/>
                <w:lang w:val="en-US" w:eastAsia="zh-CN" w:bidi="ar-SA"/>
              </w:rPr>
            </w:pPr>
          </w:p>
        </w:tc>
        <w:tc>
          <w:tcPr>
            <w:tcW w:w="1120" w:type="dxa"/>
          </w:tcPr>
          <w:p>
            <w:pPr>
              <w:widowControl w:val="0"/>
              <w:snapToGrid w:val="0"/>
              <w:spacing w:line="240" w:lineRule="auto"/>
              <w:ind w:firstLine="477" w:firstLineChars="199"/>
              <w:jc w:val="both"/>
              <w:rPr>
                <w:rFonts w:ascii="仿宋" w:hAnsi="仿宋" w:eastAsia="仿宋" w:cs="仿宋"/>
                <w:strike/>
                <w:kern w:val="0"/>
                <w:sz w:val="24"/>
                <w:szCs w:val="24"/>
                <w:highlight w:val="none"/>
                <w:lang w:val="en-US" w:eastAsia="zh-CN" w:bidi="ar-SA"/>
              </w:rPr>
            </w:pPr>
          </w:p>
        </w:tc>
        <w:tc>
          <w:tcPr>
            <w:tcW w:w="1077" w:type="dxa"/>
          </w:tcPr>
          <w:p>
            <w:pPr>
              <w:widowControl w:val="0"/>
              <w:snapToGrid w:val="0"/>
              <w:spacing w:line="240" w:lineRule="auto"/>
              <w:ind w:firstLine="477" w:firstLineChars="199"/>
              <w:jc w:val="both"/>
              <w:rPr>
                <w:rFonts w:ascii="仿宋" w:hAnsi="仿宋" w:eastAsia="仿宋" w:cs="仿宋"/>
                <w:strike/>
                <w:kern w:val="0"/>
                <w:sz w:val="24"/>
                <w:szCs w:val="24"/>
                <w:highlight w:val="none"/>
                <w:lang w:val="en-US" w:eastAsia="zh-CN" w:bidi="ar-SA"/>
              </w:rPr>
            </w:pPr>
          </w:p>
        </w:tc>
        <w:tc>
          <w:tcPr>
            <w:tcW w:w="1134" w:type="dxa"/>
          </w:tcPr>
          <w:p>
            <w:pPr>
              <w:widowControl w:val="0"/>
              <w:snapToGrid w:val="0"/>
              <w:spacing w:line="240" w:lineRule="auto"/>
              <w:ind w:firstLine="477" w:firstLineChars="199"/>
              <w:jc w:val="both"/>
              <w:rPr>
                <w:rFonts w:ascii="仿宋" w:hAnsi="仿宋" w:eastAsia="仿宋" w:cs="仿宋"/>
                <w:strike/>
                <w:kern w:val="0"/>
                <w:sz w:val="24"/>
                <w:szCs w:val="24"/>
                <w:highlight w:val="none"/>
                <w:lang w:val="en-US" w:eastAsia="zh-CN" w:bidi="ar-SA"/>
              </w:rPr>
            </w:pPr>
          </w:p>
        </w:tc>
        <w:tc>
          <w:tcPr>
            <w:tcW w:w="990" w:type="dxa"/>
          </w:tcPr>
          <w:p>
            <w:pPr>
              <w:widowControl w:val="0"/>
              <w:snapToGrid w:val="0"/>
              <w:spacing w:line="240" w:lineRule="auto"/>
              <w:ind w:firstLine="0" w:firstLineChars="0"/>
              <w:jc w:val="both"/>
              <w:rPr>
                <w:rFonts w:ascii="仿宋" w:hAnsi="仿宋" w:eastAsia="仿宋" w:cs="仿宋"/>
                <w:strike/>
                <w:kern w:val="0"/>
                <w:sz w:val="24"/>
                <w:szCs w:val="24"/>
                <w:highlight w:val="none"/>
                <w:lang w:val="en-US" w:eastAsia="zh-CN" w:bidi="ar-SA"/>
              </w:rPr>
            </w:pPr>
          </w:p>
        </w:tc>
        <w:tc>
          <w:tcPr>
            <w:tcW w:w="990" w:type="dxa"/>
          </w:tcPr>
          <w:p>
            <w:pPr>
              <w:widowControl w:val="0"/>
              <w:snapToGrid w:val="0"/>
              <w:spacing w:line="240" w:lineRule="auto"/>
              <w:ind w:firstLine="0" w:firstLineChars="0"/>
              <w:jc w:val="both"/>
              <w:rPr>
                <w:rFonts w:ascii="仿宋" w:hAnsi="仿宋" w:eastAsia="仿宋" w:cs="仿宋"/>
                <w:strike/>
                <w:kern w:val="0"/>
                <w:sz w:val="24"/>
                <w:szCs w:val="24"/>
                <w:highlight w:val="none"/>
                <w:lang w:val="en-US" w:eastAsia="zh-CN" w:bidi="ar-SA"/>
              </w:rPr>
            </w:pPr>
          </w:p>
        </w:tc>
      </w:tr>
    </w:tbl>
    <w:p>
      <w:pPr>
        <w:widowControl w:val="0"/>
        <w:numPr>
          <w:ilvl w:val="0"/>
          <w:numId w:val="0"/>
        </w:numPr>
        <w:snapToGrid w:val="0"/>
        <w:spacing w:line="360" w:lineRule="auto"/>
        <w:ind w:leftChars="0" w:firstLine="420" w:firstLineChars="199"/>
        <w:jc w:val="both"/>
        <w:rPr>
          <w:rFonts w:ascii="仿宋" w:hAnsi="仿宋" w:eastAsia="仿宋" w:cs="仿宋"/>
          <w:color w:val="0000FF"/>
          <w:kern w:val="0"/>
          <w:sz w:val="24"/>
          <w:szCs w:val="24"/>
          <w:highlight w:val="none"/>
          <w:lang w:val="en-US" w:eastAsia="zh-CN" w:bidi="ar-SA"/>
        </w:rPr>
      </w:pPr>
      <w:r>
        <w:rPr>
          <w:rFonts w:hint="eastAsia" w:ascii="仿宋" w:hAnsi="仿宋" w:eastAsia="仿宋" w:cs="仿宋"/>
          <w:b/>
          <w:kern w:val="2"/>
          <w:sz w:val="21"/>
          <w:szCs w:val="21"/>
          <w:highlight w:val="none"/>
          <w:lang w:val="en-US" w:eastAsia="zh-CN" w:bidi="ar"/>
        </w:rPr>
        <w:t>注：</w:t>
      </w:r>
      <w:r>
        <w:rPr>
          <w:rFonts w:hint="eastAsia" w:ascii="仿宋" w:hAnsi="仿宋" w:eastAsia="仿宋" w:cs="仿宋"/>
          <w:bCs/>
          <w:kern w:val="2"/>
          <w:sz w:val="21"/>
          <w:szCs w:val="21"/>
          <w:highlight w:val="none"/>
          <w:lang w:val="en-US" w:eastAsia="zh-CN" w:bidi="ar"/>
        </w:rPr>
        <w:t>1.</w:t>
      </w:r>
      <w:r>
        <w:rPr>
          <w:rFonts w:hint="eastAsia" w:ascii="仿宋" w:hAnsi="仿宋" w:eastAsia="仿宋" w:cs="仿宋"/>
          <w:kern w:val="2"/>
          <w:sz w:val="21"/>
          <w:szCs w:val="21"/>
          <w:highlight w:val="none"/>
          <w:lang w:val="en-US" w:eastAsia="zh-CN" w:bidi="ar"/>
        </w:rPr>
        <w:t>未注明国产或进口的元件均按进口元件选定；</w:t>
      </w:r>
      <w:r>
        <w:rPr>
          <w:rFonts w:hint="eastAsia" w:ascii="仿宋" w:hAnsi="仿宋" w:eastAsia="仿宋" w:cs="仿宋"/>
          <w:b/>
          <w:kern w:val="2"/>
          <w:sz w:val="21"/>
          <w:szCs w:val="21"/>
          <w:highlight w:val="none"/>
          <w:lang w:val="en-US" w:eastAsia="zh-CN" w:bidi="ar"/>
        </w:rPr>
        <w:t>2.</w:t>
      </w:r>
      <w:r>
        <w:rPr>
          <w:rFonts w:hint="eastAsia" w:ascii="仿宋" w:hAnsi="仿宋" w:eastAsia="仿宋" w:cs="仿宋"/>
          <w:kern w:val="2"/>
          <w:sz w:val="21"/>
          <w:szCs w:val="21"/>
          <w:highlight w:val="none"/>
          <w:lang w:val="en-US" w:eastAsia="zh-CN" w:bidi="ar"/>
        </w:rPr>
        <w:t>出现不能满足附表选型时，应与招标方进行协商，必须取得招标方的批准；</w:t>
      </w:r>
      <w:r>
        <w:rPr>
          <w:rFonts w:hint="eastAsia" w:ascii="仿宋" w:hAnsi="仿宋" w:eastAsia="仿宋" w:cs="仿宋"/>
          <w:b/>
          <w:kern w:val="2"/>
          <w:sz w:val="21"/>
          <w:szCs w:val="21"/>
          <w:highlight w:val="none"/>
          <w:lang w:val="en-US" w:eastAsia="zh-CN" w:bidi="ar"/>
        </w:rPr>
        <w:t>3.</w:t>
      </w:r>
      <w:r>
        <w:rPr>
          <w:rFonts w:hint="eastAsia" w:ascii="仿宋" w:hAnsi="仿宋" w:eastAsia="仿宋" w:cs="仿宋"/>
          <w:kern w:val="2"/>
          <w:sz w:val="21"/>
          <w:szCs w:val="21"/>
          <w:highlight w:val="none"/>
          <w:lang w:val="en-US" w:eastAsia="zh-CN" w:bidi="ar"/>
        </w:rPr>
        <w:t>所有电气零部件保护等级须符合IEC：IP-54以上，如工艺要求更高的防护以实际工艺要求为准。</w:t>
      </w:r>
    </w:p>
    <w:p>
      <w:pPr>
        <w:widowControl w:val="0"/>
        <w:numPr>
          <w:ilvl w:val="2"/>
          <w:numId w:val="10"/>
        </w:numPr>
        <w:snapToGrid w:val="0"/>
        <w:spacing w:line="360" w:lineRule="auto"/>
        <w:ind w:left="709" w:leftChars="0" w:hanging="709" w:firstLineChars="0"/>
        <w:jc w:val="both"/>
        <w:rPr>
          <w:rFonts w:ascii="仿宋" w:hAnsi="仿宋" w:eastAsia="仿宋" w:cs="仿宋"/>
          <w:color w:val="0000FF"/>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其它主要要求</w:t>
      </w:r>
    </w:p>
    <w:p>
      <w:pPr>
        <w:widowControl w:val="0"/>
        <w:numPr>
          <w:ilvl w:val="3"/>
          <w:numId w:val="10"/>
        </w:numPr>
        <w:snapToGrid w:val="0"/>
        <w:spacing w:line="360" w:lineRule="auto"/>
        <w:ind w:left="850" w:leftChars="0" w:hanging="850"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防错要求</w:t>
      </w:r>
    </w:p>
    <w:p>
      <w:pPr>
        <w:widowControl w:val="0"/>
        <w:numPr>
          <w:ilvl w:val="0"/>
          <w:numId w:val="0"/>
        </w:numPr>
        <w:snapToGrid w:val="0"/>
        <w:spacing w:line="360" w:lineRule="auto"/>
        <w:ind w:leftChars="0"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按照中国重汽安全环保标准，验收过程中排查到的安全操作隐患，根据招标方要求制定防错措施，主要包括安全锁、张贴安全警示标识等。</w:t>
      </w:r>
    </w:p>
    <w:p>
      <w:pPr>
        <w:widowControl w:val="0"/>
        <w:numPr>
          <w:ilvl w:val="3"/>
          <w:numId w:val="10"/>
        </w:numPr>
        <w:snapToGrid w:val="0"/>
        <w:spacing w:line="360" w:lineRule="auto"/>
        <w:ind w:left="850" w:leftChars="0" w:hanging="850"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项目用能统计</w:t>
      </w:r>
    </w:p>
    <w:tbl>
      <w:tblPr>
        <w:tblStyle w:val="36"/>
        <w:tblW w:w="4997" w:type="pct"/>
        <w:jc w:val="center"/>
        <w:tblLayout w:type="autofit"/>
        <w:tblCellMar>
          <w:top w:w="0" w:type="dxa"/>
          <w:left w:w="0" w:type="dxa"/>
          <w:bottom w:w="0" w:type="dxa"/>
          <w:right w:w="0" w:type="dxa"/>
        </w:tblCellMar>
      </w:tblPr>
      <w:tblGrid>
        <w:gridCol w:w="490"/>
        <w:gridCol w:w="1362"/>
        <w:gridCol w:w="1480"/>
        <w:gridCol w:w="1158"/>
        <w:gridCol w:w="1340"/>
        <w:gridCol w:w="1293"/>
        <w:gridCol w:w="1134"/>
        <w:gridCol w:w="839"/>
      </w:tblGrid>
      <w:tr>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序号</w:t>
            </w: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项目（设备）名称</w:t>
            </w: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项目装机容量（KW）</w:t>
            </w: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项目压缩空气用量（m³/h）</w:t>
            </w: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项目用水量（t/h）</w:t>
            </w: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项目蒸汽用量（t/h）</w:t>
            </w: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天然气用量（m³/h）</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备注</w:t>
            </w:r>
          </w:p>
        </w:tc>
      </w:tr>
      <w:tr>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r>
      <w:tr>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r>
      <w:tr>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r>
      <w:tr>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highlight w:val="none"/>
                <w:lang w:bidi="ar"/>
              </w:rPr>
            </w:pPr>
          </w:p>
        </w:tc>
      </w:tr>
    </w:tbl>
    <w:p>
      <w:pPr>
        <w:widowControl w:val="0"/>
        <w:numPr>
          <w:ilvl w:val="0"/>
          <w:numId w:val="0"/>
        </w:numPr>
        <w:snapToGrid w:val="0"/>
        <w:spacing w:line="360" w:lineRule="auto"/>
        <w:ind w:leftChars="0" w:firstLine="477" w:firstLineChars="199"/>
        <w:jc w:val="both"/>
        <w:rPr>
          <w:rFonts w:ascii="仿宋" w:hAnsi="仿宋" w:eastAsia="仿宋" w:cs="仿宋"/>
          <w:kern w:val="0"/>
          <w:sz w:val="24"/>
          <w:szCs w:val="24"/>
          <w:highlight w:val="none"/>
          <w:lang w:val="en-US" w:eastAsia="zh-CN" w:bidi="ar-SA"/>
        </w:rPr>
      </w:pPr>
      <w:r>
        <w:rPr>
          <w:rFonts w:hint="eastAsia" w:ascii="仿宋" w:hAnsi="仿宋" w:eastAsia="仿宋" w:cs="Times New Roman"/>
          <w:kern w:val="0"/>
          <w:sz w:val="24"/>
          <w:szCs w:val="24"/>
          <w:highlight w:val="none"/>
          <w:lang w:val="en-US" w:eastAsia="zh-CN" w:bidi="ar-SA"/>
        </w:rPr>
        <w:t>备注：本表作为投标方编制投标技术文件的一般格式。表中应当尽可能准确并列全。</w:t>
      </w:r>
    </w:p>
    <w:p>
      <w:pPr>
        <w:widowControl w:val="0"/>
        <w:numPr>
          <w:ilvl w:val="3"/>
          <w:numId w:val="10"/>
        </w:numPr>
        <w:snapToGrid w:val="0"/>
        <w:spacing w:line="360" w:lineRule="auto"/>
        <w:ind w:left="850" w:leftChars="0" w:hanging="850"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安全及环保要求</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投标方所供的货物（或生产线），必须符合中国最新版的安全、环保、消防及职业健康的法律、法规要求，符合行业安全标准及项目所在地政府有关特殊要求。</w:t>
      </w:r>
    </w:p>
    <w:p>
      <w:pPr>
        <w:numPr>
          <w:ilvl w:val="4"/>
          <w:numId w:val="10"/>
        </w:numPr>
        <w:adjustRightInd w:val="0"/>
        <w:snapToGrid w:val="0"/>
        <w:spacing w:line="360" w:lineRule="auto"/>
        <w:ind w:left="991" w:leftChars="0" w:hanging="991" w:firstLineChars="0"/>
        <w:rPr>
          <w:rFonts w:ascii="仿宋" w:hAnsi="仿宋" w:eastAsia="仿宋" w:cs="仿宋"/>
          <w:sz w:val="24"/>
          <w:szCs w:val="24"/>
          <w:highlight w:val="none"/>
        </w:rPr>
      </w:pPr>
      <w:r>
        <w:rPr>
          <w:rFonts w:hint="eastAsia" w:ascii="仿宋" w:hAnsi="仿宋" w:eastAsia="仿宋" w:cs="仿宋"/>
          <w:sz w:val="24"/>
          <w:szCs w:val="24"/>
          <w:highlight w:val="none"/>
        </w:rPr>
        <w:t>货物（或生产线）应完整且所有的零部件应该安装安全、牢固，外观无损伤，所有的焊缝饱满、无残渣等缺陷且符合国家及行业相关标准。</w:t>
      </w:r>
    </w:p>
    <w:p>
      <w:pPr>
        <w:numPr>
          <w:ilvl w:val="4"/>
          <w:numId w:val="10"/>
        </w:numPr>
        <w:snapToGrid w:val="0"/>
        <w:spacing w:line="360" w:lineRule="auto"/>
        <w:ind w:left="991" w:leftChars="0" w:hanging="991" w:firstLineChars="0"/>
        <w:jc w:val="left"/>
        <w:rPr>
          <w:rFonts w:ascii="仿宋" w:hAnsi="仿宋" w:eastAsia="仿宋" w:cs="仿宋"/>
          <w:sz w:val="24"/>
          <w:szCs w:val="24"/>
          <w:highlight w:val="none"/>
        </w:rPr>
      </w:pPr>
      <w:r>
        <w:rPr>
          <w:rFonts w:hint="eastAsia" w:ascii="仿宋" w:hAnsi="仿宋" w:eastAsia="仿宋" w:cs="仿宋"/>
          <w:sz w:val="24"/>
          <w:szCs w:val="24"/>
          <w:highlight w:val="none"/>
        </w:rPr>
        <w:t>对生产线存在安全风险的工位必须采取安全措施，如：线体防护板、高温防护、光栅等。</w:t>
      </w:r>
    </w:p>
    <w:p>
      <w:pPr>
        <w:numPr>
          <w:ilvl w:val="4"/>
          <w:numId w:val="10"/>
        </w:numPr>
        <w:snapToGrid w:val="0"/>
        <w:spacing w:line="360" w:lineRule="auto"/>
        <w:ind w:left="991" w:leftChars="0" w:hanging="991" w:firstLineChars="0"/>
        <w:rPr>
          <w:rFonts w:ascii="仿宋" w:hAnsi="仿宋" w:eastAsia="仿宋" w:cs="仿宋"/>
          <w:sz w:val="24"/>
          <w:szCs w:val="24"/>
          <w:highlight w:val="none"/>
        </w:rPr>
      </w:pPr>
      <w:r>
        <w:rPr>
          <w:rFonts w:hint="eastAsia" w:ascii="仿宋" w:hAnsi="仿宋" w:eastAsia="仿宋" w:cs="仿宋"/>
          <w:sz w:val="24"/>
          <w:szCs w:val="24"/>
          <w:highlight w:val="none"/>
        </w:rPr>
        <w:t>从安全生产的角度考虑各单元及工位应设有急停按钮，并有明显标识。</w:t>
      </w:r>
    </w:p>
    <w:p>
      <w:pPr>
        <w:numPr>
          <w:ilvl w:val="4"/>
          <w:numId w:val="10"/>
        </w:numPr>
        <w:snapToGrid w:val="0"/>
        <w:spacing w:line="360" w:lineRule="auto"/>
        <w:ind w:left="991" w:leftChars="0" w:hanging="991" w:firstLineChars="0"/>
        <w:rPr>
          <w:rFonts w:ascii="仿宋" w:hAnsi="仿宋" w:eastAsia="仿宋" w:cs="仿宋"/>
          <w:sz w:val="24"/>
          <w:szCs w:val="24"/>
          <w:highlight w:val="none"/>
        </w:rPr>
      </w:pPr>
      <w:r>
        <w:rPr>
          <w:rFonts w:hint="eastAsia" w:ascii="仿宋" w:hAnsi="仿宋" w:eastAsia="仿宋" w:cs="仿宋"/>
          <w:sz w:val="24"/>
          <w:szCs w:val="24"/>
          <w:highlight w:val="none"/>
        </w:rPr>
        <w:t>单元操作面板上有上电按钮和急停按钮，上电后可对系统进行操作。</w:t>
      </w:r>
    </w:p>
    <w:p>
      <w:pPr>
        <w:widowControl w:val="0"/>
        <w:numPr>
          <w:ilvl w:val="4"/>
          <w:numId w:val="10"/>
        </w:numPr>
        <w:snapToGrid w:val="0"/>
        <w:spacing w:line="360" w:lineRule="auto"/>
        <w:ind w:left="991" w:leftChars="0" w:hanging="991"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所有电气安装和施工均应符合我国现行行业标准（规范），电器柜需张贴当心触电警示标识。</w:t>
      </w:r>
    </w:p>
    <w:p>
      <w:pPr>
        <w:numPr>
          <w:ilvl w:val="4"/>
          <w:numId w:val="10"/>
        </w:numPr>
        <w:snapToGrid w:val="0"/>
        <w:spacing w:line="360" w:lineRule="auto"/>
        <w:ind w:left="991" w:leftChars="0" w:hanging="991" w:firstLineChars="0"/>
        <w:rPr>
          <w:rFonts w:ascii="仿宋" w:hAnsi="仿宋" w:eastAsia="仿宋" w:cs="仿宋"/>
          <w:sz w:val="24"/>
          <w:szCs w:val="24"/>
          <w:highlight w:val="none"/>
        </w:rPr>
      </w:pPr>
      <w:r>
        <w:rPr>
          <w:rFonts w:hint="eastAsia" w:ascii="仿宋" w:hAnsi="仿宋" w:eastAsia="仿宋" w:cs="仿宋"/>
          <w:sz w:val="24"/>
          <w:szCs w:val="24"/>
          <w:highlight w:val="none"/>
        </w:rPr>
        <w:t>投标方必须提供所供设备相应的安全操作规程和安全事项的说明书，危险化学品“一书一签”；负责对招标方相关人员开展“四新”安全培训。</w:t>
      </w:r>
    </w:p>
    <w:p>
      <w:pPr>
        <w:numPr>
          <w:ilvl w:val="4"/>
          <w:numId w:val="10"/>
        </w:numPr>
        <w:adjustRightInd w:val="0"/>
        <w:snapToGrid w:val="0"/>
        <w:spacing w:line="360" w:lineRule="auto"/>
        <w:ind w:left="991" w:leftChars="0" w:hanging="991" w:firstLineChars="0"/>
        <w:rPr>
          <w:rFonts w:ascii="仿宋" w:hAnsi="仿宋" w:eastAsia="仿宋" w:cs="仿宋"/>
          <w:sz w:val="24"/>
          <w:szCs w:val="24"/>
          <w:highlight w:val="none"/>
        </w:rPr>
      </w:pPr>
      <w:r>
        <w:rPr>
          <w:rFonts w:hint="eastAsia" w:ascii="仿宋" w:hAnsi="仿宋" w:eastAsia="仿宋" w:cs="仿宋"/>
          <w:sz w:val="24"/>
          <w:szCs w:val="24"/>
          <w:highlight w:val="none"/>
        </w:rPr>
        <w:t>货物（或生产线）应运行稳定、可靠、安全，无非正常变形，非正常振动，无异常声音；无漏水、漏液、漏气（汽）、漏电等现象。</w:t>
      </w:r>
    </w:p>
    <w:p>
      <w:pPr>
        <w:numPr>
          <w:ilvl w:val="4"/>
          <w:numId w:val="10"/>
        </w:numPr>
        <w:adjustRightInd w:val="0"/>
        <w:snapToGrid w:val="0"/>
        <w:spacing w:line="360" w:lineRule="auto"/>
        <w:ind w:left="991" w:leftChars="0" w:hanging="991" w:firstLineChars="0"/>
        <w:rPr>
          <w:rFonts w:ascii="仿宋" w:hAnsi="仿宋" w:eastAsia="仿宋" w:cs="仿宋"/>
          <w:sz w:val="24"/>
          <w:szCs w:val="24"/>
          <w:highlight w:val="none"/>
        </w:rPr>
      </w:pPr>
      <w:r>
        <w:rPr>
          <w:rFonts w:hint="eastAsia" w:ascii="仿宋" w:hAnsi="仿宋" w:eastAsia="仿宋" w:cs="仿宋"/>
          <w:sz w:val="24"/>
          <w:szCs w:val="24"/>
          <w:highlight w:val="none"/>
        </w:rPr>
        <w:t>所有的管路和线缆等，接头应完全正确、可靠地联接；应排列有序（正确、牢固、整齐），有必要的防护，无皱褶、收缩和裂缝等不良现象。</w:t>
      </w:r>
    </w:p>
    <w:p>
      <w:pPr>
        <w:numPr>
          <w:ilvl w:val="4"/>
          <w:numId w:val="10"/>
        </w:numPr>
        <w:adjustRightInd w:val="0"/>
        <w:snapToGrid w:val="0"/>
        <w:spacing w:line="360" w:lineRule="auto"/>
        <w:ind w:left="991" w:leftChars="0" w:hanging="991" w:firstLineChars="0"/>
        <w:rPr>
          <w:rFonts w:ascii="仿宋" w:hAnsi="仿宋" w:eastAsia="仿宋" w:cs="仿宋"/>
          <w:sz w:val="24"/>
          <w:szCs w:val="24"/>
          <w:highlight w:val="none"/>
        </w:rPr>
      </w:pPr>
      <w:r>
        <w:rPr>
          <w:rFonts w:hint="eastAsia" w:ascii="仿宋" w:hAnsi="仿宋" w:eastAsia="仿宋" w:cs="仿宋"/>
          <w:sz w:val="24"/>
          <w:szCs w:val="24"/>
          <w:highlight w:val="none"/>
        </w:rPr>
        <w:t>地线联接和地极符合国际（ISO/IEC）标准规范，电器柜需张贴当心触电警示标识。</w:t>
      </w:r>
    </w:p>
    <w:p>
      <w:pPr>
        <w:numPr>
          <w:ilvl w:val="4"/>
          <w:numId w:val="10"/>
        </w:numPr>
        <w:adjustRightInd w:val="0"/>
        <w:snapToGrid w:val="0"/>
        <w:spacing w:line="360" w:lineRule="auto"/>
        <w:ind w:left="991" w:leftChars="0" w:hanging="991" w:firstLineChars="0"/>
        <w:rPr>
          <w:rFonts w:ascii="仿宋" w:hAnsi="仿宋" w:eastAsia="仿宋" w:cs="仿宋"/>
          <w:sz w:val="24"/>
          <w:szCs w:val="24"/>
          <w:highlight w:val="none"/>
        </w:rPr>
      </w:pPr>
      <w:r>
        <w:rPr>
          <w:rFonts w:hint="eastAsia" w:ascii="仿宋" w:hAnsi="仿宋" w:eastAsia="仿宋" w:cs="仿宋"/>
          <w:sz w:val="24"/>
          <w:szCs w:val="24"/>
          <w:highlight w:val="none"/>
        </w:rPr>
        <w:t>货物（或生产线）正常运行时，噪声等环境影响因素满足国家（《工作场所物理因素测量 噪声》GBZ/T 189.8-2007. 噪音≤80dB(A)（距设备一米处测量））和当地环保主管部门规定。项目验收时，投标方须提供</w:t>
      </w:r>
      <w:r>
        <w:rPr>
          <w:rFonts w:hint="eastAsia" w:ascii="仿宋_GB2312" w:hAnsi="宋体" w:eastAsia="仿宋_GB2312" w:cs="宋体"/>
          <w:sz w:val="24"/>
          <w:szCs w:val="24"/>
          <w:highlight w:val="none"/>
          <w:lang w:bidi="ar"/>
        </w:rPr>
        <w:t>由第三方监测机构出具的噪音合格监测报告。</w:t>
      </w:r>
    </w:p>
    <w:p>
      <w:pPr>
        <w:numPr>
          <w:ilvl w:val="4"/>
          <w:numId w:val="10"/>
        </w:numPr>
        <w:snapToGrid w:val="0"/>
        <w:spacing w:line="360" w:lineRule="auto"/>
        <w:ind w:left="991" w:leftChars="0" w:hanging="991" w:firstLineChars="0"/>
        <w:rPr>
          <w:rFonts w:ascii="仿宋" w:hAnsi="仿宋" w:eastAsia="仿宋" w:cs="仿宋"/>
          <w:sz w:val="24"/>
          <w:szCs w:val="24"/>
          <w:highlight w:val="none"/>
        </w:rPr>
      </w:pPr>
      <w:r>
        <w:rPr>
          <w:rFonts w:hint="eastAsia" w:ascii="仿宋" w:hAnsi="仿宋" w:eastAsia="仿宋" w:cs="仿宋"/>
          <w:sz w:val="24"/>
          <w:szCs w:val="24"/>
          <w:highlight w:val="none"/>
        </w:rPr>
        <w:t>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pPr>
        <w:numPr>
          <w:ilvl w:val="4"/>
          <w:numId w:val="10"/>
        </w:numPr>
        <w:adjustRightInd w:val="0"/>
        <w:snapToGrid w:val="0"/>
        <w:spacing w:line="360" w:lineRule="auto"/>
        <w:ind w:left="991" w:leftChars="0" w:hanging="991" w:firstLineChars="0"/>
        <w:rPr>
          <w:rFonts w:ascii="仿宋" w:hAnsi="仿宋" w:eastAsia="仿宋" w:cs="仿宋"/>
          <w:sz w:val="24"/>
          <w:szCs w:val="24"/>
          <w:highlight w:val="none"/>
        </w:rPr>
      </w:pPr>
      <w:r>
        <w:rPr>
          <w:rFonts w:hint="eastAsia" w:ascii="仿宋" w:hAnsi="仿宋" w:eastAsia="仿宋" w:cs="仿宋"/>
          <w:sz w:val="24"/>
          <w:szCs w:val="24"/>
          <w:highlight w:val="none"/>
        </w:rPr>
        <w:t>涉及需要进行环保、职业卫生强制检测的项目（设备、设施），应由中标方提供权威第三方检测机构出具的完工检测报告。</w:t>
      </w:r>
    </w:p>
    <w:p>
      <w:pPr>
        <w:numPr>
          <w:ilvl w:val="4"/>
          <w:numId w:val="10"/>
        </w:numPr>
        <w:adjustRightInd w:val="0"/>
        <w:snapToGrid w:val="0"/>
        <w:spacing w:line="360" w:lineRule="auto"/>
        <w:ind w:left="991" w:leftChars="0" w:hanging="991"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特种设备应提供济南市特种设备检验研究院出具的首次检验报告，招标方协助中标方办理相关注册登记手续。</w:t>
      </w:r>
    </w:p>
    <w:p>
      <w:pPr>
        <w:numPr>
          <w:ilvl w:val="4"/>
          <w:numId w:val="10"/>
        </w:numPr>
        <w:adjustRightInd w:val="0"/>
        <w:snapToGrid w:val="0"/>
        <w:spacing w:line="360" w:lineRule="auto"/>
        <w:ind w:left="991" w:leftChars="0" w:hanging="991" w:firstLineChars="0"/>
        <w:rPr>
          <w:rFonts w:ascii="仿宋" w:hAnsi="仿宋" w:eastAsia="仿宋" w:cs="仿宋"/>
          <w:sz w:val="24"/>
          <w:szCs w:val="24"/>
          <w:highlight w:val="none"/>
        </w:rPr>
      </w:pPr>
      <w:r>
        <w:rPr>
          <w:rFonts w:hint="eastAsia" w:ascii="仿宋" w:hAnsi="仿宋" w:eastAsia="仿宋" w:cs="仿宋"/>
          <w:sz w:val="24"/>
          <w:szCs w:val="24"/>
          <w:highlight w:val="none"/>
        </w:rPr>
        <w:t>机器人作业区域安全防护。机器人作业区域需安装安全防护隔离，安全防护隔离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pPr>
        <w:widowControl w:val="0"/>
        <w:numPr>
          <w:ilvl w:val="4"/>
          <w:numId w:val="10"/>
        </w:numPr>
        <w:snapToGrid w:val="0"/>
        <w:spacing w:line="360" w:lineRule="auto"/>
        <w:ind w:left="991" w:leftChars="0" w:hanging="991"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shd w:val="clear"/>
          <w:lang w:val="en-US" w:eastAsia="zh-CN" w:bidi="ar-SA"/>
        </w:rPr>
        <w:t>投标方所</w:t>
      </w:r>
      <w:r>
        <w:rPr>
          <w:rFonts w:hint="eastAsia" w:ascii="仿宋" w:hAnsi="仿宋" w:eastAsia="仿宋" w:cs="仿宋"/>
          <w:kern w:val="0"/>
          <w:sz w:val="24"/>
          <w:szCs w:val="24"/>
          <w:highlight w:val="none"/>
          <w:lang w:val="en-US" w:eastAsia="zh-CN" w:bidi="ar-SA"/>
        </w:rPr>
        <w:t>投货物外观颜色标准按招标方提供的标准《Q/ZZ 30070—2020》或双方书面约定的标准执行。</w:t>
      </w:r>
    </w:p>
    <w:p>
      <w:pPr>
        <w:widowControl w:val="0"/>
        <w:numPr>
          <w:ilvl w:val="3"/>
          <w:numId w:val="10"/>
        </w:numPr>
        <w:snapToGrid w:val="0"/>
        <w:spacing w:line="360" w:lineRule="auto"/>
        <w:ind w:left="850" w:leftChars="0" w:hanging="850"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安全保护</w:t>
      </w:r>
    </w:p>
    <w:p>
      <w:pPr>
        <w:widowControl w:val="0"/>
        <w:numPr>
          <w:ilvl w:val="4"/>
          <w:numId w:val="10"/>
        </w:numPr>
        <w:snapToGrid w:val="0"/>
        <w:spacing w:line="360" w:lineRule="auto"/>
        <w:ind w:left="991" w:leftChars="0" w:hanging="991"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总电源保护：整车供电系统应设置错断相保护装置。</w:t>
      </w:r>
    </w:p>
    <w:p>
      <w:pPr>
        <w:widowControl w:val="0"/>
        <w:numPr>
          <w:ilvl w:val="4"/>
          <w:numId w:val="10"/>
        </w:numPr>
        <w:snapToGrid w:val="0"/>
        <w:spacing w:line="360" w:lineRule="auto"/>
        <w:ind w:left="991" w:leftChars="0" w:hanging="991"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供电保护：起重机设主隔离开关、总断路器、总接触器、急停开关，并有零位、过流、超速、失压等保护。</w:t>
      </w:r>
    </w:p>
    <w:p>
      <w:pPr>
        <w:widowControl w:val="0"/>
        <w:numPr>
          <w:ilvl w:val="4"/>
          <w:numId w:val="10"/>
        </w:numPr>
        <w:snapToGrid w:val="0"/>
        <w:spacing w:line="360" w:lineRule="auto"/>
        <w:ind w:left="991" w:leftChars="0" w:hanging="991"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限位装置：在每个端梁门外设置门限位开关。</w:t>
      </w:r>
    </w:p>
    <w:p>
      <w:pPr>
        <w:widowControl w:val="0"/>
        <w:numPr>
          <w:ilvl w:val="4"/>
          <w:numId w:val="10"/>
        </w:numPr>
        <w:snapToGrid w:val="0"/>
        <w:spacing w:line="360" w:lineRule="auto"/>
        <w:ind w:left="991" w:leftChars="0" w:hanging="991"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起升机构均设升、降限位开关。</w:t>
      </w:r>
    </w:p>
    <w:p>
      <w:pPr>
        <w:widowControl w:val="0"/>
        <w:numPr>
          <w:ilvl w:val="4"/>
          <w:numId w:val="10"/>
        </w:numPr>
        <w:snapToGrid w:val="0"/>
        <w:spacing w:line="360" w:lineRule="auto"/>
        <w:ind w:left="991" w:leftChars="0" w:hanging="991"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在大车端部设置大车减速和停止限位开关，在小车运行的端部设置小车减速和停止限位开关。</w:t>
      </w:r>
    </w:p>
    <w:p>
      <w:pPr>
        <w:widowControl w:val="0"/>
        <w:numPr>
          <w:ilvl w:val="4"/>
          <w:numId w:val="10"/>
        </w:numPr>
        <w:snapToGrid w:val="0"/>
        <w:spacing w:line="360" w:lineRule="auto"/>
        <w:ind w:left="991" w:leftChars="0" w:hanging="991" w:firstLineChars="0"/>
        <w:jc w:val="both"/>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安全防撞装置：起重机大车运行机构安装双向大车运行激光防撞装置，当两台行车运行距离接近8m位置（可调）时，输出报警信号停车，具有0-8米（可调）内停车设置功能。采用激光检测，预警、紧急制动。</w:t>
      </w:r>
    </w:p>
    <w:p>
      <w:pPr>
        <w:widowControl w:val="0"/>
        <w:numPr>
          <w:ilvl w:val="4"/>
          <w:numId w:val="10"/>
        </w:numPr>
        <w:snapToGrid w:val="0"/>
        <w:spacing w:line="360" w:lineRule="auto"/>
        <w:ind w:left="991" w:leftChars="0" w:hanging="991"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超载限制器：起重机所有起升机构设超载限制器。当载荷达到95%额定载荷时，发出提示性报警信号，并且在相应显眼报警，提醒司机，达到105%额定载荷时，延时停机，达到110%额定载荷时，起升机构立即停止上升，只能下降，并发出禁止报警信号。</w:t>
      </w:r>
    </w:p>
    <w:p>
      <w:pPr>
        <w:widowControl w:val="0"/>
        <w:numPr>
          <w:ilvl w:val="4"/>
          <w:numId w:val="10"/>
        </w:numPr>
        <w:snapToGrid w:val="0"/>
        <w:spacing w:line="360" w:lineRule="auto"/>
        <w:ind w:left="991" w:leftChars="0" w:hanging="991"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走台、平台、梯子和栏杆等</w:t>
      </w:r>
    </w:p>
    <w:p>
      <w:pPr>
        <w:widowControl w:val="0"/>
        <w:numPr>
          <w:ilvl w:val="5"/>
          <w:numId w:val="10"/>
        </w:numPr>
        <w:snapToGrid w:val="0"/>
        <w:spacing w:line="360" w:lineRule="auto"/>
        <w:ind w:left="1134" w:leftChars="0" w:hanging="1134"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走台、平台、梯子和栏杆一律按照《GBT 24818.1起重机 通道及安全防护设施 第1部分：总则》、《GBT 24818.5起重机 通道及安全防护设施 第5部分：桥式和门式起重机》等设计规范和国家标准要求设计与制造。走台、平台和梯子的宽度不小于600mm，走台板一律采用防滑花纹板。主小车通道、主小车运行机构检修通道、主起升机构检修通道的设计要实现安全性、方便性、舒适性。</w:t>
      </w:r>
    </w:p>
    <w:p>
      <w:pPr>
        <w:widowControl w:val="0"/>
        <w:numPr>
          <w:ilvl w:val="5"/>
          <w:numId w:val="10"/>
        </w:numPr>
        <w:snapToGrid w:val="0"/>
        <w:spacing w:line="360" w:lineRule="auto"/>
        <w:ind w:left="1134" w:leftChars="0" w:hanging="1134"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在桥架中，主梁、端梁及进入检修通道上均设置了高度为1200mm的栏杆，设有间距为400mm的水平横杆，电缆槽附近的栏杆相应加高，栏杆上任何一处都能承受1kN来自任何方向的载荷而不产生塑性变形。底部设有高度为100mm的围护板，并在厂内进行组装。由通往主梁上平面处设置栏杆小门，并安装限位开关装置。</w:t>
      </w:r>
    </w:p>
    <w:p>
      <w:pPr>
        <w:widowControl w:val="0"/>
        <w:numPr>
          <w:ilvl w:val="5"/>
          <w:numId w:val="10"/>
        </w:numPr>
        <w:snapToGrid w:val="0"/>
        <w:spacing w:line="360" w:lineRule="auto"/>
        <w:ind w:left="1134" w:leftChars="0" w:hanging="1134"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在桥架适当位置布置滑触线检修平台，从桥架上设有梯子可安全进入。</w:t>
      </w:r>
    </w:p>
    <w:p>
      <w:pPr>
        <w:widowControl w:val="0"/>
        <w:numPr>
          <w:ilvl w:val="5"/>
          <w:numId w:val="10"/>
        </w:numPr>
        <w:snapToGrid w:val="0"/>
        <w:spacing w:line="360" w:lineRule="auto"/>
        <w:ind w:left="1134" w:leftChars="0" w:hanging="1134" w:firstLineChars="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在靠近滑触线内侧设置防护挡架，避免吊钩在极限位置晃动时与滑触线相碰。</w:t>
      </w:r>
    </w:p>
    <w:p>
      <w:pPr>
        <w:widowControl w:val="0"/>
        <w:numPr>
          <w:ilvl w:val="5"/>
          <w:numId w:val="10"/>
        </w:numPr>
        <w:snapToGrid w:val="0"/>
        <w:spacing w:line="360" w:lineRule="auto"/>
        <w:ind w:left="1134" w:leftChars="0" w:hanging="1134" w:firstLineChars="0"/>
        <w:jc w:val="both"/>
        <w:rPr>
          <w:rFonts w:hint="default" w:ascii="仿宋" w:hAnsi="仿宋" w:eastAsia="仿宋" w:cs="仿宋"/>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在桥架上平面主梁与端梁联接板处设置螺栓罩，以利于安全方便通行。</w:t>
      </w:r>
    </w:p>
    <w:p>
      <w:pPr>
        <w:keepNext/>
        <w:keepLines/>
        <w:widowControl w:val="0"/>
        <w:bidi w:val="0"/>
        <w:spacing w:before="10" w:after="10" w:line="360" w:lineRule="auto"/>
        <w:jc w:val="left"/>
        <w:outlineLvl w:val="2"/>
        <w:rPr>
          <w:rFonts w:hint="default" w:ascii="Times New Roman" w:hAnsi="Times New Roman" w:eastAsia="仿宋" w:cs="Times New Roman"/>
          <w:b/>
          <w:bCs/>
          <w:kern w:val="0"/>
          <w:sz w:val="24"/>
          <w:szCs w:val="32"/>
          <w:lang w:val="en-US" w:eastAsia="zh-CN" w:bidi="ar-SA"/>
        </w:rPr>
      </w:pPr>
      <w:bookmarkStart w:id="50" w:name="_Toc331"/>
      <w:r>
        <w:rPr>
          <w:rFonts w:hint="eastAsia" w:ascii="Times New Roman" w:hAnsi="Times New Roman" w:eastAsia="仿宋" w:cs="Times New Roman"/>
          <w:b/>
          <w:bCs/>
          <w:kern w:val="0"/>
          <w:sz w:val="24"/>
          <w:szCs w:val="32"/>
          <w:lang w:val="en-US" w:eastAsia="zh-CN" w:bidi="ar-SA"/>
        </w:rPr>
        <w:t>3.2济南商用车制造公司更新冲压模具维修区域起重机技改项目实施规划方技术规范</w:t>
      </w:r>
      <w:bookmarkEnd w:id="50"/>
    </w:p>
    <w:p>
      <w:pPr>
        <w:numPr>
          <w:ilvl w:val="2"/>
          <w:numId w:val="11"/>
        </w:numPr>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结构要求</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主梁部分</w:t>
      </w:r>
    </w:p>
    <w:p>
      <w:pPr>
        <w:numPr>
          <w:ilvl w:val="0"/>
          <w:numId w:val="0"/>
        </w:numPr>
        <w:snapToGrid w:val="0"/>
        <w:spacing w:line="360" w:lineRule="auto"/>
        <w:ind w:leftChars="0" w:firstLine="960" w:firstLineChars="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主梁为箱型梁结构</w:t>
      </w:r>
      <w:r>
        <w:rPr>
          <w:rFonts w:hint="eastAsia" w:ascii="仿宋" w:hAnsi="仿宋" w:eastAsia="仿宋" w:cs="仿宋"/>
          <w:sz w:val="24"/>
          <w:szCs w:val="24"/>
          <w:highlight w:val="none"/>
          <w:lang w:eastAsia="zh-CN"/>
        </w:rPr>
        <w:t>。</w:t>
      </w:r>
    </w:p>
    <w:p>
      <w:pPr>
        <w:numPr>
          <w:ilvl w:val="0"/>
          <w:numId w:val="0"/>
        </w:numPr>
        <w:snapToGrid w:val="0"/>
        <w:spacing w:line="360" w:lineRule="auto"/>
        <w:ind w:leftChars="0" w:firstLine="960" w:firstLineChars="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主梁上拱度、水平方向的弯曲要符合国家相关标准</w:t>
      </w:r>
      <w:r>
        <w:rPr>
          <w:rFonts w:hint="eastAsia" w:ascii="仿宋" w:hAnsi="仿宋" w:eastAsia="仿宋" w:cs="仿宋"/>
          <w:sz w:val="24"/>
          <w:szCs w:val="24"/>
          <w:highlight w:val="none"/>
          <w:lang w:eastAsia="zh-CN"/>
        </w:rPr>
        <w:t>。</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主梁由钢板焊接成型，钢板材料必须符合国家的相应规范，刚度满足国家标准要求，主要钢结构材料应具有良好的焊接工艺性，主要钢结构材料采用不低于Q235B，使用的材料具有材质报告及相应的合格证书</w:t>
      </w:r>
      <w:r>
        <w:rPr>
          <w:rFonts w:hint="eastAsia" w:ascii="仿宋" w:hAnsi="仿宋" w:eastAsia="仿宋" w:cs="仿宋"/>
          <w:sz w:val="24"/>
          <w:szCs w:val="24"/>
          <w:highlight w:val="none"/>
          <w:lang w:eastAsia="zh-CN"/>
        </w:rPr>
        <w:t>。</w:t>
      </w:r>
    </w:p>
    <w:p>
      <w:pPr>
        <w:numPr>
          <w:ilvl w:val="2"/>
          <w:numId w:val="11"/>
        </w:numPr>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端梁部分</w:t>
      </w:r>
    </w:p>
    <w:p>
      <w:pPr>
        <w:numPr>
          <w:ilvl w:val="0"/>
          <w:numId w:val="0"/>
        </w:numPr>
        <w:snapToGrid w:val="0"/>
        <w:spacing w:line="360" w:lineRule="auto"/>
        <w:ind w:leftChars="0" w:firstLine="960" w:firstLineChars="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端梁材质：中国国家标准不低于Q345B</w:t>
      </w:r>
      <w:r>
        <w:rPr>
          <w:rFonts w:hint="eastAsia" w:ascii="仿宋" w:hAnsi="仿宋" w:eastAsia="仿宋" w:cs="仿宋"/>
          <w:sz w:val="24"/>
          <w:szCs w:val="24"/>
          <w:highlight w:val="none"/>
          <w:lang w:eastAsia="zh-CN"/>
        </w:rPr>
        <w:t>。</w:t>
      </w:r>
    </w:p>
    <w:p>
      <w:pPr>
        <w:numPr>
          <w:ilvl w:val="0"/>
          <w:numId w:val="0"/>
        </w:numPr>
        <w:snapToGrid w:val="0"/>
        <w:spacing w:line="360" w:lineRule="auto"/>
        <w:ind w:left="630" w:leftChars="300" w:firstLine="240" w:firstLineChars="1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端梁为矩形钢管或钢板焊接成型，成型后的端梁在数控机床一次定位</w:t>
      </w:r>
      <w:r>
        <w:rPr>
          <w:rFonts w:hint="eastAsia" w:ascii="仿宋" w:hAnsi="仿宋" w:eastAsia="仿宋" w:cs="仿宋"/>
          <w:sz w:val="24"/>
          <w:szCs w:val="24"/>
          <w:highlight w:val="none"/>
          <w:lang w:val="en-US" w:eastAsia="zh-CN"/>
        </w:rPr>
        <w:t>加</w:t>
      </w:r>
      <w:r>
        <w:rPr>
          <w:rFonts w:hint="eastAsia" w:ascii="仿宋" w:hAnsi="仿宋" w:eastAsia="仿宋" w:cs="仿宋"/>
          <w:sz w:val="24"/>
          <w:szCs w:val="24"/>
          <w:highlight w:val="none"/>
        </w:rPr>
        <w:t>工</w:t>
      </w:r>
      <w:r>
        <w:rPr>
          <w:rFonts w:hint="eastAsia" w:ascii="仿宋" w:hAnsi="仿宋" w:eastAsia="仿宋" w:cs="仿宋"/>
          <w:sz w:val="24"/>
          <w:szCs w:val="24"/>
          <w:highlight w:val="none"/>
          <w:lang w:eastAsia="zh-CN"/>
        </w:rPr>
        <w:t>。</w:t>
      </w:r>
    </w:p>
    <w:p>
      <w:pPr>
        <w:numPr>
          <w:ilvl w:val="0"/>
          <w:numId w:val="0"/>
        </w:numPr>
        <w:snapToGrid w:val="0"/>
        <w:spacing w:line="360" w:lineRule="auto"/>
        <w:ind w:leftChars="0" w:firstLine="960" w:firstLineChars="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每个端梁配有双轮缘的车轮、缓冲器和防脱轨保护装置</w:t>
      </w:r>
      <w:r>
        <w:rPr>
          <w:rFonts w:hint="eastAsia" w:ascii="仿宋" w:hAnsi="仿宋" w:eastAsia="仿宋" w:cs="仿宋"/>
          <w:sz w:val="24"/>
          <w:szCs w:val="24"/>
          <w:highlight w:val="none"/>
          <w:lang w:eastAsia="zh-CN"/>
        </w:rPr>
        <w:t>。</w:t>
      </w:r>
    </w:p>
    <w:p>
      <w:pPr>
        <w:numPr>
          <w:ilvl w:val="2"/>
          <w:numId w:val="11"/>
        </w:numPr>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起重机机械部分</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起重机机械系统主要由起升机构、大车及小车行走机构等主要机械机构组成；起重机机械系统所用的零部件，如齿轮箱、制动器、卷筒、轮、滑轮、吊钩、轴承等都必须按起重机规范和相应标准设计制造。所有旋转轴、联节器、齿轮和其它旋转部件均须有安全防护，防护罩的设计应能使人容易接近润滑油脂加注点、油位计和其它检查点，以便操作人员能够没有危险的或者不需拆除防护体的任何部分情况下，就可进行日常观察、维修。</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起重机各部安全联锁和限位装置、缓冲器、制动器、安全护栏、吊钩防脱钩等齐全，安全可靠。</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上升极限位置限位器：起升机构设置上升极限位置限位器，保证吊具起升到极限位置时，自动切断起升装置的动力电源，通过安全报警系统发出信号；起升设置上升双限位。</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下降极限位置限位器：保证吊钩下降到极限位置时，自动切断下降装置的动力电源，使钢丝绳在卷筒上缠绕圈数不少于国家规范所规定的圈数</w:t>
      </w:r>
      <w:r>
        <w:rPr>
          <w:rFonts w:hint="eastAsia" w:ascii="仿宋" w:hAnsi="仿宋" w:eastAsia="仿宋" w:cs="仿宋"/>
          <w:sz w:val="24"/>
          <w:szCs w:val="24"/>
          <w:highlight w:val="none"/>
          <w:lang w:eastAsia="zh-CN"/>
        </w:rPr>
        <w:t>。</w:t>
      </w:r>
    </w:p>
    <w:p>
      <w:pPr>
        <w:numPr>
          <w:ilvl w:val="0"/>
          <w:numId w:val="0"/>
        </w:numPr>
        <w:snapToGrid w:val="0"/>
        <w:spacing w:line="360" w:lineRule="auto"/>
        <w:ind w:leftChars="0" w:firstLine="964" w:firstLineChars="400"/>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rPr>
        <w:t>防碰撞机构：起重机设置两套限位机械限位与光电防碰撞装置</w:t>
      </w:r>
      <w:r>
        <w:rPr>
          <w:rFonts w:hint="eastAsia" w:ascii="仿宋" w:hAnsi="仿宋" w:eastAsia="仿宋" w:cs="仿宋"/>
          <w:b/>
          <w:bCs/>
          <w:sz w:val="24"/>
          <w:szCs w:val="24"/>
          <w:highlight w:val="none"/>
          <w:lang w:eastAsia="zh-CN"/>
        </w:rPr>
        <w:t>。</w:t>
      </w:r>
    </w:p>
    <w:p>
      <w:pPr>
        <w:numPr>
          <w:ilvl w:val="2"/>
          <w:numId w:val="11"/>
        </w:numPr>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起升机构（主、副钩）</w:t>
      </w:r>
    </w:p>
    <w:p>
      <w:pPr>
        <w:numPr>
          <w:ilvl w:val="0"/>
          <w:numId w:val="0"/>
        </w:numPr>
        <w:snapToGrid w:val="0"/>
        <w:spacing w:line="360" w:lineRule="auto"/>
        <w:ind w:left="420" w:leftChars="200" w:firstLine="482" w:firstLineChars="200"/>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rPr>
        <w:t>双梁桥式起重机起升机构为欧式开放卷扬机构（</w:t>
      </w:r>
      <w:r>
        <w:rPr>
          <w:rFonts w:hint="eastAsia" w:ascii="仿宋" w:hAnsi="仿宋" w:eastAsia="仿宋" w:cs="仿宋"/>
          <w:b/>
          <w:bCs/>
          <w:sz w:val="24"/>
          <w:szCs w:val="24"/>
          <w:highlight w:val="none"/>
          <w:lang w:val="en-US" w:eastAsia="zh-CN"/>
        </w:rPr>
        <w:t>40</w:t>
      </w:r>
      <w:r>
        <w:rPr>
          <w:rFonts w:hint="eastAsia" w:ascii="仿宋" w:hAnsi="仿宋" w:eastAsia="仿宋" w:cs="仿宋"/>
          <w:b/>
          <w:bCs/>
          <w:sz w:val="24"/>
          <w:szCs w:val="24"/>
          <w:highlight w:val="none"/>
        </w:rPr>
        <w:t>t、20t（A6）主副钩为卷扬）：采用电机+减速机+独立制动</w:t>
      </w:r>
      <w:r>
        <w:rPr>
          <w:rFonts w:hint="eastAsia" w:ascii="仿宋" w:hAnsi="仿宋" w:eastAsia="仿宋" w:cs="仿宋"/>
          <w:b/>
          <w:bCs/>
          <w:sz w:val="24"/>
          <w:szCs w:val="24"/>
          <w:highlight w:val="none"/>
          <w:lang w:eastAsia="zh-CN"/>
        </w:rPr>
        <w:t>。</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起升机构钢丝绳应采用符合国际和中国现行有关标准的产品，所有钢丝绳采用高强度钢丝绳，要求破断力大，寿命长，自润滑，免维护性能好</w:t>
      </w:r>
      <w:r>
        <w:rPr>
          <w:rFonts w:hint="eastAsia" w:ascii="仿宋" w:hAnsi="仿宋" w:eastAsia="仿宋" w:cs="仿宋"/>
          <w:sz w:val="24"/>
          <w:szCs w:val="24"/>
          <w:highlight w:val="none"/>
          <w:lang w:eastAsia="zh-CN"/>
        </w:rPr>
        <w:t>。</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起升电机：防护等级IP55，F级绝缘；接电持续率60%；有过热保护，风冷式；电机外壳由铝合金冲压成型或压铸成型壳体。</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减速箱：完全密封紧凑型齿轮箱，硬齿面（HRC60）、经过研磨处理；采用半油脂润滑，免维护</w:t>
      </w:r>
      <w:r>
        <w:rPr>
          <w:rFonts w:hint="eastAsia" w:ascii="仿宋" w:hAnsi="仿宋" w:eastAsia="仿宋" w:cs="仿宋"/>
          <w:sz w:val="24"/>
          <w:szCs w:val="24"/>
          <w:highlight w:val="none"/>
          <w:lang w:eastAsia="zh-CN"/>
        </w:rPr>
        <w:t>。</w:t>
      </w:r>
    </w:p>
    <w:p>
      <w:pPr>
        <w:numPr>
          <w:ilvl w:val="0"/>
          <w:numId w:val="0"/>
        </w:numPr>
        <w:snapToGrid w:val="0"/>
        <w:spacing w:line="360" w:lineRule="auto"/>
        <w:ind w:leftChars="0" w:firstLine="960" w:firstLineChars="4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限位开关：起升机构设置双限位</w:t>
      </w:r>
      <w:r>
        <w:rPr>
          <w:rFonts w:hint="eastAsia" w:ascii="仿宋" w:hAnsi="仿宋" w:eastAsia="仿宋" w:cs="仿宋"/>
          <w:sz w:val="24"/>
          <w:szCs w:val="24"/>
          <w:highlight w:val="none"/>
          <w:lang w:eastAsia="zh-CN"/>
        </w:rPr>
        <w:t>。</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卷筒：卷筒直径和钢丝绳直径比值符合国家标准，增强钢丝绳寿命，重物放置偏移小；钢丝绳用绳夹固定，至少有3 圈钢丝绳固定安全圈。主副钩电机接电持续率60%。</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在吊钩放在最低端，至少留有2圈钢丝绳余量（不含压绳圈）；重级工作制轴承(机构工作级别大于等于M6)，轴承为国内外知名厂家产品；卷筒由无缝钢管制成，并加工出绳槽。</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吊钩：吊钩组由吊钩和滑轮等组成。采用抗磨滚子轴承，轴承为国内外知名厂家产品；吊钩可以 360°旋转，配备弹簧压紧的安全扣可以防止滑脱；依据标准 DIN17200，吊钩锻件为调质钢 34CrMoV。</w:t>
      </w:r>
    </w:p>
    <w:p>
      <w:pPr>
        <w:numPr>
          <w:ilvl w:val="2"/>
          <w:numId w:val="11"/>
        </w:numPr>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大车、小车行走机构</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b/>
          <w:bCs/>
          <w:sz w:val="24"/>
          <w:szCs w:val="24"/>
          <w:highlight w:val="none"/>
        </w:rPr>
        <w:t>驱动结构形式：三合一结构</w:t>
      </w:r>
      <w:r>
        <w:rPr>
          <w:rFonts w:hint="eastAsia" w:ascii="仿宋" w:hAnsi="仿宋" w:eastAsia="仿宋" w:cs="仿宋"/>
          <w:sz w:val="24"/>
          <w:szCs w:val="24"/>
          <w:highlight w:val="none"/>
        </w:rPr>
        <w:t>；大、小车：电机防护等级为IP55、绝缘等级为F级。电机调速为变频器调速，变频器采用起重机专用变频器。</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减速机为硬齿面减速机，其齿轮、齿轮轴为锻制，齿面硬度55HRC左右。</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制动器为电磁盘式制动器,防尘、无石棉设计。制动器具有自动调节间隙功能，当起升刹车片厚度不够时自动报警，在断电时运行机构要确保处于制动状态要求转向操作轻便, 可靠性高。刹车片寿命：正常使用不低于100万次，紧急制动不低于500次。</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车轮材料为球墨铸铁或锻造合金，表面硬化处理。</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在大、小车运行的终端位置设置十字限位开关，大、小车运行到此位置自动实现减速、停止。终端位置设置机械死档块，防止因电气失灵大、小车冲出轨道。</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缓冲器采用吸收能量高、缓冲性能好的缓冲器。</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对于运行于同一轨道上的两台起重机，在起重机相邻端,设置光电防撞开关，防止两起重机相撞，同时需要设置缓冲器（直径≥100mm）。</w:t>
      </w:r>
      <w:r>
        <w:rPr>
          <w:rFonts w:hint="eastAsia" w:ascii="仿宋" w:hAnsi="仿宋" w:eastAsia="仿宋" w:cs="仿宋"/>
          <w:b/>
          <w:bCs/>
          <w:color w:val="auto"/>
          <w:kern w:val="0"/>
          <w:sz w:val="24"/>
          <w:szCs w:val="24"/>
          <w:highlight w:val="none"/>
          <w:lang w:val="en-US" w:eastAsia="zh-CN" w:bidi="ar-SA"/>
        </w:rPr>
        <w:t>当两台行车运行距离接近8m位置（可调）时，输出报警信号停车，具有0-8米（可调）内停车设置功能。</w:t>
      </w:r>
    </w:p>
    <w:p>
      <w:pPr>
        <w:numPr>
          <w:ilvl w:val="2"/>
          <w:numId w:val="11"/>
        </w:numPr>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操作方式</w:t>
      </w:r>
    </w:p>
    <w:p>
      <w:pPr>
        <w:numPr>
          <w:ilvl w:val="0"/>
          <w:numId w:val="0"/>
        </w:numPr>
        <w:snapToGrid w:val="0"/>
        <w:spacing w:line="360" w:lineRule="auto"/>
        <w:ind w:leftChars="0" w:firstLine="960" w:firstLineChars="400"/>
        <w:rPr>
          <w:rFonts w:hint="eastAsia" w:ascii="仿宋" w:hAnsi="仿宋" w:eastAsia="仿宋" w:cs="仿宋"/>
          <w:sz w:val="24"/>
          <w:szCs w:val="24"/>
          <w:highlight w:val="none"/>
        </w:rPr>
      </w:pPr>
      <w:r>
        <w:rPr>
          <w:rFonts w:hint="eastAsia" w:ascii="仿宋" w:hAnsi="仿宋" w:eastAsia="仿宋" w:cs="仿宋"/>
          <w:sz w:val="24"/>
          <w:szCs w:val="24"/>
          <w:highlight w:val="none"/>
        </w:rPr>
        <w:t>双梁桥式起重机操作方式为地操手电门+摇杆式遥控器操作。</w:t>
      </w:r>
    </w:p>
    <w:p>
      <w:pPr>
        <w:numPr>
          <w:ilvl w:val="2"/>
          <w:numId w:val="11"/>
        </w:numPr>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电气及控制要求</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起重机电气系统的设计和制造须把安全运行放在首位，所有电气设备须有必要的防护措施，防止发生意外的触电事故和碰撞事故，在所有的操作系统上都应设有应急停止专用的蘑菇头紧急停车开关</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起重机所采用的电气元器件和部件要充分保证系统的可靠性、稳定性、耐用性。电气元器件和部件的要保证其产品的连续性，能够保证备件10年的国内供应</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起重机的电气控制系统的所有控制柜和元器件都要保留足够的检测和维修空间，并且可方便地搬运和吊装，电气控制系统要方便维修、更换和拆卸部件</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所有起重机配置过载保护及报警功能、以及安全规范规定或相关标准规定的所有保护措施；起重机的所有电气元件选用国内外知名品牌产品</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电气柜要求：电气柜须采用标准尺寸柜体，外壳防护等级为IP54</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常规电气保护：过流、过压、欠压、短路、过热、接地、漏电、缺相、刹车片厚度监测、报警保护、</w:t>
      </w:r>
      <w:r>
        <w:rPr>
          <w:rFonts w:hint="eastAsia" w:ascii="仿宋" w:hAnsi="仿宋" w:eastAsia="仿宋" w:cs="仿宋"/>
          <w:b/>
          <w:bCs/>
          <w:sz w:val="24"/>
          <w:szCs w:val="24"/>
          <w:highlight w:val="none"/>
        </w:rPr>
        <w:t>防摇摆</w:t>
      </w:r>
      <w:r>
        <w:rPr>
          <w:rFonts w:hint="eastAsia" w:ascii="仿宋" w:hAnsi="仿宋" w:eastAsia="仿宋" w:cs="仿宋"/>
          <w:sz w:val="24"/>
          <w:szCs w:val="24"/>
          <w:highlight w:val="none"/>
        </w:rPr>
        <w:t>等；其中，*</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0T、20T起重机大小车运行系统含电子防摇摆功能：可将摇摆的角度控制在±0.25°。实现起升高度范围内的多点防摇；防止起重机在大车、小车运行负载惯性冲击带来的吊钩摇摆。此功能在操作器上设置独立的开关选择是否激活。</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大车行走指示：</w:t>
      </w:r>
      <w:r>
        <w:rPr>
          <w:rFonts w:hint="eastAsia" w:ascii="仿宋" w:hAnsi="仿宋" w:eastAsia="仿宋" w:cs="仿宋"/>
          <w:b/>
          <w:bCs/>
          <w:sz w:val="24"/>
          <w:szCs w:val="24"/>
          <w:highlight w:val="none"/>
        </w:rPr>
        <w:t>大车行走时要有符合工程标准的声光警示装置</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投影至地面可见</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起重机要尽量采用各种阻燃材料从本质上来预防火灾的发生</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所有正常工作条件下温度超过60℃的部分都应用隔热材料进行防护</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所有可能带电的部位，应进行绝缘处理或者用栅栏护围以防止危险发生</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起重机电气系统所使用的电线和电缆一律为各种铜芯电线和电缆，必须具有耐高温、防火、防爆、机械强度高、安全可靠的特性</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起重机的电源采用三相五线制(380V 50Hz)，现场每跨提供一处电源断路器，断路器出线开始由投标方负责提供，电源由大车滑触线引入起重机上的电源控制柜上。由电源控制柜引出动力、照明、控制等电源。电源总开关必须具有过电流及电磁保护功能。电网的PE 线与起重机轨道紧密相连，轨道应采用重复接地措施。滑触线需提供相间、各相对地的绝缘测试报告。</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设有一台单独的照明变压器，变压器的原端和副端均设有断路器保护，为照明、维护插座及辅助电路提供220V 电源。</w:t>
      </w:r>
    </w:p>
    <w:p>
      <w:pPr>
        <w:numPr>
          <w:ilvl w:val="2"/>
          <w:numId w:val="11"/>
        </w:numPr>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起重机面表涂装要求</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起重机涂装的寿命要求不小于10年，要求采用高质量防锈漆。</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起重机所有的钢结构、机械设备及所有零部件都要作防腐处理。制造钢结构的板材和型材都要经过Sa2.5抛丸预处理，管材除镀锌外，要经过化学方法或机械手工除锈。</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设备的涂装要求：钢结构油漆为A80，涂层总厚度不小于120µm。主梁结构颜色：RAL1028（中黄色），零部件油漆为（包括齿轮箱、电机、吊钩、制动器及小车等）RAL5009（蓝色），电器柜内侧也要涂漆。以上所有涂装颜色需业主确认。如需变更，需要在合同生效之日起壹个月内通知卖方。</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发运途中，所有金属表面都有防湿防潮保护</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外购的机电设备的颜色与周围环境相协调，提交时不能有任何损坏；</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漆膜的外观检查为湿膜，不得缩边、缩水、起泡、发白、失光、涂料流挂。干膜不得有细微龟裂、剥膜等现象。面漆应均匀、平整、色泽一致，不得有漏漆、流漆、开裂、针孔、脱层等缺陷</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漆膜性能检验，漆膜的干透性、粘附力参照GB9286-88规定的一级质量要求进行。漆膜的厚度检验，每</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不少于3处，厚度误差20%。</w:t>
      </w:r>
    </w:p>
    <w:p>
      <w:pPr>
        <w:numPr>
          <w:ilvl w:val="2"/>
          <w:numId w:val="11"/>
        </w:numPr>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特别</w:t>
      </w:r>
      <w:r>
        <w:rPr>
          <w:rFonts w:hint="eastAsia" w:ascii="仿宋" w:hAnsi="仿宋" w:eastAsia="仿宋" w:cs="仿宋"/>
          <w:sz w:val="24"/>
          <w:szCs w:val="24"/>
          <w:highlight w:val="none"/>
        </w:rPr>
        <w:t>要求</w:t>
      </w:r>
    </w:p>
    <w:p>
      <w:pPr>
        <w:numPr>
          <w:ilvl w:val="3"/>
          <w:numId w:val="11"/>
        </w:numPr>
        <w:snapToGrid w:val="0"/>
        <w:spacing w:line="360" w:lineRule="auto"/>
        <w:ind w:left="850" w:leftChars="0" w:hanging="850" w:firstLineChars="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所有转动部件应有可靠的润滑系统</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润滑介质由投标方提供</w:t>
      </w:r>
      <w:r>
        <w:rPr>
          <w:rFonts w:hint="eastAsia" w:ascii="仿宋" w:hAnsi="仿宋" w:eastAsia="仿宋" w:cs="仿宋"/>
          <w:b/>
          <w:bCs/>
          <w:sz w:val="24"/>
          <w:szCs w:val="24"/>
          <w:highlight w:val="none"/>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全部减速器采用硬齿面减速器，供方应采取措施防止减速器渗漏油。</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双梁整车靠近滑触线侧必须配备维修吊笼。</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整车设置警示电铃，大、小车、起升等运行之前需操作电铃警示。</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起升机构（主、副钩）设置起重量限制器，当载荷达到90%额定载荷时，发出提示性报警信号，达到100%额定载荷时，起升机构停止上升，只能下降。</w:t>
      </w:r>
      <w:r>
        <w:rPr>
          <w:rFonts w:hint="eastAsia" w:ascii="仿宋" w:hAnsi="仿宋" w:eastAsia="仿宋" w:cs="仿宋"/>
          <w:b/>
          <w:bCs/>
          <w:sz w:val="24"/>
          <w:szCs w:val="24"/>
          <w:highlight w:val="none"/>
        </w:rPr>
        <w:t>起重量限制器带吨位显示器</w:t>
      </w:r>
      <w:r>
        <w:rPr>
          <w:rFonts w:hint="eastAsia" w:ascii="仿宋" w:hAnsi="仿宋" w:eastAsia="仿宋" w:cs="仿宋"/>
          <w:sz w:val="24"/>
          <w:szCs w:val="24"/>
          <w:highlight w:val="none"/>
        </w:rPr>
        <w:t>，选择质量可靠的产品。重量限制器具有主、副钩总载荷叠加功能，防止主梁过载</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起重机运动时增加地面灯光警示，要求地面警示灯清晰可见，警示灯据吊运物体水平距离不低于3米。</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起重机的喷涂应按招标方要求喷涂,采用高质量防锈漆，钢结构、机械设备及零部件都要作防腐处理。制造钢结构的板材和型材要经过抛丸预处理，管材除镀锌外，要经过化学方法或机械手工除锈。</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起重机安全防护装置应符合招标方使用要求，避免有明显的安全隐患。若不符合招标方使用要求，在标准范围内投标方对招标方提出的合理性问题进行配合整改。</w:t>
      </w:r>
    </w:p>
    <w:p>
      <w:pPr>
        <w:numPr>
          <w:ilvl w:val="2"/>
          <w:numId w:val="11"/>
        </w:numPr>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主要部件品牌要求</w:t>
      </w:r>
    </w:p>
    <w:p>
      <w:pPr>
        <w:numPr>
          <w:ilvl w:val="0"/>
          <w:numId w:val="0"/>
        </w:numPr>
        <w:snapToGrid w:val="0"/>
        <w:spacing w:line="360" w:lineRule="auto"/>
        <w:ind w:left="420" w:leftChars="200"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元器件建议按照下表清单中的标准选用，投标方投标时提供选用规格清单,最终规格待图纸会签时确定</w:t>
      </w:r>
      <w:r>
        <w:rPr>
          <w:rFonts w:hint="eastAsia" w:ascii="仿宋" w:hAnsi="仿宋" w:eastAsia="仿宋" w:cs="仿宋"/>
          <w:sz w:val="24"/>
          <w:szCs w:val="24"/>
          <w:highlight w:val="none"/>
          <w:lang w:eastAsia="zh-CN"/>
        </w:rPr>
        <w:t>。</w:t>
      </w:r>
    </w:p>
    <w:p>
      <w:pPr>
        <w:numPr>
          <w:ilvl w:val="3"/>
          <w:numId w:val="11"/>
        </w:numPr>
        <w:snapToGrid w:val="0"/>
        <w:spacing w:line="360" w:lineRule="auto"/>
        <w:ind w:left="850" w:leftChars="0" w:hanging="85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双梁桥式起重机的组成及品牌配置（</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0/</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0t）</w:t>
      </w:r>
    </w:p>
    <w:tbl>
      <w:tblPr>
        <w:tblStyle w:val="36"/>
        <w:tblW w:w="8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140"/>
        <w:gridCol w:w="704"/>
        <w:gridCol w:w="2268"/>
        <w:gridCol w:w="4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1564" w:type="dxa"/>
            <w:gridSpan w:val="2"/>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名称</w:t>
            </w: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分项内容</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424" w:type="dxa"/>
            <w:vMerge w:val="restart"/>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1140" w:type="dxa"/>
            <w:vMerge w:val="restart"/>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钢结构</w:t>
            </w: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1.1</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起重机钢结构</w:t>
            </w:r>
          </w:p>
        </w:tc>
        <w:tc>
          <w:tcPr>
            <w:tcW w:w="4115" w:type="dxa"/>
            <w:vAlign w:val="center"/>
          </w:tcPr>
          <w:p>
            <w:pPr>
              <w:widowControl/>
              <w:spacing w:line="320" w:lineRule="exact"/>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鞍钢/宝武</w:t>
            </w:r>
            <w:r>
              <w:rPr>
                <w:rFonts w:hint="eastAsia" w:ascii="仿宋" w:hAnsi="仿宋" w:eastAsia="仿宋" w:cs="仿宋"/>
                <w:kern w:val="0"/>
                <w:sz w:val="24"/>
                <w:szCs w:val="24"/>
                <w:lang w:val="en-US" w:eastAsia="zh-CN"/>
              </w:rPr>
              <w:t>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424" w:type="dxa"/>
            <w:vMerge w:val="continue"/>
            <w:vAlign w:val="center"/>
          </w:tcPr>
          <w:p>
            <w:pPr>
              <w:widowControl/>
              <w:spacing w:line="320" w:lineRule="exact"/>
              <w:jc w:val="center"/>
              <w:rPr>
                <w:rFonts w:hint="eastAsia" w:ascii="仿宋" w:hAnsi="仿宋" w:eastAsia="仿宋" w:cs="仿宋"/>
                <w:kern w:val="0"/>
                <w:sz w:val="24"/>
                <w:szCs w:val="24"/>
              </w:rPr>
            </w:pPr>
          </w:p>
        </w:tc>
        <w:tc>
          <w:tcPr>
            <w:tcW w:w="1140" w:type="dxa"/>
            <w:vMerge w:val="continue"/>
            <w:vAlign w:val="center"/>
          </w:tcPr>
          <w:p>
            <w:pPr>
              <w:widowControl/>
              <w:spacing w:line="320" w:lineRule="exact"/>
              <w:jc w:val="center"/>
              <w:rPr>
                <w:rFonts w:hint="eastAsia" w:ascii="仿宋" w:hAnsi="仿宋" w:eastAsia="仿宋" w:cs="仿宋"/>
                <w:kern w:val="0"/>
                <w:sz w:val="24"/>
                <w:szCs w:val="24"/>
              </w:rPr>
            </w:pP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1.2</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主梁钢材</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鞍钢/宝武</w:t>
            </w:r>
            <w:r>
              <w:rPr>
                <w:rFonts w:hint="eastAsia" w:ascii="仿宋" w:hAnsi="仿宋" w:eastAsia="仿宋" w:cs="仿宋"/>
                <w:kern w:val="0"/>
                <w:sz w:val="24"/>
                <w:szCs w:val="24"/>
                <w:lang w:val="en-US" w:eastAsia="zh-CN"/>
              </w:rPr>
              <w:t>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424" w:type="dxa"/>
            <w:vMerge w:val="restart"/>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c>
          <w:tcPr>
            <w:tcW w:w="1140" w:type="dxa"/>
            <w:vMerge w:val="restart"/>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起升机构</w:t>
            </w: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2.1</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起升电机</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SEW/西门子或同等品牌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424" w:type="dxa"/>
            <w:vMerge w:val="continue"/>
            <w:vAlign w:val="center"/>
          </w:tcPr>
          <w:p>
            <w:pPr>
              <w:widowControl/>
              <w:spacing w:line="320" w:lineRule="exact"/>
              <w:jc w:val="center"/>
              <w:rPr>
                <w:rFonts w:hint="eastAsia" w:ascii="仿宋" w:hAnsi="仿宋" w:eastAsia="仿宋" w:cs="仿宋"/>
                <w:kern w:val="0"/>
                <w:sz w:val="24"/>
                <w:szCs w:val="24"/>
              </w:rPr>
            </w:pPr>
          </w:p>
        </w:tc>
        <w:tc>
          <w:tcPr>
            <w:tcW w:w="1140" w:type="dxa"/>
            <w:vMerge w:val="continue"/>
            <w:vAlign w:val="center"/>
          </w:tcPr>
          <w:p>
            <w:pPr>
              <w:widowControl/>
              <w:spacing w:line="320" w:lineRule="exact"/>
              <w:jc w:val="center"/>
              <w:rPr>
                <w:rFonts w:hint="eastAsia" w:ascii="仿宋" w:hAnsi="仿宋" w:eastAsia="仿宋" w:cs="仿宋"/>
                <w:kern w:val="0"/>
                <w:sz w:val="24"/>
                <w:szCs w:val="24"/>
              </w:rPr>
            </w:pP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2.2</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减速机</w:t>
            </w:r>
          </w:p>
        </w:tc>
        <w:tc>
          <w:tcPr>
            <w:tcW w:w="4115" w:type="dxa"/>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SEW</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弗兰德或同等品牌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424" w:type="dxa"/>
            <w:vMerge w:val="continue"/>
            <w:vAlign w:val="center"/>
          </w:tcPr>
          <w:p>
            <w:pPr>
              <w:widowControl/>
              <w:spacing w:line="320" w:lineRule="exact"/>
              <w:jc w:val="center"/>
              <w:rPr>
                <w:rFonts w:hint="eastAsia" w:ascii="仿宋" w:hAnsi="仿宋" w:eastAsia="仿宋" w:cs="仿宋"/>
                <w:kern w:val="0"/>
                <w:sz w:val="24"/>
                <w:szCs w:val="24"/>
              </w:rPr>
            </w:pPr>
          </w:p>
        </w:tc>
        <w:tc>
          <w:tcPr>
            <w:tcW w:w="1140" w:type="dxa"/>
            <w:vMerge w:val="continue"/>
            <w:vAlign w:val="center"/>
          </w:tcPr>
          <w:p>
            <w:pPr>
              <w:widowControl/>
              <w:spacing w:line="320" w:lineRule="exact"/>
              <w:jc w:val="center"/>
              <w:rPr>
                <w:rFonts w:hint="eastAsia" w:ascii="仿宋" w:hAnsi="仿宋" w:eastAsia="仿宋" w:cs="仿宋"/>
                <w:kern w:val="0"/>
                <w:sz w:val="24"/>
                <w:szCs w:val="24"/>
              </w:rPr>
            </w:pP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2.3</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制动器</w:t>
            </w:r>
          </w:p>
        </w:tc>
        <w:tc>
          <w:tcPr>
            <w:tcW w:w="4115" w:type="dxa"/>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ZPMC/SEW/ABM或同等品牌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424" w:type="dxa"/>
            <w:vMerge w:val="continue"/>
            <w:vAlign w:val="center"/>
          </w:tcPr>
          <w:p>
            <w:pPr>
              <w:widowControl/>
              <w:spacing w:line="320" w:lineRule="exact"/>
              <w:jc w:val="center"/>
              <w:rPr>
                <w:rFonts w:hint="eastAsia" w:ascii="仿宋" w:hAnsi="仿宋" w:eastAsia="仿宋" w:cs="仿宋"/>
                <w:kern w:val="0"/>
                <w:sz w:val="24"/>
                <w:szCs w:val="24"/>
              </w:rPr>
            </w:pPr>
          </w:p>
        </w:tc>
        <w:tc>
          <w:tcPr>
            <w:tcW w:w="1140" w:type="dxa"/>
            <w:vMerge w:val="continue"/>
            <w:vAlign w:val="center"/>
          </w:tcPr>
          <w:p>
            <w:pPr>
              <w:widowControl/>
              <w:spacing w:line="320" w:lineRule="exact"/>
              <w:jc w:val="center"/>
              <w:rPr>
                <w:rFonts w:hint="eastAsia" w:ascii="仿宋" w:hAnsi="仿宋" w:eastAsia="仿宋" w:cs="仿宋"/>
                <w:kern w:val="0"/>
                <w:sz w:val="24"/>
                <w:szCs w:val="24"/>
              </w:rPr>
            </w:pP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2.4</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钢丝绳</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英制钢缆/布顿或同等品牌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exact"/>
          <w:jc w:val="center"/>
        </w:trPr>
        <w:tc>
          <w:tcPr>
            <w:tcW w:w="42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140"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运行机构</w:t>
            </w: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3.1</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大/小车三合一运行电机</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SEW</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西门子或同等品牌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exact"/>
          <w:jc w:val="center"/>
        </w:trPr>
        <w:tc>
          <w:tcPr>
            <w:tcW w:w="424" w:type="dxa"/>
            <w:vMerge w:val="restart"/>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1140" w:type="dxa"/>
            <w:vMerge w:val="restart"/>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电气部分</w:t>
            </w: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4.1</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直流电源</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西门子</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施耐德或同等品牌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424" w:type="dxa"/>
            <w:vMerge w:val="continue"/>
            <w:vAlign w:val="center"/>
          </w:tcPr>
          <w:p>
            <w:pPr>
              <w:widowControl/>
              <w:spacing w:line="320" w:lineRule="exact"/>
              <w:jc w:val="center"/>
              <w:rPr>
                <w:rFonts w:hint="eastAsia" w:ascii="仿宋" w:hAnsi="仿宋" w:eastAsia="仿宋" w:cs="仿宋"/>
                <w:kern w:val="0"/>
                <w:sz w:val="24"/>
                <w:szCs w:val="24"/>
              </w:rPr>
            </w:pPr>
          </w:p>
        </w:tc>
        <w:tc>
          <w:tcPr>
            <w:tcW w:w="1140" w:type="dxa"/>
            <w:vMerge w:val="continue"/>
            <w:vAlign w:val="center"/>
          </w:tcPr>
          <w:p>
            <w:pPr>
              <w:widowControl/>
              <w:spacing w:line="320" w:lineRule="exact"/>
              <w:jc w:val="center"/>
              <w:rPr>
                <w:rFonts w:hint="eastAsia" w:ascii="仿宋" w:hAnsi="仿宋" w:eastAsia="仿宋" w:cs="仿宋"/>
                <w:kern w:val="0"/>
                <w:sz w:val="24"/>
                <w:szCs w:val="24"/>
              </w:rPr>
            </w:pP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4.2</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变频器（起重机专用）</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西门子</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施耐德或同等品牌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exact"/>
          <w:jc w:val="center"/>
        </w:trPr>
        <w:tc>
          <w:tcPr>
            <w:tcW w:w="424" w:type="dxa"/>
            <w:vMerge w:val="continue"/>
            <w:vAlign w:val="center"/>
          </w:tcPr>
          <w:p>
            <w:pPr>
              <w:widowControl/>
              <w:spacing w:line="320" w:lineRule="exact"/>
              <w:jc w:val="center"/>
              <w:rPr>
                <w:rFonts w:hint="eastAsia" w:ascii="仿宋" w:hAnsi="仿宋" w:eastAsia="仿宋" w:cs="仿宋"/>
                <w:kern w:val="0"/>
                <w:sz w:val="24"/>
                <w:szCs w:val="24"/>
              </w:rPr>
            </w:pPr>
          </w:p>
        </w:tc>
        <w:tc>
          <w:tcPr>
            <w:tcW w:w="1140" w:type="dxa"/>
            <w:vMerge w:val="continue"/>
            <w:vAlign w:val="center"/>
          </w:tcPr>
          <w:p>
            <w:pPr>
              <w:widowControl/>
              <w:spacing w:line="320" w:lineRule="exact"/>
              <w:jc w:val="center"/>
              <w:rPr>
                <w:rFonts w:hint="eastAsia" w:ascii="仿宋" w:hAnsi="仿宋" w:eastAsia="仿宋" w:cs="仿宋"/>
                <w:kern w:val="0"/>
                <w:sz w:val="24"/>
                <w:szCs w:val="24"/>
              </w:rPr>
            </w:pP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4.3</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低压电器（接触器、继电器、开关、按钮等）</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西门子</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施耐德或同等品牌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jc w:val="center"/>
        </w:trPr>
        <w:tc>
          <w:tcPr>
            <w:tcW w:w="424" w:type="dxa"/>
            <w:vMerge w:val="continue"/>
            <w:vAlign w:val="center"/>
          </w:tcPr>
          <w:p>
            <w:pPr>
              <w:widowControl/>
              <w:spacing w:line="320" w:lineRule="exact"/>
              <w:jc w:val="center"/>
              <w:rPr>
                <w:rFonts w:hint="eastAsia" w:ascii="仿宋" w:hAnsi="仿宋" w:eastAsia="仿宋" w:cs="仿宋"/>
                <w:kern w:val="0"/>
                <w:sz w:val="24"/>
                <w:szCs w:val="24"/>
              </w:rPr>
            </w:pPr>
          </w:p>
        </w:tc>
        <w:tc>
          <w:tcPr>
            <w:tcW w:w="1140" w:type="dxa"/>
            <w:vMerge w:val="continue"/>
            <w:vAlign w:val="center"/>
          </w:tcPr>
          <w:p>
            <w:pPr>
              <w:widowControl/>
              <w:spacing w:line="320" w:lineRule="exact"/>
              <w:jc w:val="center"/>
              <w:rPr>
                <w:rFonts w:hint="eastAsia" w:ascii="仿宋" w:hAnsi="仿宋" w:eastAsia="仿宋" w:cs="仿宋"/>
                <w:kern w:val="0"/>
                <w:sz w:val="24"/>
                <w:szCs w:val="24"/>
              </w:rPr>
            </w:pP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4.4</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光电开关</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SICK（西克）</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OMRON（欧姆龙）或同等品牌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424" w:type="dxa"/>
            <w:vMerge w:val="continue"/>
            <w:vAlign w:val="center"/>
          </w:tcPr>
          <w:p>
            <w:pPr>
              <w:widowControl/>
              <w:spacing w:line="320" w:lineRule="exact"/>
              <w:jc w:val="center"/>
              <w:rPr>
                <w:rFonts w:hint="eastAsia" w:ascii="仿宋" w:hAnsi="仿宋" w:eastAsia="仿宋" w:cs="仿宋"/>
                <w:kern w:val="0"/>
                <w:sz w:val="24"/>
                <w:szCs w:val="24"/>
              </w:rPr>
            </w:pPr>
          </w:p>
        </w:tc>
        <w:tc>
          <w:tcPr>
            <w:tcW w:w="1140" w:type="dxa"/>
            <w:vMerge w:val="continue"/>
            <w:vAlign w:val="center"/>
          </w:tcPr>
          <w:p>
            <w:pPr>
              <w:widowControl/>
              <w:spacing w:line="320" w:lineRule="exact"/>
              <w:jc w:val="center"/>
              <w:rPr>
                <w:rFonts w:hint="eastAsia" w:ascii="仿宋" w:hAnsi="仿宋" w:eastAsia="仿宋" w:cs="仿宋"/>
                <w:kern w:val="0"/>
                <w:sz w:val="24"/>
                <w:szCs w:val="24"/>
              </w:rPr>
            </w:pP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4.5</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行程开关、限位开关</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西门子</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欧姆龙或同等品牌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424" w:type="dxa"/>
            <w:vMerge w:val="continue"/>
            <w:vAlign w:val="center"/>
          </w:tcPr>
          <w:p>
            <w:pPr>
              <w:widowControl/>
              <w:spacing w:line="320" w:lineRule="exact"/>
              <w:jc w:val="center"/>
              <w:rPr>
                <w:rFonts w:hint="eastAsia" w:ascii="仿宋" w:hAnsi="仿宋" w:eastAsia="仿宋" w:cs="仿宋"/>
                <w:kern w:val="0"/>
                <w:sz w:val="24"/>
                <w:szCs w:val="24"/>
              </w:rPr>
            </w:pPr>
          </w:p>
        </w:tc>
        <w:tc>
          <w:tcPr>
            <w:tcW w:w="1140" w:type="dxa"/>
            <w:vMerge w:val="continue"/>
            <w:vAlign w:val="center"/>
          </w:tcPr>
          <w:p>
            <w:pPr>
              <w:widowControl/>
              <w:spacing w:line="320" w:lineRule="exact"/>
              <w:jc w:val="center"/>
              <w:rPr>
                <w:rFonts w:hint="eastAsia" w:ascii="仿宋" w:hAnsi="仿宋" w:eastAsia="仿宋" w:cs="仿宋"/>
                <w:kern w:val="0"/>
                <w:sz w:val="24"/>
                <w:szCs w:val="24"/>
              </w:rPr>
            </w:pP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4.6</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遥控器</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AUTEC</w:t>
            </w:r>
            <w:r>
              <w:rPr>
                <w:rFonts w:hint="eastAsia" w:ascii="仿宋" w:hAnsi="仿宋" w:eastAsia="仿宋" w:cs="仿宋"/>
                <w:kern w:val="0"/>
                <w:sz w:val="24"/>
                <w:szCs w:val="24"/>
                <w:lang w:val="en-US" w:eastAsia="zh-CN"/>
              </w:rPr>
              <w:t>/HBC/</w:t>
            </w:r>
            <w:r>
              <w:rPr>
                <w:rFonts w:hint="eastAsia" w:ascii="仿宋" w:hAnsi="仿宋" w:eastAsia="仿宋" w:cs="仿宋"/>
                <w:kern w:val="0"/>
                <w:sz w:val="24"/>
                <w:szCs w:val="24"/>
              </w:rPr>
              <w:t>意凯希或同等品牌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424" w:type="dxa"/>
            <w:vMerge w:val="continue"/>
            <w:vAlign w:val="center"/>
          </w:tcPr>
          <w:p>
            <w:pPr>
              <w:widowControl/>
              <w:spacing w:line="320" w:lineRule="exact"/>
              <w:jc w:val="center"/>
              <w:rPr>
                <w:rFonts w:hint="eastAsia" w:ascii="仿宋" w:hAnsi="仿宋" w:eastAsia="仿宋" w:cs="仿宋"/>
                <w:kern w:val="0"/>
                <w:sz w:val="24"/>
                <w:szCs w:val="24"/>
              </w:rPr>
            </w:pPr>
          </w:p>
        </w:tc>
        <w:tc>
          <w:tcPr>
            <w:tcW w:w="1140" w:type="dxa"/>
            <w:vMerge w:val="continue"/>
            <w:vAlign w:val="center"/>
          </w:tcPr>
          <w:p>
            <w:pPr>
              <w:widowControl/>
              <w:spacing w:line="320" w:lineRule="exact"/>
              <w:jc w:val="center"/>
              <w:rPr>
                <w:rFonts w:hint="eastAsia" w:ascii="仿宋" w:hAnsi="仿宋" w:eastAsia="仿宋" w:cs="仿宋"/>
                <w:kern w:val="0"/>
                <w:sz w:val="24"/>
                <w:szCs w:val="24"/>
              </w:rPr>
            </w:pPr>
          </w:p>
        </w:tc>
        <w:tc>
          <w:tcPr>
            <w:tcW w:w="704"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4.7</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手电门</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意大利GG</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西门子或同等品牌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424" w:type="dxa"/>
            <w:vMerge w:val="continue"/>
            <w:vAlign w:val="center"/>
          </w:tcPr>
          <w:p>
            <w:pPr>
              <w:widowControl/>
              <w:spacing w:line="320" w:lineRule="exact"/>
              <w:jc w:val="center"/>
              <w:rPr>
                <w:rFonts w:hint="eastAsia" w:ascii="仿宋" w:hAnsi="仿宋" w:eastAsia="仿宋" w:cs="仿宋"/>
                <w:kern w:val="0"/>
                <w:sz w:val="24"/>
                <w:szCs w:val="24"/>
              </w:rPr>
            </w:pPr>
          </w:p>
        </w:tc>
        <w:tc>
          <w:tcPr>
            <w:tcW w:w="1140" w:type="dxa"/>
            <w:vMerge w:val="continue"/>
            <w:vAlign w:val="center"/>
          </w:tcPr>
          <w:p>
            <w:pPr>
              <w:widowControl/>
              <w:spacing w:line="320" w:lineRule="exact"/>
              <w:jc w:val="center"/>
              <w:rPr>
                <w:rFonts w:hint="eastAsia" w:ascii="仿宋" w:hAnsi="仿宋" w:eastAsia="仿宋" w:cs="仿宋"/>
                <w:kern w:val="0"/>
                <w:sz w:val="24"/>
                <w:szCs w:val="24"/>
              </w:rPr>
            </w:pPr>
          </w:p>
        </w:tc>
        <w:tc>
          <w:tcPr>
            <w:tcW w:w="704" w:type="dxa"/>
            <w:vAlign w:val="center"/>
          </w:tcPr>
          <w:p>
            <w:pPr>
              <w:widowControl/>
              <w:spacing w:line="320" w:lineRule="exact"/>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rPr>
              <w:t>4.</w:t>
            </w:r>
            <w:r>
              <w:rPr>
                <w:rFonts w:hint="eastAsia" w:ascii="仿宋" w:hAnsi="仿宋" w:eastAsia="仿宋" w:cs="仿宋"/>
                <w:kern w:val="0"/>
                <w:sz w:val="24"/>
                <w:szCs w:val="24"/>
                <w:lang w:val="en-US" w:eastAsia="zh-CN"/>
              </w:rPr>
              <w:t>8</w:t>
            </w:r>
          </w:p>
        </w:tc>
        <w:tc>
          <w:tcPr>
            <w:tcW w:w="2268"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轴承</w:t>
            </w:r>
          </w:p>
        </w:tc>
        <w:tc>
          <w:tcPr>
            <w:tcW w:w="4115" w:type="dxa"/>
            <w:vAlign w:val="center"/>
          </w:tcPr>
          <w:p>
            <w:pPr>
              <w:widowControl/>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SKF</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NSK或同等品牌</w:t>
            </w:r>
          </w:p>
        </w:tc>
      </w:tr>
    </w:tbl>
    <w:p>
      <w:pPr>
        <w:widowControl w:val="0"/>
        <w:snapToGrid w:val="0"/>
        <w:spacing w:line="360" w:lineRule="auto"/>
        <w:ind w:firstLine="420" w:firstLineChars="200"/>
        <w:jc w:val="both"/>
        <w:rPr>
          <w:rFonts w:ascii="仿宋" w:hAnsi="仿宋" w:eastAsia="仿宋" w:cs="仿宋"/>
          <w:kern w:val="0"/>
          <w:sz w:val="21"/>
          <w:szCs w:val="21"/>
          <w:highlight w:val="none"/>
          <w:lang w:val="en-US" w:eastAsia="zh-CN" w:bidi="ar-SA"/>
        </w:rPr>
      </w:pPr>
      <w:r>
        <w:rPr>
          <w:rFonts w:hint="eastAsia" w:ascii="仿宋" w:hAnsi="仿宋" w:eastAsia="仿宋" w:cs="仿宋"/>
          <w:kern w:val="2"/>
          <w:sz w:val="21"/>
          <w:szCs w:val="21"/>
          <w:highlight w:val="none"/>
          <w:lang w:val="en-US" w:eastAsia="zh-CN" w:bidi="ar"/>
        </w:rPr>
        <w:t>注：1.未注明国产或进口的元件均按进口元件选定；2.出现不能满足附表选型时，应与招标方进行协商，必须取得招标方的批准；3.所有电气零部件保护等级须符合IEC：IP-54以上，如工艺要求更高的防护以实际工艺要求为准。</w:t>
      </w:r>
    </w:p>
    <w:p>
      <w:pPr>
        <w:keepNext/>
        <w:keepLines/>
        <w:widowControl w:val="0"/>
        <w:bidi w:val="0"/>
        <w:spacing w:before="10" w:after="10" w:line="360" w:lineRule="auto"/>
        <w:jc w:val="center"/>
        <w:outlineLvl w:val="1"/>
        <w:rPr>
          <w:rFonts w:ascii="Cambria" w:hAnsi="Cambria" w:eastAsia="仿宋" w:cs="Times New Roman"/>
          <w:b/>
          <w:bCs/>
          <w:kern w:val="0"/>
          <w:sz w:val="24"/>
          <w:szCs w:val="32"/>
          <w:lang w:val="en-US" w:eastAsia="zh-CN" w:bidi="ar-SA"/>
        </w:rPr>
      </w:pPr>
      <w:bookmarkStart w:id="51" w:name="_Toc15736"/>
      <w:bookmarkStart w:id="52" w:name="_Toc15323"/>
      <w:r>
        <w:rPr>
          <w:rFonts w:hint="eastAsia" w:ascii="Cambria" w:hAnsi="Cambria" w:eastAsia="仿宋" w:cs="Times New Roman"/>
          <w:b/>
          <w:bCs/>
          <w:kern w:val="0"/>
          <w:sz w:val="24"/>
          <w:szCs w:val="32"/>
          <w:lang w:val="en-US" w:eastAsia="zh-CN" w:bidi="ar-SA"/>
        </w:rPr>
        <w:t>第四节 特别提示</w:t>
      </w:r>
      <w:bookmarkEnd w:id="51"/>
      <w:bookmarkEnd w:id="52"/>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4.1 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4.2 本技术要求所使用的标准、规范等，如与投标方所执行的标准、规范不一致时，应按高于本技术要求所列的标准、规范执行，并在投标文件“技术偏离”中予以说明。</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4.3 投标方认为所供货物（或生产线）必需由招标方配备、解决或提供的其它要求，如设备基础隔振和减振设施、软化水、洁净气源等，均应在投标文件“技术偏离”中予以充分说明。</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4.4 投标方须负责在终验收前，在招标方设备现场对投标设备实施电能质量和公用电网谐波检测并出具检测报告。检测工作由投标方负责安排第三方实施（第三方的资质须由招标方认可）。</w:t>
      </w:r>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4.5 投标文件中，针对“特别提示”条款所做的回应，将作为投标方能否中标的重要依据之一。</w:t>
      </w:r>
    </w:p>
    <w:p>
      <w:pPr>
        <w:widowControl w:val="0"/>
        <w:snapToGrid w:val="0"/>
        <w:spacing w:line="360" w:lineRule="auto"/>
        <w:ind w:firstLine="480" w:firstLine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4.6 投标方所投货物外观颜色标准按招标方提供的标准或双方书面约定的标准执行。</w:t>
      </w:r>
    </w:p>
    <w:p>
      <w:pPr>
        <w:widowControl w:val="0"/>
        <w:snapToGrid w:val="0"/>
        <w:spacing w:line="360" w:lineRule="auto"/>
        <w:ind w:firstLine="480" w:firstLineChars="200"/>
        <w:jc w:val="both"/>
        <w:rPr>
          <w:rFonts w:hint="default" w:ascii="仿宋" w:hAnsi="仿宋" w:eastAsia="仿宋" w:cs="仿宋"/>
          <w:b/>
          <w:bCs/>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4.7 </w:t>
      </w:r>
      <w:r>
        <w:rPr>
          <w:rFonts w:hint="eastAsia" w:ascii="仿宋" w:hAnsi="仿宋" w:eastAsia="仿宋" w:cs="仿宋"/>
          <w:sz w:val="24"/>
          <w:szCs w:val="24"/>
          <w:highlight w:val="none"/>
        </w:rPr>
        <w:t>*</w:t>
      </w:r>
      <w:r>
        <w:rPr>
          <w:rFonts w:hint="eastAsia" w:ascii="仿宋" w:hAnsi="仿宋" w:eastAsia="仿宋" w:cs="仿宋"/>
          <w:b/>
          <w:bCs/>
          <w:kern w:val="0"/>
          <w:sz w:val="24"/>
          <w:szCs w:val="24"/>
          <w:highlight w:val="none"/>
          <w:lang w:val="en-US" w:eastAsia="zh-CN" w:bidi="ar-SA"/>
        </w:rPr>
        <w:t>投标方所投货物为欧式双梁起重机，该项作为技术标否决项，不允许技术偏离。</w:t>
      </w:r>
    </w:p>
    <w:p>
      <w:pPr>
        <w:pStyle w:val="2"/>
        <w:rPr>
          <w:rFonts w:hint="eastAsia"/>
          <w:lang w:val="en-US" w:eastAsia="zh-CN"/>
        </w:rPr>
      </w:pPr>
    </w:p>
    <w:p>
      <w:pPr>
        <w:pStyle w:val="2"/>
        <w:rPr>
          <w:rFonts w:hint="eastAsia"/>
          <w:lang w:val="en-US" w:eastAsia="zh-CN"/>
        </w:rPr>
      </w:pPr>
    </w:p>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keepNext/>
        <w:keepLines/>
        <w:widowControl w:val="0"/>
        <w:bidi w:val="0"/>
        <w:spacing w:before="50" w:beforeLines="50" w:after="50" w:afterLines="50" w:line="360" w:lineRule="auto"/>
        <w:jc w:val="center"/>
        <w:outlineLvl w:val="0"/>
        <w:rPr>
          <w:rFonts w:ascii="Times New Roman" w:hAnsi="Times New Roman" w:eastAsia="仿宋" w:cs="Times New Roman"/>
          <w:b/>
          <w:bCs/>
          <w:kern w:val="44"/>
          <w:sz w:val="24"/>
          <w:szCs w:val="44"/>
          <w:lang w:val="en-US" w:eastAsia="zh-CN" w:bidi="ar-SA"/>
        </w:rPr>
      </w:pPr>
      <w:bookmarkStart w:id="53" w:name="_Toc7154"/>
      <w:bookmarkStart w:id="54" w:name="_Toc1301"/>
      <w:r>
        <w:rPr>
          <w:rFonts w:hint="eastAsia" w:ascii="Times New Roman" w:hAnsi="Times New Roman" w:eastAsia="仿宋" w:cs="Times New Roman"/>
          <w:b/>
          <w:bCs/>
          <w:kern w:val="44"/>
          <w:sz w:val="24"/>
          <w:szCs w:val="44"/>
          <w:lang w:val="en-US" w:eastAsia="zh-CN" w:bidi="ar-SA"/>
        </w:rPr>
        <w:t>第三章供货范围及供货方式</w:t>
      </w:r>
      <w:bookmarkEnd w:id="53"/>
      <w:bookmarkEnd w:id="54"/>
    </w:p>
    <w:p>
      <w:pPr>
        <w:keepNext/>
        <w:keepLines/>
        <w:widowControl w:val="0"/>
        <w:bidi w:val="0"/>
        <w:spacing w:before="10" w:after="10" w:line="360" w:lineRule="auto"/>
        <w:jc w:val="center"/>
        <w:outlineLvl w:val="1"/>
        <w:rPr>
          <w:rFonts w:ascii="仿宋" w:hAnsi="仿宋" w:eastAsia="仿宋" w:cs="仿宋"/>
          <w:b w:val="0"/>
          <w:bCs w:val="0"/>
          <w:kern w:val="0"/>
          <w:sz w:val="24"/>
          <w:szCs w:val="24"/>
          <w:highlight w:val="none"/>
          <w:lang w:val="en-US" w:eastAsia="zh-CN" w:bidi="ar-SA"/>
        </w:rPr>
      </w:pPr>
      <w:bookmarkStart w:id="55" w:name="_Toc23627"/>
      <w:bookmarkStart w:id="56" w:name="_Toc10739"/>
      <w:r>
        <w:rPr>
          <w:rFonts w:hint="eastAsia" w:ascii="Cambria" w:hAnsi="Cambria" w:eastAsia="仿宋" w:cs="Times New Roman"/>
          <w:b/>
          <w:bCs/>
          <w:kern w:val="0"/>
          <w:sz w:val="24"/>
          <w:szCs w:val="32"/>
          <w:lang w:val="en-US" w:eastAsia="zh-CN" w:bidi="ar-SA"/>
        </w:rPr>
        <w:t>第一节 供货范围</w:t>
      </w:r>
      <w:bookmarkEnd w:id="55"/>
      <w:bookmarkEnd w:id="56"/>
    </w:p>
    <w:p>
      <w:pPr>
        <w:keepNext/>
        <w:keepLines/>
        <w:widowControl w:val="0"/>
        <w:bidi w:val="0"/>
        <w:spacing w:before="10" w:after="10" w:line="360" w:lineRule="auto"/>
        <w:jc w:val="left"/>
        <w:outlineLvl w:val="2"/>
        <w:rPr>
          <w:rFonts w:ascii="Times New Roman" w:hAnsi="Times New Roman" w:eastAsia="仿宋" w:cs="Times New Roman"/>
          <w:b/>
          <w:bCs/>
          <w:kern w:val="0"/>
          <w:sz w:val="24"/>
          <w:szCs w:val="32"/>
          <w:lang w:val="en-US" w:eastAsia="zh-CN" w:bidi="ar-SA"/>
        </w:rPr>
      </w:pPr>
      <w:bookmarkStart w:id="57" w:name="_Toc28984"/>
      <w:bookmarkStart w:id="58" w:name="_Toc4968"/>
      <w:r>
        <w:rPr>
          <w:rFonts w:hint="eastAsia" w:ascii="Times New Roman" w:hAnsi="Times New Roman" w:eastAsia="仿宋" w:cs="Times New Roman"/>
          <w:b/>
          <w:bCs/>
          <w:kern w:val="0"/>
          <w:sz w:val="24"/>
          <w:szCs w:val="32"/>
          <w:lang w:val="en-US" w:eastAsia="zh-CN" w:bidi="ar-SA"/>
        </w:rPr>
        <w:t>1.1 主要供货范围</w:t>
      </w:r>
      <w:bookmarkEnd w:id="57"/>
      <w:bookmarkEnd w:id="58"/>
    </w:p>
    <w:p>
      <w:pPr>
        <w:widowControl w:val="0"/>
        <w:numPr>
          <w:ilvl w:val="2"/>
          <w:numId w:val="12"/>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招标方提供所需厂房、货物（或生产线）的基本砼基础，轨道采用原有旧轨道，由投标方负责进行建设。</w:t>
      </w:r>
    </w:p>
    <w:p>
      <w:pPr>
        <w:widowControl w:val="0"/>
        <w:numPr>
          <w:ilvl w:val="2"/>
          <w:numId w:val="12"/>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招标方只负责提供符合本技术标书中“采购货物概况”和“使用环境”章节所列明品质的电力、自来水、压缩空气、蒸汽、天然气（或煤气）管线至车间接口,投标方负责从车间接口到项目系统的对接。</w:t>
      </w:r>
    </w:p>
    <w:p>
      <w:pPr>
        <w:widowControl w:val="0"/>
        <w:numPr>
          <w:ilvl w:val="2"/>
          <w:numId w:val="12"/>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投标方应提供包括货物（或生产线）正常运行所必需的全套连线设备、材料等；如：联接法兰外端面（含联接螺栓）之内的、电气系统接口压线板（插座等）之内的设备、材料等。</w:t>
      </w:r>
    </w:p>
    <w:p>
      <w:pPr>
        <w:widowControl w:val="0"/>
        <w:numPr>
          <w:ilvl w:val="2"/>
          <w:numId w:val="12"/>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pPr>
        <w:widowControl w:val="0"/>
        <w:numPr>
          <w:ilvl w:val="2"/>
          <w:numId w:val="12"/>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应提供包括为达到环保、消防和职业健康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pPr>
        <w:widowControl w:val="0"/>
        <w:numPr>
          <w:ilvl w:val="2"/>
          <w:numId w:val="12"/>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投标方应提供包括为保证货物（或生产线）自身正常运行所必需的、适应使用地点条件的通风、冷却、降温系统等。</w:t>
      </w:r>
    </w:p>
    <w:p>
      <w:pPr>
        <w:widowControl w:val="0"/>
        <w:numPr>
          <w:ilvl w:val="2"/>
          <w:numId w:val="12"/>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pPr>
        <w:widowControl w:val="0"/>
        <w:numPr>
          <w:ilvl w:val="2"/>
          <w:numId w:val="12"/>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投标方应提供货物（或生产线）维修所必需的专用工具，并在投标报价部分说明数量。</w:t>
      </w:r>
    </w:p>
    <w:p>
      <w:pPr>
        <w:keepNext/>
        <w:keepLines/>
        <w:widowControl w:val="0"/>
        <w:bidi w:val="0"/>
        <w:spacing w:before="10" w:after="10" w:line="360" w:lineRule="auto"/>
        <w:jc w:val="left"/>
        <w:outlineLvl w:val="2"/>
        <w:rPr>
          <w:rFonts w:ascii="Times New Roman" w:hAnsi="Times New Roman" w:eastAsia="仿宋" w:cs="Times New Roman"/>
          <w:b/>
          <w:bCs/>
          <w:kern w:val="0"/>
          <w:sz w:val="24"/>
          <w:szCs w:val="32"/>
          <w:lang w:val="en-US" w:eastAsia="zh-CN" w:bidi="ar-SA"/>
        </w:rPr>
      </w:pPr>
      <w:bookmarkStart w:id="59" w:name="_Toc12573"/>
      <w:bookmarkStart w:id="60" w:name="_Toc458"/>
      <w:r>
        <w:rPr>
          <w:rFonts w:hint="eastAsia" w:ascii="Times New Roman" w:hAnsi="Times New Roman" w:eastAsia="仿宋" w:cs="Times New Roman"/>
          <w:b/>
          <w:bCs/>
          <w:kern w:val="0"/>
          <w:sz w:val="24"/>
          <w:szCs w:val="32"/>
          <w:lang w:val="en-US" w:eastAsia="zh-CN" w:bidi="ar-SA"/>
        </w:rPr>
        <w:t>1.2 备品备件、易损件和专用耗材供货范围</w:t>
      </w:r>
      <w:bookmarkEnd w:id="59"/>
      <w:bookmarkEnd w:id="60"/>
    </w:p>
    <w:p>
      <w:pPr>
        <w:widowControl w:val="0"/>
        <w:numPr>
          <w:ilvl w:val="2"/>
          <w:numId w:val="13"/>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招标方招标文件所指备品备件、易损件和专用耗材，是招标方为保证货物（或生产线）质保期之后正常运行一年所自备自用的备品备件、易损件和专用耗材。</w:t>
      </w:r>
    </w:p>
    <w:p>
      <w:pPr>
        <w:widowControl w:val="0"/>
        <w:numPr>
          <w:ilvl w:val="2"/>
          <w:numId w:val="13"/>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投标方按照招标文件要求提供、或投标方认为招标方应当储备的备品备件、易损件和专用耗材，投标方应当在投标报价部分分别说明所列备品备件、易损件和专用耗材的使用时间。</w:t>
      </w:r>
    </w:p>
    <w:p>
      <w:pPr>
        <w:widowControl w:val="0"/>
        <w:numPr>
          <w:ilvl w:val="2"/>
          <w:numId w:val="13"/>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投标方应提供易损件和专用耗材的制造图纸及其技术要求等资料。</w:t>
      </w:r>
    </w:p>
    <w:p>
      <w:pPr>
        <w:widowControl w:val="0"/>
        <w:numPr>
          <w:ilvl w:val="2"/>
          <w:numId w:val="13"/>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文件中，应当有备品备件、易损件和专用耗材的详细清单（内容包括名称、型号、规格、单位、数量、生产厂家等）。起重机的主要参数、配置表、关键件和进口外购明细表、随设备附明细表、技术文件明细表等。</w:t>
      </w:r>
    </w:p>
    <w:p>
      <w:pPr>
        <w:widowControl w:val="0"/>
        <w:numPr>
          <w:ilvl w:val="2"/>
          <w:numId w:val="13"/>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备品备件、易损件和专用耗材的费用应分类单列，并计入投标总报价之内。</w:t>
      </w:r>
    </w:p>
    <w:p>
      <w:pPr>
        <w:keepNext/>
        <w:keepLines/>
        <w:widowControl w:val="0"/>
        <w:bidi w:val="0"/>
        <w:spacing w:before="10" w:after="10" w:line="360" w:lineRule="auto"/>
        <w:jc w:val="left"/>
        <w:outlineLvl w:val="2"/>
        <w:rPr>
          <w:rFonts w:ascii="Times New Roman" w:hAnsi="Times New Roman" w:eastAsia="仿宋" w:cs="Times New Roman"/>
          <w:b/>
          <w:bCs/>
          <w:kern w:val="0"/>
          <w:sz w:val="24"/>
          <w:szCs w:val="32"/>
          <w:lang w:val="en-US" w:eastAsia="zh-CN" w:bidi="ar-SA"/>
        </w:rPr>
      </w:pPr>
      <w:bookmarkStart w:id="61" w:name="_Toc23956"/>
      <w:bookmarkStart w:id="62" w:name="_Toc25653"/>
      <w:r>
        <w:rPr>
          <w:rFonts w:hint="eastAsia" w:ascii="Times New Roman" w:hAnsi="Times New Roman" w:eastAsia="仿宋" w:cs="Times New Roman"/>
          <w:b/>
          <w:bCs/>
          <w:kern w:val="0"/>
          <w:sz w:val="24"/>
          <w:szCs w:val="32"/>
          <w:lang w:val="en-US" w:eastAsia="zh-CN" w:bidi="ar-SA"/>
        </w:rPr>
        <w:t>1.3 技术资料供货范围</w:t>
      </w:r>
      <w:bookmarkEnd w:id="61"/>
      <w:bookmarkEnd w:id="62"/>
    </w:p>
    <w:p>
      <w:pPr>
        <w:widowControl w:val="0"/>
        <w:snapToGrid w:val="0"/>
        <w:spacing w:line="360" w:lineRule="auto"/>
        <w:ind w:left="6" w:firstLine="474"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技术资料（进口设备要求中英文对照）包括：</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设备安全操作规程和使用手册。</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维修手册及保养手册。</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液压原理图（含动作顺序表）、气动原理图（含动作顺序表）、润滑原理图、电气原理图、电器接线图、电气元件分布图、梯形图（带中文注释）；</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总装配图和主要部件的装配图，全部自制零件正规图纸，提供机床所有零件的明细表，零件号与装配图应一一对应，且能方便地查找零件在装配图上的位置。提供关键件、易损件零件图。</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采购部件提供正规装配图及零件明细;标准件提供明细（包括型号、规格、部位、数量、制造厂家）并与装配图一一对应；提供关键件，易损件明细。</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提供所有电气元件，液压元件，气动元件，润滑元件明细表（包括型号、规格、部位、数量、制造厂家）。</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主要外购装置、外购件的使用指导说明书。</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主要零部件、元器件，由投标方负责检验，并提供检验报告。</w:t>
      </w:r>
    </w:p>
    <w:p>
      <w:pPr>
        <w:numPr>
          <w:ilvl w:val="2"/>
          <w:numId w:val="14"/>
        </w:numPr>
        <w:snapToGrid w:val="0"/>
        <w:spacing w:line="360" w:lineRule="auto"/>
        <w:ind w:left="709" w:leftChars="0" w:hanging="709" w:firstLineChars="0"/>
        <w:rPr>
          <w:rFonts w:ascii="仿宋" w:hAnsi="仿宋" w:eastAsia="仿宋" w:cs="仿宋"/>
          <w:kern w:val="0"/>
          <w:sz w:val="24"/>
          <w:szCs w:val="24"/>
          <w:highlight w:val="none"/>
        </w:rPr>
      </w:pPr>
      <w:r>
        <w:rPr>
          <w:rFonts w:hint="eastAsia" w:ascii="仿宋" w:hAnsi="仿宋" w:eastAsia="仿宋" w:cs="仿宋"/>
          <w:sz w:val="24"/>
          <w:szCs w:val="24"/>
          <w:highlight w:val="none"/>
        </w:rPr>
        <w:t>应提供设备出厂所必须的具备国际标准或国内标准规定的具备相关计量检定资质单位精度检验证书、性能测试记录和报告。校准（标定）作业指导书。</w:t>
      </w:r>
    </w:p>
    <w:p>
      <w:pPr>
        <w:numPr>
          <w:ilvl w:val="2"/>
          <w:numId w:val="14"/>
        </w:numPr>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应提供具有测量、检定、校准等功能设备及具备有压力、温度、流量、位移等计量监控要求的计量器具进行检定/校准/标定所用受控标准器具及作业指导书、检定机构名单。</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提供设备消耗水、电、气的详细资料。</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保证设备正常运行、维护和保养必需的其他参数和资料。</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须负责在合同签订后30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投标方须负责在预验收前，提供设备各部分的功能描述文件、图片、影像等资料（进口、设备应有中外文对照）。</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投标方须负责在终验收前，提供招标方所需全套的工装、模具、吊（挂）具明细及其图纸、具体技术要求等资料。</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投标方须负责在终验收前，提供确定的设备的外购件、外协件、电气元件及主要原材料的供货厂家明细表。</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投标方须负责在设备到达招标方工厂时，与设备一并提供包括设备的备品备件、易损件和专用耗材规定的图纸及技术参数、技术要求等资料。</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pPr>
        <w:widowControl w:val="0"/>
        <w:numPr>
          <w:ilvl w:val="2"/>
          <w:numId w:val="14"/>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投标方在设备入场前提供接口的技术文档和参数说明，包括但不限于接口协议、通讯速率、数据格式等。</w:t>
      </w:r>
    </w:p>
    <w:p>
      <w:pPr>
        <w:widowControl w:val="0"/>
        <w:numPr>
          <w:ilvl w:val="2"/>
          <w:numId w:val="14"/>
        </w:numPr>
        <w:snapToGrid w:val="0"/>
        <w:spacing w:line="360" w:lineRule="auto"/>
        <w:ind w:left="709" w:leftChars="0" w:hanging="709"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本“技术资料范围”所列的技术资料、图片、影像等，投标方应各提供4套，其中1套为硬盘；每份技术文件应装有目录清单。</w:t>
      </w:r>
    </w:p>
    <w:p>
      <w:pPr>
        <w:widowControl w:val="0"/>
        <w:numPr>
          <w:ilvl w:val="2"/>
          <w:numId w:val="14"/>
        </w:numPr>
        <w:snapToGrid w:val="0"/>
        <w:spacing w:line="360" w:lineRule="auto"/>
        <w:ind w:left="709" w:leftChars="0" w:hanging="709"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本“技术资料范围”所列要求，如招标方认为投标方提供的资料不能满足要求时，有权要求投标方补充或增加。</w:t>
      </w:r>
    </w:p>
    <w:p>
      <w:pPr>
        <w:keepNext/>
        <w:keepLines/>
        <w:widowControl w:val="0"/>
        <w:bidi w:val="0"/>
        <w:spacing w:before="10" w:after="10" w:line="360" w:lineRule="auto"/>
        <w:jc w:val="center"/>
        <w:outlineLvl w:val="1"/>
        <w:rPr>
          <w:rFonts w:ascii="仿宋" w:hAnsi="仿宋" w:eastAsia="仿宋" w:cs="仿宋"/>
          <w:b/>
          <w:bCs/>
          <w:kern w:val="0"/>
          <w:sz w:val="24"/>
          <w:szCs w:val="32"/>
          <w:highlight w:val="none"/>
          <w:lang w:val="en-US" w:eastAsia="zh-CN" w:bidi="ar-SA"/>
        </w:rPr>
      </w:pPr>
      <w:bookmarkStart w:id="63" w:name="_Toc13701"/>
      <w:bookmarkStart w:id="64" w:name="_Toc8150"/>
      <w:r>
        <w:rPr>
          <w:rFonts w:hint="eastAsia" w:ascii="Cambria" w:hAnsi="Cambria" w:eastAsia="仿宋" w:cs="Times New Roman"/>
          <w:b/>
          <w:bCs/>
          <w:kern w:val="0"/>
          <w:sz w:val="24"/>
          <w:szCs w:val="32"/>
          <w:highlight w:val="none"/>
          <w:lang w:val="en-US" w:eastAsia="zh-CN" w:bidi="ar-SA"/>
        </w:rPr>
        <w:t>第二</w:t>
      </w:r>
      <w:r>
        <w:rPr>
          <w:rFonts w:hint="eastAsia" w:ascii="Cambria" w:hAnsi="Cambria" w:eastAsia="仿宋" w:cs="Times New Roman"/>
          <w:b/>
          <w:bCs/>
          <w:kern w:val="0"/>
          <w:sz w:val="24"/>
          <w:szCs w:val="32"/>
          <w:lang w:val="en-US" w:eastAsia="zh-CN" w:bidi="ar-SA"/>
        </w:rPr>
        <w:t>节 供货方式</w:t>
      </w:r>
      <w:bookmarkEnd w:id="63"/>
      <w:bookmarkEnd w:id="64"/>
    </w:p>
    <w:p>
      <w:pPr>
        <w:keepNext/>
        <w:keepLines/>
        <w:widowControl w:val="0"/>
        <w:bidi w:val="0"/>
        <w:spacing w:before="10" w:after="10" w:line="360" w:lineRule="auto"/>
        <w:jc w:val="left"/>
        <w:outlineLvl w:val="2"/>
        <w:rPr>
          <w:rFonts w:ascii="Times New Roman" w:hAnsi="Times New Roman" w:eastAsia="仿宋" w:cs="Times New Roman"/>
          <w:b/>
          <w:bCs/>
          <w:kern w:val="0"/>
          <w:sz w:val="24"/>
          <w:szCs w:val="32"/>
          <w:lang w:val="en-US" w:eastAsia="zh-CN" w:bidi="ar-SA"/>
        </w:rPr>
      </w:pPr>
      <w:bookmarkStart w:id="65" w:name="_Toc14559"/>
      <w:r>
        <w:rPr>
          <w:rFonts w:hint="eastAsia" w:ascii="Times New Roman" w:hAnsi="Times New Roman" w:eastAsia="仿宋" w:cs="Times New Roman"/>
          <w:b/>
          <w:bCs/>
          <w:kern w:val="0"/>
          <w:sz w:val="24"/>
          <w:szCs w:val="32"/>
          <w:lang w:val="en-US" w:eastAsia="zh-CN" w:bidi="ar-SA"/>
        </w:rPr>
        <w:t>2.1供货地点</w:t>
      </w:r>
      <w:bookmarkEnd w:id="65"/>
    </w:p>
    <w:p>
      <w:pPr>
        <w:widowControl w:val="0"/>
        <w:snapToGrid w:val="0"/>
        <w:spacing w:line="360" w:lineRule="auto"/>
        <w:ind w:left="0" w:leftChars="0"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项目建设工地。</w:t>
      </w:r>
    </w:p>
    <w:p>
      <w:pPr>
        <w:keepNext/>
        <w:keepLines/>
        <w:widowControl w:val="0"/>
        <w:bidi w:val="0"/>
        <w:spacing w:before="10" w:after="10" w:line="360" w:lineRule="auto"/>
        <w:jc w:val="left"/>
        <w:outlineLvl w:val="2"/>
        <w:rPr>
          <w:rFonts w:ascii="Times New Roman" w:hAnsi="Times New Roman" w:eastAsia="仿宋" w:cs="Times New Roman"/>
          <w:b/>
          <w:bCs/>
          <w:kern w:val="0"/>
          <w:sz w:val="24"/>
          <w:szCs w:val="32"/>
          <w:lang w:val="en-US" w:eastAsia="zh-CN" w:bidi="ar-SA"/>
        </w:rPr>
      </w:pPr>
      <w:bookmarkStart w:id="66" w:name="_Toc15185"/>
      <w:bookmarkStart w:id="67" w:name="_Toc27719"/>
      <w:r>
        <w:rPr>
          <w:rFonts w:hint="eastAsia" w:ascii="Times New Roman" w:hAnsi="Times New Roman" w:eastAsia="仿宋" w:cs="Times New Roman"/>
          <w:b/>
          <w:bCs/>
          <w:kern w:val="0"/>
          <w:sz w:val="24"/>
          <w:szCs w:val="32"/>
          <w:lang w:val="en-US" w:eastAsia="zh-CN" w:bidi="ar-SA"/>
        </w:rPr>
        <w:t>2.2 供货时间</w:t>
      </w:r>
      <w:bookmarkEnd w:id="66"/>
      <w:bookmarkEnd w:id="67"/>
    </w:p>
    <w:p>
      <w:pPr>
        <w:numPr>
          <w:ilvl w:val="2"/>
          <w:numId w:val="15"/>
        </w:numPr>
        <w:snapToGrid w:val="0"/>
        <w:spacing w:line="360" w:lineRule="auto"/>
        <w:ind w:left="709" w:leftChars="0" w:hanging="709" w:firstLineChars="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投标方应自接到中标通知后，75日历日之内交货至供货地点。</w:t>
      </w:r>
    </w:p>
    <w:p>
      <w:pPr>
        <w:numPr>
          <w:ilvl w:val="2"/>
          <w:numId w:val="15"/>
        </w:numPr>
        <w:snapToGrid w:val="0"/>
        <w:spacing w:line="360" w:lineRule="auto"/>
        <w:ind w:left="709" w:leftChars="0" w:hanging="709" w:firstLineChars="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连续30个日历日之内安装调试完毕</w:t>
      </w:r>
      <w:r>
        <w:rPr>
          <w:rFonts w:hint="eastAsia" w:ascii="仿宋" w:hAnsi="仿宋" w:eastAsia="仿宋" w:cs="仿宋"/>
          <w:sz w:val="24"/>
          <w:szCs w:val="24"/>
          <w:highlight w:val="none"/>
          <w:lang w:eastAsia="zh-CN"/>
        </w:rPr>
        <w:t>。</w:t>
      </w:r>
    </w:p>
    <w:p>
      <w:pPr>
        <w:numPr>
          <w:ilvl w:val="2"/>
          <w:numId w:val="15"/>
        </w:numPr>
        <w:snapToGrid w:val="0"/>
        <w:spacing w:line="360" w:lineRule="auto"/>
        <w:ind w:left="709" w:leftChars="0" w:hanging="709" w:firstLineChars="0"/>
        <w:jc w:val="left"/>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完成特种设备备案后60</w:t>
      </w:r>
      <w:r>
        <w:rPr>
          <w:rFonts w:hint="eastAsia" w:ascii="仿宋" w:hAnsi="仿宋" w:eastAsia="仿宋" w:cs="仿宋"/>
          <w:sz w:val="24"/>
          <w:szCs w:val="24"/>
          <w:highlight w:val="none"/>
        </w:rPr>
        <w:t>个日历日之内完成终验收。</w:t>
      </w:r>
    </w:p>
    <w:p>
      <w:pPr>
        <w:numPr>
          <w:ilvl w:val="2"/>
          <w:numId w:val="15"/>
        </w:numPr>
        <w:snapToGrid w:val="0"/>
        <w:spacing w:line="360" w:lineRule="auto"/>
        <w:ind w:left="709" w:leftChars="0" w:hanging="709" w:firstLineChars="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安装调试时间或终验收时间超过规定时间的，投标人应当随标书提供详细的工期计划。</w:t>
      </w:r>
    </w:p>
    <w:p>
      <w:pPr>
        <w:keepNext/>
        <w:keepLines/>
        <w:widowControl w:val="0"/>
        <w:bidi w:val="0"/>
        <w:spacing w:before="10" w:after="10" w:line="360" w:lineRule="auto"/>
        <w:jc w:val="left"/>
        <w:outlineLvl w:val="2"/>
        <w:rPr>
          <w:rFonts w:ascii="Times New Roman" w:hAnsi="Times New Roman" w:eastAsia="仿宋" w:cs="Times New Roman"/>
          <w:b/>
          <w:bCs/>
          <w:kern w:val="0"/>
          <w:sz w:val="24"/>
          <w:szCs w:val="32"/>
          <w:lang w:val="en-US" w:eastAsia="zh-CN" w:bidi="ar-SA"/>
        </w:rPr>
      </w:pPr>
      <w:bookmarkStart w:id="68" w:name="_Toc15540"/>
      <w:bookmarkStart w:id="69" w:name="_Toc12845"/>
      <w:r>
        <w:rPr>
          <w:rFonts w:hint="eastAsia" w:ascii="Times New Roman" w:hAnsi="Times New Roman" w:eastAsia="仿宋" w:cs="Times New Roman"/>
          <w:b/>
          <w:bCs/>
          <w:kern w:val="0"/>
          <w:sz w:val="24"/>
          <w:szCs w:val="32"/>
          <w:lang w:val="en-US" w:eastAsia="zh-CN" w:bidi="ar-SA"/>
        </w:rPr>
        <w:t>2.3 质保期</w:t>
      </w:r>
      <w:bookmarkEnd w:id="68"/>
      <w:bookmarkEnd w:id="69"/>
    </w:p>
    <w:p>
      <w:pPr>
        <w:snapToGrid w:val="0"/>
        <w:spacing w:line="360" w:lineRule="auto"/>
        <w:ind w:left="720" w:hanging="720" w:hangingChars="3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3.1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投标方所提供货物（或生产线）涉及的全部供货范围内的设备、材料、零配件和工器具等，除合同特别约定外，其质保期均自终验收签字生效之日起12个月。</w:t>
      </w:r>
    </w:p>
    <w:p>
      <w:pPr>
        <w:snapToGrid w:val="0"/>
        <w:spacing w:line="360" w:lineRule="auto"/>
        <w:ind w:left="720" w:hanging="720" w:hangingChars="300"/>
        <w:jc w:val="left"/>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3.2质保期之内，如果货物（或生产线）出现关键设备、总成、零部件或者多处一般设备、总成、零部件的更换或维修行为，则质保期自更换或维修行为结束、货物（或生产线）能够正常运行使用之日起重新计算。</w:t>
      </w:r>
    </w:p>
    <w:p>
      <w:pPr>
        <w:keepNext/>
        <w:keepLines/>
        <w:widowControl w:val="0"/>
        <w:bidi w:val="0"/>
        <w:spacing w:before="10" w:after="10" w:line="360" w:lineRule="auto"/>
        <w:jc w:val="left"/>
        <w:outlineLvl w:val="2"/>
        <w:rPr>
          <w:rFonts w:ascii="Times New Roman" w:hAnsi="Times New Roman" w:eastAsia="仿宋" w:cs="Times New Roman"/>
          <w:b/>
          <w:bCs/>
          <w:kern w:val="0"/>
          <w:sz w:val="24"/>
          <w:szCs w:val="32"/>
          <w:lang w:val="en-US" w:eastAsia="zh-CN" w:bidi="ar-SA"/>
        </w:rPr>
      </w:pPr>
      <w:bookmarkStart w:id="70" w:name="_Toc6383"/>
      <w:bookmarkStart w:id="71" w:name="_Toc14799"/>
      <w:r>
        <w:rPr>
          <w:rFonts w:hint="eastAsia" w:ascii="Times New Roman" w:hAnsi="Times New Roman" w:eastAsia="仿宋" w:cs="Times New Roman"/>
          <w:b/>
          <w:bCs/>
          <w:kern w:val="0"/>
          <w:sz w:val="24"/>
          <w:szCs w:val="32"/>
          <w:lang w:val="en-US" w:eastAsia="zh-CN" w:bidi="ar-SA"/>
        </w:rPr>
        <w:t>2.4 包装</w:t>
      </w:r>
      <w:bookmarkEnd w:id="70"/>
      <w:bookmarkEnd w:id="71"/>
    </w:p>
    <w:p>
      <w:pPr>
        <w:widowControl w:val="0"/>
        <w:numPr>
          <w:ilvl w:val="2"/>
          <w:numId w:val="16"/>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投标方所提供货物（或设备）的包装，应遵照国家标准和有关包装、包皮的技术条件，或按照最好的商业惯例进行包装。</w:t>
      </w:r>
    </w:p>
    <w:p>
      <w:pPr>
        <w:widowControl w:val="0"/>
        <w:numPr>
          <w:ilvl w:val="2"/>
          <w:numId w:val="16"/>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包装应能满足所需要采取的运输方式（船运、汽运或铁路运输）、多次吊装卸装、卸货以及长期露天堆放要求，应能防止雨淋、受潮、生锈、腐蚀、受振、受磁以及机械和化学因素等引起的损坏。</w:t>
      </w:r>
    </w:p>
    <w:p>
      <w:pPr>
        <w:widowControl w:val="0"/>
        <w:numPr>
          <w:ilvl w:val="2"/>
          <w:numId w:val="16"/>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投标方所提供货物（或设备）的包装，应能防止其一般性被窃或受外力破坏；一般不得采用有大缝隙的板条包装。</w:t>
      </w:r>
    </w:p>
    <w:p>
      <w:pPr>
        <w:widowControl w:val="0"/>
        <w:numPr>
          <w:ilvl w:val="2"/>
          <w:numId w:val="16"/>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投标方应对包装件做必要的加固和固定等防护措施，以防止运输可能造成的损坏。</w:t>
      </w:r>
    </w:p>
    <w:p>
      <w:pPr>
        <w:widowControl w:val="0"/>
        <w:numPr>
          <w:ilvl w:val="2"/>
          <w:numId w:val="16"/>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每个包装件应有装箱单，并至少标明名称、型号规格、数量、净重和毛重、投标方（或供货商）名称和制造日期等相关内容。</w:t>
      </w:r>
    </w:p>
    <w:p>
      <w:pPr>
        <w:widowControl w:val="0"/>
        <w:numPr>
          <w:ilvl w:val="2"/>
          <w:numId w:val="16"/>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每个包装箱应有明显标志，并具有中文书写的合同号、装运标志、发货和到货地点名称、发货人和收货人名称、货物（或生产线）名称和项目号、箱号和外型尺寸等内容。</w:t>
      </w:r>
    </w:p>
    <w:p>
      <w:pPr>
        <w:widowControl w:val="0"/>
        <w:numPr>
          <w:ilvl w:val="2"/>
          <w:numId w:val="16"/>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投标方还应按照不同的装运要求在包装箱上标明“小心轻放”、“箭头向上”、“防潮”、“防磁”、“不准平放”等标志，以及其它适用的国标通用标志。</w:t>
      </w:r>
    </w:p>
    <w:p>
      <w:pPr>
        <w:widowControl w:val="0"/>
        <w:numPr>
          <w:ilvl w:val="2"/>
          <w:numId w:val="16"/>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包装箱应连续编号，不应出现重复编号。</w:t>
      </w:r>
    </w:p>
    <w:p>
      <w:pPr>
        <w:widowControl w:val="0"/>
        <w:numPr>
          <w:ilvl w:val="2"/>
          <w:numId w:val="16"/>
        </w:numPr>
        <w:snapToGrid w:val="0"/>
        <w:spacing w:line="360" w:lineRule="auto"/>
        <w:ind w:left="709" w:leftChars="0" w:hanging="709"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在不受到外界破坏情况下，包装应保证自交货日起一年内货物（或设备）完好无损。</w:t>
      </w:r>
    </w:p>
    <w:p>
      <w:pPr>
        <w:keepNext/>
        <w:keepLines/>
        <w:widowControl w:val="0"/>
        <w:bidi w:val="0"/>
        <w:spacing w:before="10" w:after="10" w:line="360" w:lineRule="auto"/>
        <w:jc w:val="left"/>
        <w:outlineLvl w:val="2"/>
        <w:rPr>
          <w:rFonts w:ascii="Times New Roman" w:hAnsi="Times New Roman" w:eastAsia="仿宋" w:cs="Times New Roman"/>
          <w:b/>
          <w:bCs/>
          <w:kern w:val="0"/>
          <w:sz w:val="24"/>
          <w:szCs w:val="32"/>
          <w:lang w:val="en-US" w:eastAsia="zh-CN" w:bidi="ar-SA"/>
        </w:rPr>
      </w:pPr>
      <w:bookmarkStart w:id="72" w:name="_Toc4534"/>
      <w:bookmarkStart w:id="73" w:name="_Toc13161"/>
      <w:r>
        <w:rPr>
          <w:rFonts w:hint="eastAsia" w:ascii="Times New Roman" w:hAnsi="Times New Roman" w:eastAsia="仿宋" w:cs="Times New Roman"/>
          <w:b/>
          <w:bCs/>
          <w:kern w:val="0"/>
          <w:sz w:val="24"/>
          <w:szCs w:val="32"/>
          <w:lang w:val="en-US" w:eastAsia="zh-CN" w:bidi="ar-SA"/>
        </w:rPr>
        <w:t>2.5 运输</w:t>
      </w:r>
      <w:bookmarkEnd w:id="72"/>
      <w:bookmarkEnd w:id="73"/>
    </w:p>
    <w:p>
      <w:pPr>
        <w:widowControl w:val="0"/>
        <w:snapToGrid w:val="0"/>
        <w:spacing w:line="360" w:lineRule="auto"/>
        <w:ind w:left="0" w:leftChars="0" w:firstLine="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2.5.1 投标方应负责将货物（或设备）运到目的地，并必须做到货物（或设备）在任何运输过程中不受损坏和遗失，拆除下的旧起重机由投标方负责运输。</w:t>
      </w:r>
    </w:p>
    <w:p>
      <w:pPr>
        <w:widowControl w:val="0"/>
        <w:snapToGrid w:val="0"/>
        <w:spacing w:line="360" w:lineRule="auto"/>
        <w:ind w:left="0" w:leftChars="0" w:firstLine="0"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2.5.2 同批货物（或设备）应统一包装、编号运输。</w:t>
      </w:r>
    </w:p>
    <w:p>
      <w:pPr>
        <w:widowControl w:val="0"/>
        <w:snapToGrid w:val="0"/>
        <w:spacing w:line="360" w:lineRule="auto"/>
        <w:ind w:left="0" w:leftChars="0" w:firstLine="0"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2.5.3 一般情况下，经由铁路、公路运输的包装件尺寸和重量不应超过国家所规定的尺寸限制。特殊情况应予以说明。</w:t>
      </w:r>
    </w:p>
    <w:p>
      <w:pPr>
        <w:widowControl w:val="0"/>
        <w:snapToGrid w:val="0"/>
        <w:spacing w:line="360" w:lineRule="auto"/>
        <w:ind w:left="0" w:leftChars="0" w:firstLine="0" w:firstLineChars="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2.5.4 在每批货物（或设备）发出后，投标方应立即通知招标方；通知中应指明：合同号、货运单号、件数、重量和货物（或设备）发出日期等相关内容。</w:t>
      </w:r>
    </w:p>
    <w:p>
      <w:pPr>
        <w:widowControl w:val="0"/>
        <w:snapToGrid w:val="0"/>
        <w:spacing w:line="360" w:lineRule="auto"/>
        <w:ind w:left="0" w:leftChars="0" w:firstLine="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2.5.5 货物（或设备）运抵招标方现场后，投标方应负责货物（或设备）的卸货、搬运、保管等事宜；或按照合同约定。</w:t>
      </w:r>
    </w:p>
    <w:p>
      <w:pPr>
        <w:pStyle w:val="2"/>
        <w:rPr>
          <w:rFonts w:hint="default"/>
          <w:b/>
          <w:bCs/>
          <w:lang w:val="en-US" w:eastAsia="zh-CN"/>
        </w:rPr>
      </w:pPr>
      <w:r>
        <w:rPr>
          <w:rFonts w:hint="eastAsia" w:ascii="仿宋" w:hAnsi="仿宋" w:eastAsia="仿宋" w:cs="仿宋"/>
          <w:b/>
          <w:bCs/>
          <w:kern w:val="0"/>
          <w:sz w:val="24"/>
          <w:szCs w:val="24"/>
          <w:highlight w:val="none"/>
          <w:lang w:val="en-US" w:eastAsia="zh-CN" w:bidi="ar-SA"/>
        </w:rPr>
        <w:t>2.5.6 如果运输过程中需要用到起重机，由投标方负责。</w:t>
      </w:r>
    </w:p>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keepNext/>
        <w:keepLines/>
        <w:widowControl w:val="0"/>
        <w:bidi w:val="0"/>
        <w:spacing w:before="50" w:beforeLines="50" w:after="50" w:afterLines="50" w:line="360" w:lineRule="auto"/>
        <w:jc w:val="center"/>
        <w:outlineLvl w:val="0"/>
        <w:rPr>
          <w:rFonts w:ascii="仿宋" w:hAnsi="仿宋" w:eastAsia="仿宋" w:cs="仿宋"/>
          <w:b/>
          <w:bCs/>
          <w:kern w:val="44"/>
          <w:sz w:val="24"/>
          <w:szCs w:val="44"/>
          <w:highlight w:val="none"/>
          <w:lang w:val="en-US" w:eastAsia="zh-CN" w:bidi="ar-SA"/>
        </w:rPr>
      </w:pPr>
      <w:bookmarkStart w:id="74" w:name="_Toc22071"/>
      <w:bookmarkStart w:id="75" w:name="_Toc20334"/>
      <w:r>
        <w:rPr>
          <w:rFonts w:hint="eastAsia" w:ascii="Times New Roman" w:hAnsi="Times New Roman" w:eastAsia="仿宋" w:cs="Times New Roman"/>
          <w:b/>
          <w:bCs/>
          <w:kern w:val="44"/>
          <w:sz w:val="24"/>
          <w:szCs w:val="44"/>
          <w:lang w:val="en-US" w:eastAsia="zh-CN" w:bidi="ar-SA"/>
        </w:rPr>
        <w:t>第四章售中售后服务</w:t>
      </w:r>
      <w:bookmarkEnd w:id="74"/>
      <w:bookmarkEnd w:id="75"/>
    </w:p>
    <w:p>
      <w:pPr>
        <w:keepNext/>
        <w:keepLines/>
        <w:widowControl w:val="0"/>
        <w:bidi w:val="0"/>
        <w:spacing w:before="10" w:after="10" w:line="360" w:lineRule="auto"/>
        <w:jc w:val="center"/>
        <w:outlineLvl w:val="1"/>
        <w:rPr>
          <w:rFonts w:ascii="Cambria" w:hAnsi="Cambria" w:eastAsia="仿宋" w:cs="Times New Roman"/>
          <w:b/>
          <w:bCs/>
          <w:kern w:val="0"/>
          <w:sz w:val="24"/>
          <w:szCs w:val="32"/>
          <w:lang w:val="en-US" w:eastAsia="zh-CN" w:bidi="ar-SA"/>
        </w:rPr>
      </w:pPr>
      <w:bookmarkStart w:id="76" w:name="_Toc15728"/>
      <w:bookmarkStart w:id="77" w:name="_Toc3637"/>
      <w:r>
        <w:rPr>
          <w:rFonts w:hint="eastAsia" w:ascii="Cambria" w:hAnsi="Cambria" w:eastAsia="仿宋" w:cs="Times New Roman"/>
          <w:b/>
          <w:bCs/>
          <w:kern w:val="0"/>
          <w:sz w:val="24"/>
          <w:szCs w:val="32"/>
          <w:lang w:val="en-US" w:eastAsia="zh-CN" w:bidi="ar-SA"/>
        </w:rPr>
        <w:t>第一节 技术及培训服务</w:t>
      </w:r>
      <w:bookmarkEnd w:id="76"/>
      <w:bookmarkEnd w:id="77"/>
    </w:p>
    <w:p>
      <w:pPr>
        <w:widowControl w:val="0"/>
        <w:snapToGrid w:val="0"/>
        <w:spacing w:line="360" w:lineRule="auto"/>
        <w:ind w:left="480" w:leftChars="0" w:hanging="480" w:hanging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1.1 投标方应负责对招标方工程技术人员、维修人员和操作人员提供免费的、生产制造现场的理论、技术和操作、维修、安全等方面的指导和培训，并为招标方受培训人员提供免费的培训地交通、食宿条件。</w:t>
      </w:r>
    </w:p>
    <w:p>
      <w:pPr>
        <w:widowControl w:val="0"/>
        <w:snapToGrid w:val="0"/>
        <w:spacing w:line="360" w:lineRule="auto"/>
        <w:ind w:left="480" w:leftChars="0" w:hanging="480" w:hanging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1.2 投标方应负责在招标方货物（或生产线）使用现场，进行2～3次免费的技术指导和培训，并接受招标方有关人员的技术咨询。</w:t>
      </w:r>
    </w:p>
    <w:p>
      <w:pPr>
        <w:widowControl w:val="0"/>
        <w:snapToGrid w:val="0"/>
        <w:spacing w:line="360" w:lineRule="auto"/>
        <w:ind w:left="480" w:leftChars="0" w:hanging="480" w:hanging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1.3 投标方应免费提供全套培训资料。所有设备均需要配备产品说明书，包括设备的内部结构、组成及保养、维护、调试等相关内容，便于生产人员及维修人员查阅。</w:t>
      </w:r>
    </w:p>
    <w:p>
      <w:pPr>
        <w:widowControl w:val="0"/>
        <w:snapToGrid w:val="0"/>
        <w:spacing w:line="360" w:lineRule="auto"/>
        <w:ind w:left="480" w:leftChars="0" w:hanging="480" w:hanging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1.4 投标方应按要求，免费积极协助和提供招标方以及招标方所委托的工程设计单位有关人员所需要的、与货物（或生产线）有关的工程设计资料、技术咨询等。</w:t>
      </w:r>
    </w:p>
    <w:p>
      <w:pPr>
        <w:widowControl w:val="0"/>
        <w:snapToGrid w:val="0"/>
        <w:spacing w:line="360" w:lineRule="auto"/>
        <w:ind w:left="480" w:leftChars="0" w:hanging="480" w:hanging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1.5 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pPr>
        <w:widowControl w:val="0"/>
        <w:snapToGrid w:val="0"/>
        <w:spacing w:line="360" w:lineRule="auto"/>
        <w:ind w:left="480" w:leftChars="0" w:hanging="480" w:hangingChars="200"/>
        <w:jc w:val="both"/>
        <w:rPr>
          <w:rFonts w:hint="default" w:ascii="仿宋" w:hAnsi="仿宋" w:eastAsia="仿宋" w:cs="仿宋"/>
          <w:kern w:val="0"/>
          <w:sz w:val="24"/>
          <w:szCs w:val="24"/>
          <w:highlight w:val="yellow"/>
          <w:lang w:val="en-US" w:eastAsia="zh-CN" w:bidi="ar-SA"/>
        </w:rPr>
      </w:pPr>
      <w:r>
        <w:rPr>
          <w:rFonts w:hint="eastAsia" w:ascii="仿宋" w:hAnsi="仿宋" w:eastAsia="仿宋" w:cs="仿宋"/>
          <w:kern w:val="0"/>
          <w:sz w:val="24"/>
          <w:szCs w:val="24"/>
          <w:highlight w:val="none"/>
          <w:lang w:val="en-US" w:eastAsia="zh-CN" w:bidi="ar-SA"/>
        </w:rPr>
        <w:t>1.6 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pPr>
        <w:keepNext/>
        <w:keepLines/>
        <w:widowControl w:val="0"/>
        <w:bidi w:val="0"/>
        <w:spacing w:before="10" w:after="10" w:line="360" w:lineRule="auto"/>
        <w:jc w:val="center"/>
        <w:outlineLvl w:val="1"/>
        <w:rPr>
          <w:rFonts w:ascii="Cambria" w:hAnsi="Cambria" w:eastAsia="仿宋" w:cs="Times New Roman"/>
          <w:b/>
          <w:bCs/>
          <w:kern w:val="0"/>
          <w:sz w:val="24"/>
          <w:szCs w:val="32"/>
          <w:lang w:val="en-US" w:eastAsia="zh-CN" w:bidi="ar-SA"/>
        </w:rPr>
      </w:pPr>
      <w:bookmarkStart w:id="78" w:name="_Toc22990"/>
      <w:bookmarkStart w:id="79" w:name="_Toc139"/>
      <w:r>
        <w:rPr>
          <w:rFonts w:hint="eastAsia" w:ascii="Cambria" w:hAnsi="Cambria" w:eastAsia="仿宋" w:cs="Times New Roman"/>
          <w:b/>
          <w:bCs/>
          <w:kern w:val="0"/>
          <w:sz w:val="24"/>
          <w:szCs w:val="32"/>
          <w:lang w:val="en-US" w:eastAsia="zh-CN" w:bidi="ar-SA"/>
        </w:rPr>
        <w:t>第二节 安装调试服务</w:t>
      </w:r>
      <w:bookmarkEnd w:id="78"/>
      <w:bookmarkEnd w:id="79"/>
    </w:p>
    <w:p>
      <w:pPr>
        <w:widowControl w:val="0"/>
        <w:snapToGrid w:val="0"/>
        <w:spacing w:line="360" w:lineRule="auto"/>
        <w:ind w:left="480" w:leftChars="0" w:hanging="480" w:hanging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2.1根据货物（或生产线）的要求，调试可分空载和负载两个阶段进行；招标方将予以积极配合，协助投标方达到货物（或生产线）的各项技术指标和性能要求。</w:t>
      </w:r>
    </w:p>
    <w:p>
      <w:pPr>
        <w:widowControl w:val="0"/>
        <w:snapToGrid w:val="0"/>
        <w:spacing w:line="360" w:lineRule="auto"/>
        <w:ind w:left="480" w:leftChars="0" w:hanging="480" w:hanging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pPr>
        <w:widowControl w:val="0"/>
        <w:snapToGrid w:val="0"/>
        <w:spacing w:line="360" w:lineRule="auto"/>
        <w:ind w:left="480" w:leftChars="0" w:hanging="480" w:hanging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2.3投标方提供收费的或免费的、指导安装调试或负责安装调试，至少应在投标文件的报价章节中，予以明确说明。</w:t>
      </w:r>
    </w:p>
    <w:p>
      <w:pPr>
        <w:widowControl w:val="0"/>
        <w:snapToGrid w:val="0"/>
        <w:spacing w:line="360" w:lineRule="auto"/>
        <w:ind w:left="480" w:leftChars="0" w:hanging="480" w:hanging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2.4 设备的运输和到货后卸车、设备的安装调试工作和安装时的起重由中标方负责。设备到货卸车和设备的安装过程时，厂房内起重机安装到位的情况下，招标方免费提供厂房内的起重机供中标方使用。</w:t>
      </w:r>
    </w:p>
    <w:p>
      <w:pPr>
        <w:widowControl w:val="0"/>
        <w:snapToGrid w:val="0"/>
        <w:spacing w:line="360" w:lineRule="auto"/>
        <w:ind w:left="480" w:leftChars="0" w:hanging="480" w:hanging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2.5 设备基础、二次灌浆、电柜放置平台、水、电、气、动力、其它附属设施由投标方提供技术要求，招标方负责实施；试车用油由招标方负责，中标方提前通知招标方所需型号、数量。</w:t>
      </w:r>
    </w:p>
    <w:p>
      <w:pPr>
        <w:widowControl w:val="0"/>
        <w:snapToGrid w:val="0"/>
        <w:spacing w:line="360" w:lineRule="auto"/>
        <w:ind w:left="480" w:leftChars="0" w:hanging="480" w:hanging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2.6 设备包装物等当中标方提出回收要求时，招标方妥善保管，并为中标方回收提供方便。</w:t>
      </w:r>
    </w:p>
    <w:p>
      <w:pPr>
        <w:widowControl w:val="0"/>
        <w:snapToGrid w:val="0"/>
        <w:spacing w:line="360" w:lineRule="auto"/>
        <w:ind w:left="480" w:leftChars="0" w:hanging="480" w:hangingChars="200"/>
        <w:jc w:val="both"/>
        <w:rPr>
          <w:rFonts w:hint="eastAsia" w:ascii="仿宋" w:hAnsi="仿宋" w:eastAsia="仿宋" w:cs="仿宋"/>
          <w:kern w:val="0"/>
          <w:sz w:val="24"/>
          <w:szCs w:val="24"/>
          <w:highlight w:val="yellow"/>
          <w:lang w:val="en-US" w:eastAsia="zh-CN" w:bidi="ar-SA"/>
        </w:rPr>
      </w:pPr>
      <w:r>
        <w:rPr>
          <w:rFonts w:hint="eastAsia" w:ascii="仿宋" w:hAnsi="仿宋" w:eastAsia="仿宋" w:cs="仿宋"/>
          <w:kern w:val="0"/>
          <w:sz w:val="24"/>
          <w:szCs w:val="24"/>
          <w:highlight w:val="none"/>
          <w:lang w:val="en-US" w:eastAsia="zh-CN" w:bidi="ar-SA"/>
        </w:rPr>
        <w:t>2.7 从控制柜到设备的外部线、电缆桥架、安装用预埋钢板制造由中标方负责；从控制柜到主电源电缆由招标方提供。</w:t>
      </w:r>
    </w:p>
    <w:p>
      <w:pPr>
        <w:keepNext/>
        <w:keepLines/>
        <w:widowControl w:val="0"/>
        <w:bidi w:val="0"/>
        <w:spacing w:before="10" w:after="10" w:line="360" w:lineRule="auto"/>
        <w:jc w:val="center"/>
        <w:outlineLvl w:val="1"/>
        <w:rPr>
          <w:rFonts w:hint="eastAsia" w:ascii="仿宋" w:hAnsi="仿宋" w:eastAsia="仿宋" w:cs="仿宋"/>
          <w:b w:val="0"/>
          <w:bCs w:val="0"/>
          <w:kern w:val="0"/>
          <w:sz w:val="24"/>
          <w:szCs w:val="24"/>
          <w:highlight w:val="none"/>
          <w:lang w:val="en-US" w:eastAsia="zh-CN" w:bidi="ar-SA"/>
        </w:rPr>
      </w:pPr>
      <w:bookmarkStart w:id="80" w:name="_Toc24035"/>
      <w:bookmarkStart w:id="81" w:name="_Toc3796"/>
      <w:r>
        <w:rPr>
          <w:rFonts w:hint="eastAsia" w:ascii="Cambria" w:hAnsi="Cambria" w:eastAsia="仿宋" w:cs="Times New Roman"/>
          <w:b/>
          <w:bCs/>
          <w:kern w:val="0"/>
          <w:sz w:val="24"/>
          <w:szCs w:val="32"/>
          <w:lang w:val="en-US" w:eastAsia="zh-CN" w:bidi="ar-SA"/>
        </w:rPr>
        <w:t>第三节 验收服务</w:t>
      </w:r>
      <w:bookmarkEnd w:id="80"/>
      <w:bookmarkEnd w:id="81"/>
    </w:p>
    <w:p>
      <w:pPr>
        <w:adjustRightInd w:val="0"/>
        <w:snapToGrid w:val="0"/>
        <w:spacing w:line="360" w:lineRule="auto"/>
        <w:ind w:left="480" w:hanging="480" w:hangingChars="200"/>
        <w:rPr>
          <w:rFonts w:hint="eastAsia" w:ascii="仿宋" w:hAnsi="仿宋" w:eastAsia="仿宋" w:cs="仿宋"/>
          <w:b w:val="0"/>
          <w:bCs w:val="0"/>
          <w:kern w:val="0"/>
          <w:sz w:val="24"/>
          <w:szCs w:val="24"/>
          <w:highlight w:val="none"/>
          <w:lang w:val="en-US" w:eastAsia="zh-CN" w:bidi="ar-SA"/>
        </w:rPr>
      </w:pPr>
      <w:r>
        <w:rPr>
          <w:rFonts w:hint="eastAsia" w:ascii="仿宋" w:hAnsi="仿宋" w:eastAsia="仿宋" w:cs="仿宋"/>
          <w:b w:val="0"/>
          <w:bCs w:val="0"/>
          <w:kern w:val="0"/>
          <w:sz w:val="24"/>
          <w:szCs w:val="24"/>
          <w:highlight w:val="none"/>
          <w:lang w:val="en-US" w:eastAsia="zh-CN" w:bidi="ar-SA"/>
        </w:rPr>
        <w:t>3.1 投标方在招标方现场进行的货物（或生产线）的预验收和终验收配合或指导，应当是免费的。</w:t>
      </w:r>
    </w:p>
    <w:p>
      <w:pPr>
        <w:adjustRightInd w:val="0"/>
        <w:snapToGrid w:val="0"/>
        <w:spacing w:line="360" w:lineRule="auto"/>
        <w:ind w:left="480" w:hanging="480" w:hangingChars="200"/>
        <w:rPr>
          <w:rFonts w:hint="eastAsia" w:ascii="仿宋" w:hAnsi="仿宋" w:eastAsia="仿宋" w:cs="仿宋"/>
          <w:b w:val="0"/>
          <w:bCs w:val="0"/>
          <w:kern w:val="0"/>
          <w:sz w:val="24"/>
          <w:szCs w:val="24"/>
          <w:highlight w:val="none"/>
          <w:lang w:val="en-US" w:eastAsia="zh-CN" w:bidi="ar-SA"/>
        </w:rPr>
      </w:pPr>
      <w:r>
        <w:rPr>
          <w:rFonts w:hint="eastAsia" w:ascii="仿宋" w:hAnsi="仿宋" w:eastAsia="仿宋" w:cs="仿宋"/>
          <w:b w:val="0"/>
          <w:bCs w:val="0"/>
          <w:kern w:val="0"/>
          <w:sz w:val="24"/>
          <w:szCs w:val="24"/>
          <w:highlight w:val="none"/>
          <w:lang w:val="en-US" w:eastAsia="zh-CN" w:bidi="ar-SA"/>
        </w:rPr>
        <w:t>3.2 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pPr>
        <w:tabs>
          <w:tab w:val="left" w:pos="-1800"/>
          <w:tab w:val="left" w:pos="720"/>
        </w:tabs>
        <w:snapToGrid w:val="0"/>
        <w:spacing w:line="360" w:lineRule="auto"/>
        <w:ind w:left="480" w:hanging="480" w:hangingChars="200"/>
        <w:rPr>
          <w:rFonts w:hint="eastAsia" w:ascii="仿宋" w:hAnsi="仿宋" w:eastAsia="仿宋" w:cs="仿宋"/>
          <w:b w:val="0"/>
          <w:bCs w:val="0"/>
          <w:kern w:val="0"/>
          <w:sz w:val="24"/>
          <w:szCs w:val="24"/>
          <w:highlight w:val="none"/>
          <w:lang w:val="en-US" w:eastAsia="zh-CN" w:bidi="ar-SA"/>
        </w:rPr>
      </w:pPr>
      <w:r>
        <w:rPr>
          <w:rFonts w:hint="eastAsia" w:ascii="仿宋" w:hAnsi="仿宋" w:eastAsia="仿宋" w:cs="仿宋"/>
          <w:b w:val="0"/>
          <w:bCs w:val="0"/>
          <w:kern w:val="0"/>
          <w:sz w:val="24"/>
          <w:szCs w:val="24"/>
          <w:highlight w:val="none"/>
          <w:lang w:val="en-US" w:eastAsia="zh-CN" w:bidi="ar-SA"/>
        </w:rPr>
        <w:t>3.3 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pPr>
        <w:snapToGrid w:val="0"/>
        <w:spacing w:line="360" w:lineRule="auto"/>
        <w:ind w:left="480" w:hanging="480" w:hangingChars="200"/>
        <w:rPr>
          <w:rFonts w:hint="eastAsia" w:ascii="仿宋" w:hAnsi="仿宋" w:eastAsia="仿宋" w:cs="仿宋"/>
          <w:b w:val="0"/>
          <w:bCs w:val="0"/>
          <w:kern w:val="0"/>
          <w:sz w:val="24"/>
          <w:szCs w:val="24"/>
          <w:highlight w:val="none"/>
          <w:lang w:val="en-US" w:eastAsia="zh-CN" w:bidi="ar-SA"/>
        </w:rPr>
      </w:pPr>
      <w:r>
        <w:rPr>
          <w:rFonts w:hint="eastAsia" w:ascii="仿宋" w:hAnsi="仿宋" w:eastAsia="仿宋" w:cs="仿宋"/>
          <w:b w:val="0"/>
          <w:bCs w:val="0"/>
          <w:kern w:val="0"/>
          <w:sz w:val="24"/>
          <w:szCs w:val="24"/>
          <w:highlight w:val="none"/>
          <w:lang w:val="en-US" w:eastAsia="zh-CN" w:bidi="ar-SA"/>
        </w:rPr>
        <w:t>3.4 合格验收时，投标方提供测量功能设备及计量器具资质合格证书，招标方根据实际情况进行相关复检，复检合格视为合格。</w:t>
      </w:r>
    </w:p>
    <w:p>
      <w:pPr>
        <w:keepNext/>
        <w:keepLines/>
        <w:widowControl w:val="0"/>
        <w:bidi w:val="0"/>
        <w:spacing w:before="10" w:after="10" w:line="360" w:lineRule="auto"/>
        <w:jc w:val="center"/>
        <w:outlineLvl w:val="1"/>
        <w:rPr>
          <w:rFonts w:ascii="仿宋" w:hAnsi="仿宋" w:eastAsia="仿宋" w:cs="仿宋"/>
          <w:b/>
          <w:bCs/>
          <w:kern w:val="0"/>
          <w:sz w:val="24"/>
          <w:szCs w:val="32"/>
          <w:highlight w:val="none"/>
          <w:lang w:val="en-US" w:eastAsia="zh-CN" w:bidi="ar-SA"/>
        </w:rPr>
      </w:pPr>
      <w:bookmarkStart w:id="82" w:name="_Toc22366"/>
      <w:bookmarkStart w:id="83" w:name="_Toc24822"/>
      <w:r>
        <w:rPr>
          <w:rFonts w:hint="eastAsia" w:ascii="Cambria" w:hAnsi="Cambria" w:eastAsia="仿宋" w:cs="Times New Roman"/>
          <w:b/>
          <w:bCs/>
          <w:kern w:val="0"/>
          <w:sz w:val="24"/>
          <w:szCs w:val="32"/>
          <w:lang w:val="en-US" w:eastAsia="zh-CN" w:bidi="ar-SA"/>
        </w:rPr>
        <w:t>第四节 售后服务</w:t>
      </w:r>
      <w:bookmarkEnd w:id="82"/>
      <w:bookmarkEnd w:id="83"/>
    </w:p>
    <w:p>
      <w:pPr>
        <w:adjustRightInd w:val="0"/>
        <w:snapToGrid w:val="0"/>
        <w:spacing w:line="360" w:lineRule="auto"/>
        <w:ind w:left="480" w:hanging="480" w:hangingChars="200"/>
        <w:rPr>
          <w:rFonts w:ascii="仿宋" w:hAnsi="仿宋" w:eastAsia="仿宋" w:cs="仿宋"/>
          <w:sz w:val="24"/>
          <w:szCs w:val="24"/>
          <w:highlight w:val="none"/>
        </w:rPr>
      </w:pPr>
      <w:r>
        <w:rPr>
          <w:rFonts w:hint="eastAsia" w:ascii="仿宋" w:hAnsi="仿宋" w:eastAsia="仿宋" w:cs="仿宋"/>
          <w:sz w:val="24"/>
          <w:szCs w:val="24"/>
          <w:highlight w:val="none"/>
        </w:rPr>
        <w:t>4.1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所有的售后服务均由投标方受理。如果发生问题并且收到报告，投标方应当在2小时内予以答复。</w:t>
      </w:r>
    </w:p>
    <w:p>
      <w:pPr>
        <w:adjustRightInd w:val="0"/>
        <w:snapToGrid w:val="0"/>
        <w:spacing w:line="360" w:lineRule="auto"/>
        <w:ind w:left="480" w:hanging="480" w:hangingChars="200"/>
        <w:rPr>
          <w:rFonts w:hint="eastAsia" w:ascii="仿宋" w:hAnsi="仿宋" w:eastAsia="仿宋" w:cs="仿宋"/>
          <w:strike w:val="0"/>
          <w:dstrike w:val="0"/>
          <w:sz w:val="24"/>
          <w:szCs w:val="24"/>
          <w:highlight w:val="none"/>
          <w:lang w:eastAsia="zh-CN"/>
        </w:rPr>
      </w:pPr>
      <w:r>
        <w:rPr>
          <w:rFonts w:hint="eastAsia" w:ascii="仿宋" w:hAnsi="仿宋" w:eastAsia="仿宋" w:cs="仿宋"/>
          <w:strike w:val="0"/>
          <w:dstrike w:val="0"/>
          <w:sz w:val="24"/>
          <w:szCs w:val="24"/>
          <w:highlight w:val="none"/>
        </w:rPr>
        <w:t>4.2</w:t>
      </w:r>
      <w:r>
        <w:rPr>
          <w:rFonts w:hint="eastAsia" w:ascii="仿宋" w:hAnsi="仿宋" w:eastAsia="仿宋" w:cs="仿宋"/>
          <w:strike w:val="0"/>
          <w:dstrike w:val="0"/>
          <w:sz w:val="24"/>
          <w:szCs w:val="24"/>
          <w:highlight w:val="none"/>
          <w:lang w:val="en-US" w:eastAsia="zh-CN"/>
        </w:rPr>
        <w:t xml:space="preserve"> </w:t>
      </w:r>
      <w:r>
        <w:rPr>
          <w:rFonts w:hint="eastAsia" w:ascii="仿宋" w:hAnsi="仿宋" w:eastAsia="仿宋" w:cs="仿宋"/>
          <w:strike w:val="0"/>
          <w:dstrike w:val="0"/>
          <w:sz w:val="24"/>
          <w:szCs w:val="24"/>
          <w:highlight w:val="none"/>
        </w:rPr>
        <w:t>如发现所提供的货物（或生产线）存在问题，需要投标方解决或配合解决时：在质保期之内，</w:t>
      </w:r>
      <w:r>
        <w:rPr>
          <w:rFonts w:hint="eastAsia" w:ascii="仿宋" w:hAnsi="仿宋" w:eastAsia="仿宋" w:cs="仿宋"/>
          <w:strike w:val="0"/>
          <w:dstrike w:val="0"/>
          <w:sz w:val="24"/>
          <w:szCs w:val="24"/>
          <w:highlight w:val="none"/>
          <w:lang w:val="en-US" w:eastAsia="zh-CN"/>
        </w:rPr>
        <w:t>电话响应时间小于1小时，并</w:t>
      </w:r>
      <w:r>
        <w:rPr>
          <w:rFonts w:hint="eastAsia" w:ascii="仿宋" w:hAnsi="仿宋" w:eastAsia="仿宋" w:cs="仿宋"/>
          <w:strike w:val="0"/>
          <w:dstrike w:val="0"/>
          <w:sz w:val="24"/>
          <w:szCs w:val="24"/>
          <w:highlight w:val="none"/>
        </w:rPr>
        <w:t>应在接到通知</w:t>
      </w:r>
      <w:r>
        <w:rPr>
          <w:rFonts w:hint="eastAsia" w:ascii="仿宋" w:hAnsi="仿宋" w:eastAsia="仿宋" w:cs="仿宋"/>
          <w:sz w:val="24"/>
          <w:szCs w:val="24"/>
          <w:highlight w:val="none"/>
        </w:rPr>
        <w:t>后24小时内派有关人员到达现场；在质保期之外，应在接到通知后48小时</w:t>
      </w:r>
      <w:r>
        <w:rPr>
          <w:rFonts w:hint="eastAsia" w:ascii="仿宋" w:hAnsi="仿宋" w:eastAsia="仿宋" w:cs="仿宋"/>
          <w:strike w:val="0"/>
          <w:dstrike w:val="0"/>
          <w:sz w:val="24"/>
          <w:szCs w:val="24"/>
          <w:highlight w:val="none"/>
        </w:rPr>
        <w:t>内派有关人员到达现场</w:t>
      </w:r>
      <w:r>
        <w:rPr>
          <w:rFonts w:hint="eastAsia" w:ascii="仿宋" w:hAnsi="仿宋" w:eastAsia="仿宋" w:cs="仿宋"/>
          <w:strike w:val="0"/>
          <w:dstrike w:val="0"/>
          <w:sz w:val="24"/>
          <w:szCs w:val="24"/>
          <w:highlight w:val="none"/>
          <w:lang w:eastAsia="zh-CN"/>
        </w:rPr>
        <w:t>，</w:t>
      </w:r>
      <w:r>
        <w:rPr>
          <w:rFonts w:hint="eastAsia" w:ascii="仿宋" w:hAnsi="仿宋" w:eastAsia="仿宋" w:cs="仿宋"/>
          <w:strike w:val="0"/>
          <w:dstrike w:val="0"/>
          <w:sz w:val="24"/>
          <w:szCs w:val="24"/>
          <w:highlight w:val="none"/>
        </w:rPr>
        <w:t>中标方应提供终身维修服务,并只收成本费</w:t>
      </w:r>
      <w:r>
        <w:rPr>
          <w:rFonts w:hint="eastAsia" w:ascii="仿宋" w:hAnsi="仿宋" w:eastAsia="仿宋" w:cs="仿宋"/>
          <w:strike w:val="0"/>
          <w:dstrike w:val="0"/>
          <w:sz w:val="24"/>
          <w:szCs w:val="24"/>
          <w:highlight w:val="none"/>
          <w:lang w:eastAsia="zh-CN"/>
        </w:rPr>
        <w:t>。</w:t>
      </w:r>
    </w:p>
    <w:p>
      <w:pPr>
        <w:adjustRightInd w:val="0"/>
        <w:snapToGrid w:val="0"/>
        <w:spacing w:line="360" w:lineRule="auto"/>
        <w:ind w:left="480" w:hanging="480" w:hangingChars="200"/>
        <w:rPr>
          <w:rFonts w:ascii="仿宋" w:hAnsi="仿宋" w:eastAsia="仿宋" w:cs="仿宋"/>
          <w:sz w:val="24"/>
          <w:szCs w:val="24"/>
          <w:highlight w:val="none"/>
        </w:rPr>
      </w:pPr>
      <w:r>
        <w:rPr>
          <w:rFonts w:hint="eastAsia" w:ascii="仿宋" w:hAnsi="仿宋" w:eastAsia="仿宋" w:cs="仿宋"/>
          <w:sz w:val="24"/>
          <w:szCs w:val="24"/>
          <w:highlight w:val="none"/>
        </w:rPr>
        <w:t>4.3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投标方派往招标方使用现场的人员，应具有较高的业务素质；现场解决问题时，不得无故拖延或推迟，应为招标方提供最佳的服务。</w:t>
      </w:r>
    </w:p>
    <w:p>
      <w:pPr>
        <w:adjustRightInd w:val="0"/>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sz w:val="24"/>
          <w:szCs w:val="24"/>
          <w:highlight w:val="none"/>
        </w:rPr>
        <w:t>4.4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设备（或生产线）在使用周期内，投标方免费派遣技术人员与甲方调试团队共同进行设备通讯接口的调试工作。</w:t>
      </w:r>
    </w:p>
    <w:p>
      <w:pPr>
        <w:adjustRightInd w:val="0"/>
        <w:snapToGrid w:val="0"/>
        <w:spacing w:line="360" w:lineRule="auto"/>
        <w:ind w:left="480" w:hanging="480" w:hangingChars="200"/>
        <w:rPr>
          <w:rFonts w:hint="eastAsia" w:ascii="仿宋" w:hAnsi="仿宋" w:eastAsia="仿宋" w:cs="仿宋"/>
          <w:sz w:val="24"/>
          <w:szCs w:val="24"/>
          <w:highlight w:val="yellow"/>
        </w:rPr>
      </w:pPr>
      <w:r>
        <w:rPr>
          <w:rFonts w:hint="eastAsia" w:ascii="仿宋" w:hAnsi="仿宋" w:eastAsia="仿宋" w:cs="仿宋"/>
          <w:sz w:val="24"/>
          <w:szCs w:val="24"/>
          <w:highlight w:val="none"/>
          <w:lang w:val="en-US" w:eastAsia="zh-CN"/>
        </w:rPr>
        <w:t xml:space="preserve">4.5 </w:t>
      </w:r>
      <w:r>
        <w:rPr>
          <w:rFonts w:hint="eastAsia" w:ascii="仿宋" w:hAnsi="仿宋" w:eastAsia="仿宋" w:cs="仿宋"/>
          <w:sz w:val="24"/>
          <w:szCs w:val="24"/>
          <w:highlight w:val="none"/>
        </w:rPr>
        <w:t>设备质保期为从最终验收之日起12个月，在此期间由于设备缺陷而引起的故障及机械电气损坏,均应由中标方免费维修和置换。</w:t>
      </w:r>
    </w:p>
    <w:p>
      <w:pPr>
        <w:keepNext/>
        <w:keepLines/>
        <w:widowControl w:val="0"/>
        <w:bidi w:val="0"/>
        <w:spacing w:before="10" w:after="10" w:line="360" w:lineRule="auto"/>
        <w:jc w:val="center"/>
        <w:outlineLvl w:val="1"/>
        <w:rPr>
          <w:rFonts w:ascii="仿宋" w:hAnsi="仿宋" w:eastAsia="仿宋" w:cs="仿宋"/>
          <w:b/>
          <w:bCs/>
          <w:kern w:val="0"/>
          <w:sz w:val="24"/>
          <w:szCs w:val="32"/>
          <w:highlight w:val="none"/>
          <w:lang w:val="en-US" w:eastAsia="zh-CN" w:bidi="ar-SA"/>
        </w:rPr>
      </w:pPr>
      <w:bookmarkStart w:id="84" w:name="_Toc29950"/>
      <w:bookmarkStart w:id="85" w:name="_Toc7679"/>
      <w:r>
        <w:rPr>
          <w:rFonts w:hint="eastAsia" w:ascii="Cambria" w:hAnsi="Cambria" w:eastAsia="仿宋" w:cs="Times New Roman"/>
          <w:b/>
          <w:bCs/>
          <w:kern w:val="0"/>
          <w:sz w:val="24"/>
          <w:szCs w:val="32"/>
          <w:lang w:val="en-US" w:eastAsia="zh-CN" w:bidi="ar-SA"/>
        </w:rPr>
        <w:t>第五节 其它服务</w:t>
      </w:r>
      <w:bookmarkEnd w:id="84"/>
      <w:bookmarkEnd w:id="85"/>
    </w:p>
    <w:p>
      <w:pPr>
        <w:adjustRightInd w:val="0"/>
        <w:snapToGrid w:val="0"/>
        <w:spacing w:line="360" w:lineRule="auto"/>
        <w:ind w:left="480" w:hanging="480" w:hangingChars="200"/>
        <w:rPr>
          <w:rFonts w:ascii="仿宋" w:hAnsi="仿宋" w:eastAsia="仿宋" w:cs="仿宋"/>
          <w:sz w:val="24"/>
          <w:szCs w:val="24"/>
          <w:highlight w:val="none"/>
        </w:rPr>
      </w:pPr>
      <w:r>
        <w:rPr>
          <w:rFonts w:hint="eastAsia" w:ascii="仿宋" w:hAnsi="仿宋" w:eastAsia="仿宋" w:cs="仿宋"/>
          <w:sz w:val="24"/>
          <w:szCs w:val="24"/>
          <w:highlight w:val="none"/>
        </w:rPr>
        <w:t>5.1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若投标方所提供货物（或生产线）有需要进口的，投标方一般应自行、自费办理；必要时，招标方和投标方共同办理。</w:t>
      </w:r>
    </w:p>
    <w:p>
      <w:pPr>
        <w:adjustRightInd w:val="0"/>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sz w:val="24"/>
          <w:szCs w:val="24"/>
          <w:highlight w:val="none"/>
        </w:rPr>
        <w:t>5.2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除招标文件、投标文件、答疑文件、技术协议、合同等约定之外，投标方应免费负责必要的或强制性的货物（或生产线）的检验、试验、化验等直接费用。</w:t>
      </w:r>
    </w:p>
    <w:p>
      <w:pPr>
        <w:rPr>
          <w:rFonts w:hint="eastAsia" w:ascii="Times New Roman" w:hAnsi="Times New Roman" w:eastAsia="宋体" w:cs="Times New Roman"/>
          <w:sz w:val="24"/>
          <w:szCs w:val="24"/>
        </w:rPr>
      </w:pPr>
      <w:r>
        <w:rPr>
          <w:rFonts w:hint="eastAsia" w:ascii="仿宋" w:hAnsi="仿宋" w:eastAsia="仿宋" w:cs="仿宋"/>
          <w:sz w:val="24"/>
          <w:szCs w:val="24"/>
          <w:highlight w:val="none"/>
        </w:rPr>
        <w:br w:type="page"/>
      </w:r>
    </w:p>
    <w:p>
      <w:pPr>
        <w:keepNext/>
        <w:keepLines/>
        <w:widowControl w:val="0"/>
        <w:bidi w:val="0"/>
        <w:spacing w:before="50" w:beforeLines="50" w:after="50" w:afterLines="50" w:line="360" w:lineRule="auto"/>
        <w:jc w:val="center"/>
        <w:outlineLvl w:val="0"/>
        <w:rPr>
          <w:rFonts w:ascii="Times New Roman" w:hAnsi="Times New Roman" w:eastAsia="仿宋" w:cs="Times New Roman"/>
          <w:b/>
          <w:bCs/>
          <w:kern w:val="44"/>
          <w:sz w:val="24"/>
          <w:szCs w:val="44"/>
          <w:lang w:val="en-US" w:eastAsia="zh-CN" w:bidi="ar-SA"/>
        </w:rPr>
      </w:pPr>
      <w:bookmarkStart w:id="86" w:name="_Toc30605"/>
      <w:bookmarkStart w:id="87" w:name="_Toc530"/>
      <w:r>
        <w:rPr>
          <w:rFonts w:hint="eastAsia" w:ascii="Times New Roman" w:hAnsi="Times New Roman" w:eastAsia="仿宋" w:cs="Times New Roman"/>
          <w:b/>
          <w:bCs/>
          <w:kern w:val="44"/>
          <w:sz w:val="24"/>
          <w:szCs w:val="44"/>
          <w:lang w:val="en-US" w:eastAsia="zh-CN" w:bidi="ar-SA"/>
        </w:rPr>
        <w:t>第五章 预验收和终验收</w:t>
      </w:r>
      <w:bookmarkEnd w:id="86"/>
      <w:bookmarkEnd w:id="87"/>
    </w:p>
    <w:p>
      <w:pPr>
        <w:keepNext/>
        <w:keepLines/>
        <w:widowControl w:val="0"/>
        <w:bidi w:val="0"/>
        <w:spacing w:before="10" w:after="10" w:line="360" w:lineRule="auto"/>
        <w:jc w:val="center"/>
        <w:outlineLvl w:val="1"/>
        <w:rPr>
          <w:rFonts w:ascii="Cambria" w:hAnsi="Cambria" w:eastAsia="仿宋" w:cs="Times New Roman"/>
          <w:b/>
          <w:bCs/>
          <w:kern w:val="0"/>
          <w:sz w:val="24"/>
          <w:szCs w:val="32"/>
          <w:lang w:val="en-US" w:eastAsia="zh-CN" w:bidi="ar-SA"/>
        </w:rPr>
      </w:pPr>
      <w:bookmarkStart w:id="88" w:name="_Toc1519"/>
      <w:bookmarkStart w:id="89" w:name="_Toc20116"/>
      <w:r>
        <w:rPr>
          <w:rFonts w:hint="eastAsia" w:ascii="Cambria" w:hAnsi="Cambria" w:eastAsia="仿宋" w:cs="Times New Roman"/>
          <w:b/>
          <w:bCs/>
          <w:kern w:val="0"/>
          <w:sz w:val="24"/>
          <w:szCs w:val="32"/>
          <w:lang w:val="en-US" w:eastAsia="zh-CN" w:bidi="ar-SA"/>
        </w:rPr>
        <w:t>第一节 验收的一般约定</w:t>
      </w:r>
      <w:bookmarkEnd w:id="88"/>
      <w:bookmarkEnd w:id="89"/>
    </w:p>
    <w:p>
      <w:pPr>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1.1验收标准一般以技术协议书和合同规定验收。</w:t>
      </w:r>
    </w:p>
    <w:p>
      <w:pPr>
        <w:adjustRightInd w:val="0"/>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sz w:val="24"/>
          <w:szCs w:val="24"/>
          <w:highlight w:val="none"/>
        </w:rPr>
        <w:t>1.2如果验收过程中，发现招标文件、投标文件、答疑文件、技术交流文件等与技术协议书、合同存在差异，原则上以涉及条款中对买方最有利条款为验收依据。</w:t>
      </w:r>
    </w:p>
    <w:p>
      <w:pPr>
        <w:adjustRightInd w:val="0"/>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本附件用于合同执行期间对投标人所提供的设备进行检验、监造和性能验收试验，确保投标人所提供的设备符合要求。</w:t>
      </w:r>
    </w:p>
    <w:p>
      <w:pPr>
        <w:adjustRightInd w:val="0"/>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投标人应在本合同生效后1个月内，向招标人提供与本合同设备有关的监造、检验、性能验收试验标准。有关标准应符合规定。</w:t>
      </w:r>
    </w:p>
    <w:p>
      <w:pPr>
        <w:adjustRightInd w:val="0"/>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供方应向需方保证所供设备是技术先进、成熟可靠的全新产品，在设计、材料选择和工艺上均无任何缺陷和差错，技术文件及图纸的内容必须正确、完整，图画清晰，能充分满足安装、启、停及正常运行和维护的要求。供方应具备有效方法，控制所有外协、外购件的质量和服务，使其符合本技术条件书的要求。需方有权派代表到供方工厂和分包及外购件工厂检查制造过程，检查按合同交付的货物质量，检验按合同交付的元件、组件及使用材料是否符合标准及其它合同上规定的要求，并参加合同规定由供方进行的一些元件试验和整个装配件的试验。供方应提供给需方代表技术文件及图纸，试验及检验所必需的仪器工具、办公用具。在设备开始生产前，供方应提供一份生产程序和制作加工进度表，进度表中应包括检查与试验的项目，以便需方决定哪些部分拟进行现场检查。需方应向供方明确拟对哪些项目进行现场检查，并事先通知供方，以便供方安排。</w:t>
      </w:r>
    </w:p>
    <w:p>
      <w:pPr>
        <w:adjustRightInd w:val="0"/>
        <w:snapToGrid w:val="0"/>
        <w:spacing w:line="360" w:lineRule="auto"/>
        <w:ind w:left="420" w:leftChars="20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如在安装和试运期间发现零部件的缺陷、损坏情况，在证实设备储存、安装、护和运行都符合要求时，供方应尽快免费更换。</w:t>
      </w:r>
    </w:p>
    <w:p>
      <w:pPr>
        <w:adjustRightInd w:val="0"/>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sz w:val="24"/>
          <w:szCs w:val="24"/>
          <w:highlight w:val="none"/>
        </w:rPr>
        <w:t>1.4产品到达现场后，需方通知供方派人共同开箱验收，设备不解体，按电力建设施工及验收技术协议和产品说明书安装。</w:t>
      </w:r>
      <w:r>
        <w:rPr>
          <w:rFonts w:hint="eastAsia" w:ascii="仿宋" w:hAnsi="仿宋" w:eastAsia="仿宋" w:cs="仿宋"/>
          <w:sz w:val="24"/>
          <w:szCs w:val="24"/>
          <w:highlight w:val="none"/>
          <w:lang w:val="en-US" w:eastAsia="zh-CN"/>
        </w:rPr>
        <w:t>通过特种设备备案后60日内完成终</w:t>
      </w:r>
      <w:r>
        <w:rPr>
          <w:rFonts w:hint="eastAsia" w:ascii="仿宋" w:hAnsi="仿宋" w:eastAsia="仿宋" w:cs="仿宋"/>
          <w:sz w:val="24"/>
          <w:szCs w:val="24"/>
          <w:highlight w:val="none"/>
        </w:rPr>
        <w:t>验收，保证期一年。若因设备设计、制造、质量等问题达不到性能要求，供方应无偿进行处理，使之达到性能要求。</w:t>
      </w:r>
    </w:p>
    <w:p>
      <w:pPr>
        <w:keepNext/>
        <w:keepLines/>
        <w:widowControl w:val="0"/>
        <w:bidi w:val="0"/>
        <w:spacing w:before="10" w:after="10" w:line="360" w:lineRule="auto"/>
        <w:jc w:val="center"/>
        <w:outlineLvl w:val="1"/>
        <w:rPr>
          <w:rFonts w:ascii="Cambria" w:hAnsi="Cambria" w:eastAsia="仿宋" w:cs="Times New Roman"/>
          <w:b/>
          <w:bCs/>
          <w:kern w:val="0"/>
          <w:sz w:val="24"/>
          <w:szCs w:val="32"/>
          <w:lang w:val="en-US" w:eastAsia="zh-CN" w:bidi="ar-SA"/>
        </w:rPr>
      </w:pPr>
      <w:bookmarkStart w:id="90" w:name="_Toc7512"/>
      <w:bookmarkStart w:id="91" w:name="_Toc8767"/>
      <w:r>
        <w:rPr>
          <w:rFonts w:hint="eastAsia" w:ascii="Cambria" w:hAnsi="Cambria" w:eastAsia="仿宋" w:cs="Times New Roman"/>
          <w:b/>
          <w:bCs/>
          <w:kern w:val="0"/>
          <w:sz w:val="24"/>
          <w:szCs w:val="32"/>
          <w:lang w:val="en-US" w:eastAsia="zh-CN" w:bidi="ar-SA"/>
        </w:rPr>
        <w:t>第二节 检验</w:t>
      </w:r>
      <w:bookmarkEnd w:id="90"/>
      <w:bookmarkEnd w:id="91"/>
    </w:p>
    <w:p>
      <w:pPr>
        <w:numPr>
          <w:ilvl w:val="1"/>
          <w:numId w:val="17"/>
        </w:numPr>
        <w:adjustRightInd w:val="0"/>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国产货物（或生产线）的检验由卖买双方按照合同要求或在制造现场进行。</w:t>
      </w:r>
    </w:p>
    <w:p>
      <w:pPr>
        <w:numPr>
          <w:ilvl w:val="1"/>
          <w:numId w:val="17"/>
        </w:numPr>
        <w:adjustRightInd w:val="0"/>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进口货物（或生产线）的检验按照下述要求进行：</w:t>
      </w:r>
    </w:p>
    <w:p>
      <w:pPr>
        <w:numPr>
          <w:ilvl w:val="2"/>
          <w:numId w:val="17"/>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进口货物（或生产线）发货前，卖方应对货物（或生产线）的质量、型号、规格、性能和数量/重量作精密、全面的检验，并出具证明书，证明所供货物（或生产线）符合合同规定。</w:t>
      </w:r>
    </w:p>
    <w:p>
      <w:pPr>
        <w:numPr>
          <w:ilvl w:val="2"/>
          <w:numId w:val="17"/>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卖方应依据合同规定的要求，提供买卖双方达成一致的货物（或生产线）的验收标准和装箱单，作为买方检验的依据。</w:t>
      </w:r>
    </w:p>
    <w:p>
      <w:pPr>
        <w:numPr>
          <w:ilvl w:val="2"/>
          <w:numId w:val="17"/>
        </w:numPr>
        <w:adjustRightInd w:val="0"/>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进口货物（或生产线）到达目的地后，买方有权申请中国商品检验检疫局进行检验，如发现货物（或生产线）的品质及规格与合同或发票不符，除买方的责任外，买方有权在货物（或生产线）到达卸货目的地后180个日历日内，根据中国商品检验检疫局出具的证明书向卖方提出索赔，因索赔所发生的一切费用(包括检验检疫费等)均由卖方承担。</w:t>
      </w:r>
    </w:p>
    <w:p>
      <w:pPr>
        <w:keepNext/>
        <w:keepLines/>
        <w:widowControl w:val="0"/>
        <w:bidi w:val="0"/>
        <w:spacing w:before="10" w:after="10" w:line="360" w:lineRule="auto"/>
        <w:jc w:val="center"/>
        <w:outlineLvl w:val="1"/>
        <w:rPr>
          <w:rFonts w:hint="default" w:ascii="Cambria" w:hAnsi="Cambria" w:eastAsia="仿宋" w:cs="Times New Roman"/>
          <w:b/>
          <w:bCs/>
          <w:kern w:val="0"/>
          <w:sz w:val="24"/>
          <w:szCs w:val="32"/>
          <w:lang w:val="en-US" w:eastAsia="zh-CN" w:bidi="ar-SA"/>
        </w:rPr>
      </w:pPr>
      <w:bookmarkStart w:id="92" w:name="_Toc6667"/>
      <w:bookmarkStart w:id="93" w:name="_Toc30901"/>
      <w:r>
        <w:rPr>
          <w:rFonts w:hint="eastAsia" w:ascii="Cambria" w:hAnsi="Cambria" w:eastAsia="仿宋" w:cs="Times New Roman"/>
          <w:b/>
          <w:bCs/>
          <w:kern w:val="0"/>
          <w:sz w:val="24"/>
          <w:szCs w:val="32"/>
          <w:lang w:val="en-US" w:eastAsia="zh-CN" w:bidi="ar-SA"/>
        </w:rPr>
        <w:t>第三节 设备监造</w:t>
      </w:r>
      <w:bookmarkEnd w:id="92"/>
      <w:bookmarkEnd w:id="93"/>
    </w:p>
    <w:p>
      <w:pPr>
        <w:numPr>
          <w:ilvl w:val="1"/>
          <w:numId w:val="18"/>
        </w:numPr>
        <w:adjustRightInd w:val="0"/>
        <w:snapToGrid w:val="0"/>
        <w:spacing w:line="360" w:lineRule="auto"/>
        <w:ind w:left="567" w:leftChars="0" w:hanging="567"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监造依据</w:t>
      </w:r>
    </w:p>
    <w:p>
      <w:pPr>
        <w:numPr>
          <w:ilvl w:val="0"/>
          <w:numId w:val="0"/>
        </w:numPr>
        <w:adjustRightInd w:val="0"/>
        <w:snapToGrid w:val="0"/>
        <w:spacing w:line="360" w:lineRule="auto"/>
        <w:ind w:leftChars="0"/>
        <w:rPr>
          <w:rFonts w:hint="eastAsia" w:ascii="仿宋" w:hAnsi="仿宋" w:eastAsia="仿宋" w:cs="仿宋"/>
          <w:sz w:val="24"/>
          <w:szCs w:val="24"/>
          <w:highlight w:val="none"/>
        </w:rPr>
      </w:pPr>
      <w:r>
        <w:rPr>
          <w:rFonts w:hint="eastAsia" w:ascii="仿宋" w:hAnsi="仿宋" w:eastAsia="仿宋" w:cs="仿宋"/>
          <w:sz w:val="24"/>
          <w:szCs w:val="24"/>
          <w:highlight w:val="none"/>
        </w:rPr>
        <w:t>根据本合同和国家有关规定。</w:t>
      </w:r>
    </w:p>
    <w:p>
      <w:pPr>
        <w:numPr>
          <w:ilvl w:val="1"/>
          <w:numId w:val="18"/>
        </w:numPr>
        <w:adjustRightInd w:val="0"/>
        <w:snapToGrid w:val="0"/>
        <w:spacing w:line="360" w:lineRule="auto"/>
        <w:ind w:left="567" w:leftChars="0" w:hanging="567"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监造方式</w:t>
      </w:r>
    </w:p>
    <w:p>
      <w:pPr>
        <w:numPr>
          <w:ilvl w:val="0"/>
          <w:numId w:val="0"/>
        </w:numPr>
        <w:adjustRightInd w:val="0"/>
        <w:snapToGrid w:val="0"/>
        <w:spacing w:line="360" w:lineRule="auto"/>
        <w:ind w:leftChars="0"/>
        <w:rPr>
          <w:rFonts w:hint="eastAsia" w:ascii="仿宋" w:hAnsi="仿宋" w:eastAsia="仿宋" w:cs="仿宋"/>
          <w:sz w:val="24"/>
          <w:szCs w:val="24"/>
          <w:highlight w:val="none"/>
        </w:rPr>
      </w:pPr>
      <w:r>
        <w:rPr>
          <w:rFonts w:hint="eastAsia" w:ascii="仿宋" w:hAnsi="仿宋" w:eastAsia="仿宋" w:cs="仿宋"/>
          <w:sz w:val="24"/>
          <w:szCs w:val="24"/>
          <w:highlight w:val="none"/>
        </w:rPr>
        <w:t>文件见证、现场见证和停工待检，即 R点、W点、H点。每次监造内容完成后，投标人和监造代表均须在见证表上履行签字手续。投标人复印3份，交监造代表1份。</w:t>
      </w:r>
    </w:p>
    <w:p>
      <w:pPr>
        <w:numPr>
          <w:ilvl w:val="1"/>
          <w:numId w:val="18"/>
        </w:numPr>
        <w:adjustRightInd w:val="0"/>
        <w:snapToGrid w:val="0"/>
        <w:spacing w:line="360" w:lineRule="auto"/>
        <w:ind w:left="567" w:leftChars="0" w:hanging="567"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监造内容</w:t>
      </w:r>
    </w:p>
    <w:p>
      <w:pPr>
        <w:numPr>
          <w:ilvl w:val="0"/>
          <w:numId w:val="0"/>
        </w:numPr>
        <w:adjustRightInd w:val="0"/>
        <w:snapToGrid w:val="0"/>
        <w:spacing w:line="360" w:lineRule="auto"/>
        <w:ind w:leftChars="0"/>
        <w:rPr>
          <w:rFonts w:hint="eastAsia" w:ascii="仿宋" w:hAnsi="仿宋" w:eastAsia="仿宋" w:cs="仿宋"/>
          <w:sz w:val="24"/>
          <w:szCs w:val="24"/>
          <w:highlight w:val="none"/>
        </w:rPr>
      </w:pPr>
      <w:r>
        <w:rPr>
          <w:rFonts w:hint="eastAsia" w:ascii="仿宋" w:hAnsi="仿宋" w:eastAsia="仿宋" w:cs="仿宋"/>
          <w:sz w:val="24"/>
          <w:szCs w:val="24"/>
          <w:highlight w:val="none"/>
        </w:rPr>
        <w:t>具体内容和检造方式由招标人确定。</w:t>
      </w:r>
    </w:p>
    <w:p>
      <w:pPr>
        <w:keepNext/>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监造项目及方式表</w:t>
      </w:r>
    </w:p>
    <w:tbl>
      <w:tblPr>
        <w:tblStyle w:val="36"/>
        <w:tblW w:w="869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05"/>
        <w:gridCol w:w="4465"/>
        <w:gridCol w:w="705"/>
        <w:gridCol w:w="705"/>
        <w:gridCol w:w="705"/>
        <w:gridCol w:w="14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blHeader/>
          <w:jc w:val="center"/>
        </w:trPr>
        <w:tc>
          <w:tcPr>
            <w:tcW w:w="705" w:type="dxa"/>
            <w:vMerge w:val="restart"/>
            <w:tcBorders>
              <w:top w:val="single" w:color="auto" w:sz="12" w:space="0"/>
              <w:left w:val="single" w:color="auto" w:sz="12" w:space="0"/>
            </w:tcBorders>
            <w:vAlign w:val="center"/>
          </w:tcPr>
          <w:p>
            <w:pPr>
              <w:keepNext/>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4465" w:type="dxa"/>
            <w:vMerge w:val="restart"/>
            <w:tcBorders>
              <w:top w:val="single" w:color="auto" w:sz="12" w:space="0"/>
            </w:tcBorders>
            <w:vAlign w:val="center"/>
          </w:tcPr>
          <w:p>
            <w:pPr>
              <w:keepNext/>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项目内容</w:t>
            </w:r>
          </w:p>
        </w:tc>
        <w:tc>
          <w:tcPr>
            <w:tcW w:w="2115" w:type="dxa"/>
            <w:gridSpan w:val="3"/>
            <w:tcBorders>
              <w:top w:val="single" w:color="auto" w:sz="12" w:space="0"/>
              <w:bottom w:val="nil"/>
            </w:tcBorders>
            <w:vAlign w:val="center"/>
          </w:tcPr>
          <w:p>
            <w:pPr>
              <w:keepNext/>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监造方式</w:t>
            </w:r>
          </w:p>
        </w:tc>
        <w:tc>
          <w:tcPr>
            <w:tcW w:w="1410" w:type="dxa"/>
            <w:vMerge w:val="restart"/>
            <w:tcBorders>
              <w:top w:val="single" w:color="auto" w:sz="12" w:space="0"/>
              <w:right w:val="single" w:color="auto" w:sz="12" w:space="0"/>
            </w:tcBorders>
            <w:vAlign w:val="center"/>
          </w:tcPr>
          <w:p>
            <w:pPr>
              <w:keepNext/>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blHeader/>
          <w:jc w:val="center"/>
        </w:trPr>
        <w:tc>
          <w:tcPr>
            <w:tcW w:w="705" w:type="dxa"/>
            <w:vMerge w:val="continue"/>
            <w:tcBorders>
              <w:left w:val="single" w:color="auto" w:sz="12" w:space="0"/>
            </w:tcBorders>
            <w:vAlign w:val="center"/>
          </w:tcPr>
          <w:p>
            <w:pPr>
              <w:keepNext/>
              <w:spacing w:line="320" w:lineRule="exact"/>
              <w:jc w:val="center"/>
              <w:rPr>
                <w:rFonts w:hint="eastAsia" w:ascii="仿宋" w:hAnsi="仿宋" w:eastAsia="仿宋" w:cs="仿宋"/>
                <w:color w:val="auto"/>
                <w:sz w:val="24"/>
                <w:szCs w:val="24"/>
                <w:highlight w:val="none"/>
              </w:rPr>
            </w:pPr>
          </w:p>
        </w:tc>
        <w:tc>
          <w:tcPr>
            <w:tcW w:w="4465" w:type="dxa"/>
            <w:vMerge w:val="continue"/>
            <w:vAlign w:val="center"/>
          </w:tcPr>
          <w:p>
            <w:pPr>
              <w:keepNext/>
              <w:spacing w:line="320" w:lineRule="exact"/>
              <w:jc w:val="center"/>
              <w:rPr>
                <w:rFonts w:hint="eastAsia" w:ascii="仿宋" w:hAnsi="仿宋" w:eastAsia="仿宋" w:cs="仿宋"/>
                <w:color w:val="auto"/>
                <w:sz w:val="24"/>
                <w:szCs w:val="24"/>
                <w:highlight w:val="none"/>
              </w:rPr>
            </w:pPr>
          </w:p>
        </w:tc>
        <w:tc>
          <w:tcPr>
            <w:tcW w:w="705" w:type="dxa"/>
            <w:vAlign w:val="center"/>
          </w:tcPr>
          <w:p>
            <w:pPr>
              <w:keepNext/>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H</w:t>
            </w:r>
          </w:p>
        </w:tc>
        <w:tc>
          <w:tcPr>
            <w:tcW w:w="705" w:type="dxa"/>
            <w:vAlign w:val="center"/>
          </w:tcPr>
          <w:p>
            <w:pPr>
              <w:keepNext/>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w:t>
            </w:r>
          </w:p>
        </w:tc>
        <w:tc>
          <w:tcPr>
            <w:tcW w:w="705" w:type="dxa"/>
            <w:vAlign w:val="center"/>
          </w:tcPr>
          <w:p>
            <w:pPr>
              <w:keepNext/>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R</w:t>
            </w:r>
          </w:p>
        </w:tc>
        <w:tc>
          <w:tcPr>
            <w:tcW w:w="1410" w:type="dxa"/>
            <w:vMerge w:val="continue"/>
            <w:tcBorders>
              <w:right w:val="single" w:color="auto" w:sz="12" w:space="0"/>
            </w:tcBorders>
            <w:vAlign w:val="center"/>
          </w:tcPr>
          <w:p>
            <w:pPr>
              <w:keepNext/>
              <w:spacing w:line="320" w:lineRule="exact"/>
              <w:jc w:val="center"/>
              <w:rPr>
                <w:rFonts w:hint="eastAsia" w:ascii="仿宋" w:hAnsi="仿宋" w:eastAsia="仿宋" w:cs="仿宋"/>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05" w:type="dxa"/>
            <w:tcBorders>
              <w:lef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c>
          <w:tcPr>
            <w:tcW w:w="446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1410" w:type="dxa"/>
            <w:tcBorders>
              <w:righ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05" w:type="dxa"/>
            <w:tcBorders>
              <w:lef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c>
          <w:tcPr>
            <w:tcW w:w="446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1410" w:type="dxa"/>
            <w:tcBorders>
              <w:righ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05" w:type="dxa"/>
            <w:tcBorders>
              <w:lef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c>
          <w:tcPr>
            <w:tcW w:w="446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1410" w:type="dxa"/>
            <w:tcBorders>
              <w:righ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05" w:type="dxa"/>
            <w:tcBorders>
              <w:lef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c>
          <w:tcPr>
            <w:tcW w:w="446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1410" w:type="dxa"/>
            <w:tcBorders>
              <w:righ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05" w:type="dxa"/>
            <w:tcBorders>
              <w:lef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c>
          <w:tcPr>
            <w:tcW w:w="446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1410" w:type="dxa"/>
            <w:tcBorders>
              <w:righ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05" w:type="dxa"/>
            <w:tcBorders>
              <w:lef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c>
          <w:tcPr>
            <w:tcW w:w="446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1410" w:type="dxa"/>
            <w:tcBorders>
              <w:righ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05" w:type="dxa"/>
            <w:tcBorders>
              <w:lef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c>
          <w:tcPr>
            <w:tcW w:w="446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1410" w:type="dxa"/>
            <w:tcBorders>
              <w:righ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705" w:type="dxa"/>
            <w:tcBorders>
              <w:lef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c>
          <w:tcPr>
            <w:tcW w:w="446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705" w:type="dxa"/>
            <w:vAlign w:val="center"/>
          </w:tcPr>
          <w:p>
            <w:pPr>
              <w:spacing w:line="320" w:lineRule="exact"/>
              <w:jc w:val="center"/>
              <w:rPr>
                <w:rFonts w:hint="eastAsia" w:ascii="仿宋" w:hAnsi="仿宋" w:eastAsia="仿宋" w:cs="仿宋"/>
                <w:color w:val="auto"/>
                <w:sz w:val="24"/>
                <w:szCs w:val="24"/>
                <w:highlight w:val="none"/>
              </w:rPr>
            </w:pPr>
          </w:p>
        </w:tc>
        <w:tc>
          <w:tcPr>
            <w:tcW w:w="1410" w:type="dxa"/>
            <w:tcBorders>
              <w:right w:val="single" w:color="auto" w:sz="12" w:space="0"/>
            </w:tcBorders>
            <w:vAlign w:val="center"/>
          </w:tcPr>
          <w:p>
            <w:pPr>
              <w:spacing w:line="320" w:lineRule="exact"/>
              <w:jc w:val="center"/>
              <w:rPr>
                <w:rFonts w:hint="eastAsia" w:ascii="仿宋" w:hAnsi="仿宋" w:eastAsia="仿宋" w:cs="仿宋"/>
                <w:color w:val="auto"/>
                <w:sz w:val="24"/>
                <w:szCs w:val="24"/>
                <w:highlight w:val="none"/>
              </w:rPr>
            </w:pPr>
          </w:p>
        </w:tc>
      </w:tr>
    </w:tbl>
    <w:p>
      <w:pPr>
        <w:numPr>
          <w:ilvl w:val="1"/>
          <w:numId w:val="18"/>
        </w:numPr>
        <w:adjustRightInd w:val="0"/>
        <w:snapToGrid w:val="0"/>
        <w:spacing w:line="360" w:lineRule="auto"/>
        <w:ind w:left="567" w:leftChars="0" w:hanging="567"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对投标人配合监造的要求</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投标人为招标人提供以下方便：</w:t>
      </w:r>
    </w:p>
    <w:p>
      <w:pPr>
        <w:numPr>
          <w:ilvl w:val="0"/>
          <w:numId w:val="19"/>
        </w:numPr>
        <w:adjustRightInd w:val="0"/>
        <w:snapToGrid w:val="0"/>
        <w:spacing w:line="360" w:lineRule="auto"/>
        <w:ind w:left="425" w:leftChars="0" w:hanging="425"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提前10天将设备监造项目及检验时间通知招标人监造代表和招标人，监造项目和方式由投标人、招标人监造代表、招标人三方协商确定</w:t>
      </w:r>
      <w:r>
        <w:rPr>
          <w:rFonts w:hint="eastAsia" w:ascii="仿宋" w:hAnsi="仿宋" w:eastAsia="仿宋" w:cs="仿宋"/>
          <w:color w:val="auto"/>
          <w:sz w:val="24"/>
          <w:szCs w:val="24"/>
          <w:highlight w:val="none"/>
          <w:lang w:eastAsia="zh-CN"/>
        </w:rPr>
        <w:t>。</w:t>
      </w:r>
    </w:p>
    <w:p>
      <w:pPr>
        <w:numPr>
          <w:ilvl w:val="0"/>
          <w:numId w:val="19"/>
        </w:numPr>
        <w:adjustRightInd w:val="0"/>
        <w:snapToGrid w:val="0"/>
        <w:spacing w:line="360" w:lineRule="auto"/>
        <w:ind w:left="425" w:leftChars="0" w:hanging="425"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招标人监造代表和招标人代表有权通过投标人有关部门查（借）阅合同与本合同设备有关的标准、图纸、资料、工艺及检验记录（包括之间检验记录），如招标人认为有必要复印，投标人应提供方便。</w:t>
      </w:r>
    </w:p>
    <w:p>
      <w:pPr>
        <w:numPr>
          <w:ilvl w:val="0"/>
          <w:numId w:val="19"/>
        </w:numPr>
        <w:adjustRightInd w:val="0"/>
        <w:snapToGrid w:val="0"/>
        <w:spacing w:line="360" w:lineRule="auto"/>
        <w:ind w:left="425" w:leftChars="0" w:hanging="425"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人人员在监造过程中如发现设备和材料缺陷或不符合规定的标准要求时，招标人有权提出意见，投标人应采取相应改进措施，以保证设备质量。无论招标人是否要求和知道，投标人均应主动及时向招标人提供合同设备制造过程中出现的较大的质量缺陷和问题，不得隐瞒。在招标人不知道的情况下投标人不得擅自处理。</w:t>
      </w:r>
    </w:p>
    <w:p>
      <w:pPr>
        <w:keepNext/>
        <w:keepLines/>
        <w:widowControl w:val="0"/>
        <w:bidi w:val="0"/>
        <w:spacing w:before="10" w:after="10" w:line="360" w:lineRule="auto"/>
        <w:jc w:val="center"/>
        <w:outlineLvl w:val="1"/>
        <w:rPr>
          <w:rFonts w:hint="default" w:ascii="Cambria" w:hAnsi="Cambria" w:eastAsia="仿宋" w:cs="Times New Roman"/>
          <w:b/>
          <w:bCs/>
          <w:kern w:val="0"/>
          <w:sz w:val="24"/>
          <w:szCs w:val="32"/>
          <w:lang w:val="en-US" w:eastAsia="zh-CN" w:bidi="ar-SA"/>
        </w:rPr>
      </w:pPr>
      <w:bookmarkStart w:id="94" w:name="_Toc1551"/>
      <w:bookmarkStart w:id="95" w:name="_Toc16160"/>
      <w:r>
        <w:rPr>
          <w:rFonts w:hint="eastAsia" w:ascii="Cambria" w:hAnsi="Cambria" w:eastAsia="仿宋" w:cs="Times New Roman"/>
          <w:b/>
          <w:bCs/>
          <w:kern w:val="0"/>
          <w:sz w:val="24"/>
          <w:szCs w:val="32"/>
          <w:lang w:val="en-US" w:eastAsia="zh-CN" w:bidi="ar-SA"/>
        </w:rPr>
        <w:t>第四节 性能验收</w:t>
      </w:r>
      <w:bookmarkEnd w:id="94"/>
      <w:bookmarkEnd w:id="95"/>
    </w:p>
    <w:p>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仿宋" w:hAnsi="仿宋" w:eastAsia="仿宋" w:cs="仿宋"/>
          <w:color w:val="auto"/>
          <w:sz w:val="24"/>
          <w:szCs w:val="24"/>
          <w:highlight w:val="none"/>
        </w:rPr>
        <w:t>起重机的验收在当地特种设备质量监督局和</w:t>
      </w:r>
      <w:r>
        <w:rPr>
          <w:rFonts w:hint="eastAsia" w:ascii="仿宋" w:hAnsi="仿宋" w:eastAsia="仿宋" w:cs="仿宋"/>
          <w:color w:val="auto"/>
          <w:sz w:val="24"/>
          <w:szCs w:val="24"/>
          <w:highlight w:val="none"/>
          <w:lang w:val="en-US" w:eastAsia="zh-CN"/>
        </w:rPr>
        <w:t>招标方</w:t>
      </w:r>
      <w:r>
        <w:rPr>
          <w:rFonts w:hint="eastAsia" w:ascii="仿宋" w:hAnsi="仿宋" w:eastAsia="仿宋" w:cs="仿宋"/>
          <w:color w:val="auto"/>
          <w:sz w:val="24"/>
          <w:szCs w:val="24"/>
          <w:highlight w:val="none"/>
        </w:rPr>
        <w:t>共同检查验收合格后，特种设备质量监督局出具许可证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取得许可证后方可启动终验收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(3T以上行车适用）</w:t>
      </w:r>
    </w:p>
    <w:p>
      <w:pPr>
        <w:keepNext/>
        <w:keepLines/>
        <w:widowControl w:val="0"/>
        <w:bidi w:val="0"/>
        <w:spacing w:before="10" w:after="10" w:line="360" w:lineRule="auto"/>
        <w:jc w:val="center"/>
        <w:outlineLvl w:val="1"/>
        <w:rPr>
          <w:rFonts w:ascii="Cambria" w:hAnsi="Cambria" w:eastAsia="仿宋" w:cs="Times New Roman"/>
          <w:b/>
          <w:bCs/>
          <w:kern w:val="0"/>
          <w:sz w:val="24"/>
          <w:szCs w:val="32"/>
          <w:lang w:val="en-US" w:eastAsia="zh-CN" w:bidi="ar-SA"/>
        </w:rPr>
      </w:pPr>
      <w:bookmarkStart w:id="96" w:name="_Toc4708"/>
      <w:bookmarkStart w:id="97" w:name="_Toc23650"/>
      <w:r>
        <w:rPr>
          <w:rFonts w:hint="eastAsia" w:ascii="Cambria" w:hAnsi="Cambria" w:eastAsia="仿宋" w:cs="Times New Roman"/>
          <w:b/>
          <w:bCs/>
          <w:kern w:val="0"/>
          <w:sz w:val="24"/>
          <w:szCs w:val="32"/>
          <w:lang w:val="en-US" w:eastAsia="zh-CN" w:bidi="ar-SA"/>
        </w:rPr>
        <w:t>第五节 验收条件</w:t>
      </w:r>
      <w:bookmarkEnd w:id="96"/>
      <w:bookmarkEnd w:id="97"/>
    </w:p>
    <w:p>
      <w:pPr>
        <w:adjustRightInd w:val="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买卖双方按照合同约定执行了合同，同时货物（或生产线）完成了试运行并经检验合格，则具备验收条件。</w:t>
      </w:r>
    </w:p>
    <w:p>
      <w:pPr>
        <w:numPr>
          <w:ilvl w:val="1"/>
          <w:numId w:val="20"/>
        </w:numPr>
        <w:adjustRightInd w:val="0"/>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预验收一般条件</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卖方已经按照“供货范围”要求提供了预验收资料，并且资料齐全、完整和有效。</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货物（或生产线）应运行稳定、可靠、安全，无非正常变形，非正常振动，无异常声音；无漏水、漏液、漏气（汽）、漏电等现象。运动的零部件（如链条、联轴器、离合器、主轴、工作台等）动作平稳、灵活运动准确。</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货物（或生产线）应完整且所有的零部件应该安装安全、牢固，外观无损伤，所有的焊缝饱满、无残渣等缺陷。</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一般情况下，所有的管路和线缆等，接头应完全正确、可靠地联接；应排列有序（正确、牢固、整齐），有必要的防护，无皱褶、收缩和裂缝等不良现象。</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货物（或生产线）的润滑系统工作正常、可靠，润滑点易于到达。</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使用的压力容器、电气等应具备合格证（如果有压力容器）</w:t>
      </w:r>
      <w:r>
        <w:rPr>
          <w:rFonts w:hint="eastAsia" w:ascii="仿宋" w:hAnsi="仿宋" w:eastAsia="仿宋" w:cs="仿宋"/>
          <w:sz w:val="24"/>
          <w:szCs w:val="24"/>
          <w:highlight w:val="none"/>
          <w:lang w:eastAsia="zh-CN"/>
        </w:rPr>
        <w:t>。</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货物（或生产线）的油漆质量应饱满、有光泽，无掉漆、无色差、无“桔皮”等不良现象（特殊标志除外）。</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货物（或生产线）标牌完整、清晰、明确。</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地线联接和地极符合国际（ISO/IEC）标准规范。</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货物（或生产线）的安全要求符合中国最新的相关法律、法规、标准和规范以及合同要求。</w:t>
      </w:r>
    </w:p>
    <w:p>
      <w:pPr>
        <w:numPr>
          <w:ilvl w:val="2"/>
          <w:numId w:val="20"/>
        </w:numPr>
        <w:adjustRightInd w:val="0"/>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预验收试件的发放：试件品种及数量由技术协议约定，试件由招标方发到中标方所产生的一切费用（或损失）由中标方承担。</w:t>
      </w:r>
    </w:p>
    <w:p>
      <w:pPr>
        <w:numPr>
          <w:ilvl w:val="1"/>
          <w:numId w:val="20"/>
        </w:numPr>
        <w:adjustRightInd w:val="0"/>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终验收一般条件</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经过预验收而且没有出现新的质量问题，或者满足预验收条款。</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货物（或生产线）安装调试完毕</w:t>
      </w:r>
      <w:r>
        <w:rPr>
          <w:rFonts w:hint="eastAsia" w:ascii="仿宋" w:hAnsi="仿宋" w:eastAsia="仿宋" w:cs="仿宋"/>
          <w:sz w:val="24"/>
          <w:szCs w:val="24"/>
          <w:highlight w:val="none"/>
          <w:lang w:eastAsia="zh-CN"/>
        </w:rPr>
        <w:t>。</w:t>
      </w:r>
    </w:p>
    <w:p>
      <w:pPr>
        <w:numPr>
          <w:ilvl w:val="2"/>
          <w:numId w:val="20"/>
        </w:numPr>
        <w:adjustRightInd w:val="0"/>
        <w:snapToGrid w:val="0"/>
        <w:spacing w:line="360" w:lineRule="auto"/>
        <w:ind w:left="709" w:leftChars="0" w:hanging="709" w:firstLineChars="0"/>
        <w:rPr>
          <w:rFonts w:ascii="仿宋" w:hAnsi="仿宋" w:eastAsia="仿宋" w:cs="仿宋"/>
          <w:b/>
          <w:bCs/>
          <w:sz w:val="24"/>
          <w:szCs w:val="24"/>
          <w:highlight w:val="none"/>
        </w:rPr>
      </w:pPr>
      <w:r>
        <w:rPr>
          <w:rFonts w:hint="eastAsia" w:ascii="仿宋" w:hAnsi="仿宋" w:eastAsia="仿宋" w:cs="仿宋"/>
          <w:b/>
          <w:bCs/>
          <w:sz w:val="24"/>
          <w:szCs w:val="24"/>
          <w:highlight w:val="none"/>
        </w:rPr>
        <w:t>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计量仪器、仪表配套合理，采用中国的法定计量单位，计量准确、灵敏可靠。保证设计指标和仪器说明书的参数的实现。</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试运行期间或之后无维修、调整等行为（特殊情况除外）。</w:t>
      </w:r>
    </w:p>
    <w:p>
      <w:pPr>
        <w:numPr>
          <w:ilvl w:val="2"/>
          <w:numId w:val="20"/>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货物（或生产线）质量、技术性能等，达到签定的技术协议书和合同规定的终验收标准。</w:t>
      </w:r>
    </w:p>
    <w:p>
      <w:pPr>
        <w:numPr>
          <w:ilvl w:val="2"/>
          <w:numId w:val="20"/>
        </w:numPr>
        <w:adjustRightInd w:val="0"/>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在终验收之前:提供平面布置图、设备安装基础图、设备总装配图、零部件总成装配图、电气等控制原理图、零部件图纸以上图纸要求尺寸、精度、公差及图纸编号等信息齐全并全部移交完成。(所有提供的图纸均应同步提供电子版)</w:t>
      </w:r>
    </w:p>
    <w:p>
      <w:pPr>
        <w:numPr>
          <w:ilvl w:val="2"/>
          <w:numId w:val="20"/>
        </w:numPr>
        <w:adjustRightInd w:val="0"/>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在终验收之前:提供设备全生命周期内的备品备件、易损件和专用耗材的明细清单并全部移交完成。</w:t>
      </w:r>
    </w:p>
    <w:p>
      <w:pPr>
        <w:keepNext/>
        <w:keepLines/>
        <w:widowControl w:val="0"/>
        <w:bidi w:val="0"/>
        <w:spacing w:before="10" w:after="10" w:line="360" w:lineRule="auto"/>
        <w:jc w:val="center"/>
        <w:outlineLvl w:val="1"/>
        <w:rPr>
          <w:rFonts w:ascii="Cambria" w:hAnsi="Cambria" w:eastAsia="仿宋" w:cs="Times New Roman"/>
          <w:b/>
          <w:bCs/>
          <w:kern w:val="0"/>
          <w:sz w:val="24"/>
          <w:szCs w:val="32"/>
          <w:lang w:val="en-US" w:eastAsia="zh-CN" w:bidi="ar-SA"/>
        </w:rPr>
      </w:pPr>
      <w:bookmarkStart w:id="98" w:name="_Toc2100"/>
      <w:bookmarkStart w:id="99" w:name="_Toc22843"/>
      <w:r>
        <w:rPr>
          <w:rFonts w:hint="eastAsia" w:ascii="Cambria" w:hAnsi="Cambria" w:eastAsia="仿宋" w:cs="Times New Roman"/>
          <w:b/>
          <w:bCs/>
          <w:kern w:val="0"/>
          <w:sz w:val="24"/>
          <w:szCs w:val="32"/>
          <w:lang w:val="en-US" w:eastAsia="zh-CN" w:bidi="ar-SA"/>
        </w:rPr>
        <w:t>第六节 终验收基本要求</w:t>
      </w:r>
      <w:bookmarkEnd w:id="98"/>
      <w:bookmarkEnd w:id="99"/>
    </w:p>
    <w:p>
      <w:pPr>
        <w:numPr>
          <w:ilvl w:val="1"/>
          <w:numId w:val="21"/>
        </w:numPr>
        <w:adjustRightInd w:val="0"/>
        <w:snapToGrid w:val="0"/>
        <w:spacing w:line="360" w:lineRule="auto"/>
        <w:ind w:left="567" w:leftChars="0" w:hanging="567"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货物（或生产线）允许情况下，一般先连续空运转8小时，然后再进行负荷运行。</w:t>
      </w:r>
    </w:p>
    <w:p>
      <w:pPr>
        <w:numPr>
          <w:ilvl w:val="1"/>
          <w:numId w:val="21"/>
        </w:numPr>
        <w:adjustRightInd w:val="0"/>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负荷运行时，货物（或生产线）应连续运行 5 天，每天连续 8 小时，除用户方面因素外，必须达到以下要求：</w:t>
      </w:r>
    </w:p>
    <w:p>
      <w:pPr>
        <w:numPr>
          <w:ilvl w:val="2"/>
          <w:numId w:val="21"/>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在整个验收过程中没有维修、更换零部件或元件行为</w:t>
      </w:r>
      <w:r>
        <w:rPr>
          <w:rFonts w:hint="eastAsia" w:ascii="仿宋" w:hAnsi="仿宋" w:eastAsia="仿宋" w:cs="仿宋"/>
          <w:sz w:val="24"/>
          <w:szCs w:val="24"/>
          <w:highlight w:val="none"/>
          <w:lang w:eastAsia="zh-CN"/>
        </w:rPr>
        <w:t>。</w:t>
      </w:r>
    </w:p>
    <w:p>
      <w:pPr>
        <w:numPr>
          <w:ilvl w:val="2"/>
          <w:numId w:val="21"/>
        </w:numPr>
        <w:adjustRightInd w:val="0"/>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所有出现的调整，每次调整时间均不超过120分钟</w:t>
      </w:r>
      <w:r>
        <w:rPr>
          <w:rFonts w:hint="eastAsia" w:ascii="仿宋" w:hAnsi="仿宋" w:eastAsia="仿宋" w:cs="仿宋"/>
          <w:sz w:val="24"/>
          <w:szCs w:val="24"/>
          <w:highlight w:val="none"/>
          <w:lang w:eastAsia="zh-CN"/>
        </w:rPr>
        <w:t>。</w:t>
      </w:r>
    </w:p>
    <w:p>
      <w:pPr>
        <w:numPr>
          <w:ilvl w:val="2"/>
          <w:numId w:val="21"/>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所有调整时间的总和不超过总运行时间的10%</w:t>
      </w:r>
      <w:r>
        <w:rPr>
          <w:rFonts w:hint="eastAsia" w:ascii="仿宋" w:hAnsi="仿宋" w:eastAsia="仿宋" w:cs="仿宋"/>
          <w:sz w:val="24"/>
          <w:szCs w:val="24"/>
          <w:highlight w:val="none"/>
          <w:lang w:eastAsia="zh-CN"/>
        </w:rPr>
        <w:t>。</w:t>
      </w:r>
    </w:p>
    <w:p>
      <w:pPr>
        <w:numPr>
          <w:ilvl w:val="2"/>
          <w:numId w:val="21"/>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累计负载运行实际性能（或生产率）达到合同规定</w:t>
      </w:r>
      <w:r>
        <w:rPr>
          <w:rFonts w:hint="eastAsia" w:ascii="仿宋" w:hAnsi="仿宋" w:eastAsia="仿宋" w:cs="仿宋"/>
          <w:sz w:val="24"/>
          <w:szCs w:val="24"/>
          <w:highlight w:val="none"/>
          <w:lang w:eastAsia="zh-CN"/>
        </w:rPr>
        <w:t>。</w:t>
      </w:r>
    </w:p>
    <w:p>
      <w:pPr>
        <w:numPr>
          <w:ilvl w:val="2"/>
          <w:numId w:val="21"/>
        </w:numPr>
        <w:adjustRightInd w:val="0"/>
        <w:snapToGrid w:val="0"/>
        <w:spacing w:line="360" w:lineRule="auto"/>
        <w:ind w:left="709" w:leftChars="0" w:hanging="709" w:firstLineChars="0"/>
        <w:rPr>
          <w:rFonts w:ascii="仿宋" w:hAnsi="仿宋" w:eastAsia="仿宋" w:cs="仿宋"/>
          <w:sz w:val="24"/>
          <w:szCs w:val="24"/>
          <w:highlight w:val="none"/>
        </w:rPr>
      </w:pPr>
      <w:r>
        <w:rPr>
          <w:rFonts w:hint="eastAsia" w:ascii="仿宋" w:hAnsi="仿宋" w:eastAsia="仿宋" w:cs="仿宋"/>
          <w:sz w:val="24"/>
          <w:szCs w:val="24"/>
          <w:highlight w:val="none"/>
        </w:rPr>
        <w:t>终验收原则上要求一次完成。若一次验收不成功，最多允许两次</w:t>
      </w:r>
      <w:r>
        <w:rPr>
          <w:rFonts w:hint="eastAsia" w:ascii="仿宋" w:hAnsi="仿宋" w:eastAsia="仿宋" w:cs="仿宋"/>
          <w:sz w:val="24"/>
          <w:szCs w:val="24"/>
          <w:highlight w:val="none"/>
          <w:lang w:eastAsia="zh-CN"/>
        </w:rPr>
        <w:t>。</w:t>
      </w:r>
    </w:p>
    <w:p>
      <w:pPr>
        <w:numPr>
          <w:ilvl w:val="2"/>
          <w:numId w:val="21"/>
        </w:numPr>
        <w:adjustRightInd w:val="0"/>
        <w:snapToGrid w:val="0"/>
        <w:spacing w:line="360" w:lineRule="auto"/>
        <w:ind w:left="709" w:leftChars="0" w:hanging="709"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终验收通过后签署终验收报告（终验收报告以买方提供的签署完毕并盖章的《新增设备安装竣工验收转资单》为准），并移交、核对全部供货范围内物品。</w:t>
      </w:r>
    </w:p>
    <w:p>
      <w:pPr>
        <w:rPr>
          <w:rFonts w:hint="eastAsia" w:ascii="Times New Roman" w:hAnsi="Times New Roman" w:eastAsia="宋体" w:cs="Times New Roman"/>
          <w:sz w:val="24"/>
          <w:szCs w:val="24"/>
        </w:rPr>
      </w:pPr>
      <w:r>
        <w:rPr>
          <w:rFonts w:hint="eastAsia" w:ascii="仿宋" w:hAnsi="仿宋" w:eastAsia="仿宋" w:cs="仿宋"/>
          <w:sz w:val="24"/>
          <w:szCs w:val="24"/>
          <w:highlight w:val="none"/>
        </w:rPr>
        <w:br w:type="page"/>
      </w:r>
    </w:p>
    <w:p>
      <w:pPr>
        <w:keepNext/>
        <w:keepLines/>
        <w:widowControl w:val="0"/>
        <w:bidi w:val="0"/>
        <w:spacing w:before="50" w:beforeLines="50" w:after="50" w:afterLines="50" w:line="360" w:lineRule="auto"/>
        <w:jc w:val="center"/>
        <w:outlineLvl w:val="0"/>
        <w:rPr>
          <w:rFonts w:ascii="Times New Roman" w:hAnsi="Times New Roman" w:eastAsia="仿宋" w:cs="Times New Roman"/>
          <w:b/>
          <w:bCs/>
          <w:kern w:val="44"/>
          <w:sz w:val="24"/>
          <w:szCs w:val="44"/>
          <w:lang w:val="en-US" w:eastAsia="zh-CN" w:bidi="ar-SA"/>
        </w:rPr>
      </w:pPr>
      <w:bookmarkStart w:id="100" w:name="_Toc14988"/>
      <w:bookmarkStart w:id="101" w:name="_Toc27198"/>
      <w:r>
        <w:rPr>
          <w:rFonts w:hint="eastAsia" w:ascii="Times New Roman" w:hAnsi="Times New Roman" w:eastAsia="仿宋" w:cs="Times New Roman"/>
          <w:b/>
          <w:bCs/>
          <w:kern w:val="44"/>
          <w:sz w:val="24"/>
          <w:szCs w:val="44"/>
          <w:lang w:val="en-US" w:eastAsia="zh-CN" w:bidi="ar-SA"/>
        </w:rPr>
        <w:t>第六章 投标技术文件一般要求</w:t>
      </w:r>
      <w:bookmarkEnd w:id="100"/>
      <w:bookmarkEnd w:id="101"/>
    </w:p>
    <w:p>
      <w:pPr>
        <w:numPr>
          <w:ilvl w:val="0"/>
          <w:numId w:val="22"/>
        </w:numPr>
        <w:adjustRightInd w:val="0"/>
        <w:snapToGrid w:val="0"/>
        <w:spacing w:line="360" w:lineRule="auto"/>
        <w:ind w:left="425" w:leftChars="0" w:hanging="425" w:firstLineChars="0"/>
        <w:rPr>
          <w:rFonts w:ascii="仿宋" w:hAnsi="仿宋" w:eastAsia="仿宋" w:cs="仿宋"/>
          <w:sz w:val="24"/>
          <w:szCs w:val="24"/>
          <w:highlight w:val="none"/>
        </w:rPr>
      </w:pPr>
      <w:r>
        <w:rPr>
          <w:rFonts w:hint="eastAsia" w:ascii="仿宋" w:hAnsi="仿宋" w:eastAsia="仿宋" w:cs="仿宋"/>
          <w:sz w:val="24"/>
          <w:szCs w:val="24"/>
          <w:highlight w:val="none"/>
        </w:rPr>
        <w:t>投标方应认真阅读招标文件和本技术标书，并按要求编写投标技术文件。</w:t>
      </w:r>
    </w:p>
    <w:p>
      <w:pPr>
        <w:numPr>
          <w:ilvl w:val="0"/>
          <w:numId w:val="22"/>
        </w:numPr>
        <w:adjustRightInd w:val="0"/>
        <w:snapToGrid w:val="0"/>
        <w:spacing w:line="360" w:lineRule="auto"/>
        <w:ind w:left="425" w:leftChars="0" w:hanging="425" w:firstLineChars="0"/>
        <w:rPr>
          <w:rFonts w:ascii="仿宋" w:hAnsi="仿宋" w:eastAsia="仿宋" w:cs="仿宋"/>
          <w:sz w:val="24"/>
          <w:szCs w:val="24"/>
          <w:highlight w:val="none"/>
        </w:rPr>
      </w:pPr>
      <w:r>
        <w:rPr>
          <w:rFonts w:hint="eastAsia" w:ascii="仿宋" w:hAnsi="仿宋" w:eastAsia="仿宋" w:cs="仿宋"/>
          <w:sz w:val="24"/>
          <w:szCs w:val="24"/>
          <w:highlight w:val="none"/>
        </w:rPr>
        <w:t>投标技术文件至少应对投标货物（或生产线）的“技术偏离”、“商务偏离”作出有无说明；若有，应予以详细填写和说明。</w:t>
      </w:r>
    </w:p>
    <w:p>
      <w:pPr>
        <w:numPr>
          <w:ilvl w:val="0"/>
          <w:numId w:val="22"/>
        </w:numPr>
        <w:adjustRightInd w:val="0"/>
        <w:snapToGrid w:val="0"/>
        <w:spacing w:line="360" w:lineRule="auto"/>
        <w:ind w:left="425" w:leftChars="0" w:hanging="425" w:firstLineChars="0"/>
        <w:rPr>
          <w:rFonts w:ascii="仿宋" w:hAnsi="仿宋" w:eastAsia="仿宋" w:cs="仿宋"/>
          <w:sz w:val="24"/>
          <w:szCs w:val="24"/>
          <w:highlight w:val="none"/>
        </w:rPr>
      </w:pPr>
      <w:r>
        <w:rPr>
          <w:rFonts w:hint="eastAsia" w:ascii="仿宋" w:hAnsi="仿宋" w:eastAsia="仿宋" w:cs="仿宋"/>
          <w:sz w:val="24"/>
          <w:szCs w:val="24"/>
          <w:highlight w:val="none"/>
        </w:rPr>
        <w:t>投标技术文件至少应对投标货物（或生产线）的功能用途、技术性能、质量标准、技术参数等作出详细说明。</w:t>
      </w:r>
    </w:p>
    <w:p>
      <w:pPr>
        <w:numPr>
          <w:ilvl w:val="0"/>
          <w:numId w:val="22"/>
        </w:numPr>
        <w:adjustRightInd w:val="0"/>
        <w:snapToGrid w:val="0"/>
        <w:spacing w:line="360" w:lineRule="auto"/>
        <w:ind w:left="425" w:leftChars="0" w:hanging="425" w:firstLineChars="0"/>
        <w:rPr>
          <w:rFonts w:ascii="仿宋" w:hAnsi="仿宋" w:eastAsia="仿宋" w:cs="仿宋"/>
          <w:sz w:val="24"/>
          <w:szCs w:val="24"/>
          <w:highlight w:val="none"/>
        </w:rPr>
      </w:pPr>
      <w:r>
        <w:rPr>
          <w:rFonts w:hint="eastAsia" w:ascii="仿宋" w:hAnsi="仿宋" w:eastAsia="仿宋" w:cs="仿宋"/>
          <w:sz w:val="24"/>
          <w:szCs w:val="24"/>
          <w:highlight w:val="none"/>
        </w:rPr>
        <w:t>投标技术文件至少应根据投标货物（或生产线）的关键设备、总成、零部件或系统作出优越性说明。</w:t>
      </w:r>
    </w:p>
    <w:p>
      <w:pPr>
        <w:numPr>
          <w:ilvl w:val="0"/>
          <w:numId w:val="22"/>
        </w:numPr>
        <w:adjustRightInd w:val="0"/>
        <w:snapToGrid w:val="0"/>
        <w:spacing w:line="360" w:lineRule="auto"/>
        <w:ind w:left="425" w:leftChars="0" w:hanging="425" w:firstLineChars="0"/>
        <w:rPr>
          <w:rFonts w:ascii="仿宋" w:hAnsi="仿宋" w:eastAsia="仿宋" w:cs="仿宋"/>
          <w:sz w:val="24"/>
          <w:szCs w:val="24"/>
          <w:highlight w:val="none"/>
        </w:rPr>
      </w:pPr>
      <w:r>
        <w:rPr>
          <w:rFonts w:hint="eastAsia" w:ascii="仿宋" w:hAnsi="仿宋" w:eastAsia="仿宋" w:cs="仿宋"/>
          <w:sz w:val="24"/>
          <w:szCs w:val="24"/>
          <w:highlight w:val="none"/>
        </w:rPr>
        <w:t>投标技术文件至少应根据投标货物（或生产线）的配置，按照备品备件、易损件和专用耗材明细表要求以及投标货物（或生产线）主要配置一览表要求（见下表），认真全面填写。</w:t>
      </w:r>
    </w:p>
    <w:p>
      <w:pPr>
        <w:adjustRightInd w:val="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投标货物（或生产线）主要配置一览表单位：元</w:t>
      </w:r>
    </w:p>
    <w:tbl>
      <w:tblPr>
        <w:tblStyle w:val="36"/>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8" w:type="dxa"/>
          </w:tcPr>
          <w:p>
            <w:pPr>
              <w:adjustRightInd w:val="0"/>
              <w:snapToGrid w:val="0"/>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名称</w:t>
            </w:r>
          </w:p>
        </w:tc>
        <w:tc>
          <w:tcPr>
            <w:tcW w:w="1940" w:type="dxa"/>
          </w:tcPr>
          <w:p>
            <w:pPr>
              <w:adjustRightInd w:val="0"/>
              <w:snapToGrid w:val="0"/>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型号规格</w:t>
            </w:r>
          </w:p>
        </w:tc>
        <w:tc>
          <w:tcPr>
            <w:tcW w:w="697" w:type="dxa"/>
          </w:tcPr>
          <w:p>
            <w:pPr>
              <w:adjustRightInd w:val="0"/>
              <w:snapToGrid w:val="0"/>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单位</w:t>
            </w:r>
          </w:p>
        </w:tc>
        <w:tc>
          <w:tcPr>
            <w:tcW w:w="697" w:type="dxa"/>
          </w:tcPr>
          <w:p>
            <w:pPr>
              <w:adjustRightInd w:val="0"/>
              <w:snapToGrid w:val="0"/>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697" w:type="dxa"/>
          </w:tcPr>
          <w:p>
            <w:pPr>
              <w:adjustRightInd w:val="0"/>
              <w:snapToGrid w:val="0"/>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697" w:type="dxa"/>
          </w:tcPr>
          <w:p>
            <w:pPr>
              <w:adjustRightInd w:val="0"/>
              <w:snapToGrid w:val="0"/>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1665" w:type="dxa"/>
          </w:tcPr>
          <w:p>
            <w:pPr>
              <w:adjustRightInd w:val="0"/>
              <w:snapToGrid w:val="0"/>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sz w:val="24"/>
                <w:szCs w:val="24"/>
                <w:highlight w:val="none"/>
              </w:rPr>
            </w:pPr>
          </w:p>
        </w:tc>
        <w:tc>
          <w:tcPr>
            <w:tcW w:w="1940"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1665" w:type="dxa"/>
          </w:tcPr>
          <w:p>
            <w:pPr>
              <w:adjustRightInd w:val="0"/>
              <w:snapToGrid w:val="0"/>
              <w:spacing w:line="360" w:lineRule="auto"/>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sz w:val="24"/>
                <w:szCs w:val="24"/>
                <w:highlight w:val="none"/>
              </w:rPr>
            </w:pPr>
          </w:p>
        </w:tc>
        <w:tc>
          <w:tcPr>
            <w:tcW w:w="1940"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1665" w:type="dxa"/>
          </w:tcPr>
          <w:p>
            <w:pPr>
              <w:adjustRightInd w:val="0"/>
              <w:snapToGrid w:val="0"/>
              <w:spacing w:line="360" w:lineRule="auto"/>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sz w:val="24"/>
                <w:szCs w:val="24"/>
                <w:highlight w:val="none"/>
              </w:rPr>
            </w:pPr>
          </w:p>
        </w:tc>
        <w:tc>
          <w:tcPr>
            <w:tcW w:w="1940"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1665" w:type="dxa"/>
          </w:tcPr>
          <w:p>
            <w:pPr>
              <w:adjustRightInd w:val="0"/>
              <w:snapToGrid w:val="0"/>
              <w:spacing w:line="360" w:lineRule="auto"/>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sz w:val="24"/>
                <w:szCs w:val="24"/>
                <w:highlight w:val="none"/>
              </w:rPr>
            </w:pPr>
          </w:p>
        </w:tc>
        <w:tc>
          <w:tcPr>
            <w:tcW w:w="1940"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1665" w:type="dxa"/>
          </w:tcPr>
          <w:p>
            <w:pPr>
              <w:adjustRightInd w:val="0"/>
              <w:snapToGrid w:val="0"/>
              <w:spacing w:line="360" w:lineRule="auto"/>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sz w:val="24"/>
                <w:szCs w:val="24"/>
                <w:highlight w:val="none"/>
              </w:rPr>
            </w:pPr>
          </w:p>
        </w:tc>
        <w:tc>
          <w:tcPr>
            <w:tcW w:w="1940"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697" w:type="dxa"/>
          </w:tcPr>
          <w:p>
            <w:pPr>
              <w:adjustRightInd w:val="0"/>
              <w:snapToGrid w:val="0"/>
              <w:spacing w:line="360" w:lineRule="auto"/>
              <w:rPr>
                <w:rFonts w:ascii="仿宋" w:hAnsi="仿宋" w:eastAsia="仿宋" w:cs="仿宋"/>
                <w:sz w:val="24"/>
                <w:szCs w:val="24"/>
                <w:highlight w:val="none"/>
              </w:rPr>
            </w:pPr>
          </w:p>
        </w:tc>
        <w:tc>
          <w:tcPr>
            <w:tcW w:w="1665" w:type="dxa"/>
          </w:tcPr>
          <w:p>
            <w:pPr>
              <w:adjustRightInd w:val="0"/>
              <w:snapToGrid w:val="0"/>
              <w:spacing w:line="360" w:lineRule="auto"/>
              <w:rPr>
                <w:rFonts w:ascii="仿宋" w:hAnsi="仿宋" w:eastAsia="仿宋" w:cs="仿宋"/>
                <w:sz w:val="24"/>
                <w:szCs w:val="24"/>
                <w:highlight w:val="none"/>
              </w:rPr>
            </w:pPr>
          </w:p>
        </w:tc>
      </w:tr>
    </w:tbl>
    <w:p>
      <w:pPr>
        <w:adjustRightInd w:val="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备注：本表作为投标方编制投标技术文件的一般格式。表中应当尽可能将配置列全、列细，这将有助于投标方胜出。</w:t>
      </w:r>
    </w:p>
    <w:p>
      <w:pPr>
        <w:numPr>
          <w:ilvl w:val="0"/>
          <w:numId w:val="23"/>
        </w:numPr>
        <w:adjustRightInd w:val="0"/>
        <w:snapToGrid w:val="0"/>
        <w:spacing w:line="360" w:lineRule="auto"/>
        <w:ind w:left="425" w:leftChars="0" w:hanging="425" w:firstLineChars="0"/>
        <w:rPr>
          <w:rFonts w:ascii="仿宋" w:hAnsi="仿宋" w:eastAsia="仿宋" w:cs="仿宋"/>
          <w:sz w:val="24"/>
          <w:szCs w:val="24"/>
          <w:highlight w:val="none"/>
        </w:rPr>
      </w:pPr>
      <w:r>
        <w:rPr>
          <w:rFonts w:hint="eastAsia" w:ascii="仿宋" w:hAnsi="仿宋" w:eastAsia="仿宋" w:cs="仿宋"/>
          <w:sz w:val="24"/>
          <w:szCs w:val="24"/>
          <w:highlight w:val="none"/>
        </w:rPr>
        <w:t>投标技术文件至少应对招标文件和本技术标书所提出的要求，将投标方认为难以满足的条款和要求，予以明确和详细的说明或澄清。</w:t>
      </w:r>
    </w:p>
    <w:p>
      <w:pPr>
        <w:numPr>
          <w:ilvl w:val="0"/>
          <w:numId w:val="23"/>
        </w:numPr>
        <w:adjustRightInd w:val="0"/>
        <w:snapToGrid w:val="0"/>
        <w:spacing w:line="360" w:lineRule="auto"/>
        <w:ind w:left="425" w:leftChars="0" w:hanging="425" w:firstLineChars="0"/>
        <w:rPr>
          <w:rFonts w:ascii="仿宋" w:hAnsi="仿宋" w:eastAsia="仿宋" w:cs="仿宋"/>
          <w:sz w:val="24"/>
          <w:szCs w:val="24"/>
          <w:highlight w:val="none"/>
        </w:rPr>
      </w:pPr>
      <w:r>
        <w:rPr>
          <w:rFonts w:hint="eastAsia" w:ascii="仿宋" w:hAnsi="仿宋" w:eastAsia="仿宋" w:cs="仿宋"/>
          <w:sz w:val="24"/>
          <w:szCs w:val="24"/>
          <w:highlight w:val="none"/>
        </w:rPr>
        <w:t>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numPr>
          <w:ilvl w:val="0"/>
          <w:numId w:val="23"/>
        </w:numPr>
        <w:adjustRightInd w:val="0"/>
        <w:snapToGrid w:val="0"/>
        <w:spacing w:line="360" w:lineRule="auto"/>
        <w:ind w:left="425" w:leftChars="0" w:hanging="425" w:firstLineChars="0"/>
        <w:rPr>
          <w:rFonts w:ascii="仿宋" w:hAnsi="仿宋" w:eastAsia="仿宋" w:cs="仿宋"/>
          <w:sz w:val="24"/>
          <w:szCs w:val="24"/>
          <w:highlight w:val="none"/>
        </w:rPr>
      </w:pPr>
      <w:r>
        <w:rPr>
          <w:rFonts w:hint="eastAsia" w:ascii="仿宋" w:hAnsi="仿宋" w:eastAsia="仿宋" w:cs="仿宋"/>
          <w:sz w:val="24"/>
          <w:szCs w:val="24"/>
          <w:highlight w:val="none"/>
        </w:rPr>
        <w:t>供货范围内的物品或服务，应当尽可能详细且分类填入配置表，其费用应当计入投标总报价之内。如果出现不一致的报价，将有可能导致废标。</w:t>
      </w:r>
    </w:p>
    <w:p>
      <w:pPr>
        <w:numPr>
          <w:ilvl w:val="0"/>
          <w:numId w:val="23"/>
        </w:numPr>
        <w:adjustRightInd w:val="0"/>
        <w:snapToGrid w:val="0"/>
        <w:spacing w:line="360" w:lineRule="auto"/>
        <w:ind w:left="425" w:leftChars="0" w:hanging="425" w:firstLineChars="0"/>
        <w:rPr>
          <w:rFonts w:ascii="仿宋" w:hAnsi="仿宋" w:eastAsia="仿宋" w:cs="仿宋"/>
          <w:sz w:val="24"/>
          <w:szCs w:val="24"/>
          <w:highlight w:val="none"/>
        </w:rPr>
      </w:pPr>
      <w:r>
        <w:rPr>
          <w:rFonts w:hint="eastAsia" w:ascii="仿宋" w:hAnsi="仿宋" w:eastAsia="仿宋" w:cs="仿宋"/>
          <w:sz w:val="24"/>
          <w:szCs w:val="24"/>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pPr>
        <w:numPr>
          <w:ilvl w:val="0"/>
          <w:numId w:val="23"/>
        </w:numPr>
        <w:adjustRightInd w:val="0"/>
        <w:snapToGrid w:val="0"/>
        <w:spacing w:line="360" w:lineRule="auto"/>
        <w:ind w:left="425" w:leftChars="0" w:hanging="425" w:firstLineChars="0"/>
        <w:outlineLvl w:val="1"/>
        <w:rPr>
          <w:rFonts w:hint="eastAsia" w:ascii="仿宋" w:hAnsi="仿宋" w:eastAsia="仿宋" w:cs="仿宋"/>
          <w:sz w:val="24"/>
          <w:szCs w:val="24"/>
          <w:highlight w:val="none"/>
        </w:rPr>
      </w:pPr>
      <w:bookmarkStart w:id="102" w:name="_Toc20560"/>
      <w:r>
        <w:rPr>
          <w:rFonts w:hint="eastAsia" w:ascii="仿宋" w:hAnsi="仿宋" w:eastAsia="仿宋" w:cs="仿宋"/>
          <w:sz w:val="24"/>
          <w:szCs w:val="24"/>
          <w:highlight w:val="none"/>
        </w:rPr>
        <w:t>带 ★ 号条款为否定项条款。</w:t>
      </w:r>
      <w:bookmarkEnd w:id="102"/>
    </w:p>
    <w:p>
      <w:pPr>
        <w:rPr>
          <w:rFonts w:ascii="Times New Roman" w:hAnsi="Times New Roman" w:eastAsia="宋体" w:cs="Times New Roman"/>
          <w:sz w:val="24"/>
          <w:szCs w:val="24"/>
        </w:rPr>
      </w:pPr>
      <w:r>
        <w:rPr>
          <w:rFonts w:hint="eastAsia" w:ascii="仿宋" w:hAnsi="仿宋" w:eastAsia="仿宋" w:cs="仿宋"/>
          <w:sz w:val="24"/>
          <w:szCs w:val="24"/>
          <w:highlight w:val="none"/>
        </w:rPr>
        <w:br w:type="page"/>
      </w:r>
    </w:p>
    <w:p>
      <w:pPr>
        <w:keepNext/>
        <w:keepLines/>
        <w:widowControl w:val="0"/>
        <w:bidi w:val="0"/>
        <w:spacing w:before="50" w:beforeLines="50" w:after="50" w:afterLines="50" w:line="360" w:lineRule="auto"/>
        <w:jc w:val="center"/>
        <w:outlineLvl w:val="0"/>
        <w:rPr>
          <w:rFonts w:ascii="Times New Roman" w:hAnsi="Times New Roman" w:eastAsia="仿宋" w:cs="Times New Roman"/>
          <w:b/>
          <w:bCs/>
          <w:kern w:val="44"/>
          <w:sz w:val="24"/>
          <w:szCs w:val="44"/>
          <w:lang w:val="en-US" w:eastAsia="zh-CN" w:bidi="ar-SA"/>
        </w:rPr>
      </w:pPr>
      <w:bookmarkStart w:id="103" w:name="_Toc13750"/>
      <w:bookmarkStart w:id="104" w:name="_Toc31622"/>
      <w:r>
        <w:rPr>
          <w:rFonts w:hint="eastAsia" w:ascii="Times New Roman" w:hAnsi="Times New Roman" w:eastAsia="仿宋" w:cs="Times New Roman"/>
          <w:b/>
          <w:bCs/>
          <w:kern w:val="44"/>
          <w:sz w:val="24"/>
          <w:szCs w:val="44"/>
          <w:lang w:val="en-US" w:eastAsia="zh-CN" w:bidi="ar-SA"/>
        </w:rPr>
        <w:t>第七章 其它要求</w:t>
      </w:r>
      <w:bookmarkEnd w:id="103"/>
      <w:bookmarkEnd w:id="104"/>
    </w:p>
    <w:p>
      <w:pPr>
        <w:keepNext/>
        <w:keepLines/>
        <w:widowControl w:val="0"/>
        <w:bidi w:val="0"/>
        <w:spacing w:before="10" w:after="10" w:line="360" w:lineRule="auto"/>
        <w:jc w:val="center"/>
        <w:outlineLvl w:val="1"/>
        <w:rPr>
          <w:rFonts w:ascii="Cambria" w:hAnsi="Cambria" w:eastAsia="仿宋" w:cs="Times New Roman"/>
          <w:b/>
          <w:bCs/>
          <w:kern w:val="0"/>
          <w:sz w:val="24"/>
          <w:szCs w:val="32"/>
          <w:lang w:val="en-US" w:eastAsia="zh-CN" w:bidi="ar-SA"/>
        </w:rPr>
      </w:pPr>
      <w:bookmarkStart w:id="105" w:name="_Toc1093"/>
      <w:bookmarkStart w:id="106" w:name="_Toc21986"/>
      <w:r>
        <w:rPr>
          <w:rFonts w:hint="eastAsia" w:ascii="Cambria" w:hAnsi="Cambria" w:eastAsia="仿宋" w:cs="Times New Roman"/>
          <w:b/>
          <w:bCs/>
          <w:kern w:val="0"/>
          <w:sz w:val="24"/>
          <w:szCs w:val="32"/>
          <w:lang w:val="en-US" w:eastAsia="zh-CN" w:bidi="ar-SA"/>
        </w:rPr>
        <w:t>第一节 特殊要求</w:t>
      </w:r>
      <w:bookmarkEnd w:id="105"/>
      <w:bookmarkEnd w:id="106"/>
    </w:p>
    <w:p>
      <w:pPr>
        <w:widowControl w:val="0"/>
        <w:snapToGrid w:val="0"/>
        <w:spacing w:line="360" w:lineRule="auto"/>
        <w:ind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为保证本技术标书所列采购货物（或生产线）的质量以及先进性、可靠性、经济性和实用性，要求投标方在投标文件中，至少应具备以下资格证明文件或资料：</w:t>
      </w:r>
    </w:p>
    <w:p>
      <w:pPr>
        <w:numPr>
          <w:ilvl w:val="1"/>
          <w:numId w:val="24"/>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投标方应是通过有关资格认证的单位，因此应附有有效期内的资格认证证书，如：ISO9001、VDA6.1、QS9000等。</w:t>
      </w:r>
    </w:p>
    <w:p>
      <w:pPr>
        <w:numPr>
          <w:ilvl w:val="1"/>
          <w:numId w:val="24"/>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国产设备应附有采购货物（或设备）涉及的由“中国质量认证中心”颁发的《中国国家强制性产品认证证书》（CCC证书）。</w:t>
      </w:r>
    </w:p>
    <w:p>
      <w:pPr>
        <w:numPr>
          <w:ilvl w:val="1"/>
          <w:numId w:val="24"/>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pPr>
        <w:numPr>
          <w:ilvl w:val="1"/>
          <w:numId w:val="24"/>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应附有其它与投标单位、采购货物（或生产线）有关的荣誉证书或资料。</w:t>
      </w:r>
    </w:p>
    <w:p>
      <w:pPr>
        <w:numPr>
          <w:ilvl w:val="1"/>
          <w:numId w:val="24"/>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应附有中国相关国家部委颁发的有效期之内所必需的《生产许可证》。</w:t>
      </w:r>
    </w:p>
    <w:p>
      <w:pPr>
        <w:numPr>
          <w:ilvl w:val="1"/>
          <w:numId w:val="24"/>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应附有必要的采购货物（或设备）的相关检验、试验报告，如：《型式试验的检验报告》、《产品鉴定证书》、《新技术成果证书》等。</w:t>
      </w:r>
    </w:p>
    <w:p>
      <w:pPr>
        <w:numPr>
          <w:ilvl w:val="1"/>
          <w:numId w:val="24"/>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投标方必须附有采购货物（或设备）涉及国家规定必须进行的检验、试验报告等。</w:t>
      </w:r>
    </w:p>
    <w:p>
      <w:pPr>
        <w:numPr>
          <w:ilvl w:val="1"/>
          <w:numId w:val="24"/>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pPr>
        <w:keepNext/>
        <w:keepLines/>
        <w:widowControl w:val="0"/>
        <w:bidi w:val="0"/>
        <w:spacing w:before="10" w:after="10" w:line="360" w:lineRule="auto"/>
        <w:jc w:val="center"/>
        <w:outlineLvl w:val="1"/>
        <w:rPr>
          <w:rFonts w:ascii="Cambria" w:hAnsi="Cambria" w:eastAsia="仿宋" w:cs="Times New Roman"/>
          <w:b/>
          <w:bCs/>
          <w:kern w:val="0"/>
          <w:sz w:val="24"/>
          <w:szCs w:val="32"/>
          <w:lang w:val="en-US" w:eastAsia="zh-CN" w:bidi="ar-SA"/>
        </w:rPr>
      </w:pPr>
      <w:bookmarkStart w:id="107" w:name="_Toc16478"/>
      <w:bookmarkStart w:id="108" w:name="_Toc14539"/>
      <w:r>
        <w:rPr>
          <w:rFonts w:hint="eastAsia" w:ascii="Cambria" w:hAnsi="Cambria" w:eastAsia="仿宋" w:cs="Times New Roman"/>
          <w:b/>
          <w:bCs/>
          <w:kern w:val="0"/>
          <w:sz w:val="24"/>
          <w:szCs w:val="32"/>
          <w:lang w:val="en-US" w:eastAsia="zh-CN" w:bidi="ar-SA"/>
        </w:rPr>
        <w:t>第二节 说明</w:t>
      </w:r>
      <w:bookmarkEnd w:id="107"/>
      <w:bookmarkEnd w:id="108"/>
    </w:p>
    <w:p>
      <w:pPr>
        <w:numPr>
          <w:ilvl w:val="1"/>
          <w:numId w:val="25"/>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投标方可以根据自身的技术、经验等优势以及对招标文件和本技术标书的理解，写明对招标方所采购货物（或生产线）的优化方案或建议意见。投标方的这些努力，招标方表示感谢，并将有助于投标方优先胜出。</w:t>
      </w:r>
    </w:p>
    <w:p>
      <w:pPr>
        <w:numPr>
          <w:ilvl w:val="1"/>
          <w:numId w:val="25"/>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即使有建议意见或建议方案，仍应依据招标文件和本技术标书要求，编写符合要求的投标文件。建议方案或建议意见，应以单独篇章或文件，予以说明。</w:t>
      </w:r>
    </w:p>
    <w:p>
      <w:pPr>
        <w:numPr>
          <w:ilvl w:val="1"/>
          <w:numId w:val="25"/>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请投标方仔细阅读“采购货物概况”章节内说明，针对允许分投分中的货物（或生产线），招标方有权利选择其中优秀设备或服务，作为投标方合同供货范围中的指定选用设备或服务（替代投标方分投而未中标部分）。</w:t>
      </w:r>
    </w:p>
    <w:p>
      <w:pPr>
        <w:numPr>
          <w:ilvl w:val="1"/>
          <w:numId w:val="25"/>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招标文件、投标文件、答疑文件、技术交流文件、技术协议书等，在招标过程全部为有效文件，如有差异，以对招标方或买方最有利的条款为准。</w:t>
      </w:r>
    </w:p>
    <w:p>
      <w:pPr>
        <w:numPr>
          <w:ilvl w:val="1"/>
          <w:numId w:val="25"/>
        </w:numPr>
        <w:snapToGrid w:val="0"/>
        <w:spacing w:line="360" w:lineRule="auto"/>
        <w:ind w:left="567" w:leftChars="0" w:hanging="567" w:firstLineChars="0"/>
        <w:rPr>
          <w:rFonts w:ascii="仿宋" w:hAnsi="仿宋" w:eastAsia="仿宋" w:cs="仿宋"/>
          <w:sz w:val="24"/>
          <w:szCs w:val="24"/>
          <w:highlight w:val="none"/>
        </w:rPr>
      </w:pPr>
      <w:r>
        <w:rPr>
          <w:rFonts w:hint="eastAsia" w:ascii="仿宋" w:hAnsi="仿宋" w:eastAsia="仿宋" w:cs="仿宋"/>
          <w:sz w:val="24"/>
          <w:szCs w:val="24"/>
          <w:highlight w:val="none"/>
        </w:rPr>
        <w:t>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snapToGrid w:val="0"/>
        <w:spacing w:line="360" w:lineRule="auto"/>
        <w:ind w:firstLine="480" w:firstLineChars="200"/>
        <w:rPr>
          <w:rFonts w:ascii="仿宋" w:hAnsi="仿宋" w:eastAsia="仿宋" w:cs="仿宋"/>
          <w:sz w:val="24"/>
          <w:szCs w:val="24"/>
          <w:highlight w:val="none"/>
        </w:rPr>
      </w:pPr>
    </w:p>
    <w:p>
      <w:pPr>
        <w:snapToGrid w:val="0"/>
        <w:spacing w:line="360" w:lineRule="auto"/>
        <w:ind w:firstLine="480" w:firstLineChars="200"/>
        <w:rPr>
          <w:rFonts w:ascii="仿宋" w:hAnsi="仿宋" w:eastAsia="仿宋" w:cs="仿宋"/>
          <w:sz w:val="24"/>
          <w:szCs w:val="24"/>
          <w:highlight w:val="none"/>
        </w:rPr>
      </w:pPr>
    </w:p>
    <w:p>
      <w:pPr>
        <w:snapToGrid w:val="0"/>
        <w:spacing w:line="360" w:lineRule="auto"/>
        <w:rPr>
          <w:rFonts w:ascii="仿宋" w:hAnsi="仿宋" w:eastAsia="仿宋" w:cs="仿宋"/>
          <w:sz w:val="24"/>
          <w:szCs w:val="24"/>
          <w:highlight w:val="none"/>
        </w:rPr>
      </w:pPr>
    </w:p>
    <w:p>
      <w:pPr>
        <w:snapToGrid w:val="0"/>
        <w:spacing w:line="360" w:lineRule="auto"/>
        <w:rPr>
          <w:rFonts w:ascii="仿宋" w:hAnsi="仿宋" w:eastAsia="仿宋" w:cs="仿宋"/>
          <w:color w:val="000000" w:themeColor="text1"/>
          <w:highlight w:val="none"/>
          <w14:textFill>
            <w14:solidFill>
              <w14:schemeClr w14:val="tx1"/>
            </w14:solidFill>
          </w14:textFill>
        </w:rPr>
      </w:pPr>
    </w:p>
    <w:bookmarkEnd w:id="33"/>
    <w:p>
      <w:pPr>
        <w:adjustRightInd w:val="0"/>
        <w:snapToGrid w:val="0"/>
        <w:spacing w:line="360" w:lineRule="auto"/>
        <w:jc w:val="center"/>
        <w:rPr>
          <w:rFonts w:ascii="方正小标宋简体" w:hAnsi="宋体" w:eastAsia="方正小标宋简体"/>
          <w:bCs/>
          <w:sz w:val="52"/>
          <w:szCs w:val="36"/>
        </w:rPr>
      </w:pPr>
    </w:p>
    <w:p>
      <w:pPr>
        <w:pStyle w:val="2"/>
        <w:rPr>
          <w:rFonts w:ascii="方正小标宋简体" w:hAnsi="宋体" w:eastAsia="方正小标宋简体"/>
          <w:bCs/>
          <w:sz w:val="52"/>
          <w:szCs w:val="36"/>
        </w:rPr>
      </w:pPr>
    </w:p>
    <w:p>
      <w:pPr>
        <w:pStyle w:val="2"/>
        <w:rPr>
          <w:rFonts w:ascii="方正小标宋简体" w:hAnsi="宋体" w:eastAsia="方正小标宋简体"/>
          <w:bCs/>
          <w:sz w:val="52"/>
          <w:szCs w:val="36"/>
        </w:rPr>
      </w:pPr>
    </w:p>
    <w:p>
      <w:pPr>
        <w:pStyle w:val="2"/>
        <w:rPr>
          <w:rFonts w:ascii="方正小标宋简体" w:hAnsi="宋体" w:eastAsia="方正小标宋简体"/>
          <w:bCs/>
          <w:sz w:val="52"/>
          <w:szCs w:val="36"/>
        </w:rPr>
      </w:pPr>
    </w:p>
    <w:p>
      <w:pPr>
        <w:pStyle w:val="2"/>
        <w:rPr>
          <w:rFonts w:ascii="方正小标宋简体" w:hAnsi="宋体" w:eastAsia="方正小标宋简体"/>
          <w:bCs/>
          <w:sz w:val="52"/>
          <w:szCs w:val="36"/>
        </w:rPr>
      </w:pPr>
    </w:p>
    <w:p>
      <w:pPr>
        <w:pStyle w:val="2"/>
        <w:rPr>
          <w:rFonts w:ascii="方正小标宋简体" w:hAnsi="宋体" w:eastAsia="方正小标宋简体"/>
          <w:bCs/>
          <w:sz w:val="52"/>
          <w:szCs w:val="36"/>
        </w:rPr>
      </w:pPr>
    </w:p>
    <w:p>
      <w:pPr>
        <w:pStyle w:val="2"/>
        <w:rPr>
          <w:rFonts w:ascii="方正小标宋简体" w:hAnsi="宋体" w:eastAsia="方正小标宋简体"/>
          <w:bCs/>
          <w:sz w:val="52"/>
          <w:szCs w:val="36"/>
        </w:rPr>
      </w:pPr>
    </w:p>
    <w:p>
      <w:pPr>
        <w:pStyle w:val="2"/>
        <w:rPr>
          <w:rFonts w:ascii="方正小标宋简体" w:hAnsi="宋体" w:eastAsia="方正小标宋简体"/>
          <w:bCs/>
          <w:sz w:val="52"/>
          <w:szCs w:val="36"/>
        </w:rPr>
      </w:pPr>
    </w:p>
    <w:p>
      <w:pPr>
        <w:pStyle w:val="2"/>
        <w:rPr>
          <w:rFonts w:ascii="方正小标宋简体" w:hAnsi="宋体" w:eastAsia="方正小标宋简体"/>
          <w:bCs/>
          <w:sz w:val="52"/>
          <w:szCs w:val="36"/>
        </w:rPr>
      </w:pPr>
    </w:p>
    <w:p>
      <w:pPr>
        <w:pStyle w:val="2"/>
        <w:rPr>
          <w:rFonts w:ascii="方正小标宋简体" w:hAnsi="宋体" w:eastAsia="方正小标宋简体"/>
          <w:bCs/>
          <w:sz w:val="52"/>
          <w:szCs w:val="36"/>
        </w:rPr>
      </w:pPr>
    </w:p>
    <w:p>
      <w:pPr>
        <w:pStyle w:val="2"/>
        <w:rPr>
          <w:rFonts w:ascii="方正小标宋简体" w:hAnsi="宋体" w:eastAsia="方正小标宋简体"/>
          <w:bCs/>
          <w:sz w:val="52"/>
          <w:szCs w:val="36"/>
        </w:rPr>
      </w:pPr>
    </w:p>
    <w:p>
      <w:pPr>
        <w:pStyle w:val="2"/>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5" w:type="default"/>
          <w:footerReference r:id="rId16"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109"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0" w:name="_Toc16330018"/>
      <w:bookmarkStart w:id="111" w:name="_Toc11823"/>
      <w:bookmarkStart w:id="112" w:name="_Toc11930"/>
      <w:bookmarkStart w:id="113" w:name="_Toc17619"/>
      <w:r>
        <w:rPr>
          <w:rFonts w:hint="eastAsia" w:ascii="黑体" w:hAnsi="黑体" w:eastAsia="黑体" w:cstheme="minorEastAsia"/>
          <w:b w:val="0"/>
          <w:sz w:val="28"/>
          <w:szCs w:val="28"/>
        </w:rPr>
        <w:t>1 合同设备</w:t>
      </w:r>
      <w:bookmarkEnd w:id="110"/>
      <w:bookmarkEnd w:id="111"/>
      <w:bookmarkEnd w:id="112"/>
      <w:bookmarkEnd w:id="11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114" w:name="_Toc22800"/>
      <w:bookmarkStart w:id="115" w:name="_Toc32510"/>
      <w:bookmarkStart w:id="116"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w:t>
      </w:r>
      <w:r>
        <w:rPr>
          <w:rFonts w:ascii="仿宋_GB2312" w:eastAsia="仿宋_GB2312" w:hAnsiTheme="minorEastAsia" w:cstheme="minorEastAsia"/>
          <w:sz w:val="24"/>
          <w:szCs w:val="24"/>
        </w:rPr>
        <w:t>图纸、程序权限及接口协议要求</w:t>
      </w:r>
      <w:r>
        <w:rPr>
          <w:rFonts w:hint="eastAsia" w:ascii="仿宋_GB2312" w:eastAsia="仿宋_GB2312" w:hAnsiTheme="minorEastAsia" w:cstheme="minorEastAsia"/>
          <w:sz w:val="24"/>
          <w:szCs w:val="24"/>
        </w:rPr>
        <w:t>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7" w:name="_Toc16330019"/>
      <w:r>
        <w:rPr>
          <w:rFonts w:hint="eastAsia" w:ascii="黑体" w:hAnsi="黑体" w:eastAsia="黑体" w:cstheme="minorEastAsia"/>
          <w:b w:val="0"/>
          <w:sz w:val="28"/>
          <w:szCs w:val="28"/>
        </w:rPr>
        <w:t>2 包装</w:t>
      </w:r>
      <w:bookmarkEnd w:id="114"/>
      <w:bookmarkEnd w:id="115"/>
      <w:bookmarkEnd w:id="116"/>
      <w:bookmarkEnd w:id="11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8" w:name="_Toc16330020"/>
      <w:bookmarkStart w:id="119" w:name="_Toc27144"/>
      <w:bookmarkStart w:id="120" w:name="_Toc27453"/>
      <w:bookmarkStart w:id="121" w:name="_Toc2833"/>
      <w:r>
        <w:rPr>
          <w:rFonts w:hint="eastAsia" w:ascii="黑体" w:hAnsi="黑体" w:eastAsia="黑体" w:cstheme="minorEastAsia"/>
          <w:b w:val="0"/>
          <w:sz w:val="28"/>
          <w:szCs w:val="28"/>
        </w:rPr>
        <w:t>3 运输标记</w:t>
      </w:r>
      <w:bookmarkEnd w:id="118"/>
      <w:bookmarkEnd w:id="119"/>
      <w:bookmarkEnd w:id="120"/>
      <w:bookmarkEnd w:id="12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2" w:name="_Toc10630"/>
      <w:bookmarkStart w:id="123" w:name="_Toc16133"/>
      <w:bookmarkStart w:id="124" w:name="_Toc16330021"/>
      <w:bookmarkStart w:id="125" w:name="_Toc7431"/>
      <w:r>
        <w:rPr>
          <w:rFonts w:hint="eastAsia" w:ascii="黑体" w:hAnsi="黑体" w:eastAsia="黑体" w:cstheme="minorEastAsia"/>
          <w:b w:val="0"/>
          <w:sz w:val="28"/>
          <w:szCs w:val="28"/>
        </w:rPr>
        <w:t>4 检验</w:t>
      </w:r>
      <w:bookmarkEnd w:id="122"/>
      <w:bookmarkEnd w:id="123"/>
      <w:bookmarkEnd w:id="124"/>
      <w:bookmarkEnd w:id="12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6" w:name="_Toc24467"/>
      <w:bookmarkStart w:id="127" w:name="_Toc16330022"/>
      <w:bookmarkStart w:id="128" w:name="_Toc11217"/>
      <w:bookmarkStart w:id="129" w:name="_Toc19850"/>
      <w:r>
        <w:rPr>
          <w:rFonts w:hint="eastAsia" w:ascii="黑体" w:hAnsi="黑体" w:eastAsia="黑体" w:cstheme="minorEastAsia"/>
          <w:b w:val="0"/>
          <w:sz w:val="28"/>
          <w:szCs w:val="28"/>
        </w:rPr>
        <w:t>5 权利担保</w:t>
      </w:r>
      <w:bookmarkEnd w:id="126"/>
      <w:bookmarkEnd w:id="127"/>
      <w:bookmarkEnd w:id="128"/>
      <w:bookmarkEnd w:id="12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0" w:name="_Toc11759"/>
      <w:bookmarkStart w:id="131" w:name="_Toc16330023"/>
      <w:bookmarkStart w:id="132" w:name="_Toc14809"/>
      <w:bookmarkStart w:id="133" w:name="_Toc27500"/>
      <w:r>
        <w:rPr>
          <w:rFonts w:hint="eastAsia" w:ascii="黑体" w:hAnsi="黑体" w:eastAsia="黑体" w:cstheme="minorEastAsia"/>
          <w:b w:val="0"/>
          <w:sz w:val="28"/>
          <w:szCs w:val="28"/>
        </w:rPr>
        <w:t>6 交货</w:t>
      </w:r>
      <w:bookmarkEnd w:id="130"/>
      <w:bookmarkEnd w:id="131"/>
      <w:bookmarkEnd w:id="132"/>
      <w:bookmarkEnd w:id="13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4" w:name="_Toc8024"/>
      <w:bookmarkStart w:id="135" w:name="_Toc25510"/>
      <w:bookmarkStart w:id="136" w:name="_Toc16330024"/>
      <w:bookmarkStart w:id="137" w:name="_Toc2984"/>
      <w:r>
        <w:rPr>
          <w:rFonts w:hint="eastAsia" w:ascii="黑体" w:hAnsi="黑体" w:eastAsia="黑体" w:cstheme="minorEastAsia"/>
          <w:b w:val="0"/>
          <w:sz w:val="28"/>
          <w:szCs w:val="28"/>
        </w:rPr>
        <w:t>7 安装、调试</w:t>
      </w:r>
      <w:bookmarkEnd w:id="134"/>
      <w:bookmarkEnd w:id="135"/>
      <w:bookmarkEnd w:id="136"/>
      <w:bookmarkEnd w:id="137"/>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8" w:name="_Toc16330025"/>
      <w:bookmarkStart w:id="139" w:name="_Toc14098"/>
      <w:bookmarkStart w:id="140" w:name="_Toc6350"/>
      <w:bookmarkStart w:id="141" w:name="_Toc14260"/>
      <w:r>
        <w:rPr>
          <w:rFonts w:hint="eastAsia" w:ascii="黑体" w:hAnsi="黑体" w:eastAsia="黑体" w:cstheme="minorEastAsia"/>
          <w:b w:val="0"/>
          <w:sz w:val="28"/>
          <w:szCs w:val="28"/>
        </w:rPr>
        <w:t>8 价款与支付</w:t>
      </w:r>
      <w:bookmarkEnd w:id="138"/>
      <w:bookmarkEnd w:id="139"/>
      <w:bookmarkEnd w:id="140"/>
      <w:bookmarkEnd w:id="14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42" w:name="_Toc14676804"/>
      <w:bookmarkStart w:id="143"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42"/>
      <w:bookmarkEnd w:id="143"/>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4" w:name="_Toc6726"/>
      <w:bookmarkStart w:id="145" w:name="_Toc16330026"/>
      <w:bookmarkStart w:id="146" w:name="_Toc25708"/>
      <w:bookmarkStart w:id="147" w:name="_Toc24085"/>
      <w:r>
        <w:rPr>
          <w:rFonts w:hint="eastAsia" w:ascii="黑体" w:hAnsi="黑体" w:eastAsia="黑体" w:cstheme="minorEastAsia"/>
          <w:b w:val="0"/>
          <w:sz w:val="28"/>
          <w:szCs w:val="28"/>
        </w:rPr>
        <w:t>9 质量保证及售后服务</w:t>
      </w:r>
      <w:bookmarkEnd w:id="144"/>
      <w:bookmarkEnd w:id="145"/>
      <w:bookmarkEnd w:id="146"/>
      <w:bookmarkEnd w:id="14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8" w:name="_Toc12927"/>
      <w:bookmarkStart w:id="149" w:name="_Toc16330027"/>
      <w:bookmarkStart w:id="150" w:name="_Toc15570"/>
      <w:bookmarkStart w:id="151" w:name="_Toc10359"/>
      <w:r>
        <w:rPr>
          <w:rFonts w:hint="eastAsia" w:ascii="黑体" w:hAnsi="黑体" w:eastAsia="黑体" w:cstheme="minorEastAsia"/>
          <w:b w:val="0"/>
          <w:sz w:val="28"/>
          <w:szCs w:val="28"/>
        </w:rPr>
        <w:t>10法定责任</w:t>
      </w:r>
      <w:bookmarkEnd w:id="148"/>
      <w:bookmarkEnd w:id="149"/>
      <w:bookmarkEnd w:id="150"/>
      <w:bookmarkEnd w:id="15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2" w:name="_Toc30381"/>
      <w:bookmarkStart w:id="153" w:name="_Toc16330028"/>
      <w:bookmarkStart w:id="154" w:name="_Toc27314"/>
      <w:bookmarkStart w:id="155" w:name="_Toc9708"/>
      <w:r>
        <w:rPr>
          <w:rFonts w:hint="eastAsia" w:ascii="黑体" w:hAnsi="黑体" w:eastAsia="黑体" w:cstheme="minorEastAsia"/>
          <w:b w:val="0"/>
          <w:sz w:val="28"/>
          <w:szCs w:val="28"/>
        </w:rPr>
        <w:t>11 违约责任</w:t>
      </w:r>
      <w:bookmarkEnd w:id="152"/>
      <w:bookmarkEnd w:id="153"/>
      <w:bookmarkEnd w:id="154"/>
      <w:bookmarkEnd w:id="15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6" w:name="_Toc9172"/>
      <w:bookmarkStart w:id="157" w:name="_Toc31554"/>
      <w:bookmarkStart w:id="158" w:name="_Toc1827"/>
      <w:bookmarkStart w:id="159" w:name="_Toc16330029"/>
      <w:r>
        <w:rPr>
          <w:rFonts w:hint="eastAsia" w:ascii="黑体" w:hAnsi="黑体" w:eastAsia="黑体" w:cstheme="minorEastAsia"/>
          <w:b w:val="0"/>
          <w:sz w:val="28"/>
          <w:szCs w:val="28"/>
        </w:rPr>
        <w:t>12 合同的终止与解除</w:t>
      </w:r>
      <w:bookmarkEnd w:id="156"/>
      <w:bookmarkEnd w:id="157"/>
      <w:bookmarkEnd w:id="158"/>
      <w:bookmarkEnd w:id="15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60" w:name="_Toc8620"/>
      <w:bookmarkStart w:id="161" w:name="_Toc13671"/>
      <w:bookmarkStart w:id="162" w:name="_Toc31945"/>
      <w:bookmarkStart w:id="163" w:name="_Toc16330030"/>
      <w:r>
        <w:rPr>
          <w:rFonts w:hint="eastAsia" w:ascii="黑体" w:hAnsi="黑体" w:eastAsia="黑体" w:cstheme="minorEastAsia"/>
          <w:b w:val="0"/>
          <w:sz w:val="28"/>
          <w:szCs w:val="28"/>
        </w:rPr>
        <w:t>13 不可抗力</w:t>
      </w:r>
      <w:bookmarkEnd w:id="160"/>
      <w:bookmarkEnd w:id="161"/>
      <w:bookmarkEnd w:id="162"/>
      <w:bookmarkEnd w:id="16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64" w:name="_Toc31243"/>
      <w:bookmarkStart w:id="165" w:name="_Toc30389"/>
      <w:bookmarkStart w:id="166" w:name="_Toc16330031"/>
      <w:bookmarkStart w:id="167" w:name="_Toc637"/>
      <w:r>
        <w:rPr>
          <w:rFonts w:hint="eastAsia" w:ascii="黑体" w:hAnsi="黑体" w:eastAsia="黑体" w:cstheme="minorEastAsia"/>
          <w:b w:val="0"/>
          <w:sz w:val="28"/>
          <w:szCs w:val="28"/>
        </w:rPr>
        <w:t>14 通讯</w:t>
      </w:r>
      <w:bookmarkEnd w:id="164"/>
      <w:bookmarkEnd w:id="165"/>
      <w:bookmarkEnd w:id="166"/>
      <w:bookmarkEnd w:id="16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168" w:name="_Toc16330032"/>
      <w:bookmarkStart w:id="169" w:name="_Toc11290"/>
      <w:bookmarkStart w:id="170" w:name="_Toc9915"/>
      <w:bookmarkStart w:id="171" w:name="_Toc12984"/>
      <w:r>
        <w:rPr>
          <w:rFonts w:hint="eastAsia" w:ascii="黑体" w:hAnsi="黑体" w:eastAsia="黑体" w:cstheme="minorEastAsia"/>
          <w:b w:val="0"/>
          <w:sz w:val="28"/>
          <w:szCs w:val="28"/>
        </w:rPr>
        <w:t>15 适用法律及争议解决</w:t>
      </w:r>
      <w:bookmarkEnd w:id="168"/>
      <w:bookmarkEnd w:id="169"/>
      <w:bookmarkEnd w:id="170"/>
      <w:bookmarkEnd w:id="17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72" w:name="_Toc16330033"/>
      <w:bookmarkStart w:id="173" w:name="_Toc18207"/>
      <w:bookmarkStart w:id="174" w:name="_Toc23765"/>
      <w:bookmarkStart w:id="175" w:name="_Toc23906"/>
      <w:r>
        <w:rPr>
          <w:rFonts w:hint="eastAsia" w:ascii="黑体" w:hAnsi="黑体" w:eastAsia="黑体" w:cstheme="minorEastAsia"/>
          <w:b w:val="0"/>
          <w:sz w:val="28"/>
          <w:szCs w:val="28"/>
        </w:rPr>
        <w:t>16 附件</w:t>
      </w:r>
      <w:bookmarkEnd w:id="172"/>
      <w:bookmarkEnd w:id="173"/>
      <w:bookmarkEnd w:id="174"/>
      <w:bookmarkEnd w:id="17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76" w:name="_Toc27202"/>
      <w:bookmarkStart w:id="177" w:name="_Toc17656"/>
      <w:bookmarkStart w:id="178" w:name="_Toc16330034"/>
      <w:bookmarkStart w:id="179" w:name="_Toc31331"/>
      <w:r>
        <w:rPr>
          <w:rFonts w:hint="eastAsia" w:ascii="黑体" w:hAnsi="黑体" w:eastAsia="黑体" w:cstheme="minorEastAsia"/>
          <w:b w:val="0"/>
          <w:sz w:val="28"/>
          <w:szCs w:val="28"/>
        </w:rPr>
        <w:t>17 其他规定</w:t>
      </w:r>
      <w:bookmarkEnd w:id="176"/>
      <w:bookmarkEnd w:id="177"/>
      <w:bookmarkEnd w:id="178"/>
      <w:bookmarkEnd w:id="17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80" w:name="_Toc29136"/>
      <w:bookmarkStart w:id="181" w:name="_Toc17952"/>
      <w:bookmarkStart w:id="182" w:name="_Toc16330035"/>
      <w:bookmarkStart w:id="183"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80"/>
      <w:bookmarkEnd w:id="181"/>
      <w:bookmarkEnd w:id="182"/>
      <w:bookmarkEnd w:id="18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hint="eastAsia" w:ascii="黑体" w:hAnsi="黑体" w:eastAsia="黑体" w:cstheme="minorEastAsia"/>
          <w:b w:val="0"/>
          <w:sz w:val="28"/>
          <w:szCs w:val="28"/>
        </w:rPr>
      </w:pPr>
      <w:bookmarkStart w:id="184" w:name="_Toc16330037"/>
      <w:bookmarkStart w:id="185" w:name="_Toc24623"/>
      <w:bookmarkStart w:id="186" w:name="_Toc5379"/>
      <w:bookmarkStart w:id="187" w:name="_Toc3778"/>
      <w:bookmarkStart w:id="188" w:name="_Toc25120"/>
    </w:p>
    <w:p>
      <w:pPr>
        <w:rPr>
          <w:rFonts w:hint="eastAsia" w:ascii="黑体" w:hAnsi="黑体" w:eastAsia="黑体" w:cstheme="minorEastAsia"/>
          <w:b w:val="0"/>
          <w:sz w:val="28"/>
          <w:szCs w:val="28"/>
        </w:rPr>
      </w:pPr>
    </w:p>
    <w:p>
      <w:pPr>
        <w:rPr>
          <w:rFonts w:hint="eastAsia" w:ascii="黑体" w:hAnsi="黑体" w:eastAsia="黑体" w:cstheme="minorEastAsia"/>
          <w:b w:val="0"/>
          <w:sz w:val="28"/>
          <w:szCs w:val="28"/>
        </w:rPr>
      </w:pPr>
    </w:p>
    <w:p>
      <w:pPr>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84"/>
      <w:bookmarkEnd w:id="185"/>
      <w:bookmarkEnd w:id="186"/>
      <w:bookmarkEnd w:id="187"/>
      <w:bookmarkEnd w:id="188"/>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89" w:name="_Toc14341849"/>
    </w:p>
    <w:p>
      <w:pPr>
        <w:ind w:right="480"/>
        <w:jc w:val="center"/>
        <w:rPr>
          <w:sz w:val="24"/>
          <w:szCs w:val="24"/>
        </w:rPr>
      </w:pPr>
      <w:r>
        <w:rPr>
          <w:rFonts w:hint="eastAsia" w:ascii="楷体_GB2312" w:hAnsi="宋体" w:eastAsia="楷体_GB2312"/>
          <w:sz w:val="24"/>
        </w:rPr>
        <w:t xml:space="preserve">                                    </w:t>
      </w:r>
    </w:p>
    <w:bookmarkEnd w:id="189"/>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bookmarkEnd w:id="109"/>
    <w:p>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2"/>
        <w:spacing w:before="8" w:after="156"/>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after="156"/>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spacing w:after="156"/>
        <w:rPr>
          <w:rFonts w:ascii="楷体" w:hAnsi="楷体" w:eastAsia="楷体" w:cs="楷体"/>
          <w:b/>
          <w:sz w:val="24"/>
          <w:szCs w:val="28"/>
        </w:rPr>
      </w:pPr>
    </w:p>
    <w:p>
      <w:pPr>
        <w:pStyle w:val="2"/>
        <w:spacing w:before="1"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2"/>
        <w:spacing w:after="156"/>
        <w:rPr>
          <w:rFonts w:ascii="楷体" w:hAnsi="楷体" w:eastAsia="楷体" w:cs="楷体"/>
          <w:b/>
          <w:sz w:val="24"/>
          <w:szCs w:val="28"/>
        </w:rPr>
      </w:pPr>
    </w:p>
    <w:p>
      <w:pPr>
        <w:pStyle w:val="2"/>
        <w:spacing w:before="4"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p>
    <w:p>
      <w:pPr>
        <w:keepNext/>
        <w:keepLines/>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17"/>
        <w:rPr>
          <w:rFonts w:ascii="Times New Roman" w:hAnsi="Times New Roman" w:eastAsia="宋体" w:cs="Times New Roman"/>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90" w:name="_Toc353881012"/>
      <w:bookmarkStart w:id="191" w:name="_Toc212369550"/>
      <w:bookmarkStart w:id="192" w:name="_Toc639004"/>
      <w:bookmarkStart w:id="193"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90"/>
      <w:bookmarkEnd w:id="191"/>
      <w:bookmarkEnd w:id="192"/>
      <w:bookmarkEnd w:id="193"/>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red"/>
        </w:rPr>
        <w:t>致：中国重汽集团济南</w:t>
      </w:r>
      <w:r>
        <w:rPr>
          <w:rFonts w:hint="eastAsia" w:ascii="宋体" w:hAnsi="宋体" w:eastAsia="宋体" w:cs="Times New Roman"/>
          <w:color w:val="000000"/>
          <w:sz w:val="24"/>
          <w:szCs w:val="24"/>
          <w:highlight w:val="red"/>
          <w:lang w:val="en-US" w:eastAsia="zh-CN"/>
        </w:rPr>
        <w:t>商用车</w:t>
      </w:r>
      <w:r>
        <w:rPr>
          <w:rFonts w:hint="eastAsia" w:ascii="宋体" w:hAnsi="宋体" w:eastAsia="宋体" w:cs="Times New Roman"/>
          <w:color w:val="000000"/>
          <w:sz w:val="24"/>
          <w:szCs w:val="24"/>
          <w:highlight w:val="red"/>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lang w:eastAsia="zh-CN"/>
        </w:rPr>
        <w:t>济南商用车制造公司更新冲压模具维修区域起重机技改项目</w:t>
      </w:r>
      <w:r>
        <w:rPr>
          <w:rFonts w:hint="eastAsia" w:ascii="宋体" w:hAnsi="宋体" w:eastAsia="宋体" w:cs="Times New Roman"/>
          <w:color w:val="000000"/>
          <w:sz w:val="24"/>
          <w:szCs w:val="24"/>
        </w:rPr>
        <w:t>招</w:t>
      </w:r>
      <w:r>
        <w:rPr>
          <w:rFonts w:hint="eastAsia" w:ascii="宋体" w:hAnsi="宋体" w:eastAsia="宋体" w:cs="Times New Roman"/>
          <w:bCs/>
          <w:snapToGrid w:val="0"/>
          <w:color w:val="000000"/>
          <w:kern w:val="0"/>
          <w:sz w:val="24"/>
          <w:szCs w:val="24"/>
        </w:rPr>
        <w:t>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提交纸质投标文件：资质证明文件、商务文件和技术文件正本五份；电子版投标文件一份。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u w:val="single"/>
          <w:lang w:eastAsia="zh-CN"/>
        </w:rPr>
        <w:t>济南商用车制造公司更新冲压模具维修区域起重机技改项目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highlight w:val="red"/>
        </w:rPr>
        <w:t>（CGZX2025070150）</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济南商用车制造公司更新冲压模具维修区域起重机技改项目</w:t>
      </w:r>
    </w:p>
    <w:p>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red"/>
        </w:rPr>
        <w:t>中国重汽集团</w:t>
      </w:r>
      <w:r>
        <w:rPr>
          <w:rFonts w:hint="eastAsia" w:ascii="宋体" w:hAnsi="宋体" w:eastAsia="宋体" w:cs="Times New Roman"/>
          <w:b/>
          <w:bCs/>
          <w:sz w:val="24"/>
          <w:szCs w:val="20"/>
          <w:highlight w:val="red"/>
          <w:lang w:val="en-US" w:eastAsia="zh-CN"/>
        </w:rPr>
        <w:t>济南商用车</w:t>
      </w:r>
      <w:r>
        <w:rPr>
          <w:rFonts w:hint="eastAsia" w:ascii="宋体" w:hAnsi="宋体" w:eastAsia="宋体" w:cs="Times New Roman"/>
          <w:b/>
          <w:bCs/>
          <w:sz w:val="24"/>
          <w:szCs w:val="20"/>
          <w:highlight w:val="red"/>
        </w:rPr>
        <w:t>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济南商用车制造公司更新冲压模具维修区域起重机技改项目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济南商用车制造公司更新冲压模具维修区域起重机技改项目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6"/>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lang w:eastAsia="zh-CN"/>
        </w:rPr>
        <w:t>济南商用车制造公司更新冲压模具维修区域起重机技改项目</w:t>
      </w:r>
    </w:p>
    <w:p>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red"/>
        </w:rPr>
        <w:t>中国重汽集团</w:t>
      </w:r>
      <w:r>
        <w:rPr>
          <w:rFonts w:hint="eastAsia" w:ascii="宋体" w:hAnsi="宋体" w:eastAsia="宋体" w:cs="Times New Roman"/>
          <w:b/>
          <w:bCs/>
          <w:sz w:val="24"/>
          <w:szCs w:val="20"/>
          <w:highlight w:val="red"/>
          <w:lang w:val="en-US" w:eastAsia="zh-CN"/>
        </w:rPr>
        <w:t>济南商用车</w:t>
      </w:r>
      <w:r>
        <w:rPr>
          <w:rFonts w:hint="eastAsia" w:ascii="宋体" w:hAnsi="宋体" w:eastAsia="宋体" w:cs="Times New Roman"/>
          <w:b/>
          <w:bCs/>
          <w:sz w:val="24"/>
          <w:szCs w:val="20"/>
          <w:highlight w:val="red"/>
        </w:rPr>
        <w:t>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济南商用车制造公司更新冲压模具维修区域起重机技改项目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lang w:eastAsia="zh-CN"/>
              </w:rPr>
              <w:t>济南商用车制造公司更新冲压模具维修区域起重机技改项目</w:t>
            </w:r>
          </w:p>
        </w:tc>
        <w:tc>
          <w:tcPr>
            <w:tcW w:w="848"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pPr>
        <w:spacing w:line="520" w:lineRule="exact"/>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pPr>
        <w:spacing w:line="520" w:lineRule="exact"/>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yellow"/>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17"/>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5"/>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pPr>
              <w:spacing w:line="186" w:lineRule="auto"/>
              <w:jc w:val="center"/>
              <w:rPr>
                <w:rFonts w:ascii="宋体" w:hAnsi="宋体" w:eastAsia="宋体" w:cs="宋体"/>
                <w:szCs w:val="21"/>
              </w:rPr>
            </w:pPr>
            <w:r>
              <w:rPr>
                <w:rFonts w:ascii="宋体" w:hAnsi="宋体" w:eastAsia="宋体" w:cs="宋体"/>
                <w:szCs w:val="21"/>
              </w:rPr>
              <w:t>1</w:t>
            </w:r>
          </w:p>
        </w:tc>
        <w:tc>
          <w:tcPr>
            <w:tcW w:w="2315" w:type="dxa"/>
            <w:gridSpan w:val="2"/>
            <w:vAlign w:val="center"/>
          </w:tcPr>
          <w:p>
            <w:pPr>
              <w:spacing w:line="185" w:lineRule="auto"/>
              <w:jc w:val="center"/>
              <w:rPr>
                <w:rFonts w:ascii="宋体" w:hAnsi="宋体" w:eastAsia="宋体" w:cs="宋体"/>
                <w:szCs w:val="21"/>
              </w:rPr>
            </w:pPr>
            <w:r>
              <w:rPr>
                <w:rFonts w:ascii="宋体" w:hAnsi="宋体" w:eastAsia="宋体" w:cs="宋体"/>
                <w:szCs w:val="21"/>
              </w:rPr>
              <w:t>2</w:t>
            </w:r>
          </w:p>
        </w:tc>
        <w:tc>
          <w:tcPr>
            <w:tcW w:w="1722" w:type="dxa"/>
            <w:vAlign w:val="center"/>
          </w:tcPr>
          <w:p>
            <w:pPr>
              <w:spacing w:line="183" w:lineRule="auto"/>
              <w:jc w:val="center"/>
              <w:rPr>
                <w:rFonts w:ascii="宋体" w:hAnsi="宋体" w:eastAsia="宋体" w:cs="宋体"/>
                <w:szCs w:val="21"/>
              </w:rPr>
            </w:pPr>
            <w:r>
              <w:rPr>
                <w:rFonts w:ascii="宋体" w:hAnsi="宋体" w:eastAsia="宋体" w:cs="宋体"/>
                <w:szCs w:val="21"/>
              </w:rPr>
              <w:t>3</w:t>
            </w:r>
          </w:p>
        </w:tc>
        <w:tc>
          <w:tcPr>
            <w:tcW w:w="703" w:type="dxa"/>
            <w:vAlign w:val="center"/>
          </w:tcPr>
          <w:p>
            <w:pPr>
              <w:spacing w:line="185" w:lineRule="auto"/>
              <w:jc w:val="center"/>
              <w:rPr>
                <w:rFonts w:ascii="宋体" w:hAnsi="宋体" w:eastAsia="宋体" w:cs="宋体"/>
                <w:szCs w:val="21"/>
              </w:rPr>
            </w:pPr>
            <w:r>
              <w:rPr>
                <w:rFonts w:ascii="宋体" w:hAnsi="宋体" w:eastAsia="宋体" w:cs="宋体"/>
                <w:szCs w:val="21"/>
              </w:rPr>
              <w:t>4</w:t>
            </w:r>
          </w:p>
        </w:tc>
        <w:tc>
          <w:tcPr>
            <w:tcW w:w="550" w:type="dxa"/>
            <w:vAlign w:val="center"/>
          </w:tcPr>
          <w:p>
            <w:pPr>
              <w:spacing w:line="182" w:lineRule="auto"/>
              <w:jc w:val="center"/>
              <w:rPr>
                <w:rFonts w:ascii="宋体" w:hAnsi="宋体" w:eastAsia="宋体" w:cs="宋体"/>
                <w:szCs w:val="21"/>
              </w:rPr>
            </w:pPr>
            <w:r>
              <w:rPr>
                <w:rFonts w:hint="eastAsia" w:ascii="宋体" w:hAnsi="宋体" w:eastAsia="宋体" w:cs="宋体"/>
                <w:szCs w:val="21"/>
              </w:rPr>
              <w:t>5</w:t>
            </w:r>
          </w:p>
        </w:tc>
        <w:tc>
          <w:tcPr>
            <w:tcW w:w="2550" w:type="dxa"/>
            <w:vAlign w:val="center"/>
          </w:tcPr>
          <w:p>
            <w:pPr>
              <w:spacing w:line="183" w:lineRule="auto"/>
              <w:jc w:val="center"/>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pPr>
              <w:spacing w:line="182" w:lineRule="auto"/>
              <w:jc w:val="center"/>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pPr>
              <w:spacing w:line="183" w:lineRule="auto"/>
              <w:ind w:firstLine="420" w:firstLineChars="200"/>
              <w:jc w:val="center"/>
              <w:rPr>
                <w:rFonts w:ascii="宋体" w:hAnsi="宋体" w:eastAsia="宋体" w:cs="宋体"/>
                <w:szCs w:val="21"/>
              </w:rPr>
            </w:pPr>
            <w:r>
              <w:rPr>
                <w:rFonts w:ascii="宋体" w:hAnsi="宋体" w:eastAsia="宋体" w:cs="宋体"/>
                <w:szCs w:val="21"/>
              </w:rPr>
              <w:t>8</w:t>
            </w:r>
          </w:p>
        </w:tc>
        <w:tc>
          <w:tcPr>
            <w:tcW w:w="964" w:type="dxa"/>
            <w:vAlign w:val="center"/>
          </w:tcPr>
          <w:p>
            <w:pPr>
              <w:spacing w:line="183" w:lineRule="auto"/>
              <w:ind w:firstLine="420" w:firstLineChars="200"/>
              <w:jc w:val="center"/>
              <w:rPr>
                <w:rFonts w:ascii="宋体" w:hAnsi="宋体" w:eastAsia="宋体" w:cs="宋体"/>
                <w:szCs w:val="21"/>
              </w:rPr>
            </w:pPr>
            <w:r>
              <w:rPr>
                <w:rFonts w:hint="eastAsia" w:ascii="宋体" w:hAnsi="宋体" w:eastAsia="宋体" w:cs="宋体"/>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总价[4×7]（不含税）</w:t>
            </w:r>
          </w:p>
          <w:p>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6"/>
              <w:adjustRightInd w:val="0"/>
              <w:snapToGrid w:val="0"/>
              <w:ind w:firstLine="0" w:firstLineChars="0"/>
              <w:jc w:val="center"/>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pPr>
              <w:jc w:val="center"/>
              <w:rPr>
                <w:rFonts w:ascii="宋体" w:hAnsi="宋体" w:eastAsia="宋体" w:cs="宋体"/>
                <w:szCs w:val="21"/>
              </w:rPr>
            </w:pPr>
          </w:p>
        </w:tc>
        <w:tc>
          <w:tcPr>
            <w:tcW w:w="1722" w:type="dxa"/>
          </w:tcPr>
          <w:p>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jc w:val="center"/>
              <w:rPr>
                <w:rFonts w:ascii="Times New Roman" w:hAnsi="Times New Roman" w:eastAsia="宋体" w:cs="Times New Roman"/>
                <w:sz w:val="18"/>
                <w:szCs w:val="18"/>
              </w:rPr>
            </w:pPr>
          </w:p>
        </w:tc>
        <w:tc>
          <w:tcPr>
            <w:tcW w:w="550" w:type="dxa"/>
            <w:shd w:val="clear" w:color="auto" w:fill="auto"/>
            <w:vAlign w:val="center"/>
          </w:tcPr>
          <w:p>
            <w:pPr>
              <w:jc w:val="center"/>
              <w:rPr>
                <w:rFonts w:ascii="Times New Roman" w:hAnsi="Times New Roman" w:eastAsia="宋体" w:cs="Times New Roman"/>
                <w:sz w:val="18"/>
                <w:szCs w:val="18"/>
              </w:rPr>
            </w:pPr>
          </w:p>
        </w:tc>
        <w:tc>
          <w:tcPr>
            <w:tcW w:w="2550" w:type="dxa"/>
          </w:tcPr>
          <w:p>
            <w:pPr>
              <w:rPr>
                <w:rFonts w:ascii="宋体" w:hAnsi="宋体" w:eastAsia="宋体" w:cs="宋体"/>
                <w:szCs w:val="21"/>
              </w:rPr>
            </w:pPr>
          </w:p>
        </w:tc>
        <w:tc>
          <w:tcPr>
            <w:tcW w:w="2510" w:type="dxa"/>
            <w:tcBorders>
              <w:right w:val="single" w:color="000000" w:sz="4" w:space="0"/>
            </w:tcBorders>
          </w:tcPr>
          <w:p>
            <w:pPr>
              <w:ind w:left="105" w:leftChars="50"/>
              <w:jc w:val="left"/>
              <w:rPr>
                <w:rFonts w:ascii="宋体" w:hAnsi="宋体" w:eastAsia="宋体" w:cs="宋体"/>
                <w:szCs w:val="21"/>
              </w:rPr>
            </w:pPr>
          </w:p>
        </w:tc>
        <w:tc>
          <w:tcPr>
            <w:tcW w:w="2196" w:type="dxa"/>
            <w:tcBorders>
              <w:left w:val="single" w:color="000000" w:sz="4" w:space="0"/>
            </w:tcBorders>
          </w:tcPr>
          <w:p>
            <w:pPr>
              <w:ind w:left="105" w:leftChars="50"/>
              <w:jc w:val="left"/>
              <w:rPr>
                <w:rFonts w:ascii="宋体" w:hAnsi="宋体" w:eastAsia="宋体" w:cs="宋体"/>
                <w:szCs w:val="21"/>
              </w:rPr>
            </w:pPr>
          </w:p>
        </w:tc>
        <w:tc>
          <w:tcPr>
            <w:tcW w:w="964" w:type="dxa"/>
          </w:tcPr>
          <w:p>
            <w:pPr>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6"/>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pPr>
              <w:jc w:val="center"/>
              <w:rPr>
                <w:rFonts w:ascii="宋体" w:hAnsi="宋体" w:eastAsia="宋体" w:cs="宋体"/>
                <w:szCs w:val="21"/>
              </w:rPr>
            </w:pPr>
          </w:p>
        </w:tc>
        <w:tc>
          <w:tcPr>
            <w:tcW w:w="1722" w:type="dxa"/>
          </w:tcPr>
          <w:p>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jc w:val="center"/>
              <w:rPr>
                <w:rFonts w:ascii="Times New Roman" w:hAnsi="Times New Roman" w:eastAsia="宋体" w:cs="Times New Roman"/>
                <w:sz w:val="18"/>
                <w:szCs w:val="18"/>
              </w:rPr>
            </w:pPr>
          </w:p>
        </w:tc>
        <w:tc>
          <w:tcPr>
            <w:tcW w:w="550" w:type="dxa"/>
            <w:shd w:val="clear" w:color="auto" w:fill="auto"/>
            <w:vAlign w:val="center"/>
          </w:tcPr>
          <w:p>
            <w:pPr>
              <w:jc w:val="center"/>
              <w:rPr>
                <w:rFonts w:ascii="Times New Roman" w:hAnsi="Times New Roman" w:eastAsia="宋体" w:cs="Times New Roman"/>
                <w:sz w:val="18"/>
                <w:szCs w:val="18"/>
              </w:rPr>
            </w:pPr>
          </w:p>
        </w:tc>
        <w:tc>
          <w:tcPr>
            <w:tcW w:w="2550" w:type="dxa"/>
          </w:tcPr>
          <w:p>
            <w:pPr>
              <w:rPr>
                <w:rFonts w:ascii="宋体" w:hAnsi="宋体" w:eastAsia="宋体" w:cs="宋体"/>
                <w:szCs w:val="21"/>
              </w:rPr>
            </w:pPr>
          </w:p>
        </w:tc>
        <w:tc>
          <w:tcPr>
            <w:tcW w:w="2510" w:type="dxa"/>
            <w:tcBorders>
              <w:right w:val="single" w:color="000000" w:sz="4" w:space="0"/>
            </w:tcBorders>
          </w:tcPr>
          <w:p>
            <w:pPr>
              <w:ind w:left="105" w:leftChars="50"/>
              <w:jc w:val="left"/>
              <w:rPr>
                <w:rFonts w:ascii="宋体" w:hAnsi="宋体" w:eastAsia="宋体" w:cs="宋体"/>
                <w:szCs w:val="21"/>
              </w:rPr>
            </w:pPr>
          </w:p>
        </w:tc>
        <w:tc>
          <w:tcPr>
            <w:tcW w:w="2196" w:type="dxa"/>
            <w:tcBorders>
              <w:left w:val="single" w:color="000000" w:sz="4" w:space="0"/>
            </w:tcBorders>
          </w:tcPr>
          <w:p>
            <w:pPr>
              <w:ind w:left="105" w:leftChars="50"/>
              <w:jc w:val="left"/>
              <w:rPr>
                <w:rFonts w:ascii="宋体" w:hAnsi="宋体" w:eastAsia="宋体" w:cs="宋体"/>
                <w:szCs w:val="21"/>
              </w:rPr>
            </w:pPr>
          </w:p>
        </w:tc>
        <w:tc>
          <w:tcPr>
            <w:tcW w:w="964" w:type="dxa"/>
          </w:tcPr>
          <w:p>
            <w:pPr>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6"/>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pPr>
              <w:jc w:val="center"/>
              <w:rPr>
                <w:rFonts w:ascii="宋体" w:hAnsi="宋体" w:eastAsia="宋体" w:cs="宋体"/>
                <w:szCs w:val="21"/>
              </w:rPr>
            </w:pPr>
          </w:p>
        </w:tc>
        <w:tc>
          <w:tcPr>
            <w:tcW w:w="1722" w:type="dxa"/>
          </w:tcPr>
          <w:p>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jc w:val="center"/>
              <w:rPr>
                <w:rFonts w:ascii="Times New Roman" w:hAnsi="Times New Roman" w:eastAsia="宋体" w:cs="Times New Roman"/>
                <w:sz w:val="18"/>
                <w:szCs w:val="18"/>
              </w:rPr>
            </w:pPr>
          </w:p>
        </w:tc>
        <w:tc>
          <w:tcPr>
            <w:tcW w:w="550" w:type="dxa"/>
            <w:shd w:val="clear" w:color="auto" w:fill="auto"/>
            <w:vAlign w:val="center"/>
          </w:tcPr>
          <w:p>
            <w:pPr>
              <w:jc w:val="center"/>
              <w:rPr>
                <w:rFonts w:ascii="Times New Roman" w:hAnsi="Times New Roman" w:eastAsia="宋体" w:cs="Times New Roman"/>
                <w:sz w:val="18"/>
                <w:szCs w:val="18"/>
              </w:rPr>
            </w:pPr>
          </w:p>
        </w:tc>
        <w:tc>
          <w:tcPr>
            <w:tcW w:w="2550" w:type="dxa"/>
          </w:tcPr>
          <w:p>
            <w:pPr>
              <w:rPr>
                <w:rFonts w:ascii="宋体" w:hAnsi="宋体" w:eastAsia="宋体" w:cs="宋体"/>
                <w:szCs w:val="21"/>
              </w:rPr>
            </w:pPr>
          </w:p>
        </w:tc>
        <w:tc>
          <w:tcPr>
            <w:tcW w:w="2510" w:type="dxa"/>
            <w:tcBorders>
              <w:right w:val="single" w:color="000000" w:sz="4" w:space="0"/>
            </w:tcBorders>
          </w:tcPr>
          <w:p>
            <w:pPr>
              <w:ind w:left="105" w:leftChars="50"/>
              <w:jc w:val="left"/>
              <w:rPr>
                <w:rFonts w:ascii="宋体" w:hAnsi="宋体" w:eastAsia="宋体" w:cs="宋体"/>
                <w:szCs w:val="21"/>
              </w:rPr>
            </w:pPr>
          </w:p>
        </w:tc>
        <w:tc>
          <w:tcPr>
            <w:tcW w:w="2196" w:type="dxa"/>
            <w:tcBorders>
              <w:left w:val="single" w:color="000000" w:sz="4" w:space="0"/>
            </w:tcBorders>
          </w:tcPr>
          <w:p>
            <w:pPr>
              <w:ind w:left="105" w:leftChars="50"/>
              <w:jc w:val="left"/>
              <w:rPr>
                <w:rFonts w:ascii="宋体" w:hAnsi="宋体" w:eastAsia="宋体" w:cs="宋体"/>
                <w:szCs w:val="21"/>
              </w:rPr>
            </w:pPr>
          </w:p>
        </w:tc>
        <w:tc>
          <w:tcPr>
            <w:tcW w:w="964" w:type="dxa"/>
          </w:tcPr>
          <w:p>
            <w:pPr>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pPr>
              <w:pStyle w:val="126"/>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pPr>
              <w:jc w:val="center"/>
              <w:rPr>
                <w:rFonts w:ascii="宋体" w:hAnsi="宋体" w:eastAsia="宋体" w:cs="宋体"/>
                <w:szCs w:val="21"/>
              </w:rPr>
            </w:pPr>
          </w:p>
        </w:tc>
        <w:tc>
          <w:tcPr>
            <w:tcW w:w="1722" w:type="dxa"/>
          </w:tcPr>
          <w:p>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jc w:val="center"/>
              <w:rPr>
                <w:rFonts w:ascii="Times New Roman" w:hAnsi="Times New Roman" w:eastAsia="宋体" w:cs="Times New Roman"/>
                <w:sz w:val="18"/>
                <w:szCs w:val="18"/>
              </w:rPr>
            </w:pPr>
          </w:p>
        </w:tc>
        <w:tc>
          <w:tcPr>
            <w:tcW w:w="550" w:type="dxa"/>
            <w:shd w:val="clear" w:color="auto" w:fill="auto"/>
            <w:vAlign w:val="center"/>
          </w:tcPr>
          <w:p>
            <w:pPr>
              <w:jc w:val="center"/>
              <w:rPr>
                <w:rFonts w:ascii="Times New Roman" w:hAnsi="Times New Roman" w:eastAsia="宋体" w:cs="Times New Roman"/>
                <w:sz w:val="18"/>
                <w:szCs w:val="18"/>
              </w:rPr>
            </w:pPr>
          </w:p>
        </w:tc>
        <w:tc>
          <w:tcPr>
            <w:tcW w:w="2550" w:type="dxa"/>
          </w:tcPr>
          <w:p>
            <w:pPr>
              <w:rPr>
                <w:rFonts w:ascii="宋体" w:hAnsi="宋体" w:eastAsia="宋体" w:cs="宋体"/>
                <w:szCs w:val="21"/>
              </w:rPr>
            </w:pPr>
          </w:p>
        </w:tc>
        <w:tc>
          <w:tcPr>
            <w:tcW w:w="2510" w:type="dxa"/>
            <w:tcBorders>
              <w:right w:val="single" w:color="000000" w:sz="4" w:space="0"/>
            </w:tcBorders>
          </w:tcPr>
          <w:p>
            <w:pPr>
              <w:ind w:left="105" w:leftChars="50"/>
              <w:jc w:val="left"/>
              <w:rPr>
                <w:rFonts w:ascii="宋体" w:hAnsi="宋体" w:eastAsia="宋体" w:cs="宋体"/>
                <w:szCs w:val="21"/>
              </w:rPr>
            </w:pPr>
          </w:p>
        </w:tc>
        <w:tc>
          <w:tcPr>
            <w:tcW w:w="2196" w:type="dxa"/>
            <w:tcBorders>
              <w:left w:val="single" w:color="000000" w:sz="4" w:space="0"/>
            </w:tcBorders>
          </w:tcPr>
          <w:p>
            <w:pPr>
              <w:ind w:left="105" w:leftChars="50"/>
              <w:jc w:val="left"/>
              <w:rPr>
                <w:rFonts w:ascii="宋体" w:hAnsi="宋体" w:eastAsia="宋体" w:cs="宋体"/>
                <w:szCs w:val="21"/>
              </w:rPr>
            </w:pPr>
          </w:p>
        </w:tc>
        <w:tc>
          <w:tcPr>
            <w:tcW w:w="964" w:type="dxa"/>
          </w:tcPr>
          <w:p>
            <w:pPr>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6"/>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pPr>
              <w:jc w:val="center"/>
              <w:rPr>
                <w:rFonts w:ascii="宋体" w:hAnsi="宋体" w:eastAsia="宋体" w:cs="宋体"/>
                <w:szCs w:val="21"/>
              </w:rPr>
            </w:pPr>
          </w:p>
        </w:tc>
        <w:tc>
          <w:tcPr>
            <w:tcW w:w="1722" w:type="dxa"/>
          </w:tcPr>
          <w:p>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jc w:val="center"/>
              <w:rPr>
                <w:rFonts w:ascii="Times New Roman" w:hAnsi="Times New Roman" w:eastAsia="宋体" w:cs="Times New Roman"/>
                <w:sz w:val="18"/>
                <w:szCs w:val="18"/>
              </w:rPr>
            </w:pPr>
          </w:p>
        </w:tc>
        <w:tc>
          <w:tcPr>
            <w:tcW w:w="550" w:type="dxa"/>
            <w:shd w:val="clear" w:color="auto" w:fill="auto"/>
            <w:vAlign w:val="center"/>
          </w:tcPr>
          <w:p>
            <w:pPr>
              <w:jc w:val="center"/>
              <w:rPr>
                <w:rFonts w:ascii="Times New Roman" w:hAnsi="Times New Roman" w:eastAsia="宋体" w:cs="Times New Roman"/>
                <w:sz w:val="18"/>
                <w:szCs w:val="18"/>
              </w:rPr>
            </w:pPr>
          </w:p>
        </w:tc>
        <w:tc>
          <w:tcPr>
            <w:tcW w:w="2550" w:type="dxa"/>
          </w:tcPr>
          <w:p>
            <w:pPr>
              <w:rPr>
                <w:rFonts w:ascii="宋体" w:hAnsi="宋体" w:eastAsia="宋体" w:cs="宋体"/>
                <w:szCs w:val="21"/>
              </w:rPr>
            </w:pPr>
          </w:p>
        </w:tc>
        <w:tc>
          <w:tcPr>
            <w:tcW w:w="2510" w:type="dxa"/>
            <w:tcBorders>
              <w:right w:val="single" w:color="000000" w:sz="4" w:space="0"/>
            </w:tcBorders>
          </w:tcPr>
          <w:p>
            <w:pPr>
              <w:ind w:left="105" w:leftChars="50"/>
              <w:jc w:val="left"/>
              <w:rPr>
                <w:rFonts w:ascii="宋体" w:hAnsi="宋体" w:eastAsia="宋体" w:cs="宋体"/>
                <w:szCs w:val="21"/>
              </w:rPr>
            </w:pPr>
          </w:p>
        </w:tc>
        <w:tc>
          <w:tcPr>
            <w:tcW w:w="2196" w:type="dxa"/>
            <w:tcBorders>
              <w:left w:val="single" w:color="000000" w:sz="4" w:space="0"/>
            </w:tcBorders>
          </w:tcPr>
          <w:p>
            <w:pPr>
              <w:ind w:left="105" w:leftChars="50"/>
              <w:jc w:val="left"/>
              <w:rPr>
                <w:rFonts w:ascii="宋体" w:hAnsi="宋体" w:eastAsia="宋体" w:cs="宋体"/>
                <w:szCs w:val="21"/>
              </w:rPr>
            </w:pPr>
          </w:p>
        </w:tc>
        <w:tc>
          <w:tcPr>
            <w:tcW w:w="964" w:type="dxa"/>
          </w:tcPr>
          <w:p>
            <w:pPr>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pPr>
              <w:jc w:val="center"/>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pPr>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pPr>
              <w:rPr>
                <w:rFonts w:ascii="Arial"/>
              </w:rPr>
            </w:pPr>
            <w:r>
              <w:rPr>
                <w:rFonts w:hint="eastAsia" w:ascii="宋体" w:hAnsi="宋体" w:eastAsia="宋体" w:cs="宋体"/>
                <w:szCs w:val="21"/>
              </w:rPr>
              <w:t xml:space="preserve"> </w:t>
            </w:r>
          </w:p>
        </w:tc>
        <w:tc>
          <w:tcPr>
            <w:tcW w:w="703" w:type="dxa"/>
          </w:tcPr>
          <w:p>
            <w:pPr>
              <w:rPr>
                <w:rFonts w:ascii="Arial"/>
              </w:rPr>
            </w:pPr>
            <w:r>
              <w:rPr>
                <w:rFonts w:hint="eastAsia" w:ascii="宋体" w:hAnsi="宋体" w:eastAsia="宋体" w:cs="宋体"/>
                <w:szCs w:val="21"/>
              </w:rPr>
              <w:t xml:space="preserve"> </w:t>
            </w:r>
          </w:p>
        </w:tc>
        <w:tc>
          <w:tcPr>
            <w:tcW w:w="550" w:type="dxa"/>
          </w:tcPr>
          <w:p>
            <w:pPr>
              <w:rPr>
                <w:rFonts w:ascii="Arial"/>
              </w:rPr>
            </w:pPr>
            <w:r>
              <w:rPr>
                <w:rFonts w:hint="eastAsia" w:ascii="宋体" w:hAnsi="宋体" w:eastAsia="宋体" w:cs="宋体"/>
                <w:szCs w:val="21"/>
              </w:rPr>
              <w:t xml:space="preserve"> </w:t>
            </w:r>
          </w:p>
        </w:tc>
        <w:tc>
          <w:tcPr>
            <w:tcW w:w="2550" w:type="dxa"/>
          </w:tcPr>
          <w:p>
            <w:pPr>
              <w:rPr>
                <w:rFonts w:ascii="Arial"/>
              </w:rPr>
            </w:pPr>
          </w:p>
        </w:tc>
        <w:tc>
          <w:tcPr>
            <w:tcW w:w="2510" w:type="dxa"/>
            <w:tcBorders>
              <w:right w:val="single" w:color="000000" w:sz="4" w:space="0"/>
            </w:tcBorders>
          </w:tcPr>
          <w:p>
            <w:pPr>
              <w:rPr>
                <w:rFonts w:ascii="Arial"/>
              </w:rPr>
            </w:pPr>
          </w:p>
        </w:tc>
        <w:tc>
          <w:tcPr>
            <w:tcW w:w="2196" w:type="dxa"/>
            <w:tcBorders>
              <w:left w:val="single" w:color="000000" w:sz="4" w:space="0"/>
            </w:tcBorders>
          </w:tcPr>
          <w:p>
            <w:pPr>
              <w:rPr>
                <w:rFonts w:ascii="Arial"/>
              </w:rPr>
            </w:pPr>
          </w:p>
        </w:tc>
        <w:tc>
          <w:tcPr>
            <w:tcW w:w="9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pPr>
              <w:jc w:val="center"/>
              <w:rPr>
                <w:rFonts w:ascii="宋体" w:hAnsi="宋体" w:eastAsia="宋体" w:cs="宋体"/>
                <w:spacing w:val="-6"/>
                <w:szCs w:val="21"/>
              </w:rPr>
            </w:pPr>
          </w:p>
        </w:tc>
        <w:tc>
          <w:tcPr>
            <w:tcW w:w="944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pPr>
              <w:rPr>
                <w:rFonts w:ascii="Arial"/>
              </w:rPr>
            </w:pPr>
          </w:p>
        </w:tc>
        <w:tc>
          <w:tcPr>
            <w:tcW w:w="964" w:type="dxa"/>
          </w:tcPr>
          <w:p>
            <w:pPr>
              <w:rPr>
                <w:rFonts w:ascii="Arial"/>
              </w:rPr>
            </w:pP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ascii="宋体" w:hAnsi="宋体" w:eastAsia="宋体" w:cs="宋体"/>
          <w:spacing w:val="-6"/>
          <w:szCs w:val="21"/>
        </w:rPr>
      </w:pPr>
    </w:p>
    <w:p>
      <w:pPr>
        <w:spacing w:before="78" w:line="219" w:lineRule="auto"/>
        <w:ind w:left="431"/>
        <w:rPr>
          <w:rFonts w:ascii="宋体" w:hAnsi="宋体" w:eastAsia="宋体" w:cs="宋体"/>
          <w:spacing w:val="-6"/>
          <w:szCs w:val="21"/>
        </w:rPr>
      </w:pPr>
    </w:p>
    <w:p>
      <w:pPr>
        <w:spacing w:before="78" w:line="219" w:lineRule="auto"/>
        <w:ind w:left="431"/>
        <w:rPr>
          <w:rFonts w:ascii="宋体" w:hAnsi="宋体" w:eastAsia="宋体" w:cs="宋体"/>
          <w:spacing w:val="-6"/>
          <w:szCs w:val="21"/>
        </w:rPr>
      </w:pPr>
    </w:p>
    <w:p>
      <w:pPr>
        <w:spacing w:before="78" w:line="219" w:lineRule="auto"/>
        <w:ind w:left="431"/>
        <w:rPr>
          <w:rFonts w:ascii="宋体" w:hAnsi="宋体" w:eastAsia="宋体" w:cs="宋体"/>
          <w:spacing w:val="-6"/>
          <w:szCs w:val="21"/>
        </w:rPr>
      </w:pPr>
    </w:p>
    <w:p>
      <w:pPr>
        <w:spacing w:before="85" w:line="198" w:lineRule="auto"/>
        <w:ind w:firstLine="696" w:firstLineChars="300"/>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pPr>
        <w:rPr>
          <w:rFonts w:ascii="宋体" w:hAnsi="宋体" w:eastAsia="宋体" w:cs="宋体"/>
          <w:sz w:val="24"/>
          <w:szCs w:val="24"/>
        </w:r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ascii="宋体" w:hAnsi="宋体" w:eastAsia="宋体" w:cs="宋体"/>
                <w:szCs w:val="21"/>
              </w:rPr>
            </w:pPr>
            <w:r>
              <w:rPr>
                <w:rFonts w:hint="eastAsia" w:ascii="宋体" w:hAnsi="宋体" w:eastAsia="宋体" w:cs="宋体"/>
                <w:spacing w:val="-2"/>
                <w:szCs w:val="21"/>
              </w:rPr>
              <w:t>土建</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6</w:t>
            </w:r>
          </w:p>
        </w:tc>
        <w:tc>
          <w:tcPr>
            <w:tcW w:w="3530" w:type="dxa"/>
          </w:tcPr>
          <w:p>
            <w:pPr>
              <w:spacing w:before="211" w:line="221" w:lineRule="auto"/>
              <w:ind w:left="1557"/>
              <w:rPr>
                <w:rFonts w:ascii="宋体" w:hAnsi="宋体" w:eastAsia="宋体" w:cs="宋体"/>
                <w:spacing w:val="-2"/>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line="172" w:lineRule="exact"/>
      </w:pPr>
    </w:p>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headerReference r:id="rId32" w:type="default"/>
          <w:footerReference r:id="rId33" w:type="default"/>
          <w:pgSz w:w="16841" w:h="11907"/>
          <w:pgMar w:top="400" w:right="1699" w:bottom="1184" w:left="1481"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4" w:type="default"/>
          <w:pgSz w:w="16841" w:h="11907"/>
          <w:pgMar w:top="400" w:right="1699" w:bottom="1184" w:left="1481" w:header="0" w:footer="1022" w:gutter="0"/>
          <w:cols w:space="720" w:num="1"/>
        </w:sectPr>
      </w:pPr>
    </w:p>
    <w:p>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5"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78"/>
        <w:gridCol w:w="2830"/>
        <w:gridCol w:w="2703"/>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78"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u w:val="single"/>
                <w:lang w:eastAsia="zh-CN"/>
              </w:rPr>
              <w:t>济南商用车制造公司更新冲压模具维修区域起重机技改项目</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7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78"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7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78"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7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78"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3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70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78"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7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78"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7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lang w:eastAsia="zh-CN"/>
        </w:rPr>
        <w:t>济南商用车制造公司更新冲压模具维修区域起重机技改项目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济南商用车制造公司更新冲压模具维修区域起重机技改项目</w:t>
      </w:r>
    </w:p>
    <w:p>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red"/>
        </w:rPr>
        <w:t>中国重汽集团济南</w:t>
      </w:r>
      <w:r>
        <w:rPr>
          <w:rFonts w:hint="eastAsia" w:ascii="宋体" w:hAnsi="宋体" w:eastAsia="宋体" w:cs="Times New Roman"/>
          <w:b/>
          <w:bCs/>
          <w:sz w:val="24"/>
          <w:szCs w:val="20"/>
          <w:highlight w:val="red"/>
          <w:lang w:val="en-US" w:eastAsia="zh-CN"/>
        </w:rPr>
        <w:t>商用车</w:t>
      </w:r>
      <w:r>
        <w:rPr>
          <w:rFonts w:hint="eastAsia" w:ascii="宋体" w:hAnsi="宋体" w:eastAsia="宋体" w:cs="Times New Roman"/>
          <w:b/>
          <w:bCs/>
          <w:sz w:val="24"/>
          <w:szCs w:val="20"/>
          <w:highlight w:val="red"/>
        </w:rPr>
        <w:t>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val="en-US" w:eastAsia="zh-CN"/>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highlight w:val="yellow"/>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u w:val="single"/>
                <w:lang w:eastAsia="zh-CN"/>
              </w:rPr>
              <w:t>济南商用车制造公司更新冲压模具维修区域起重机技改项目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pPr>
        <w:spacing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济南商用车制造公司更新冲压模具维修区域起重机技改项目</w:t>
      </w:r>
    </w:p>
    <w:p>
      <w:pPr>
        <w:spacing w:line="360" w:lineRule="auto"/>
        <w:rPr>
          <w:rFonts w:ascii="宋体" w:hAnsi="Calibri" w:eastAsia="宋体" w:cs="Times New Roman"/>
          <w:b/>
          <w:bCs/>
          <w:sz w:val="24"/>
          <w:szCs w:val="20"/>
          <w:highlight w:val="red"/>
        </w:rPr>
      </w:pPr>
      <w:r>
        <w:rPr>
          <w:rFonts w:hint="eastAsia" w:ascii="宋体" w:hAnsi="宋体" w:cs="Times New Roman"/>
          <w:b/>
          <w:bCs/>
          <w:sz w:val="24"/>
          <w:szCs w:val="20"/>
          <w:highlight w:val="red"/>
          <w:lang w:val="en-US" w:eastAsia="zh-CN"/>
        </w:rPr>
        <w:t>中国重汽集团济南商用车有限公司</w:t>
      </w:r>
      <w:r>
        <w:rPr>
          <w:rFonts w:hint="eastAsia" w:ascii="宋体" w:hAnsi="宋体" w:eastAsia="宋体" w:cs="Times New Roman"/>
          <w:b/>
          <w:bCs/>
          <w:sz w:val="24"/>
          <w:szCs w:val="20"/>
          <w:highlight w:val="red"/>
        </w:rPr>
        <w:t>：</w:t>
      </w:r>
    </w:p>
    <w:p>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red"/>
        </w:rPr>
        <w:t>（投标单位名称）</w:t>
      </w:r>
      <w:r>
        <w:rPr>
          <w:rFonts w:hint="eastAsia" w:ascii="宋体" w:hAnsi="宋体" w:eastAsia="宋体" w:cs="Times New Roman"/>
          <w:sz w:val="24"/>
          <w:szCs w:val="20"/>
        </w:rPr>
        <w:t>对中标合同产品的服务作如下承诺：</w:t>
      </w:r>
    </w:p>
    <w:p>
      <w:pPr>
        <w:pStyle w:val="4"/>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Style w:val="4"/>
        <w:tabs>
          <w:tab w:val="right" w:leader="dot" w:pos="9061"/>
        </w:tabs>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ectPr>
          <w:pgSz w:w="11906" w:h="16838"/>
          <w:pgMar w:top="1587" w:right="1417" w:bottom="1134" w:left="1417" w:header="850" w:footer="992" w:gutter="0"/>
          <w:pgNumType w:fmt="decimal"/>
          <w:cols w:space="0" w:num="1"/>
          <w:titlePg/>
          <w:docGrid w:type="lines" w:linePitch="324"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评分标准</w:t>
      </w:r>
    </w:p>
    <w:tbl>
      <w:tblPr>
        <w:tblStyle w:val="36"/>
        <w:tblpPr w:leftFromText="180" w:rightFromText="180" w:vertAnchor="text" w:horzAnchor="margin" w:tblpY="20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525"/>
        <w:gridCol w:w="2427"/>
        <w:gridCol w:w="692"/>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717" w:type="dxa"/>
            <w:vAlign w:val="center"/>
          </w:tcPr>
          <w:p>
            <w:pPr>
              <w:spacing w:line="360" w:lineRule="auto"/>
              <w:ind w:right="-6"/>
              <w:jc w:val="center"/>
              <w:rPr>
                <w:rFonts w:ascii="宋体" w:hAnsi="宋体"/>
                <w:b/>
                <w:sz w:val="18"/>
                <w:szCs w:val="18"/>
                <w:highlight w:val="none"/>
              </w:rPr>
            </w:pPr>
            <w:r>
              <w:rPr>
                <w:rFonts w:hint="eastAsia" w:ascii="宋体" w:hAnsi="宋体"/>
                <w:b/>
                <w:sz w:val="18"/>
                <w:szCs w:val="18"/>
                <w:highlight w:val="none"/>
              </w:rPr>
              <w:t>一</w:t>
            </w:r>
          </w:p>
        </w:tc>
        <w:tc>
          <w:tcPr>
            <w:tcW w:w="8889" w:type="dxa"/>
            <w:gridSpan w:val="4"/>
            <w:vAlign w:val="center"/>
          </w:tcPr>
          <w:p>
            <w:pPr>
              <w:spacing w:line="360" w:lineRule="auto"/>
              <w:ind w:right="-6"/>
              <w:jc w:val="center"/>
              <w:rPr>
                <w:rFonts w:ascii="宋体" w:hAnsi="宋体"/>
                <w:b/>
                <w:sz w:val="18"/>
                <w:szCs w:val="18"/>
                <w:highlight w:val="none"/>
              </w:rPr>
            </w:pPr>
            <w:r>
              <w:rPr>
                <w:rFonts w:hint="eastAsia" w:ascii="宋体" w:hAnsi="宋体" w:eastAsia="宋体" w:cs="宋体"/>
                <w:b/>
                <w:sz w:val="28"/>
                <w:szCs w:val="28"/>
                <w:highlight w:val="none"/>
              </w:rPr>
              <w:t>技术标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717" w:type="dxa"/>
            <w:vAlign w:val="center"/>
          </w:tcPr>
          <w:p>
            <w:pPr>
              <w:tabs>
                <w:tab w:val="left" w:pos="13965"/>
              </w:tabs>
              <w:ind w:right="-6"/>
              <w:jc w:val="center"/>
              <w:rPr>
                <w:rFonts w:ascii="宋体" w:hAnsi="宋体" w:eastAsia="宋体" w:cs="Times New Roman"/>
                <w:b/>
                <w:szCs w:val="21"/>
                <w:highlight w:val="none"/>
              </w:rPr>
            </w:pPr>
            <w:bookmarkStart w:id="194" w:name="OLE_LINK22"/>
            <w:r>
              <w:rPr>
                <w:rFonts w:hint="eastAsia" w:ascii="宋体" w:hAnsi="宋体" w:eastAsia="宋体" w:cs="Times New Roman"/>
                <w:b/>
                <w:szCs w:val="21"/>
                <w:highlight w:val="none"/>
              </w:rPr>
              <w:t>评审内容</w:t>
            </w:r>
          </w:p>
        </w:tc>
        <w:tc>
          <w:tcPr>
            <w:tcW w:w="525" w:type="dxa"/>
            <w:vAlign w:val="center"/>
          </w:tcPr>
          <w:p>
            <w:pPr>
              <w:tabs>
                <w:tab w:val="left" w:pos="13965"/>
              </w:tabs>
              <w:ind w:right="-6"/>
              <w:jc w:val="center"/>
              <w:rPr>
                <w:rFonts w:ascii="宋体" w:hAnsi="宋体" w:eastAsia="宋体" w:cs="Times New Roman"/>
                <w:b/>
                <w:szCs w:val="21"/>
                <w:highlight w:val="none"/>
              </w:rPr>
            </w:pPr>
            <w:r>
              <w:rPr>
                <w:rFonts w:hint="eastAsia" w:ascii="宋体" w:hAnsi="宋体" w:eastAsia="宋体" w:cs="Times New Roman"/>
                <w:b/>
                <w:szCs w:val="21"/>
                <w:highlight w:val="none"/>
              </w:rPr>
              <w:t>序号</w:t>
            </w:r>
          </w:p>
        </w:tc>
        <w:tc>
          <w:tcPr>
            <w:tcW w:w="2427" w:type="dxa"/>
            <w:vAlign w:val="center"/>
          </w:tcPr>
          <w:p>
            <w:pPr>
              <w:tabs>
                <w:tab w:val="left" w:pos="13965"/>
              </w:tabs>
              <w:ind w:right="-6"/>
              <w:jc w:val="center"/>
              <w:rPr>
                <w:rFonts w:ascii="宋体" w:hAnsi="宋体" w:eastAsia="宋体" w:cs="Times New Roman"/>
                <w:b/>
                <w:szCs w:val="21"/>
                <w:highlight w:val="none"/>
              </w:rPr>
            </w:pPr>
            <w:r>
              <w:rPr>
                <w:rFonts w:hint="eastAsia" w:ascii="宋体" w:hAnsi="宋体" w:eastAsia="宋体" w:cs="Times New Roman"/>
                <w:b/>
                <w:szCs w:val="21"/>
                <w:highlight w:val="none"/>
              </w:rPr>
              <w:t>内容</w:t>
            </w:r>
          </w:p>
        </w:tc>
        <w:tc>
          <w:tcPr>
            <w:tcW w:w="692" w:type="dxa"/>
            <w:vAlign w:val="center"/>
          </w:tcPr>
          <w:p>
            <w:pPr>
              <w:tabs>
                <w:tab w:val="left" w:pos="13965"/>
              </w:tabs>
              <w:ind w:right="-6"/>
              <w:jc w:val="center"/>
              <w:rPr>
                <w:rFonts w:ascii="宋体" w:hAnsi="宋体" w:eastAsia="宋体" w:cs="Times New Roman"/>
                <w:b/>
                <w:szCs w:val="21"/>
                <w:highlight w:val="none"/>
              </w:rPr>
            </w:pPr>
            <w:r>
              <w:rPr>
                <w:rFonts w:hint="eastAsia" w:ascii="宋体" w:hAnsi="宋体" w:eastAsia="宋体" w:cs="Times New Roman"/>
                <w:b/>
                <w:szCs w:val="21"/>
                <w:highlight w:val="none"/>
              </w:rPr>
              <w:t>标准分</w:t>
            </w:r>
          </w:p>
        </w:tc>
        <w:tc>
          <w:tcPr>
            <w:tcW w:w="5245" w:type="dxa"/>
            <w:vAlign w:val="center"/>
          </w:tcPr>
          <w:p>
            <w:pPr>
              <w:tabs>
                <w:tab w:val="left" w:pos="13965"/>
              </w:tabs>
              <w:ind w:right="-6"/>
              <w:jc w:val="center"/>
              <w:rPr>
                <w:rFonts w:ascii="宋体" w:hAnsi="宋体" w:eastAsia="宋体" w:cs="Times New Roman"/>
                <w:b/>
                <w:szCs w:val="21"/>
                <w:highlight w:val="none"/>
              </w:rPr>
            </w:pPr>
            <w:r>
              <w:rPr>
                <w:rFonts w:hint="eastAsia" w:ascii="宋体" w:hAnsi="宋体" w:eastAsia="宋体" w:cs="Times New Roman"/>
                <w:b/>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Align w:val="center"/>
          </w:tcPr>
          <w:p>
            <w:pPr>
              <w:tabs>
                <w:tab w:val="left" w:pos="13965"/>
              </w:tabs>
              <w:jc w:val="center"/>
              <w:rPr>
                <w:rFonts w:ascii="宋体" w:hAnsi="宋体" w:eastAsia="宋体" w:cs="Times New Roman"/>
                <w:szCs w:val="21"/>
                <w:highlight w:val="none"/>
              </w:rPr>
            </w:pPr>
            <w:r>
              <w:rPr>
                <w:rFonts w:hint="eastAsia" w:ascii="宋体" w:hAnsi="宋体" w:eastAsia="宋体" w:cs="Times New Roman"/>
                <w:szCs w:val="21"/>
                <w:highlight w:val="none"/>
              </w:rPr>
              <w:t>企业能力</w:t>
            </w:r>
          </w:p>
        </w:tc>
        <w:tc>
          <w:tcPr>
            <w:tcW w:w="525" w:type="dxa"/>
            <w:vAlign w:val="center"/>
          </w:tcPr>
          <w:p>
            <w:pPr>
              <w:tabs>
                <w:tab w:val="left" w:pos="13965"/>
              </w:tabs>
              <w:jc w:val="center"/>
              <w:rPr>
                <w:rFonts w:ascii="宋体" w:hAnsi="宋体" w:eastAsia="宋体" w:cs="Times New Roman"/>
                <w:szCs w:val="21"/>
                <w:highlight w:val="none"/>
              </w:rPr>
            </w:pPr>
            <w:r>
              <w:rPr>
                <w:rFonts w:ascii="宋体" w:hAnsi="宋体" w:eastAsia="宋体" w:cs="Times New Roman"/>
                <w:szCs w:val="21"/>
                <w:highlight w:val="none"/>
              </w:rPr>
              <w:t>1</w:t>
            </w:r>
          </w:p>
        </w:tc>
        <w:tc>
          <w:tcPr>
            <w:tcW w:w="2427" w:type="dxa"/>
            <w:vAlign w:val="center"/>
          </w:tcPr>
          <w:p>
            <w:pPr>
              <w:rPr>
                <w:rFonts w:ascii="宋体" w:hAnsi="宋体" w:eastAsia="宋体" w:cs="Times New Roman"/>
                <w:szCs w:val="21"/>
                <w:highlight w:val="none"/>
              </w:rPr>
            </w:pPr>
            <w:r>
              <w:rPr>
                <w:rFonts w:hint="eastAsia" w:ascii="宋体" w:hAnsi="宋体" w:eastAsia="宋体"/>
                <w:bCs/>
                <w:szCs w:val="21"/>
                <w:highlight w:val="none"/>
                <w:lang w:val="en-US" w:eastAsia="zh-CN"/>
              </w:rPr>
              <w:t>投标厂家往期的同类项目经验，是否符合国家和行业标准，设备</w:t>
            </w:r>
            <w:r>
              <w:rPr>
                <w:rFonts w:hint="eastAsia" w:ascii="宋体" w:hAnsi="宋体" w:eastAsia="宋体"/>
                <w:bCs/>
                <w:szCs w:val="21"/>
                <w:highlight w:val="none"/>
              </w:rPr>
              <w:t>制造能力、生产设备、完善程度</w:t>
            </w:r>
          </w:p>
        </w:tc>
        <w:tc>
          <w:tcPr>
            <w:tcW w:w="692" w:type="dxa"/>
            <w:vAlign w:val="center"/>
          </w:tcPr>
          <w:p>
            <w:pPr>
              <w:tabs>
                <w:tab w:val="left" w:pos="13965"/>
              </w:tabs>
              <w:jc w:val="center"/>
              <w:rPr>
                <w:rFonts w:ascii="宋体" w:hAnsi="宋体" w:eastAsia="宋体" w:cs="Times New Roman"/>
                <w:szCs w:val="21"/>
                <w:highlight w:val="none"/>
              </w:rPr>
            </w:pPr>
            <w:r>
              <w:rPr>
                <w:rFonts w:hint="eastAsia" w:ascii="宋体" w:hAnsi="宋体" w:eastAsia="宋体" w:cs="Times New Roman"/>
                <w:szCs w:val="21"/>
                <w:highlight w:val="none"/>
              </w:rPr>
              <w:t>10</w:t>
            </w:r>
          </w:p>
        </w:tc>
        <w:tc>
          <w:tcPr>
            <w:tcW w:w="5245" w:type="dxa"/>
            <w:vAlign w:val="center"/>
          </w:tcPr>
          <w:p>
            <w:pPr>
              <w:rPr>
                <w:rFonts w:ascii="宋体" w:hAnsi="宋体" w:eastAsia="宋体"/>
                <w:szCs w:val="21"/>
                <w:highlight w:val="none"/>
              </w:rPr>
            </w:pPr>
            <w:r>
              <w:rPr>
                <w:rFonts w:hint="eastAsia" w:ascii="宋体" w:hAnsi="宋体" w:eastAsia="宋体"/>
                <w:bCs/>
                <w:szCs w:val="21"/>
                <w:highlight w:val="none"/>
              </w:rPr>
              <w:t>投标人的</w:t>
            </w:r>
            <w:r>
              <w:rPr>
                <w:rFonts w:hint="eastAsia" w:ascii="宋体" w:hAnsi="宋体" w:eastAsia="宋体"/>
                <w:bCs/>
                <w:szCs w:val="21"/>
                <w:highlight w:val="none"/>
                <w:lang w:val="en-US" w:eastAsia="zh-CN"/>
              </w:rPr>
              <w:t>同类项目经验、设备</w:t>
            </w:r>
            <w:r>
              <w:rPr>
                <w:rFonts w:hint="eastAsia" w:ascii="宋体" w:hAnsi="宋体" w:eastAsia="宋体"/>
                <w:bCs/>
                <w:szCs w:val="21"/>
                <w:highlight w:val="none"/>
              </w:rPr>
              <w:t>制造能力、生产设备、完善程度</w:t>
            </w:r>
            <w:r>
              <w:rPr>
                <w:rFonts w:hint="eastAsia" w:ascii="宋体" w:hAnsi="宋体" w:eastAsia="宋体"/>
                <w:bCs/>
                <w:szCs w:val="21"/>
                <w:highlight w:val="none"/>
                <w:lang w:val="en-US" w:eastAsia="zh-CN"/>
              </w:rPr>
              <w:t>，</w:t>
            </w:r>
            <w:r>
              <w:rPr>
                <w:rFonts w:hint="eastAsia" w:ascii="宋体" w:hAnsi="宋体" w:eastAsia="宋体"/>
                <w:bCs/>
                <w:szCs w:val="21"/>
                <w:highlight w:val="none"/>
              </w:rPr>
              <w:t>视情况得0-10分。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Merge w:val="restart"/>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产品技术</w:t>
            </w:r>
          </w:p>
        </w:tc>
        <w:tc>
          <w:tcPr>
            <w:tcW w:w="525" w:type="dxa"/>
            <w:vAlign w:val="center"/>
          </w:tcPr>
          <w:p>
            <w:pPr>
              <w:jc w:val="center"/>
              <w:rPr>
                <w:rFonts w:ascii="宋体" w:hAnsi="宋体" w:eastAsia="宋体" w:cs="Times New Roman"/>
                <w:szCs w:val="21"/>
                <w:highlight w:val="none"/>
              </w:rPr>
            </w:pPr>
            <w:r>
              <w:rPr>
                <w:rFonts w:ascii="宋体" w:hAnsi="宋体" w:eastAsia="宋体" w:cs="Times New Roman"/>
                <w:szCs w:val="21"/>
                <w:highlight w:val="none"/>
              </w:rPr>
              <w:t>2</w:t>
            </w:r>
          </w:p>
        </w:tc>
        <w:tc>
          <w:tcPr>
            <w:tcW w:w="2427" w:type="dxa"/>
            <w:vAlign w:val="center"/>
          </w:tcPr>
          <w:p>
            <w:pPr>
              <w:rPr>
                <w:rFonts w:ascii="宋体" w:hAnsi="宋体" w:eastAsia="宋体" w:cs="Times New Roman"/>
                <w:bCs/>
                <w:szCs w:val="21"/>
                <w:highlight w:val="none"/>
              </w:rPr>
            </w:pPr>
            <w:r>
              <w:rPr>
                <w:rFonts w:hint="eastAsia" w:ascii="宋体" w:hAnsi="宋体" w:eastAsia="宋体" w:cs="Times New Roman"/>
                <w:szCs w:val="21"/>
                <w:highlight w:val="none"/>
              </w:rPr>
              <w:t>供货周期及工期进度计划。</w:t>
            </w:r>
          </w:p>
        </w:tc>
        <w:tc>
          <w:tcPr>
            <w:tcW w:w="692"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10</w:t>
            </w:r>
          </w:p>
        </w:tc>
        <w:tc>
          <w:tcPr>
            <w:tcW w:w="5245" w:type="dxa"/>
            <w:vAlign w:val="center"/>
          </w:tcPr>
          <w:p>
            <w:pPr>
              <w:rPr>
                <w:rFonts w:ascii="宋体" w:hAnsi="宋体" w:eastAsia="宋体" w:cs="Times New Roman"/>
                <w:szCs w:val="21"/>
                <w:highlight w:val="none"/>
              </w:rPr>
            </w:pPr>
            <w:r>
              <w:rPr>
                <w:rFonts w:hint="eastAsia" w:ascii="宋体" w:hAnsi="宋体" w:eastAsia="宋体" w:cs="宋体"/>
                <w:szCs w:val="21"/>
                <w:highlight w:val="none"/>
              </w:rPr>
              <w:t>由评标委员会成员独立进行客观、公正的评价，按照到货周期进行赋分，满足要求得10分，不满足要求</w:t>
            </w:r>
            <w:r>
              <w:rPr>
                <w:rFonts w:hint="eastAsia" w:ascii="宋体" w:hAnsi="宋体" w:eastAsia="宋体" w:cs="宋体"/>
                <w:szCs w:val="21"/>
                <w:highlight w:val="none"/>
                <w:lang w:val="en-US" w:eastAsia="zh-CN"/>
              </w:rPr>
              <w:t>0-5</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Merge w:val="continue"/>
            <w:vAlign w:val="center"/>
          </w:tcPr>
          <w:p>
            <w:pPr>
              <w:jc w:val="center"/>
              <w:rPr>
                <w:rFonts w:ascii="宋体" w:hAnsi="宋体" w:eastAsia="宋体" w:cs="Times New Roman"/>
                <w:szCs w:val="21"/>
                <w:highlight w:val="none"/>
              </w:rPr>
            </w:pPr>
          </w:p>
        </w:tc>
        <w:tc>
          <w:tcPr>
            <w:tcW w:w="525"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3</w:t>
            </w:r>
          </w:p>
        </w:tc>
        <w:tc>
          <w:tcPr>
            <w:tcW w:w="2427" w:type="dxa"/>
            <w:vAlign w:val="center"/>
          </w:tcPr>
          <w:p>
            <w:pPr>
              <w:rPr>
                <w:rFonts w:ascii="宋体" w:hAnsi="宋体" w:eastAsia="宋体" w:cs="宋体"/>
                <w:szCs w:val="21"/>
                <w:highlight w:val="none"/>
              </w:rPr>
            </w:pPr>
            <w:r>
              <w:rPr>
                <w:rFonts w:hint="eastAsia" w:ascii="宋体" w:hAnsi="宋体" w:eastAsia="宋体" w:cs="宋体"/>
                <w:szCs w:val="21"/>
                <w:highlight w:val="none"/>
              </w:rPr>
              <w:t>根据投标方所列各部件关键技术指标描述全面性、准确性进行赋分。</w:t>
            </w:r>
          </w:p>
        </w:tc>
        <w:tc>
          <w:tcPr>
            <w:tcW w:w="692" w:type="dxa"/>
            <w:vAlign w:val="center"/>
          </w:tcPr>
          <w:p>
            <w:pPr>
              <w:jc w:val="center"/>
              <w:rPr>
                <w:rFonts w:ascii="宋体" w:hAnsi="宋体" w:eastAsia="宋体" w:cs="宋体"/>
                <w:szCs w:val="21"/>
                <w:highlight w:val="none"/>
              </w:rPr>
            </w:pPr>
            <w:r>
              <w:rPr>
                <w:rFonts w:hint="eastAsia" w:ascii="宋体" w:hAnsi="宋体" w:eastAsia="宋体" w:cs="Times New Roman"/>
                <w:szCs w:val="21"/>
                <w:highlight w:val="none"/>
              </w:rPr>
              <w:t>20</w:t>
            </w:r>
          </w:p>
        </w:tc>
        <w:tc>
          <w:tcPr>
            <w:tcW w:w="5245" w:type="dxa"/>
            <w:vAlign w:val="center"/>
          </w:tcPr>
          <w:p>
            <w:pPr>
              <w:rPr>
                <w:rFonts w:ascii="宋体" w:hAnsi="宋体" w:eastAsia="宋体" w:cs="宋体"/>
                <w:szCs w:val="21"/>
                <w:highlight w:val="none"/>
              </w:rPr>
            </w:pPr>
            <w:r>
              <w:rPr>
                <w:rFonts w:hint="eastAsia" w:ascii="宋体" w:hAnsi="宋体" w:eastAsia="宋体" w:cs="宋体"/>
                <w:szCs w:val="21"/>
                <w:highlight w:val="none"/>
              </w:rPr>
              <w:t>由评标委员会成员独立进行客观、公正的评价，按照优、良、一般进行赋分，优得20分，良得10分，一般得5分。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Merge w:val="continue"/>
            <w:vAlign w:val="center"/>
          </w:tcPr>
          <w:p>
            <w:pPr>
              <w:jc w:val="center"/>
              <w:rPr>
                <w:rFonts w:ascii="宋体" w:hAnsi="宋体" w:eastAsia="宋体" w:cs="Times New Roman"/>
                <w:szCs w:val="21"/>
                <w:highlight w:val="none"/>
              </w:rPr>
            </w:pPr>
          </w:p>
        </w:tc>
        <w:tc>
          <w:tcPr>
            <w:tcW w:w="525"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4</w:t>
            </w:r>
          </w:p>
        </w:tc>
        <w:tc>
          <w:tcPr>
            <w:tcW w:w="2427" w:type="dxa"/>
            <w:vAlign w:val="center"/>
          </w:tcPr>
          <w:p>
            <w:pPr>
              <w:rPr>
                <w:rFonts w:ascii="宋体" w:hAnsi="宋体" w:eastAsia="宋体" w:cs="宋体"/>
                <w:szCs w:val="21"/>
                <w:highlight w:val="none"/>
              </w:rPr>
            </w:pPr>
            <w:r>
              <w:rPr>
                <w:rFonts w:hint="eastAsia" w:ascii="宋体" w:hAnsi="宋体" w:eastAsia="宋体" w:cs="宋体"/>
                <w:szCs w:val="21"/>
                <w:highlight w:val="none"/>
              </w:rPr>
              <w:t>产品技术先进性、成熟度，性能稳定性。能够提供重要或权威客户产品证明文件。</w:t>
            </w:r>
          </w:p>
        </w:tc>
        <w:tc>
          <w:tcPr>
            <w:tcW w:w="692" w:type="dxa"/>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15</w:t>
            </w:r>
          </w:p>
        </w:tc>
        <w:tc>
          <w:tcPr>
            <w:tcW w:w="5245" w:type="dxa"/>
            <w:vAlign w:val="center"/>
          </w:tcPr>
          <w:p>
            <w:pPr>
              <w:rPr>
                <w:rFonts w:ascii="宋体" w:hAnsi="宋体" w:eastAsia="宋体" w:cs="宋体"/>
                <w:szCs w:val="21"/>
                <w:highlight w:val="none"/>
              </w:rPr>
            </w:pPr>
            <w:r>
              <w:rPr>
                <w:rFonts w:hint="eastAsia" w:ascii="宋体" w:hAnsi="宋体" w:eastAsia="宋体" w:cs="宋体"/>
                <w:szCs w:val="21"/>
                <w:highlight w:val="none"/>
              </w:rPr>
              <w:t xml:space="preserve">由评标委员会成员独立进行客观、公正的评价，按照优、良、一般进行赋分，优得15分，良得10分，一般得5分。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答疑情况</w:t>
            </w:r>
          </w:p>
        </w:tc>
        <w:tc>
          <w:tcPr>
            <w:tcW w:w="525" w:type="dxa"/>
            <w:vAlign w:val="center"/>
          </w:tcPr>
          <w:p>
            <w:pPr>
              <w:jc w:val="center"/>
              <w:rPr>
                <w:rFonts w:ascii="宋体" w:hAnsi="宋体" w:eastAsia="宋体" w:cs="宋体"/>
                <w:szCs w:val="21"/>
                <w:highlight w:val="none"/>
              </w:rPr>
            </w:pPr>
            <w:r>
              <w:rPr>
                <w:rFonts w:hint="eastAsia" w:ascii="宋体" w:hAnsi="宋体" w:eastAsia="宋体" w:cs="宋体"/>
                <w:szCs w:val="21"/>
                <w:highlight w:val="none"/>
              </w:rPr>
              <w:t>5</w:t>
            </w:r>
          </w:p>
        </w:tc>
        <w:tc>
          <w:tcPr>
            <w:tcW w:w="2427" w:type="dxa"/>
            <w:vAlign w:val="center"/>
          </w:tcPr>
          <w:p>
            <w:pPr>
              <w:rPr>
                <w:rFonts w:ascii="宋体" w:hAnsi="宋体" w:eastAsia="宋体" w:cs="宋体"/>
                <w:szCs w:val="21"/>
                <w:highlight w:val="none"/>
              </w:rPr>
            </w:pPr>
            <w:r>
              <w:rPr>
                <w:rFonts w:hint="eastAsia" w:ascii="宋体" w:hAnsi="宋体" w:eastAsia="宋体" w:cs="宋体"/>
                <w:szCs w:val="21"/>
                <w:highlight w:val="none"/>
              </w:rPr>
              <w:t>现场答疑情况</w:t>
            </w:r>
          </w:p>
        </w:tc>
        <w:tc>
          <w:tcPr>
            <w:tcW w:w="692" w:type="dxa"/>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10</w:t>
            </w:r>
          </w:p>
        </w:tc>
        <w:tc>
          <w:tcPr>
            <w:tcW w:w="5245" w:type="dxa"/>
            <w:vAlign w:val="center"/>
          </w:tcPr>
          <w:p>
            <w:pPr>
              <w:rPr>
                <w:rFonts w:ascii="宋体" w:hAnsi="宋体" w:eastAsia="宋体" w:cs="宋体"/>
                <w:szCs w:val="21"/>
                <w:highlight w:val="none"/>
              </w:rPr>
            </w:pPr>
            <w:r>
              <w:rPr>
                <w:rFonts w:hint="eastAsia" w:ascii="宋体" w:hAnsi="宋体" w:eastAsia="宋体" w:cs="宋体"/>
                <w:szCs w:val="21"/>
                <w:highlight w:val="none"/>
              </w:rPr>
              <w:t>投标文件包含招标文件要求的全部内容，投标方代表对方案及技术优势，回答评标专家现场提问，打分0-10分。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lang w:val="en-US" w:eastAsia="zh-CN"/>
              </w:rPr>
              <w:t>响应</w:t>
            </w:r>
            <w:r>
              <w:rPr>
                <w:rFonts w:hint="eastAsia" w:ascii="宋体" w:hAnsi="宋体" w:eastAsia="宋体" w:cs="Times New Roman"/>
                <w:szCs w:val="21"/>
                <w:highlight w:val="none"/>
              </w:rPr>
              <w:t>程度</w:t>
            </w:r>
          </w:p>
        </w:tc>
        <w:tc>
          <w:tcPr>
            <w:tcW w:w="525"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6</w:t>
            </w:r>
          </w:p>
        </w:tc>
        <w:tc>
          <w:tcPr>
            <w:tcW w:w="2427" w:type="dxa"/>
            <w:vAlign w:val="center"/>
          </w:tcPr>
          <w:p>
            <w:pPr>
              <w:rPr>
                <w:rFonts w:ascii="宋体" w:hAnsi="宋体" w:eastAsia="宋体" w:cs="Times New Roman"/>
                <w:szCs w:val="21"/>
                <w:highlight w:val="none"/>
              </w:rPr>
            </w:pPr>
            <w:r>
              <w:rPr>
                <w:rFonts w:hint="eastAsia" w:ascii="宋体" w:hAnsi="宋体" w:eastAsia="宋体" w:cs="Times New Roman"/>
                <w:bCs/>
                <w:szCs w:val="21"/>
                <w:highlight w:val="none"/>
              </w:rPr>
              <w:t>对技术</w:t>
            </w:r>
            <w:r>
              <w:rPr>
                <w:rFonts w:hint="eastAsia" w:ascii="宋体" w:hAnsi="宋体" w:eastAsia="宋体" w:cs="Times New Roman"/>
                <w:bCs/>
                <w:szCs w:val="21"/>
                <w:highlight w:val="none"/>
                <w:lang w:val="en-US" w:eastAsia="zh-CN"/>
              </w:rPr>
              <w:t>方案</w:t>
            </w:r>
            <w:r>
              <w:rPr>
                <w:rFonts w:hint="eastAsia" w:ascii="宋体" w:hAnsi="宋体" w:eastAsia="宋体" w:cs="Times New Roman"/>
                <w:bCs/>
                <w:szCs w:val="21"/>
                <w:highlight w:val="none"/>
                <w:lang w:eastAsia="zh-CN"/>
              </w:rPr>
              <w:t>、</w:t>
            </w:r>
            <w:r>
              <w:rPr>
                <w:rFonts w:hint="eastAsia" w:ascii="宋体" w:hAnsi="宋体" w:eastAsia="宋体" w:cs="Times New Roman"/>
                <w:bCs/>
                <w:szCs w:val="21"/>
                <w:highlight w:val="none"/>
                <w:lang w:val="en-US" w:eastAsia="zh-CN"/>
              </w:rPr>
              <w:t>品牌型号</w:t>
            </w:r>
            <w:r>
              <w:rPr>
                <w:rFonts w:hint="eastAsia" w:ascii="宋体" w:hAnsi="宋体" w:eastAsia="宋体" w:cs="Times New Roman"/>
                <w:bCs/>
                <w:szCs w:val="21"/>
                <w:highlight w:val="none"/>
              </w:rPr>
              <w:t>的的响应程度</w:t>
            </w:r>
          </w:p>
        </w:tc>
        <w:tc>
          <w:tcPr>
            <w:tcW w:w="692"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2</w:t>
            </w:r>
            <w:r>
              <w:rPr>
                <w:rFonts w:ascii="宋体" w:hAnsi="宋体" w:eastAsia="宋体" w:cs="Times New Roman"/>
                <w:szCs w:val="21"/>
                <w:highlight w:val="none"/>
              </w:rPr>
              <w:t>0</w:t>
            </w:r>
          </w:p>
        </w:tc>
        <w:tc>
          <w:tcPr>
            <w:tcW w:w="5245" w:type="dxa"/>
            <w:vAlign w:val="center"/>
          </w:tcPr>
          <w:p>
            <w:pPr>
              <w:jc w:val="left"/>
              <w:rPr>
                <w:rFonts w:ascii="宋体" w:hAnsi="宋体" w:eastAsia="宋体" w:cs="Times New Roman"/>
                <w:bCs/>
                <w:szCs w:val="21"/>
                <w:highlight w:val="none"/>
              </w:rPr>
            </w:pPr>
            <w:r>
              <w:rPr>
                <w:rFonts w:hint="eastAsia" w:ascii="宋体" w:hAnsi="宋体" w:eastAsia="宋体" w:cs="Times New Roman"/>
                <w:bCs/>
                <w:szCs w:val="21"/>
                <w:highlight w:val="none"/>
              </w:rPr>
              <w:t>由评标委员会成员独立进行客观、公正的评价，根据各投标单位的核心产品的配置参数、偏离情况，无偏离完全响应得满分2</w:t>
            </w:r>
            <w:r>
              <w:rPr>
                <w:rFonts w:ascii="宋体" w:hAnsi="宋体" w:eastAsia="宋体" w:cs="Times New Roman"/>
                <w:bCs/>
                <w:szCs w:val="21"/>
                <w:highlight w:val="none"/>
              </w:rPr>
              <w:t>0</w:t>
            </w:r>
            <w:r>
              <w:rPr>
                <w:rFonts w:hint="eastAsia" w:ascii="宋体" w:hAnsi="宋体" w:eastAsia="宋体" w:cs="Times New Roman"/>
                <w:bCs/>
                <w:szCs w:val="21"/>
                <w:highlight w:val="none"/>
              </w:rPr>
              <w:t>分，基本响应得1</w:t>
            </w:r>
            <w:r>
              <w:rPr>
                <w:rFonts w:ascii="宋体" w:hAnsi="宋体" w:eastAsia="宋体" w:cs="Times New Roman"/>
                <w:bCs/>
                <w:szCs w:val="21"/>
                <w:highlight w:val="none"/>
              </w:rPr>
              <w:t>0</w:t>
            </w:r>
            <w:r>
              <w:rPr>
                <w:rFonts w:hint="eastAsia" w:ascii="宋体" w:hAnsi="宋体" w:eastAsia="宋体" w:cs="Times New Roman"/>
                <w:bCs/>
                <w:szCs w:val="21"/>
                <w:highlight w:val="none"/>
              </w:rPr>
              <w:t>分，响应较差得5分，最低0分。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Merge w:val="restart"/>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售后服务</w:t>
            </w:r>
          </w:p>
        </w:tc>
        <w:tc>
          <w:tcPr>
            <w:tcW w:w="525"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7</w:t>
            </w:r>
          </w:p>
        </w:tc>
        <w:tc>
          <w:tcPr>
            <w:tcW w:w="2427" w:type="dxa"/>
            <w:vAlign w:val="center"/>
          </w:tcPr>
          <w:p>
            <w:pPr>
              <w:rPr>
                <w:rFonts w:ascii="宋体" w:hAnsi="宋体" w:eastAsia="宋体" w:cs="Times New Roman"/>
                <w:szCs w:val="21"/>
                <w:highlight w:val="none"/>
              </w:rPr>
            </w:pPr>
            <w:r>
              <w:rPr>
                <w:rFonts w:hint="eastAsia" w:ascii="宋体" w:hAnsi="宋体" w:eastAsia="宋体" w:cs="Times New Roman"/>
                <w:szCs w:val="21"/>
                <w:highlight w:val="none"/>
              </w:rPr>
              <w:t>技术培训方案：对采购方人员的技术培训方案安排科学、合理、可行</w:t>
            </w:r>
          </w:p>
        </w:tc>
        <w:tc>
          <w:tcPr>
            <w:tcW w:w="692" w:type="dxa"/>
            <w:vAlign w:val="center"/>
          </w:tcPr>
          <w:p>
            <w:pPr>
              <w:jc w:val="center"/>
              <w:rPr>
                <w:rFonts w:ascii="宋体" w:hAnsi="宋体" w:eastAsia="宋体" w:cs="Times New Roman"/>
                <w:szCs w:val="21"/>
                <w:highlight w:val="none"/>
              </w:rPr>
            </w:pPr>
            <w:r>
              <w:rPr>
                <w:rFonts w:ascii="宋体" w:hAnsi="宋体" w:eastAsia="宋体" w:cs="Times New Roman"/>
                <w:szCs w:val="21"/>
                <w:highlight w:val="none"/>
              </w:rPr>
              <w:t>5</w:t>
            </w:r>
          </w:p>
        </w:tc>
        <w:tc>
          <w:tcPr>
            <w:tcW w:w="5245" w:type="dxa"/>
            <w:vAlign w:val="center"/>
          </w:tcPr>
          <w:p>
            <w:pPr>
              <w:rPr>
                <w:rFonts w:ascii="宋体" w:hAnsi="宋体" w:eastAsia="宋体" w:cs="Times New Roman"/>
                <w:bCs/>
                <w:szCs w:val="21"/>
                <w:highlight w:val="none"/>
              </w:rPr>
            </w:pPr>
            <w:r>
              <w:rPr>
                <w:rFonts w:hint="eastAsia" w:ascii="宋体" w:hAnsi="宋体" w:eastAsia="宋体" w:cs="Times New Roman"/>
                <w:bCs/>
                <w:szCs w:val="21"/>
                <w:highlight w:val="none"/>
              </w:rPr>
              <w:t>由评标委员会成员独立进行客观、公正的评价，按照优、良、一般进行赋分，优得</w:t>
            </w:r>
            <w:r>
              <w:rPr>
                <w:rFonts w:ascii="宋体" w:hAnsi="宋体" w:eastAsia="宋体" w:cs="Times New Roman"/>
                <w:bCs/>
                <w:szCs w:val="21"/>
                <w:highlight w:val="none"/>
              </w:rPr>
              <w:t>5</w:t>
            </w:r>
            <w:r>
              <w:rPr>
                <w:rFonts w:hint="eastAsia" w:ascii="宋体" w:hAnsi="宋体" w:eastAsia="宋体" w:cs="Times New Roman"/>
                <w:bCs/>
                <w:szCs w:val="21"/>
                <w:highlight w:val="none"/>
              </w:rPr>
              <w:t>分，良得</w:t>
            </w:r>
            <w:r>
              <w:rPr>
                <w:rFonts w:ascii="宋体" w:hAnsi="宋体" w:eastAsia="宋体" w:cs="Times New Roman"/>
                <w:bCs/>
                <w:szCs w:val="21"/>
                <w:highlight w:val="none"/>
              </w:rPr>
              <w:t>3</w:t>
            </w:r>
            <w:r>
              <w:rPr>
                <w:rFonts w:hint="eastAsia" w:ascii="宋体" w:hAnsi="宋体" w:eastAsia="宋体" w:cs="Times New Roman"/>
                <w:bCs/>
                <w:szCs w:val="21"/>
                <w:highlight w:val="none"/>
              </w:rPr>
              <w:t>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Merge w:val="continue"/>
            <w:vAlign w:val="center"/>
          </w:tcPr>
          <w:p>
            <w:pPr>
              <w:jc w:val="center"/>
              <w:rPr>
                <w:rFonts w:ascii="宋体" w:hAnsi="宋体" w:eastAsia="宋体" w:cs="Times New Roman"/>
                <w:szCs w:val="21"/>
                <w:highlight w:val="none"/>
              </w:rPr>
            </w:pPr>
          </w:p>
        </w:tc>
        <w:tc>
          <w:tcPr>
            <w:tcW w:w="525"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8</w:t>
            </w:r>
          </w:p>
        </w:tc>
        <w:tc>
          <w:tcPr>
            <w:tcW w:w="2427" w:type="dxa"/>
            <w:shd w:val="clear" w:color="auto" w:fill="auto"/>
            <w:vAlign w:val="center"/>
          </w:tcPr>
          <w:p>
            <w:pPr>
              <w:rPr>
                <w:rFonts w:ascii="宋体" w:hAnsi="宋体" w:eastAsia="宋体" w:cs="Times New Roman"/>
                <w:szCs w:val="21"/>
                <w:highlight w:val="none"/>
              </w:rPr>
            </w:pPr>
            <w:r>
              <w:rPr>
                <w:rFonts w:hint="eastAsia" w:ascii="宋体" w:hAnsi="宋体" w:eastAsia="宋体" w:cs="Times New Roman"/>
                <w:bCs/>
                <w:szCs w:val="21"/>
                <w:highlight w:val="none"/>
              </w:rPr>
              <w:t>投标人维保机构具有实施本项目维保的专业技术人员</w:t>
            </w:r>
          </w:p>
        </w:tc>
        <w:tc>
          <w:tcPr>
            <w:tcW w:w="692" w:type="dxa"/>
            <w:shd w:val="clear" w:color="auto" w:fill="auto"/>
            <w:vAlign w:val="center"/>
          </w:tcPr>
          <w:p>
            <w:pPr>
              <w:jc w:val="center"/>
              <w:rPr>
                <w:rFonts w:ascii="宋体" w:hAnsi="宋体" w:eastAsia="宋体" w:cs="Times New Roman"/>
                <w:szCs w:val="21"/>
                <w:highlight w:val="none"/>
              </w:rPr>
            </w:pPr>
            <w:r>
              <w:rPr>
                <w:rFonts w:ascii="宋体" w:hAnsi="宋体" w:eastAsia="宋体" w:cs="Times New Roman"/>
                <w:bCs/>
                <w:szCs w:val="21"/>
                <w:highlight w:val="none"/>
              </w:rPr>
              <w:t>5</w:t>
            </w:r>
          </w:p>
        </w:tc>
        <w:tc>
          <w:tcPr>
            <w:tcW w:w="5245" w:type="dxa"/>
            <w:shd w:val="clear" w:color="auto" w:fill="auto"/>
            <w:vAlign w:val="center"/>
          </w:tcPr>
          <w:p>
            <w:pPr>
              <w:rPr>
                <w:rFonts w:ascii="宋体" w:hAnsi="宋体" w:eastAsia="宋体" w:cs="Times New Roman"/>
                <w:bCs/>
                <w:szCs w:val="21"/>
                <w:highlight w:val="none"/>
              </w:rPr>
            </w:pPr>
            <w:r>
              <w:rPr>
                <w:rFonts w:hint="eastAsia" w:ascii="宋体" w:hAnsi="宋体" w:eastAsia="宋体" w:cs="Times New Roman"/>
                <w:bCs/>
                <w:szCs w:val="21"/>
                <w:highlight w:val="none"/>
              </w:rPr>
              <w:t>由评标委员会成员独立进行客观、公正的评价，按照优、良、一般进行赋分，优得</w:t>
            </w:r>
            <w:r>
              <w:rPr>
                <w:rFonts w:ascii="宋体" w:hAnsi="宋体" w:eastAsia="宋体" w:cs="Times New Roman"/>
                <w:bCs/>
                <w:szCs w:val="21"/>
                <w:highlight w:val="none"/>
              </w:rPr>
              <w:t>5</w:t>
            </w:r>
            <w:r>
              <w:rPr>
                <w:rFonts w:hint="eastAsia" w:ascii="宋体" w:hAnsi="宋体" w:eastAsia="宋体" w:cs="Times New Roman"/>
                <w:bCs/>
                <w:szCs w:val="21"/>
                <w:highlight w:val="none"/>
              </w:rPr>
              <w:t>分，良得</w:t>
            </w:r>
            <w:r>
              <w:rPr>
                <w:rFonts w:ascii="宋体" w:hAnsi="宋体" w:eastAsia="宋体" w:cs="Times New Roman"/>
                <w:bCs/>
                <w:szCs w:val="21"/>
                <w:highlight w:val="none"/>
              </w:rPr>
              <w:t>3</w:t>
            </w:r>
            <w:r>
              <w:rPr>
                <w:rFonts w:hint="eastAsia" w:ascii="宋体" w:hAnsi="宋体" w:eastAsia="宋体" w:cs="Times New Roman"/>
                <w:bCs/>
                <w:szCs w:val="21"/>
                <w:highlight w:val="none"/>
              </w:rPr>
              <w:t>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9" w:hRule="atLeast"/>
        </w:trPr>
        <w:tc>
          <w:tcPr>
            <w:tcW w:w="717" w:type="dxa"/>
            <w:vMerge w:val="continue"/>
            <w:vAlign w:val="center"/>
          </w:tcPr>
          <w:p>
            <w:pPr>
              <w:jc w:val="center"/>
              <w:rPr>
                <w:rFonts w:ascii="宋体" w:hAnsi="宋体" w:eastAsia="宋体" w:cs="Times New Roman"/>
                <w:szCs w:val="21"/>
                <w:highlight w:val="none"/>
              </w:rPr>
            </w:pPr>
          </w:p>
        </w:tc>
        <w:tc>
          <w:tcPr>
            <w:tcW w:w="525"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9</w:t>
            </w:r>
          </w:p>
        </w:tc>
        <w:tc>
          <w:tcPr>
            <w:tcW w:w="2427" w:type="dxa"/>
            <w:vAlign w:val="center"/>
          </w:tcPr>
          <w:p>
            <w:pPr>
              <w:rPr>
                <w:rFonts w:ascii="宋体" w:hAnsi="宋体" w:eastAsia="宋体" w:cs="Times New Roman"/>
                <w:szCs w:val="21"/>
                <w:highlight w:val="none"/>
              </w:rPr>
            </w:pPr>
            <w:r>
              <w:rPr>
                <w:rFonts w:hint="eastAsia" w:ascii="宋体" w:hAnsi="宋体" w:eastAsia="宋体" w:cs="Times New Roman"/>
                <w:szCs w:val="21"/>
                <w:highlight w:val="none"/>
              </w:rPr>
              <w:t>售后服务及时周到，有相应的服务承诺和具体的保证措施</w:t>
            </w:r>
          </w:p>
        </w:tc>
        <w:tc>
          <w:tcPr>
            <w:tcW w:w="692" w:type="dxa"/>
            <w:vAlign w:val="center"/>
          </w:tcPr>
          <w:p>
            <w:pPr>
              <w:jc w:val="center"/>
              <w:rPr>
                <w:rFonts w:ascii="宋体" w:hAnsi="宋体" w:eastAsia="宋体" w:cs="Times New Roman"/>
                <w:szCs w:val="21"/>
                <w:highlight w:val="none"/>
              </w:rPr>
            </w:pPr>
            <w:r>
              <w:rPr>
                <w:rFonts w:ascii="宋体" w:hAnsi="宋体" w:eastAsia="宋体" w:cs="Times New Roman"/>
                <w:szCs w:val="21"/>
                <w:highlight w:val="none"/>
              </w:rPr>
              <w:t>5</w:t>
            </w:r>
          </w:p>
        </w:tc>
        <w:tc>
          <w:tcPr>
            <w:tcW w:w="5245" w:type="dxa"/>
            <w:vAlign w:val="center"/>
          </w:tcPr>
          <w:p>
            <w:pPr>
              <w:rPr>
                <w:rFonts w:ascii="宋体" w:hAnsi="宋体" w:eastAsia="宋体" w:cs="Times New Roman"/>
                <w:bCs/>
                <w:szCs w:val="21"/>
                <w:highlight w:val="none"/>
              </w:rPr>
            </w:pPr>
            <w:r>
              <w:rPr>
                <w:rFonts w:hint="eastAsia" w:ascii="宋体" w:hAnsi="宋体" w:eastAsia="宋体" w:cs="Times New Roman"/>
                <w:bCs/>
                <w:szCs w:val="21"/>
                <w:highlight w:val="none"/>
              </w:rPr>
              <w:t>由评标委员会成员独立进行客观、公正的评价，按照优、良、一般进行赋分，优得</w:t>
            </w:r>
            <w:r>
              <w:rPr>
                <w:rFonts w:ascii="宋体" w:hAnsi="宋体" w:eastAsia="宋体" w:cs="Times New Roman"/>
                <w:bCs/>
                <w:szCs w:val="21"/>
                <w:highlight w:val="none"/>
              </w:rPr>
              <w:t>5</w:t>
            </w:r>
            <w:r>
              <w:rPr>
                <w:rFonts w:hint="eastAsia" w:ascii="宋体" w:hAnsi="宋体" w:eastAsia="宋体" w:cs="Times New Roman"/>
                <w:bCs/>
                <w:szCs w:val="21"/>
                <w:highlight w:val="none"/>
              </w:rPr>
              <w:t>分，良得</w:t>
            </w:r>
            <w:r>
              <w:rPr>
                <w:rFonts w:ascii="宋体" w:hAnsi="宋体" w:eastAsia="宋体" w:cs="Times New Roman"/>
                <w:bCs/>
                <w:szCs w:val="21"/>
                <w:highlight w:val="none"/>
              </w:rPr>
              <w:t>3</w:t>
            </w:r>
            <w:r>
              <w:rPr>
                <w:rFonts w:hint="eastAsia" w:ascii="宋体" w:hAnsi="宋体" w:eastAsia="宋体" w:cs="Times New Roman"/>
                <w:bCs/>
                <w:szCs w:val="21"/>
                <w:highlight w:val="none"/>
              </w:rPr>
              <w:t>分，一般得1分。</w:t>
            </w:r>
          </w:p>
        </w:tc>
      </w:tr>
      <w:bookmarkEnd w:id="194"/>
    </w:tbl>
    <w:p>
      <w:pPr>
        <w:pStyle w:val="17"/>
        <w:outlineLvl w:val="2"/>
        <w:rPr>
          <w:rFonts w:hint="eastAsia" w:hAnsi="宋体" w:eastAsia="宋体" w:cs="宋体"/>
          <w:b/>
          <w:bCs/>
          <w:color w:val="000000"/>
          <w:sz w:val="24"/>
          <w:szCs w:val="24"/>
        </w:rPr>
      </w:pPr>
    </w:p>
    <w:p>
      <w:pPr>
        <w:sectPr>
          <w:pgSz w:w="11906" w:h="16838"/>
          <w:pgMar w:top="1587" w:right="1417" w:bottom="1134" w:left="1417" w:header="850" w:footer="992" w:gutter="0"/>
          <w:pgNumType w:fmt="decimal"/>
          <w:cols w:space="0" w:num="1"/>
          <w:titlePg/>
          <w:docGrid w:type="lines" w:linePitch="324" w:charSpace="0"/>
        </w:sectPr>
      </w:pPr>
    </w:p>
    <w:p>
      <w:pPr>
        <w:pStyle w:val="17"/>
      </w:pPr>
    </w:p>
    <w:p>
      <w:pPr>
        <w:rPr>
          <w:rFonts w:ascii="宋体" w:hAnsi="宋体" w:eastAsia="宋体" w:cs="宋体"/>
          <w:b/>
          <w:bCs/>
          <w:color w:val="000000"/>
          <w:sz w:val="24"/>
          <w:szCs w:val="24"/>
        </w:rPr>
      </w:pPr>
    </w:p>
    <w:p>
      <w:pPr>
        <w:pStyle w:val="17"/>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pPr>
        <w:pStyle w:val="17"/>
        <w:rPr>
          <w:rFonts w:eastAsia="宋体"/>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17"/>
      </w:pPr>
    </w:p>
    <w:p>
      <w:r>
        <w:drawing>
          <wp:inline distT="0" distB="0" distL="0" distR="0">
            <wp:extent cx="5760085" cy="2809875"/>
            <wp:effectExtent l="0" t="0" r="5715" b="952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5715" b="1206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820042"/>
                    </a:xfrm>
                    <a:prstGeom prst="rect">
                      <a:avLst/>
                    </a:prstGeom>
                  </pic:spPr>
                </pic:pic>
              </a:graphicData>
            </a:graphic>
          </wp:inline>
        </w:drawing>
      </w:r>
    </w:p>
    <w:p>
      <w:pPr>
        <w:pStyle w:val="17"/>
      </w:pPr>
    </w:p>
    <w:p>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pPr>
        <w:pStyle w:val="17"/>
      </w:pPr>
      <w:r>
        <w:rPr>
          <w:rFonts w:hint="eastAsia" w:hAnsi="宋体" w:eastAsia="宋体" w:cs="宋体"/>
          <w:b/>
          <w:bCs/>
          <w:color w:val="000000"/>
          <w:sz w:val="24"/>
          <w:szCs w:val="28"/>
        </w:rPr>
        <w:t>2.配套能力“供货类别”填“工艺装备”，业务主管部门选择“工艺工匠研究院”。</w:t>
      </w:r>
    </w:p>
    <w:p>
      <w:pPr>
        <w:pStyle w:val="17"/>
        <w:sectPr>
          <w:pgSz w:w="11906" w:h="16838"/>
          <w:pgMar w:top="1588" w:right="1418" w:bottom="1134" w:left="1418" w:header="851" w:footer="992" w:gutter="0"/>
          <w:cols w:space="720" w:num="1"/>
          <w:titlePg/>
          <w:docGrid w:type="lines" w:linePitch="312" w:charSpace="0"/>
        </w:sectPr>
      </w:pPr>
    </w:p>
    <w:p>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https://ecaitong.sinotruk.com:8012/</w:t>
      </w:r>
      <w:r>
        <w:rPr>
          <w:rStyle w:val="44"/>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7"/>
      </w:pPr>
      <w:r>
        <w:rPr>
          <w:rFonts w:hint="eastAsia" w:hAnsi="宋体" w:eastAsia="宋体" w:cs="宋体"/>
          <w:color w:val="000000"/>
          <w:sz w:val="24"/>
          <w:szCs w:val="28"/>
        </w:rPr>
        <w:t>注意：系统内的投标报价单位为“万元”，如开标现场发现填错报价，即直接淘汰。</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57"/>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pPr>
        <w:rPr>
          <w:rFonts w:hAnsi="宋体" w:eastAsia="宋体" w:cs="Times New Roman"/>
          <w:b/>
          <w:color w:val="000000"/>
          <w:sz w:val="24"/>
          <w:szCs w:val="24"/>
        </w:rPr>
      </w:pPr>
      <w:r>
        <w:drawing>
          <wp:inline distT="0" distB="0" distL="0" distR="0">
            <wp:extent cx="5760085" cy="1956435"/>
            <wp:effectExtent l="0" t="0" r="5715" b="1206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58"/>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headerReference r:id="rId43" w:type="first"/>
      <w:footerReference r:id="rId45" w:type="first"/>
      <w:headerReference r:id="rId42" w:type="default"/>
      <w:footerReference r:id="rId4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right"/>
      <w:rPr>
        <w:rFonts w:ascii="Times New Roman" w:hAnsi="Times New Roman" w:eastAsia="宋体" w:cs="Times New Roman"/>
        <w:kern w:val="0"/>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12" w:space="9"/>
      </w:pBdr>
      <w:tabs>
        <w:tab w:val="center" w:pos="4153"/>
        <w:tab w:val="right" w:pos="8306"/>
      </w:tabs>
      <w:snapToGrid w:val="0"/>
      <w:jc w:val="both"/>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pict>
        <v:shape id="PowerPlusWaterMarkObject7476950" o:spid="_x0000_s4138" o:spt="136" type="#_x0000_t136" style="position:absolute;left:0pt;margin-left:453.4pt;margin-top:396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6759507" o:spid="_x0000_s4139" o:spt="136" type="#_x0000_t136" style="position:absolute;left:0pt;margin-left:341pt;margin-top:508.45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6183131" o:spid="_x0000_s4140" o:spt="136" type="#_x0000_t136" style="position:absolute;left:0pt;margin-left:228.55pt;margin-top:620.8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6025558" o:spid="_x0000_s4141" o:spt="136" type="#_x0000_t136" style="position:absolute;left:0pt;margin-left:116.1pt;margin-top:733.3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5280402" o:spid="_x0000_s4142" o:spt="136" type="#_x0000_t136" style="position:absolute;left:0pt;margin-left:453.4pt;margin-top:36.7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5091763" o:spid="_x0000_s4143" o:spt="136" type="#_x0000_t136" style="position:absolute;left:0pt;margin-left:341pt;margin-top:149.15pt;height:14pt;width:129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4284997" o:spid="_x0000_s4144" o:spt="136" type="#_x0000_t136" style="position:absolute;left:0pt;margin-left:228.55pt;margin-top:261.55pt;height:14pt;width:129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3583773" o:spid="_x0000_s4145" o:spt="136" type="#_x0000_t136" style="position:absolute;left:0pt;margin-left:116.1pt;margin-top:374pt;height:14pt;width:129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3352100" o:spid="_x0000_s4146" o:spt="136" type="#_x0000_t136" style="position:absolute;left:0pt;margin-left:3.7pt;margin-top:486.45pt;height:14pt;width:129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2765608" o:spid="_x0000_s4147" o:spt="136" type="#_x0000_t136" style="position:absolute;left:0pt;margin-left:-108.75pt;margin-top:598.85pt;height:14pt;width:129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1903076" o:spid="_x0000_s4148" o:spt="136" type="#_x0000_t136" style="position:absolute;left:0pt;margin-left:228.55pt;margin-top:-97.75pt;height:14pt;width:129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1464873" o:spid="_x0000_s4149" o:spt="136" type="#_x0000_t136" style="position:absolute;left:0pt;margin-left:116.1pt;margin-top:14.7pt;height:14pt;width:129pt;mso-position-horizontal-relative:margin;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1394592" o:spid="_x0000_s4150" o:spt="136" type="#_x0000_t136" style="position:absolute;left:0pt;margin-left:3.7pt;margin-top:127.15pt;height:14pt;width:129pt;mso-position-horizontal-relative:margin;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pict>
        <v:shape id="PowerPlusWaterMarkObject466456" o:spid="_x0000_s4151" o:spt="136" type="#_x0000_t136" style="position:absolute;left:0pt;margin-left:-108.75pt;margin-top:239.55pt;height:14pt;width:129pt;mso-position-horizontal-relative:margin;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黄赛昌0563272024-10-16" style="font-family:SongTi;font-size:14pt;v-same-letter-heights:f;v-text-align:center;"/>
        </v:shape>
      </w:pict>
    </w:r>
    <w:r>
      <w:rPr>
        <w:rFonts w:ascii="Times New Roman" w:hAnsi="Times New Roman" w:eastAsia="宋体" w:cs="Times New Roman"/>
        <w:kern w:val="0"/>
        <w:sz w:val="18"/>
        <w:szCs w:val="18"/>
        <w:lang w:val="en-US" w:eastAsia="zh-CN" w:bidi="ar-SA"/>
      </w:rPr>
      <w:drawing>
        <wp:inline distT="0" distB="0" distL="114300" distR="114300">
          <wp:extent cx="1428750" cy="342900"/>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hAnsi="Times New Roman" w:eastAsia="黑体" w:cs="黑体"/>
        <w:kern w:val="0"/>
        <w:sz w:val="24"/>
        <w:szCs w:val="24"/>
        <w:lang w:val="en-US" w:eastAsia="zh-CN" w:bidi="ar-SA"/>
      </w:rPr>
      <w:t>成套货物</w:t>
    </w:r>
    <w:r>
      <w:rPr>
        <w:rFonts w:ascii="黑体" w:hAnsi="Times New Roman" w:eastAsia="黑体" w:cs="黑体"/>
        <w:kern w:val="0"/>
        <w:sz w:val="24"/>
        <w:szCs w:val="24"/>
        <w:lang w:val="en-US" w:eastAsia="zh-CN" w:bidi="ar-SA"/>
      </w:rPr>
      <w:t>/</w:t>
    </w:r>
    <w:r>
      <w:rPr>
        <w:rFonts w:hint="eastAsia" w:ascii="黑体" w:hAnsi="Times New Roman" w:eastAsia="黑体" w:cs="黑体"/>
        <w:kern w:val="0"/>
        <w:sz w:val="24"/>
        <w:szCs w:val="24"/>
        <w:lang w:val="en-US" w:eastAsia="zh-CN" w:bidi="ar-SA"/>
      </w:rPr>
      <w:t>生产线招标文件技术标书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280B3"/>
    <w:multiLevelType w:val="multilevel"/>
    <w:tmpl w:val="8AE280B3"/>
    <w:lvl w:ilvl="0" w:tentative="0">
      <w:start w:val="1"/>
      <w:numFmt w:val="decimal"/>
      <w:lvlText w:val="%1."/>
      <w:lvlJc w:val="left"/>
      <w:pPr>
        <w:ind w:left="425" w:hanging="425"/>
      </w:pPr>
      <w:rPr>
        <w:rFonts w:hint="default"/>
      </w:rPr>
    </w:lvl>
    <w:lvl w:ilvl="1" w:tentative="0">
      <w:start w:val="3"/>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34064DF"/>
    <w:multiLevelType w:val="multilevel"/>
    <w:tmpl w:val="A34064DF"/>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A6304476"/>
    <w:multiLevelType w:val="singleLevel"/>
    <w:tmpl w:val="A6304476"/>
    <w:lvl w:ilvl="0" w:tentative="0">
      <w:start w:val="1"/>
      <w:numFmt w:val="decimal"/>
      <w:suff w:val="space"/>
      <w:lvlText w:val="%1."/>
      <w:lvlJc w:val="left"/>
      <w:pPr>
        <w:ind w:left="425" w:hanging="425"/>
      </w:pPr>
      <w:rPr>
        <w:rFonts w:hint="default"/>
      </w:rPr>
    </w:lvl>
  </w:abstractNum>
  <w:abstractNum w:abstractNumId="3">
    <w:nsid w:val="A6849FB6"/>
    <w:multiLevelType w:val="singleLevel"/>
    <w:tmpl w:val="A6849FB6"/>
    <w:lvl w:ilvl="0" w:tentative="0">
      <w:start w:val="2"/>
      <w:numFmt w:val="chineseCounting"/>
      <w:suff w:val="nothing"/>
      <w:lvlText w:val="%1、"/>
      <w:lvlJc w:val="left"/>
      <w:rPr>
        <w:rFonts w:hint="eastAsia"/>
      </w:rPr>
    </w:lvl>
  </w:abstractNum>
  <w:abstractNum w:abstractNumId="4">
    <w:nsid w:val="BCB4CE00"/>
    <w:multiLevelType w:val="multilevel"/>
    <w:tmpl w:val="BCB4CE00"/>
    <w:lvl w:ilvl="0" w:tentative="0">
      <w:start w:val="3"/>
      <w:numFmt w:val="decimal"/>
      <w:lvlText w:val="%1."/>
      <w:lvlJc w:val="left"/>
      <w:pPr>
        <w:ind w:left="425" w:hanging="425"/>
      </w:pPr>
      <w:rPr>
        <w:rFonts w:hint="default"/>
      </w:rPr>
    </w:lvl>
    <w:lvl w:ilvl="1" w:tentative="0">
      <w:start w:val="2"/>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suff w:val="space"/>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6">
    <w:nsid w:val="FB0A7AC9"/>
    <w:multiLevelType w:val="multilevel"/>
    <w:tmpl w:val="FB0A7AC9"/>
    <w:lvl w:ilvl="0" w:tentative="0">
      <w:start w:val="3"/>
      <w:numFmt w:val="decimal"/>
      <w:lvlText w:val="%1."/>
      <w:lvlJc w:val="left"/>
      <w:pPr>
        <w:ind w:left="425" w:hanging="425"/>
      </w:pPr>
      <w:rPr>
        <w:rFonts w:hint="default"/>
      </w:rPr>
    </w:lvl>
    <w:lvl w:ilvl="1" w:tentative="0">
      <w:start w:val="1"/>
      <w:numFmt w:val="decimal"/>
      <w:lvlText w:val="%1.%2."/>
      <w:lvlJc w:val="left"/>
      <w:pPr>
        <w:ind w:left="567" w:hanging="567"/>
      </w:pPr>
      <w:rPr>
        <w:rFonts w:hint="default"/>
        <w:color w:val="auto"/>
      </w:rPr>
    </w:lvl>
    <w:lvl w:ilvl="2" w:tentative="0">
      <w:start w:val="1"/>
      <w:numFmt w:val="decimal"/>
      <w:suff w:val="space"/>
      <w:lvlText w:val="%1.%2.%3."/>
      <w:lvlJc w:val="left"/>
      <w:pPr>
        <w:ind w:left="709" w:hanging="709"/>
      </w:pPr>
      <w:rPr>
        <w:rFonts w:hint="default"/>
        <w:color w:val="auto"/>
      </w:rPr>
    </w:lvl>
    <w:lvl w:ilvl="3" w:tentative="0">
      <w:start w:val="1"/>
      <w:numFmt w:val="decimal"/>
      <w:suff w:val="space"/>
      <w:lvlText w:val="%1.%2.%3.%4."/>
      <w:lvlJc w:val="left"/>
      <w:pPr>
        <w:ind w:left="850" w:hanging="850"/>
      </w:pPr>
      <w:rPr>
        <w:rFonts w:hint="default"/>
      </w:rPr>
    </w:lvl>
    <w:lvl w:ilvl="4" w:tentative="0">
      <w:start w:val="1"/>
      <w:numFmt w:val="decimal"/>
      <w:suff w:val="space"/>
      <w:lvlText w:val="%1.%2.%3.%4.%5."/>
      <w:lvlJc w:val="left"/>
      <w:pPr>
        <w:ind w:left="991" w:hanging="991"/>
      </w:pPr>
      <w:rPr>
        <w:rFonts w:hint="default"/>
      </w:rPr>
    </w:lvl>
    <w:lvl w:ilvl="5" w:tentative="0">
      <w:start w:val="1"/>
      <w:numFmt w:val="decimal"/>
      <w:suff w:val="space"/>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8">
    <w:nsid w:val="095C0CC6"/>
    <w:multiLevelType w:val="multilevel"/>
    <w:tmpl w:val="095C0CC6"/>
    <w:lvl w:ilvl="0" w:tentative="0">
      <w:start w:val="2"/>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107C897A"/>
    <w:multiLevelType w:val="multilevel"/>
    <w:tmpl w:val="107C897A"/>
    <w:lvl w:ilvl="0" w:tentative="0">
      <w:start w:val="6"/>
      <w:numFmt w:val="decimal"/>
      <w:suff w:val="space"/>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6F7F2F5"/>
    <w:multiLevelType w:val="multilevel"/>
    <w:tmpl w:val="16F7F2F5"/>
    <w:lvl w:ilvl="0" w:tentative="0">
      <w:start w:val="6"/>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3">
    <w:nsid w:val="2920BC9A"/>
    <w:multiLevelType w:val="multilevel"/>
    <w:tmpl w:val="2920BC9A"/>
    <w:lvl w:ilvl="0" w:tentative="0">
      <w:start w:val="2"/>
      <w:numFmt w:val="decimal"/>
      <w:lvlText w:val="%1."/>
      <w:lvlJc w:val="left"/>
      <w:pPr>
        <w:ind w:left="425" w:hanging="425"/>
      </w:pPr>
      <w:rPr>
        <w:rFonts w:hint="default"/>
      </w:rPr>
    </w:lvl>
    <w:lvl w:ilvl="1" w:tentative="0">
      <w:start w:val="4"/>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5">
    <w:nsid w:val="3B6EB75A"/>
    <w:multiLevelType w:val="multilevel"/>
    <w:tmpl w:val="3B6EB75A"/>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7">
    <w:nsid w:val="4CAC6075"/>
    <w:multiLevelType w:val="multilevel"/>
    <w:tmpl w:val="4CAC6075"/>
    <w:lvl w:ilvl="0" w:tentative="0">
      <w:start w:val="3"/>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8">
    <w:nsid w:val="52B06F55"/>
    <w:multiLevelType w:val="singleLevel"/>
    <w:tmpl w:val="52B06F55"/>
    <w:lvl w:ilvl="0" w:tentative="0">
      <w:start w:val="1"/>
      <w:numFmt w:val="decimal"/>
      <w:suff w:val="space"/>
      <w:lvlText w:val="(%1)"/>
      <w:lvlJc w:val="left"/>
      <w:pPr>
        <w:ind w:left="425" w:hanging="425"/>
      </w:pPr>
      <w:rPr>
        <w:rFonts w:hint="default"/>
      </w:rPr>
    </w:lvl>
  </w:abstractNum>
  <w:abstractNum w:abstractNumId="19">
    <w:nsid w:val="558BB1C9"/>
    <w:multiLevelType w:val="multilevel"/>
    <w:tmpl w:val="558BB1C9"/>
    <w:lvl w:ilvl="0" w:tentative="0">
      <w:start w:val="5"/>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FBB5EF6"/>
    <w:multiLevelType w:val="multilevel"/>
    <w:tmpl w:val="5FBB5EF6"/>
    <w:lvl w:ilvl="0" w:tentative="0">
      <w:start w:val="2"/>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1">
    <w:nsid w:val="6E8C6948"/>
    <w:multiLevelType w:val="singleLevel"/>
    <w:tmpl w:val="6E8C6948"/>
    <w:lvl w:ilvl="0" w:tentative="0">
      <w:start w:val="1"/>
      <w:numFmt w:val="chineseCounting"/>
      <w:suff w:val="space"/>
      <w:lvlText w:val="第%1部分"/>
      <w:lvlJc w:val="left"/>
      <w:rPr>
        <w:rFonts w:hint="eastAsia"/>
      </w:rPr>
    </w:lvl>
  </w:abstractNum>
  <w:abstractNum w:abstractNumId="22">
    <w:nsid w:val="725B4B6B"/>
    <w:multiLevelType w:val="multilevel"/>
    <w:tmpl w:val="725B4B6B"/>
    <w:lvl w:ilvl="0" w:tentative="0">
      <w:start w:val="1"/>
      <w:numFmt w:val="decimal"/>
      <w:lvlText w:val="%1."/>
      <w:lvlJc w:val="left"/>
      <w:pPr>
        <w:ind w:left="425" w:hanging="425"/>
      </w:pPr>
      <w:rPr>
        <w:rFonts w:hint="default"/>
      </w:rPr>
    </w:lvl>
    <w:lvl w:ilvl="1" w:tentative="0">
      <w:start w:val="2"/>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3">
    <w:nsid w:val="75896372"/>
    <w:multiLevelType w:val="multilevel"/>
    <w:tmpl w:val="75896372"/>
    <w:lvl w:ilvl="0" w:tentative="0">
      <w:start w:val="2"/>
      <w:numFmt w:val="decimal"/>
      <w:lvlText w:val="%1."/>
      <w:lvlJc w:val="left"/>
      <w:pPr>
        <w:ind w:left="425" w:hanging="425"/>
      </w:pPr>
      <w:rPr>
        <w:rFonts w:hint="default"/>
      </w:rPr>
    </w:lvl>
    <w:lvl w:ilvl="1" w:tentative="0">
      <w:start w:val="2"/>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strike w:val="0"/>
        <w:dstrike w:val="0"/>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4">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21"/>
  </w:num>
  <w:num w:numId="2">
    <w:abstractNumId w:val="3"/>
  </w:num>
  <w:num w:numId="3">
    <w:abstractNumId w:val="24"/>
  </w:num>
  <w:num w:numId="4">
    <w:abstractNumId w:val="12"/>
  </w:num>
  <w:num w:numId="5">
    <w:abstractNumId w:val="7"/>
  </w:num>
  <w:num w:numId="6">
    <w:abstractNumId w:val="16"/>
  </w:num>
  <w:num w:numId="7">
    <w:abstractNumId w:val="5"/>
  </w:num>
  <w:num w:numId="8">
    <w:abstractNumId w:val="14"/>
  </w:num>
  <w:num w:numId="9">
    <w:abstractNumId w:val="11"/>
  </w:num>
  <w:num w:numId="10">
    <w:abstractNumId w:val="6"/>
  </w:num>
  <w:num w:numId="11">
    <w:abstractNumId w:val="4"/>
  </w:num>
  <w:num w:numId="12">
    <w:abstractNumId w:val="15"/>
  </w:num>
  <w:num w:numId="13">
    <w:abstractNumId w:val="22"/>
  </w:num>
  <w:num w:numId="14">
    <w:abstractNumId w:val="0"/>
  </w:num>
  <w:num w:numId="15">
    <w:abstractNumId w:val="23"/>
  </w:num>
  <w:num w:numId="16">
    <w:abstractNumId w:val="13"/>
  </w:num>
  <w:num w:numId="17">
    <w:abstractNumId w:val="8"/>
  </w:num>
  <w:num w:numId="18">
    <w:abstractNumId w:val="17"/>
  </w:num>
  <w:num w:numId="19">
    <w:abstractNumId w:val="18"/>
  </w:num>
  <w:num w:numId="20">
    <w:abstractNumId w:val="19"/>
  </w:num>
  <w:num w:numId="21">
    <w:abstractNumId w:val="10"/>
  </w:num>
  <w:num w:numId="22">
    <w:abstractNumId w:val="2"/>
  </w:num>
  <w:num w:numId="23">
    <w:abstractNumId w:val="9"/>
  </w:num>
  <w:num w:numId="24">
    <w:abstractNumId w:val="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77B14"/>
    <w:rsid w:val="009848B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3AF44E3"/>
    <w:rsid w:val="042921B6"/>
    <w:rsid w:val="043B72BB"/>
    <w:rsid w:val="04461EC1"/>
    <w:rsid w:val="04504B3F"/>
    <w:rsid w:val="04AD02B8"/>
    <w:rsid w:val="04D209A6"/>
    <w:rsid w:val="04DE51C8"/>
    <w:rsid w:val="04DF17D4"/>
    <w:rsid w:val="05412745"/>
    <w:rsid w:val="05491761"/>
    <w:rsid w:val="05A351AD"/>
    <w:rsid w:val="05D215EF"/>
    <w:rsid w:val="05F9748A"/>
    <w:rsid w:val="06065640"/>
    <w:rsid w:val="06266F78"/>
    <w:rsid w:val="063E7B7A"/>
    <w:rsid w:val="06582413"/>
    <w:rsid w:val="067E33B8"/>
    <w:rsid w:val="06E82FCB"/>
    <w:rsid w:val="06F34B95"/>
    <w:rsid w:val="07571DAC"/>
    <w:rsid w:val="0796000D"/>
    <w:rsid w:val="07F05315"/>
    <w:rsid w:val="08160B2E"/>
    <w:rsid w:val="08803584"/>
    <w:rsid w:val="08A6354D"/>
    <w:rsid w:val="08DC4547"/>
    <w:rsid w:val="08DD171B"/>
    <w:rsid w:val="08E64121"/>
    <w:rsid w:val="0942017F"/>
    <w:rsid w:val="09BA1FBB"/>
    <w:rsid w:val="09C6146A"/>
    <w:rsid w:val="09CB139F"/>
    <w:rsid w:val="09ED2E9B"/>
    <w:rsid w:val="0A0106F5"/>
    <w:rsid w:val="0A112AB7"/>
    <w:rsid w:val="0A494356"/>
    <w:rsid w:val="0A4E5482"/>
    <w:rsid w:val="0AAA504A"/>
    <w:rsid w:val="0AD71BC7"/>
    <w:rsid w:val="0AF420EB"/>
    <w:rsid w:val="0B1E54CC"/>
    <w:rsid w:val="0B2B2BF5"/>
    <w:rsid w:val="0B2F3908"/>
    <w:rsid w:val="0B3F6206"/>
    <w:rsid w:val="0BE12DB6"/>
    <w:rsid w:val="0BFC6504"/>
    <w:rsid w:val="0C345AD1"/>
    <w:rsid w:val="0C626CE4"/>
    <w:rsid w:val="0CB10B0C"/>
    <w:rsid w:val="0D020A0B"/>
    <w:rsid w:val="0D0C2B7B"/>
    <w:rsid w:val="0D4A0E97"/>
    <w:rsid w:val="0D9308F8"/>
    <w:rsid w:val="0DB735A4"/>
    <w:rsid w:val="0DD139F6"/>
    <w:rsid w:val="0DE76C3D"/>
    <w:rsid w:val="0DF30B86"/>
    <w:rsid w:val="0E1A1D85"/>
    <w:rsid w:val="0E6A6868"/>
    <w:rsid w:val="0E750568"/>
    <w:rsid w:val="0E9C3C97"/>
    <w:rsid w:val="0E9E36B9"/>
    <w:rsid w:val="0F2D7A80"/>
    <w:rsid w:val="0F4277E5"/>
    <w:rsid w:val="0FA75561"/>
    <w:rsid w:val="0FB83603"/>
    <w:rsid w:val="0FC1070A"/>
    <w:rsid w:val="0FCA77F1"/>
    <w:rsid w:val="0FCD5DCC"/>
    <w:rsid w:val="10043197"/>
    <w:rsid w:val="10270545"/>
    <w:rsid w:val="103409DF"/>
    <w:rsid w:val="105D08E7"/>
    <w:rsid w:val="108A1D4B"/>
    <w:rsid w:val="10A10111"/>
    <w:rsid w:val="10BE093E"/>
    <w:rsid w:val="10E20BD8"/>
    <w:rsid w:val="111B0FE9"/>
    <w:rsid w:val="112C77F4"/>
    <w:rsid w:val="113266EC"/>
    <w:rsid w:val="114755AB"/>
    <w:rsid w:val="115F67A8"/>
    <w:rsid w:val="119A7465"/>
    <w:rsid w:val="11C07DA5"/>
    <w:rsid w:val="11C2491E"/>
    <w:rsid w:val="11F36B75"/>
    <w:rsid w:val="12491386"/>
    <w:rsid w:val="12E60579"/>
    <w:rsid w:val="12EB0F02"/>
    <w:rsid w:val="134F714C"/>
    <w:rsid w:val="13695B36"/>
    <w:rsid w:val="1372609F"/>
    <w:rsid w:val="13D73572"/>
    <w:rsid w:val="14504752"/>
    <w:rsid w:val="145A6A37"/>
    <w:rsid w:val="1467440F"/>
    <w:rsid w:val="14AA5A9E"/>
    <w:rsid w:val="15007F26"/>
    <w:rsid w:val="15400323"/>
    <w:rsid w:val="15433A9B"/>
    <w:rsid w:val="15FC2F04"/>
    <w:rsid w:val="16181FAC"/>
    <w:rsid w:val="16263C66"/>
    <w:rsid w:val="168756A0"/>
    <w:rsid w:val="16F94849"/>
    <w:rsid w:val="17045E51"/>
    <w:rsid w:val="172011D4"/>
    <w:rsid w:val="17252C3B"/>
    <w:rsid w:val="173F0A2E"/>
    <w:rsid w:val="17770BC2"/>
    <w:rsid w:val="17860E2F"/>
    <w:rsid w:val="17A119AA"/>
    <w:rsid w:val="18586F2B"/>
    <w:rsid w:val="18713803"/>
    <w:rsid w:val="194D792B"/>
    <w:rsid w:val="19A766B9"/>
    <w:rsid w:val="19CE76BA"/>
    <w:rsid w:val="19F26070"/>
    <w:rsid w:val="19F97C8B"/>
    <w:rsid w:val="1A1523CE"/>
    <w:rsid w:val="1AA730BD"/>
    <w:rsid w:val="1B240754"/>
    <w:rsid w:val="1B333D5D"/>
    <w:rsid w:val="1B587618"/>
    <w:rsid w:val="1B5F19C7"/>
    <w:rsid w:val="1C1C709B"/>
    <w:rsid w:val="1C4F6795"/>
    <w:rsid w:val="1C9F6814"/>
    <w:rsid w:val="1D5C514E"/>
    <w:rsid w:val="1D865D14"/>
    <w:rsid w:val="1D8705EC"/>
    <w:rsid w:val="1DEC0E7D"/>
    <w:rsid w:val="1DF779ED"/>
    <w:rsid w:val="1DFE6FCD"/>
    <w:rsid w:val="1E43150B"/>
    <w:rsid w:val="1EA93E80"/>
    <w:rsid w:val="1ED33FB6"/>
    <w:rsid w:val="1EE81332"/>
    <w:rsid w:val="1F32415A"/>
    <w:rsid w:val="1F542F9A"/>
    <w:rsid w:val="1F5C0CEE"/>
    <w:rsid w:val="1F702632"/>
    <w:rsid w:val="1F7E2174"/>
    <w:rsid w:val="1FF654AF"/>
    <w:rsid w:val="20107567"/>
    <w:rsid w:val="2053475B"/>
    <w:rsid w:val="205D78DA"/>
    <w:rsid w:val="20A70EA1"/>
    <w:rsid w:val="20AB56C6"/>
    <w:rsid w:val="20F54025"/>
    <w:rsid w:val="214E2934"/>
    <w:rsid w:val="21547789"/>
    <w:rsid w:val="2176507C"/>
    <w:rsid w:val="21BC0069"/>
    <w:rsid w:val="21BE35AF"/>
    <w:rsid w:val="21C11174"/>
    <w:rsid w:val="21DB6D2F"/>
    <w:rsid w:val="22244B28"/>
    <w:rsid w:val="22467FD4"/>
    <w:rsid w:val="229451FD"/>
    <w:rsid w:val="22A12DB6"/>
    <w:rsid w:val="232E3EB1"/>
    <w:rsid w:val="236356D1"/>
    <w:rsid w:val="23A91C83"/>
    <w:rsid w:val="23C962E8"/>
    <w:rsid w:val="247E4FED"/>
    <w:rsid w:val="24AD78E0"/>
    <w:rsid w:val="24B30BE8"/>
    <w:rsid w:val="24E34060"/>
    <w:rsid w:val="253A0491"/>
    <w:rsid w:val="254E0478"/>
    <w:rsid w:val="25806954"/>
    <w:rsid w:val="25E036B2"/>
    <w:rsid w:val="25E9082A"/>
    <w:rsid w:val="25F42473"/>
    <w:rsid w:val="269C17B8"/>
    <w:rsid w:val="26AF2D79"/>
    <w:rsid w:val="26B34B91"/>
    <w:rsid w:val="270D66E8"/>
    <w:rsid w:val="27263E1D"/>
    <w:rsid w:val="27514612"/>
    <w:rsid w:val="2772455F"/>
    <w:rsid w:val="278B0DAB"/>
    <w:rsid w:val="278D3850"/>
    <w:rsid w:val="279C6B0E"/>
    <w:rsid w:val="27A64735"/>
    <w:rsid w:val="27CC4DF2"/>
    <w:rsid w:val="27D25752"/>
    <w:rsid w:val="280671AA"/>
    <w:rsid w:val="280D64D7"/>
    <w:rsid w:val="281864F2"/>
    <w:rsid w:val="286903EF"/>
    <w:rsid w:val="287F5DD3"/>
    <w:rsid w:val="288047CB"/>
    <w:rsid w:val="289E62FA"/>
    <w:rsid w:val="28FD6E90"/>
    <w:rsid w:val="291E2CA6"/>
    <w:rsid w:val="29331862"/>
    <w:rsid w:val="299741EC"/>
    <w:rsid w:val="299E147F"/>
    <w:rsid w:val="29C32A87"/>
    <w:rsid w:val="29CF26DC"/>
    <w:rsid w:val="29FA346D"/>
    <w:rsid w:val="2A1C5DA0"/>
    <w:rsid w:val="2A200D39"/>
    <w:rsid w:val="2A507EFF"/>
    <w:rsid w:val="2A8803AD"/>
    <w:rsid w:val="2ABA427C"/>
    <w:rsid w:val="2AD01CF1"/>
    <w:rsid w:val="2AD827C1"/>
    <w:rsid w:val="2ADC05A4"/>
    <w:rsid w:val="2AEF2177"/>
    <w:rsid w:val="2B6F0D7F"/>
    <w:rsid w:val="2B8716BD"/>
    <w:rsid w:val="2B8B76FF"/>
    <w:rsid w:val="2B964CE9"/>
    <w:rsid w:val="2BD5034F"/>
    <w:rsid w:val="2D025012"/>
    <w:rsid w:val="2D4178F0"/>
    <w:rsid w:val="2DAE631A"/>
    <w:rsid w:val="2DC7118A"/>
    <w:rsid w:val="2DD877E0"/>
    <w:rsid w:val="2DD90EBD"/>
    <w:rsid w:val="2DE616C9"/>
    <w:rsid w:val="2DFC2451"/>
    <w:rsid w:val="2E3422F8"/>
    <w:rsid w:val="2E671D49"/>
    <w:rsid w:val="2E6E566D"/>
    <w:rsid w:val="2E7F188E"/>
    <w:rsid w:val="2EBC0905"/>
    <w:rsid w:val="2EC73739"/>
    <w:rsid w:val="2EFB1B0E"/>
    <w:rsid w:val="2F5C684F"/>
    <w:rsid w:val="2F63756E"/>
    <w:rsid w:val="2F8D6403"/>
    <w:rsid w:val="305637DC"/>
    <w:rsid w:val="307776D1"/>
    <w:rsid w:val="30862574"/>
    <w:rsid w:val="30B631E1"/>
    <w:rsid w:val="310D0BE6"/>
    <w:rsid w:val="311933AA"/>
    <w:rsid w:val="314E2AD9"/>
    <w:rsid w:val="317D15BB"/>
    <w:rsid w:val="31841ACF"/>
    <w:rsid w:val="31D07E6C"/>
    <w:rsid w:val="323F65DA"/>
    <w:rsid w:val="32412074"/>
    <w:rsid w:val="325D2584"/>
    <w:rsid w:val="328C4750"/>
    <w:rsid w:val="32DE0199"/>
    <w:rsid w:val="333C2963"/>
    <w:rsid w:val="334F5630"/>
    <w:rsid w:val="335B2774"/>
    <w:rsid w:val="33A4642E"/>
    <w:rsid w:val="33D4039C"/>
    <w:rsid w:val="33D47E05"/>
    <w:rsid w:val="3413677D"/>
    <w:rsid w:val="342B544B"/>
    <w:rsid w:val="345E036E"/>
    <w:rsid w:val="34C47852"/>
    <w:rsid w:val="34DE1E4F"/>
    <w:rsid w:val="34F07DB1"/>
    <w:rsid w:val="359009FB"/>
    <w:rsid w:val="35A324DC"/>
    <w:rsid w:val="35A5149E"/>
    <w:rsid w:val="35D354B8"/>
    <w:rsid w:val="35D4025C"/>
    <w:rsid w:val="362666BC"/>
    <w:rsid w:val="364C2B74"/>
    <w:rsid w:val="368A6B11"/>
    <w:rsid w:val="36AE738B"/>
    <w:rsid w:val="37085B1F"/>
    <w:rsid w:val="372E04CB"/>
    <w:rsid w:val="384D672F"/>
    <w:rsid w:val="38DF3AF4"/>
    <w:rsid w:val="38E070F2"/>
    <w:rsid w:val="390D33AB"/>
    <w:rsid w:val="390E0091"/>
    <w:rsid w:val="391E6D06"/>
    <w:rsid w:val="3A013C75"/>
    <w:rsid w:val="3A074847"/>
    <w:rsid w:val="3A830B2E"/>
    <w:rsid w:val="3AA90FE6"/>
    <w:rsid w:val="3AA9318F"/>
    <w:rsid w:val="3AB62DA0"/>
    <w:rsid w:val="3B69577B"/>
    <w:rsid w:val="3B702D85"/>
    <w:rsid w:val="3B7D3FD5"/>
    <w:rsid w:val="3B823DDF"/>
    <w:rsid w:val="3B8A17C9"/>
    <w:rsid w:val="3BD827B4"/>
    <w:rsid w:val="3C237ED3"/>
    <w:rsid w:val="3C4D2D59"/>
    <w:rsid w:val="3C764DD6"/>
    <w:rsid w:val="3CAA596A"/>
    <w:rsid w:val="3CAF1D22"/>
    <w:rsid w:val="3CB1587B"/>
    <w:rsid w:val="3CB735F2"/>
    <w:rsid w:val="3D186684"/>
    <w:rsid w:val="3D363C36"/>
    <w:rsid w:val="3D4C5207"/>
    <w:rsid w:val="3D7963C3"/>
    <w:rsid w:val="3D8B2178"/>
    <w:rsid w:val="3DA65BE1"/>
    <w:rsid w:val="3DB34909"/>
    <w:rsid w:val="3DD115F5"/>
    <w:rsid w:val="3DE435F0"/>
    <w:rsid w:val="3DE5122C"/>
    <w:rsid w:val="3DF37E53"/>
    <w:rsid w:val="3E301A13"/>
    <w:rsid w:val="3ED26DE9"/>
    <w:rsid w:val="3EDC6A5F"/>
    <w:rsid w:val="3EE6343A"/>
    <w:rsid w:val="3EED17D0"/>
    <w:rsid w:val="3F040BDF"/>
    <w:rsid w:val="3F0C0304"/>
    <w:rsid w:val="3F774839"/>
    <w:rsid w:val="3FEC147E"/>
    <w:rsid w:val="40376375"/>
    <w:rsid w:val="403970F4"/>
    <w:rsid w:val="412169AB"/>
    <w:rsid w:val="412732B7"/>
    <w:rsid w:val="4127791F"/>
    <w:rsid w:val="41281794"/>
    <w:rsid w:val="413C1FDF"/>
    <w:rsid w:val="41806A69"/>
    <w:rsid w:val="41B0259C"/>
    <w:rsid w:val="41BC6F1C"/>
    <w:rsid w:val="41EF2363"/>
    <w:rsid w:val="41F77860"/>
    <w:rsid w:val="4244475E"/>
    <w:rsid w:val="424A4B98"/>
    <w:rsid w:val="42581D3A"/>
    <w:rsid w:val="42CD0466"/>
    <w:rsid w:val="42ED2EA4"/>
    <w:rsid w:val="42F6649D"/>
    <w:rsid w:val="42FE0080"/>
    <w:rsid w:val="43315D2E"/>
    <w:rsid w:val="433823B7"/>
    <w:rsid w:val="43670C99"/>
    <w:rsid w:val="43824A1C"/>
    <w:rsid w:val="43D110E1"/>
    <w:rsid w:val="43E873C9"/>
    <w:rsid w:val="44905B1F"/>
    <w:rsid w:val="45102FBE"/>
    <w:rsid w:val="45316885"/>
    <w:rsid w:val="45A95EE9"/>
    <w:rsid w:val="45FB0F21"/>
    <w:rsid w:val="46167166"/>
    <w:rsid w:val="4636719A"/>
    <w:rsid w:val="463D7DE3"/>
    <w:rsid w:val="46C37DF7"/>
    <w:rsid w:val="47200EE3"/>
    <w:rsid w:val="47435AC2"/>
    <w:rsid w:val="47544B78"/>
    <w:rsid w:val="47587AF7"/>
    <w:rsid w:val="476B4E24"/>
    <w:rsid w:val="47745A86"/>
    <w:rsid w:val="47E239AC"/>
    <w:rsid w:val="480F4B73"/>
    <w:rsid w:val="487974BD"/>
    <w:rsid w:val="48934134"/>
    <w:rsid w:val="48DB38E3"/>
    <w:rsid w:val="49001B5E"/>
    <w:rsid w:val="49376DB0"/>
    <w:rsid w:val="494D658F"/>
    <w:rsid w:val="49804BB7"/>
    <w:rsid w:val="49826DCB"/>
    <w:rsid w:val="499013E7"/>
    <w:rsid w:val="49C8088A"/>
    <w:rsid w:val="4A0F6D68"/>
    <w:rsid w:val="4A301C93"/>
    <w:rsid w:val="4A3302AB"/>
    <w:rsid w:val="4A572A17"/>
    <w:rsid w:val="4A6F2535"/>
    <w:rsid w:val="4AC85D49"/>
    <w:rsid w:val="4AE308A9"/>
    <w:rsid w:val="4B1D4687"/>
    <w:rsid w:val="4B260F2D"/>
    <w:rsid w:val="4B9A1456"/>
    <w:rsid w:val="4BA32C82"/>
    <w:rsid w:val="4BE70627"/>
    <w:rsid w:val="4C0A5AE1"/>
    <w:rsid w:val="4C130AB8"/>
    <w:rsid w:val="4C310C80"/>
    <w:rsid w:val="4C5A284D"/>
    <w:rsid w:val="4C5C0673"/>
    <w:rsid w:val="4CB96B43"/>
    <w:rsid w:val="4CC75FCC"/>
    <w:rsid w:val="4CC87A5E"/>
    <w:rsid w:val="4CD55219"/>
    <w:rsid w:val="4CD63947"/>
    <w:rsid w:val="4CFC49F4"/>
    <w:rsid w:val="4D07114B"/>
    <w:rsid w:val="4D073D73"/>
    <w:rsid w:val="4D1E27BA"/>
    <w:rsid w:val="4D23574A"/>
    <w:rsid w:val="4D4C4DB0"/>
    <w:rsid w:val="4D7322D5"/>
    <w:rsid w:val="4DD7034C"/>
    <w:rsid w:val="4DE312CB"/>
    <w:rsid w:val="4DEC6D24"/>
    <w:rsid w:val="4DF5318E"/>
    <w:rsid w:val="4E1F4862"/>
    <w:rsid w:val="4E2E4393"/>
    <w:rsid w:val="4E535EF2"/>
    <w:rsid w:val="4EC45545"/>
    <w:rsid w:val="4F08773C"/>
    <w:rsid w:val="4F31409F"/>
    <w:rsid w:val="4F5E670E"/>
    <w:rsid w:val="4F846A83"/>
    <w:rsid w:val="50070E2C"/>
    <w:rsid w:val="501112F3"/>
    <w:rsid w:val="504B57F2"/>
    <w:rsid w:val="505A2863"/>
    <w:rsid w:val="50850D04"/>
    <w:rsid w:val="50C5433A"/>
    <w:rsid w:val="50C62BC7"/>
    <w:rsid w:val="50F10148"/>
    <w:rsid w:val="50F72A66"/>
    <w:rsid w:val="5123368C"/>
    <w:rsid w:val="5130747C"/>
    <w:rsid w:val="515C765A"/>
    <w:rsid w:val="518B6458"/>
    <w:rsid w:val="51905BB3"/>
    <w:rsid w:val="51946FCB"/>
    <w:rsid w:val="51A27694"/>
    <w:rsid w:val="51C01DAA"/>
    <w:rsid w:val="51DD796B"/>
    <w:rsid w:val="51DF373B"/>
    <w:rsid w:val="524A218C"/>
    <w:rsid w:val="52EF4CB5"/>
    <w:rsid w:val="52F959F0"/>
    <w:rsid w:val="5302488E"/>
    <w:rsid w:val="53136173"/>
    <w:rsid w:val="534B12B7"/>
    <w:rsid w:val="535556C4"/>
    <w:rsid w:val="5373753A"/>
    <w:rsid w:val="539A4AC7"/>
    <w:rsid w:val="542631B6"/>
    <w:rsid w:val="5447483C"/>
    <w:rsid w:val="54686973"/>
    <w:rsid w:val="54942CAE"/>
    <w:rsid w:val="54A61722"/>
    <w:rsid w:val="54B31FAF"/>
    <w:rsid w:val="55326D63"/>
    <w:rsid w:val="555D1A10"/>
    <w:rsid w:val="556A04C9"/>
    <w:rsid w:val="55C300FC"/>
    <w:rsid w:val="56AB72A1"/>
    <w:rsid w:val="56AC4A78"/>
    <w:rsid w:val="56CE1C64"/>
    <w:rsid w:val="56DB16B9"/>
    <w:rsid w:val="570A5ABF"/>
    <w:rsid w:val="57717263"/>
    <w:rsid w:val="577A3463"/>
    <w:rsid w:val="57F967AD"/>
    <w:rsid w:val="58052975"/>
    <w:rsid w:val="584D1A65"/>
    <w:rsid w:val="584F5C44"/>
    <w:rsid w:val="58B10C49"/>
    <w:rsid w:val="58E525CA"/>
    <w:rsid w:val="58EE7372"/>
    <w:rsid w:val="593D045A"/>
    <w:rsid w:val="594B084C"/>
    <w:rsid w:val="5960739E"/>
    <w:rsid w:val="59896D0A"/>
    <w:rsid w:val="59B72684"/>
    <w:rsid w:val="5A1F7EF7"/>
    <w:rsid w:val="5A7C2F57"/>
    <w:rsid w:val="5A9579AE"/>
    <w:rsid w:val="5AC468CD"/>
    <w:rsid w:val="5AED1980"/>
    <w:rsid w:val="5B310D54"/>
    <w:rsid w:val="5B342B9A"/>
    <w:rsid w:val="5B5953B0"/>
    <w:rsid w:val="5B630802"/>
    <w:rsid w:val="5B807F68"/>
    <w:rsid w:val="5BA72CE5"/>
    <w:rsid w:val="5C034D53"/>
    <w:rsid w:val="5C0A43A9"/>
    <w:rsid w:val="5D722852"/>
    <w:rsid w:val="5DAF116F"/>
    <w:rsid w:val="5DBE6BF1"/>
    <w:rsid w:val="5E1D6F56"/>
    <w:rsid w:val="5E52187F"/>
    <w:rsid w:val="5E677832"/>
    <w:rsid w:val="5E6A13CD"/>
    <w:rsid w:val="5E705D15"/>
    <w:rsid w:val="5E93326C"/>
    <w:rsid w:val="5E9F1A7A"/>
    <w:rsid w:val="5EAF3818"/>
    <w:rsid w:val="5EB34C8F"/>
    <w:rsid w:val="5EFB4BA4"/>
    <w:rsid w:val="5F025452"/>
    <w:rsid w:val="5F5F46B5"/>
    <w:rsid w:val="5FB25360"/>
    <w:rsid w:val="5FBA3CC0"/>
    <w:rsid w:val="5FD90D61"/>
    <w:rsid w:val="60177697"/>
    <w:rsid w:val="602329DB"/>
    <w:rsid w:val="6038184B"/>
    <w:rsid w:val="607777D6"/>
    <w:rsid w:val="607C3E58"/>
    <w:rsid w:val="60BC76A1"/>
    <w:rsid w:val="610B7637"/>
    <w:rsid w:val="612279BA"/>
    <w:rsid w:val="615F5624"/>
    <w:rsid w:val="61D215CF"/>
    <w:rsid w:val="61DF345B"/>
    <w:rsid w:val="625C563D"/>
    <w:rsid w:val="626A1704"/>
    <w:rsid w:val="6271733B"/>
    <w:rsid w:val="627921C2"/>
    <w:rsid w:val="62B362C8"/>
    <w:rsid w:val="62C1330E"/>
    <w:rsid w:val="6342085E"/>
    <w:rsid w:val="636F415C"/>
    <w:rsid w:val="64133100"/>
    <w:rsid w:val="64917820"/>
    <w:rsid w:val="64AA1CC5"/>
    <w:rsid w:val="651313E3"/>
    <w:rsid w:val="6528341F"/>
    <w:rsid w:val="6549642F"/>
    <w:rsid w:val="656B2909"/>
    <w:rsid w:val="65A3045D"/>
    <w:rsid w:val="65D97752"/>
    <w:rsid w:val="65E25E59"/>
    <w:rsid w:val="66081D64"/>
    <w:rsid w:val="66307F76"/>
    <w:rsid w:val="66580EAF"/>
    <w:rsid w:val="66694D0D"/>
    <w:rsid w:val="667B4472"/>
    <w:rsid w:val="66C2407E"/>
    <w:rsid w:val="66F041A8"/>
    <w:rsid w:val="6721178A"/>
    <w:rsid w:val="6739399A"/>
    <w:rsid w:val="673F39DE"/>
    <w:rsid w:val="674C5D22"/>
    <w:rsid w:val="67663AF8"/>
    <w:rsid w:val="67762CFD"/>
    <w:rsid w:val="677A678D"/>
    <w:rsid w:val="67836F29"/>
    <w:rsid w:val="678F7086"/>
    <w:rsid w:val="67D30B32"/>
    <w:rsid w:val="68011379"/>
    <w:rsid w:val="680905D9"/>
    <w:rsid w:val="68252C37"/>
    <w:rsid w:val="687142E8"/>
    <w:rsid w:val="68817BAC"/>
    <w:rsid w:val="689A5E59"/>
    <w:rsid w:val="68A94E70"/>
    <w:rsid w:val="68EE72DF"/>
    <w:rsid w:val="690B4C92"/>
    <w:rsid w:val="69485FEA"/>
    <w:rsid w:val="69677DC0"/>
    <w:rsid w:val="69937EC7"/>
    <w:rsid w:val="69D64558"/>
    <w:rsid w:val="6A042548"/>
    <w:rsid w:val="6A471EFD"/>
    <w:rsid w:val="6A945BB6"/>
    <w:rsid w:val="6A9919F6"/>
    <w:rsid w:val="6AB57116"/>
    <w:rsid w:val="6AD22940"/>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72171A"/>
    <w:rsid w:val="6EE013EE"/>
    <w:rsid w:val="6EE079F1"/>
    <w:rsid w:val="6EE42C42"/>
    <w:rsid w:val="6F521DAE"/>
    <w:rsid w:val="6F7F7CB0"/>
    <w:rsid w:val="6FE0165C"/>
    <w:rsid w:val="6FE10C44"/>
    <w:rsid w:val="701F4D4D"/>
    <w:rsid w:val="70222744"/>
    <w:rsid w:val="7024471D"/>
    <w:rsid w:val="705D4A5A"/>
    <w:rsid w:val="706D25DF"/>
    <w:rsid w:val="706D2B21"/>
    <w:rsid w:val="707B1384"/>
    <w:rsid w:val="70857A34"/>
    <w:rsid w:val="70985D3C"/>
    <w:rsid w:val="71047C73"/>
    <w:rsid w:val="7109004F"/>
    <w:rsid w:val="71103167"/>
    <w:rsid w:val="712E56F7"/>
    <w:rsid w:val="71691ABB"/>
    <w:rsid w:val="71AE1AEA"/>
    <w:rsid w:val="71CB1CB2"/>
    <w:rsid w:val="71CF3B6C"/>
    <w:rsid w:val="71F80F33"/>
    <w:rsid w:val="722922C6"/>
    <w:rsid w:val="727176A7"/>
    <w:rsid w:val="72CB03A1"/>
    <w:rsid w:val="732D4B5D"/>
    <w:rsid w:val="73393C88"/>
    <w:rsid w:val="7362513F"/>
    <w:rsid w:val="73771D49"/>
    <w:rsid w:val="73A1354E"/>
    <w:rsid w:val="73E37B9F"/>
    <w:rsid w:val="74A11E7D"/>
    <w:rsid w:val="75275C40"/>
    <w:rsid w:val="75590B0A"/>
    <w:rsid w:val="7582279F"/>
    <w:rsid w:val="75843EB5"/>
    <w:rsid w:val="758B02BC"/>
    <w:rsid w:val="75BB71AF"/>
    <w:rsid w:val="75F01962"/>
    <w:rsid w:val="760E19DF"/>
    <w:rsid w:val="764E52E0"/>
    <w:rsid w:val="76557F3E"/>
    <w:rsid w:val="76676A53"/>
    <w:rsid w:val="76A3294D"/>
    <w:rsid w:val="76B620A1"/>
    <w:rsid w:val="76F20814"/>
    <w:rsid w:val="77462524"/>
    <w:rsid w:val="779A6594"/>
    <w:rsid w:val="77A21064"/>
    <w:rsid w:val="77E34EB2"/>
    <w:rsid w:val="781564B8"/>
    <w:rsid w:val="78224ACF"/>
    <w:rsid w:val="784A620C"/>
    <w:rsid w:val="78CD6DCC"/>
    <w:rsid w:val="78D07CAF"/>
    <w:rsid w:val="78DE12D7"/>
    <w:rsid w:val="79210683"/>
    <w:rsid w:val="799C3465"/>
    <w:rsid w:val="79B14EC4"/>
    <w:rsid w:val="7A2A6B4A"/>
    <w:rsid w:val="7A681070"/>
    <w:rsid w:val="7A860C7C"/>
    <w:rsid w:val="7A9C4DB8"/>
    <w:rsid w:val="7AB879FE"/>
    <w:rsid w:val="7B3264DD"/>
    <w:rsid w:val="7B7315D6"/>
    <w:rsid w:val="7B81188A"/>
    <w:rsid w:val="7B9E2902"/>
    <w:rsid w:val="7BC854E2"/>
    <w:rsid w:val="7C0562EC"/>
    <w:rsid w:val="7C067A45"/>
    <w:rsid w:val="7C27683F"/>
    <w:rsid w:val="7C885555"/>
    <w:rsid w:val="7CB14B4D"/>
    <w:rsid w:val="7CF26969"/>
    <w:rsid w:val="7D25523C"/>
    <w:rsid w:val="7D300386"/>
    <w:rsid w:val="7D715D96"/>
    <w:rsid w:val="7DB23041"/>
    <w:rsid w:val="7E431733"/>
    <w:rsid w:val="7E5F7809"/>
    <w:rsid w:val="7ED56C53"/>
    <w:rsid w:val="7EEA1BAF"/>
    <w:rsid w:val="7F012A6E"/>
    <w:rsid w:val="7F536173"/>
    <w:rsid w:val="7F5460D4"/>
    <w:rsid w:val="7F552892"/>
    <w:rsid w:val="7FD57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9"/>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0"/>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1"/>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9"/>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无编号正文"/>
    <w:basedOn w:val="1"/>
    <w:qFormat/>
    <w:uiPriority w:val="0"/>
    <w:pPr>
      <w:spacing w:line="360" w:lineRule="exact"/>
      <w:ind w:firstLine="200" w:firstLineChars="200"/>
    </w:pPr>
    <w:rPr>
      <w:szCs w:val="21"/>
    </w:rPr>
  </w:style>
  <w:style w:type="character" w:customStyle="1" w:styleId="134">
    <w:name w:val="font21"/>
    <w:basedOn w:val="38"/>
    <w:qFormat/>
    <w:uiPriority w:val="0"/>
    <w:rPr>
      <w:rFonts w:hint="eastAsia" w:ascii="微软雅黑" w:hAnsi="微软雅黑" w:eastAsia="微软雅黑" w:cs="微软雅黑"/>
      <w:color w:val="000000"/>
      <w:sz w:val="18"/>
      <w:szCs w:val="18"/>
      <w:u w:val="none"/>
    </w:rPr>
  </w:style>
  <w:style w:type="character" w:customStyle="1" w:styleId="135">
    <w:name w:val="font31"/>
    <w:basedOn w:val="38"/>
    <w:qFormat/>
    <w:uiPriority w:val="0"/>
    <w:rPr>
      <w:rFonts w:ascii="微软雅黑" w:hAnsi="微软雅黑" w:eastAsia="微软雅黑" w:cs="微软雅黑"/>
      <w:color w:val="000000"/>
      <w:sz w:val="18"/>
      <w:szCs w:val="18"/>
      <w:u w:val="none"/>
    </w:rPr>
  </w:style>
  <w:style w:type="paragraph" w:customStyle="1" w:styleId="136">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footer" Target="foot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theme" Target="theme/theme1.xml"/><Relationship Id="rId45" Type="http://schemas.openxmlformats.org/officeDocument/2006/relationships/footer" Target="footer29.xml"/><Relationship Id="rId44" Type="http://schemas.openxmlformats.org/officeDocument/2006/relationships/footer" Target="footer28.xml"/><Relationship Id="rId43" Type="http://schemas.openxmlformats.org/officeDocument/2006/relationships/header" Target="header14.xml"/><Relationship Id="rId42" Type="http://schemas.openxmlformats.org/officeDocument/2006/relationships/header" Target="header13.xml"/><Relationship Id="rId41" Type="http://schemas.openxmlformats.org/officeDocument/2006/relationships/footer" Target="footer27.xml"/><Relationship Id="rId40" Type="http://schemas.openxmlformats.org/officeDocument/2006/relationships/footer" Target="footer26.xml"/><Relationship Id="rId4" Type="http://schemas.openxmlformats.org/officeDocument/2006/relationships/header" Target="header2.xml"/><Relationship Id="rId39" Type="http://schemas.openxmlformats.org/officeDocument/2006/relationships/header" Target="header12.xml"/><Relationship Id="rId38" Type="http://schemas.openxmlformats.org/officeDocument/2006/relationships/header" Target="header11.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header" Target="header10.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103</Pages>
  <Words>49056</Words>
  <Characters>52358</Characters>
  <Lines>305</Lines>
  <Paragraphs>86</Paragraphs>
  <TotalTime>1</TotalTime>
  <ScaleCrop>false</ScaleCrop>
  <LinksUpToDate>false</LinksUpToDate>
  <CharactersWithSpaces>58619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2022-07-01T03:19:00Z</cp:lastPrinted>
  <dcterms:modified xsi:type="dcterms:W3CDTF">2025-10-20T02:04:59Z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6840E2704C4A491CB87DFB524F8D9515_13</vt:lpwstr>
  </property>
</Properties>
</file>