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中国重汽集团济南动力有限公司涂装车间烘干废气应急监测</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FSCZB2025100055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10</w:t>
      </w:r>
      <w:r>
        <w:rPr>
          <w:rFonts w:hint="eastAsia" w:ascii="宋体" w:hAnsi="宋体"/>
          <w:sz w:val="28"/>
          <w:szCs w:val="28"/>
          <w:u w:val="single"/>
        </w:rPr>
        <w:t>月</w:t>
      </w:r>
    </w:p>
    <w:p w14:paraId="1E5E506E">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B3FEDF5">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涂装车间烘干废气应急监测项目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涂装车间烘干废气应急监测项目</w:t>
      </w:r>
    </w:p>
    <w:p w14:paraId="15020D03">
      <w:pPr>
        <w:pStyle w:val="73"/>
      </w:pPr>
      <w:r>
        <w:rPr>
          <w:rFonts w:hint="eastAsia"/>
        </w:rPr>
        <w:t>项目编号：</w:t>
      </w:r>
      <w:r>
        <w:rPr>
          <w:rFonts w:hint="eastAsia"/>
          <w:highlight w:val="none"/>
          <w:lang w:val="en-US" w:eastAsia="zh-CN"/>
        </w:rPr>
        <w:t>FSCZB2025100055</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none"/>
          <w:lang w:val="en-US" w:eastAsia="zh-CN"/>
        </w:rPr>
        <w:t>重庆汽车公司按照排污许可管理要求，需对涂装车间烘干废气排放口进行日常监测并将数据上报至当地环保部门，近期对该排放口进行月度检测时检测结果异常，及时组织现有环境检测单位进行复测，复测结果仍为异常。为查找落实检测结果异常的真实原因，有针对性的制定整改措施，及时上报正常检测数据，避免环保风险，需委托具备相应资质和检测能力的第三方环境检测单位进行涂装车间烘干废气排放口的应急监测。</w:t>
      </w:r>
    </w:p>
    <w:p w14:paraId="4EC58B63">
      <w:pPr>
        <w:pStyle w:val="73"/>
      </w:pPr>
      <w:r>
        <w:rPr>
          <w:rFonts w:hint="eastAsia"/>
        </w:rPr>
        <w:t>招标形式：</w:t>
      </w:r>
      <w:r>
        <w:rPr>
          <w:rFonts w:hint="eastAsia"/>
          <w:highlight w:val="none"/>
          <w:lang w:val="en-US" w:eastAsia="zh-CN"/>
        </w:rPr>
        <w:t>单一来源采购</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677CBA1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1.1投标方必须是在中华人民共和国境内注册的独立法人机构，具有独立承担民事责任能力。</w:t>
      </w:r>
    </w:p>
    <w:p w14:paraId="05C874C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1.2投标方注册资本不少于300万元人民币（或等值其他货币），近三年环境监测类业绩不少于3个，其中，有江津地区的业绩的优先。</w:t>
      </w:r>
    </w:p>
    <w:p w14:paraId="61EF8CA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1.3投标人具备有效的检验检测机构资质认定证书，且检测范围能完全覆盖本项目监测内容。</w:t>
      </w:r>
    </w:p>
    <w:p w14:paraId="674B544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1.4投标方满足技术、质量、资金等要求，财务状况良好、经营稳定，具有全面履约的能力。</w:t>
      </w:r>
    </w:p>
    <w:p w14:paraId="366255B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1.5投标方有专业售后服务团队，满足我司售后服务要求。</w:t>
      </w:r>
    </w:p>
    <w:p w14:paraId="0DB2FEC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1.6投标方信誉良好，无违法违规等不良行为。</w:t>
      </w:r>
    </w:p>
    <w:p w14:paraId="50BBD60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1.7无招标违规、谎报年度报告信息、提供虚假资质资料等行为。</w:t>
      </w:r>
    </w:p>
    <w:p w14:paraId="1C48DB1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1.8投标方的直接或间接股东、法定代表人、董事、监事、高管非重汽员工及其亲属。</w:t>
      </w:r>
    </w:p>
    <w:p w14:paraId="44B812B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1.9没有被中国重汽集团列入黑名单。</w:t>
      </w:r>
    </w:p>
    <w:p w14:paraId="065A1F3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1.10法律法规对合格投标方的其他要求、规定。</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1.11不接受联合体投标。</w:t>
      </w:r>
    </w:p>
    <w:p w14:paraId="7A940CFE">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0DC3F22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2.1营业执照副本复印件（需加盖公章）；</w:t>
      </w:r>
    </w:p>
    <w:p w14:paraId="2C87B56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3DD285F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379E3A9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2.4近三年内在经营活动中无与本项目有关的违法及重大违规行为的声明；</w:t>
      </w:r>
    </w:p>
    <w:p w14:paraId="0491FD9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2.5投标人在国家企业信用信息公示系统中无与本项目有关的行政处罚、经营异常和失信信息的声明；（附投标当日系统内相关截图或报告）</w:t>
      </w:r>
    </w:p>
    <w:p w14:paraId="58F7810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2.6企业对外担保说明（写明贵单位对外有无对外担保和质押业务，需加盖公章）；</w:t>
      </w:r>
    </w:p>
    <w:p w14:paraId="22268DD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2.7企业信用证明材料（征信中心出具的信用报告）；</w:t>
      </w:r>
    </w:p>
    <w:p w14:paraId="050ACFA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2.8企业最近半年的完税证明，并附年度纳税信用评价信息（可从电子税务局查询截图，需加盖公章）；</w:t>
      </w:r>
    </w:p>
    <w:p w14:paraId="25C1614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 2022年1月1日至今，企业近三年同类项目业绩证明，须提供用户清单、采购合同复印件；</w:t>
      </w:r>
    </w:p>
    <w:p w14:paraId="452119B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 招标文件中要求的其它资格证明文件。</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2025年10月23日12:00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2.1-2.10</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highlight w:val="none"/>
          <w:lang w:val="en-US" w:eastAsia="zh-CN"/>
        </w:rPr>
      </w:pPr>
      <w:r>
        <w:rPr>
          <w:rFonts w:hint="eastAsia"/>
          <w:lang w:val="en-US" w:eastAsia="zh-CN"/>
        </w:rPr>
        <w:t>投标截止时间：</w:t>
      </w:r>
      <w:r>
        <w:rPr>
          <w:rFonts w:hint="eastAsia"/>
          <w:highlight w:val="none"/>
          <w:lang w:val="en-US" w:eastAsia="zh-CN"/>
        </w:rPr>
        <w:t>2025年10月23日14:00（北京时间）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highlight w:val="none"/>
          <w:lang w:val="en-US" w:eastAsia="zh-CN"/>
        </w:rPr>
        <w:t>《投标文件（资质标）》一个文件（里面是全部资质投标书），《投标文件（商务标）》（开标一览表）一个文件（里面是全部商务投标书）</w:t>
      </w:r>
      <w:r>
        <w:rPr>
          <w:rFonts w:hint="default"/>
          <w:b/>
          <w:bCs/>
          <w:lang w:val="en-US" w:eastAsia="zh-CN"/>
        </w:rPr>
        <w:t>，具体组成等详细要求见招标文件</w:t>
      </w:r>
      <w:r>
        <w:rPr>
          <w:rFonts w:hint="default"/>
          <w:b/>
          <w:bCs/>
          <w:color w:val="auto"/>
          <w:highlight w:val="none"/>
          <w:lang w:val="en-US" w:eastAsia="zh-CN"/>
        </w:rPr>
        <w:t>“第一部分投标人须知-投标说明-投标文件的组成”</w:t>
      </w:r>
      <w:r>
        <w:rPr>
          <w:rFonts w:hint="default"/>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51FD183E">
      <w:pPr>
        <w:pStyle w:val="73"/>
        <w:bidi w:val="0"/>
        <w:rPr>
          <w:rFonts w:hint="default"/>
          <w:highlight w:val="none"/>
          <w:lang w:val="en-US" w:eastAsia="zh-CN"/>
        </w:rPr>
      </w:pPr>
      <w:r>
        <w:rPr>
          <w:rFonts w:hint="eastAsia"/>
          <w:highlight w:val="none"/>
          <w:lang w:val="en-US" w:eastAsia="zh-CN"/>
        </w:rPr>
        <w:t>投标文件有效期：自开标之日起90个日历日。</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开标时间：2025年10月23日14:00（北京时间）（若有变动，另行通知）</w:t>
      </w:r>
    </w:p>
    <w:p w14:paraId="1EEA171A">
      <w:pPr>
        <w:pStyle w:val="73"/>
        <w:bidi w:val="0"/>
        <w:rPr>
          <w:rFonts w:hint="default"/>
          <w:lang w:val="en-US" w:eastAsia="zh-CN"/>
        </w:rPr>
      </w:pPr>
      <w:r>
        <w:rPr>
          <w:rFonts w:hint="eastAsia"/>
          <w:lang w:val="en-US" w:eastAsia="zh-CN"/>
        </w:rPr>
        <w:t>开标地点：</w:t>
      </w:r>
      <w:r>
        <w:rPr>
          <w:rFonts w:hint="eastAsia"/>
          <w:highlight w:val="none"/>
          <w:lang w:val="en-US" w:eastAsia="zh-CN"/>
        </w:rPr>
        <w:t>线上会议</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招标人名称：中国重汽集团济南动力有限公司</w:t>
      </w:r>
    </w:p>
    <w:p w14:paraId="0B43E74E">
      <w:pPr>
        <w:pStyle w:val="73"/>
        <w:numPr>
          <w:ilvl w:val="0"/>
          <w:numId w:val="14"/>
        </w:numPr>
        <w:bidi w:val="0"/>
        <w:rPr>
          <w:rFonts w:hint="default"/>
          <w:lang w:val="en-US" w:eastAsia="zh-CN"/>
        </w:rPr>
      </w:pPr>
      <w:r>
        <w:rPr>
          <w:rFonts w:hint="eastAsia"/>
          <w:lang w:val="en-US" w:eastAsia="zh-CN"/>
        </w:rPr>
        <w:t>招标人地址：济南市历城区华奥路777号</w:t>
      </w:r>
    </w:p>
    <w:p w14:paraId="6C22F13D">
      <w:pPr>
        <w:pStyle w:val="73"/>
        <w:numPr>
          <w:ilvl w:val="0"/>
          <w:numId w:val="14"/>
        </w:numPr>
        <w:bidi w:val="0"/>
        <w:rPr>
          <w:rFonts w:hint="default"/>
          <w:lang w:val="en-US" w:eastAsia="zh-CN"/>
        </w:rPr>
      </w:pPr>
      <w:r>
        <w:rPr>
          <w:rFonts w:hint="eastAsia"/>
          <w:lang w:val="en-US" w:eastAsia="zh-CN"/>
        </w:rPr>
        <w:t>商务联系人：袁晖/17860605118; 邮箱：yuanhui@sinotruk.com</w:t>
      </w:r>
    </w:p>
    <w:p w14:paraId="67A3FFAC">
      <w:pPr>
        <w:pStyle w:val="73"/>
        <w:numPr>
          <w:ilvl w:val="0"/>
          <w:numId w:val="14"/>
        </w:numPr>
        <w:bidi w:val="0"/>
        <w:rPr>
          <w:rFonts w:hint="default"/>
          <w:lang w:val="en-US" w:eastAsia="zh-CN"/>
        </w:rPr>
      </w:pPr>
      <w:r>
        <w:rPr>
          <w:rFonts w:hint="eastAsia"/>
          <w:lang w:val="en-US" w:eastAsia="zh-CN"/>
        </w:rPr>
        <w:t>技术联系人：</w:t>
      </w:r>
      <w:r>
        <w:rPr>
          <w:rFonts w:hint="eastAsia"/>
          <w:highlight w:val="none"/>
          <w:lang w:val="en-US" w:eastAsia="zh-CN"/>
        </w:rPr>
        <w:t>周英，15730385281，zhouying1@sinotruk.com</w:t>
      </w:r>
    </w:p>
    <w:p w14:paraId="5F538BD8">
      <w:pPr>
        <w:pStyle w:val="76"/>
      </w:pPr>
    </w:p>
    <w:p w14:paraId="04C96706">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pPr>
      <w:r>
        <w:rPr>
          <w:rFonts w:hint="eastAsia"/>
        </w:rPr>
        <w:t>项目名称：</w:t>
      </w:r>
      <w:r>
        <w:rPr>
          <w:rFonts w:hint="eastAsia"/>
          <w:highlight w:val="none"/>
          <w:lang w:val="en-US" w:eastAsia="zh-CN"/>
        </w:rPr>
        <w:t>涂装车间烘干废气应急监测项目</w:t>
      </w:r>
    </w:p>
    <w:p w14:paraId="17A97EAA">
      <w:pPr>
        <w:pStyle w:val="76"/>
        <w:numPr>
          <w:ilvl w:val="0"/>
          <w:numId w:val="16"/>
        </w:numPr>
        <w:ind w:left="425" w:leftChars="0" w:hanging="425" w:firstLineChars="0"/>
      </w:pPr>
      <w:r>
        <w:rPr>
          <w:rFonts w:hint="eastAsia"/>
        </w:rPr>
        <w:t>项目编号：</w:t>
      </w:r>
      <w:r>
        <w:rPr>
          <w:rFonts w:hint="eastAsia"/>
          <w:highlight w:val="none"/>
          <w:lang w:val="en-US" w:eastAsia="zh-CN"/>
        </w:rPr>
        <w:t>FSCZB2025100055</w:t>
      </w:r>
    </w:p>
    <w:p w14:paraId="5C6CF568">
      <w:pPr>
        <w:pStyle w:val="76"/>
        <w:numPr>
          <w:ilvl w:val="0"/>
          <w:numId w:val="16"/>
        </w:numPr>
        <w:ind w:left="425" w:leftChars="0" w:hanging="425" w:firstLineChars="0"/>
      </w:pPr>
      <w:r>
        <w:rPr>
          <w:rFonts w:hint="eastAsia"/>
        </w:rPr>
        <w:t>招标形式：</w:t>
      </w:r>
      <w:bookmarkStart w:id="13" w:name="_Toc47112482"/>
      <w:r>
        <w:rPr>
          <w:rFonts w:hint="eastAsia"/>
          <w:lang w:val="en-US" w:eastAsia="zh-CN"/>
        </w:rPr>
        <w:t>单一来源采购</w:t>
      </w:r>
    </w:p>
    <w:p w14:paraId="742B3A80">
      <w:pPr>
        <w:pStyle w:val="76"/>
        <w:numPr>
          <w:ilvl w:val="0"/>
          <w:numId w:val="16"/>
        </w:numPr>
        <w:ind w:left="425" w:leftChars="0" w:hanging="425" w:firstLineChars="0"/>
      </w:pPr>
      <w:r>
        <w:rPr>
          <w:rFonts w:hint="eastAsia"/>
          <w:lang w:val="en-US" w:eastAsia="zh-CN"/>
        </w:rPr>
        <w:t>项目概况：</w:t>
      </w:r>
      <w:r>
        <w:rPr>
          <w:rFonts w:hint="eastAsia"/>
          <w:highlight w:val="none"/>
          <w:lang w:val="en-US" w:eastAsia="zh-CN"/>
        </w:rPr>
        <w:t>重庆汽车公司按照排污许可管理要求，需对涂装车间烘干废气排放口进行日常监测并将数据上报至当地环保部门，近期对该排放口进行月度检测时检测结果异常，及时组织现有环境检测单位进行复测，复测结果仍为异常。为查找落实检测结果异常的真实原因，有针对性的制定整改措施，及时上报正常检测数据，避免环保风险，需委托具备相应资质和检测能力的第三方环境检测单位进行涂装车间烘干废气排放口的应急监测。</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6"/>
        </w:numPr>
        <w:ind w:left="425" w:leftChars="0" w:hanging="425" w:firstLineChars="0"/>
        <w:rPr>
          <w:rFonts w:hint="default" w:cs="Times New Roman"/>
          <w:u w:val="none"/>
          <w:lang w:val="en-US" w:eastAsia="zh-CN"/>
        </w:rPr>
      </w:pPr>
      <w:r>
        <w:rPr>
          <w:rFonts w:hint="eastAsia"/>
          <w:lang w:val="en-US" w:eastAsia="zh-CN"/>
        </w:rPr>
        <w:t>报价：</w:t>
      </w:r>
    </w:p>
    <w:p w14:paraId="304D211B">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648D6C5">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none"/>
          <w:u w:val="single"/>
          <w:lang w:val="en-US" w:eastAsia="zh-CN"/>
        </w:rPr>
        <w:t>0.7844</w:t>
      </w:r>
      <w:r>
        <w:rPr>
          <w:rFonts w:hint="eastAsia" w:cs="Times New Roman"/>
          <w:b w:val="0"/>
          <w:bCs w:val="0"/>
          <w:color w:val="auto"/>
          <w:highlight w:val="none"/>
          <w:u w:val="none"/>
          <w:lang w:val="en-US" w:eastAsia="zh-CN"/>
        </w:rPr>
        <w:t>万元（含税），超过投标限价无法投标。</w:t>
      </w:r>
    </w:p>
    <w:p w14:paraId="2A2F2260">
      <w:pPr>
        <w:pStyle w:val="76"/>
        <w:numPr>
          <w:ilvl w:val="0"/>
          <w:numId w:val="16"/>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5218C5D">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招标人名称：中国重汽集团济南动力有限公司</w:t>
      </w:r>
    </w:p>
    <w:p w14:paraId="0B3E68AC">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招标人地址：济南市历城区华奥路777号</w:t>
      </w:r>
    </w:p>
    <w:p w14:paraId="3895460C">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商务联系人：袁晖/17860605118; 邮箱：yuanhui@sinotruk.com</w:t>
      </w:r>
    </w:p>
    <w:p w14:paraId="4902D5AB">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技术联系人：周英，15730385281，zhouying1@sinotruk.com</w:t>
      </w:r>
    </w:p>
    <w:bookmarkEnd w:id="13"/>
    <w:p w14:paraId="50DC6C75">
      <w:pPr>
        <w:pStyle w:val="72"/>
      </w:pPr>
      <w:bookmarkStart w:id="14" w:name="_Toc47976598"/>
      <w:r>
        <w:rPr>
          <w:rFonts w:hint="eastAsia"/>
        </w:rPr>
        <w:t>合格的投标人</w:t>
      </w:r>
      <w:bookmarkEnd w:id="14"/>
    </w:p>
    <w:p w14:paraId="2BD3015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投标方必须是在中华人民共和国境内注册的独立法人机构，具有独立承担民事责任能力。</w:t>
      </w:r>
    </w:p>
    <w:p w14:paraId="0CA5436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投标方注册资本不少于300万元人民币（或等值其他货币），近三年环境监测类业绩不少于3个，其中，有江津地区的业绩的优先。</w:t>
      </w:r>
    </w:p>
    <w:p w14:paraId="0853C8D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投标人具备有效的检验检测机构资质认定证书，且检测范围能完全覆盖本项目监测内容。</w:t>
      </w:r>
    </w:p>
    <w:p w14:paraId="0469A98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投标方满足技术、质量、资金等要求，财务状况良好、经营稳定，具有全面履约的能力。</w:t>
      </w:r>
    </w:p>
    <w:p w14:paraId="4706E19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投标方有专业售后服务团队，满足我司售后服务要求。</w:t>
      </w:r>
    </w:p>
    <w:p w14:paraId="1F3DF9E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投标方信誉良好，无违法违规等不良行为。</w:t>
      </w:r>
    </w:p>
    <w:p w14:paraId="50C96BA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无招标违规、谎报年度报告信息、提供虚假资质资料等行为。</w:t>
      </w:r>
    </w:p>
    <w:p w14:paraId="1ABF6F6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投标方的直接或间接股东、法定代表人、董事、监事、高管非重汽员工及其亲属。</w:t>
      </w:r>
    </w:p>
    <w:p w14:paraId="17F2F2E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没有被中国重汽集团列入黑名单。</w:t>
      </w:r>
    </w:p>
    <w:p w14:paraId="008C915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法律法规对合格投标方的其他要求、规定。</w:t>
      </w:r>
    </w:p>
    <w:p w14:paraId="63331238">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pPr>
      <w:r>
        <w:rPr>
          <w:rFonts w:hint="eastAsia"/>
        </w:rPr>
        <w:t>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20</w:t>
      </w:r>
      <w:r>
        <w:rPr>
          <w:rFonts w:hint="eastAsia" w:ascii="宋体" w:hAnsi="Courier New" w:eastAsia="宋体" w:cs="Times New Roman"/>
          <w:highlight w:val="none"/>
          <w:u w:val="single"/>
          <w:lang w:val="en-US" w:eastAsia="zh-CN"/>
        </w:rPr>
        <w:t>日</w:t>
      </w:r>
    </w:p>
    <w:p w14:paraId="41FDA27A">
      <w:pPr>
        <w:pStyle w:val="76"/>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6DC2B408">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2025年10月23日12:00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2</w:t>
      </w:r>
      <w:r>
        <w:rPr>
          <w:rFonts w:hint="eastAsia"/>
          <w:lang w:val="en-US" w:eastAsia="zh-CN"/>
        </w:rPr>
        <w:t>个文件。</w:t>
      </w:r>
    </w:p>
    <w:p w14:paraId="2DD7BA97">
      <w:pPr>
        <w:pStyle w:val="74"/>
        <w:numPr>
          <w:ilvl w:val="0"/>
          <w:numId w:val="21"/>
        </w:numPr>
        <w:ind w:left="425" w:leftChars="0" w:hanging="425" w:firstLineChars="0"/>
        <w:rPr>
          <w:b w:val="0"/>
          <w:bCs/>
          <w:highlight w:val="none"/>
        </w:rPr>
      </w:pPr>
      <w:r>
        <w:rPr>
          <w:rFonts w:hint="eastAsia"/>
          <w:b w:val="0"/>
          <w:bCs/>
          <w:highlight w:val="none"/>
        </w:rPr>
        <w:t>资质文件：</w:t>
      </w:r>
    </w:p>
    <w:p w14:paraId="6B419C04">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lang w:val="en-US" w:eastAsia="zh-CN"/>
        </w:rPr>
        <w:t>营业</w:t>
      </w:r>
      <w:r>
        <w:rPr>
          <w:rFonts w:hint="eastAsia"/>
          <w:shd w:val="clear" w:color="auto" w:fill="auto"/>
        </w:rPr>
        <w:t>执照副本复印件（需加盖公章）；</w:t>
      </w:r>
    </w:p>
    <w:p w14:paraId="121C70B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1D0014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6954C05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近三年内在经营活动中无与本项目有关的违法及重大违规行为的声明；</w:t>
      </w:r>
    </w:p>
    <w:p w14:paraId="0E261AD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投标人在国家企业信用信息公示系统中无与本项目有关的行政处罚、经营异常和失信信息的声明；（附投标当日系统内相关截图或报告）</w:t>
      </w:r>
    </w:p>
    <w:p w14:paraId="0D3EC7DC">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企业对外担保说明（写明贵单位对外有无对外担保和质押业务，需加盖公章）；</w:t>
      </w:r>
    </w:p>
    <w:p w14:paraId="10B087C7">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企业信用证明材料（征信中心出具的信用报告）；</w:t>
      </w:r>
    </w:p>
    <w:p w14:paraId="59934AA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企业最近半年的完税证明，并附年度纳税信用评价信息（可从电子税务局查询截图，需加盖公章）；</w:t>
      </w:r>
    </w:p>
    <w:p w14:paraId="37EAC27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2022年1月1日至今，企业近三年同类项目业绩证明，须提供用户清单、采购合同复印件；</w:t>
      </w:r>
    </w:p>
    <w:p w14:paraId="3AB968F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招标文件中要求的其它资格证明文件。</w:t>
      </w:r>
    </w:p>
    <w:p w14:paraId="0FCAA68A">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开标一览表（附件）；</w:t>
      </w:r>
    </w:p>
    <w:p w14:paraId="1DFE17A5">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投标函（格式见附件）</w:t>
      </w:r>
      <w:r>
        <w:rPr>
          <w:rFonts w:hint="eastAsia"/>
          <w:highlight w:val="none"/>
          <w:lang w:eastAsia="zh-CN"/>
        </w:rPr>
        <w:t>；</w:t>
      </w:r>
    </w:p>
    <w:p w14:paraId="7604153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投标报价明细表</w:t>
      </w:r>
      <w:r>
        <w:rPr>
          <w:rFonts w:hint="eastAsia"/>
          <w:highlight w:val="none"/>
        </w:rPr>
        <w:t>（</w:t>
      </w:r>
      <w:r>
        <w:rPr>
          <w:rFonts w:hint="eastAsia"/>
          <w:highlight w:val="none"/>
          <w:lang w:val="en-US" w:eastAsia="zh-CN"/>
        </w:rPr>
        <w:t>附件</w:t>
      </w:r>
      <w:r>
        <w:rPr>
          <w:rFonts w:hint="eastAsia"/>
          <w:highlight w:val="none"/>
          <w:lang w:eastAsia="zh-CN"/>
        </w:rPr>
        <w:t>）；</w:t>
      </w:r>
    </w:p>
    <w:p w14:paraId="5C36F23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r>
        <w:rPr>
          <w:rFonts w:hint="eastAsia"/>
          <w:highlight w:val="none"/>
          <w:lang w:eastAsia="zh-CN"/>
        </w:rPr>
        <w:t>（</w:t>
      </w:r>
      <w:r>
        <w:rPr>
          <w:rFonts w:hint="eastAsia"/>
          <w:highlight w:val="none"/>
          <w:lang w:val="en-US" w:eastAsia="zh-CN"/>
        </w:rPr>
        <w:t>附件</w:t>
      </w:r>
      <w:r>
        <w:rPr>
          <w:rFonts w:hint="eastAsia"/>
          <w:highlight w:val="none"/>
          <w:lang w:eastAsia="zh-CN"/>
        </w:rPr>
        <w:t>）</w:t>
      </w:r>
      <w:r>
        <w:rPr>
          <w:rFonts w:hint="eastAsia"/>
          <w:highlight w:val="none"/>
        </w:rPr>
        <w:t>；</w:t>
      </w:r>
    </w:p>
    <w:p w14:paraId="110B2C2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投标人承诺（附件）</w:t>
      </w:r>
      <w:r>
        <w:rPr>
          <w:rFonts w:hint="eastAsia"/>
          <w:highlight w:val="none"/>
        </w:rPr>
        <w:t>；</w:t>
      </w:r>
    </w:p>
    <w:p w14:paraId="10B3DDFA">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lang w:val="en-US" w:eastAsia="zh-CN"/>
        </w:rPr>
        <w:t>服务承诺函（附件）；</w:t>
      </w:r>
    </w:p>
    <w:p w14:paraId="0BD7551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rPr>
        <w:t>按招标文件投标人须知和技术规格书中要求提供的有关文件。</w:t>
      </w:r>
    </w:p>
    <w:p w14:paraId="53DECE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0.7844</w:t>
      </w:r>
      <w:r>
        <w:rPr>
          <w:rFonts w:hint="eastAsia" w:cs="Times New Roman"/>
          <w:b w:val="0"/>
          <w:bCs/>
          <w:highlight w:val="none"/>
        </w:rPr>
        <w:t>万元（含税），超过投标限价无法投标。</w:t>
      </w:r>
    </w:p>
    <w:p w14:paraId="70E2A45F">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1A4A0BD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联系人及联系方式：</w:t>
      </w:r>
      <w:r>
        <w:rPr>
          <w:rFonts w:hint="eastAsia"/>
          <w:highlight w:val="none"/>
          <w:lang w:val="en-US" w:eastAsia="zh-CN"/>
        </w:rPr>
        <w:t>袁晖/17860605118</w:t>
      </w:r>
    </w:p>
    <w:p w14:paraId="4AAA3F9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2025年10月23日14:00（北京时间）</w:t>
      </w:r>
    </w:p>
    <w:p w14:paraId="368B6990">
      <w:pPr>
        <w:pStyle w:val="72"/>
      </w:pPr>
      <w:r>
        <w:rPr>
          <w:rFonts w:hint="eastAsia"/>
          <w:lang w:val="en-US" w:eastAsia="zh-CN"/>
        </w:rPr>
        <w:t>开评标</w:t>
      </w:r>
    </w:p>
    <w:p w14:paraId="009655B5">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开标时间：</w:t>
      </w:r>
      <w:r>
        <w:rPr>
          <w:rFonts w:hint="eastAsia"/>
          <w:highlight w:val="none"/>
          <w:u w:val="single"/>
          <w:lang w:val="en-US" w:eastAsia="zh-CN"/>
        </w:rPr>
        <w:t>2025年10月23日14:00（北京时间），若有变动，另行通知。</w:t>
      </w:r>
    </w:p>
    <w:p w14:paraId="00CC8C95">
      <w:pPr>
        <w:pStyle w:val="14"/>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bookmarkStart w:id="37" w:name="_GoBack"/>
      <w:bookmarkEnd w:id="37"/>
    </w:p>
    <w:p w14:paraId="7017266F">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本次招标采用合理最低价中标，以项目执行总价为评分依据，对未中标单位不做任何解释。</w:t>
      </w:r>
    </w:p>
    <w:p w14:paraId="0B2A8F6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hAnsi="宋体" w:cs="宋体"/>
          <w:kern w:val="2"/>
          <w:sz w:val="21"/>
          <w:szCs w:val="21"/>
          <w:lang w:val="en-US" w:eastAsia="zh-CN" w:bidi="ar-SA"/>
        </w:rPr>
        <w:t>4</w:t>
      </w:r>
      <w:r>
        <w:rPr>
          <w:rFonts w:hint="default" w:ascii="宋体" w:hAnsi="宋体" w:eastAsia="宋体" w:cs="宋体"/>
          <w:kern w:val="2"/>
          <w:sz w:val="21"/>
          <w:szCs w:val="21"/>
          <w:lang w:val="en-US" w:eastAsia="zh-CN" w:bidi="ar-SA"/>
        </w:rPr>
        <w:t>)</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w:t>
      </w:r>
      <w:r>
        <w:rPr>
          <w:rFonts w:hint="eastAsia" w:ascii="宋体" w:hAnsi="宋体" w:cs="宋体"/>
          <w:color w:val="000000"/>
          <w:kern w:val="2"/>
          <w:sz w:val="21"/>
          <w:szCs w:val="21"/>
          <w:lang w:val="en-US" w:eastAsia="zh-CN" w:bidi="ar-SA"/>
        </w:rPr>
        <w:t>5</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以他人名义投标或者以其他方式弄虚作假，骗取中标的；</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6</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7</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w:t>
      </w:r>
      <w:r>
        <w:rPr>
          <w:rFonts w:hint="eastAsia" w:ascii="宋体" w:hAnsi="宋体" w:cs="宋体"/>
          <w:color w:val="000000"/>
          <w:kern w:val="2"/>
          <w:sz w:val="21"/>
          <w:szCs w:val="21"/>
          <w:lang w:val="en-US" w:eastAsia="zh-CN" w:bidi="ar-SA"/>
        </w:rPr>
        <w:t>8</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w:t>
      </w:r>
      <w:r>
        <w:rPr>
          <w:rFonts w:hint="eastAsia" w:ascii="宋体" w:hAnsi="宋体" w:cs="宋体"/>
          <w:color w:val="000000"/>
          <w:kern w:val="2"/>
          <w:sz w:val="21"/>
          <w:szCs w:val="21"/>
          <w:lang w:val="en-US" w:eastAsia="zh-CN" w:bidi="ar-SA"/>
        </w:rPr>
        <w:t>9</w:t>
      </w:r>
      <w:r>
        <w:rPr>
          <w:rFonts w:hint="default" w:ascii="宋体" w:hAnsi="宋体" w:eastAsia="宋体" w:cs="宋体"/>
          <w:color w:val="000000"/>
          <w:kern w:val="2"/>
          <w:sz w:val="21"/>
          <w:szCs w:val="21"/>
          <w:lang w:val="en-US" w:eastAsia="zh-CN" w:bidi="ar-SA"/>
        </w:rPr>
        <w:t>)</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0</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1</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2</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5" w:name="OLE_LINK28"/>
      <w:bookmarkStart w:id="16" w:name="OLE_LINK29"/>
      <w:bookmarkStart w:id="17" w:name="OLE_LINK27"/>
      <w:bookmarkStart w:id="18" w:name="OLE_LINK25"/>
      <w:bookmarkStart w:id="19" w:name="OLE_LINK26"/>
      <w:r>
        <w:rPr>
          <w:rFonts w:hint="eastAsia" w:ascii="宋体" w:hAnsi="宋体" w:eastAsia="宋体" w:cs="宋体"/>
          <w:bCs/>
          <w:sz w:val="21"/>
          <w:szCs w:val="21"/>
          <w:highlight w:val="none"/>
        </w:rPr>
        <w:t>；</w:t>
      </w:r>
      <w:bookmarkEnd w:id="15"/>
      <w:bookmarkEnd w:id="16"/>
      <w:bookmarkEnd w:id="17"/>
      <w:bookmarkEnd w:id="18"/>
      <w:bookmarkEnd w:id="19"/>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0DD46053">
      <w:pPr>
        <w:pStyle w:val="72"/>
        <w:rPr>
          <w:rFonts w:hint="eastAsia" w:ascii="宋体" w:hAnsi="宋体" w:eastAsia="宋体" w:cs="宋体"/>
          <w:b w:val="0"/>
          <w:bCs w:val="0"/>
          <w:sz w:val="21"/>
          <w:szCs w:val="21"/>
          <w:highlight w:val="none"/>
          <w:lang w:val="en-US" w:eastAsia="zh-CN"/>
        </w:rPr>
      </w:pPr>
      <w:r>
        <w:rPr>
          <w:rFonts w:hint="eastAsia"/>
          <w:highlight w:val="none"/>
          <w:lang w:val="en-US" w:eastAsia="zh-CN"/>
        </w:rPr>
        <w:t>交货及付款</w:t>
      </w:r>
    </w:p>
    <w:p w14:paraId="6C8560A2">
      <w:pPr>
        <w:pStyle w:val="72"/>
        <w:numPr>
          <w:ilvl w:val="0"/>
          <w:numId w:val="30"/>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交货地点：重汽（重庆）轻型汽车有限公司</w:t>
      </w:r>
    </w:p>
    <w:p w14:paraId="1494B402">
      <w:pPr>
        <w:pStyle w:val="72"/>
        <w:numPr>
          <w:ilvl w:val="0"/>
          <w:numId w:val="30"/>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银行转账；</w:t>
      </w:r>
    </w:p>
    <w:p w14:paraId="7E2F4003">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付款节点：中标人完成合同约定的的监测服务，经招标人组织验收，验收合格后通知中标人开具增值税专用发票到招标人财务挂账，挂账后次月支付。</w:t>
      </w:r>
    </w:p>
    <w:p w14:paraId="243FF35F">
      <w:pPr>
        <w:pStyle w:val="72"/>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bookmarkStart w:id="20" w:name="_Toc47976607"/>
    </w:p>
    <w:p w14:paraId="499395A4">
      <w:pPr>
        <w:pStyle w:val="2"/>
        <w:rPr>
          <w:rFonts w:hint="eastAsia"/>
          <w:lang w:val="en-US" w:eastAsia="zh-CN"/>
        </w:rPr>
      </w:pPr>
    </w:p>
    <w:p w14:paraId="54DAF5BF">
      <w:pPr>
        <w:rPr>
          <w:rFonts w:hint="eastAsia"/>
          <w:lang w:val="en-US" w:eastAsia="zh-CN"/>
        </w:rPr>
      </w:pPr>
    </w:p>
    <w:p w14:paraId="71F9CCE7">
      <w:pPr>
        <w:pStyle w:val="2"/>
        <w:rPr>
          <w:rFonts w:hint="eastAsia"/>
          <w:lang w:val="en-US" w:eastAsia="zh-CN"/>
        </w:rPr>
      </w:pPr>
    </w:p>
    <w:p w14:paraId="02AC8278">
      <w:pPr>
        <w:rPr>
          <w:rFonts w:hint="eastAsia"/>
          <w:lang w:val="en-US" w:eastAsia="zh-CN"/>
        </w:rPr>
      </w:pPr>
    </w:p>
    <w:p w14:paraId="674BD685">
      <w:pPr>
        <w:pStyle w:val="2"/>
        <w:rPr>
          <w:rFonts w:hint="eastAsia"/>
          <w:lang w:val="en-US" w:eastAsia="zh-CN"/>
        </w:rPr>
      </w:pPr>
    </w:p>
    <w:p w14:paraId="02B9A62D">
      <w:pPr>
        <w:rPr>
          <w:rFonts w:hint="eastAsia"/>
          <w:lang w:val="en-US" w:eastAsia="zh-CN"/>
        </w:rPr>
      </w:pPr>
    </w:p>
    <w:p w14:paraId="4C613A43">
      <w:pPr>
        <w:pStyle w:val="2"/>
        <w:rPr>
          <w:rFonts w:hint="eastAsia"/>
          <w:lang w:val="en-US" w:eastAsia="zh-CN"/>
        </w:rPr>
      </w:pPr>
    </w:p>
    <w:p w14:paraId="7F40DE13">
      <w:pPr>
        <w:rPr>
          <w:rFonts w:hint="eastAsia"/>
          <w:lang w:val="en-US" w:eastAsia="zh-CN"/>
        </w:rPr>
      </w:pPr>
    </w:p>
    <w:p w14:paraId="15D10171">
      <w:pPr>
        <w:pStyle w:val="2"/>
        <w:rPr>
          <w:rFonts w:hint="eastAsia"/>
          <w:lang w:val="en-US" w:eastAsia="zh-CN"/>
        </w:rPr>
      </w:pPr>
    </w:p>
    <w:p w14:paraId="6D5ADD1E">
      <w:pPr>
        <w:rPr>
          <w:rFonts w:hint="eastAsia"/>
          <w:lang w:val="en-US" w:eastAsia="zh-CN"/>
        </w:rPr>
      </w:pPr>
    </w:p>
    <w:p w14:paraId="4D84D62C">
      <w:pPr>
        <w:pStyle w:val="2"/>
        <w:rPr>
          <w:rFonts w:hint="eastAsia"/>
          <w:lang w:val="en-US" w:eastAsia="zh-CN"/>
        </w:rPr>
      </w:pPr>
    </w:p>
    <w:p w14:paraId="712F12E8">
      <w:pPr>
        <w:rPr>
          <w:rFonts w:hint="eastAsia"/>
          <w:lang w:val="en-US" w:eastAsia="zh-CN"/>
        </w:rPr>
      </w:pPr>
    </w:p>
    <w:p w14:paraId="6FFA2F2D">
      <w:pPr>
        <w:pStyle w:val="2"/>
        <w:rPr>
          <w:rFonts w:hint="eastAsia"/>
          <w:lang w:val="en-US" w:eastAsia="zh-CN"/>
        </w:rPr>
      </w:pPr>
    </w:p>
    <w:p w14:paraId="3E5CE396">
      <w:pPr>
        <w:rPr>
          <w:rFonts w:hint="eastAsia"/>
          <w:lang w:val="en-US" w:eastAsia="zh-CN"/>
        </w:rPr>
      </w:pPr>
    </w:p>
    <w:p w14:paraId="5576DE62">
      <w:pPr>
        <w:pStyle w:val="2"/>
        <w:rPr>
          <w:rFonts w:hint="eastAsia"/>
          <w:lang w:val="en-US" w:eastAsia="zh-CN"/>
        </w:rPr>
      </w:pPr>
    </w:p>
    <w:p w14:paraId="18E6902B">
      <w:pPr>
        <w:rPr>
          <w:rFonts w:hint="eastAsia"/>
          <w:lang w:val="en-US" w:eastAsia="zh-CN"/>
        </w:rPr>
      </w:pPr>
    </w:p>
    <w:p w14:paraId="0448ABF1">
      <w:pPr>
        <w:pStyle w:val="2"/>
        <w:rPr>
          <w:rFonts w:hint="eastAsia"/>
          <w:lang w:val="en-US" w:eastAsia="zh-CN"/>
        </w:rPr>
      </w:pPr>
    </w:p>
    <w:p w14:paraId="10CFE482">
      <w:pPr>
        <w:rPr>
          <w:rFonts w:hint="eastAsia"/>
          <w:lang w:val="en-US" w:eastAsia="zh-CN"/>
        </w:rPr>
      </w:pPr>
    </w:p>
    <w:p w14:paraId="0DECCA2E">
      <w:pPr>
        <w:pStyle w:val="2"/>
        <w:rPr>
          <w:rFonts w:hint="eastAsia"/>
          <w:lang w:val="en-US" w:eastAsia="zh-CN"/>
        </w:rPr>
      </w:pPr>
    </w:p>
    <w:p w14:paraId="42A8E62A">
      <w:pPr>
        <w:rPr>
          <w:rFonts w:hint="default"/>
          <w:lang w:val="en-US" w:eastAsia="zh-CN"/>
        </w:rPr>
      </w:pPr>
    </w:p>
    <w:p w14:paraId="1FB6CA61">
      <w:pPr>
        <w:pStyle w:val="71"/>
        <w:jc w:val="center"/>
        <w:rPr>
          <w:rFonts w:hint="default" w:eastAsia="黑体"/>
          <w:lang w:val="en-US" w:eastAsia="zh-CN"/>
        </w:rPr>
      </w:pPr>
      <w:bookmarkStart w:id="21" w:name="_Toc1910"/>
      <w:r>
        <w:rPr>
          <w:rFonts w:hint="eastAsia"/>
        </w:rPr>
        <w:t>第二部分　</w:t>
      </w:r>
      <w:bookmarkEnd w:id="20"/>
      <w:r>
        <w:rPr>
          <w:rFonts w:hint="eastAsia"/>
          <w:lang w:val="en-US" w:eastAsia="zh-CN"/>
        </w:rPr>
        <w:t>技术标书</w:t>
      </w:r>
      <w:bookmarkEnd w:id="21"/>
    </w:p>
    <w:p w14:paraId="2F099C3E">
      <w:pPr>
        <w:snapToGrid w:val="0"/>
        <w:spacing w:line="360" w:lineRule="auto"/>
        <w:jc w:val="center"/>
        <w:rPr>
          <w:rFonts w:ascii="仿宋" w:hAnsi="仿宋" w:eastAsia="仿宋"/>
          <w:sz w:val="28"/>
          <w:szCs w:val="24"/>
        </w:rPr>
      </w:pPr>
      <w:r>
        <w:rPr>
          <w:rFonts w:hint="eastAsia" w:ascii="仿宋" w:hAnsi="仿宋" w:eastAsia="仿宋"/>
          <w:sz w:val="28"/>
          <w:szCs w:val="24"/>
        </w:rPr>
        <w:t>涂装车间烘干废气应急监测技术标要求</w:t>
      </w:r>
    </w:p>
    <w:p w14:paraId="3EDAD86B">
      <w:pPr>
        <w:snapToGrid w:val="0"/>
        <w:spacing w:line="360" w:lineRule="auto"/>
        <w:rPr>
          <w:rFonts w:ascii="仿宋" w:hAnsi="仿宋" w:eastAsia="仿宋"/>
          <w:sz w:val="28"/>
          <w:szCs w:val="24"/>
        </w:rPr>
      </w:pPr>
    </w:p>
    <w:p w14:paraId="0DC6E775">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一、目标</w:t>
      </w:r>
    </w:p>
    <w:p w14:paraId="42C0DE84">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为了公司生产过程排放废气能进行正常的废气监测和监测数据发布，根据公司排污许可要求，编制本技术标要求。</w:t>
      </w:r>
    </w:p>
    <w:p w14:paraId="68DA930B">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二、项目简介</w:t>
      </w:r>
    </w:p>
    <w:p w14:paraId="71B38C35">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按照排污许可要求，重庆汽车开展了废气等日常监测，监测发现涂装车间烘干废气</w:t>
      </w:r>
      <w:r>
        <w:rPr>
          <w:rFonts w:ascii="仿宋" w:hAnsi="仿宋" w:eastAsia="仿宋"/>
          <w:sz w:val="28"/>
          <w:szCs w:val="24"/>
        </w:rPr>
        <w:t>7月月度监测指标结果异常，经复测后烘干废气月度监测指标结果仍然异常。</w:t>
      </w:r>
    </w:p>
    <w:p w14:paraId="068A8294">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由于月度监测结果异常对公司会产生不利影响。为了判断异常情况真实性、查找异常原因，急须另寻具备相应资质和能力的第三方环保监测单位进行烘干废气月度监测。涂装车间烘干废气应急监测内容具体情况见表</w:t>
      </w:r>
      <w:r>
        <w:rPr>
          <w:rFonts w:ascii="仿宋" w:hAnsi="仿宋" w:eastAsia="仿宋"/>
          <w:sz w:val="28"/>
          <w:szCs w:val="24"/>
        </w:rPr>
        <w:t>1。</w:t>
      </w:r>
    </w:p>
    <w:p w14:paraId="0F8E03F4">
      <w:pPr>
        <w:snapToGrid w:val="0"/>
        <w:spacing w:line="360" w:lineRule="auto"/>
        <w:rPr>
          <w:rFonts w:hint="eastAsia" w:ascii="仿宋" w:hAnsi="仿宋" w:eastAsia="仿宋"/>
          <w:sz w:val="28"/>
          <w:szCs w:val="24"/>
        </w:rPr>
      </w:pPr>
    </w:p>
    <w:p w14:paraId="083A1297">
      <w:pPr>
        <w:snapToGrid w:val="0"/>
        <w:spacing w:line="360" w:lineRule="auto"/>
        <w:rPr>
          <w:rFonts w:ascii="仿宋" w:hAnsi="仿宋" w:eastAsia="仿宋"/>
          <w:sz w:val="28"/>
          <w:szCs w:val="24"/>
        </w:rPr>
      </w:pPr>
      <w:r>
        <w:rPr>
          <w:rFonts w:hint="eastAsia" w:ascii="仿宋" w:hAnsi="仿宋" w:eastAsia="仿宋"/>
          <w:sz w:val="28"/>
          <w:szCs w:val="24"/>
        </w:rPr>
        <w:t>表</w:t>
      </w:r>
      <w:r>
        <w:rPr>
          <w:rFonts w:ascii="仿宋" w:hAnsi="仿宋" w:eastAsia="仿宋"/>
          <w:sz w:val="28"/>
          <w:szCs w:val="24"/>
        </w:rPr>
        <w:t>1           涂装车间烘干废气应急监测内容一览表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363"/>
        <w:gridCol w:w="1604"/>
        <w:gridCol w:w="2300"/>
        <w:gridCol w:w="2027"/>
        <w:gridCol w:w="1040"/>
      </w:tblGrid>
      <w:tr w14:paraId="6A07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11" w:type="pct"/>
            <w:vAlign w:val="center"/>
          </w:tcPr>
          <w:p w14:paraId="211D209F">
            <w:pPr>
              <w:widowControl/>
              <w:jc w:val="center"/>
              <w:textAlignment w:val="center"/>
              <w:rPr>
                <w:rFonts w:ascii="仿宋" w:hAnsi="仿宋" w:eastAsia="仿宋" w:cs="黑体"/>
                <w:color w:val="000000"/>
                <w:sz w:val="24"/>
                <w:szCs w:val="24"/>
              </w:rPr>
            </w:pPr>
            <w:r>
              <w:rPr>
                <w:rFonts w:hint="eastAsia" w:ascii="仿宋" w:hAnsi="仿宋" w:eastAsia="仿宋" w:cs="黑体"/>
                <w:color w:val="000000"/>
                <w:kern w:val="0"/>
                <w:sz w:val="24"/>
                <w:szCs w:val="24"/>
                <w:lang w:bidi="ar"/>
              </w:rPr>
              <w:t>排气筒编号</w:t>
            </w:r>
          </w:p>
        </w:tc>
        <w:tc>
          <w:tcPr>
            <w:tcW w:w="734" w:type="pct"/>
            <w:vAlign w:val="center"/>
          </w:tcPr>
          <w:p w14:paraId="2BE7B8C0">
            <w:pPr>
              <w:widowControl/>
              <w:jc w:val="center"/>
              <w:textAlignment w:val="center"/>
              <w:rPr>
                <w:rFonts w:ascii="仿宋" w:hAnsi="仿宋" w:eastAsia="仿宋" w:cs="黑体"/>
                <w:color w:val="000000"/>
                <w:sz w:val="24"/>
                <w:szCs w:val="24"/>
              </w:rPr>
            </w:pPr>
            <w:r>
              <w:rPr>
                <w:rFonts w:hint="eastAsia" w:ascii="仿宋" w:hAnsi="仿宋" w:eastAsia="仿宋" w:cs="黑体"/>
                <w:color w:val="000000"/>
                <w:kern w:val="0"/>
                <w:sz w:val="24"/>
                <w:szCs w:val="24"/>
                <w:lang w:bidi="ar"/>
              </w:rPr>
              <w:t>项目</w:t>
            </w:r>
          </w:p>
        </w:tc>
        <w:tc>
          <w:tcPr>
            <w:tcW w:w="864" w:type="pct"/>
            <w:vAlign w:val="center"/>
          </w:tcPr>
          <w:p w14:paraId="08FAB83C">
            <w:pPr>
              <w:widowControl/>
              <w:jc w:val="center"/>
              <w:textAlignment w:val="center"/>
              <w:rPr>
                <w:rFonts w:ascii="仿宋" w:hAnsi="仿宋" w:eastAsia="仿宋" w:cs="黑体"/>
                <w:color w:val="000000"/>
                <w:sz w:val="24"/>
                <w:szCs w:val="24"/>
              </w:rPr>
            </w:pPr>
            <w:r>
              <w:rPr>
                <w:rFonts w:hint="eastAsia" w:ascii="仿宋" w:hAnsi="仿宋" w:eastAsia="仿宋" w:cs="黑体"/>
                <w:color w:val="000000"/>
                <w:kern w:val="0"/>
                <w:sz w:val="24"/>
                <w:szCs w:val="24"/>
                <w:lang w:bidi="ar"/>
              </w:rPr>
              <w:t>排放口类型</w:t>
            </w:r>
          </w:p>
        </w:tc>
        <w:tc>
          <w:tcPr>
            <w:tcW w:w="1239" w:type="pct"/>
            <w:vAlign w:val="center"/>
          </w:tcPr>
          <w:p w14:paraId="68A7ABF5">
            <w:pPr>
              <w:widowControl/>
              <w:jc w:val="center"/>
              <w:textAlignment w:val="center"/>
              <w:rPr>
                <w:rFonts w:ascii="仿宋" w:hAnsi="仿宋" w:eastAsia="仿宋" w:cs="黑体"/>
                <w:color w:val="000000"/>
                <w:sz w:val="24"/>
                <w:szCs w:val="24"/>
              </w:rPr>
            </w:pPr>
            <w:r>
              <w:rPr>
                <w:rFonts w:hint="eastAsia" w:ascii="仿宋" w:hAnsi="仿宋" w:eastAsia="仿宋" w:cs="黑体"/>
                <w:color w:val="000000"/>
                <w:kern w:val="0"/>
                <w:sz w:val="24"/>
                <w:szCs w:val="24"/>
                <w:lang w:bidi="ar"/>
              </w:rPr>
              <w:t>监测因子</w:t>
            </w:r>
          </w:p>
        </w:tc>
        <w:tc>
          <w:tcPr>
            <w:tcW w:w="1092" w:type="pct"/>
            <w:vAlign w:val="center"/>
          </w:tcPr>
          <w:p w14:paraId="67DF1D8B">
            <w:pPr>
              <w:widowControl/>
              <w:jc w:val="center"/>
              <w:textAlignment w:val="center"/>
              <w:rPr>
                <w:rFonts w:ascii="仿宋" w:hAnsi="仿宋" w:eastAsia="仿宋" w:cs="黑体"/>
                <w:color w:val="000000"/>
                <w:sz w:val="24"/>
                <w:szCs w:val="24"/>
              </w:rPr>
            </w:pPr>
            <w:r>
              <w:rPr>
                <w:rFonts w:hint="eastAsia" w:ascii="仿宋" w:hAnsi="仿宋" w:eastAsia="仿宋" w:cs="黑体"/>
                <w:color w:val="000000"/>
                <w:kern w:val="0"/>
                <w:sz w:val="24"/>
                <w:szCs w:val="24"/>
                <w:lang w:bidi="ar"/>
              </w:rPr>
              <w:t>监测内容</w:t>
            </w:r>
          </w:p>
        </w:tc>
        <w:tc>
          <w:tcPr>
            <w:tcW w:w="560" w:type="pct"/>
            <w:vAlign w:val="center"/>
          </w:tcPr>
          <w:p w14:paraId="4A9880F5">
            <w:pPr>
              <w:widowControl/>
              <w:jc w:val="center"/>
              <w:textAlignment w:val="center"/>
              <w:rPr>
                <w:rFonts w:ascii="仿宋" w:hAnsi="仿宋" w:eastAsia="仿宋" w:cs="黑体"/>
                <w:color w:val="000000"/>
                <w:sz w:val="24"/>
                <w:szCs w:val="24"/>
              </w:rPr>
            </w:pPr>
            <w:r>
              <w:rPr>
                <w:rFonts w:hint="eastAsia" w:ascii="仿宋" w:hAnsi="仿宋" w:eastAsia="仿宋" w:cs="黑体"/>
                <w:color w:val="000000"/>
                <w:kern w:val="0"/>
                <w:sz w:val="24"/>
                <w:szCs w:val="24"/>
                <w:lang w:bidi="ar"/>
              </w:rPr>
              <w:t>备注</w:t>
            </w:r>
          </w:p>
        </w:tc>
      </w:tr>
      <w:tr w14:paraId="3E05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restart"/>
            <w:vAlign w:val="center"/>
          </w:tcPr>
          <w:p w14:paraId="41FC1CF6">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DA020</w:t>
            </w:r>
          </w:p>
        </w:tc>
        <w:tc>
          <w:tcPr>
            <w:tcW w:w="734" w:type="pct"/>
            <w:vMerge w:val="restart"/>
            <w:vAlign w:val="center"/>
          </w:tcPr>
          <w:p w14:paraId="08DC03E2">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电泳烘干废气排放口</w:t>
            </w:r>
          </w:p>
        </w:tc>
        <w:tc>
          <w:tcPr>
            <w:tcW w:w="864" w:type="pct"/>
            <w:vMerge w:val="restart"/>
            <w:vAlign w:val="center"/>
          </w:tcPr>
          <w:p w14:paraId="56B9F565">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主要排放口</w:t>
            </w:r>
          </w:p>
        </w:tc>
        <w:tc>
          <w:tcPr>
            <w:tcW w:w="1239" w:type="pct"/>
            <w:vAlign w:val="center"/>
          </w:tcPr>
          <w:p w14:paraId="008107B1">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非甲烷总烃</w:t>
            </w:r>
          </w:p>
        </w:tc>
        <w:tc>
          <w:tcPr>
            <w:tcW w:w="1092" w:type="pct"/>
            <w:vMerge w:val="restart"/>
            <w:vAlign w:val="center"/>
          </w:tcPr>
          <w:p w14:paraId="274D0A49">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烟气量、烟气流速、烟气压力、烟气含湿量、烟气温度、氧含量、烟道截面积等烟气参数，烟气参数监测频次按照排气筒编号各监测1次，各排气筒排放废气中的各污染因子监测频次均为1次。</w:t>
            </w:r>
          </w:p>
        </w:tc>
        <w:tc>
          <w:tcPr>
            <w:tcW w:w="560" w:type="pct"/>
            <w:vMerge w:val="restart"/>
            <w:vAlign w:val="center"/>
          </w:tcPr>
          <w:p w14:paraId="51EF11EE">
            <w:pPr>
              <w:widowControl/>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来源于重庆汽车公司</w:t>
            </w:r>
            <w:r>
              <w:rPr>
                <w:rStyle w:val="112"/>
                <w:rFonts w:ascii="仿宋" w:hAnsi="仿宋" w:eastAsia="仿宋"/>
                <w:sz w:val="24"/>
                <w:szCs w:val="24"/>
                <w:lang w:bidi="ar"/>
              </w:rPr>
              <w:t>2025</w:t>
            </w:r>
            <w:r>
              <w:rPr>
                <w:rStyle w:val="111"/>
                <w:rFonts w:hint="default" w:ascii="仿宋" w:hAnsi="仿宋" w:eastAsia="仿宋"/>
                <w:sz w:val="24"/>
                <w:szCs w:val="24"/>
                <w:lang w:bidi="ar"/>
              </w:rPr>
              <w:t>年度环境监测方案，</w:t>
            </w:r>
          </w:p>
        </w:tc>
      </w:tr>
      <w:tr w14:paraId="6526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0F61783F">
            <w:pPr>
              <w:jc w:val="center"/>
              <w:rPr>
                <w:rFonts w:ascii="仿宋" w:hAnsi="仿宋" w:eastAsia="仿宋"/>
                <w:color w:val="000000"/>
                <w:sz w:val="24"/>
                <w:szCs w:val="24"/>
              </w:rPr>
            </w:pPr>
          </w:p>
        </w:tc>
        <w:tc>
          <w:tcPr>
            <w:tcW w:w="734" w:type="pct"/>
            <w:vMerge w:val="continue"/>
            <w:vAlign w:val="center"/>
          </w:tcPr>
          <w:p w14:paraId="681CDF5D">
            <w:pPr>
              <w:jc w:val="center"/>
              <w:rPr>
                <w:rFonts w:ascii="仿宋" w:hAnsi="仿宋" w:eastAsia="仿宋"/>
                <w:color w:val="000000"/>
                <w:sz w:val="24"/>
                <w:szCs w:val="24"/>
              </w:rPr>
            </w:pPr>
          </w:p>
        </w:tc>
        <w:tc>
          <w:tcPr>
            <w:tcW w:w="864" w:type="pct"/>
            <w:vMerge w:val="continue"/>
            <w:vAlign w:val="center"/>
          </w:tcPr>
          <w:p w14:paraId="08167706">
            <w:pPr>
              <w:jc w:val="center"/>
              <w:rPr>
                <w:rFonts w:ascii="仿宋" w:hAnsi="仿宋" w:eastAsia="仿宋"/>
                <w:color w:val="000000"/>
                <w:sz w:val="24"/>
                <w:szCs w:val="24"/>
              </w:rPr>
            </w:pPr>
          </w:p>
        </w:tc>
        <w:tc>
          <w:tcPr>
            <w:tcW w:w="1239" w:type="pct"/>
            <w:vAlign w:val="center"/>
          </w:tcPr>
          <w:p w14:paraId="229710B3">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VOCs</w:t>
            </w:r>
          </w:p>
        </w:tc>
        <w:tc>
          <w:tcPr>
            <w:tcW w:w="1092" w:type="pct"/>
            <w:vMerge w:val="continue"/>
            <w:vAlign w:val="center"/>
          </w:tcPr>
          <w:p w14:paraId="4E72F298">
            <w:pPr>
              <w:jc w:val="center"/>
              <w:rPr>
                <w:rFonts w:ascii="仿宋" w:hAnsi="仿宋" w:eastAsia="仿宋"/>
                <w:color w:val="000000"/>
                <w:sz w:val="24"/>
                <w:szCs w:val="24"/>
              </w:rPr>
            </w:pPr>
          </w:p>
        </w:tc>
        <w:tc>
          <w:tcPr>
            <w:tcW w:w="560" w:type="pct"/>
            <w:vMerge w:val="continue"/>
            <w:vAlign w:val="center"/>
          </w:tcPr>
          <w:p w14:paraId="5539A8B2">
            <w:pPr>
              <w:jc w:val="center"/>
              <w:rPr>
                <w:rFonts w:ascii="仿宋" w:hAnsi="仿宋" w:eastAsia="仿宋" w:cs="宋体"/>
                <w:color w:val="000000"/>
                <w:sz w:val="24"/>
                <w:szCs w:val="24"/>
              </w:rPr>
            </w:pPr>
          </w:p>
        </w:tc>
      </w:tr>
      <w:tr w14:paraId="3C11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5DB936F8">
            <w:pPr>
              <w:jc w:val="center"/>
              <w:rPr>
                <w:rFonts w:ascii="仿宋" w:hAnsi="仿宋" w:eastAsia="仿宋"/>
                <w:color w:val="000000"/>
                <w:sz w:val="24"/>
                <w:szCs w:val="24"/>
              </w:rPr>
            </w:pPr>
          </w:p>
        </w:tc>
        <w:tc>
          <w:tcPr>
            <w:tcW w:w="734" w:type="pct"/>
            <w:vMerge w:val="continue"/>
            <w:vAlign w:val="center"/>
          </w:tcPr>
          <w:p w14:paraId="014733E1">
            <w:pPr>
              <w:jc w:val="center"/>
              <w:rPr>
                <w:rFonts w:ascii="仿宋" w:hAnsi="仿宋" w:eastAsia="仿宋"/>
                <w:color w:val="000000"/>
                <w:sz w:val="24"/>
                <w:szCs w:val="24"/>
              </w:rPr>
            </w:pPr>
          </w:p>
        </w:tc>
        <w:tc>
          <w:tcPr>
            <w:tcW w:w="864" w:type="pct"/>
            <w:vMerge w:val="continue"/>
            <w:vAlign w:val="center"/>
          </w:tcPr>
          <w:p w14:paraId="708B6490">
            <w:pPr>
              <w:jc w:val="center"/>
              <w:rPr>
                <w:rFonts w:ascii="仿宋" w:hAnsi="仿宋" w:eastAsia="仿宋"/>
                <w:color w:val="000000"/>
                <w:sz w:val="24"/>
                <w:szCs w:val="24"/>
              </w:rPr>
            </w:pPr>
          </w:p>
        </w:tc>
        <w:tc>
          <w:tcPr>
            <w:tcW w:w="1239" w:type="pct"/>
            <w:vAlign w:val="center"/>
          </w:tcPr>
          <w:p w14:paraId="6704A91C">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SO</w:t>
            </w:r>
            <w:r>
              <w:rPr>
                <w:rStyle w:val="113"/>
                <w:rFonts w:ascii="仿宋" w:hAnsi="仿宋" w:eastAsia="仿宋"/>
                <w:sz w:val="24"/>
                <w:szCs w:val="24"/>
                <w:lang w:bidi="ar"/>
              </w:rPr>
              <w:t>2</w:t>
            </w:r>
          </w:p>
        </w:tc>
        <w:tc>
          <w:tcPr>
            <w:tcW w:w="1092" w:type="pct"/>
            <w:vMerge w:val="continue"/>
            <w:vAlign w:val="center"/>
          </w:tcPr>
          <w:p w14:paraId="6A0C9CD5">
            <w:pPr>
              <w:jc w:val="center"/>
              <w:rPr>
                <w:rFonts w:ascii="仿宋" w:hAnsi="仿宋" w:eastAsia="仿宋"/>
                <w:color w:val="000000"/>
                <w:sz w:val="24"/>
                <w:szCs w:val="24"/>
              </w:rPr>
            </w:pPr>
          </w:p>
        </w:tc>
        <w:tc>
          <w:tcPr>
            <w:tcW w:w="560" w:type="pct"/>
            <w:vMerge w:val="continue"/>
            <w:vAlign w:val="center"/>
          </w:tcPr>
          <w:p w14:paraId="67E89380">
            <w:pPr>
              <w:jc w:val="center"/>
              <w:rPr>
                <w:rFonts w:ascii="仿宋" w:hAnsi="仿宋" w:eastAsia="仿宋" w:cs="宋体"/>
                <w:color w:val="000000"/>
                <w:sz w:val="24"/>
                <w:szCs w:val="24"/>
              </w:rPr>
            </w:pPr>
          </w:p>
        </w:tc>
      </w:tr>
      <w:tr w14:paraId="1291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11" w:type="pct"/>
            <w:vMerge w:val="continue"/>
            <w:vAlign w:val="center"/>
          </w:tcPr>
          <w:p w14:paraId="6766DD57">
            <w:pPr>
              <w:jc w:val="center"/>
              <w:rPr>
                <w:rFonts w:ascii="仿宋" w:hAnsi="仿宋" w:eastAsia="仿宋"/>
                <w:color w:val="000000"/>
                <w:sz w:val="24"/>
                <w:szCs w:val="24"/>
              </w:rPr>
            </w:pPr>
          </w:p>
        </w:tc>
        <w:tc>
          <w:tcPr>
            <w:tcW w:w="734" w:type="pct"/>
            <w:vMerge w:val="continue"/>
            <w:vAlign w:val="center"/>
          </w:tcPr>
          <w:p w14:paraId="428939E8">
            <w:pPr>
              <w:jc w:val="center"/>
              <w:rPr>
                <w:rFonts w:ascii="仿宋" w:hAnsi="仿宋" w:eastAsia="仿宋"/>
                <w:color w:val="000000"/>
                <w:sz w:val="24"/>
                <w:szCs w:val="24"/>
              </w:rPr>
            </w:pPr>
          </w:p>
        </w:tc>
        <w:tc>
          <w:tcPr>
            <w:tcW w:w="864" w:type="pct"/>
            <w:vMerge w:val="continue"/>
            <w:vAlign w:val="center"/>
          </w:tcPr>
          <w:p w14:paraId="379689C7">
            <w:pPr>
              <w:jc w:val="center"/>
              <w:rPr>
                <w:rFonts w:ascii="仿宋" w:hAnsi="仿宋" w:eastAsia="仿宋"/>
                <w:color w:val="000000"/>
                <w:sz w:val="24"/>
                <w:szCs w:val="24"/>
              </w:rPr>
            </w:pPr>
          </w:p>
        </w:tc>
        <w:tc>
          <w:tcPr>
            <w:tcW w:w="1239" w:type="pct"/>
            <w:vAlign w:val="center"/>
          </w:tcPr>
          <w:p w14:paraId="3050EA4E">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NOx</w:t>
            </w:r>
          </w:p>
        </w:tc>
        <w:tc>
          <w:tcPr>
            <w:tcW w:w="1092" w:type="pct"/>
            <w:vMerge w:val="continue"/>
            <w:vAlign w:val="center"/>
          </w:tcPr>
          <w:p w14:paraId="0B038F7B">
            <w:pPr>
              <w:jc w:val="center"/>
              <w:rPr>
                <w:rFonts w:ascii="仿宋" w:hAnsi="仿宋" w:eastAsia="仿宋"/>
                <w:color w:val="000000"/>
                <w:sz w:val="24"/>
                <w:szCs w:val="24"/>
              </w:rPr>
            </w:pPr>
          </w:p>
        </w:tc>
        <w:tc>
          <w:tcPr>
            <w:tcW w:w="560" w:type="pct"/>
            <w:vMerge w:val="continue"/>
            <w:vAlign w:val="center"/>
          </w:tcPr>
          <w:p w14:paraId="4763783E">
            <w:pPr>
              <w:jc w:val="center"/>
              <w:rPr>
                <w:rFonts w:ascii="仿宋" w:hAnsi="仿宋" w:eastAsia="仿宋" w:cs="宋体"/>
                <w:color w:val="000000"/>
                <w:sz w:val="24"/>
                <w:szCs w:val="24"/>
              </w:rPr>
            </w:pPr>
          </w:p>
        </w:tc>
      </w:tr>
      <w:tr w14:paraId="72CC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5773475B">
            <w:pPr>
              <w:jc w:val="center"/>
              <w:rPr>
                <w:rFonts w:ascii="仿宋" w:hAnsi="仿宋" w:eastAsia="仿宋"/>
                <w:color w:val="000000"/>
                <w:sz w:val="24"/>
                <w:szCs w:val="24"/>
              </w:rPr>
            </w:pPr>
          </w:p>
        </w:tc>
        <w:tc>
          <w:tcPr>
            <w:tcW w:w="734" w:type="pct"/>
            <w:vMerge w:val="continue"/>
            <w:vAlign w:val="center"/>
          </w:tcPr>
          <w:p w14:paraId="79FF3618">
            <w:pPr>
              <w:jc w:val="center"/>
              <w:rPr>
                <w:rFonts w:ascii="仿宋" w:hAnsi="仿宋" w:eastAsia="仿宋"/>
                <w:color w:val="000000"/>
                <w:sz w:val="24"/>
                <w:szCs w:val="24"/>
              </w:rPr>
            </w:pPr>
          </w:p>
        </w:tc>
        <w:tc>
          <w:tcPr>
            <w:tcW w:w="864" w:type="pct"/>
            <w:vMerge w:val="continue"/>
            <w:vAlign w:val="center"/>
          </w:tcPr>
          <w:p w14:paraId="2154DA80">
            <w:pPr>
              <w:jc w:val="center"/>
              <w:rPr>
                <w:rFonts w:ascii="仿宋" w:hAnsi="仿宋" w:eastAsia="仿宋"/>
                <w:color w:val="000000"/>
                <w:sz w:val="24"/>
                <w:szCs w:val="24"/>
              </w:rPr>
            </w:pPr>
          </w:p>
        </w:tc>
        <w:tc>
          <w:tcPr>
            <w:tcW w:w="1239" w:type="pct"/>
            <w:vAlign w:val="center"/>
          </w:tcPr>
          <w:p w14:paraId="2D6B2628">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TSP</w:t>
            </w:r>
          </w:p>
        </w:tc>
        <w:tc>
          <w:tcPr>
            <w:tcW w:w="1092" w:type="pct"/>
            <w:vMerge w:val="continue"/>
            <w:vAlign w:val="center"/>
          </w:tcPr>
          <w:p w14:paraId="58AE4368">
            <w:pPr>
              <w:jc w:val="center"/>
              <w:rPr>
                <w:rFonts w:ascii="仿宋" w:hAnsi="仿宋" w:eastAsia="仿宋"/>
                <w:color w:val="000000"/>
                <w:sz w:val="24"/>
                <w:szCs w:val="24"/>
              </w:rPr>
            </w:pPr>
          </w:p>
        </w:tc>
        <w:tc>
          <w:tcPr>
            <w:tcW w:w="560" w:type="pct"/>
            <w:vMerge w:val="continue"/>
            <w:vAlign w:val="center"/>
          </w:tcPr>
          <w:p w14:paraId="669DE305">
            <w:pPr>
              <w:jc w:val="center"/>
              <w:rPr>
                <w:rFonts w:ascii="仿宋" w:hAnsi="仿宋" w:eastAsia="仿宋" w:cs="宋体"/>
                <w:color w:val="000000"/>
                <w:sz w:val="24"/>
                <w:szCs w:val="24"/>
              </w:rPr>
            </w:pPr>
          </w:p>
        </w:tc>
      </w:tr>
      <w:tr w14:paraId="68FB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restart"/>
            <w:vAlign w:val="center"/>
          </w:tcPr>
          <w:p w14:paraId="1A12FFB1">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DA021</w:t>
            </w:r>
          </w:p>
        </w:tc>
        <w:tc>
          <w:tcPr>
            <w:tcW w:w="734" w:type="pct"/>
            <w:vMerge w:val="restart"/>
            <w:vAlign w:val="center"/>
          </w:tcPr>
          <w:p w14:paraId="1D8D5B81">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中涂烘干废气排放口</w:t>
            </w:r>
          </w:p>
        </w:tc>
        <w:tc>
          <w:tcPr>
            <w:tcW w:w="864" w:type="pct"/>
            <w:vMerge w:val="restart"/>
            <w:vAlign w:val="center"/>
          </w:tcPr>
          <w:p w14:paraId="657C547D">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主要排放口</w:t>
            </w:r>
          </w:p>
        </w:tc>
        <w:tc>
          <w:tcPr>
            <w:tcW w:w="1239" w:type="pct"/>
            <w:vAlign w:val="center"/>
          </w:tcPr>
          <w:p w14:paraId="4887A9A4">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甲苯和二甲苯合计</w:t>
            </w:r>
          </w:p>
        </w:tc>
        <w:tc>
          <w:tcPr>
            <w:tcW w:w="1092" w:type="pct"/>
            <w:vMerge w:val="continue"/>
            <w:vAlign w:val="center"/>
          </w:tcPr>
          <w:p w14:paraId="42E18DF8">
            <w:pPr>
              <w:jc w:val="center"/>
              <w:rPr>
                <w:rFonts w:ascii="仿宋" w:hAnsi="仿宋" w:eastAsia="仿宋"/>
                <w:color w:val="000000"/>
                <w:sz w:val="24"/>
                <w:szCs w:val="24"/>
              </w:rPr>
            </w:pPr>
          </w:p>
        </w:tc>
        <w:tc>
          <w:tcPr>
            <w:tcW w:w="560" w:type="pct"/>
            <w:vMerge w:val="continue"/>
            <w:vAlign w:val="center"/>
          </w:tcPr>
          <w:p w14:paraId="4062E381">
            <w:pPr>
              <w:jc w:val="center"/>
              <w:rPr>
                <w:rFonts w:ascii="仿宋" w:hAnsi="仿宋" w:eastAsia="仿宋" w:cs="宋体"/>
                <w:color w:val="000000"/>
                <w:sz w:val="24"/>
                <w:szCs w:val="24"/>
              </w:rPr>
            </w:pPr>
          </w:p>
        </w:tc>
      </w:tr>
      <w:tr w14:paraId="630F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4C33D610">
            <w:pPr>
              <w:jc w:val="center"/>
              <w:rPr>
                <w:rFonts w:ascii="仿宋" w:hAnsi="仿宋" w:eastAsia="仿宋"/>
                <w:color w:val="000000"/>
                <w:sz w:val="24"/>
                <w:szCs w:val="24"/>
              </w:rPr>
            </w:pPr>
          </w:p>
        </w:tc>
        <w:tc>
          <w:tcPr>
            <w:tcW w:w="734" w:type="pct"/>
            <w:vMerge w:val="continue"/>
            <w:vAlign w:val="center"/>
          </w:tcPr>
          <w:p w14:paraId="270FD4CA">
            <w:pPr>
              <w:jc w:val="center"/>
              <w:rPr>
                <w:rFonts w:ascii="仿宋" w:hAnsi="仿宋" w:eastAsia="仿宋"/>
                <w:color w:val="000000"/>
                <w:sz w:val="24"/>
                <w:szCs w:val="24"/>
              </w:rPr>
            </w:pPr>
          </w:p>
        </w:tc>
        <w:tc>
          <w:tcPr>
            <w:tcW w:w="864" w:type="pct"/>
            <w:vMerge w:val="continue"/>
            <w:vAlign w:val="center"/>
          </w:tcPr>
          <w:p w14:paraId="3B5EC3C6">
            <w:pPr>
              <w:jc w:val="center"/>
              <w:rPr>
                <w:rFonts w:ascii="仿宋" w:hAnsi="仿宋" w:eastAsia="仿宋"/>
                <w:color w:val="000000"/>
                <w:sz w:val="24"/>
                <w:szCs w:val="24"/>
              </w:rPr>
            </w:pPr>
          </w:p>
        </w:tc>
        <w:tc>
          <w:tcPr>
            <w:tcW w:w="1239" w:type="pct"/>
            <w:vAlign w:val="center"/>
          </w:tcPr>
          <w:p w14:paraId="78DE1268">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苯系物</w:t>
            </w:r>
          </w:p>
        </w:tc>
        <w:tc>
          <w:tcPr>
            <w:tcW w:w="1092" w:type="pct"/>
            <w:vMerge w:val="continue"/>
            <w:vAlign w:val="center"/>
          </w:tcPr>
          <w:p w14:paraId="3100223F">
            <w:pPr>
              <w:jc w:val="center"/>
              <w:rPr>
                <w:rFonts w:ascii="仿宋" w:hAnsi="仿宋" w:eastAsia="仿宋"/>
                <w:color w:val="000000"/>
                <w:sz w:val="24"/>
                <w:szCs w:val="24"/>
              </w:rPr>
            </w:pPr>
          </w:p>
        </w:tc>
        <w:tc>
          <w:tcPr>
            <w:tcW w:w="560" w:type="pct"/>
            <w:vMerge w:val="continue"/>
            <w:vAlign w:val="center"/>
          </w:tcPr>
          <w:p w14:paraId="2342CB7D">
            <w:pPr>
              <w:jc w:val="center"/>
              <w:rPr>
                <w:rFonts w:ascii="仿宋" w:hAnsi="仿宋" w:eastAsia="仿宋" w:cs="宋体"/>
                <w:color w:val="000000"/>
                <w:sz w:val="24"/>
                <w:szCs w:val="24"/>
              </w:rPr>
            </w:pPr>
          </w:p>
        </w:tc>
      </w:tr>
      <w:tr w14:paraId="42BC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7DE3D526">
            <w:pPr>
              <w:jc w:val="center"/>
              <w:rPr>
                <w:rFonts w:ascii="仿宋" w:hAnsi="仿宋" w:eastAsia="仿宋"/>
                <w:color w:val="000000"/>
                <w:sz w:val="24"/>
                <w:szCs w:val="24"/>
              </w:rPr>
            </w:pPr>
          </w:p>
        </w:tc>
        <w:tc>
          <w:tcPr>
            <w:tcW w:w="734" w:type="pct"/>
            <w:vMerge w:val="continue"/>
            <w:vAlign w:val="center"/>
          </w:tcPr>
          <w:p w14:paraId="567EC44E">
            <w:pPr>
              <w:jc w:val="center"/>
              <w:rPr>
                <w:rFonts w:ascii="仿宋" w:hAnsi="仿宋" w:eastAsia="仿宋"/>
                <w:color w:val="000000"/>
                <w:sz w:val="24"/>
                <w:szCs w:val="24"/>
              </w:rPr>
            </w:pPr>
          </w:p>
        </w:tc>
        <w:tc>
          <w:tcPr>
            <w:tcW w:w="864" w:type="pct"/>
            <w:vMerge w:val="continue"/>
            <w:vAlign w:val="center"/>
          </w:tcPr>
          <w:p w14:paraId="098B785E">
            <w:pPr>
              <w:jc w:val="center"/>
              <w:rPr>
                <w:rFonts w:ascii="仿宋" w:hAnsi="仿宋" w:eastAsia="仿宋"/>
                <w:color w:val="000000"/>
                <w:sz w:val="24"/>
                <w:szCs w:val="24"/>
              </w:rPr>
            </w:pPr>
          </w:p>
        </w:tc>
        <w:tc>
          <w:tcPr>
            <w:tcW w:w="1239" w:type="pct"/>
            <w:vAlign w:val="center"/>
          </w:tcPr>
          <w:p w14:paraId="1CEA62C4">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非甲烷总烃</w:t>
            </w:r>
          </w:p>
        </w:tc>
        <w:tc>
          <w:tcPr>
            <w:tcW w:w="1092" w:type="pct"/>
            <w:vMerge w:val="continue"/>
            <w:vAlign w:val="center"/>
          </w:tcPr>
          <w:p w14:paraId="56D2D12C">
            <w:pPr>
              <w:jc w:val="center"/>
              <w:rPr>
                <w:rFonts w:ascii="仿宋" w:hAnsi="仿宋" w:eastAsia="仿宋"/>
                <w:color w:val="000000"/>
                <w:sz w:val="24"/>
                <w:szCs w:val="24"/>
              </w:rPr>
            </w:pPr>
          </w:p>
        </w:tc>
        <w:tc>
          <w:tcPr>
            <w:tcW w:w="560" w:type="pct"/>
            <w:vMerge w:val="continue"/>
            <w:vAlign w:val="center"/>
          </w:tcPr>
          <w:p w14:paraId="0D8D20FB">
            <w:pPr>
              <w:jc w:val="center"/>
              <w:rPr>
                <w:rFonts w:ascii="仿宋" w:hAnsi="仿宋" w:eastAsia="仿宋" w:cs="宋体"/>
                <w:color w:val="000000"/>
                <w:sz w:val="24"/>
                <w:szCs w:val="24"/>
              </w:rPr>
            </w:pPr>
          </w:p>
        </w:tc>
      </w:tr>
      <w:tr w14:paraId="2D8C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4980F069">
            <w:pPr>
              <w:jc w:val="center"/>
              <w:rPr>
                <w:rFonts w:ascii="仿宋" w:hAnsi="仿宋" w:eastAsia="仿宋"/>
                <w:color w:val="000000"/>
                <w:sz w:val="24"/>
                <w:szCs w:val="24"/>
              </w:rPr>
            </w:pPr>
          </w:p>
        </w:tc>
        <w:tc>
          <w:tcPr>
            <w:tcW w:w="734" w:type="pct"/>
            <w:vMerge w:val="continue"/>
            <w:vAlign w:val="center"/>
          </w:tcPr>
          <w:p w14:paraId="0C8AA861">
            <w:pPr>
              <w:jc w:val="center"/>
              <w:rPr>
                <w:rFonts w:ascii="仿宋" w:hAnsi="仿宋" w:eastAsia="仿宋"/>
                <w:color w:val="000000"/>
                <w:sz w:val="24"/>
                <w:szCs w:val="24"/>
              </w:rPr>
            </w:pPr>
          </w:p>
        </w:tc>
        <w:tc>
          <w:tcPr>
            <w:tcW w:w="864" w:type="pct"/>
            <w:vMerge w:val="continue"/>
            <w:vAlign w:val="center"/>
          </w:tcPr>
          <w:p w14:paraId="0EE8D8E2">
            <w:pPr>
              <w:jc w:val="center"/>
              <w:rPr>
                <w:rFonts w:ascii="仿宋" w:hAnsi="仿宋" w:eastAsia="仿宋"/>
                <w:color w:val="000000"/>
                <w:sz w:val="24"/>
                <w:szCs w:val="24"/>
              </w:rPr>
            </w:pPr>
          </w:p>
        </w:tc>
        <w:tc>
          <w:tcPr>
            <w:tcW w:w="1239" w:type="pct"/>
            <w:vAlign w:val="center"/>
          </w:tcPr>
          <w:p w14:paraId="665D0BB6">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VOCs</w:t>
            </w:r>
          </w:p>
        </w:tc>
        <w:tc>
          <w:tcPr>
            <w:tcW w:w="1092" w:type="pct"/>
            <w:vMerge w:val="continue"/>
            <w:vAlign w:val="center"/>
          </w:tcPr>
          <w:p w14:paraId="6396DF15">
            <w:pPr>
              <w:jc w:val="center"/>
              <w:rPr>
                <w:rFonts w:ascii="仿宋" w:hAnsi="仿宋" w:eastAsia="仿宋"/>
                <w:color w:val="000000"/>
                <w:sz w:val="24"/>
                <w:szCs w:val="24"/>
              </w:rPr>
            </w:pPr>
          </w:p>
        </w:tc>
        <w:tc>
          <w:tcPr>
            <w:tcW w:w="560" w:type="pct"/>
            <w:vMerge w:val="continue"/>
            <w:vAlign w:val="center"/>
          </w:tcPr>
          <w:p w14:paraId="210821B8">
            <w:pPr>
              <w:jc w:val="center"/>
              <w:rPr>
                <w:rFonts w:ascii="仿宋" w:hAnsi="仿宋" w:eastAsia="仿宋" w:cs="宋体"/>
                <w:color w:val="000000"/>
                <w:sz w:val="24"/>
                <w:szCs w:val="24"/>
              </w:rPr>
            </w:pPr>
          </w:p>
        </w:tc>
      </w:tr>
      <w:tr w14:paraId="3FF5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19D6E67F">
            <w:pPr>
              <w:jc w:val="center"/>
              <w:rPr>
                <w:rFonts w:ascii="仿宋" w:hAnsi="仿宋" w:eastAsia="仿宋"/>
                <w:color w:val="000000"/>
                <w:sz w:val="24"/>
                <w:szCs w:val="24"/>
              </w:rPr>
            </w:pPr>
          </w:p>
        </w:tc>
        <w:tc>
          <w:tcPr>
            <w:tcW w:w="734" w:type="pct"/>
            <w:vMerge w:val="continue"/>
            <w:vAlign w:val="center"/>
          </w:tcPr>
          <w:p w14:paraId="56B30AFB">
            <w:pPr>
              <w:jc w:val="center"/>
              <w:rPr>
                <w:rFonts w:ascii="仿宋" w:hAnsi="仿宋" w:eastAsia="仿宋"/>
                <w:color w:val="000000"/>
                <w:sz w:val="24"/>
                <w:szCs w:val="24"/>
              </w:rPr>
            </w:pPr>
          </w:p>
        </w:tc>
        <w:tc>
          <w:tcPr>
            <w:tcW w:w="864" w:type="pct"/>
            <w:vMerge w:val="continue"/>
            <w:vAlign w:val="center"/>
          </w:tcPr>
          <w:p w14:paraId="143C8B34">
            <w:pPr>
              <w:jc w:val="center"/>
              <w:rPr>
                <w:rFonts w:ascii="仿宋" w:hAnsi="仿宋" w:eastAsia="仿宋"/>
                <w:color w:val="000000"/>
                <w:sz w:val="24"/>
                <w:szCs w:val="24"/>
              </w:rPr>
            </w:pPr>
          </w:p>
        </w:tc>
        <w:tc>
          <w:tcPr>
            <w:tcW w:w="1239" w:type="pct"/>
            <w:vAlign w:val="center"/>
          </w:tcPr>
          <w:p w14:paraId="6C74F76E">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SO</w:t>
            </w:r>
            <w:r>
              <w:rPr>
                <w:rStyle w:val="113"/>
                <w:rFonts w:ascii="仿宋" w:hAnsi="仿宋" w:eastAsia="仿宋"/>
                <w:sz w:val="24"/>
                <w:szCs w:val="24"/>
                <w:lang w:bidi="ar"/>
              </w:rPr>
              <w:t>2</w:t>
            </w:r>
          </w:p>
        </w:tc>
        <w:tc>
          <w:tcPr>
            <w:tcW w:w="1092" w:type="pct"/>
            <w:vMerge w:val="continue"/>
            <w:vAlign w:val="center"/>
          </w:tcPr>
          <w:p w14:paraId="043DC40C">
            <w:pPr>
              <w:jc w:val="center"/>
              <w:rPr>
                <w:rFonts w:ascii="仿宋" w:hAnsi="仿宋" w:eastAsia="仿宋"/>
                <w:color w:val="000000"/>
                <w:sz w:val="24"/>
                <w:szCs w:val="24"/>
              </w:rPr>
            </w:pPr>
          </w:p>
        </w:tc>
        <w:tc>
          <w:tcPr>
            <w:tcW w:w="560" w:type="pct"/>
            <w:vMerge w:val="continue"/>
            <w:vAlign w:val="center"/>
          </w:tcPr>
          <w:p w14:paraId="0858491D">
            <w:pPr>
              <w:jc w:val="center"/>
              <w:rPr>
                <w:rFonts w:ascii="仿宋" w:hAnsi="仿宋" w:eastAsia="仿宋" w:cs="宋体"/>
                <w:color w:val="000000"/>
                <w:sz w:val="24"/>
                <w:szCs w:val="24"/>
              </w:rPr>
            </w:pPr>
          </w:p>
        </w:tc>
      </w:tr>
      <w:tr w14:paraId="6B2B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652D04AB">
            <w:pPr>
              <w:jc w:val="center"/>
              <w:rPr>
                <w:rFonts w:ascii="仿宋" w:hAnsi="仿宋" w:eastAsia="仿宋"/>
                <w:color w:val="000000"/>
                <w:sz w:val="24"/>
                <w:szCs w:val="24"/>
              </w:rPr>
            </w:pPr>
          </w:p>
        </w:tc>
        <w:tc>
          <w:tcPr>
            <w:tcW w:w="734" w:type="pct"/>
            <w:vMerge w:val="continue"/>
            <w:vAlign w:val="center"/>
          </w:tcPr>
          <w:p w14:paraId="4F75B9DA">
            <w:pPr>
              <w:jc w:val="center"/>
              <w:rPr>
                <w:rFonts w:ascii="仿宋" w:hAnsi="仿宋" w:eastAsia="仿宋"/>
                <w:color w:val="000000"/>
                <w:sz w:val="24"/>
                <w:szCs w:val="24"/>
              </w:rPr>
            </w:pPr>
          </w:p>
        </w:tc>
        <w:tc>
          <w:tcPr>
            <w:tcW w:w="864" w:type="pct"/>
            <w:vMerge w:val="continue"/>
            <w:vAlign w:val="center"/>
          </w:tcPr>
          <w:p w14:paraId="69527A3F">
            <w:pPr>
              <w:jc w:val="center"/>
              <w:rPr>
                <w:rFonts w:ascii="仿宋" w:hAnsi="仿宋" w:eastAsia="仿宋"/>
                <w:color w:val="000000"/>
                <w:sz w:val="24"/>
                <w:szCs w:val="24"/>
              </w:rPr>
            </w:pPr>
          </w:p>
        </w:tc>
        <w:tc>
          <w:tcPr>
            <w:tcW w:w="1239" w:type="pct"/>
            <w:vAlign w:val="center"/>
          </w:tcPr>
          <w:p w14:paraId="5378157F">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NOx</w:t>
            </w:r>
          </w:p>
        </w:tc>
        <w:tc>
          <w:tcPr>
            <w:tcW w:w="1092" w:type="pct"/>
            <w:vMerge w:val="continue"/>
            <w:vAlign w:val="center"/>
          </w:tcPr>
          <w:p w14:paraId="2D47FA7F">
            <w:pPr>
              <w:jc w:val="center"/>
              <w:rPr>
                <w:rFonts w:ascii="仿宋" w:hAnsi="仿宋" w:eastAsia="仿宋"/>
                <w:color w:val="000000"/>
                <w:sz w:val="24"/>
                <w:szCs w:val="24"/>
              </w:rPr>
            </w:pPr>
          </w:p>
        </w:tc>
        <w:tc>
          <w:tcPr>
            <w:tcW w:w="560" w:type="pct"/>
            <w:vMerge w:val="continue"/>
            <w:vAlign w:val="center"/>
          </w:tcPr>
          <w:p w14:paraId="1FDD5F1D">
            <w:pPr>
              <w:jc w:val="center"/>
              <w:rPr>
                <w:rFonts w:ascii="仿宋" w:hAnsi="仿宋" w:eastAsia="仿宋" w:cs="宋体"/>
                <w:color w:val="000000"/>
                <w:sz w:val="24"/>
                <w:szCs w:val="24"/>
              </w:rPr>
            </w:pPr>
          </w:p>
        </w:tc>
      </w:tr>
      <w:tr w14:paraId="1503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2294A80F">
            <w:pPr>
              <w:jc w:val="center"/>
              <w:rPr>
                <w:rFonts w:ascii="仿宋" w:hAnsi="仿宋" w:eastAsia="仿宋"/>
                <w:color w:val="000000"/>
                <w:sz w:val="24"/>
                <w:szCs w:val="24"/>
              </w:rPr>
            </w:pPr>
          </w:p>
        </w:tc>
        <w:tc>
          <w:tcPr>
            <w:tcW w:w="734" w:type="pct"/>
            <w:vMerge w:val="continue"/>
            <w:vAlign w:val="center"/>
          </w:tcPr>
          <w:p w14:paraId="7B653A62">
            <w:pPr>
              <w:jc w:val="center"/>
              <w:rPr>
                <w:rFonts w:ascii="仿宋" w:hAnsi="仿宋" w:eastAsia="仿宋"/>
                <w:color w:val="000000"/>
                <w:sz w:val="24"/>
                <w:szCs w:val="24"/>
              </w:rPr>
            </w:pPr>
          </w:p>
        </w:tc>
        <w:tc>
          <w:tcPr>
            <w:tcW w:w="864" w:type="pct"/>
            <w:vMerge w:val="continue"/>
            <w:vAlign w:val="center"/>
          </w:tcPr>
          <w:p w14:paraId="2D1BAAF8">
            <w:pPr>
              <w:jc w:val="center"/>
              <w:rPr>
                <w:rFonts w:ascii="仿宋" w:hAnsi="仿宋" w:eastAsia="仿宋"/>
                <w:color w:val="000000"/>
                <w:sz w:val="24"/>
                <w:szCs w:val="24"/>
              </w:rPr>
            </w:pPr>
          </w:p>
        </w:tc>
        <w:tc>
          <w:tcPr>
            <w:tcW w:w="1239" w:type="pct"/>
            <w:vAlign w:val="center"/>
          </w:tcPr>
          <w:p w14:paraId="082DD4FE">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TSP</w:t>
            </w:r>
          </w:p>
        </w:tc>
        <w:tc>
          <w:tcPr>
            <w:tcW w:w="1092" w:type="pct"/>
            <w:vMerge w:val="continue"/>
            <w:vAlign w:val="center"/>
          </w:tcPr>
          <w:p w14:paraId="76B656C0">
            <w:pPr>
              <w:jc w:val="center"/>
              <w:rPr>
                <w:rFonts w:ascii="仿宋" w:hAnsi="仿宋" w:eastAsia="仿宋"/>
                <w:color w:val="000000"/>
                <w:sz w:val="24"/>
                <w:szCs w:val="24"/>
              </w:rPr>
            </w:pPr>
          </w:p>
        </w:tc>
        <w:tc>
          <w:tcPr>
            <w:tcW w:w="560" w:type="pct"/>
            <w:vMerge w:val="continue"/>
            <w:vAlign w:val="center"/>
          </w:tcPr>
          <w:p w14:paraId="444CDC55">
            <w:pPr>
              <w:jc w:val="center"/>
              <w:rPr>
                <w:rFonts w:ascii="仿宋" w:hAnsi="仿宋" w:eastAsia="仿宋" w:cs="宋体"/>
                <w:color w:val="000000"/>
                <w:sz w:val="24"/>
                <w:szCs w:val="24"/>
              </w:rPr>
            </w:pPr>
          </w:p>
        </w:tc>
      </w:tr>
      <w:tr w14:paraId="6DA8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restart"/>
            <w:vAlign w:val="center"/>
          </w:tcPr>
          <w:p w14:paraId="32195DB7">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DA022</w:t>
            </w:r>
          </w:p>
        </w:tc>
        <w:tc>
          <w:tcPr>
            <w:tcW w:w="734" w:type="pct"/>
            <w:vMerge w:val="restart"/>
            <w:vAlign w:val="center"/>
          </w:tcPr>
          <w:p w14:paraId="72F5EB34">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面漆清漆烘干废气排放口</w:t>
            </w:r>
          </w:p>
        </w:tc>
        <w:tc>
          <w:tcPr>
            <w:tcW w:w="864" w:type="pct"/>
            <w:vMerge w:val="restart"/>
            <w:vAlign w:val="center"/>
          </w:tcPr>
          <w:p w14:paraId="187988A5">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主要排放口</w:t>
            </w:r>
          </w:p>
        </w:tc>
        <w:tc>
          <w:tcPr>
            <w:tcW w:w="1239" w:type="pct"/>
            <w:vAlign w:val="center"/>
          </w:tcPr>
          <w:p w14:paraId="267BFD2C">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甲苯和二甲苯合计</w:t>
            </w:r>
          </w:p>
        </w:tc>
        <w:tc>
          <w:tcPr>
            <w:tcW w:w="1092" w:type="pct"/>
            <w:vMerge w:val="continue"/>
            <w:vAlign w:val="center"/>
          </w:tcPr>
          <w:p w14:paraId="5C3170E8">
            <w:pPr>
              <w:jc w:val="center"/>
              <w:rPr>
                <w:rFonts w:ascii="仿宋" w:hAnsi="仿宋" w:eastAsia="仿宋"/>
                <w:color w:val="000000"/>
                <w:sz w:val="24"/>
                <w:szCs w:val="24"/>
              </w:rPr>
            </w:pPr>
          </w:p>
        </w:tc>
        <w:tc>
          <w:tcPr>
            <w:tcW w:w="560" w:type="pct"/>
            <w:vMerge w:val="continue"/>
            <w:vAlign w:val="center"/>
          </w:tcPr>
          <w:p w14:paraId="5E4AA9B7">
            <w:pPr>
              <w:jc w:val="center"/>
              <w:rPr>
                <w:rFonts w:ascii="仿宋" w:hAnsi="仿宋" w:eastAsia="仿宋" w:cs="宋体"/>
                <w:color w:val="000000"/>
                <w:sz w:val="24"/>
                <w:szCs w:val="24"/>
              </w:rPr>
            </w:pPr>
          </w:p>
        </w:tc>
      </w:tr>
      <w:tr w14:paraId="189A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0900BD43">
            <w:pPr>
              <w:jc w:val="center"/>
              <w:rPr>
                <w:rFonts w:ascii="仿宋" w:hAnsi="仿宋" w:eastAsia="仿宋"/>
                <w:color w:val="000000"/>
                <w:sz w:val="24"/>
                <w:szCs w:val="24"/>
              </w:rPr>
            </w:pPr>
          </w:p>
        </w:tc>
        <w:tc>
          <w:tcPr>
            <w:tcW w:w="734" w:type="pct"/>
            <w:vMerge w:val="continue"/>
            <w:vAlign w:val="center"/>
          </w:tcPr>
          <w:p w14:paraId="37B0F6C6">
            <w:pPr>
              <w:jc w:val="center"/>
              <w:rPr>
                <w:rFonts w:ascii="仿宋" w:hAnsi="仿宋" w:eastAsia="仿宋"/>
                <w:color w:val="000000"/>
                <w:sz w:val="24"/>
                <w:szCs w:val="24"/>
              </w:rPr>
            </w:pPr>
          </w:p>
        </w:tc>
        <w:tc>
          <w:tcPr>
            <w:tcW w:w="864" w:type="pct"/>
            <w:vMerge w:val="continue"/>
            <w:vAlign w:val="center"/>
          </w:tcPr>
          <w:p w14:paraId="65F3EE8B">
            <w:pPr>
              <w:jc w:val="center"/>
              <w:rPr>
                <w:rFonts w:ascii="仿宋" w:hAnsi="仿宋" w:eastAsia="仿宋"/>
                <w:color w:val="000000"/>
                <w:sz w:val="24"/>
                <w:szCs w:val="24"/>
              </w:rPr>
            </w:pPr>
          </w:p>
        </w:tc>
        <w:tc>
          <w:tcPr>
            <w:tcW w:w="1239" w:type="pct"/>
            <w:vAlign w:val="center"/>
          </w:tcPr>
          <w:p w14:paraId="678A3D9A">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苯系物</w:t>
            </w:r>
          </w:p>
        </w:tc>
        <w:tc>
          <w:tcPr>
            <w:tcW w:w="1092" w:type="pct"/>
            <w:vMerge w:val="continue"/>
            <w:vAlign w:val="center"/>
          </w:tcPr>
          <w:p w14:paraId="42F42A9E">
            <w:pPr>
              <w:jc w:val="center"/>
              <w:rPr>
                <w:rFonts w:ascii="仿宋" w:hAnsi="仿宋" w:eastAsia="仿宋"/>
                <w:color w:val="000000"/>
                <w:sz w:val="24"/>
                <w:szCs w:val="24"/>
              </w:rPr>
            </w:pPr>
          </w:p>
        </w:tc>
        <w:tc>
          <w:tcPr>
            <w:tcW w:w="560" w:type="pct"/>
            <w:vMerge w:val="continue"/>
            <w:vAlign w:val="center"/>
          </w:tcPr>
          <w:p w14:paraId="0AD3BAC2">
            <w:pPr>
              <w:jc w:val="center"/>
              <w:rPr>
                <w:rFonts w:ascii="仿宋" w:hAnsi="仿宋" w:eastAsia="仿宋" w:cs="宋体"/>
                <w:color w:val="000000"/>
                <w:sz w:val="24"/>
                <w:szCs w:val="24"/>
              </w:rPr>
            </w:pPr>
          </w:p>
        </w:tc>
      </w:tr>
      <w:tr w14:paraId="087D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2B617477">
            <w:pPr>
              <w:jc w:val="center"/>
              <w:rPr>
                <w:rFonts w:ascii="仿宋" w:hAnsi="仿宋" w:eastAsia="仿宋"/>
                <w:color w:val="000000"/>
                <w:sz w:val="24"/>
                <w:szCs w:val="24"/>
              </w:rPr>
            </w:pPr>
          </w:p>
        </w:tc>
        <w:tc>
          <w:tcPr>
            <w:tcW w:w="734" w:type="pct"/>
            <w:vMerge w:val="continue"/>
            <w:vAlign w:val="center"/>
          </w:tcPr>
          <w:p w14:paraId="29E03874">
            <w:pPr>
              <w:jc w:val="center"/>
              <w:rPr>
                <w:rFonts w:ascii="仿宋" w:hAnsi="仿宋" w:eastAsia="仿宋"/>
                <w:color w:val="000000"/>
                <w:sz w:val="24"/>
                <w:szCs w:val="24"/>
              </w:rPr>
            </w:pPr>
          </w:p>
        </w:tc>
        <w:tc>
          <w:tcPr>
            <w:tcW w:w="864" w:type="pct"/>
            <w:vMerge w:val="continue"/>
            <w:vAlign w:val="center"/>
          </w:tcPr>
          <w:p w14:paraId="0B2C3F19">
            <w:pPr>
              <w:jc w:val="center"/>
              <w:rPr>
                <w:rFonts w:ascii="仿宋" w:hAnsi="仿宋" w:eastAsia="仿宋"/>
                <w:color w:val="000000"/>
                <w:sz w:val="24"/>
                <w:szCs w:val="24"/>
              </w:rPr>
            </w:pPr>
          </w:p>
        </w:tc>
        <w:tc>
          <w:tcPr>
            <w:tcW w:w="1239" w:type="pct"/>
            <w:vAlign w:val="center"/>
          </w:tcPr>
          <w:p w14:paraId="64644783">
            <w:pPr>
              <w:widowControl/>
              <w:jc w:val="center"/>
              <w:textAlignment w:val="center"/>
              <w:rPr>
                <w:rFonts w:ascii="仿宋" w:hAnsi="仿宋" w:eastAsia="仿宋"/>
                <w:color w:val="000000"/>
                <w:sz w:val="24"/>
                <w:szCs w:val="24"/>
              </w:rPr>
            </w:pPr>
            <w:r>
              <w:rPr>
                <w:rStyle w:val="111"/>
                <w:rFonts w:hint="default" w:ascii="仿宋" w:hAnsi="仿宋" w:eastAsia="仿宋"/>
                <w:sz w:val="24"/>
                <w:szCs w:val="24"/>
                <w:lang w:bidi="ar"/>
              </w:rPr>
              <w:t>非甲烷总烃</w:t>
            </w:r>
          </w:p>
        </w:tc>
        <w:tc>
          <w:tcPr>
            <w:tcW w:w="1092" w:type="pct"/>
            <w:vMerge w:val="continue"/>
            <w:vAlign w:val="center"/>
          </w:tcPr>
          <w:p w14:paraId="20B6A19F">
            <w:pPr>
              <w:jc w:val="center"/>
              <w:rPr>
                <w:rFonts w:ascii="仿宋" w:hAnsi="仿宋" w:eastAsia="仿宋"/>
                <w:color w:val="000000"/>
                <w:sz w:val="24"/>
                <w:szCs w:val="24"/>
              </w:rPr>
            </w:pPr>
          </w:p>
        </w:tc>
        <w:tc>
          <w:tcPr>
            <w:tcW w:w="560" w:type="pct"/>
            <w:vMerge w:val="continue"/>
            <w:vAlign w:val="center"/>
          </w:tcPr>
          <w:p w14:paraId="39623DE8">
            <w:pPr>
              <w:jc w:val="center"/>
              <w:rPr>
                <w:rFonts w:ascii="仿宋" w:hAnsi="仿宋" w:eastAsia="仿宋" w:cs="宋体"/>
                <w:color w:val="000000"/>
                <w:sz w:val="24"/>
                <w:szCs w:val="24"/>
              </w:rPr>
            </w:pPr>
          </w:p>
        </w:tc>
      </w:tr>
      <w:tr w14:paraId="2219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393B66C7">
            <w:pPr>
              <w:jc w:val="center"/>
              <w:rPr>
                <w:rFonts w:ascii="仿宋" w:hAnsi="仿宋" w:eastAsia="仿宋"/>
                <w:color w:val="000000"/>
                <w:sz w:val="24"/>
                <w:szCs w:val="24"/>
              </w:rPr>
            </w:pPr>
          </w:p>
        </w:tc>
        <w:tc>
          <w:tcPr>
            <w:tcW w:w="734" w:type="pct"/>
            <w:vMerge w:val="continue"/>
            <w:vAlign w:val="center"/>
          </w:tcPr>
          <w:p w14:paraId="70E571AF">
            <w:pPr>
              <w:jc w:val="center"/>
              <w:rPr>
                <w:rFonts w:ascii="仿宋" w:hAnsi="仿宋" w:eastAsia="仿宋"/>
                <w:color w:val="000000"/>
                <w:sz w:val="24"/>
                <w:szCs w:val="24"/>
              </w:rPr>
            </w:pPr>
          </w:p>
        </w:tc>
        <w:tc>
          <w:tcPr>
            <w:tcW w:w="864" w:type="pct"/>
            <w:vMerge w:val="continue"/>
            <w:vAlign w:val="center"/>
          </w:tcPr>
          <w:p w14:paraId="629B16AE">
            <w:pPr>
              <w:jc w:val="center"/>
              <w:rPr>
                <w:rFonts w:ascii="仿宋" w:hAnsi="仿宋" w:eastAsia="仿宋"/>
                <w:color w:val="000000"/>
                <w:sz w:val="24"/>
                <w:szCs w:val="24"/>
              </w:rPr>
            </w:pPr>
          </w:p>
        </w:tc>
        <w:tc>
          <w:tcPr>
            <w:tcW w:w="1239" w:type="pct"/>
            <w:vAlign w:val="center"/>
          </w:tcPr>
          <w:p w14:paraId="5C6AD077">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VOCs</w:t>
            </w:r>
          </w:p>
        </w:tc>
        <w:tc>
          <w:tcPr>
            <w:tcW w:w="1092" w:type="pct"/>
            <w:vMerge w:val="continue"/>
            <w:vAlign w:val="center"/>
          </w:tcPr>
          <w:p w14:paraId="79B3BCC8">
            <w:pPr>
              <w:jc w:val="center"/>
              <w:rPr>
                <w:rFonts w:ascii="仿宋" w:hAnsi="仿宋" w:eastAsia="仿宋"/>
                <w:color w:val="000000"/>
                <w:sz w:val="24"/>
                <w:szCs w:val="24"/>
              </w:rPr>
            </w:pPr>
          </w:p>
        </w:tc>
        <w:tc>
          <w:tcPr>
            <w:tcW w:w="560" w:type="pct"/>
            <w:vMerge w:val="continue"/>
            <w:vAlign w:val="center"/>
          </w:tcPr>
          <w:p w14:paraId="3CC577B0">
            <w:pPr>
              <w:jc w:val="center"/>
              <w:rPr>
                <w:rFonts w:ascii="仿宋" w:hAnsi="仿宋" w:eastAsia="仿宋" w:cs="宋体"/>
                <w:color w:val="000000"/>
                <w:sz w:val="24"/>
                <w:szCs w:val="24"/>
              </w:rPr>
            </w:pPr>
          </w:p>
        </w:tc>
      </w:tr>
      <w:tr w14:paraId="5639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568B0DB7">
            <w:pPr>
              <w:jc w:val="center"/>
              <w:rPr>
                <w:rFonts w:ascii="仿宋" w:hAnsi="仿宋" w:eastAsia="仿宋"/>
                <w:color w:val="000000"/>
                <w:sz w:val="24"/>
                <w:szCs w:val="24"/>
              </w:rPr>
            </w:pPr>
          </w:p>
        </w:tc>
        <w:tc>
          <w:tcPr>
            <w:tcW w:w="734" w:type="pct"/>
            <w:vMerge w:val="continue"/>
            <w:vAlign w:val="center"/>
          </w:tcPr>
          <w:p w14:paraId="1049A07F">
            <w:pPr>
              <w:jc w:val="center"/>
              <w:rPr>
                <w:rFonts w:ascii="仿宋" w:hAnsi="仿宋" w:eastAsia="仿宋"/>
                <w:color w:val="000000"/>
                <w:sz w:val="24"/>
                <w:szCs w:val="24"/>
              </w:rPr>
            </w:pPr>
          </w:p>
        </w:tc>
        <w:tc>
          <w:tcPr>
            <w:tcW w:w="864" w:type="pct"/>
            <w:vMerge w:val="continue"/>
            <w:vAlign w:val="center"/>
          </w:tcPr>
          <w:p w14:paraId="6A609FDF">
            <w:pPr>
              <w:jc w:val="center"/>
              <w:rPr>
                <w:rFonts w:ascii="仿宋" w:hAnsi="仿宋" w:eastAsia="仿宋"/>
                <w:color w:val="000000"/>
                <w:sz w:val="24"/>
                <w:szCs w:val="24"/>
              </w:rPr>
            </w:pPr>
          </w:p>
        </w:tc>
        <w:tc>
          <w:tcPr>
            <w:tcW w:w="1239" w:type="pct"/>
            <w:vAlign w:val="center"/>
          </w:tcPr>
          <w:p w14:paraId="736C6069">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SO</w:t>
            </w:r>
            <w:r>
              <w:rPr>
                <w:rStyle w:val="113"/>
                <w:rFonts w:ascii="仿宋" w:hAnsi="仿宋" w:eastAsia="仿宋"/>
                <w:sz w:val="24"/>
                <w:szCs w:val="24"/>
                <w:lang w:bidi="ar"/>
              </w:rPr>
              <w:t>2</w:t>
            </w:r>
          </w:p>
        </w:tc>
        <w:tc>
          <w:tcPr>
            <w:tcW w:w="1092" w:type="pct"/>
            <w:vMerge w:val="continue"/>
            <w:vAlign w:val="center"/>
          </w:tcPr>
          <w:p w14:paraId="02D7F437">
            <w:pPr>
              <w:jc w:val="center"/>
              <w:rPr>
                <w:rFonts w:ascii="仿宋" w:hAnsi="仿宋" w:eastAsia="仿宋"/>
                <w:color w:val="000000"/>
                <w:sz w:val="24"/>
                <w:szCs w:val="24"/>
              </w:rPr>
            </w:pPr>
          </w:p>
        </w:tc>
        <w:tc>
          <w:tcPr>
            <w:tcW w:w="560" w:type="pct"/>
            <w:vMerge w:val="continue"/>
            <w:vAlign w:val="center"/>
          </w:tcPr>
          <w:p w14:paraId="31935755">
            <w:pPr>
              <w:jc w:val="center"/>
              <w:rPr>
                <w:rFonts w:ascii="仿宋" w:hAnsi="仿宋" w:eastAsia="仿宋" w:cs="宋体"/>
                <w:color w:val="000000"/>
                <w:sz w:val="24"/>
                <w:szCs w:val="24"/>
              </w:rPr>
            </w:pPr>
          </w:p>
        </w:tc>
      </w:tr>
      <w:tr w14:paraId="4C40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18241B83">
            <w:pPr>
              <w:jc w:val="center"/>
              <w:rPr>
                <w:rFonts w:ascii="仿宋" w:hAnsi="仿宋" w:eastAsia="仿宋"/>
                <w:color w:val="000000"/>
                <w:sz w:val="24"/>
                <w:szCs w:val="24"/>
              </w:rPr>
            </w:pPr>
          </w:p>
        </w:tc>
        <w:tc>
          <w:tcPr>
            <w:tcW w:w="734" w:type="pct"/>
            <w:vMerge w:val="continue"/>
            <w:vAlign w:val="center"/>
          </w:tcPr>
          <w:p w14:paraId="3B41E09F">
            <w:pPr>
              <w:jc w:val="center"/>
              <w:rPr>
                <w:rFonts w:ascii="仿宋" w:hAnsi="仿宋" w:eastAsia="仿宋"/>
                <w:color w:val="000000"/>
                <w:sz w:val="24"/>
                <w:szCs w:val="24"/>
              </w:rPr>
            </w:pPr>
          </w:p>
        </w:tc>
        <w:tc>
          <w:tcPr>
            <w:tcW w:w="864" w:type="pct"/>
            <w:vMerge w:val="continue"/>
            <w:vAlign w:val="center"/>
          </w:tcPr>
          <w:p w14:paraId="03B026D0">
            <w:pPr>
              <w:jc w:val="center"/>
              <w:rPr>
                <w:rFonts w:ascii="仿宋" w:hAnsi="仿宋" w:eastAsia="仿宋"/>
                <w:color w:val="000000"/>
                <w:sz w:val="24"/>
                <w:szCs w:val="24"/>
              </w:rPr>
            </w:pPr>
          </w:p>
        </w:tc>
        <w:tc>
          <w:tcPr>
            <w:tcW w:w="1239" w:type="pct"/>
            <w:vAlign w:val="center"/>
          </w:tcPr>
          <w:p w14:paraId="1CF7F3BD">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NOx</w:t>
            </w:r>
          </w:p>
        </w:tc>
        <w:tc>
          <w:tcPr>
            <w:tcW w:w="1092" w:type="pct"/>
            <w:vMerge w:val="continue"/>
            <w:vAlign w:val="center"/>
          </w:tcPr>
          <w:p w14:paraId="36EDA40C">
            <w:pPr>
              <w:jc w:val="center"/>
              <w:rPr>
                <w:rFonts w:ascii="仿宋" w:hAnsi="仿宋" w:eastAsia="仿宋"/>
                <w:color w:val="000000"/>
                <w:sz w:val="24"/>
                <w:szCs w:val="24"/>
              </w:rPr>
            </w:pPr>
          </w:p>
        </w:tc>
        <w:tc>
          <w:tcPr>
            <w:tcW w:w="560" w:type="pct"/>
            <w:vMerge w:val="continue"/>
            <w:vAlign w:val="center"/>
          </w:tcPr>
          <w:p w14:paraId="1B4A18DA">
            <w:pPr>
              <w:jc w:val="center"/>
              <w:rPr>
                <w:rFonts w:ascii="仿宋" w:hAnsi="仿宋" w:eastAsia="仿宋" w:cs="宋体"/>
                <w:color w:val="000000"/>
                <w:sz w:val="24"/>
                <w:szCs w:val="24"/>
              </w:rPr>
            </w:pPr>
          </w:p>
        </w:tc>
      </w:tr>
      <w:tr w14:paraId="2599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11" w:type="pct"/>
            <w:vMerge w:val="continue"/>
            <w:vAlign w:val="center"/>
          </w:tcPr>
          <w:p w14:paraId="19C8E230">
            <w:pPr>
              <w:jc w:val="center"/>
              <w:rPr>
                <w:rFonts w:ascii="仿宋" w:hAnsi="仿宋" w:eastAsia="仿宋"/>
                <w:color w:val="000000"/>
                <w:sz w:val="24"/>
                <w:szCs w:val="24"/>
              </w:rPr>
            </w:pPr>
          </w:p>
        </w:tc>
        <w:tc>
          <w:tcPr>
            <w:tcW w:w="734" w:type="pct"/>
            <w:vMerge w:val="continue"/>
            <w:vAlign w:val="center"/>
          </w:tcPr>
          <w:p w14:paraId="5A0DBCD2">
            <w:pPr>
              <w:jc w:val="center"/>
              <w:rPr>
                <w:rFonts w:ascii="仿宋" w:hAnsi="仿宋" w:eastAsia="仿宋"/>
                <w:color w:val="000000"/>
                <w:sz w:val="24"/>
                <w:szCs w:val="24"/>
              </w:rPr>
            </w:pPr>
          </w:p>
        </w:tc>
        <w:tc>
          <w:tcPr>
            <w:tcW w:w="864" w:type="pct"/>
            <w:vMerge w:val="continue"/>
            <w:vAlign w:val="center"/>
          </w:tcPr>
          <w:p w14:paraId="30E8135F">
            <w:pPr>
              <w:jc w:val="center"/>
              <w:rPr>
                <w:rFonts w:ascii="仿宋" w:hAnsi="仿宋" w:eastAsia="仿宋"/>
                <w:color w:val="000000"/>
                <w:sz w:val="24"/>
                <w:szCs w:val="24"/>
              </w:rPr>
            </w:pPr>
          </w:p>
        </w:tc>
        <w:tc>
          <w:tcPr>
            <w:tcW w:w="1239" w:type="pct"/>
            <w:vAlign w:val="center"/>
          </w:tcPr>
          <w:p w14:paraId="624D5CAA">
            <w:pPr>
              <w:widowControl/>
              <w:jc w:val="center"/>
              <w:textAlignment w:val="center"/>
              <w:rPr>
                <w:rFonts w:ascii="仿宋" w:hAnsi="仿宋" w:eastAsia="仿宋"/>
                <w:color w:val="000000"/>
                <w:sz w:val="24"/>
                <w:szCs w:val="24"/>
              </w:rPr>
            </w:pPr>
            <w:r>
              <w:rPr>
                <w:rFonts w:ascii="仿宋" w:hAnsi="仿宋" w:eastAsia="仿宋"/>
                <w:color w:val="000000"/>
                <w:kern w:val="0"/>
                <w:sz w:val="24"/>
                <w:szCs w:val="24"/>
                <w:lang w:bidi="ar"/>
              </w:rPr>
              <w:t>TSP</w:t>
            </w:r>
          </w:p>
        </w:tc>
        <w:tc>
          <w:tcPr>
            <w:tcW w:w="1092" w:type="pct"/>
            <w:vMerge w:val="continue"/>
            <w:vAlign w:val="center"/>
          </w:tcPr>
          <w:p w14:paraId="7CF14BE2">
            <w:pPr>
              <w:jc w:val="center"/>
              <w:rPr>
                <w:rFonts w:ascii="仿宋" w:hAnsi="仿宋" w:eastAsia="仿宋"/>
                <w:color w:val="000000"/>
                <w:sz w:val="24"/>
                <w:szCs w:val="24"/>
              </w:rPr>
            </w:pPr>
          </w:p>
        </w:tc>
        <w:tc>
          <w:tcPr>
            <w:tcW w:w="560" w:type="pct"/>
            <w:vMerge w:val="continue"/>
            <w:vAlign w:val="center"/>
          </w:tcPr>
          <w:p w14:paraId="130AB3F6">
            <w:pPr>
              <w:jc w:val="center"/>
              <w:rPr>
                <w:rFonts w:ascii="仿宋" w:hAnsi="仿宋" w:eastAsia="仿宋" w:cs="宋体"/>
                <w:color w:val="000000"/>
                <w:sz w:val="24"/>
                <w:szCs w:val="24"/>
              </w:rPr>
            </w:pPr>
          </w:p>
        </w:tc>
      </w:tr>
    </w:tbl>
    <w:p w14:paraId="4A084766">
      <w:pPr>
        <w:rPr>
          <w:rFonts w:ascii="仿宋" w:hAnsi="仿宋" w:eastAsia="仿宋"/>
          <w:sz w:val="24"/>
          <w:szCs w:val="24"/>
        </w:rPr>
      </w:pPr>
    </w:p>
    <w:p w14:paraId="5CFA92F4">
      <w:pPr>
        <w:rPr>
          <w:rFonts w:ascii="仿宋" w:hAnsi="仿宋" w:eastAsia="仿宋"/>
          <w:sz w:val="24"/>
          <w:szCs w:val="24"/>
        </w:rPr>
      </w:pPr>
    </w:p>
    <w:p w14:paraId="040F7F51">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三、技术要求</w:t>
      </w:r>
    </w:p>
    <w:p w14:paraId="4D0EE688">
      <w:pPr>
        <w:adjustRightInd w:val="0"/>
        <w:snapToGrid w:val="0"/>
        <w:spacing w:line="360" w:lineRule="auto"/>
        <w:ind w:firstLine="560" w:firstLineChars="200"/>
        <w:jc w:val="left"/>
        <w:rPr>
          <w:rFonts w:ascii="仿宋" w:hAnsi="仿宋" w:eastAsia="仿宋"/>
          <w:sz w:val="28"/>
          <w:szCs w:val="24"/>
        </w:rPr>
      </w:pPr>
      <w:r>
        <w:rPr>
          <w:rFonts w:ascii="仿宋" w:hAnsi="仿宋" w:eastAsia="仿宋"/>
          <w:sz w:val="28"/>
          <w:szCs w:val="24"/>
        </w:rPr>
        <w:t>（一）资质要求</w:t>
      </w:r>
    </w:p>
    <w:p w14:paraId="370829CA">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供应商持有环保检测相应资质和能力，且经营资质范围必须满足公司委托处置的烘干废气应急监测类别范围。</w:t>
      </w:r>
    </w:p>
    <w:p w14:paraId="2F0252D8">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（二）现场检测</w:t>
      </w:r>
    </w:p>
    <w:p w14:paraId="1C01F120">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w:t>
      </w:r>
      <w:r>
        <w:rPr>
          <w:rFonts w:ascii="仿宋" w:hAnsi="仿宋" w:eastAsia="仿宋"/>
          <w:sz w:val="28"/>
          <w:szCs w:val="24"/>
        </w:rPr>
        <w:t>1）供应商在公司开展应急监测的人员和设施设备须符合厂区内相关管理要求，并按招标人要求签订相关方职业健康、安全、环境保护协议，承担相应的责任。</w:t>
      </w:r>
    </w:p>
    <w:p w14:paraId="19902992">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w:t>
      </w:r>
      <w:r>
        <w:rPr>
          <w:rFonts w:ascii="仿宋" w:hAnsi="仿宋" w:eastAsia="仿宋"/>
          <w:sz w:val="28"/>
          <w:szCs w:val="24"/>
        </w:rPr>
        <w:t>2）在公司开展应急监测过程中不得影响公司的正常生产运营工作，如若对生产运营造成影响并由此产生的一切后果均由供应商承担。</w:t>
      </w:r>
    </w:p>
    <w:p w14:paraId="1C42BDFB">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（三）响应时限</w:t>
      </w:r>
    </w:p>
    <w:p w14:paraId="56323D1F">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招标人提前一天告知应急监测时间，供应商立即响应并安排应急监测，不得以任何理由拒绝、拖延应急监测。</w:t>
      </w:r>
    </w:p>
    <w:p w14:paraId="0D2759AF">
      <w:pPr>
        <w:adjustRightInd w:val="0"/>
        <w:snapToGrid w:val="0"/>
        <w:spacing w:line="360" w:lineRule="auto"/>
        <w:ind w:firstLine="560" w:firstLineChars="200"/>
        <w:jc w:val="left"/>
        <w:rPr>
          <w:rFonts w:ascii="仿宋" w:hAnsi="仿宋" w:eastAsia="仿宋"/>
          <w:sz w:val="28"/>
          <w:szCs w:val="24"/>
        </w:rPr>
      </w:pPr>
      <w:r>
        <w:rPr>
          <w:rFonts w:hint="eastAsia" w:ascii="仿宋" w:hAnsi="仿宋" w:eastAsia="仿宋"/>
          <w:sz w:val="28"/>
          <w:szCs w:val="24"/>
        </w:rPr>
        <w:t>四、其他</w:t>
      </w:r>
    </w:p>
    <w:p w14:paraId="3ADC797E">
      <w:pPr>
        <w:adjustRightInd w:val="0"/>
        <w:snapToGrid w:val="0"/>
        <w:spacing w:line="360" w:lineRule="auto"/>
        <w:ind w:firstLine="560" w:firstLineChars="200"/>
        <w:jc w:val="left"/>
        <w:rPr>
          <w:rFonts w:ascii="仿宋" w:hAnsi="仿宋" w:eastAsia="仿宋"/>
          <w:sz w:val="28"/>
          <w:szCs w:val="24"/>
        </w:rPr>
      </w:pPr>
      <w:r>
        <w:rPr>
          <w:rFonts w:ascii="仿宋" w:hAnsi="仿宋" w:eastAsia="仿宋"/>
          <w:sz w:val="28"/>
          <w:szCs w:val="24"/>
        </w:rPr>
        <w:t>1、涂装车间烘干废气应急监测相关服务等，最终以合同约定为准。</w:t>
      </w:r>
    </w:p>
    <w:p w14:paraId="78912EFB">
      <w:pPr>
        <w:adjustRightInd w:val="0"/>
        <w:snapToGrid w:val="0"/>
        <w:spacing w:line="360" w:lineRule="auto"/>
        <w:ind w:firstLine="560" w:firstLineChars="200"/>
        <w:jc w:val="left"/>
        <w:rPr>
          <w:rFonts w:ascii="仿宋" w:hAnsi="仿宋" w:eastAsia="仿宋"/>
          <w:sz w:val="28"/>
          <w:szCs w:val="24"/>
        </w:rPr>
      </w:pPr>
      <w:r>
        <w:rPr>
          <w:rFonts w:ascii="仿宋" w:hAnsi="仿宋" w:eastAsia="仿宋"/>
          <w:sz w:val="28"/>
          <w:szCs w:val="24"/>
        </w:rPr>
        <w:t>2、因供应商原因未能及时完成项目的，或因乙方其他原因造成损失的，应赔偿由此给我司造成的损失。</w:t>
      </w:r>
    </w:p>
    <w:p w14:paraId="1F174D1B">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55E54AC2">
      <w:pPr>
        <w:pStyle w:val="76"/>
      </w:pPr>
    </w:p>
    <w:p w14:paraId="5871DF53">
      <w:pPr>
        <w:pStyle w:val="71"/>
        <w:numPr>
          <w:ilvl w:val="0"/>
          <w:numId w:val="31"/>
        </w:numPr>
        <w:rPr>
          <w:rFonts w:hint="eastAsia"/>
        </w:rPr>
      </w:pPr>
      <w:bookmarkStart w:id="22" w:name="_Toc47976609"/>
      <w:bookmarkStart w:id="23" w:name="_Toc20595"/>
      <w:r>
        <w:rPr>
          <w:rFonts w:hint="eastAsia"/>
        </w:rPr>
        <w:t>合同主要条款</w:t>
      </w:r>
      <w:bookmarkEnd w:id="22"/>
      <w:bookmarkEnd w:id="23"/>
    </w:p>
    <w:p w14:paraId="1CC2ADF3">
      <w:pPr>
        <w:pStyle w:val="71"/>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2"/>
        <w:numPr>
          <w:ilvl w:val="0"/>
          <w:numId w:val="32"/>
        </w:numPr>
        <w:ind w:left="420"/>
      </w:pPr>
      <w:bookmarkStart w:id="24" w:name="_Toc47976610"/>
      <w:r>
        <w:rPr>
          <w:rFonts w:hint="eastAsia"/>
          <w:lang w:val="en-US" w:eastAsia="zh-CN"/>
        </w:rPr>
        <w:t>标的、数量、</w:t>
      </w:r>
      <w:r>
        <w:rPr>
          <w:rFonts w:hint="eastAsia"/>
        </w:rPr>
        <w:t>交货期</w:t>
      </w:r>
      <w:bookmarkEnd w:id="24"/>
    </w:p>
    <w:p w14:paraId="18603CA8">
      <w:pPr>
        <w:pStyle w:val="72"/>
      </w:pPr>
      <w:bookmarkStart w:id="25" w:name="_Toc47976611"/>
      <w:r>
        <w:rPr>
          <w:rFonts w:hint="eastAsia"/>
        </w:rPr>
        <w:t>交货地点</w:t>
      </w:r>
      <w:bookmarkEnd w:id="25"/>
    </w:p>
    <w:p w14:paraId="3F03A936">
      <w:pPr>
        <w:pStyle w:val="72"/>
      </w:pPr>
      <w:bookmarkStart w:id="26" w:name="_Toc47976612"/>
      <w:r>
        <w:rPr>
          <w:rFonts w:hint="eastAsia"/>
          <w:lang w:val="en-US" w:eastAsia="zh-CN"/>
        </w:rPr>
        <w:t>价款及</w:t>
      </w:r>
      <w:r>
        <w:rPr>
          <w:rFonts w:hint="eastAsia"/>
        </w:rPr>
        <w:t>付款方式</w:t>
      </w:r>
      <w:bookmarkEnd w:id="26"/>
    </w:p>
    <w:p w14:paraId="0A7F4E98">
      <w:pPr>
        <w:pStyle w:val="72"/>
      </w:pPr>
      <w:bookmarkStart w:id="27" w:name="_Toc47976613"/>
      <w:r>
        <w:rPr>
          <w:rFonts w:hint="eastAsia"/>
          <w:lang w:val="en-US" w:eastAsia="zh-CN"/>
        </w:rPr>
        <w:t>质量要求、</w:t>
      </w:r>
      <w:r>
        <w:rPr>
          <w:rFonts w:hint="eastAsia"/>
        </w:rPr>
        <w:t>保修期及售后服务</w:t>
      </w:r>
      <w:bookmarkEnd w:id="27"/>
    </w:p>
    <w:p w14:paraId="50F6C5C1">
      <w:pPr>
        <w:pStyle w:val="72"/>
      </w:pPr>
      <w:bookmarkStart w:id="28" w:name="_Toc47976614"/>
      <w:r>
        <w:rPr>
          <w:rFonts w:hint="eastAsia"/>
        </w:rPr>
        <w:t>安装、调试及验收要求</w:t>
      </w:r>
      <w:bookmarkEnd w:id="28"/>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9" w:name="_Toc47976615"/>
      <w:bookmarkStart w:id="30" w:name="_Toc5925"/>
      <w:r>
        <w:rPr>
          <w:rFonts w:hint="eastAsia"/>
        </w:rPr>
        <w:t>第四部分　</w:t>
      </w:r>
      <w:bookmarkEnd w:id="29"/>
      <w:r>
        <w:rPr>
          <w:rFonts w:hint="eastAsia"/>
          <w:lang w:val="en-US" w:eastAsia="zh-CN"/>
        </w:rPr>
        <w:t>投标文件附件</w:t>
      </w:r>
      <w:bookmarkEnd w:id="30"/>
    </w:p>
    <w:p w14:paraId="14DA5059">
      <w:pPr>
        <w:keepNext/>
        <w:keepLines/>
        <w:outlineLvl w:val="2"/>
        <w:rPr>
          <w:rFonts w:ascii="Times New Roman" w:hAnsi="Times New Roman" w:eastAsia="宋体" w:cs="Times New Roman"/>
          <w:b/>
          <w:bCs/>
          <w:color w:val="auto"/>
          <w:sz w:val="24"/>
          <w:szCs w:val="24"/>
        </w:rPr>
      </w:pPr>
      <w:bookmarkStart w:id="31" w:name="_Toc47976616"/>
      <w:bookmarkStart w:id="32" w:name="_Toc4225"/>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1</w:t>
      </w:r>
      <w:bookmarkStart w:id="33" w:name="_Toc25811"/>
      <w:bookmarkStart w:id="34" w:name="_Toc212369550"/>
      <w:bookmarkStart w:id="35" w:name="_Toc639004"/>
      <w:bookmarkStart w:id="36" w:name="_Toc353881012"/>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投标函</w:t>
      </w:r>
      <w:bookmarkEnd w:id="33"/>
      <w:bookmarkEnd w:id="34"/>
      <w:bookmarkEnd w:id="35"/>
      <w:bookmarkEnd w:id="36"/>
    </w:p>
    <w:p w14:paraId="6103A7B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致：中国重汽集团</w:t>
      </w:r>
      <w:r>
        <w:rPr>
          <w:rFonts w:hint="eastAsia" w:ascii="宋体" w:hAnsi="宋体" w:eastAsia="宋体" w:cs="Times New Roman"/>
          <w:color w:val="auto"/>
          <w:sz w:val="24"/>
          <w:szCs w:val="24"/>
          <w:highlight w:val="none"/>
        </w:rPr>
        <w:t>济南</w:t>
      </w:r>
      <w:r>
        <w:rPr>
          <w:rFonts w:hint="eastAsia" w:ascii="宋体" w:hAnsi="宋体" w:eastAsia="宋体" w:cs="Times New Roman"/>
          <w:color w:val="auto"/>
          <w:sz w:val="24"/>
          <w:szCs w:val="24"/>
          <w:highlight w:val="none"/>
          <w:lang w:val="en-US" w:eastAsia="zh-CN"/>
        </w:rPr>
        <w:t>动力</w:t>
      </w:r>
      <w:r>
        <w:rPr>
          <w:rFonts w:hint="eastAsia" w:ascii="宋体" w:hAnsi="宋体" w:eastAsia="宋体" w:cs="Times New Roman"/>
          <w:color w:val="auto"/>
          <w:sz w:val="24"/>
          <w:szCs w:val="24"/>
          <w:highlight w:val="none"/>
        </w:rPr>
        <w:t>有限公司</w:t>
      </w:r>
      <w:r>
        <w:rPr>
          <w:rFonts w:hint="eastAsia" w:ascii="宋体" w:hAnsi="宋体" w:eastAsia="宋体" w:cs="Times New Roman"/>
          <w:color w:val="auto"/>
          <w:sz w:val="24"/>
          <w:szCs w:val="24"/>
        </w:rPr>
        <w:t>：</w:t>
      </w:r>
    </w:p>
    <w:p w14:paraId="7007D25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根据贵方</w:t>
      </w:r>
      <w:r>
        <w:rPr>
          <w:rFonts w:hint="eastAsia" w:ascii="宋体" w:hAnsi="宋体" w:eastAsia="宋体" w:cs="宋体"/>
          <w:color w:val="auto"/>
          <w:sz w:val="24"/>
          <w:szCs w:val="24"/>
          <w:highlight w:val="none"/>
          <w:u w:val="single"/>
        </w:rPr>
        <w:t xml:space="preserve"> 涂装车间烘干废气应急监测项目</w:t>
      </w:r>
      <w:r>
        <w:rPr>
          <w:rFonts w:hint="eastAsia" w:ascii="宋体" w:hAnsi="宋体" w:eastAsia="宋体" w:cs="Times New Roman"/>
          <w:bCs/>
          <w:snapToGrid w:val="0"/>
          <w:color w:val="auto"/>
          <w:kern w:val="0"/>
          <w:sz w:val="24"/>
          <w:szCs w:val="24"/>
        </w:rPr>
        <w:t>招标公告</w:t>
      </w:r>
      <w:r>
        <w:rPr>
          <w:rFonts w:hint="eastAsia" w:ascii="宋体" w:hAnsi="宋体" w:eastAsia="宋体" w:cs="Times New Roman"/>
          <w:color w:val="auto"/>
          <w:sz w:val="24"/>
          <w:szCs w:val="24"/>
        </w:rPr>
        <w:t>，</w:t>
      </w:r>
      <w:r>
        <w:rPr>
          <w:rFonts w:ascii="宋体" w:hAnsi="宋体" w:eastAsia="宋体" w:cs="Times New Roman"/>
          <w:b/>
          <w:color w:val="auto"/>
          <w:sz w:val="24"/>
          <w:szCs w:val="24"/>
          <w:u w:val="single"/>
        </w:rPr>
        <w:t xml:space="preserve">            </w:t>
      </w:r>
      <w:r>
        <w:rPr>
          <w:rFonts w:hint="eastAsia" w:ascii="宋体" w:hAnsi="宋体" w:eastAsia="宋体" w:cs="Times New Roman"/>
          <w:color w:val="auto"/>
          <w:sz w:val="24"/>
          <w:szCs w:val="24"/>
        </w:rPr>
        <w:t>投标公司，</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法人代表人为</w:t>
      </w:r>
      <w:r>
        <w:rPr>
          <w:rFonts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，正式授权</w:t>
      </w:r>
      <w:r>
        <w:rPr>
          <w:rFonts w:ascii="宋体" w:hAnsi="宋体" w:eastAsia="宋体" w:cs="Times New Roman"/>
          <w:color w:val="auto"/>
          <w:sz w:val="24"/>
          <w:szCs w:val="24"/>
          <w:u w:val="single"/>
        </w:rPr>
        <w:t xml:space="preserve">           </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提交投标文件：资质证明文件、商务文件和技术文件。</w:t>
      </w:r>
    </w:p>
    <w:p w14:paraId="4F4253DF">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据此函，签字代表宣布同意如下：</w:t>
      </w:r>
    </w:p>
    <w:p w14:paraId="2D1533C2">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1</w:t>
      </w:r>
      <w:r>
        <w:rPr>
          <w:rFonts w:hint="eastAsia" w:ascii="宋体" w:hAnsi="宋体" w:eastAsia="宋体" w:cs="Times New Roman"/>
          <w:color w:val="auto"/>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0FED3E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2</w:t>
      </w:r>
      <w:r>
        <w:rPr>
          <w:rFonts w:hint="eastAsia" w:ascii="宋体" w:hAnsi="宋体" w:eastAsia="宋体" w:cs="Times New Roman"/>
          <w:color w:val="auto"/>
          <w:sz w:val="24"/>
          <w:szCs w:val="24"/>
        </w:rPr>
        <w:t>.投标人在投标之前已经与贵方进行了充分的沟通，完全理解并接受招标文件的各项规定和要求，对招标文件的合理性、合法性不再有异议。</w:t>
      </w:r>
    </w:p>
    <w:p w14:paraId="16E29DCA">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3</w:t>
      </w:r>
      <w:r>
        <w:rPr>
          <w:rFonts w:hint="eastAsia" w:ascii="宋体" w:hAnsi="宋体" w:eastAsia="宋体" w:cs="Times New Roman"/>
          <w:color w:val="auto"/>
          <w:sz w:val="24"/>
          <w:szCs w:val="24"/>
        </w:rPr>
        <w:t>.本投标有效期自开标日起</w:t>
      </w:r>
      <w:r>
        <w:rPr>
          <w:rFonts w:ascii="宋体" w:hAnsi="宋体" w:eastAsia="宋体" w:cs="Times New Roman"/>
          <w:bCs/>
          <w:color w:val="auto"/>
          <w:sz w:val="24"/>
          <w:szCs w:val="24"/>
          <w:u w:val="single"/>
        </w:rPr>
        <w:t xml:space="preserve"> 90</w:t>
      </w:r>
      <w:r>
        <w:rPr>
          <w:rFonts w:hint="eastAsia" w:ascii="宋体" w:hAnsi="宋体" w:eastAsia="宋体" w:cs="Times New Roman"/>
          <w:color w:val="auto"/>
          <w:sz w:val="24"/>
          <w:szCs w:val="24"/>
        </w:rPr>
        <w:t>个日历日。</w:t>
      </w:r>
    </w:p>
    <w:p w14:paraId="314E2E7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4</w:t>
      </w:r>
      <w:r>
        <w:rPr>
          <w:rFonts w:hint="eastAsia" w:ascii="宋体" w:hAnsi="宋体" w:eastAsia="宋体" w:cs="Times New Roman"/>
          <w:color w:val="auto"/>
          <w:sz w:val="24"/>
          <w:szCs w:val="24"/>
        </w:rPr>
        <w:t>.如中标，本投标文件至本项目合同履行完毕止均保持有效，本投标人将按“招标文件”及政府采购法律、法规的规定履行合同责任和义务。</w:t>
      </w:r>
    </w:p>
    <w:p w14:paraId="00D554A5">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5</w:t>
      </w:r>
      <w:r>
        <w:rPr>
          <w:rFonts w:hint="eastAsia" w:ascii="宋体" w:hAnsi="宋体" w:eastAsia="宋体" w:cs="Times New Roman"/>
          <w:color w:val="auto"/>
          <w:sz w:val="24"/>
          <w:szCs w:val="24"/>
        </w:rPr>
        <w:t>.投标人同意按照贵方要求提供与投标有关的一切数据或资料。</w:t>
      </w:r>
    </w:p>
    <w:p w14:paraId="1F6B17B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6</w:t>
      </w:r>
      <w:r>
        <w:rPr>
          <w:rFonts w:hint="eastAsia" w:ascii="宋体" w:hAnsi="宋体" w:eastAsia="宋体" w:cs="Times New Roman"/>
          <w:color w:val="auto"/>
          <w:sz w:val="24"/>
          <w:szCs w:val="24"/>
        </w:rPr>
        <w:t>.与本投标有关的一切正式往来信函请寄：</w:t>
      </w:r>
    </w:p>
    <w:p w14:paraId="35B72F3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地址：</w:t>
      </w:r>
      <w:r>
        <w:rPr>
          <w:rFonts w:ascii="宋体" w:hAnsi="宋体" w:eastAsia="宋体" w:cs="Times New Roman"/>
          <w:color w:val="auto"/>
          <w:sz w:val="24"/>
          <w:szCs w:val="24"/>
        </w:rPr>
        <w:t xml:space="preserve">                             </w:t>
      </w:r>
    </w:p>
    <w:p w14:paraId="515E66B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邮编：</w:t>
      </w:r>
      <w:r>
        <w:rPr>
          <w:rFonts w:ascii="宋体" w:hAnsi="宋体" w:eastAsia="宋体" w:cs="Times New Roman"/>
          <w:color w:val="auto"/>
          <w:sz w:val="24"/>
          <w:szCs w:val="24"/>
        </w:rPr>
        <w:t xml:space="preserve">        </w:t>
      </w:r>
    </w:p>
    <w:p w14:paraId="64AED78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电话：</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传真：</w:t>
      </w:r>
      <w:r>
        <w:rPr>
          <w:rFonts w:ascii="宋体" w:hAnsi="宋体" w:eastAsia="宋体" w:cs="Times New Roman"/>
          <w:color w:val="auto"/>
          <w:sz w:val="24"/>
          <w:szCs w:val="24"/>
        </w:rPr>
        <w:t xml:space="preserve">                   </w:t>
      </w:r>
    </w:p>
    <w:p w14:paraId="1D7046B1">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投标人代表姓名：</w:t>
      </w:r>
      <w:r>
        <w:rPr>
          <w:rFonts w:hint="eastAsia"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职务：</w:t>
      </w:r>
      <w:r>
        <w:rPr>
          <w:rFonts w:ascii="宋体" w:hAnsi="宋体" w:eastAsia="宋体" w:cs="Times New Roman"/>
          <w:color w:val="auto"/>
          <w:sz w:val="24"/>
          <w:szCs w:val="24"/>
        </w:rPr>
        <w:t xml:space="preserve">          </w:t>
      </w:r>
    </w:p>
    <w:p w14:paraId="7A72AD6E">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开户银行：</w:t>
      </w:r>
      <w:r>
        <w:rPr>
          <w:rFonts w:ascii="宋体" w:hAnsi="宋体" w:eastAsia="宋体" w:cs="Times New Roman"/>
          <w:color w:val="auto"/>
          <w:sz w:val="24"/>
          <w:szCs w:val="24"/>
        </w:rPr>
        <w:t xml:space="preserve">                   </w:t>
      </w:r>
    </w:p>
    <w:p w14:paraId="0390A9C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银行帐号：</w:t>
      </w:r>
      <w:r>
        <w:rPr>
          <w:rFonts w:ascii="宋体" w:hAnsi="宋体" w:eastAsia="宋体" w:cs="Times New Roman"/>
          <w:color w:val="auto"/>
          <w:sz w:val="24"/>
          <w:szCs w:val="24"/>
        </w:rPr>
        <w:t xml:space="preserve">                   </w:t>
      </w:r>
    </w:p>
    <w:p w14:paraId="09665391">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hint="eastAsia" w:ascii="宋体" w:hAnsi="宋体" w:eastAsia="宋体" w:cs="Times New Roman"/>
          <w:bCs/>
          <w:color w:val="auto"/>
          <w:sz w:val="24"/>
          <w:szCs w:val="24"/>
        </w:rPr>
        <w:t>盖章）</w:t>
      </w:r>
      <w:r>
        <w:rPr>
          <w:rFonts w:ascii="宋体" w:hAnsi="宋体" w:eastAsia="宋体" w:cs="Times New Roman"/>
          <w:color w:val="auto"/>
          <w:sz w:val="24"/>
          <w:szCs w:val="24"/>
        </w:rPr>
        <w:t xml:space="preserve">: </w:t>
      </w:r>
    </w:p>
    <w:p w14:paraId="4137CA0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授权代表签字</w:t>
      </w:r>
      <w:r>
        <w:rPr>
          <w:rFonts w:hint="eastAsia" w:ascii="宋体" w:hAnsi="宋体" w:eastAsia="宋体" w:cs="Times New Roman"/>
          <w:bCs/>
          <w:color w:val="auto"/>
          <w:sz w:val="24"/>
          <w:szCs w:val="24"/>
        </w:rPr>
        <w:t>：</w:t>
      </w:r>
    </w:p>
    <w:p w14:paraId="17B6639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14:paraId="6498BCF2">
      <w:pPr>
        <w:rPr>
          <w:rFonts w:ascii="黑体" w:hAnsi="Calibri" w:eastAsia="黑体" w:cs="Times New Roman"/>
          <w:color w:val="auto"/>
          <w:sz w:val="24"/>
          <w:szCs w:val="24"/>
        </w:rPr>
      </w:pPr>
    </w:p>
    <w:p w14:paraId="27C95ED9">
      <w:pPr>
        <w:rPr>
          <w:rFonts w:ascii="黑体" w:hAnsi="Calibri" w:eastAsia="黑体" w:cs="Times New Roman"/>
          <w:color w:val="auto"/>
          <w:sz w:val="24"/>
          <w:szCs w:val="24"/>
        </w:rPr>
      </w:pPr>
    </w:p>
    <w:p w14:paraId="088A361B">
      <w:pPr>
        <w:rPr>
          <w:rFonts w:ascii="黑体" w:hAnsi="Calibri" w:eastAsia="黑体" w:cs="Times New Roman"/>
          <w:color w:val="auto"/>
          <w:sz w:val="24"/>
          <w:szCs w:val="24"/>
        </w:rPr>
      </w:pPr>
    </w:p>
    <w:p w14:paraId="50A55070">
      <w:pPr>
        <w:rPr>
          <w:rFonts w:ascii="黑体" w:hAnsi="Calibri" w:eastAsia="黑体" w:cs="Times New Roman"/>
          <w:color w:val="auto"/>
          <w:sz w:val="24"/>
          <w:szCs w:val="24"/>
        </w:rPr>
      </w:pPr>
    </w:p>
    <w:p w14:paraId="1C9F663C">
      <w:pPr>
        <w:rPr>
          <w:rFonts w:ascii="黑体" w:hAnsi="Calibri" w:eastAsia="黑体" w:cs="Times New Roman"/>
          <w:color w:val="auto"/>
          <w:sz w:val="24"/>
          <w:szCs w:val="24"/>
        </w:rPr>
      </w:pPr>
    </w:p>
    <w:p w14:paraId="4ABCA93A">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 xml:space="preserve">2 </w:t>
      </w:r>
      <w:r>
        <w:rPr>
          <w:rFonts w:hint="eastAsia" w:ascii="Times New Roman" w:hAnsi="Times New Roman" w:eastAsia="宋体" w:cs="Times New Roman"/>
          <w:b/>
          <w:bCs/>
          <w:color w:val="auto"/>
          <w:sz w:val="24"/>
          <w:szCs w:val="24"/>
        </w:rPr>
        <w:t>法定代表人授权委托书</w:t>
      </w:r>
    </w:p>
    <w:p w14:paraId="547F4183">
      <w:pPr>
        <w:adjustRightInd w:val="0"/>
        <w:snapToGrid w:val="0"/>
        <w:spacing w:before="93" w:beforeLines="30" w:line="240" w:lineRule="exact"/>
        <w:jc w:val="center"/>
        <w:rPr>
          <w:rFonts w:ascii="宋体" w:hAnsi="Calibri" w:eastAsia="宋体" w:cs="Times New Roman"/>
          <w:color w:val="auto"/>
          <w:sz w:val="24"/>
          <w:szCs w:val="20"/>
        </w:rPr>
      </w:pPr>
    </w:p>
    <w:p w14:paraId="31FC3F3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本授权委托书声明：我＿＿＿＿＿＿＿（姓名）系＿＿＿＿＿＿＿＿＿＿＿＿＿＿＿＿＿＿＿＿＿＿＿＿＿＿＿＿（投标人全称）的法定代表人，就</w:t>
      </w:r>
      <w:r>
        <w:rPr>
          <w:rFonts w:hint="eastAsia" w:ascii="宋体" w:hAnsi="宋体" w:eastAsia="宋体" w:cs="宋体"/>
          <w:color w:val="auto"/>
          <w:sz w:val="24"/>
          <w:szCs w:val="24"/>
          <w:highlight w:val="none"/>
          <w:u w:val="single"/>
        </w:rPr>
        <w:t>涂装车间烘干废气应急监测项目</w:t>
      </w:r>
      <w:r>
        <w:rPr>
          <w:rFonts w:hint="eastAsia" w:ascii="宋体" w:hAnsi="宋体" w:eastAsia="宋体" w:cs="Times New Roman"/>
          <w:color w:val="auto"/>
          <w:sz w:val="24"/>
          <w:szCs w:val="24"/>
        </w:rPr>
        <w:t>现授权委托＿＿＿＿＿＿＿＿＿＿＿＿＿＿＿＿＿＿＿＿＿＿＿＿＿＿＿＿（单位名称）的＿＿＿＿＿＿＿＿（姓名、职务）为我公司全权代表，全权代表在投标文件、评标过程中的书面承诺、合同等所签署的一切文件和处理与之有关的一切事务，我均予以承认。</w:t>
      </w:r>
    </w:p>
    <w:p w14:paraId="71AC72B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455C9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D6F512A">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附法人身份证明复印件（正反面）</w:t>
            </w:r>
          </w:p>
          <w:p w14:paraId="24B46A27">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附授权代理人身份证明复印件（正反面）</w:t>
            </w:r>
          </w:p>
        </w:tc>
      </w:tr>
    </w:tbl>
    <w:p w14:paraId="50B2A0A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全权代表姓名：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性别：</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年龄：</w:t>
      </w:r>
    </w:p>
    <w:p w14:paraId="3E239D8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单位：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部门：</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职务：</w:t>
      </w:r>
    </w:p>
    <w:p w14:paraId="6EF0F90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法定代表人签字或盖章</w:t>
      </w:r>
      <w:r>
        <w:rPr>
          <w:rFonts w:ascii="宋体" w:hAnsi="宋体" w:eastAsia="宋体" w:cs="Times New Roman"/>
          <w:color w:val="auto"/>
          <w:sz w:val="24"/>
          <w:szCs w:val="24"/>
        </w:rPr>
        <w:t xml:space="preserve">                          </w:t>
      </w:r>
    </w:p>
    <w:p w14:paraId="7FF1304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被授权人签字</w:t>
      </w:r>
      <w:r>
        <w:rPr>
          <w:rFonts w:ascii="宋体" w:hAnsi="宋体" w:eastAsia="宋体" w:cs="Times New Roman"/>
          <w:color w:val="auto"/>
          <w:sz w:val="24"/>
          <w:szCs w:val="24"/>
        </w:rPr>
        <w:t xml:space="preserve">  </w:t>
      </w:r>
    </w:p>
    <w:p w14:paraId="45C1838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被授权人电话：</w:t>
      </w:r>
      <w:r>
        <w:rPr>
          <w:rFonts w:ascii="宋体" w:hAnsi="宋体" w:eastAsia="宋体" w:cs="Times New Roman"/>
          <w:color w:val="auto"/>
          <w:sz w:val="24"/>
          <w:szCs w:val="24"/>
        </w:rPr>
        <w:t xml:space="preserve">                          </w:t>
      </w:r>
    </w:p>
    <w:p w14:paraId="0F9623E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投标人名称（公章）</w:t>
      </w:r>
      <w:r>
        <w:rPr>
          <w:rFonts w:ascii="宋体" w:hAnsi="宋体" w:eastAsia="宋体" w:cs="Times New Roman"/>
          <w:color w:val="auto"/>
          <w:sz w:val="24"/>
          <w:szCs w:val="24"/>
        </w:rPr>
        <w:t xml:space="preserve">                       </w:t>
      </w:r>
    </w:p>
    <w:p w14:paraId="17597DED">
      <w:pPr>
        <w:spacing w:line="460" w:lineRule="exact"/>
        <w:ind w:firstLine="5520" w:firstLineChars="2300"/>
        <w:rPr>
          <w:rFonts w:ascii="宋体" w:hAnsi="Calibri"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2D143740">
      <w:pPr>
        <w:rPr>
          <w:rFonts w:ascii="Calibri" w:hAnsi="Calibri" w:eastAsia="黑体" w:cs="Times New Roman"/>
          <w:b/>
          <w:bCs/>
          <w:color w:val="auto"/>
          <w:sz w:val="28"/>
          <w:szCs w:val="20"/>
        </w:rPr>
      </w:pPr>
    </w:p>
    <w:p w14:paraId="2A15DC8D">
      <w:pPr>
        <w:pStyle w:val="14"/>
        <w:framePr w:wrap="around" w:vAnchor="margin" w:hAnchor="text" w:y="1"/>
        <w:rPr>
          <w:color w:val="auto"/>
        </w:rPr>
        <w:sectPr>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spacing w:val="-9"/>
          <w:sz w:val="24"/>
          <w:szCs w:val="24"/>
          <w:lang w:eastAsia="zh-CN"/>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r>
        <w:rPr>
          <w:rFonts w:hint="eastAsia" w:ascii="宋体" w:hAnsi="宋体" w:cs="宋体"/>
          <w:spacing w:val="7"/>
          <w:sz w:val="24"/>
          <w:szCs w:val="24"/>
          <w:lang w:val="en-US" w:eastAsia="zh-CN"/>
          <w14:textOutline w14:w="4356" w14:cap="sq" w14:cmpd="sng">
            <w14:solidFill>
              <w14:srgbClr w14:val="000000"/>
            </w14:solidFill>
            <w14:prstDash w14:val="solid"/>
            <w14:bevel/>
          </w14:textOutline>
        </w:rPr>
        <w:t>需盖章</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4"/>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4"/>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4"/>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4"/>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4"/>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4"/>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4"/>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4"/>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4"/>
              <w:spacing w:before="114"/>
              <w:ind w:left="720"/>
            </w:pPr>
            <w:r>
              <w:t xml:space="preserve">品牌区分 </w:t>
            </w:r>
          </w:p>
        </w:tc>
        <w:tc>
          <w:tcPr>
            <w:tcW w:w="7500" w:type="dxa"/>
            <w:gridSpan w:val="6"/>
          </w:tcPr>
          <w:p w14:paraId="3BAE0FF2">
            <w:pPr>
              <w:pStyle w:val="11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4"/>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4"/>
              <w:spacing w:before="15"/>
              <w:ind w:left="279"/>
            </w:pPr>
            <w:r>
              <w:rPr>
                <w:spacing w:val="-2"/>
              </w:rPr>
              <w:t>质量</w:t>
            </w:r>
            <w:r>
              <w:t xml:space="preserve"> </w:t>
            </w:r>
          </w:p>
          <w:p w14:paraId="38F7D920">
            <w:pPr>
              <w:pStyle w:val="114"/>
              <w:spacing w:before="30" w:line="277" w:lineRule="exact"/>
              <w:ind w:left="279"/>
            </w:pPr>
            <w:r>
              <w:rPr>
                <w:rFonts w:hint="eastAsia"/>
              </w:rPr>
              <w:t>体系</w:t>
            </w:r>
          </w:p>
        </w:tc>
        <w:tc>
          <w:tcPr>
            <w:tcW w:w="2820" w:type="dxa"/>
            <w:gridSpan w:val="2"/>
          </w:tcPr>
          <w:p w14:paraId="53E9DAB1">
            <w:pPr>
              <w:pStyle w:val="114"/>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4"/>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73D8D3DE">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792B9788">
      <w:pPr>
        <w:pStyle w:val="14"/>
        <w:rPr>
          <w:rFonts w:ascii="Times New Roman" w:hAnsi="Times New Roman" w:eastAsia="宋体" w:cs="Times New Roman"/>
          <w:b/>
          <w:bCs/>
          <w:color w:val="000000"/>
          <w:sz w:val="24"/>
          <w:szCs w:val="24"/>
        </w:rPr>
      </w:pPr>
    </w:p>
    <w:p w14:paraId="0561AF60">
      <w:pPr>
        <w:pStyle w:val="14"/>
        <w:rPr>
          <w:rFonts w:ascii="Times New Roman" w:hAnsi="Times New Roman" w:eastAsia="宋体" w:cs="Times New Roman"/>
          <w:b/>
          <w:bCs/>
          <w:color w:val="000000"/>
          <w:sz w:val="24"/>
          <w:szCs w:val="24"/>
        </w:rPr>
      </w:pPr>
    </w:p>
    <w:p w14:paraId="78F0A321">
      <w:pPr>
        <w:pStyle w:val="14"/>
        <w:rPr>
          <w:rFonts w:ascii="Times New Roman" w:hAnsi="Times New Roman" w:eastAsia="宋体" w:cs="Times New Roman"/>
          <w:b/>
          <w:bCs/>
          <w:color w:val="000000"/>
          <w:sz w:val="24"/>
          <w:szCs w:val="24"/>
        </w:rPr>
      </w:pPr>
    </w:p>
    <w:p w14:paraId="54D6387F">
      <w:pPr>
        <w:pStyle w:val="1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4"/>
        <w:outlineLvl w:val="3"/>
        <w:rPr>
          <w:rFonts w:hint="eastAsia"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3F710BE">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2E069446">
      <w:pPr>
        <w:pStyle w:val="14"/>
        <w:framePr w:wrap="around" w:vAnchor="text" w:hAnchor="page" w:x="1210" w:y="-795"/>
        <w:rPr>
          <w:color w:val="auto"/>
        </w:rPr>
      </w:pPr>
    </w:p>
    <w:p w14:paraId="79D066F3">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附件4</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保密承诺函</w:t>
      </w:r>
    </w:p>
    <w:p w14:paraId="7ECB5949">
      <w:pPr>
        <w:spacing w:line="240" w:lineRule="exact"/>
        <w:jc w:val="center"/>
        <w:rPr>
          <w:rFonts w:ascii="宋体" w:hAnsi="Calibri" w:eastAsia="宋体" w:cs="Times New Roman"/>
          <w:b/>
          <w:bCs/>
          <w:color w:val="auto"/>
          <w:sz w:val="36"/>
          <w:szCs w:val="20"/>
        </w:rPr>
      </w:pPr>
    </w:p>
    <w:p w14:paraId="4FEDACF5">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highlight w:val="none"/>
          <w:u w:val="single"/>
        </w:rPr>
        <w:t>涂装车间烘干废气应急监测项目</w:t>
      </w:r>
    </w:p>
    <w:p w14:paraId="4F03A309">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中国重汽集团济南特种车有限公司：</w:t>
      </w:r>
    </w:p>
    <w:p w14:paraId="78FC662F">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我代表（投标人名称）对招标人的商业秘密作如下承诺：</w:t>
      </w:r>
    </w:p>
    <w:p w14:paraId="5B7E6CD0">
      <w:pPr>
        <w:spacing w:line="360" w:lineRule="auto"/>
        <w:ind w:left="479" w:leftChars="228"/>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u w:val="single"/>
        </w:rPr>
        <w:t xml:space="preserve">                                                                 </w:t>
      </w:r>
    </w:p>
    <w:p w14:paraId="606D71E5">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8F2E0F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4E13841">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33EDA4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EF72EF9">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581602D">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76C23D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EE3F9C1">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B11BF5A">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1C34315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A36B457">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E0DEEDE">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2427C38">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9172389">
      <w:pPr>
        <w:spacing w:line="360" w:lineRule="auto"/>
        <w:ind w:firstLine="480" w:firstLineChars="200"/>
        <w:rPr>
          <w:rFonts w:ascii="宋体" w:hAnsi="宋体" w:eastAsia="宋体" w:cs="Times New Roman"/>
          <w:color w:val="auto"/>
          <w:sz w:val="24"/>
          <w:szCs w:val="20"/>
          <w:u w:val="single"/>
        </w:rPr>
      </w:pPr>
    </w:p>
    <w:p w14:paraId="092C9AAB">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14:paraId="0623D91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14:paraId="69F804D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14:paraId="1BEB7CE9">
      <w:pPr>
        <w:rPr>
          <w:rFonts w:ascii="宋体" w:hAnsi="Calibri" w:eastAsia="宋体" w:cs="宋体"/>
          <w:b/>
          <w:bCs/>
          <w:color w:val="auto"/>
          <w:sz w:val="28"/>
          <w:szCs w:val="20"/>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bookmarkEnd w:id="31"/>
    <w:bookmarkEnd w:id="32"/>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202</w:t>
      </w:r>
      <w:r>
        <w:rPr>
          <w:rFonts w:hint="eastAsia"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w:t>
      </w:r>
      <w:r>
        <w:rPr>
          <w:rFonts w:hint="eastAsia" w:ascii="Times New Roman" w:hAnsi="Times New Roman" w:eastAsia="宋体" w:cs="Times New Roman"/>
          <w:b/>
          <w:bCs/>
          <w:color w:val="000000"/>
          <w:sz w:val="24"/>
          <w:szCs w:val="24"/>
        </w:rPr>
        <w:t>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auto"/>
          <w:sz w:val="24"/>
          <w:szCs w:val="24"/>
          <w:highlight w:val="none"/>
          <w:u w:val="single"/>
        </w:rPr>
        <w:t>涂装车间烘干废气应急监测项目</w:t>
      </w:r>
      <w:r>
        <w:rPr>
          <w:rFonts w:ascii="宋体" w:hAnsi="宋体" w:eastAsia="宋体" w:cs="Times New Roman"/>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48A1E282">
      <w:pPr>
        <w:rPr>
          <w:rFonts w:ascii="宋体" w:hAnsi="Calibri" w:eastAsia="宋体" w:cs="宋体"/>
          <w:b/>
          <w:bCs/>
          <w:color w:val="000000"/>
          <w:sz w:val="28"/>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宋体"/>
          <w:color w:val="auto"/>
          <w:sz w:val="24"/>
          <w:szCs w:val="24"/>
          <w:highlight w:val="none"/>
          <w:u w:val="single"/>
        </w:rPr>
        <w:t>涂装车间烘干废气应急监测项目</w:t>
      </w:r>
    </w:p>
    <w:p w14:paraId="019D66F0">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3847607">
      <w:pPr>
        <w:rPr>
          <w:rFonts w:ascii="宋体" w:hAnsi="Calibri" w:eastAsia="宋体" w:cs="宋体"/>
          <w:b/>
          <w:bCs/>
          <w:color w:val="000000"/>
          <w:sz w:val="28"/>
          <w:szCs w:val="20"/>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auto"/>
          <w:sz w:val="24"/>
          <w:szCs w:val="24"/>
          <w:highlight w:val="none"/>
          <w:u w:val="single"/>
        </w:rPr>
        <w:t>涂装车间烘干废气应急监测项目</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宋体" w:hAnsi="宋体" w:eastAsia="宋体" w:cs="Times New Roman"/>
                <w:b/>
                <w:bCs/>
                <w:color w:val="000000"/>
                <w:sz w:val="21"/>
                <w:szCs w:val="21"/>
                <w:highlight w:val="none"/>
                <w:u w:val="none"/>
                <w:lang w:eastAsia="zh-CN"/>
              </w:rPr>
              <w:t>涂装车间烘干废气应急监测项目</w:t>
            </w:r>
          </w:p>
        </w:tc>
        <w:tc>
          <w:tcPr>
            <w:tcW w:w="848"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33"/>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33"/>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33"/>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164498C5">
      <w:pPr>
        <w:numPr>
          <w:ilvl w:val="0"/>
          <w:numId w:val="33"/>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57C8D927">
      <w:pPr>
        <w:pStyle w:val="14"/>
        <w:sectPr>
          <w:pgSz w:w="11906" w:h="16838"/>
          <w:pgMar w:top="1588" w:right="1418" w:bottom="1134" w:left="1418" w:header="851" w:footer="992" w:gutter="0"/>
          <w:cols w:space="720" w:num="1"/>
          <w:titlePg/>
          <w:docGrid w:type="lines" w:linePitch="312" w:charSpace="0"/>
        </w:sectPr>
      </w:pPr>
    </w:p>
    <w:p w14:paraId="2464546E">
      <w:pPr>
        <w:rPr>
          <w:rFonts w:ascii="宋体" w:hAnsi="宋体" w:cs="宋体"/>
          <w:color w:val="000000"/>
          <w:sz w:val="24"/>
          <w:szCs w:val="24"/>
        </w:rPr>
      </w:pPr>
    </w:p>
    <w:p w14:paraId="3807B430">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6"/>
        <w:spacing w:after="0"/>
        <w:rPr>
          <w:rFonts w:hint="eastAsia" w:eastAsia="宋体"/>
          <w:sz w:val="32"/>
          <w:szCs w:val="24"/>
          <w:highlight w:val="cyan"/>
          <w:lang w:eastAsia="zh-CN"/>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5"/>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14:paraId="2E5E0FBB">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14:paraId="698E36D2">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14:paraId="0FDA17D8">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14:paraId="267C8235">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655CC18C">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14:paraId="10B4F297">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jc w:val="center"/>
              <w:rPr>
                <w:rFonts w:hint="default" w:ascii="宋体" w:hAnsi="宋体" w:eastAsia="宋体" w:cs="宋体"/>
                <w:szCs w:val="21"/>
                <w:lang w:val="en-US" w:eastAsia="zh-CN"/>
              </w:rPr>
            </w:pPr>
          </w:p>
        </w:tc>
        <w:tc>
          <w:tcPr>
            <w:tcW w:w="1722" w:type="dxa"/>
          </w:tcPr>
          <w:p w14:paraId="03AD3DFA">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jc w:val="center"/>
              <w:rPr>
                <w:rFonts w:hint="eastAsia" w:ascii="Times New Roman" w:hAnsi="Times New Roman" w:eastAsia="宋体" w:cs="Times New Roman"/>
                <w:sz w:val="18"/>
                <w:szCs w:val="18"/>
                <w:lang w:val="en-US" w:eastAsia="zh-CN"/>
              </w:rPr>
            </w:pPr>
          </w:p>
        </w:tc>
        <w:tc>
          <w:tcPr>
            <w:tcW w:w="550" w:type="dxa"/>
            <w:shd w:val="clear" w:color="auto" w:fill="auto"/>
            <w:vAlign w:val="center"/>
          </w:tcPr>
          <w:p w14:paraId="39482B8B">
            <w:pPr>
              <w:jc w:val="center"/>
              <w:rPr>
                <w:rFonts w:hint="eastAsia" w:ascii="Times New Roman" w:hAnsi="Times New Roman" w:eastAsia="宋体" w:cs="Times New Roman"/>
                <w:sz w:val="18"/>
                <w:szCs w:val="18"/>
                <w:lang w:val="en-US" w:eastAsia="zh-CN"/>
              </w:rPr>
            </w:pPr>
          </w:p>
        </w:tc>
        <w:tc>
          <w:tcPr>
            <w:tcW w:w="2550" w:type="dxa"/>
          </w:tcPr>
          <w:p w14:paraId="20BB4073">
            <w:pPr>
              <w:rPr>
                <w:rFonts w:ascii="宋体" w:hAnsi="宋体" w:eastAsia="宋体" w:cs="宋体"/>
                <w:szCs w:val="21"/>
              </w:rPr>
            </w:pPr>
          </w:p>
        </w:tc>
        <w:tc>
          <w:tcPr>
            <w:tcW w:w="2510" w:type="dxa"/>
            <w:tcBorders>
              <w:right w:val="single" w:color="000000" w:sz="4" w:space="0"/>
            </w:tcBorders>
          </w:tcPr>
          <w:p w14:paraId="4AA44428">
            <w:pPr>
              <w:ind w:left="105" w:leftChars="50"/>
              <w:jc w:val="left"/>
              <w:rPr>
                <w:rFonts w:ascii="宋体" w:hAnsi="宋体" w:eastAsia="宋体" w:cs="宋体"/>
                <w:szCs w:val="21"/>
              </w:rPr>
            </w:pPr>
          </w:p>
        </w:tc>
        <w:tc>
          <w:tcPr>
            <w:tcW w:w="2196" w:type="dxa"/>
            <w:tcBorders>
              <w:left w:val="single" w:color="000000" w:sz="4" w:space="0"/>
            </w:tcBorders>
          </w:tcPr>
          <w:p w14:paraId="1AD79E35">
            <w:pPr>
              <w:ind w:left="105" w:leftChars="50"/>
              <w:jc w:val="left"/>
              <w:rPr>
                <w:rFonts w:ascii="宋体" w:hAnsi="宋体" w:eastAsia="宋体" w:cs="宋体"/>
                <w:szCs w:val="21"/>
              </w:rPr>
            </w:pPr>
          </w:p>
        </w:tc>
        <w:tc>
          <w:tcPr>
            <w:tcW w:w="964" w:type="dxa"/>
          </w:tcPr>
          <w:p w14:paraId="5CDD0B67">
            <w:pPr>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jc w:val="center"/>
              <w:rPr>
                <w:rFonts w:hint="default" w:ascii="宋体" w:hAnsi="宋体" w:eastAsia="宋体" w:cs="宋体"/>
                <w:szCs w:val="21"/>
                <w:lang w:val="en-US" w:eastAsia="zh-CN"/>
              </w:rPr>
            </w:pPr>
          </w:p>
        </w:tc>
        <w:tc>
          <w:tcPr>
            <w:tcW w:w="1722" w:type="dxa"/>
          </w:tcPr>
          <w:p w14:paraId="58A2E0C3">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jc w:val="center"/>
              <w:rPr>
                <w:rFonts w:hint="default" w:ascii="Times New Roman" w:hAnsi="Times New Roman" w:eastAsia="宋体" w:cs="Times New Roman"/>
                <w:sz w:val="18"/>
                <w:szCs w:val="18"/>
                <w:lang w:val="en-US" w:eastAsia="zh-CN"/>
              </w:rPr>
            </w:pPr>
          </w:p>
        </w:tc>
        <w:tc>
          <w:tcPr>
            <w:tcW w:w="550" w:type="dxa"/>
            <w:shd w:val="clear" w:color="auto" w:fill="auto"/>
            <w:vAlign w:val="center"/>
          </w:tcPr>
          <w:p w14:paraId="2F492FCA">
            <w:pPr>
              <w:jc w:val="center"/>
              <w:rPr>
                <w:rFonts w:hint="eastAsia" w:ascii="Times New Roman" w:hAnsi="Times New Roman" w:eastAsia="宋体" w:cs="Times New Roman"/>
                <w:sz w:val="18"/>
                <w:szCs w:val="18"/>
                <w:lang w:val="en-US" w:eastAsia="zh-CN"/>
              </w:rPr>
            </w:pPr>
          </w:p>
        </w:tc>
        <w:tc>
          <w:tcPr>
            <w:tcW w:w="2550" w:type="dxa"/>
          </w:tcPr>
          <w:p w14:paraId="25BB2855">
            <w:pPr>
              <w:rPr>
                <w:rFonts w:ascii="宋体" w:hAnsi="宋体" w:eastAsia="宋体" w:cs="宋体"/>
                <w:szCs w:val="21"/>
              </w:rPr>
            </w:pPr>
          </w:p>
        </w:tc>
        <w:tc>
          <w:tcPr>
            <w:tcW w:w="2510" w:type="dxa"/>
            <w:tcBorders>
              <w:right w:val="single" w:color="000000" w:sz="4" w:space="0"/>
            </w:tcBorders>
          </w:tcPr>
          <w:p w14:paraId="18071774">
            <w:pPr>
              <w:ind w:left="105" w:leftChars="50"/>
              <w:jc w:val="left"/>
              <w:rPr>
                <w:rFonts w:ascii="宋体" w:hAnsi="宋体" w:eastAsia="宋体" w:cs="宋体"/>
                <w:szCs w:val="21"/>
              </w:rPr>
            </w:pPr>
          </w:p>
        </w:tc>
        <w:tc>
          <w:tcPr>
            <w:tcW w:w="2196" w:type="dxa"/>
            <w:tcBorders>
              <w:left w:val="single" w:color="000000" w:sz="4" w:space="0"/>
            </w:tcBorders>
          </w:tcPr>
          <w:p w14:paraId="631B770F">
            <w:pPr>
              <w:ind w:left="105" w:leftChars="50"/>
              <w:jc w:val="left"/>
              <w:rPr>
                <w:rFonts w:ascii="宋体" w:hAnsi="宋体" w:eastAsia="宋体" w:cs="宋体"/>
                <w:szCs w:val="21"/>
              </w:rPr>
            </w:pPr>
          </w:p>
        </w:tc>
        <w:tc>
          <w:tcPr>
            <w:tcW w:w="964" w:type="dxa"/>
          </w:tcPr>
          <w:p w14:paraId="2FB363F3">
            <w:pPr>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jc w:val="center"/>
              <w:rPr>
                <w:rFonts w:hint="default" w:ascii="宋体" w:hAnsi="宋体" w:eastAsia="宋体" w:cs="宋体"/>
                <w:szCs w:val="21"/>
                <w:lang w:val="en-US" w:eastAsia="zh-CN"/>
              </w:rPr>
            </w:pPr>
          </w:p>
        </w:tc>
        <w:tc>
          <w:tcPr>
            <w:tcW w:w="1722" w:type="dxa"/>
          </w:tcPr>
          <w:p w14:paraId="4035B93B">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jc w:val="center"/>
              <w:rPr>
                <w:rFonts w:hint="default" w:ascii="Times New Roman" w:hAnsi="Times New Roman" w:eastAsia="宋体" w:cs="Times New Roman"/>
                <w:sz w:val="18"/>
                <w:szCs w:val="18"/>
                <w:lang w:val="en-US" w:eastAsia="zh-CN"/>
              </w:rPr>
            </w:pPr>
          </w:p>
        </w:tc>
        <w:tc>
          <w:tcPr>
            <w:tcW w:w="550" w:type="dxa"/>
            <w:shd w:val="clear" w:color="auto" w:fill="auto"/>
            <w:vAlign w:val="center"/>
          </w:tcPr>
          <w:p w14:paraId="47354F38">
            <w:pPr>
              <w:jc w:val="center"/>
              <w:rPr>
                <w:rFonts w:hint="eastAsia" w:ascii="Times New Roman" w:hAnsi="Times New Roman" w:eastAsia="宋体" w:cs="Times New Roman"/>
                <w:sz w:val="18"/>
                <w:szCs w:val="18"/>
                <w:lang w:val="en-US" w:eastAsia="zh-CN"/>
              </w:rPr>
            </w:pPr>
          </w:p>
        </w:tc>
        <w:tc>
          <w:tcPr>
            <w:tcW w:w="2550" w:type="dxa"/>
          </w:tcPr>
          <w:p w14:paraId="632CE69E">
            <w:pPr>
              <w:rPr>
                <w:rFonts w:ascii="宋体" w:hAnsi="宋体" w:eastAsia="宋体" w:cs="宋体"/>
                <w:szCs w:val="21"/>
              </w:rPr>
            </w:pPr>
          </w:p>
        </w:tc>
        <w:tc>
          <w:tcPr>
            <w:tcW w:w="2510" w:type="dxa"/>
            <w:tcBorders>
              <w:right w:val="single" w:color="000000" w:sz="4" w:space="0"/>
            </w:tcBorders>
          </w:tcPr>
          <w:p w14:paraId="4C981BFB">
            <w:pPr>
              <w:ind w:left="105" w:leftChars="50"/>
              <w:jc w:val="left"/>
              <w:rPr>
                <w:rFonts w:ascii="宋体" w:hAnsi="宋体" w:eastAsia="宋体" w:cs="宋体"/>
                <w:szCs w:val="21"/>
              </w:rPr>
            </w:pPr>
          </w:p>
        </w:tc>
        <w:tc>
          <w:tcPr>
            <w:tcW w:w="2196" w:type="dxa"/>
            <w:tcBorders>
              <w:left w:val="single" w:color="000000" w:sz="4" w:space="0"/>
            </w:tcBorders>
          </w:tcPr>
          <w:p w14:paraId="02764B32">
            <w:pPr>
              <w:ind w:left="105" w:leftChars="50"/>
              <w:jc w:val="left"/>
              <w:rPr>
                <w:rFonts w:ascii="宋体" w:hAnsi="宋体" w:eastAsia="宋体" w:cs="宋体"/>
                <w:szCs w:val="21"/>
              </w:rPr>
            </w:pPr>
          </w:p>
        </w:tc>
        <w:tc>
          <w:tcPr>
            <w:tcW w:w="964" w:type="dxa"/>
          </w:tcPr>
          <w:p w14:paraId="0F2F7CEE">
            <w:pPr>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jc w:val="center"/>
              <w:rPr>
                <w:rFonts w:hint="default" w:ascii="宋体" w:hAnsi="宋体" w:eastAsia="宋体" w:cs="宋体"/>
                <w:szCs w:val="21"/>
                <w:lang w:val="en-US" w:eastAsia="zh-CN"/>
              </w:rPr>
            </w:pPr>
          </w:p>
        </w:tc>
        <w:tc>
          <w:tcPr>
            <w:tcW w:w="1722" w:type="dxa"/>
          </w:tcPr>
          <w:p w14:paraId="605C3589">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jc w:val="center"/>
              <w:rPr>
                <w:rFonts w:hint="eastAsia" w:ascii="Times New Roman" w:hAnsi="Times New Roman" w:eastAsia="宋体" w:cs="Times New Roman"/>
                <w:sz w:val="18"/>
                <w:szCs w:val="18"/>
                <w:lang w:val="en-US" w:eastAsia="zh-CN"/>
              </w:rPr>
            </w:pPr>
          </w:p>
        </w:tc>
        <w:tc>
          <w:tcPr>
            <w:tcW w:w="550" w:type="dxa"/>
            <w:shd w:val="clear" w:color="auto" w:fill="auto"/>
            <w:vAlign w:val="center"/>
          </w:tcPr>
          <w:p w14:paraId="345BA7E0">
            <w:pPr>
              <w:jc w:val="center"/>
              <w:rPr>
                <w:rFonts w:hint="eastAsia" w:ascii="Times New Roman" w:hAnsi="Times New Roman" w:eastAsia="宋体" w:cs="Times New Roman"/>
                <w:sz w:val="18"/>
                <w:szCs w:val="18"/>
                <w:lang w:val="en-US" w:eastAsia="zh-CN"/>
              </w:rPr>
            </w:pPr>
          </w:p>
        </w:tc>
        <w:tc>
          <w:tcPr>
            <w:tcW w:w="2550" w:type="dxa"/>
          </w:tcPr>
          <w:p w14:paraId="3B440A87">
            <w:pPr>
              <w:rPr>
                <w:rFonts w:ascii="宋体" w:hAnsi="宋体" w:eastAsia="宋体" w:cs="宋体"/>
                <w:szCs w:val="21"/>
              </w:rPr>
            </w:pPr>
          </w:p>
        </w:tc>
        <w:tc>
          <w:tcPr>
            <w:tcW w:w="2510" w:type="dxa"/>
            <w:tcBorders>
              <w:right w:val="single" w:color="000000" w:sz="4" w:space="0"/>
            </w:tcBorders>
          </w:tcPr>
          <w:p w14:paraId="3C54A1D4">
            <w:pPr>
              <w:ind w:left="105" w:leftChars="50"/>
              <w:jc w:val="left"/>
              <w:rPr>
                <w:rFonts w:ascii="宋体" w:hAnsi="宋体" w:eastAsia="宋体" w:cs="宋体"/>
                <w:szCs w:val="21"/>
              </w:rPr>
            </w:pPr>
          </w:p>
        </w:tc>
        <w:tc>
          <w:tcPr>
            <w:tcW w:w="2196" w:type="dxa"/>
            <w:tcBorders>
              <w:left w:val="single" w:color="000000" w:sz="4" w:space="0"/>
            </w:tcBorders>
          </w:tcPr>
          <w:p w14:paraId="15D1121E">
            <w:pPr>
              <w:ind w:left="105" w:leftChars="50"/>
              <w:jc w:val="left"/>
              <w:rPr>
                <w:rFonts w:ascii="宋体" w:hAnsi="宋体" w:eastAsia="宋体" w:cs="宋体"/>
                <w:szCs w:val="21"/>
              </w:rPr>
            </w:pPr>
          </w:p>
        </w:tc>
        <w:tc>
          <w:tcPr>
            <w:tcW w:w="964" w:type="dxa"/>
          </w:tcPr>
          <w:p w14:paraId="10B0C30C">
            <w:pPr>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62"/>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jc w:val="center"/>
              <w:rPr>
                <w:rFonts w:hint="default" w:ascii="宋体" w:hAnsi="宋体" w:eastAsia="宋体" w:cs="宋体"/>
                <w:szCs w:val="21"/>
                <w:lang w:val="en-US" w:eastAsia="zh-CN"/>
              </w:rPr>
            </w:pPr>
          </w:p>
        </w:tc>
        <w:tc>
          <w:tcPr>
            <w:tcW w:w="1722" w:type="dxa"/>
          </w:tcPr>
          <w:p w14:paraId="665398E9">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jc w:val="center"/>
              <w:rPr>
                <w:rFonts w:hint="eastAsia" w:ascii="Times New Roman" w:hAnsi="Times New Roman" w:eastAsia="宋体" w:cs="Times New Roman"/>
                <w:sz w:val="18"/>
                <w:szCs w:val="18"/>
                <w:lang w:val="en-US" w:eastAsia="zh-CN"/>
              </w:rPr>
            </w:pPr>
          </w:p>
        </w:tc>
        <w:tc>
          <w:tcPr>
            <w:tcW w:w="550" w:type="dxa"/>
            <w:shd w:val="clear" w:color="auto" w:fill="auto"/>
            <w:vAlign w:val="center"/>
          </w:tcPr>
          <w:p w14:paraId="0E3A3B5F">
            <w:pPr>
              <w:jc w:val="center"/>
              <w:rPr>
                <w:rFonts w:hint="eastAsia" w:ascii="Times New Roman" w:hAnsi="Times New Roman" w:eastAsia="宋体" w:cs="Times New Roman"/>
                <w:sz w:val="18"/>
                <w:szCs w:val="18"/>
                <w:lang w:val="en-US" w:eastAsia="zh-CN"/>
              </w:rPr>
            </w:pPr>
          </w:p>
        </w:tc>
        <w:tc>
          <w:tcPr>
            <w:tcW w:w="2550" w:type="dxa"/>
          </w:tcPr>
          <w:p w14:paraId="6B045F6F">
            <w:pPr>
              <w:rPr>
                <w:rFonts w:ascii="宋体" w:hAnsi="宋体" w:eastAsia="宋体" w:cs="宋体"/>
                <w:szCs w:val="21"/>
              </w:rPr>
            </w:pPr>
          </w:p>
        </w:tc>
        <w:tc>
          <w:tcPr>
            <w:tcW w:w="2510" w:type="dxa"/>
            <w:tcBorders>
              <w:right w:val="single" w:color="000000" w:sz="4" w:space="0"/>
            </w:tcBorders>
          </w:tcPr>
          <w:p w14:paraId="21CE20CF">
            <w:pPr>
              <w:ind w:left="105" w:leftChars="50"/>
              <w:jc w:val="left"/>
              <w:rPr>
                <w:rFonts w:ascii="宋体" w:hAnsi="宋体" w:eastAsia="宋体" w:cs="宋体"/>
                <w:szCs w:val="21"/>
              </w:rPr>
            </w:pPr>
          </w:p>
        </w:tc>
        <w:tc>
          <w:tcPr>
            <w:tcW w:w="2196" w:type="dxa"/>
            <w:tcBorders>
              <w:left w:val="single" w:color="000000" w:sz="4" w:space="0"/>
            </w:tcBorders>
          </w:tcPr>
          <w:p w14:paraId="7BCD65DC">
            <w:pPr>
              <w:ind w:left="105" w:leftChars="50"/>
              <w:jc w:val="left"/>
              <w:rPr>
                <w:rFonts w:ascii="宋体" w:hAnsi="宋体" w:eastAsia="宋体" w:cs="宋体"/>
                <w:szCs w:val="21"/>
              </w:rPr>
            </w:pPr>
          </w:p>
        </w:tc>
        <w:tc>
          <w:tcPr>
            <w:tcW w:w="964" w:type="dxa"/>
          </w:tcPr>
          <w:p w14:paraId="11C99FC3">
            <w:pPr>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rPr>
                <w:rFonts w:ascii="Arial"/>
              </w:rPr>
            </w:pPr>
            <w:r>
              <w:rPr>
                <w:rFonts w:hint="eastAsia" w:ascii="宋体" w:hAnsi="宋体" w:eastAsia="宋体" w:cs="宋体"/>
                <w:szCs w:val="21"/>
              </w:rPr>
              <w:t xml:space="preserve"> </w:t>
            </w:r>
          </w:p>
        </w:tc>
        <w:tc>
          <w:tcPr>
            <w:tcW w:w="703" w:type="dxa"/>
          </w:tcPr>
          <w:p w14:paraId="0E170F96">
            <w:pPr>
              <w:rPr>
                <w:rFonts w:ascii="Arial"/>
              </w:rPr>
            </w:pPr>
            <w:r>
              <w:rPr>
                <w:rFonts w:hint="eastAsia" w:ascii="宋体" w:hAnsi="宋体" w:eastAsia="宋体" w:cs="宋体"/>
                <w:szCs w:val="21"/>
              </w:rPr>
              <w:t xml:space="preserve"> </w:t>
            </w:r>
          </w:p>
        </w:tc>
        <w:tc>
          <w:tcPr>
            <w:tcW w:w="550" w:type="dxa"/>
          </w:tcPr>
          <w:p w14:paraId="25BDB0B4">
            <w:pPr>
              <w:rPr>
                <w:rFonts w:ascii="Arial"/>
              </w:rPr>
            </w:pPr>
            <w:r>
              <w:rPr>
                <w:rFonts w:hint="eastAsia" w:ascii="宋体" w:hAnsi="宋体" w:eastAsia="宋体" w:cs="宋体"/>
                <w:szCs w:val="21"/>
              </w:rPr>
              <w:t xml:space="preserve"> </w:t>
            </w:r>
          </w:p>
        </w:tc>
        <w:tc>
          <w:tcPr>
            <w:tcW w:w="2550" w:type="dxa"/>
          </w:tcPr>
          <w:p w14:paraId="7930C09B">
            <w:pPr>
              <w:rPr>
                <w:rFonts w:ascii="Arial"/>
              </w:rPr>
            </w:pPr>
          </w:p>
        </w:tc>
        <w:tc>
          <w:tcPr>
            <w:tcW w:w="2510" w:type="dxa"/>
            <w:tcBorders>
              <w:right w:val="single" w:color="000000" w:sz="4" w:space="0"/>
            </w:tcBorders>
          </w:tcPr>
          <w:p w14:paraId="5E59E4A1">
            <w:pPr>
              <w:rPr>
                <w:rFonts w:ascii="Arial"/>
              </w:rPr>
            </w:pPr>
          </w:p>
        </w:tc>
        <w:tc>
          <w:tcPr>
            <w:tcW w:w="2196" w:type="dxa"/>
            <w:tcBorders>
              <w:left w:val="single" w:color="000000" w:sz="4" w:space="0"/>
            </w:tcBorders>
          </w:tcPr>
          <w:p w14:paraId="39A4EB1A">
            <w:pPr>
              <w:rPr>
                <w:rFonts w:ascii="Arial"/>
              </w:rPr>
            </w:pPr>
          </w:p>
        </w:tc>
        <w:tc>
          <w:tcPr>
            <w:tcW w:w="964" w:type="dxa"/>
          </w:tcPr>
          <w:p w14:paraId="06DC0C88">
            <w:pPr>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rPr>
            </w:pPr>
          </w:p>
        </w:tc>
        <w:tc>
          <w:tcPr>
            <w:tcW w:w="9440" w:type="dxa"/>
            <w:gridSpan w:val="6"/>
            <w:tcBorders>
              <w:right w:val="single" w:color="000000" w:sz="4" w:space="0"/>
            </w:tcBorders>
          </w:tcPr>
          <w:p w14:paraId="44A79AF8">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rPr>
                <w:rFonts w:ascii="Arial"/>
              </w:rPr>
            </w:pPr>
          </w:p>
        </w:tc>
        <w:tc>
          <w:tcPr>
            <w:tcW w:w="964" w:type="dxa"/>
          </w:tcPr>
          <w:p w14:paraId="7553A9C2">
            <w:pPr>
              <w:rPr>
                <w:rFonts w:ascii="Arial"/>
              </w:rPr>
            </w:pPr>
          </w:p>
        </w:tc>
      </w:tr>
    </w:tbl>
    <w:p w14:paraId="2F56F991">
      <w:pPr>
        <w:spacing w:before="58" w:line="219" w:lineRule="auto"/>
        <w:ind w:left="8"/>
        <w:rPr>
          <w:rFonts w:ascii="宋体" w:hAnsi="宋体" w:eastAsia="宋体" w:cs="宋体"/>
          <w:spacing w:val="-8"/>
          <w:szCs w:val="21"/>
        </w:rPr>
      </w:pPr>
    </w:p>
    <w:p w14:paraId="36B0F403">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spacing w:before="78" w:line="219" w:lineRule="auto"/>
        <w:ind w:left="431"/>
        <w:rPr>
          <w:rFonts w:ascii="宋体" w:hAnsi="宋体" w:eastAsia="宋体" w:cs="宋体"/>
          <w:spacing w:val="-6"/>
          <w:szCs w:val="21"/>
        </w:rPr>
      </w:pPr>
    </w:p>
    <w:p w14:paraId="5B724C69">
      <w:pPr>
        <w:spacing w:before="78" w:line="219" w:lineRule="auto"/>
        <w:ind w:left="431"/>
        <w:rPr>
          <w:rFonts w:ascii="宋体" w:hAnsi="宋体" w:eastAsia="宋体" w:cs="宋体"/>
          <w:spacing w:val="-6"/>
          <w:szCs w:val="21"/>
        </w:rPr>
      </w:pPr>
    </w:p>
    <w:p w14:paraId="4AEA3AF9">
      <w:pPr>
        <w:spacing w:before="78" w:line="219" w:lineRule="auto"/>
        <w:ind w:left="431"/>
        <w:rPr>
          <w:rFonts w:ascii="宋体" w:hAnsi="宋体" w:eastAsia="宋体" w:cs="宋体"/>
          <w:spacing w:val="-6"/>
          <w:szCs w:val="21"/>
        </w:rPr>
      </w:pPr>
    </w:p>
    <w:p w14:paraId="16E552B4">
      <w:pPr>
        <w:spacing w:before="78" w:line="219" w:lineRule="auto"/>
        <w:ind w:left="431"/>
        <w:rPr>
          <w:rFonts w:ascii="宋体" w:hAnsi="宋体" w:eastAsia="宋体" w:cs="宋体"/>
          <w:spacing w:val="-6"/>
          <w:szCs w:val="21"/>
        </w:rPr>
      </w:pPr>
    </w:p>
    <w:p w14:paraId="76A27A9C">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rPr>
            </w:pPr>
          </w:p>
          <w:p w14:paraId="649AD62D">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spacing w:line="295" w:lineRule="auto"/>
              <w:rPr>
                <w:rFonts w:ascii="Arial"/>
              </w:rPr>
            </w:pPr>
          </w:p>
          <w:p w14:paraId="53CAA4A8">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201BA882">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601C572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rPr>
            </w:pPr>
          </w:p>
        </w:tc>
        <w:tc>
          <w:tcPr>
            <w:tcW w:w="3530" w:type="dxa"/>
            <w:vMerge w:val="continue"/>
            <w:tcBorders>
              <w:top w:val="nil"/>
            </w:tcBorders>
          </w:tcPr>
          <w:p w14:paraId="66F8D401">
            <w:pPr>
              <w:rPr>
                <w:rFonts w:ascii="Arial"/>
              </w:rPr>
            </w:pPr>
          </w:p>
        </w:tc>
        <w:tc>
          <w:tcPr>
            <w:tcW w:w="2159" w:type="dxa"/>
          </w:tcPr>
          <w:p w14:paraId="72EA0C97">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7F2021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A4691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spacing w:before="161" w:line="185" w:lineRule="auto"/>
              <w:ind w:left="1031"/>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0D71715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rPr>
                <w:rFonts w:ascii="Arial"/>
              </w:rPr>
            </w:pPr>
          </w:p>
        </w:tc>
        <w:tc>
          <w:tcPr>
            <w:tcW w:w="2186" w:type="dxa"/>
          </w:tcPr>
          <w:p w14:paraId="07A552CC">
            <w:pPr>
              <w:rPr>
                <w:rFonts w:ascii="Arial"/>
              </w:rPr>
            </w:pPr>
          </w:p>
        </w:tc>
        <w:tc>
          <w:tcPr>
            <w:tcW w:w="2596" w:type="dxa"/>
          </w:tcPr>
          <w:p w14:paraId="6C661128">
            <w:pPr>
              <w:rPr>
                <w:rFonts w:ascii="Arial"/>
              </w:rPr>
            </w:pPr>
          </w:p>
        </w:tc>
        <w:tc>
          <w:tcPr>
            <w:tcW w:w="2164" w:type="dxa"/>
          </w:tcPr>
          <w:p w14:paraId="22AD1C73">
            <w:pPr>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772476C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rPr>
                <w:rFonts w:ascii="Arial"/>
              </w:rPr>
            </w:pPr>
          </w:p>
        </w:tc>
        <w:tc>
          <w:tcPr>
            <w:tcW w:w="2186" w:type="dxa"/>
          </w:tcPr>
          <w:p w14:paraId="6EB70881">
            <w:pPr>
              <w:rPr>
                <w:rFonts w:ascii="Arial"/>
              </w:rPr>
            </w:pPr>
          </w:p>
        </w:tc>
        <w:tc>
          <w:tcPr>
            <w:tcW w:w="2596" w:type="dxa"/>
          </w:tcPr>
          <w:p w14:paraId="7ECE3100">
            <w:pPr>
              <w:rPr>
                <w:rFonts w:ascii="Arial"/>
              </w:rPr>
            </w:pPr>
          </w:p>
        </w:tc>
        <w:tc>
          <w:tcPr>
            <w:tcW w:w="2164" w:type="dxa"/>
            <w:vMerge w:val="restart"/>
            <w:tcBorders>
              <w:bottom w:val="nil"/>
            </w:tcBorders>
          </w:tcPr>
          <w:p w14:paraId="473ABBD2">
            <w:pPr>
              <w:spacing w:line="295" w:lineRule="auto"/>
              <w:rPr>
                <w:rFonts w:ascii="Arial"/>
              </w:rPr>
            </w:pPr>
          </w:p>
          <w:p w14:paraId="334433A4">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11EEE4C0">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rPr>
                <w:rFonts w:ascii="Arial"/>
              </w:rPr>
            </w:pPr>
          </w:p>
        </w:tc>
        <w:tc>
          <w:tcPr>
            <w:tcW w:w="2186" w:type="dxa"/>
          </w:tcPr>
          <w:p w14:paraId="30E77166">
            <w:pPr>
              <w:rPr>
                <w:rFonts w:ascii="Arial"/>
              </w:rPr>
            </w:pPr>
          </w:p>
        </w:tc>
        <w:tc>
          <w:tcPr>
            <w:tcW w:w="2596" w:type="dxa"/>
          </w:tcPr>
          <w:p w14:paraId="39F618AB">
            <w:pPr>
              <w:rPr>
                <w:rFonts w:ascii="Arial"/>
              </w:rPr>
            </w:pPr>
          </w:p>
        </w:tc>
        <w:tc>
          <w:tcPr>
            <w:tcW w:w="2164" w:type="dxa"/>
            <w:vMerge w:val="continue"/>
            <w:tcBorders>
              <w:top w:val="nil"/>
            </w:tcBorders>
          </w:tcPr>
          <w:p w14:paraId="311D1DF5">
            <w:pPr>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FF1BF44">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rPr>
                <w:rFonts w:ascii="Arial"/>
              </w:rPr>
            </w:pPr>
          </w:p>
        </w:tc>
        <w:tc>
          <w:tcPr>
            <w:tcW w:w="2186" w:type="dxa"/>
          </w:tcPr>
          <w:p w14:paraId="2EA015BB">
            <w:pPr>
              <w:rPr>
                <w:rFonts w:ascii="Arial"/>
              </w:rPr>
            </w:pPr>
          </w:p>
        </w:tc>
        <w:tc>
          <w:tcPr>
            <w:tcW w:w="2596" w:type="dxa"/>
          </w:tcPr>
          <w:p w14:paraId="4E6E6007">
            <w:pPr>
              <w:rPr>
                <w:rFonts w:ascii="Arial"/>
              </w:rPr>
            </w:pPr>
          </w:p>
        </w:tc>
        <w:tc>
          <w:tcPr>
            <w:tcW w:w="2164" w:type="dxa"/>
          </w:tcPr>
          <w:p w14:paraId="7B66D61D">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98B7618">
            <w:pPr>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rPr>
                <w:rFonts w:ascii="Arial"/>
              </w:rPr>
            </w:pPr>
          </w:p>
        </w:tc>
        <w:tc>
          <w:tcPr>
            <w:tcW w:w="2186" w:type="dxa"/>
          </w:tcPr>
          <w:p w14:paraId="31B637D4">
            <w:pPr>
              <w:rPr>
                <w:rFonts w:ascii="Arial"/>
              </w:rPr>
            </w:pPr>
          </w:p>
        </w:tc>
        <w:tc>
          <w:tcPr>
            <w:tcW w:w="2596" w:type="dxa"/>
          </w:tcPr>
          <w:p w14:paraId="36887C09">
            <w:pPr>
              <w:rPr>
                <w:rFonts w:ascii="Arial"/>
              </w:rPr>
            </w:pPr>
          </w:p>
        </w:tc>
        <w:tc>
          <w:tcPr>
            <w:tcW w:w="2164" w:type="dxa"/>
          </w:tcPr>
          <w:p w14:paraId="2D0B2BB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14:paraId="7E9232A1">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rPr>
                <w:rFonts w:ascii="Arial"/>
              </w:rPr>
            </w:pPr>
          </w:p>
        </w:tc>
        <w:tc>
          <w:tcPr>
            <w:tcW w:w="2186" w:type="dxa"/>
          </w:tcPr>
          <w:p w14:paraId="14B04129">
            <w:pPr>
              <w:rPr>
                <w:rFonts w:ascii="Arial"/>
              </w:rPr>
            </w:pPr>
          </w:p>
        </w:tc>
        <w:tc>
          <w:tcPr>
            <w:tcW w:w="2596" w:type="dxa"/>
          </w:tcPr>
          <w:p w14:paraId="48C089FA">
            <w:pPr>
              <w:rPr>
                <w:rFonts w:ascii="Arial"/>
              </w:rPr>
            </w:pPr>
          </w:p>
        </w:tc>
        <w:tc>
          <w:tcPr>
            <w:tcW w:w="2164" w:type="dxa"/>
          </w:tcPr>
          <w:p w14:paraId="1D7A0B9F">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spacing w:line="172" w:lineRule="exact"/>
      </w:pPr>
    </w:p>
    <w:p w14:paraId="4195314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0025052">
      <w:pPr>
        <w:rPr>
          <w:sz w:val="24"/>
          <w:szCs w:val="24"/>
        </w:rPr>
        <w:sectPr>
          <w:headerReference r:id="rId14" w:type="default"/>
          <w:footerReference r:id="rId15" w:type="default"/>
          <w:pgSz w:w="16841" w:h="11907"/>
          <w:pgMar w:top="400" w:right="1699" w:bottom="1184" w:left="1481" w:header="0" w:footer="1022" w:gutter="0"/>
          <w:cols w:space="720" w:num="1"/>
        </w:sectPr>
      </w:pPr>
    </w:p>
    <w:p w14:paraId="00AB143B">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 w14:paraId="5C5D8885">
      <w:pPr>
        <w:spacing w:line="20" w:lineRule="exact"/>
      </w:pPr>
    </w:p>
    <w:tbl>
      <w:tblPr>
        <w:tblStyle w:val="11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521003B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spacing w:before="266" w:line="221" w:lineRule="auto"/>
              <w:jc w:val="center"/>
              <w:rPr>
                <w:rFonts w:ascii="宋体" w:hAnsi="宋体" w:eastAsia="宋体" w:cs="宋体"/>
                <w:spacing w:val="-2"/>
                <w:szCs w:val="21"/>
              </w:rPr>
            </w:pPr>
          </w:p>
        </w:tc>
        <w:tc>
          <w:tcPr>
            <w:tcW w:w="1138" w:type="dxa"/>
          </w:tcPr>
          <w:p w14:paraId="1CCED543">
            <w:pPr>
              <w:spacing w:before="266" w:line="221" w:lineRule="auto"/>
              <w:jc w:val="center"/>
              <w:rPr>
                <w:rFonts w:ascii="宋体" w:hAnsi="宋体" w:eastAsia="宋体" w:cs="宋体"/>
                <w:spacing w:val="-2"/>
                <w:szCs w:val="21"/>
              </w:rPr>
            </w:pPr>
          </w:p>
        </w:tc>
        <w:tc>
          <w:tcPr>
            <w:tcW w:w="2449" w:type="dxa"/>
          </w:tcPr>
          <w:p w14:paraId="45D82B41">
            <w:pPr>
              <w:rPr>
                <w:rFonts w:ascii="Arial"/>
              </w:rPr>
            </w:pPr>
          </w:p>
        </w:tc>
        <w:tc>
          <w:tcPr>
            <w:tcW w:w="3328" w:type="dxa"/>
          </w:tcPr>
          <w:p w14:paraId="1100342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41173595">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spacing w:before="266" w:line="221" w:lineRule="auto"/>
              <w:jc w:val="center"/>
              <w:rPr>
                <w:rFonts w:ascii="宋体" w:hAnsi="宋体" w:eastAsia="宋体" w:cs="宋体"/>
                <w:spacing w:val="-2"/>
                <w:szCs w:val="21"/>
              </w:rPr>
            </w:pPr>
          </w:p>
        </w:tc>
        <w:tc>
          <w:tcPr>
            <w:tcW w:w="1138" w:type="dxa"/>
          </w:tcPr>
          <w:p w14:paraId="7501744B">
            <w:pPr>
              <w:spacing w:before="266" w:line="221" w:lineRule="auto"/>
              <w:jc w:val="center"/>
              <w:rPr>
                <w:rFonts w:ascii="宋体" w:hAnsi="宋体" w:eastAsia="宋体" w:cs="宋体"/>
                <w:spacing w:val="-2"/>
                <w:szCs w:val="21"/>
              </w:rPr>
            </w:pPr>
          </w:p>
        </w:tc>
        <w:tc>
          <w:tcPr>
            <w:tcW w:w="1138" w:type="dxa"/>
          </w:tcPr>
          <w:p w14:paraId="53D754C9">
            <w:pPr>
              <w:spacing w:before="266" w:line="221" w:lineRule="auto"/>
              <w:jc w:val="center"/>
              <w:rPr>
                <w:rFonts w:ascii="宋体" w:hAnsi="宋体" w:eastAsia="宋体" w:cs="宋体"/>
                <w:spacing w:val="-2"/>
                <w:szCs w:val="21"/>
              </w:rPr>
            </w:pPr>
          </w:p>
        </w:tc>
        <w:tc>
          <w:tcPr>
            <w:tcW w:w="2449" w:type="dxa"/>
          </w:tcPr>
          <w:p w14:paraId="06DC8075">
            <w:pPr>
              <w:rPr>
                <w:rFonts w:ascii="Arial"/>
              </w:rPr>
            </w:pPr>
          </w:p>
        </w:tc>
        <w:tc>
          <w:tcPr>
            <w:tcW w:w="3328" w:type="dxa"/>
          </w:tcPr>
          <w:p w14:paraId="5438CF6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583B2405">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spacing w:before="266" w:line="221" w:lineRule="auto"/>
              <w:jc w:val="center"/>
              <w:rPr>
                <w:rFonts w:ascii="宋体" w:hAnsi="宋体" w:eastAsia="宋体" w:cs="宋体"/>
                <w:spacing w:val="-2"/>
                <w:szCs w:val="21"/>
              </w:rPr>
            </w:pPr>
          </w:p>
        </w:tc>
        <w:tc>
          <w:tcPr>
            <w:tcW w:w="1138" w:type="dxa"/>
          </w:tcPr>
          <w:p w14:paraId="317EBBD6">
            <w:pPr>
              <w:spacing w:before="266" w:line="221" w:lineRule="auto"/>
              <w:jc w:val="center"/>
              <w:rPr>
                <w:rFonts w:ascii="宋体" w:hAnsi="宋体" w:eastAsia="宋体" w:cs="宋体"/>
                <w:spacing w:val="-2"/>
                <w:szCs w:val="21"/>
              </w:rPr>
            </w:pPr>
          </w:p>
        </w:tc>
        <w:tc>
          <w:tcPr>
            <w:tcW w:w="2449" w:type="dxa"/>
          </w:tcPr>
          <w:p w14:paraId="65F8E0F3">
            <w:pPr>
              <w:rPr>
                <w:rFonts w:ascii="Arial"/>
              </w:rPr>
            </w:pPr>
          </w:p>
        </w:tc>
        <w:tc>
          <w:tcPr>
            <w:tcW w:w="3328" w:type="dxa"/>
          </w:tcPr>
          <w:p w14:paraId="17DAACD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spacing w:before="266" w:line="221" w:lineRule="auto"/>
              <w:jc w:val="center"/>
              <w:rPr>
                <w:rFonts w:ascii="宋体" w:hAnsi="宋体" w:eastAsia="宋体" w:cs="宋体"/>
                <w:spacing w:val="-2"/>
                <w:szCs w:val="21"/>
              </w:rPr>
            </w:pPr>
          </w:p>
        </w:tc>
        <w:tc>
          <w:tcPr>
            <w:tcW w:w="1138" w:type="dxa"/>
          </w:tcPr>
          <w:p w14:paraId="7C063DEC">
            <w:pPr>
              <w:spacing w:before="266" w:line="221" w:lineRule="auto"/>
              <w:jc w:val="center"/>
              <w:rPr>
                <w:rFonts w:ascii="宋体" w:hAnsi="宋体" w:eastAsia="宋体" w:cs="宋体"/>
                <w:spacing w:val="-2"/>
                <w:szCs w:val="21"/>
              </w:rPr>
            </w:pPr>
          </w:p>
        </w:tc>
        <w:tc>
          <w:tcPr>
            <w:tcW w:w="1138" w:type="dxa"/>
          </w:tcPr>
          <w:p w14:paraId="1682813F">
            <w:pPr>
              <w:spacing w:before="266" w:line="221" w:lineRule="auto"/>
              <w:jc w:val="center"/>
              <w:rPr>
                <w:rFonts w:ascii="宋体" w:hAnsi="宋体" w:eastAsia="宋体" w:cs="宋体"/>
                <w:spacing w:val="-2"/>
                <w:szCs w:val="21"/>
              </w:rPr>
            </w:pPr>
          </w:p>
        </w:tc>
        <w:tc>
          <w:tcPr>
            <w:tcW w:w="2449" w:type="dxa"/>
          </w:tcPr>
          <w:p w14:paraId="27A500C4">
            <w:pPr>
              <w:rPr>
                <w:rFonts w:ascii="Arial"/>
              </w:rPr>
            </w:pPr>
          </w:p>
        </w:tc>
        <w:tc>
          <w:tcPr>
            <w:tcW w:w="3328" w:type="dxa"/>
          </w:tcPr>
          <w:p w14:paraId="001B1F7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 w14:paraId="71D5F646">
      <w:pPr>
        <w:pStyle w:val="14"/>
      </w:pPr>
    </w:p>
    <w:p w14:paraId="3855BD10">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8CB2445">
      <w:pPr>
        <w:spacing w:before="35" w:line="239" w:lineRule="auto"/>
        <w:ind w:left="724"/>
        <w:rPr>
          <w:rFonts w:ascii="宋体" w:hAnsi="宋体" w:eastAsia="宋体" w:cs="宋体"/>
          <w:spacing w:val="-1"/>
          <w:sz w:val="24"/>
          <w:szCs w:val="24"/>
        </w:rPr>
        <w:sectPr>
          <w:footerReference r:id="rId16" w:type="default"/>
          <w:pgSz w:w="16841" w:h="11907"/>
          <w:pgMar w:top="400" w:right="1699" w:bottom="1184" w:left="1481" w:header="0" w:footer="1022" w:gutter="0"/>
          <w:cols w:space="720" w:num="1"/>
        </w:sectPr>
      </w:pPr>
    </w:p>
    <w:p w14:paraId="3C0CB58D">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spacing w:line="172" w:lineRule="exact"/>
      </w:pPr>
    </w:p>
    <w:tbl>
      <w:tblPr>
        <w:tblStyle w:val="115"/>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621449A">
            <w:pPr>
              <w:rPr>
                <w:rFonts w:ascii="Arial"/>
              </w:rPr>
            </w:pPr>
          </w:p>
        </w:tc>
        <w:tc>
          <w:tcPr>
            <w:tcW w:w="2100" w:type="dxa"/>
          </w:tcPr>
          <w:p w14:paraId="35519AF8">
            <w:pPr>
              <w:rPr>
                <w:rFonts w:ascii="Arial"/>
              </w:rPr>
            </w:pPr>
          </w:p>
        </w:tc>
        <w:tc>
          <w:tcPr>
            <w:tcW w:w="840" w:type="dxa"/>
          </w:tcPr>
          <w:p w14:paraId="16B2D976">
            <w:pPr>
              <w:rPr>
                <w:rFonts w:ascii="Arial"/>
              </w:rPr>
            </w:pPr>
          </w:p>
        </w:tc>
        <w:tc>
          <w:tcPr>
            <w:tcW w:w="2239" w:type="dxa"/>
          </w:tcPr>
          <w:p w14:paraId="664D54A3">
            <w:pPr>
              <w:rPr>
                <w:rFonts w:ascii="Arial"/>
              </w:rPr>
            </w:pPr>
          </w:p>
        </w:tc>
        <w:tc>
          <w:tcPr>
            <w:tcW w:w="1498" w:type="dxa"/>
          </w:tcPr>
          <w:p w14:paraId="3FB4EA13">
            <w:pPr>
              <w:rPr>
                <w:rFonts w:ascii="Arial"/>
              </w:rPr>
            </w:pPr>
          </w:p>
        </w:tc>
        <w:tc>
          <w:tcPr>
            <w:tcW w:w="1861" w:type="dxa"/>
          </w:tcPr>
          <w:p w14:paraId="1A84B438">
            <w:pPr>
              <w:rPr>
                <w:rFonts w:ascii="Arial"/>
              </w:rPr>
            </w:pPr>
          </w:p>
        </w:tc>
        <w:tc>
          <w:tcPr>
            <w:tcW w:w="1120" w:type="dxa"/>
          </w:tcPr>
          <w:p w14:paraId="70028F99">
            <w:pPr>
              <w:rPr>
                <w:rFonts w:ascii="Arial"/>
              </w:rPr>
            </w:pPr>
          </w:p>
        </w:tc>
        <w:tc>
          <w:tcPr>
            <w:tcW w:w="1125" w:type="dxa"/>
          </w:tcPr>
          <w:p w14:paraId="2D4BD6D2">
            <w:pPr>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57D7D057">
            <w:pPr>
              <w:rPr>
                <w:rFonts w:ascii="Arial"/>
              </w:rPr>
            </w:pPr>
          </w:p>
        </w:tc>
        <w:tc>
          <w:tcPr>
            <w:tcW w:w="2100" w:type="dxa"/>
          </w:tcPr>
          <w:p w14:paraId="0D606E21">
            <w:pPr>
              <w:rPr>
                <w:rFonts w:ascii="Arial"/>
              </w:rPr>
            </w:pPr>
          </w:p>
        </w:tc>
        <w:tc>
          <w:tcPr>
            <w:tcW w:w="840" w:type="dxa"/>
          </w:tcPr>
          <w:p w14:paraId="476D9745">
            <w:pPr>
              <w:rPr>
                <w:rFonts w:ascii="Arial"/>
              </w:rPr>
            </w:pPr>
          </w:p>
        </w:tc>
        <w:tc>
          <w:tcPr>
            <w:tcW w:w="2239" w:type="dxa"/>
          </w:tcPr>
          <w:p w14:paraId="5250FD25">
            <w:pPr>
              <w:rPr>
                <w:rFonts w:ascii="Arial"/>
              </w:rPr>
            </w:pPr>
          </w:p>
        </w:tc>
        <w:tc>
          <w:tcPr>
            <w:tcW w:w="1498" w:type="dxa"/>
          </w:tcPr>
          <w:p w14:paraId="080C4E6F">
            <w:pPr>
              <w:rPr>
                <w:rFonts w:ascii="Arial"/>
              </w:rPr>
            </w:pPr>
          </w:p>
        </w:tc>
        <w:tc>
          <w:tcPr>
            <w:tcW w:w="1861" w:type="dxa"/>
          </w:tcPr>
          <w:p w14:paraId="5B29B191">
            <w:pPr>
              <w:rPr>
                <w:rFonts w:ascii="Arial"/>
              </w:rPr>
            </w:pPr>
          </w:p>
        </w:tc>
        <w:tc>
          <w:tcPr>
            <w:tcW w:w="1120" w:type="dxa"/>
          </w:tcPr>
          <w:p w14:paraId="698DFF2F">
            <w:pPr>
              <w:rPr>
                <w:rFonts w:ascii="Arial"/>
              </w:rPr>
            </w:pPr>
          </w:p>
        </w:tc>
        <w:tc>
          <w:tcPr>
            <w:tcW w:w="1125" w:type="dxa"/>
          </w:tcPr>
          <w:p w14:paraId="0783A36A">
            <w:pPr>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rPr>
            </w:pPr>
          </w:p>
        </w:tc>
        <w:tc>
          <w:tcPr>
            <w:tcW w:w="2543" w:type="dxa"/>
          </w:tcPr>
          <w:p w14:paraId="7632AD95">
            <w:pPr>
              <w:rPr>
                <w:rFonts w:ascii="Arial"/>
              </w:rPr>
            </w:pPr>
          </w:p>
        </w:tc>
        <w:tc>
          <w:tcPr>
            <w:tcW w:w="2100" w:type="dxa"/>
          </w:tcPr>
          <w:p w14:paraId="113A2B29">
            <w:pPr>
              <w:rPr>
                <w:rFonts w:ascii="Arial"/>
              </w:rPr>
            </w:pPr>
          </w:p>
        </w:tc>
        <w:tc>
          <w:tcPr>
            <w:tcW w:w="840" w:type="dxa"/>
          </w:tcPr>
          <w:p w14:paraId="7F968B73">
            <w:pPr>
              <w:rPr>
                <w:rFonts w:ascii="Arial"/>
              </w:rPr>
            </w:pPr>
          </w:p>
        </w:tc>
        <w:tc>
          <w:tcPr>
            <w:tcW w:w="2239" w:type="dxa"/>
          </w:tcPr>
          <w:p w14:paraId="4D70A686">
            <w:pPr>
              <w:rPr>
                <w:rFonts w:ascii="Arial"/>
              </w:rPr>
            </w:pPr>
          </w:p>
        </w:tc>
        <w:tc>
          <w:tcPr>
            <w:tcW w:w="1498" w:type="dxa"/>
          </w:tcPr>
          <w:p w14:paraId="75B1444F">
            <w:pPr>
              <w:rPr>
                <w:rFonts w:ascii="Arial"/>
              </w:rPr>
            </w:pPr>
          </w:p>
        </w:tc>
        <w:tc>
          <w:tcPr>
            <w:tcW w:w="1861" w:type="dxa"/>
          </w:tcPr>
          <w:p w14:paraId="2C967E8A">
            <w:pPr>
              <w:rPr>
                <w:rFonts w:ascii="Arial"/>
              </w:rPr>
            </w:pPr>
          </w:p>
        </w:tc>
        <w:tc>
          <w:tcPr>
            <w:tcW w:w="1120" w:type="dxa"/>
          </w:tcPr>
          <w:p w14:paraId="24814715">
            <w:pPr>
              <w:rPr>
                <w:rFonts w:ascii="Arial"/>
              </w:rPr>
            </w:pPr>
          </w:p>
        </w:tc>
        <w:tc>
          <w:tcPr>
            <w:tcW w:w="1125" w:type="dxa"/>
          </w:tcPr>
          <w:p w14:paraId="0E90A708">
            <w:pPr>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rPr>
                <w:rFonts w:ascii="Arial"/>
              </w:rPr>
            </w:pPr>
          </w:p>
        </w:tc>
        <w:tc>
          <w:tcPr>
            <w:tcW w:w="2543" w:type="dxa"/>
          </w:tcPr>
          <w:p w14:paraId="2616C00A">
            <w:pPr>
              <w:rPr>
                <w:rFonts w:ascii="Arial"/>
              </w:rPr>
            </w:pPr>
          </w:p>
        </w:tc>
        <w:tc>
          <w:tcPr>
            <w:tcW w:w="2100" w:type="dxa"/>
          </w:tcPr>
          <w:p w14:paraId="51D1F521">
            <w:pPr>
              <w:rPr>
                <w:rFonts w:ascii="Arial"/>
              </w:rPr>
            </w:pPr>
          </w:p>
        </w:tc>
        <w:tc>
          <w:tcPr>
            <w:tcW w:w="840" w:type="dxa"/>
          </w:tcPr>
          <w:p w14:paraId="7EB5E759">
            <w:pPr>
              <w:rPr>
                <w:rFonts w:ascii="Arial"/>
              </w:rPr>
            </w:pPr>
          </w:p>
        </w:tc>
        <w:tc>
          <w:tcPr>
            <w:tcW w:w="2239" w:type="dxa"/>
          </w:tcPr>
          <w:p w14:paraId="237944E8">
            <w:pPr>
              <w:rPr>
                <w:rFonts w:ascii="Arial"/>
              </w:rPr>
            </w:pPr>
          </w:p>
        </w:tc>
        <w:tc>
          <w:tcPr>
            <w:tcW w:w="1498" w:type="dxa"/>
          </w:tcPr>
          <w:p w14:paraId="7E55509E">
            <w:pPr>
              <w:rPr>
                <w:rFonts w:ascii="Arial"/>
              </w:rPr>
            </w:pPr>
          </w:p>
        </w:tc>
        <w:tc>
          <w:tcPr>
            <w:tcW w:w="1861" w:type="dxa"/>
          </w:tcPr>
          <w:p w14:paraId="2A02C386">
            <w:pPr>
              <w:rPr>
                <w:rFonts w:ascii="Arial"/>
              </w:rPr>
            </w:pPr>
          </w:p>
        </w:tc>
        <w:tc>
          <w:tcPr>
            <w:tcW w:w="1120" w:type="dxa"/>
          </w:tcPr>
          <w:p w14:paraId="4713A48D">
            <w:pPr>
              <w:rPr>
                <w:rFonts w:ascii="Arial"/>
              </w:rPr>
            </w:pPr>
          </w:p>
        </w:tc>
        <w:tc>
          <w:tcPr>
            <w:tcW w:w="1125" w:type="dxa"/>
          </w:tcPr>
          <w:p w14:paraId="579C89E4">
            <w:pPr>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rPr>
                <w:rFonts w:ascii="Arial"/>
              </w:rPr>
            </w:pPr>
          </w:p>
        </w:tc>
        <w:tc>
          <w:tcPr>
            <w:tcW w:w="2543" w:type="dxa"/>
          </w:tcPr>
          <w:p w14:paraId="229EE8ED">
            <w:pPr>
              <w:rPr>
                <w:rFonts w:ascii="Arial"/>
              </w:rPr>
            </w:pPr>
          </w:p>
        </w:tc>
        <w:tc>
          <w:tcPr>
            <w:tcW w:w="2100" w:type="dxa"/>
          </w:tcPr>
          <w:p w14:paraId="455A7E4D">
            <w:pPr>
              <w:rPr>
                <w:rFonts w:ascii="Arial"/>
              </w:rPr>
            </w:pPr>
          </w:p>
        </w:tc>
        <w:tc>
          <w:tcPr>
            <w:tcW w:w="840" w:type="dxa"/>
          </w:tcPr>
          <w:p w14:paraId="3BAC1E46">
            <w:pPr>
              <w:rPr>
                <w:rFonts w:ascii="Arial"/>
              </w:rPr>
            </w:pPr>
          </w:p>
        </w:tc>
        <w:tc>
          <w:tcPr>
            <w:tcW w:w="2239" w:type="dxa"/>
          </w:tcPr>
          <w:p w14:paraId="55123626">
            <w:pPr>
              <w:rPr>
                <w:rFonts w:ascii="Arial"/>
              </w:rPr>
            </w:pPr>
          </w:p>
        </w:tc>
        <w:tc>
          <w:tcPr>
            <w:tcW w:w="1498" w:type="dxa"/>
          </w:tcPr>
          <w:p w14:paraId="36B43E06">
            <w:pPr>
              <w:rPr>
                <w:rFonts w:ascii="Arial"/>
              </w:rPr>
            </w:pPr>
          </w:p>
        </w:tc>
        <w:tc>
          <w:tcPr>
            <w:tcW w:w="1861" w:type="dxa"/>
          </w:tcPr>
          <w:p w14:paraId="3BBC4D70">
            <w:pPr>
              <w:rPr>
                <w:rFonts w:ascii="Arial"/>
              </w:rPr>
            </w:pPr>
          </w:p>
        </w:tc>
        <w:tc>
          <w:tcPr>
            <w:tcW w:w="1120" w:type="dxa"/>
          </w:tcPr>
          <w:p w14:paraId="41F392AF">
            <w:pPr>
              <w:rPr>
                <w:rFonts w:ascii="Arial"/>
              </w:rPr>
            </w:pPr>
          </w:p>
        </w:tc>
        <w:tc>
          <w:tcPr>
            <w:tcW w:w="1125" w:type="dxa"/>
          </w:tcPr>
          <w:p w14:paraId="384F2AFA">
            <w:pPr>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A9C371C">
      <w:pPr>
        <w:spacing w:before="87" w:line="198" w:lineRule="auto"/>
        <w:ind w:left="411"/>
        <w:rPr>
          <w:rFonts w:ascii="宋体" w:hAnsi="宋体" w:eastAsia="宋体" w:cs="宋体"/>
          <w:spacing w:val="-2"/>
          <w:sz w:val="24"/>
          <w:szCs w:val="24"/>
        </w:rPr>
        <w:sectPr>
          <w:footerReference r:id="rId17" w:type="default"/>
          <w:pgSz w:w="16841" w:h="11907"/>
          <w:pgMar w:top="400" w:right="1500" w:bottom="1184" w:left="1480" w:header="0" w:footer="1022" w:gutter="0"/>
          <w:cols w:space="720" w:num="1"/>
        </w:sectPr>
      </w:pPr>
    </w:p>
    <w:p w14:paraId="7CCD0CEF">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spacing w:line="127" w:lineRule="exact"/>
      </w:pPr>
    </w:p>
    <w:tbl>
      <w:tblPr>
        <w:tblStyle w:val="11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A302D65">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rPr>
                <w:rFonts w:ascii="Arial"/>
              </w:rPr>
            </w:pPr>
          </w:p>
        </w:tc>
        <w:tc>
          <w:tcPr>
            <w:tcW w:w="3362" w:type="dxa"/>
          </w:tcPr>
          <w:p w14:paraId="6FB77477">
            <w:pPr>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5B91147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rPr>
                <w:rFonts w:ascii="Arial"/>
              </w:rPr>
            </w:pPr>
          </w:p>
        </w:tc>
        <w:tc>
          <w:tcPr>
            <w:tcW w:w="3362" w:type="dxa"/>
          </w:tcPr>
          <w:p w14:paraId="48DCAC5C">
            <w:pPr>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rPr>
                <w:rFonts w:ascii="Arial"/>
              </w:rPr>
            </w:pPr>
          </w:p>
          <w:p w14:paraId="340735DF">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13AA869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rPr>
                <w:rFonts w:ascii="Arial"/>
              </w:rPr>
            </w:pPr>
          </w:p>
        </w:tc>
        <w:tc>
          <w:tcPr>
            <w:tcW w:w="3362" w:type="dxa"/>
          </w:tcPr>
          <w:p w14:paraId="19EFB9F2">
            <w:pPr>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4B094E3">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rPr>
                <w:rFonts w:ascii="Arial"/>
              </w:rPr>
            </w:pPr>
          </w:p>
        </w:tc>
        <w:tc>
          <w:tcPr>
            <w:tcW w:w="3362" w:type="dxa"/>
          </w:tcPr>
          <w:p w14:paraId="5BD82F98">
            <w:pPr>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spacing w:line="291" w:lineRule="auto"/>
        <w:rPr>
          <w:rFonts w:ascii="Arial"/>
        </w:rPr>
      </w:pPr>
    </w:p>
    <w:p w14:paraId="3A5AD7BA">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4"/>
      </w:pPr>
    </w:p>
    <w:p w14:paraId="1976CBAA">
      <w:pPr>
        <w:pStyle w:val="14"/>
      </w:pPr>
    </w:p>
    <w:p w14:paraId="4FA10CD9">
      <w:pPr>
        <w:spacing w:before="140" w:line="220" w:lineRule="auto"/>
        <w:ind w:left="2" w:firstLine="464" w:firstLineChars="200"/>
        <w:rPr>
          <w:rFonts w:ascii="宋体" w:hAnsi="宋体" w:eastAsia="宋体" w:cs="宋体"/>
          <w:spacing w:val="-2"/>
          <w:szCs w:val="21"/>
        </w:rPr>
        <w:sectPr>
          <w:footerReference r:id="rId1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宋体"/>
                <w:color w:val="auto"/>
                <w:sz w:val="24"/>
                <w:szCs w:val="24"/>
                <w:highlight w:val="none"/>
                <w:u w:val="single"/>
              </w:rPr>
              <w:t>涂装车间烘干废气应急监测项目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rPr>
          <w:rFonts w:ascii="宋体" w:hAnsi="Calibri" w:eastAsia="宋体" w:cs="Times New Roman"/>
          <w:szCs w:val="20"/>
        </w:rPr>
      </w:pPr>
    </w:p>
    <w:p w14:paraId="0F9CD58A">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highlight w:val="none"/>
        </w:rPr>
        <w:t>附件11</w:t>
      </w:r>
      <w:r>
        <w:rPr>
          <w:rFonts w:hint="eastAsia" w:ascii="Times New Roman" w:hAnsi="Times New Roman" w:eastAsia="宋体" w:cs="Times New Roman"/>
          <w:b/>
          <w:bCs/>
          <w:color w:val="000000"/>
          <w:sz w:val="24"/>
          <w:szCs w:val="24"/>
        </w:rPr>
        <w:t xml:space="preserve">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color w:val="auto"/>
          <w:sz w:val="24"/>
          <w:szCs w:val="24"/>
          <w:highlight w:val="none"/>
          <w:u w:val="single"/>
        </w:rPr>
        <w:t>涂装车间烘干废气应急监测项目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1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6BD1E553">
      <w:pPr>
        <w:spacing w:before="75" w:line="227" w:lineRule="auto"/>
        <w:ind w:left="135"/>
        <w:rPr>
          <w:rFonts w:eastAsia="宋体"/>
          <w:sz w:val="24"/>
          <w:szCs w:val="24"/>
        </w:rPr>
        <w:sectPr>
          <w:footerReference r:id="rId1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color w:val="auto"/>
          <w:sz w:val="24"/>
          <w:szCs w:val="24"/>
          <w:highlight w:val="none"/>
          <w:u w:val="single"/>
        </w:rPr>
        <w:t>涂装车间烘干废气应急监测项目</w:t>
      </w:r>
    </w:p>
    <w:p w14:paraId="3DFBD89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EC66B04">
      <w:pPr>
        <w:spacing w:line="360" w:lineRule="auto"/>
        <w:ind w:firstLine="480" w:firstLineChars="200"/>
        <w:rPr>
          <w:rFonts w:ascii="宋体" w:hAnsi="宋体" w:eastAsia="宋体" w:cs="Times New Roman"/>
          <w:color w:val="000000"/>
          <w:sz w:val="24"/>
          <w:szCs w:val="24"/>
        </w:rPr>
        <w:sectPr>
          <w:headerReference r:id="rId21" w:type="first"/>
          <w:footerReference r:id="rId23" w:type="first"/>
          <w:headerReference r:id="rId20" w:type="defaul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附件1</w:t>
      </w:r>
      <w:r>
        <w:rPr>
          <w:rFonts w:hint="eastAsia" w:hAnsi="宋体" w:cs="宋体"/>
          <w:b/>
          <w:bCs/>
          <w:color w:val="000000"/>
          <w:sz w:val="24"/>
          <w:szCs w:val="24"/>
          <w:highlight w:val="green"/>
          <w:lang w:val="en-US" w:eastAsia="zh-CN"/>
        </w:rPr>
        <w:t>3</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8"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9"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0"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1" cstate="print"/>
                    <a:srcRect/>
                    <a:stretch>
                      <a:fillRect/>
                    </a:stretch>
                  </pic:blipFill>
                  <pic:spPr>
                    <a:xfrm>
                      <a:off x="0" y="0"/>
                      <a:ext cx="5760085" cy="2853055"/>
                    </a:xfrm>
                    <a:prstGeom prst="rect">
                      <a:avLst/>
                    </a:prstGeom>
                  </pic:spPr>
                </pic:pic>
              </a:graphicData>
            </a:graphic>
          </wp:inline>
        </w:drawing>
      </w:r>
    </w:p>
    <w:p w14:paraId="17346439">
      <w:pPr>
        <w:numPr>
          <w:ilvl w:val="0"/>
          <w:numId w:val="3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3"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hint="default" w:ascii="宋体"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招标公告内容。</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 xml:space="preserve">直管单位非生产招标 / </w:t>
      </w:r>
      <w:r>
        <w:rPr>
          <w:rFonts w:hint="eastAsia" w:hAnsi="宋体" w:eastAsia="宋体" w:cs="宋体"/>
          <w:b/>
          <w:bCs/>
          <w:color w:val="000000"/>
          <w:sz w:val="24"/>
          <w:szCs w:val="28"/>
          <w:highlight w:val="yellow"/>
          <w:lang w:val="en-US" w:eastAsia="zh-CN"/>
        </w:rPr>
        <w:t>服务</w:t>
      </w:r>
      <w:r>
        <w:rPr>
          <w:rFonts w:hint="eastAsia" w:hAnsi="宋体" w:eastAsia="宋体" w:cs="宋体"/>
          <w:b/>
          <w:bCs/>
          <w:color w:val="000000"/>
          <w:sz w:val="24"/>
          <w:szCs w:val="28"/>
          <w:highlight w:val="yellow"/>
        </w:rPr>
        <w:t xml:space="preserve">/ </w:t>
      </w:r>
      <w:r>
        <w:rPr>
          <w:rFonts w:hint="eastAsia" w:hAnsi="宋体" w:eastAsia="宋体" w:cs="宋体"/>
          <w:b/>
          <w:bCs/>
          <w:color w:val="000000"/>
          <w:sz w:val="24"/>
          <w:szCs w:val="28"/>
          <w:highlight w:val="yellow"/>
          <w:lang w:val="en-US" w:eastAsia="zh-CN"/>
        </w:rPr>
        <w:t>环保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yellow"/>
          <w:lang w:val="en-US" w:eastAsia="zh-CN"/>
        </w:rPr>
        <w:t>安全环保部</w:t>
      </w:r>
      <w:r>
        <w:rPr>
          <w:rFonts w:hint="eastAsia" w:hAnsi="宋体" w:eastAsia="宋体" w:cs="宋体"/>
          <w:b/>
          <w:bCs/>
          <w:color w:val="000000"/>
          <w:sz w:val="24"/>
          <w:szCs w:val="28"/>
          <w:highlight w:val="none"/>
        </w:rPr>
        <w:t>”。</w:t>
      </w:r>
    </w:p>
    <w:p w14:paraId="4A1F511E">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cs="宋体"/>
          <w:b/>
          <w:bCs/>
          <w:color w:val="000000"/>
          <w:sz w:val="24"/>
          <w:szCs w:val="24"/>
          <w:lang w:val="en-US" w:eastAsia="zh-CN"/>
        </w:rPr>
        <w:t>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p w14:paraId="3DD84EE7">
      <w:pPr>
        <w:pStyle w:val="76"/>
        <w:rPr>
          <w:rFonts w:hint="default" w:hAnsi="宋体"/>
          <w:sz w:val="24"/>
          <w:lang w:val="en-US"/>
        </w:rPr>
      </w:pPr>
    </w:p>
    <w:p w14:paraId="280383B6">
      <w:pPr>
        <w:pStyle w:val="76"/>
        <w:rPr>
          <w:rFonts w:hint="default" w:hAnsi="宋体"/>
          <w:sz w:val="24"/>
          <w:lang w:val="en-US"/>
        </w:rPr>
      </w:pPr>
    </w:p>
    <w:sectPr>
      <w:headerReference r:id="rId24" w:type="first"/>
      <w:footerReference r:id="rId2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2635"/>
    </w:sdtPr>
    <w:sdtContent>
      <w:sdt>
        <w:sdtPr>
          <w:id w:val="147470745"/>
        </w:sdtPr>
        <w:sdtContent>
          <w:p w14:paraId="43A797F8">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2B6C4A4">
    <w:pPr>
      <w:pStyle w:val="18"/>
      <w:jc w:val="center"/>
    </w:pPr>
  </w:p>
  <w:p w14:paraId="2C573932"/>
  <w:p w14:paraId="2AB7B3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8613">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D6D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3BD6D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E6117">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FCA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1EFCA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B2A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91B3AF5"/>
    <w:multiLevelType w:val="singleLevel"/>
    <w:tmpl w:val="891B3AF5"/>
    <w:lvl w:ilvl="0" w:tentative="0">
      <w:start w:val="1"/>
      <w:numFmt w:val="decimal"/>
      <w:lvlText w:val="%1."/>
      <w:lvlJc w:val="left"/>
      <w:pPr>
        <w:tabs>
          <w:tab w:val="left" w:pos="312"/>
        </w:tabs>
      </w:p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29189BA0"/>
    <w:multiLevelType w:val="singleLevel"/>
    <w:tmpl w:val="29189BA0"/>
    <w:lvl w:ilvl="0" w:tentative="0">
      <w:start w:val="1"/>
      <w:numFmt w:val="decimal"/>
      <w:suff w:val="nothing"/>
      <w:lvlText w:val="（%1）"/>
      <w:lvlJc w:val="left"/>
    </w:lvl>
  </w:abstractNum>
  <w:abstractNum w:abstractNumId="15">
    <w:nsid w:val="3954A2AD"/>
    <w:multiLevelType w:val="singleLevel"/>
    <w:tmpl w:val="3954A2AD"/>
    <w:lvl w:ilvl="0" w:tentative="0">
      <w:start w:val="1"/>
      <w:numFmt w:val="decimal"/>
      <w:suff w:val="nothing"/>
      <w:lvlText w:val="（%1）"/>
      <w:lvlJc w:val="left"/>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5">
    <w:nsid w:val="7CE20C09"/>
    <w:multiLevelType w:val="singleLevel"/>
    <w:tmpl w:val="7CE20C09"/>
    <w:lvl w:ilvl="0" w:tentative="0">
      <w:start w:val="1"/>
      <w:numFmt w:val="decimal"/>
      <w:lvlText w:val="%1."/>
      <w:lvlJc w:val="left"/>
      <w:pPr>
        <w:tabs>
          <w:tab w:val="left" w:pos="312"/>
        </w:tabs>
      </w:pPr>
    </w:lvl>
  </w:abstractNum>
  <w:num w:numId="1">
    <w:abstractNumId w:val="19"/>
  </w:num>
  <w:num w:numId="2">
    <w:abstractNumId w:val="23"/>
  </w:num>
  <w:num w:numId="3">
    <w:abstractNumId w:val="22"/>
  </w:num>
  <w:num w:numId="4">
    <w:abstractNumId w:val="20"/>
  </w:num>
  <w:num w:numId="5">
    <w:abstractNumId w:val="11"/>
  </w:num>
  <w:num w:numId="6">
    <w:abstractNumId w:val="12"/>
  </w:num>
  <w:num w:numId="7">
    <w:abstractNumId w:val="13"/>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17"/>
  </w:num>
  <w:num w:numId="19">
    <w:abstractNumId w:val="5"/>
  </w:num>
  <w:num w:numId="20">
    <w:abstractNumId w:val="0"/>
  </w:num>
  <w:num w:numId="21">
    <w:abstractNumId w:val="2"/>
  </w:num>
  <w:num w:numId="22">
    <w:abstractNumId w:val="15"/>
  </w:num>
  <w:num w:numId="23">
    <w:abstractNumId w:val="24"/>
  </w:num>
  <w:num w:numId="24">
    <w:abstractNumId w:val="8"/>
  </w:num>
  <w:num w:numId="25">
    <w:abstractNumId w:val="25"/>
  </w:num>
  <w:num w:numId="26">
    <w:abstractNumId w:val="6"/>
  </w:num>
  <w:num w:numId="27">
    <w:abstractNumId w:val="3"/>
  </w:num>
  <w:num w:numId="28">
    <w:abstractNumId w:val="9"/>
  </w:num>
  <w:num w:numId="29">
    <w:abstractNumId w:val="18"/>
  </w:num>
  <w:num w:numId="30">
    <w:abstractNumId w:val="16"/>
  </w:num>
  <w:num w:numId="31">
    <w:abstractNumId w:val="4"/>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4D3"/>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E62E18"/>
    <w:rsid w:val="0543236E"/>
    <w:rsid w:val="057C1D39"/>
    <w:rsid w:val="05891259"/>
    <w:rsid w:val="05E76E48"/>
    <w:rsid w:val="06175316"/>
    <w:rsid w:val="068F128E"/>
    <w:rsid w:val="08633479"/>
    <w:rsid w:val="0BBA4FFF"/>
    <w:rsid w:val="0C525237"/>
    <w:rsid w:val="0CB51572"/>
    <w:rsid w:val="0CFB1178"/>
    <w:rsid w:val="0E4D31E3"/>
    <w:rsid w:val="0E76345F"/>
    <w:rsid w:val="0F7200CA"/>
    <w:rsid w:val="10DC2AA3"/>
    <w:rsid w:val="10FA7C8C"/>
    <w:rsid w:val="12EA7F78"/>
    <w:rsid w:val="130B198F"/>
    <w:rsid w:val="13531FC1"/>
    <w:rsid w:val="135A334F"/>
    <w:rsid w:val="145205A8"/>
    <w:rsid w:val="16A918E4"/>
    <w:rsid w:val="17D966D6"/>
    <w:rsid w:val="18952734"/>
    <w:rsid w:val="198C1722"/>
    <w:rsid w:val="1A11228E"/>
    <w:rsid w:val="1A381F10"/>
    <w:rsid w:val="1ABF7F3C"/>
    <w:rsid w:val="1B6603B7"/>
    <w:rsid w:val="1B824429"/>
    <w:rsid w:val="1BC71D3B"/>
    <w:rsid w:val="1C59115B"/>
    <w:rsid w:val="1C8C02F2"/>
    <w:rsid w:val="1CD00D9F"/>
    <w:rsid w:val="1F5E5F75"/>
    <w:rsid w:val="1F672950"/>
    <w:rsid w:val="1FB23E60"/>
    <w:rsid w:val="20CC33B3"/>
    <w:rsid w:val="20E64474"/>
    <w:rsid w:val="21F91F85"/>
    <w:rsid w:val="22A7378F"/>
    <w:rsid w:val="22C5630B"/>
    <w:rsid w:val="23EC0BA6"/>
    <w:rsid w:val="24701A48"/>
    <w:rsid w:val="25B508B9"/>
    <w:rsid w:val="25C1725E"/>
    <w:rsid w:val="25DC2738"/>
    <w:rsid w:val="268B0052"/>
    <w:rsid w:val="26FE1DEC"/>
    <w:rsid w:val="27743C90"/>
    <w:rsid w:val="27CC3FD4"/>
    <w:rsid w:val="28F214DC"/>
    <w:rsid w:val="292673D8"/>
    <w:rsid w:val="29B844D4"/>
    <w:rsid w:val="29CA2459"/>
    <w:rsid w:val="2ACD0453"/>
    <w:rsid w:val="2B0F6376"/>
    <w:rsid w:val="2B271A58"/>
    <w:rsid w:val="2B5B3BD5"/>
    <w:rsid w:val="2B6304A7"/>
    <w:rsid w:val="2B8A0ED3"/>
    <w:rsid w:val="2BB138D1"/>
    <w:rsid w:val="2CF6734C"/>
    <w:rsid w:val="2D2E5EBF"/>
    <w:rsid w:val="2D663463"/>
    <w:rsid w:val="2E204D3E"/>
    <w:rsid w:val="2E4E18AB"/>
    <w:rsid w:val="2EF96EE4"/>
    <w:rsid w:val="30006BD5"/>
    <w:rsid w:val="300C6E44"/>
    <w:rsid w:val="30B31E99"/>
    <w:rsid w:val="32146967"/>
    <w:rsid w:val="32C06917"/>
    <w:rsid w:val="33304827"/>
    <w:rsid w:val="337E22EA"/>
    <w:rsid w:val="34572B3B"/>
    <w:rsid w:val="35CF7EC5"/>
    <w:rsid w:val="360311CD"/>
    <w:rsid w:val="36254FE4"/>
    <w:rsid w:val="36A55DE0"/>
    <w:rsid w:val="372F61E0"/>
    <w:rsid w:val="39322FCA"/>
    <w:rsid w:val="39DC4F34"/>
    <w:rsid w:val="3AB90991"/>
    <w:rsid w:val="3ABB02C8"/>
    <w:rsid w:val="3B706131"/>
    <w:rsid w:val="3C681D8A"/>
    <w:rsid w:val="3D2008B6"/>
    <w:rsid w:val="3D29776B"/>
    <w:rsid w:val="3DFB03D8"/>
    <w:rsid w:val="3E6F041E"/>
    <w:rsid w:val="3FBB6674"/>
    <w:rsid w:val="3FCC6AD3"/>
    <w:rsid w:val="405D597D"/>
    <w:rsid w:val="4081341A"/>
    <w:rsid w:val="411C3143"/>
    <w:rsid w:val="41582A5C"/>
    <w:rsid w:val="41CC2DBB"/>
    <w:rsid w:val="4275481E"/>
    <w:rsid w:val="428B617A"/>
    <w:rsid w:val="433D7BDC"/>
    <w:rsid w:val="437E1813"/>
    <w:rsid w:val="43EF0FE2"/>
    <w:rsid w:val="44CA7C7F"/>
    <w:rsid w:val="45BD47FC"/>
    <w:rsid w:val="45CC5FB2"/>
    <w:rsid w:val="464529FA"/>
    <w:rsid w:val="46B75BA8"/>
    <w:rsid w:val="46DC75FC"/>
    <w:rsid w:val="487970CD"/>
    <w:rsid w:val="48C97955"/>
    <w:rsid w:val="48E24BBA"/>
    <w:rsid w:val="49184B37"/>
    <w:rsid w:val="494F67AB"/>
    <w:rsid w:val="49880C8F"/>
    <w:rsid w:val="49956188"/>
    <w:rsid w:val="4A8561FD"/>
    <w:rsid w:val="4A8835F7"/>
    <w:rsid w:val="4B592E71"/>
    <w:rsid w:val="4CE74F4D"/>
    <w:rsid w:val="4CF539DF"/>
    <w:rsid w:val="4D2E0486"/>
    <w:rsid w:val="4D371A30"/>
    <w:rsid w:val="4DD45540"/>
    <w:rsid w:val="4DDA060D"/>
    <w:rsid w:val="4F195165"/>
    <w:rsid w:val="50615016"/>
    <w:rsid w:val="52650D16"/>
    <w:rsid w:val="526B3F2A"/>
    <w:rsid w:val="52B9239A"/>
    <w:rsid w:val="53422EDD"/>
    <w:rsid w:val="539D6365"/>
    <w:rsid w:val="53C34BA7"/>
    <w:rsid w:val="54BD78FD"/>
    <w:rsid w:val="552D196B"/>
    <w:rsid w:val="55666740"/>
    <w:rsid w:val="572A3CDF"/>
    <w:rsid w:val="580C557C"/>
    <w:rsid w:val="58A86DDE"/>
    <w:rsid w:val="58C6010C"/>
    <w:rsid w:val="59154AD7"/>
    <w:rsid w:val="593D49CE"/>
    <w:rsid w:val="59CF4D9E"/>
    <w:rsid w:val="5A9A35FE"/>
    <w:rsid w:val="5ADF548D"/>
    <w:rsid w:val="5C68504C"/>
    <w:rsid w:val="5C814A76"/>
    <w:rsid w:val="5CC42BB4"/>
    <w:rsid w:val="5D5C60B4"/>
    <w:rsid w:val="5E08087F"/>
    <w:rsid w:val="5E135BA1"/>
    <w:rsid w:val="5FD316B9"/>
    <w:rsid w:val="60031C46"/>
    <w:rsid w:val="60DD58EC"/>
    <w:rsid w:val="639826A5"/>
    <w:rsid w:val="63E1229E"/>
    <w:rsid w:val="63F04A69"/>
    <w:rsid w:val="642B176B"/>
    <w:rsid w:val="652561BA"/>
    <w:rsid w:val="652811A1"/>
    <w:rsid w:val="66A50B1E"/>
    <w:rsid w:val="676C6322"/>
    <w:rsid w:val="67B2063C"/>
    <w:rsid w:val="67C97AC3"/>
    <w:rsid w:val="67E30EC1"/>
    <w:rsid w:val="68534DEC"/>
    <w:rsid w:val="68CA77A4"/>
    <w:rsid w:val="68F3328F"/>
    <w:rsid w:val="695F613F"/>
    <w:rsid w:val="69620955"/>
    <w:rsid w:val="6A06480C"/>
    <w:rsid w:val="6A4E3B2B"/>
    <w:rsid w:val="6B481C3B"/>
    <w:rsid w:val="6B8E2D0B"/>
    <w:rsid w:val="6B99345E"/>
    <w:rsid w:val="6BF1329A"/>
    <w:rsid w:val="6C1331A3"/>
    <w:rsid w:val="6CA84BC1"/>
    <w:rsid w:val="6D3E4756"/>
    <w:rsid w:val="6D940381"/>
    <w:rsid w:val="6F0E5A30"/>
    <w:rsid w:val="6FC523EB"/>
    <w:rsid w:val="700532A9"/>
    <w:rsid w:val="714D0F73"/>
    <w:rsid w:val="72895F2E"/>
    <w:rsid w:val="72C02EBE"/>
    <w:rsid w:val="72C507AD"/>
    <w:rsid w:val="72D028D8"/>
    <w:rsid w:val="73100ED3"/>
    <w:rsid w:val="732E0930"/>
    <w:rsid w:val="745D47C3"/>
    <w:rsid w:val="76AC3757"/>
    <w:rsid w:val="77E84083"/>
    <w:rsid w:val="78A51694"/>
    <w:rsid w:val="78E73A5B"/>
    <w:rsid w:val="79676168"/>
    <w:rsid w:val="7BB51BEE"/>
    <w:rsid w:val="7C2428D0"/>
    <w:rsid w:val="7CB93F8E"/>
    <w:rsid w:val="7CF66B46"/>
    <w:rsid w:val="7D1E1A15"/>
    <w:rsid w:val="7D276B1C"/>
    <w:rsid w:val="7D9341B1"/>
    <w:rsid w:val="7DBD28BA"/>
    <w:rsid w:val="7E755665"/>
    <w:rsid w:val="7EA06B86"/>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1"/>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31"/>
    <w:basedOn w:val="32"/>
    <w:qFormat/>
    <w:uiPriority w:val="0"/>
    <w:rPr>
      <w:rFonts w:hint="eastAsia" w:ascii="宋体" w:hAnsi="宋体" w:eastAsia="宋体" w:cs="宋体"/>
      <w:color w:val="000000"/>
      <w:sz w:val="18"/>
      <w:szCs w:val="18"/>
      <w:u w:val="none"/>
    </w:rPr>
  </w:style>
  <w:style w:type="character" w:customStyle="1" w:styleId="112">
    <w:name w:val="font11"/>
    <w:basedOn w:val="32"/>
    <w:qFormat/>
    <w:uiPriority w:val="0"/>
    <w:rPr>
      <w:rFonts w:hint="default" w:ascii="Times New Roman" w:hAnsi="Times New Roman" w:cs="Times New Roman"/>
      <w:color w:val="000000"/>
      <w:sz w:val="18"/>
      <w:szCs w:val="18"/>
      <w:u w:val="none"/>
    </w:rPr>
  </w:style>
  <w:style w:type="character" w:customStyle="1" w:styleId="113">
    <w:name w:val="font41"/>
    <w:basedOn w:val="32"/>
    <w:qFormat/>
    <w:uiPriority w:val="0"/>
    <w:rPr>
      <w:rFonts w:hint="default" w:ascii="Times New Roman" w:hAnsi="Times New Roman" w:cs="Times New Roman"/>
      <w:color w:val="000000"/>
      <w:sz w:val="18"/>
      <w:szCs w:val="18"/>
      <w:u w:val="none"/>
      <w:vertAlign w:val="subscript"/>
    </w:rPr>
  </w:style>
  <w:style w:type="paragraph" w:customStyle="1" w:styleId="114">
    <w:name w:val="Table Paragraph"/>
    <w:basedOn w:val="1"/>
    <w:qFormat/>
    <w:uiPriority w:val="1"/>
    <w:rPr>
      <w:rFonts w:ascii="宋体" w:hAnsi="宋体" w:eastAsia="宋体" w:cs="宋体"/>
    </w:rPr>
  </w:style>
  <w:style w:type="table" w:customStyle="1" w:styleId="11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er" Target="foot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9.xml"/><Relationship Id="rId24" Type="http://schemas.openxmlformats.org/officeDocument/2006/relationships/header" Target="header4.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header" Target="header3.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header" Target="header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36</Pages>
  <Words>8218</Words>
  <Characters>8703</Characters>
  <Lines>127</Lines>
  <Paragraphs>35</Paragraphs>
  <TotalTime>56</TotalTime>
  <ScaleCrop>false</ScaleCrop>
  <LinksUpToDate>false</LinksUpToDate>
  <CharactersWithSpaces>9080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2025-10-20T02:05:46Z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