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泰安五岳公司—新增焊机项目（20台500型焊机）</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：中国重汽集团泰安五岳专用汽车有限公司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5202"/>
      <w:bookmarkStart w:id="1" w:name="_Toc29994"/>
      <w:bookmarkStart w:id="2" w:name="_Toc15480"/>
      <w:bookmarkStart w:id="3" w:name="_Toc23693"/>
      <w:bookmarkStart w:id="4" w:name="_Toc2224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项目名称：泰安五岳公司—新增焊机项目（20台500型焊机）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项目编号：FSCZB2025120176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内容：东厂区自希尔博公司划归至我单位进行管理后处于闲置状态，根据公司运营需求，结合订单生产交付需要，为将东厂区场地进行合理利用，公司计划在东厂区北跨车间新增人工底板焊接线，并兼顾前后板及边板人工焊接。</w:t>
            </w:r>
          </w:p>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为将东厂区场地进行合理利用，公司计划在东厂区北跨车间新增人工底板焊接线，并兼顾前后板及边板人工焊接，新增人工焊接线，根据布线需求，需增加20台焊机以满足生产需求。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招标人名称：中国重汽集团泰安五岳专用汽车有限公司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招标人地址：山东省泰安市高新技术产业开发区中天门大街266号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技术联系人：张卫波</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电话：15253846000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13.2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ascii="宋体" w:hAnsi="宋体" w:eastAsia="宋体" w:cs="宋体"/>
                <w:color w:val="auto"/>
                <w:sz w:val="24"/>
                <w:szCs w:val="24"/>
                <w:highlight w:val="none"/>
                <w:lang w:val="en-US" w:eastAsia="zh-CN"/>
              </w:rPr>
              <w:t>800</w:t>
            </w:r>
            <w:r>
              <w:rPr>
                <w:rFonts w:hint="eastAsia" w:ascii="宋体" w:hAnsi="宋体" w:eastAsia="宋体" w:cs="宋体"/>
                <w:color w:val="auto"/>
                <w:sz w:val="24"/>
                <w:szCs w:val="24"/>
                <w:highlight w:val="none"/>
              </w:rPr>
              <w:t>万人民币（或等值其他货币）；公司成立三年以上（以营业执照成立日期到开标当日满三年为准），且经营范围满足招标人需求；并在人员、设备、资金等方面具有承担本项目的能力；</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rPr>
              <w:t>拟投标人需提供近3年内</w:t>
            </w:r>
            <w:r>
              <w:rPr>
                <w:rFonts w:hint="eastAsia"/>
                <w:lang w:eastAsia="zh-CN"/>
              </w:rPr>
              <w:t>中国重汽</w:t>
            </w:r>
            <w:r>
              <w:rPr>
                <w:rFonts w:hint="eastAsia"/>
              </w:rPr>
              <w:t>集团</w:t>
            </w:r>
            <w:r>
              <w:rPr>
                <w:rFonts w:hint="eastAsia"/>
                <w:lang w:eastAsia="zh-CN"/>
              </w:rPr>
              <w:t>相关公司</w:t>
            </w:r>
            <w:r>
              <w:rPr>
                <w:rFonts w:hint="eastAsia"/>
              </w:rPr>
              <w:t>内类似业务证明（焊机或手持式等离子切割机）；</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拟投标人应提供营业执照副本原件和扫描件（需盖章）；</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.拟投标人应提供法定代表人资格证明文件；</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.拟投标人在国家市场监督管理总局的《国家企业信用信息公示系统》中查询不存在不良记录；</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.拟投标人不存在严重违规或被列入招标人“黑名单”的声明；</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.拟投标人20</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年1月1日至今经第三方会计师事务所审计且出具无保留意见的财务审计报告，并加盖公章，包括但不限于报告页、经审计的资产负债表、利润表、现金流量表及报表附注</w:t>
            </w:r>
            <w:r>
              <w:rPr>
                <w:rFonts w:hint="eastAsia" w:ascii="宋体" w:hAnsi="宋体" w:eastAsia="宋体" w:cs="宋体"/>
                <w:color w:val="auto"/>
                <w:sz w:val="24"/>
                <w:szCs w:val="24"/>
                <w:highlight w:val="none"/>
                <w:lang w:eastAsia="zh-CN"/>
              </w:rPr>
              <w:t>，且未显示异常</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如无法提供，请提供相关说明。</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.拟投标人有与本次招标内容相同或类似项目业绩，且近3年内无因服务不当而造成重大事故；</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.拟投标人近三年内在经营活动中无与本项目有关的违法及重大违规情况；</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.拟投标人须认可招标人的工作指令，包括节、假日能正常开展工作的要求；</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投标人最近半年纳税正常；</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投标人信用证明材料（征信报告）未显示异常；</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投标人的直接或间接股东、法定代表人、董事、监事、高管非重汽员工及其亲属；</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企业对外担保说明（写明</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单位对外有无对外担保和质押业务，需加盖公章）</w:t>
            </w:r>
            <w:r>
              <w:rPr>
                <w:rFonts w:hint="eastAsia" w:ascii="宋体" w:hAnsi="宋体" w:eastAsia="宋体" w:cs="宋体"/>
                <w:color w:val="auto"/>
                <w:sz w:val="24"/>
                <w:szCs w:val="24"/>
                <w:highlight w:val="none"/>
                <w:lang w:eastAsia="zh-CN"/>
              </w:rPr>
              <w:t>；</w:t>
            </w:r>
          </w:p>
          <w:p>
            <w:pPr>
              <w:pStyle w:val="23"/>
              <w:numPr>
                <w:ilvl w:val="0"/>
                <w:numId w:val="0"/>
              </w:numPr>
              <w:spacing w:line="360" w:lineRule="auto"/>
              <w:ind w:firstLine="480" w:firstLineChars="200"/>
              <w:rPr>
                <w:rFonts w:hint="eastAsia" w:ascii="仿宋_GB2312" w:hAnsi="仿宋_GB2312" w:eastAsia="仿宋_GB2312" w:cs="仿宋_GB2312"/>
                <w:color w:val="000000"/>
                <w:sz w:val="24"/>
                <w:szCs w:val="24"/>
              </w:rPr>
            </w:pPr>
            <w:r>
              <w:rPr>
                <w:rFonts w:hint="eastAsia" w:ascii="宋体" w:hAnsi="宋体" w:eastAsia="宋体" w:cs="宋体"/>
                <w:color w:val="auto"/>
                <w:sz w:val="24"/>
                <w:szCs w:val="24"/>
                <w:highlight w:val="none"/>
                <w:lang w:val="en-US" w:eastAsia="zh-CN"/>
              </w:rPr>
              <w:t>15.本项目不接受联合体、代理商投标，拟投标人必须是最终投标单位和签订合同单位，不得以任何理由将已中标项目以任</w:t>
            </w:r>
            <w:r>
              <w:rPr>
                <w:rFonts w:hint="eastAsia" w:hAnsi="宋体" w:eastAsia="宋体" w:cs="宋体"/>
                <w:color w:val="auto"/>
                <w:sz w:val="24"/>
                <w:szCs w:val="24"/>
                <w:highlight w:val="none"/>
                <w:lang w:val="en-US" w:eastAsia="zh-CN"/>
              </w:rPr>
              <w:t>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2025年12月22日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2025年12月30日前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2025年12月30日前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2025年12月27日17：00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2026年1月1日17：00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left="479" w:leftChars="228" w:firstLine="0" w:firstLineChars="0"/>
              <w:rPr>
                <w:rFonts w:ascii="宋体" w:hAnsi="宋体" w:eastAsia="宋体" w:cs="宋体"/>
                <w:sz w:val="24"/>
                <w:szCs w:val="24"/>
              </w:rPr>
            </w:pPr>
            <w:r>
              <w:rPr>
                <w:rFonts w:ascii="宋体" w:hAnsi="宋体" w:eastAsia="宋体" w:cs="宋体"/>
                <w:sz w:val="24"/>
                <w:szCs w:val="24"/>
              </w:rPr>
              <w:t>公司名称:中国重汽集团泰安五岳专用汽车有限公司</w:t>
            </w:r>
            <w:r>
              <w:rPr>
                <w:rFonts w:ascii="宋体" w:hAnsi="宋体" w:eastAsia="宋体" w:cs="宋体"/>
                <w:sz w:val="24"/>
                <w:szCs w:val="24"/>
              </w:rPr>
              <w:br w:type="textWrapping"/>
            </w:r>
            <w:r>
              <w:rPr>
                <w:rFonts w:ascii="宋体" w:hAnsi="宋体" w:eastAsia="宋体" w:cs="宋体"/>
                <w:sz w:val="24"/>
                <w:szCs w:val="24"/>
              </w:rPr>
              <w:t>纳税人识别号:91370900166414879F</w:t>
            </w:r>
            <w:r>
              <w:rPr>
                <w:rFonts w:ascii="宋体" w:hAnsi="宋体" w:eastAsia="宋体" w:cs="宋体"/>
                <w:sz w:val="24"/>
                <w:szCs w:val="24"/>
              </w:rPr>
              <w:br w:type="textWrapping"/>
            </w:r>
            <w:r>
              <w:rPr>
                <w:rFonts w:ascii="宋体" w:hAnsi="宋体" w:eastAsia="宋体" w:cs="宋体"/>
                <w:sz w:val="24"/>
                <w:szCs w:val="24"/>
              </w:rPr>
              <w:t>地址电话:山东省泰安市高新技术产业开发区中天门大街266号0538-8933928</w:t>
            </w:r>
            <w:r>
              <w:rPr>
                <w:rFonts w:ascii="宋体" w:hAnsi="宋体" w:eastAsia="宋体" w:cs="宋体"/>
                <w:sz w:val="24"/>
                <w:szCs w:val="24"/>
              </w:rPr>
              <w:br w:type="textWrapping"/>
            </w:r>
            <w:r>
              <w:rPr>
                <w:rFonts w:ascii="宋体" w:hAnsi="宋体" w:eastAsia="宋体" w:cs="宋体"/>
                <w:sz w:val="24"/>
                <w:szCs w:val="24"/>
              </w:rPr>
              <w:t>开户行及账号:交通银行股份有限公司</w:t>
            </w:r>
            <w:r>
              <w:rPr>
                <w:rFonts w:ascii="宋体" w:hAnsi="宋体" w:eastAsia="宋体" w:cs="宋体"/>
                <w:sz w:val="24"/>
                <w:szCs w:val="24"/>
              </w:rPr>
              <w:br w:type="textWrapping"/>
            </w:r>
            <w:r>
              <w:rPr>
                <w:rFonts w:ascii="宋体" w:hAnsi="宋体" w:eastAsia="宋体" w:cs="宋体"/>
                <w:sz w:val="24"/>
                <w:szCs w:val="24"/>
              </w:rPr>
              <w:t>泰安分行379006111018000061904</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2026年1月1日17：00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2026年1月5日9</w:t>
            </w:r>
            <w:bookmarkStart w:id="103" w:name="_GoBack"/>
            <w:bookmarkEnd w:id="103"/>
            <w:r>
              <w:rPr>
                <w:rFonts w:hint="eastAsia" w:ascii="仿宋_GB2312" w:hAnsi="仿宋_GB2312" w:eastAsia="仿宋_GB2312" w:cs="仿宋_GB2312"/>
                <w:color w:val="000000"/>
                <w:sz w:val="24"/>
                <w:szCs w:val="24"/>
                <w:highlight w:val="green"/>
                <w:lang w:val="en-US" w:eastAsia="zh-CN"/>
              </w:rPr>
              <w:t>：00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中国重汽集团泰安五岳专用汽车有限公司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cs="仿宋" w:asciiTheme="minorEastAsia" w:hAnsiTheme="minorEastAsia" w:eastAsiaTheme="minorEastAsia"/>
                <w:b/>
                <w:bCs/>
                <w:sz w:val="24"/>
                <w:szCs w:val="24"/>
              </w:rPr>
              <w:t>半年期</w:t>
            </w:r>
            <w:r>
              <w:rPr>
                <w:rFonts w:hint="eastAsia" w:cs="仿宋" w:asciiTheme="minorEastAsia" w:hAnsiTheme="minorEastAsia"/>
                <w:b/>
                <w:bCs/>
                <w:sz w:val="24"/>
                <w:szCs w:val="24"/>
                <w:lang w:eastAsia="zh-CN"/>
              </w:rPr>
              <w:t>商业汇票（包括银行承兑汇票和商业承兑汇票）</w:t>
            </w:r>
          </w:p>
          <w:p>
            <w:pPr>
              <w:keepNext/>
              <w:keepLines/>
              <w:spacing w:line="360" w:lineRule="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1、设备购入后，经甲方验收合格后，甲方出具书面验收单，乙方提供含税13％的全额增值税专用发票，依照公司财务制度审核无误挂账后次月支付90%。</w:t>
            </w:r>
          </w:p>
          <w:p>
            <w:pPr>
              <w:keepNext/>
              <w:keepLines/>
              <w:spacing w:line="360" w:lineRule="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2、剩余价款的10%作为质量保证金，质量保证金在本合同约定的质量保证期内不计利息，待设备质量保证期</w:t>
            </w:r>
            <w:r>
              <w:rPr>
                <w:rFonts w:hint="eastAsia" w:ascii="宋体" w:hAnsi="宋体" w:eastAsia="宋体" w:cs="宋体"/>
                <w:b/>
                <w:bCs/>
                <w:sz w:val="24"/>
                <w:szCs w:val="24"/>
              </w:rPr>
              <w:t>满2年</w:t>
            </w:r>
            <w:r>
              <w:rPr>
                <w:rFonts w:hint="eastAsia" w:ascii="宋体" w:hAnsi="宋体" w:eastAsia="宋体" w:cs="宋体"/>
                <w:b/>
                <w:bCs/>
                <w:sz w:val="24"/>
                <w:szCs w:val="24"/>
                <w:lang w:val="en-US" w:eastAsia="zh-CN"/>
              </w:rPr>
              <w:t>后，经甲方依照财务制度审核无误后支付；如有质量问题，质量保证金予以扣除。</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6577"/>
      <w:bookmarkStart w:id="8" w:name="_Toc427"/>
      <w:bookmarkStart w:id="9" w:name="_Toc9448"/>
      <w:bookmarkStart w:id="10" w:name="_Toc11216"/>
      <w:bookmarkStart w:id="11" w:name="_Toc19183"/>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7001"/>
      <w:bookmarkStart w:id="20" w:name="_Toc33266914"/>
      <w:bookmarkStart w:id="21" w:name="_Toc30534"/>
      <w:bookmarkStart w:id="22" w:name="_Toc33266627"/>
      <w:bookmarkStart w:id="23" w:name="_Toc33265653"/>
      <w:bookmarkStart w:id="24" w:name="_Toc33266950"/>
      <w:bookmarkStart w:id="25" w:name="_Toc33265752"/>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753"/>
      <w:bookmarkStart w:id="29" w:name="_Toc33266628"/>
      <w:bookmarkStart w:id="30" w:name="_Toc33267002"/>
      <w:bookmarkStart w:id="31" w:name="_Toc33265654"/>
      <w:bookmarkStart w:id="32" w:name="_Toc33266951"/>
      <w:bookmarkStart w:id="33" w:name="_Toc33285489"/>
      <w:bookmarkStart w:id="34" w:name="_Toc395116634"/>
      <w:bookmarkStart w:id="35" w:name="_Toc33266915"/>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6"/>
      <w:bookmarkStart w:id="40" w:name="OLE_LINK29"/>
      <w:bookmarkStart w:id="41" w:name="OLE_LINK27"/>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4" w:name="_Toc2363"/>
      <w:bookmarkStart w:id="45" w:name="_Toc13479"/>
      <w:bookmarkStart w:id="46" w:name="_Toc13002"/>
      <w:bookmarkStart w:id="47" w:name="_Toc21022"/>
      <w:bookmarkStart w:id="48" w:name="_Toc31869"/>
      <w:bookmarkStart w:id="49" w:name="_Toc76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9"/>
      <w:bookmarkStart w:id="55" w:name="OLE_LINK18"/>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24964"/>
      <w:bookmarkStart w:id="58" w:name="_Toc22649"/>
      <w:bookmarkStart w:id="59" w:name="_Toc13605"/>
      <w:bookmarkStart w:id="60" w:name="_Toc6957"/>
      <w:bookmarkStart w:id="61" w:name="_Toc23870"/>
      <w:bookmarkStart w:id="62" w:name="_Toc18606"/>
      <w:bookmarkStart w:id="63" w:name="_Toc30738"/>
      <w:bookmarkStart w:id="64" w:name="_Toc12714"/>
      <w:bookmarkStart w:id="65" w:name="_Toc4483"/>
      <w:bookmarkStart w:id="66" w:name="_Toc3565"/>
      <w:bookmarkStart w:id="67" w:name="_Toc12552"/>
      <w:bookmarkStart w:id="68" w:name="_Toc4194"/>
      <w:bookmarkStart w:id="69" w:name="_Toc14517"/>
      <w:bookmarkStart w:id="70" w:name="_Toc133783966"/>
      <w:bookmarkStart w:id="71" w:name="_Toc16358"/>
      <w:bookmarkStart w:id="72" w:name="_Toc12563"/>
      <w:bookmarkStart w:id="73" w:name="_Toc19672"/>
      <w:bookmarkStart w:id="74" w:name="_Toc4532"/>
      <w:bookmarkStart w:id="75" w:name="_Toc8202"/>
      <w:bookmarkStart w:id="76" w:name="_Toc32378"/>
      <w:bookmarkStart w:id="77" w:name="_Toc7110"/>
      <w:bookmarkStart w:id="78" w:name="_Toc6346"/>
      <w:bookmarkStart w:id="79" w:name="_Toc13555"/>
      <w:bookmarkStart w:id="80" w:name="_Toc8032"/>
      <w:bookmarkStart w:id="81" w:name="_Toc11355"/>
      <w:bookmarkStart w:id="82" w:name="_Toc18805"/>
      <w:bookmarkStart w:id="83" w:name="_Toc24913"/>
      <w:bookmarkStart w:id="84" w:name="_Toc21497"/>
      <w:bookmarkStart w:id="85" w:name="_Toc1884"/>
      <w:bookmarkStart w:id="86" w:name="_Toc13562"/>
      <w:bookmarkStart w:id="87" w:name="_Toc20467"/>
      <w:bookmarkStart w:id="88" w:name="_Toc3372"/>
      <w:bookmarkStart w:id="89" w:name="_Toc7511"/>
      <w:bookmarkStart w:id="90" w:name="_Toc18182"/>
      <w:bookmarkStart w:id="91" w:name="_Toc20272"/>
      <w:bookmarkStart w:id="92" w:name="_Toc13988"/>
      <w:bookmarkStart w:id="93" w:name="_Toc4029"/>
      <w:bookmarkStart w:id="94" w:name="_Toc28236"/>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23"/>
        <w:rPr>
          <w:rFonts w:hint="eastAsia" w:ascii="Calibri" w:hAnsi="宋体" w:eastAsia="宋体" w:cs="Times New Roman"/>
          <w:b/>
          <w:bCs/>
          <w:color w:val="000000"/>
          <w:spacing w:val="-8"/>
          <w:sz w:val="48"/>
          <w:szCs w:val="44"/>
          <w:lang w:eastAsia="zh-CN"/>
        </w:rPr>
      </w:pPr>
      <w:bookmarkStart w:id="96" w:name="OLE_LINK31"/>
      <w:bookmarkStart w:id="97" w:name="OLE_LINK30"/>
    </w:p>
    <w:bookmarkEnd w:id="96"/>
    <w:bookmarkEnd w:id="97"/>
    <w:p>
      <w:pPr>
        <w:keepNext/>
        <w:keepLines/>
        <w:jc w:val="center"/>
        <w:outlineLvl w:val="0"/>
        <w:rPr>
          <w:rFonts w:ascii="Calibri" w:hAnsi="Calibri" w:eastAsia="宋体" w:cs="Times New Roman"/>
          <w:b/>
          <w:bCs/>
          <w:kern w:val="44"/>
          <w:sz w:val="36"/>
          <w:szCs w:val="44"/>
        </w:rPr>
      </w:pPr>
      <w:bookmarkStart w:id="98" w:name="_Toc9849"/>
      <w:r>
        <w:rPr>
          <w:rFonts w:hint="eastAsia" w:ascii="Calibri" w:hAnsi="Calibri" w:eastAsia="宋体" w:cs="Times New Roman"/>
          <w:b/>
          <w:bCs/>
          <w:kern w:val="44"/>
          <w:sz w:val="36"/>
          <w:szCs w:val="44"/>
        </w:rPr>
        <w:t xml:space="preserve"> 技术标书</w:t>
      </w:r>
      <w:bookmarkEnd w:id="98"/>
    </w:p>
    <w:p>
      <w:pPr>
        <w:widowControl/>
        <w:ind w:firstLine="482" w:firstLineChars="200"/>
        <w:jc w:val="left"/>
        <w:textAlignment w:val="center"/>
        <w:rPr>
          <w:rFonts w:ascii="仿宋" w:hAnsi="仿宋" w:eastAsia="仿宋" w:cs="仿宋"/>
          <w:sz w:val="24"/>
          <w:szCs w:val="24"/>
        </w:rPr>
      </w:pPr>
      <w:r>
        <w:rPr>
          <w:rFonts w:hint="eastAsia" w:ascii="仿宋" w:hAnsi="仿宋" w:eastAsia="仿宋" w:cs="仿宋"/>
          <w:b/>
          <w:bCs/>
          <w:sz w:val="24"/>
          <w:szCs w:val="24"/>
        </w:rPr>
        <w:t>一、设备明细如下</w:t>
      </w:r>
      <w:r>
        <w:rPr>
          <w:rFonts w:hint="eastAsia" w:ascii="仿宋" w:hAnsi="仿宋" w:eastAsia="仿宋" w:cs="仿宋"/>
          <w:sz w:val="24"/>
          <w:szCs w:val="24"/>
        </w:rPr>
        <w:t>：</w:t>
      </w:r>
    </w:p>
    <w:tbl>
      <w:tblPr>
        <w:tblStyle w:val="42"/>
        <w:tblW w:w="8505" w:type="dxa"/>
        <w:tblInd w:w="108" w:type="dxa"/>
        <w:tblLayout w:type="fixed"/>
        <w:tblCellMar>
          <w:top w:w="0" w:type="dxa"/>
          <w:left w:w="108" w:type="dxa"/>
          <w:bottom w:w="0" w:type="dxa"/>
          <w:right w:w="108" w:type="dxa"/>
        </w:tblCellMar>
      </w:tblPr>
      <w:tblGrid>
        <w:gridCol w:w="778"/>
        <w:gridCol w:w="2199"/>
        <w:gridCol w:w="1843"/>
        <w:gridCol w:w="709"/>
        <w:gridCol w:w="850"/>
        <w:gridCol w:w="2126"/>
      </w:tblGrid>
      <w:tr>
        <w:tblPrEx>
          <w:tblCellMar>
            <w:top w:w="0" w:type="dxa"/>
            <w:left w:w="108" w:type="dxa"/>
            <w:bottom w:w="0" w:type="dxa"/>
            <w:right w:w="108" w:type="dxa"/>
          </w:tblCellMar>
        </w:tblPrEx>
        <w:trPr>
          <w:trHeight w:val="51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序号</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数量</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备注</w:t>
            </w:r>
          </w:p>
        </w:tc>
      </w:tr>
      <w:tr>
        <w:tblPrEx>
          <w:tblCellMar>
            <w:top w:w="0" w:type="dxa"/>
            <w:left w:w="108" w:type="dxa"/>
            <w:bottom w:w="0" w:type="dxa"/>
            <w:right w:w="108" w:type="dxa"/>
          </w:tblCellMar>
        </w:tblPrEx>
        <w:trPr>
          <w:trHeight w:val="9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sz w:val="24"/>
                <w:szCs w:val="24"/>
                <w:lang w:val="en-US" w:eastAsia="zh-CN"/>
              </w:rPr>
            </w:pPr>
            <w:r>
              <w:rPr>
                <w:rFonts w:hint="eastAsia" w:ascii="仿宋_GB2312" w:hAnsi="仿宋_GB2312" w:eastAsia="仿宋_GB2312" w:cs="仿宋_GB2312"/>
                <w:sz w:val="24"/>
                <w:szCs w:val="24"/>
              </w:rPr>
              <w:t>气体保护焊机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500型</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交钥匙工程</w:t>
            </w:r>
          </w:p>
        </w:tc>
      </w:tr>
    </w:tbl>
    <w:p>
      <w:pPr>
        <w:pStyle w:val="13"/>
        <w:spacing w:line="4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二、总体要求</w:t>
      </w:r>
    </w:p>
    <w:p>
      <w:pPr>
        <w:pStyle w:val="13"/>
        <w:spacing w:line="420" w:lineRule="exact"/>
        <w:ind w:firstLine="480" w:firstLineChars="200"/>
        <w:rPr>
          <w:rFonts w:ascii="仿宋" w:hAnsi="仿宋" w:eastAsia="仿宋" w:cs="仿宋"/>
          <w:sz w:val="24"/>
          <w:szCs w:val="24"/>
        </w:rPr>
      </w:pPr>
      <w:r>
        <w:rPr>
          <w:rFonts w:hint="eastAsia" w:ascii="仿宋" w:hAnsi="仿宋" w:eastAsia="仿宋" w:cs="仿宋"/>
          <w:sz w:val="24"/>
          <w:szCs w:val="24"/>
        </w:rPr>
        <w:t>此项目为交钥匙工程投标方负责投标设备的工艺设计、制造、运输、安装、调试、培训及售后服务、基础制作等所有内容（招标方只提供主电源、主气源），直至招标方验收合格并交付使用。</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2.1</w:t>
      </w:r>
      <w:r>
        <w:rPr>
          <w:rFonts w:hint="eastAsia" w:ascii="仿宋" w:hAnsi="仿宋" w:eastAsia="仿宋" w:cs="仿宋"/>
          <w:sz w:val="24"/>
          <w:szCs w:val="24"/>
        </w:rPr>
        <w:t>本技术要求提出的是最低限度的技术要求，并未对一切技术细节做出规定，投标方应保证提供满足本技术条件和国际国内工业标准的优质产品，并提供相应服务。对国家有关安全、环保等强制性标准，必须满足其要求。</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2.2</w:t>
      </w:r>
      <w:r>
        <w:rPr>
          <w:rFonts w:hint="eastAsia" w:ascii="仿宋" w:hAnsi="仿宋" w:eastAsia="仿宋" w:cs="仿宋"/>
          <w:sz w:val="24"/>
          <w:szCs w:val="24"/>
        </w:rPr>
        <w:t>本技术要求为订货合同的附件，与合同正文具有同等法律效力，未尽事宜双方协商解决。</w:t>
      </w:r>
    </w:p>
    <w:p>
      <w:pPr>
        <w:pStyle w:val="13"/>
        <w:spacing w:line="420" w:lineRule="exact"/>
        <w:ind w:firstLine="482" w:firstLineChars="200"/>
        <w:rPr>
          <w:rFonts w:ascii="仿宋" w:hAnsi="仿宋" w:eastAsia="仿宋" w:cs="宋体"/>
          <w:b/>
          <w:color w:val="000000"/>
          <w:kern w:val="0"/>
          <w:sz w:val="24"/>
          <w:szCs w:val="24"/>
        </w:rPr>
      </w:pPr>
      <w:r>
        <w:rPr>
          <w:rFonts w:hint="eastAsia" w:ascii="仿宋" w:hAnsi="仿宋" w:eastAsia="仿宋" w:cs="宋体"/>
          <w:b/>
          <w:color w:val="000000"/>
          <w:kern w:val="0"/>
          <w:sz w:val="24"/>
          <w:szCs w:val="24"/>
        </w:rPr>
        <w:t>三、基本要求</w:t>
      </w:r>
    </w:p>
    <w:p>
      <w:pPr>
        <w:pStyle w:val="23"/>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 xml:space="preserve"> 投标方所提供的设备必须是投标方自己原厂生产，并且是其设备制造基地生产的完整的、全新的成套设备，设备结构合理、稳定耐用、安全可靠，操作简单，维修方便。</w:t>
      </w:r>
    </w:p>
    <w:p>
      <w:pPr>
        <w:tabs>
          <w:tab w:val="left" w:pos="2143"/>
        </w:tabs>
        <w:autoSpaceDE w:val="0"/>
        <w:autoSpaceDN w:val="0"/>
        <w:adjustRightInd w:val="0"/>
        <w:spacing w:line="420" w:lineRule="exact"/>
        <w:ind w:left="1"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 xml:space="preserve"> 投标方所提供的设备主要零部件需选用优质材料制造，所选用的机械、电子、电气元器件和控制系统是行业领先的、稳定可靠的国际或国内知名品牌系列产品。</w:t>
      </w:r>
    </w:p>
    <w:p>
      <w:pPr>
        <w:tabs>
          <w:tab w:val="left" w:pos="2143"/>
        </w:tabs>
        <w:autoSpaceDE w:val="0"/>
        <w:autoSpaceDN w:val="0"/>
        <w:adjustRightInd w:val="0"/>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 xml:space="preserve"> 投标方所提供的设备和仪表的设计、制造与试验应符合国际标准化组织（ISO）标准和国际电工委员会（IEC）标准，度量单位全部采用国际单位制（SI）。计量仪表需提供出厂合格证及有效期内的第三方检测报告。</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投标方所提供的设备应符合国家有关安全及法规标准。</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投标方所提供的设备对操作人员的职业健康应有完善的设计保护，室内粉尘满足职业卫生要求。</w:t>
      </w:r>
    </w:p>
    <w:p>
      <w:pPr>
        <w:spacing w:line="420" w:lineRule="exact"/>
        <w:ind w:firstLine="480" w:firstLineChars="200"/>
        <w:rPr>
          <w:rFonts w:hint="eastAsia"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投标方所提供的设备所有电机均采用节能型电机，满足国家及地方、行业节能法律法规、能源管理体系标准要求。</w:t>
      </w:r>
    </w:p>
    <w:p>
      <w:pPr>
        <w:numPr>
          <w:ilvl w:val="0"/>
          <w:numId w:val="10"/>
        </w:numPr>
        <w:tabs>
          <w:tab w:val="left" w:pos="2143"/>
        </w:tabs>
        <w:autoSpaceDE w:val="0"/>
        <w:autoSpaceDN w:val="0"/>
        <w:adjustRightInd w:val="0"/>
        <w:spacing w:line="420" w:lineRule="exact"/>
        <w:ind w:left="479" w:leftChars="228" w:firstLine="0" w:firstLineChars="0"/>
        <w:rPr>
          <w:rFonts w:hint="eastAsia" w:ascii="仿宋" w:hAnsi="仿宋" w:eastAsia="仿宋" w:cs="宋体"/>
          <w:b/>
          <w:color w:val="000000"/>
          <w:kern w:val="0"/>
          <w:sz w:val="24"/>
          <w:szCs w:val="24"/>
          <w:lang w:val="en-US" w:eastAsia="zh-CN" w:bidi="ar-SA"/>
        </w:rPr>
      </w:pPr>
      <w:r>
        <w:rPr>
          <w:rFonts w:hint="eastAsia" w:ascii="仿宋" w:hAnsi="仿宋" w:eastAsia="仿宋" w:cs="宋体"/>
          <w:b/>
          <w:color w:val="000000"/>
          <w:kern w:val="0"/>
          <w:sz w:val="24"/>
          <w:szCs w:val="24"/>
          <w:lang w:val="en-US" w:eastAsia="zh-CN" w:bidi="ar-SA"/>
        </w:rPr>
        <w:t>主要用途、使用环境及工作条件</w:t>
      </w:r>
    </w:p>
    <w:p>
      <w:pPr>
        <w:numPr>
          <w:ilvl w:val="0"/>
          <w:numId w:val="11"/>
        </w:numPr>
        <w:tabs>
          <w:tab w:val="left" w:pos="2143"/>
        </w:tabs>
        <w:autoSpaceDE w:val="0"/>
        <w:autoSpaceDN w:val="0"/>
        <w:adjustRightInd w:val="0"/>
        <w:spacing w:line="420" w:lineRule="exact"/>
        <w:ind w:left="216" w:leftChars="103" w:firstLine="0" w:firstLineChars="0"/>
        <w:rPr>
          <w:rFonts w:hint="default" w:ascii="仿宋" w:hAnsi="仿宋" w:eastAsia="仿宋" w:cs="仿宋"/>
          <w:color w:val="auto"/>
          <w:kern w:val="2"/>
          <w:sz w:val="24"/>
          <w:szCs w:val="24"/>
          <w:lang w:val="en-US" w:eastAsia="zh-CN" w:bidi="ar-SA"/>
        </w:rPr>
      </w:pPr>
      <w:r>
        <w:rPr>
          <w:rFonts w:hint="default" w:ascii="仿宋" w:hAnsi="仿宋" w:eastAsia="仿宋" w:cs="仿宋"/>
          <w:color w:val="auto"/>
          <w:kern w:val="2"/>
          <w:sz w:val="24"/>
          <w:szCs w:val="24"/>
          <w:lang w:val="en-US" w:eastAsia="zh-CN" w:bidi="ar-SA"/>
        </w:rPr>
        <w:t>主要用途： 用于碳钢、低合金钢等金属材料的半自动气体保护焊接（MAG/CO₂）。</w:t>
      </w:r>
    </w:p>
    <w:p>
      <w:pPr>
        <w:numPr>
          <w:ilvl w:val="0"/>
          <w:numId w:val="0"/>
        </w:numPr>
        <w:tabs>
          <w:tab w:val="left" w:pos="2143"/>
        </w:tabs>
        <w:autoSpaceDE w:val="0"/>
        <w:autoSpaceDN w:val="0"/>
        <w:adjustRightInd w:val="0"/>
        <w:spacing w:line="420" w:lineRule="exact"/>
        <w:ind w:left="480" w:hanging="480" w:hangingChars="200"/>
        <w:rPr>
          <w:rFonts w:hint="default" w:ascii="仿宋" w:hAnsi="仿宋" w:eastAsia="仿宋" w:cs="仿宋"/>
          <w:sz w:val="24"/>
          <w:szCs w:val="24"/>
          <w:lang w:val="en-US" w:eastAsia="zh-CN"/>
        </w:rPr>
      </w:pPr>
      <w:r>
        <w:rPr>
          <w:rFonts w:hint="default" w:ascii="仿宋" w:hAnsi="仿宋" w:eastAsia="仿宋" w:cs="仿宋"/>
          <w:color w:val="auto"/>
          <w:kern w:val="2"/>
          <w:sz w:val="24"/>
          <w:szCs w:val="24"/>
          <w:lang w:val="en-US" w:eastAsia="zh-CN" w:bidi="ar-SA"/>
        </w:rPr>
        <w:br w:type="textWrapping"/>
      </w:r>
      <w:r>
        <w:rPr>
          <w:rFonts w:hint="eastAsia" w:ascii="仿宋" w:hAnsi="仿宋" w:eastAsia="仿宋" w:cs="仿宋"/>
          <w:color w:val="auto"/>
          <w:kern w:val="2"/>
          <w:sz w:val="24"/>
          <w:szCs w:val="24"/>
          <w:lang w:val="en-US" w:eastAsia="zh-CN" w:bidi="ar-SA"/>
        </w:rPr>
        <w:t>2、</w:t>
      </w:r>
      <w:r>
        <w:rPr>
          <w:rFonts w:hint="default" w:ascii="仿宋" w:hAnsi="仿宋" w:eastAsia="仿宋" w:cs="仿宋"/>
          <w:color w:val="auto"/>
          <w:kern w:val="2"/>
          <w:sz w:val="24"/>
          <w:szCs w:val="24"/>
          <w:lang w:val="en-US" w:eastAsia="zh-CN" w:bidi="ar-SA"/>
        </w:rPr>
        <w:t>使用环境：</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sz w:val="24"/>
          <w:szCs w:val="24"/>
          <w:lang w:val="en-US" w:eastAsia="zh-CN"/>
        </w:rPr>
        <w:t>- 输入电源：3~ 380V ±15%， 50/60 Hz</w:t>
      </w:r>
      <w:r>
        <w:rPr>
          <w:rFonts w:hint="default" w:ascii="仿宋" w:hAnsi="仿宋" w:eastAsia="仿宋" w:cs="仿宋"/>
          <w:sz w:val="24"/>
          <w:szCs w:val="24"/>
          <w:lang w:val="en-US" w:eastAsia="zh-CN"/>
        </w:rPr>
        <w:br w:type="textWrapping"/>
      </w:r>
      <w:r>
        <w:rPr>
          <w:rFonts w:hint="default" w:ascii="仿宋" w:hAnsi="仿宋" w:eastAsia="仿宋" w:cs="仿宋"/>
          <w:sz w:val="24"/>
          <w:szCs w:val="24"/>
          <w:lang w:val="en-US" w:eastAsia="zh-CN"/>
        </w:rPr>
        <w:t>- 环境温度：-10℃ ~ +40℃</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sz w:val="24"/>
          <w:szCs w:val="24"/>
          <w:lang w:val="en-US" w:eastAsia="zh-CN"/>
        </w:rPr>
        <w:t>- 相对湿度：≤ 90% （25℃）</w:t>
      </w:r>
      <w:r>
        <w:rPr>
          <w:rFonts w:hint="default" w:ascii="仿宋" w:hAnsi="仿宋" w:eastAsia="仿宋" w:cs="仿宋"/>
          <w:sz w:val="24"/>
          <w:szCs w:val="24"/>
          <w:lang w:val="en-US" w:eastAsia="zh-CN"/>
        </w:rPr>
        <w:br w:type="textWrapping"/>
      </w:r>
      <w:r>
        <w:rPr>
          <w:rFonts w:hint="default" w:ascii="仿宋" w:hAnsi="仿宋" w:eastAsia="仿宋" w:cs="仿宋"/>
          <w:sz w:val="24"/>
          <w:szCs w:val="24"/>
          <w:lang w:val="en-US" w:eastAsia="zh-CN"/>
        </w:rPr>
        <w:t>- 防护等级：IP23（或更高，如IP23S）</w:t>
      </w:r>
      <w:r>
        <w:rPr>
          <w:rFonts w:hint="default" w:ascii="仿宋" w:hAnsi="仿宋" w:eastAsia="仿宋" w:cs="仿宋"/>
          <w:sz w:val="24"/>
          <w:szCs w:val="24"/>
          <w:lang w:val="en-US" w:eastAsia="zh-CN"/>
        </w:rPr>
        <w:br w:type="textWrapping"/>
      </w:r>
      <w:r>
        <w:rPr>
          <w:rFonts w:hint="default" w:ascii="仿宋" w:hAnsi="仿宋" w:eastAsia="仿宋" w:cs="仿宋"/>
          <w:sz w:val="24"/>
          <w:szCs w:val="24"/>
          <w:lang w:val="en-US" w:eastAsia="zh-CN"/>
        </w:rPr>
        <w:t>- 使用场所：工业厂房、车间，可能存在金属粉尘和振动。</w:t>
      </w:r>
    </w:p>
    <w:p>
      <w:pPr>
        <w:tabs>
          <w:tab w:val="left" w:pos="2143"/>
        </w:tabs>
        <w:autoSpaceDE w:val="0"/>
        <w:autoSpaceDN w:val="0"/>
        <w:adjustRightInd w:val="0"/>
        <w:spacing w:line="420" w:lineRule="exact"/>
        <w:ind w:left="420" w:leftChars="200" w:firstLine="0" w:firstLineChars="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3、工作条件</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工作压力:AC380V/220N</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电压波动:士25%  </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频率:55Hz</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频率波动:士2%</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接线方式:三相四线制</w:t>
      </w:r>
    </w:p>
    <w:p>
      <w:pPr>
        <w:spacing w:line="420" w:lineRule="exact"/>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五、基本技术标准</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投标产品必须符合但不限于以下中国国家和国际标准：</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15579.1《弧焊设备 第1部分：焊接电源》</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15579.5《弧焊设备 第5部分：送丝装置》</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GB/T 8118《电弧焊机通用技术条件》</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4343.1 和 GB 17625.1 （电磁兼容性要求）</w:t>
      </w:r>
    </w:p>
    <w:p>
      <w:pPr>
        <w:pStyle w:val="2"/>
        <w:numPr>
          <w:ilvl w:val="0"/>
          <w:numId w:val="0"/>
        </w:numPr>
        <w:ind w:leftChars="228"/>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六、功能要求</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气体保护焊机负载持续率</w:t>
      </w:r>
      <w:r>
        <w:rPr>
          <w:rFonts w:hint="eastAsia" w:ascii="仿宋_GB2312" w:hAnsi="仿宋_GB2312" w:eastAsia="仿宋_GB2312" w:cs="仿宋_GB2312"/>
          <w:b/>
          <w:bCs/>
          <w:sz w:val="24"/>
          <w:szCs w:val="24"/>
        </w:rPr>
        <w:t>不低于100%</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采用</w:t>
      </w:r>
      <w:r>
        <w:rPr>
          <w:rFonts w:hint="eastAsia" w:ascii="仿宋_GB2312" w:hAnsi="仿宋_GB2312" w:eastAsia="仿宋_GB2312" w:cs="仿宋_GB2312"/>
          <w:b/>
          <w:bCs/>
          <w:sz w:val="24"/>
          <w:szCs w:val="24"/>
        </w:rPr>
        <w:t>全数字化控制系统</w:t>
      </w:r>
      <w:r>
        <w:rPr>
          <w:rFonts w:hint="eastAsia" w:ascii="仿宋_GB2312" w:hAnsi="仿宋_GB2312" w:eastAsia="仿宋_GB2312" w:cs="仿宋_GB2312"/>
          <w:sz w:val="24"/>
          <w:szCs w:val="24"/>
        </w:rPr>
        <w:t>,焊接过程中的电流电压显示清晰，</w:t>
      </w:r>
      <w:r>
        <w:rPr>
          <w:rFonts w:hint="eastAsia" w:ascii="仿宋_GB2312" w:hAnsi="仿宋_GB2312" w:eastAsia="仿宋_GB2312" w:cs="仿宋_GB2312"/>
          <w:b/>
          <w:bCs/>
          <w:sz w:val="24"/>
          <w:szCs w:val="24"/>
        </w:rPr>
        <w:t>一级能效</w:t>
      </w:r>
      <w:r>
        <w:rPr>
          <w:rFonts w:hint="eastAsia" w:ascii="仿宋_GB2312" w:hAnsi="仿宋_GB2312" w:eastAsia="仿宋_GB2312" w:cs="仿宋_GB2312"/>
          <w:sz w:val="24"/>
          <w:szCs w:val="24"/>
        </w:rPr>
        <w:t>，具备打卡功能，</w:t>
      </w:r>
      <w:r>
        <w:rPr>
          <w:rFonts w:hint="eastAsia" w:ascii="仿宋_GB2312" w:hAnsi="仿宋_GB2312" w:eastAsia="仿宋_GB2312" w:cs="仿宋_GB2312"/>
          <w:b/>
          <w:bCs/>
          <w:sz w:val="24"/>
          <w:szCs w:val="24"/>
        </w:rPr>
        <w:t>预留物联网（群控系统接口）</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主电源采用</w:t>
      </w:r>
      <w:r>
        <w:rPr>
          <w:rFonts w:hint="eastAsia" w:ascii="仿宋_GB2312" w:hAnsi="仿宋_GB2312" w:eastAsia="仿宋_GB2312" w:cs="仿宋_GB2312"/>
          <w:b/>
          <w:bCs/>
          <w:sz w:val="24"/>
          <w:szCs w:val="24"/>
        </w:rPr>
        <w:t>数字IGBT逆变控制方式，具备功能转换按钮</w:t>
      </w:r>
      <w:r>
        <w:rPr>
          <w:rFonts w:hint="eastAsia" w:ascii="仿宋_GB2312" w:hAnsi="仿宋_GB2312" w:eastAsia="仿宋_GB2312" w:cs="仿宋_GB2312"/>
          <w:sz w:val="24"/>
          <w:szCs w:val="24"/>
        </w:rPr>
        <w:t>，具有：CO2/MAG/MMA/碳弧气刨，支持碳钢、不锈钢实芯、药芯、金属粉芯的焊接的工艺要求，</w:t>
      </w:r>
      <w:r>
        <w:rPr>
          <w:rFonts w:hint="eastAsia" w:ascii="仿宋_GB2312" w:hAnsi="仿宋_GB2312" w:eastAsia="仿宋_GB2312" w:cs="仿宋_GB2312"/>
          <w:b/>
          <w:bCs/>
          <w:sz w:val="24"/>
          <w:szCs w:val="24"/>
        </w:rPr>
        <w:t>具备USB接口，可实现软件升级</w:t>
      </w:r>
      <w:r>
        <w:rPr>
          <w:rFonts w:hint="eastAsia" w:ascii="仿宋_GB2312" w:hAnsi="仿宋_GB2312" w:eastAsia="仿宋_GB2312" w:cs="仿宋_GB2312"/>
          <w:sz w:val="24"/>
          <w:szCs w:val="24"/>
        </w:rPr>
        <w:t>。焊接过程中送丝和电弧稳定，飞溅小，焊缝成型美观。</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针对实芯焊丝（二氧化碳、混合气），</w:t>
      </w:r>
      <w:r>
        <w:rPr>
          <w:rFonts w:hint="eastAsia" w:ascii="仿宋_GB2312" w:hAnsi="仿宋_GB2312" w:eastAsia="仿宋_GB2312" w:cs="仿宋_GB2312"/>
          <w:b/>
          <w:bCs/>
          <w:sz w:val="24"/>
          <w:szCs w:val="24"/>
        </w:rPr>
        <w:t>具备良好的引弧性能和小电流焊接性能</w:t>
      </w:r>
      <w:r>
        <w:rPr>
          <w:rFonts w:hint="eastAsia" w:ascii="仿宋_GB2312" w:hAnsi="仿宋_GB2312" w:eastAsia="仿宋_GB2312" w:cs="仿宋_GB2312"/>
          <w:sz w:val="24"/>
          <w:szCs w:val="24"/>
        </w:rPr>
        <w:t>，进一步提升平焊、立焊的操作体验。</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主机有以下保护功能:</w:t>
      </w:r>
      <w:r>
        <w:rPr>
          <w:rFonts w:hint="eastAsia" w:ascii="仿宋_GB2312" w:hAnsi="仿宋_GB2312" w:eastAsia="仿宋_GB2312" w:cs="仿宋_GB2312"/>
          <w:b/>
          <w:bCs/>
          <w:sz w:val="24"/>
          <w:szCs w:val="24"/>
        </w:rPr>
        <w:t>过载保护、过压欠压保护、缺相保护、输出过电流保护等,同时有自检功能和异常代码显示功能</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P板和重要部品进行特殊处理、防腐防潮多尘坏境，</w:t>
      </w:r>
      <w:r>
        <w:rPr>
          <w:rFonts w:hint="eastAsia" w:ascii="仿宋_GB2312" w:hAnsi="仿宋_GB2312" w:eastAsia="仿宋_GB2312" w:cs="仿宋_GB2312"/>
          <w:b/>
          <w:bCs/>
          <w:sz w:val="24"/>
          <w:szCs w:val="24"/>
        </w:rPr>
        <w:t>防雷等级需要D级</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焊机具备</w:t>
      </w:r>
      <w:r>
        <w:rPr>
          <w:rFonts w:hint="eastAsia" w:ascii="仿宋_GB2312" w:hAnsi="仿宋_GB2312" w:eastAsia="仿宋_GB2312" w:cs="仿宋_GB2312"/>
          <w:b/>
          <w:bCs/>
          <w:sz w:val="24"/>
          <w:szCs w:val="24"/>
        </w:rPr>
        <w:t>多重保护功能</w:t>
      </w:r>
      <w:r>
        <w:rPr>
          <w:rFonts w:hint="eastAsia" w:ascii="仿宋_GB2312" w:hAnsi="仿宋_GB2312" w:eastAsia="仿宋_GB2312" w:cs="仿宋_GB2312"/>
          <w:sz w:val="24"/>
          <w:szCs w:val="24"/>
        </w:rPr>
        <w:t>，包括但不限于温度异常上升保护功能、输入电压欠压、过压保护功能、电网波动补偿功能、输入过流保护功能、缺相保护功能、一次回路过流保护功能等。</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送丝机配置焊枪标准接口。具有</w:t>
      </w:r>
      <w:r>
        <w:rPr>
          <w:rFonts w:hint="eastAsia" w:ascii="仿宋_GB2312" w:hAnsi="仿宋_GB2312" w:eastAsia="仿宋_GB2312" w:cs="仿宋_GB2312"/>
          <w:b/>
          <w:bCs/>
          <w:sz w:val="24"/>
          <w:szCs w:val="24"/>
        </w:rPr>
        <w:t>防止送丝电机过流功能</w:t>
      </w:r>
      <w:r>
        <w:rPr>
          <w:rFonts w:hint="eastAsia" w:ascii="仿宋_GB2312" w:hAnsi="仿宋_GB2312" w:eastAsia="仿宋_GB2312" w:cs="仿宋_GB2312"/>
          <w:sz w:val="24"/>
          <w:szCs w:val="24"/>
        </w:rPr>
        <w:t>，保证送丝电机不被烧毁。</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具有点动快速送丝功能，可实现快速送抽丝功能。</w:t>
      </w:r>
    </w:p>
    <w:p>
      <w:pPr>
        <w:spacing w:line="420" w:lineRule="exact"/>
        <w:ind w:firstLine="482" w:firstLineChars="200"/>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七</w:t>
      </w:r>
      <w:r>
        <w:rPr>
          <w:rFonts w:hint="eastAsia" w:ascii="仿宋" w:hAnsi="仿宋" w:eastAsia="仿宋" w:cs="仿宋"/>
          <w:b/>
          <w:bCs/>
          <w:color w:val="000000" w:themeColor="text1"/>
          <w:sz w:val="24"/>
          <w:szCs w:val="24"/>
          <w14:textFill>
            <w14:solidFill>
              <w14:schemeClr w14:val="tx1"/>
            </w14:solidFill>
          </w14:textFill>
        </w:rPr>
        <w:t>、技术参数</w:t>
      </w:r>
      <w:r>
        <w:rPr>
          <w:rFonts w:hint="eastAsia" w:ascii="仿宋" w:hAnsi="仿宋" w:eastAsia="仿宋" w:cs="仿宋"/>
          <w:b/>
          <w:bCs/>
          <w:color w:val="000000" w:themeColor="text1"/>
          <w:sz w:val="24"/>
          <w:szCs w:val="24"/>
          <w:lang w:val="en-US" w:eastAsia="zh-CN"/>
          <w14:textFill>
            <w14:solidFill>
              <w14:schemeClr w14:val="tx1"/>
            </w14:solidFill>
          </w14:textFill>
        </w:rPr>
        <w:t>及供货范围</w:t>
      </w:r>
    </w:p>
    <w:p>
      <w:pPr>
        <w:pStyle w:val="23"/>
        <w:numPr>
          <w:ilvl w:val="0"/>
          <w:numId w:val="0"/>
        </w:numPr>
        <w:spacing w:line="360"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1、技术参数</w:t>
      </w:r>
    </w:p>
    <w:tbl>
      <w:tblPr>
        <w:tblStyle w:val="42"/>
        <w:tblW w:w="79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677"/>
        <w:gridCol w:w="53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项目</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控制方式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全数字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额定输入电压·相数</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3相AC380V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输入电压范围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380V±25%（285～475V）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输入电源频率</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50～60HZ</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额定输入容量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23.1KVA/21.7KW</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输出特性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恒压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额定输出电流</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500A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额定输出电压</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39V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额定负载持续率</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　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能耗转化效率</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0.9一级能耗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功率因数</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0.94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额定输出空载电压</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39V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输出电流范围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30～500A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输出电压范围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12～45V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焊接方法</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CO2/MAG/MMA/碳弧气刨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外壳防护等级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IP23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绝缘等级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F(电抗器H）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冷却方式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风冷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适用焊丝类型</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实芯/药芯/碳钢/不锈钢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适用焊丝直径</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 xml:space="preserve"> 0.8/1.0/1.2/1.4/1.6mm（满足通用1.4mm碳钢药芯焊丝）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时序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2步、4步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保护气体</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CO2和MAG气体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回烧功能</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提前送气时间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0-25S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滞后停气时间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0-25S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点焊时间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0.1-10S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防雷等级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D级</w:t>
            </w:r>
          </w:p>
        </w:tc>
      </w:tr>
    </w:tbl>
    <w:p>
      <w:pPr>
        <w:pStyle w:val="23"/>
        <w:numPr>
          <w:ilvl w:val="0"/>
          <w:numId w:val="0"/>
        </w:numPr>
        <w:ind w:firstLine="480" w:firstLineChars="200"/>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供货范围</w:t>
      </w:r>
    </w:p>
    <w:tbl>
      <w:tblPr>
        <w:tblStyle w:val="42"/>
        <w:tblW w:w="92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405"/>
        <w:gridCol w:w="1136"/>
        <w:gridCol w:w="2786"/>
        <w:gridCol w:w="709"/>
        <w:gridCol w:w="709"/>
        <w:gridCol w:w="27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jc w:val="center"/>
        </w:trPr>
        <w:tc>
          <w:tcPr>
            <w:tcW w:w="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rPr>
              <w:t>序号</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名称</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规格</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数量</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exact"/>
          <w:jc w:val="center"/>
        </w:trPr>
        <w:tc>
          <w:tcPr>
            <w:tcW w:w="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主机</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额定输出电流：500A</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台</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逆变控制，额定负载持续率100%。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送丝机</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双驱送丝机（高频反电动势控制）</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台</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同一品牌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exact"/>
          <w:jc w:val="center"/>
        </w:trPr>
        <w:tc>
          <w:tcPr>
            <w:tcW w:w="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焊枪</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型号：500A</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把</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5米/把，同一品牌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72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405"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综合线缆</w:t>
            </w: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主机气管</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内径φ6MM，</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件</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配置相关连接附件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控制线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HKYZ-400V-7*1</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15米/台（配套两端单根30米，每根2个7芯航空插头）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地线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YH-400V- 1*50mm²</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2米/根（配套两端单根2米铜线鼻，每根2个）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焊接把线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YH-400V- 1*50mm²</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15米/根（配套两端单根30米铜线鼻，每根2个）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电源线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YH-400V- 3*6+1*4</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val="en-US" w:eastAsia="zh-CN"/>
              </w:rPr>
              <w:t>3</w:t>
            </w:r>
            <w:r>
              <w:rPr>
                <w:rFonts w:hint="eastAsia" w:ascii="仿宋_GB2312" w:hAnsi="仿宋_GB2312" w:eastAsia="仿宋_GB2312" w:cs="仿宋_GB2312"/>
              </w:rPr>
              <w:t>米/根（配套两端单根20米铜线鼻，每根2个）</w:t>
            </w:r>
          </w:p>
        </w:tc>
      </w:tr>
    </w:tbl>
    <w:p>
      <w:pPr>
        <w:pStyle w:val="23"/>
        <w:numPr>
          <w:ilvl w:val="0"/>
          <w:numId w:val="0"/>
        </w:numPr>
        <w:ind w:firstLine="482" w:firstLineChars="200"/>
        <w:rPr>
          <w:rFonts w:ascii="Segoe UI" w:hAnsi="Segoe UI" w:eastAsia="Segoe UI" w:cs="Segoe UI"/>
          <w:i w:val="0"/>
          <w:caps w:val="0"/>
          <w:color w:val="800080"/>
          <w:spacing w:val="0"/>
          <w:sz w:val="21"/>
          <w:szCs w:val="21"/>
          <w:shd w:val="clear" w:fill="FFFFFF"/>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八、质量保证、试验与验收</w:t>
      </w:r>
      <w:r>
        <w:rPr>
          <w:rFonts w:ascii="Segoe UI" w:hAnsi="Segoe UI" w:eastAsia="Segoe UI" w:cs="Segoe UI"/>
          <w:i w:val="0"/>
          <w:caps w:val="0"/>
          <w:color w:val="800080"/>
          <w:spacing w:val="0"/>
          <w:sz w:val="21"/>
          <w:szCs w:val="21"/>
          <w:shd w:val="clear" w:fill="FFFFFF"/>
        </w:rPr>
        <w:t xml:space="preserve"> </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质量保证： 设备整机保修期不低于 24个月，自设备验收合格之日起计算。保修期内免费维修或更换故障零部件。</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出厂试验： 投标方须在出厂前进行100%检验，并提供包括但不限于：绝缘电阻测试、耐压测试、空载/负载性能测试、连续焊接温升测试等报告。</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到货验收：开箱验收： 设备到达现场后，双方共同开箱，检查设备外观、型号、配置是否与合同一致。 </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最终验收： 设备安装调试后，在招标方现场进行性能考核。焊机应在额定参数下连续稳定工作不低于30分钟，焊接效果（电弧稳定性、飞溅大小、成型外观）满足招标方工艺要求。</w:t>
      </w:r>
    </w:p>
    <w:p>
      <w:pPr>
        <w:pStyle w:val="2"/>
        <w:rPr>
          <w:rFonts w:hint="eastAsia"/>
        </w:rPr>
        <w:sectPr>
          <w:pgSz w:w="11907" w:h="16840"/>
          <w:pgMar w:top="1304" w:right="1418" w:bottom="1304" w:left="1418" w:header="724" w:footer="851" w:gutter="0"/>
          <w:cols w:space="720" w:num="1"/>
          <w:docGrid w:linePitch="290" w:charSpace="-3931"/>
        </w:sectPr>
      </w:pPr>
    </w:p>
    <w:p>
      <w:pPr>
        <w:pStyle w:val="2"/>
        <w:rPr>
          <w:rFonts w:hint="eastAsia"/>
        </w:rPr>
      </w:pPr>
    </w:p>
    <w:p>
      <w:pPr>
        <w:pStyle w:val="23"/>
      </w:pPr>
    </w:p>
    <w:p/>
    <w:p>
      <w:pPr>
        <w:pStyle w:val="23"/>
      </w:pPr>
    </w:p>
    <w:p>
      <w:pPr>
        <w:spacing w:line="360" w:lineRule="auto"/>
        <w:jc w:val="center"/>
        <w:outlineLvl w:val="0"/>
        <w:rPr>
          <w:rFonts w:ascii="宋体" w:hAnsi="Calibri" w:eastAsia="宋体" w:cs="Times New Roman"/>
          <w:b/>
          <w:sz w:val="36"/>
          <w:szCs w:val="36"/>
        </w:rPr>
      </w:pPr>
      <w:bookmarkStart w:id="9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0" w:name="_Toc20872"/>
      <w:bookmarkStart w:id="101" w:name="_Toc8509"/>
      <w:bookmarkStart w:id="102"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0"/>
      <w:bookmarkEnd w:id="101"/>
      <w:bookmarkEnd w:id="102"/>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主机</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额定输出电流：500A</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送丝机</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双驱送丝机（高频反电动势控制）</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焊枪</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型号：500A</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主机气管</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内径φ6MM，</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控制线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HKYZ-400V-7*1</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地线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YH-400V- 1*50mm²</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焊接把线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YH-400V- 1*50mm²</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电源线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YH-400V- 3*6+1*4</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1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29"/>
        <w:gridCol w:w="816"/>
        <w:gridCol w:w="1433"/>
        <w:gridCol w:w="1798"/>
        <w:gridCol w:w="878"/>
        <w:gridCol w:w="783"/>
        <w:gridCol w:w="2014"/>
        <w:gridCol w:w="1655"/>
        <w:gridCol w:w="2412"/>
        <w:gridCol w:w="13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1"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802" w:type="pct"/>
            <w:gridSpan w:val="2"/>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64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79"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8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464"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02"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6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79"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4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1"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802" w:type="pct"/>
            <w:gridSpan w:val="2"/>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主机</w:t>
            </w:r>
          </w:p>
        </w:tc>
        <w:tc>
          <w:tcPr>
            <w:tcW w:w="641" w:type="pct"/>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额定输出电流：500A</w:t>
            </w:r>
          </w:p>
        </w:tc>
        <w:tc>
          <w:tcPr>
            <w:tcW w:w="313" w:type="pct"/>
            <w:vAlign w:val="center"/>
          </w:tcPr>
          <w:p>
            <w:pPr>
              <w:jc w:val="center"/>
              <w:rPr>
                <w:rFonts w:hint="eastAsia" w:ascii="宋体" w:hAnsi="宋体" w:eastAsia="宋体" w:cs="宋体"/>
                <w:sz w:val="24"/>
                <w:szCs w:val="24"/>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cs="宋体"/>
                <w:sz w:val="24"/>
                <w:szCs w:val="24"/>
              </w:rPr>
            </w:pPr>
            <w:r>
              <w:rPr>
                <w:rFonts w:hint="eastAsia" w:ascii="仿宋_GB2312" w:hAnsi="仿宋_GB2312" w:eastAsia="仿宋_GB2312" w:cs="仿宋_GB2312"/>
              </w:rPr>
              <w:t>台</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逆变控制，额定负载持续率100%。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1"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802" w:type="pct"/>
            <w:gridSpan w:val="2"/>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送丝机</w:t>
            </w:r>
          </w:p>
        </w:tc>
        <w:tc>
          <w:tcPr>
            <w:tcW w:w="641" w:type="pct"/>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双驱送丝机（高频反电动势控制）</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台</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同一品牌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1"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802" w:type="pct"/>
            <w:gridSpan w:val="2"/>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焊枪</w:t>
            </w:r>
          </w:p>
        </w:tc>
        <w:tc>
          <w:tcPr>
            <w:tcW w:w="641" w:type="pct"/>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型号：500A</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把</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5米/把，同一品牌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1" w:type="pct"/>
            <w:vMerge w:val="restar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restart"/>
            <w:vAlign w:val="center"/>
          </w:tcPr>
          <w:p>
            <w:pPr>
              <w:jc w:val="center"/>
              <w:rPr>
                <w:rFonts w:hint="eastAsia" w:ascii="宋体" w:hAnsi="宋体" w:eastAsia="宋体" w:cs="宋体"/>
                <w:color w:val="000000"/>
                <w:kern w:val="0"/>
                <w:sz w:val="20"/>
                <w:szCs w:val="20"/>
                <w:lang w:bidi="ar"/>
              </w:rPr>
            </w:pPr>
            <w:r>
              <w:rPr>
                <w:rFonts w:hint="eastAsia" w:ascii="仿宋_GB2312" w:hAnsi="仿宋_GB2312" w:eastAsia="仿宋_GB2312" w:cs="仿宋_GB2312"/>
              </w:rPr>
              <w:t>综合线缆</w:t>
            </w:r>
          </w:p>
        </w:tc>
        <w:tc>
          <w:tcPr>
            <w:tcW w:w="511" w:type="pct"/>
            <w:vAlign w:val="center"/>
          </w:tcPr>
          <w:p>
            <w:pPr>
              <w:jc w:val="center"/>
              <w:rPr>
                <w:rFonts w:hint="eastAsia" w:ascii="宋体" w:hAnsi="宋体" w:eastAsia="宋体" w:cs="宋体"/>
                <w:color w:val="000000"/>
                <w:kern w:val="0"/>
                <w:sz w:val="20"/>
                <w:szCs w:val="20"/>
                <w:lang w:bidi="ar"/>
              </w:rPr>
            </w:pPr>
            <w:r>
              <w:rPr>
                <w:rFonts w:hint="eastAsia" w:ascii="仿宋_GB2312" w:hAnsi="仿宋_GB2312" w:eastAsia="仿宋_GB2312" w:cs="仿宋_GB2312"/>
              </w:rPr>
              <w:t>主机气管</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内径φ6MM，</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件</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配置相关连接附件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1" w:type="pct"/>
            <w:vMerge w:val="continue"/>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color w:val="000000"/>
                <w:kern w:val="0"/>
                <w:sz w:val="20"/>
                <w:szCs w:val="20"/>
                <w:lang w:val="en-US" w:eastAsia="zh-CN" w:bidi="ar"/>
              </w:rPr>
            </w:pPr>
          </w:p>
        </w:tc>
        <w:tc>
          <w:tcPr>
            <w:tcW w:w="511" w:type="pct"/>
            <w:vAlign w:val="center"/>
          </w:tcPr>
          <w:p>
            <w:pPr>
              <w:jc w:val="center"/>
              <w:rPr>
                <w:rFonts w:hint="eastAsia" w:ascii="宋体" w:hAnsi="宋体" w:eastAsia="宋体" w:cs="宋体"/>
                <w:color w:val="000000"/>
                <w:kern w:val="0"/>
                <w:sz w:val="20"/>
                <w:szCs w:val="20"/>
                <w:lang w:val="en-US" w:eastAsia="zh-CN" w:bidi="ar"/>
              </w:rPr>
            </w:pPr>
            <w:r>
              <w:rPr>
                <w:rFonts w:hint="eastAsia" w:ascii="仿宋_GB2312" w:hAnsi="仿宋_GB2312" w:eastAsia="仿宋_GB2312" w:cs="仿宋_GB2312"/>
              </w:rPr>
              <w:t>控制线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HKYZ-400V-7*1</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15米/台（配套两端单根30米，每根2个7芯航空插头）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1" w:type="pct"/>
            <w:vMerge w:val="continue"/>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color w:val="000000"/>
                <w:kern w:val="0"/>
                <w:sz w:val="20"/>
                <w:szCs w:val="20"/>
                <w:lang w:bidi="ar"/>
              </w:rPr>
            </w:pPr>
          </w:p>
        </w:tc>
        <w:tc>
          <w:tcPr>
            <w:tcW w:w="511" w:type="pct"/>
            <w:vAlign w:val="center"/>
          </w:tcPr>
          <w:p>
            <w:pPr>
              <w:jc w:val="center"/>
              <w:rPr>
                <w:rFonts w:hint="eastAsia" w:ascii="宋体" w:hAnsi="宋体" w:eastAsia="宋体" w:cs="宋体"/>
                <w:color w:val="000000"/>
                <w:kern w:val="0"/>
                <w:sz w:val="20"/>
                <w:szCs w:val="20"/>
                <w:lang w:bidi="ar"/>
              </w:rPr>
            </w:pPr>
            <w:r>
              <w:rPr>
                <w:rFonts w:hint="eastAsia" w:ascii="仿宋_GB2312" w:hAnsi="仿宋_GB2312" w:eastAsia="仿宋_GB2312" w:cs="仿宋_GB2312"/>
              </w:rPr>
              <w:t>地线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YH-400V- 1*50mm²</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2米/根（配套两端单根2米铜线鼻，每根2个）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1" w:type="pct"/>
            <w:vMerge w:val="continue"/>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sz w:val="18"/>
                <w:szCs w:val="18"/>
              </w:rPr>
            </w:pPr>
          </w:p>
        </w:tc>
        <w:tc>
          <w:tcPr>
            <w:tcW w:w="51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焊接把线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YH-400V- 1*50mm²</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15米/根（配套两端单根30米铜线鼻，每根2个）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1" w:type="pct"/>
            <w:vMerge w:val="continue"/>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sz w:val="18"/>
                <w:szCs w:val="18"/>
              </w:rPr>
            </w:pPr>
          </w:p>
        </w:tc>
        <w:tc>
          <w:tcPr>
            <w:tcW w:w="51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电源线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YH-400V- 3*6+1*4</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lang w:val="en-US" w:eastAsia="zh-CN"/>
              </w:rPr>
              <w:t>3</w:t>
            </w:r>
            <w:r>
              <w:rPr>
                <w:rFonts w:hint="eastAsia" w:ascii="仿宋_GB2312" w:hAnsi="仿宋_GB2312" w:eastAsia="仿宋_GB2312" w:cs="仿宋_GB2312"/>
                <w:sz w:val="13"/>
                <w:szCs w:val="15"/>
              </w:rPr>
              <w:t>米/根（配套两端单根20米铜线鼻，每根2个）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02" w:type="pct"/>
            <w:gridSpan w:val="2"/>
            <w:vAlign w:val="center"/>
          </w:tcPr>
          <w:p>
            <w:pPr>
              <w:widowControl/>
              <w:jc w:val="center"/>
              <w:textAlignment w:val="center"/>
              <w:rPr>
                <w:rFonts w:hint="eastAsia" w:ascii="宋体" w:hAnsi="宋体" w:eastAsia="宋体" w:cs="宋体"/>
                <w:sz w:val="18"/>
                <w:szCs w:val="18"/>
              </w:rPr>
            </w:pPr>
          </w:p>
        </w:tc>
        <w:tc>
          <w:tcPr>
            <w:tcW w:w="641" w:type="pct"/>
            <w:vAlign w:val="center"/>
          </w:tcPr>
          <w:p>
            <w:pPr>
              <w:widowControl/>
              <w:jc w:val="center"/>
              <w:textAlignment w:val="center"/>
              <w:rPr>
                <w:rFonts w:hint="eastAsia" w:ascii="宋体" w:hAnsi="宋体" w:eastAsia="宋体" w:cs="宋体"/>
                <w:sz w:val="18"/>
                <w:szCs w:val="18"/>
              </w:rPr>
            </w:pPr>
          </w:p>
        </w:tc>
        <w:tc>
          <w:tcPr>
            <w:tcW w:w="313" w:type="pct"/>
            <w:vAlign w:val="center"/>
          </w:tcPr>
          <w:p>
            <w:pPr>
              <w:widowControl/>
              <w:jc w:val="center"/>
              <w:textAlignment w:val="center"/>
              <w:rPr>
                <w:rFonts w:hint="eastAsia" w:ascii="宋体" w:hAnsi="宋体" w:eastAsia="宋体"/>
                <w:szCs w:val="21"/>
              </w:rPr>
            </w:pPr>
          </w:p>
        </w:tc>
        <w:tc>
          <w:tcPr>
            <w:tcW w:w="279" w:type="pct"/>
            <w:vAlign w:val="center"/>
          </w:tcPr>
          <w:p>
            <w:pPr>
              <w:widowControl/>
              <w:jc w:val="center"/>
              <w:textAlignment w:val="center"/>
              <w:rPr>
                <w:rFonts w:hint="eastAsia" w:ascii="宋体" w:hAnsi="宋体" w:eastAsia="宋体"/>
                <w:szCs w:val="21"/>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02" w:type="pct"/>
            <w:gridSpan w:val="2"/>
            <w:vAlign w:val="center"/>
          </w:tcPr>
          <w:p>
            <w:pPr>
              <w:widowControl/>
              <w:jc w:val="center"/>
              <w:textAlignment w:val="center"/>
              <w:rPr>
                <w:rFonts w:hint="eastAsia" w:ascii="宋体" w:hAnsi="宋体" w:eastAsia="宋体" w:cs="宋体"/>
                <w:color w:val="000000"/>
                <w:kern w:val="0"/>
                <w:sz w:val="18"/>
                <w:szCs w:val="18"/>
                <w:lang w:bidi="ar"/>
              </w:rPr>
            </w:pPr>
          </w:p>
        </w:tc>
        <w:tc>
          <w:tcPr>
            <w:tcW w:w="64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9"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802" w:type="pct"/>
            <w:gridSpan w:val="2"/>
            <w:vAlign w:val="center"/>
          </w:tcPr>
          <w:p>
            <w:pPr>
              <w:widowControl/>
              <w:jc w:val="center"/>
              <w:textAlignment w:val="center"/>
              <w:rPr>
                <w:rFonts w:hint="eastAsia" w:ascii="宋体" w:hAnsi="宋体" w:eastAsia="宋体" w:cs="宋体"/>
                <w:color w:val="000000"/>
                <w:kern w:val="0"/>
                <w:sz w:val="18"/>
                <w:szCs w:val="18"/>
                <w:lang w:bidi="ar"/>
              </w:rPr>
            </w:pPr>
          </w:p>
        </w:tc>
        <w:tc>
          <w:tcPr>
            <w:tcW w:w="64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9"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802" w:type="pct"/>
            <w:gridSpan w:val="2"/>
            <w:vAlign w:val="center"/>
          </w:tcPr>
          <w:p>
            <w:pPr>
              <w:widowControl/>
              <w:jc w:val="center"/>
              <w:textAlignment w:val="center"/>
              <w:rPr>
                <w:rFonts w:hint="eastAsia" w:ascii="宋体" w:hAnsi="宋体" w:eastAsia="宋体" w:cs="宋体"/>
                <w:color w:val="000000"/>
                <w:kern w:val="0"/>
                <w:sz w:val="18"/>
                <w:szCs w:val="18"/>
                <w:lang w:bidi="ar"/>
              </w:rPr>
            </w:pPr>
          </w:p>
        </w:tc>
        <w:tc>
          <w:tcPr>
            <w:tcW w:w="64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9"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802" w:type="pct"/>
            <w:gridSpan w:val="2"/>
            <w:vAlign w:val="center"/>
          </w:tcPr>
          <w:p>
            <w:pPr>
              <w:widowControl/>
              <w:jc w:val="center"/>
              <w:textAlignment w:val="center"/>
              <w:rPr>
                <w:rFonts w:hint="eastAsia" w:ascii="宋体" w:hAnsi="宋体" w:eastAsia="宋体" w:cs="宋体"/>
                <w:sz w:val="18"/>
                <w:szCs w:val="18"/>
              </w:rPr>
            </w:pPr>
          </w:p>
        </w:tc>
        <w:tc>
          <w:tcPr>
            <w:tcW w:w="641" w:type="pct"/>
            <w:vAlign w:val="center"/>
          </w:tcPr>
          <w:p>
            <w:pPr>
              <w:widowControl/>
              <w:jc w:val="center"/>
              <w:textAlignment w:val="center"/>
              <w:rPr>
                <w:rFonts w:hint="eastAsia" w:ascii="宋体" w:hAnsi="宋体" w:eastAsia="宋体" w:cs="宋体"/>
                <w:sz w:val="18"/>
                <w:szCs w:val="18"/>
              </w:rPr>
            </w:pPr>
          </w:p>
        </w:tc>
        <w:tc>
          <w:tcPr>
            <w:tcW w:w="313" w:type="pct"/>
            <w:vAlign w:val="center"/>
          </w:tcPr>
          <w:p>
            <w:pPr>
              <w:widowControl/>
              <w:jc w:val="center"/>
              <w:textAlignment w:val="center"/>
              <w:rPr>
                <w:rFonts w:hint="eastAsia" w:ascii="宋体" w:hAnsi="宋体" w:eastAsia="宋体"/>
                <w:szCs w:val="21"/>
              </w:rPr>
            </w:pPr>
          </w:p>
        </w:tc>
        <w:tc>
          <w:tcPr>
            <w:tcW w:w="279" w:type="pct"/>
            <w:vAlign w:val="center"/>
          </w:tcPr>
          <w:p>
            <w:pPr>
              <w:widowControl/>
              <w:jc w:val="center"/>
              <w:textAlignment w:val="center"/>
              <w:rPr>
                <w:rFonts w:hint="eastAsia" w:ascii="宋体" w:hAnsi="宋体" w:eastAsia="宋体"/>
                <w:szCs w:val="21"/>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74" w:type="pct"/>
            <w:gridSpan w:val="8"/>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8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464"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029F31"/>
    <w:multiLevelType w:val="singleLevel"/>
    <w:tmpl w:val="D8029F31"/>
    <w:lvl w:ilvl="0" w:tentative="0">
      <w:start w:val="1"/>
      <w:numFmt w:val="decimal"/>
      <w:lvlText w:val="%1)"/>
      <w:lvlJc w:val="left"/>
      <w:pPr>
        <w:ind w:left="425" w:hanging="425"/>
      </w:pPr>
      <w:rPr>
        <w:rFonts w:hint="default"/>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D73C24C"/>
    <w:multiLevelType w:val="singleLevel"/>
    <w:tmpl w:val="4D73C24C"/>
    <w:lvl w:ilvl="0" w:tentative="0">
      <w:start w:val="4"/>
      <w:numFmt w:val="chineseCounting"/>
      <w:suff w:val="nothing"/>
      <w:lvlText w:val="%1、"/>
      <w:lvlJc w:val="left"/>
      <w:rPr>
        <w:rFonts w:hint="eastAsia"/>
      </w:rPr>
    </w:lvl>
  </w:abstractNum>
  <w:abstractNum w:abstractNumId="8">
    <w:nsid w:val="51B43E76"/>
    <w:multiLevelType w:val="singleLevel"/>
    <w:tmpl w:val="51B43E76"/>
    <w:lvl w:ilvl="0" w:tentative="0">
      <w:start w:val="1"/>
      <w:numFmt w:val="decimal"/>
      <w:suff w:val="nothing"/>
      <w:lvlText w:val="%1、"/>
      <w:lvlJc w:val="left"/>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1"/>
  </w:num>
  <w:num w:numId="4">
    <w:abstractNumId w:val="4"/>
  </w:num>
  <w:num w:numId="5">
    <w:abstractNumId w:val="3"/>
  </w:num>
  <w:num w:numId="6">
    <w:abstractNumId w:val="6"/>
  </w:num>
  <w:num w:numId="7">
    <w:abstractNumId w:val="2"/>
  </w:num>
  <w:num w:numId="8">
    <w:abstractNumId w:val="5"/>
  </w:num>
  <w:num w:numId="9">
    <w:abstractNumId w:val="0"/>
  </w:num>
  <w:num w:numId="10">
    <w:abstractNumId w:val="7"/>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77506"/>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832EE"/>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20630"/>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335A57"/>
    <w:rsid w:val="115F67A8"/>
    <w:rsid w:val="1168209E"/>
    <w:rsid w:val="119A7465"/>
    <w:rsid w:val="11C07DA5"/>
    <w:rsid w:val="123B6FD5"/>
    <w:rsid w:val="12413D84"/>
    <w:rsid w:val="12491386"/>
    <w:rsid w:val="127B2E60"/>
    <w:rsid w:val="12D129F1"/>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4F35E8"/>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44CF8"/>
    <w:rsid w:val="22784511"/>
    <w:rsid w:val="229451FD"/>
    <w:rsid w:val="22A12DB6"/>
    <w:rsid w:val="22AA3280"/>
    <w:rsid w:val="22AE7F72"/>
    <w:rsid w:val="22C97F89"/>
    <w:rsid w:val="23195423"/>
    <w:rsid w:val="23252EAE"/>
    <w:rsid w:val="23400B66"/>
    <w:rsid w:val="23510E00"/>
    <w:rsid w:val="236356D1"/>
    <w:rsid w:val="23A91C83"/>
    <w:rsid w:val="23C94380"/>
    <w:rsid w:val="23C962E8"/>
    <w:rsid w:val="23CF080B"/>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8F64EC4"/>
    <w:rsid w:val="291E2CA6"/>
    <w:rsid w:val="29331862"/>
    <w:rsid w:val="29514925"/>
    <w:rsid w:val="298E421D"/>
    <w:rsid w:val="299E147F"/>
    <w:rsid w:val="29C32A87"/>
    <w:rsid w:val="29CF070E"/>
    <w:rsid w:val="29CF26DC"/>
    <w:rsid w:val="2A1C5DA0"/>
    <w:rsid w:val="2A200D39"/>
    <w:rsid w:val="2A2564DD"/>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72B37"/>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C06FAA"/>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49C9"/>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2D1C58"/>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2"/>
    <w:qFormat/>
    <w:uiPriority w:val="9"/>
    <w:pPr>
      <w:keepNext/>
      <w:keepLines/>
      <w:jc w:val="center"/>
      <w:outlineLvl w:val="0"/>
    </w:pPr>
    <w:rPr>
      <w:b/>
      <w:bCs/>
      <w:kern w:val="44"/>
      <w:sz w:val="36"/>
      <w:szCs w:val="44"/>
    </w:rPr>
  </w:style>
  <w:style w:type="paragraph" w:styleId="4">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3"/>
    <w:qFormat/>
    <w:uiPriority w:val="9"/>
    <w:rPr>
      <w:rFonts w:ascii="Calibri" w:hAnsi="Calibri" w:eastAsia="宋体" w:cs="Times New Roman"/>
      <w:b/>
      <w:bCs/>
      <w:kern w:val="44"/>
      <w:sz w:val="36"/>
      <w:szCs w:val="44"/>
    </w:rPr>
  </w:style>
  <w:style w:type="character" w:customStyle="1" w:styleId="53">
    <w:name w:val="标题 2 字符"/>
    <w:basedOn w:val="44"/>
    <w:link w:val="4"/>
    <w:qFormat/>
    <w:uiPriority w:val="9"/>
    <w:rPr>
      <w:rFonts w:ascii="Arial" w:hAnsi="Arial" w:eastAsia="宋体" w:cs="Times New Roman"/>
      <w:b/>
      <w:bCs/>
      <w:sz w:val="24"/>
      <w:szCs w:val="32"/>
    </w:rPr>
  </w:style>
  <w:style w:type="character" w:customStyle="1" w:styleId="54">
    <w:name w:val="标题 3 字符"/>
    <w:basedOn w:val="44"/>
    <w:link w:val="5"/>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2"/>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3"/>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8"/>
    <w:qFormat/>
    <w:uiPriority w:val="9"/>
    <w:rPr>
      <w:rFonts w:ascii="Arial" w:hAnsi="Arial" w:eastAsia="黑体" w:cstheme="minorBidi"/>
      <w:b/>
      <w:kern w:val="2"/>
      <w:sz w:val="24"/>
      <w:szCs w:val="22"/>
    </w:rPr>
  </w:style>
  <w:style w:type="character" w:customStyle="1" w:styleId="150">
    <w:name w:val="标题 7 字符"/>
    <w:basedOn w:val="44"/>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6"/>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2025-12-22T07:56:15Z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