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重庆汽车特种作业及特种设备作业培训项目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：重汽（重庆）轻型汽车有限公司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9994"/>
      <w:bookmarkStart w:id="1" w:name="_Toc15480"/>
      <w:bookmarkStart w:id="2" w:name="_Toc22242"/>
      <w:bookmarkStart w:id="3" w:name="_Toc23693"/>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项目名称：重庆汽车特种作业及特种设备作业培训项目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重汽（重庆）轻型汽车有限公司位于重庆市江津区双福生产基地在进行生产经营活动中，需对特种作业及特种设备作业持证人员进行培训。现委托中标人，对生产基地持电工作业、焊接与热切割作业、高处作业、制冷与空调作业、特种设备安全管理、锅炉作业、压力容器作业、起重机作业、场(厂)内专用机动车辆作业等证件人员进行培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招标人名称：重汽（重庆）轻型汽车有限公司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 xml:space="preserve">重庆市江津区双福生产基地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技术联系人：钟婷婷</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电话：18711309082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14.352400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服务类6%</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31"/>
              <w:numPr>
                <w:ilvl w:val="0"/>
                <w:numId w:val="2"/>
              </w:numPr>
              <w:adjustRightInd w:val="0"/>
              <w:snapToGrid w:val="0"/>
              <w:spacing w:line="360" w:lineRule="auto"/>
              <w:ind w:left="480" w:hanging="480" w:hangingChars="200"/>
              <w:jc w:val="left"/>
              <w:rPr>
                <w:rFonts w:hint="eastAsia" w:ascii="仿宋" w:hAnsi="仿宋" w:eastAsia="仿宋" w:cs="Times New Roman"/>
                <w:bCs/>
                <w:sz w:val="24"/>
                <w:szCs w:val="24"/>
              </w:rPr>
            </w:pPr>
            <w:r>
              <w:rPr>
                <w:rFonts w:hint="eastAsia" w:ascii="仿宋" w:hAnsi="仿宋" w:eastAsia="仿宋"/>
                <w:bCs/>
                <w:sz w:val="24"/>
                <w:szCs w:val="24"/>
              </w:rPr>
              <w:t>投标方必须是在中华人民共和国境内注册的独立法人机构，具</w:t>
            </w:r>
            <w:r>
              <w:rPr>
                <w:rFonts w:hint="eastAsia" w:ascii="仿宋" w:hAnsi="仿宋" w:eastAsia="仿宋" w:cs="Times New Roman"/>
                <w:bCs/>
                <w:sz w:val="24"/>
                <w:szCs w:val="24"/>
              </w:rPr>
              <w:t>有独立承担民事责任能力</w:t>
            </w:r>
            <w:r>
              <w:rPr>
                <w:rFonts w:hint="eastAsia" w:ascii="仿宋" w:hAnsi="仿宋" w:eastAsia="仿宋" w:cs="Times New Roman"/>
                <w:bCs/>
                <w:sz w:val="24"/>
                <w:szCs w:val="24"/>
                <w:lang w:eastAsia="zh-CN"/>
              </w:rPr>
              <w:t>，</w:t>
            </w:r>
            <w:r>
              <w:rPr>
                <w:rFonts w:hint="eastAsia" w:ascii="仿宋" w:hAnsi="仿宋" w:eastAsia="仿宋" w:cs="Times New Roman"/>
                <w:bCs/>
                <w:sz w:val="24"/>
                <w:szCs w:val="24"/>
              </w:rPr>
              <w:t>且成立三年以上（含三年，以注册日期开始计算，至开标之日不少于三年）</w:t>
            </w:r>
            <w:r>
              <w:rPr>
                <w:rFonts w:hint="eastAsia" w:ascii="仿宋" w:hAnsi="仿宋" w:eastAsia="仿宋" w:cs="Times New Roman"/>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投标方的注册资</w:t>
            </w:r>
            <w:r>
              <w:rPr>
                <w:rFonts w:hint="eastAsia" w:ascii="仿宋" w:hAnsi="仿宋" w:eastAsia="仿宋"/>
                <w:bCs/>
                <w:color w:val="auto"/>
                <w:sz w:val="24"/>
                <w:szCs w:val="24"/>
              </w:rPr>
              <w:t>本不少于</w:t>
            </w:r>
            <w:r>
              <w:rPr>
                <w:rFonts w:hint="eastAsia" w:ascii="仿宋" w:hAnsi="仿宋" w:eastAsia="仿宋"/>
                <w:bCs/>
                <w:color w:val="auto"/>
                <w:sz w:val="24"/>
                <w:szCs w:val="24"/>
                <w:lang w:val="en-US" w:eastAsia="zh-CN"/>
              </w:rPr>
              <w:t>50</w:t>
            </w:r>
            <w:r>
              <w:rPr>
                <w:rFonts w:hint="eastAsia" w:ascii="仿宋" w:hAnsi="仿宋" w:eastAsia="仿宋"/>
                <w:bCs/>
                <w:sz w:val="24"/>
                <w:szCs w:val="24"/>
              </w:rPr>
              <w:t>万元人民币（或等值其他货币），近</w:t>
            </w:r>
            <w:r>
              <w:rPr>
                <w:rFonts w:hint="eastAsia" w:ascii="仿宋" w:hAnsi="仿宋" w:eastAsia="仿宋"/>
                <w:bCs/>
                <w:sz w:val="24"/>
                <w:szCs w:val="24"/>
                <w:lang w:val="en-US" w:eastAsia="zh-CN"/>
              </w:rPr>
              <w:t>两</w:t>
            </w:r>
            <w:r>
              <w:rPr>
                <w:rFonts w:hint="eastAsia" w:ascii="仿宋" w:hAnsi="仿宋" w:eastAsia="仿宋"/>
                <w:bCs/>
                <w:sz w:val="24"/>
                <w:szCs w:val="24"/>
              </w:rPr>
              <w:t>年（截止到报名时）三个以上同类型项目的业绩证明。</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具备人力资源和社会保障部门颁发的办学资质证明，以及民政部门颁发的登记证书或工商部门颁发的登记证书</w:t>
            </w:r>
            <w:r>
              <w:rPr>
                <w:rFonts w:hint="eastAsia" w:ascii="仿宋" w:hAnsi="仿宋" w:eastAsia="仿宋"/>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满足《安全生产培训机构基本条件》（AQ/8011-2023）要求，在《重庆市应急管理局关于公示全市安全生产培训机构基本条件复核及等级评定结果的通告》【2025 年第 20 号】的名单里，评定等级为一级、二级、三级，具备良好的办学实力和软硬件资源，有固定的培训场所，能及时组织开班培训，满足本技术要求有关培训考试时间的要求。</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投标方满足技术、质量、资金等要求，财务状况良好、经营稳定，具有全面履约的能力。</w:t>
            </w:r>
          </w:p>
          <w:p>
            <w:pPr>
              <w:pStyle w:val="131"/>
              <w:numPr>
                <w:ilvl w:val="0"/>
                <w:numId w:val="2"/>
              </w:numPr>
              <w:adjustRightInd w:val="0"/>
              <w:snapToGrid w:val="0"/>
              <w:spacing w:line="360" w:lineRule="auto"/>
              <w:ind w:left="480" w:hanging="480" w:hangingChars="200"/>
              <w:jc w:val="left"/>
              <w:rPr>
                <w:rFonts w:hint="eastAsia" w:ascii="仿宋" w:hAnsi="仿宋" w:eastAsia="仿宋" w:cs="Times New Roman"/>
                <w:bCs/>
                <w:kern w:val="2"/>
                <w:sz w:val="24"/>
                <w:szCs w:val="24"/>
                <w:lang w:val="en-US" w:eastAsia="zh-CN" w:bidi="ar-SA"/>
              </w:rPr>
            </w:pPr>
            <w:r>
              <w:rPr>
                <w:rFonts w:hint="eastAsia" w:ascii="仿宋" w:hAnsi="仿宋" w:eastAsia="仿宋"/>
                <w:bCs/>
                <w:sz w:val="24"/>
                <w:szCs w:val="24"/>
              </w:rPr>
              <w:t>投标方有专业售后服务团队，满足我司售后服务要求。</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投标方信誉良好，无违法违规等不良行</w:t>
            </w:r>
            <w:r>
              <w:rPr>
                <w:rFonts w:hint="eastAsia" w:ascii="仿宋" w:hAnsi="仿宋" w:eastAsia="仿宋" w:cs="Times New Roman"/>
                <w:bCs/>
                <w:kern w:val="2"/>
                <w:sz w:val="24"/>
                <w:szCs w:val="24"/>
                <w:lang w:val="en-US" w:eastAsia="zh-CN" w:bidi="ar-SA"/>
              </w:rPr>
              <w:t>为，近三年内无违法及重大违规记</w:t>
            </w:r>
            <w:r>
              <w:rPr>
                <w:rFonts w:hint="eastAsia" w:ascii="仿宋" w:hAnsi="仿宋" w:eastAsia="仿宋"/>
                <w:bCs/>
                <w:sz w:val="24"/>
                <w:szCs w:val="24"/>
                <w:lang w:val="en-US" w:eastAsia="zh-CN"/>
              </w:rPr>
              <w:t>录，</w:t>
            </w:r>
            <w:r>
              <w:rPr>
                <w:rFonts w:hint="eastAsia" w:ascii="仿宋" w:hAnsi="仿宋" w:eastAsia="仿宋"/>
                <w:bCs/>
                <w:sz w:val="24"/>
                <w:szCs w:val="24"/>
              </w:rPr>
              <w:t>未受到过相关行政部门的处罚</w:t>
            </w:r>
            <w:r>
              <w:rPr>
                <w:rFonts w:hint="eastAsia" w:ascii="仿宋" w:hAnsi="仿宋" w:eastAsia="仿宋"/>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无招标违规、谎报年度报告信息、提供虚假资质资料等行为或其他行政处罚记录。</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投标方的直接或间接股东、法定代表人、董事、监事、高管非重汽员工及其亲属。</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没有被中国重汽集团列入黑名单。</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法律法规对合格投标方的其他要求、规定。</w:t>
            </w:r>
          </w:p>
          <w:p>
            <w:pPr>
              <w:pStyle w:val="131"/>
              <w:numPr>
                <w:ilvl w:val="0"/>
                <w:numId w:val="2"/>
              </w:numPr>
              <w:adjustRightInd w:val="0"/>
              <w:snapToGrid w:val="0"/>
              <w:spacing w:line="360" w:lineRule="auto"/>
              <w:ind w:left="480" w:hanging="480" w:hangingChars="200"/>
              <w:jc w:val="left"/>
              <w:rPr>
                <w:rFonts w:hint="eastAsia" w:ascii="仿宋_GB2312" w:hAnsi="仿宋_GB2312" w:eastAsia="仿宋_GB2312" w:cs="仿宋_GB2312"/>
                <w:color w:val="000000"/>
                <w:sz w:val="24"/>
                <w:szCs w:val="24"/>
              </w:rPr>
            </w:pPr>
            <w:r>
              <w:rPr>
                <w:rFonts w:hint="eastAsia" w:ascii="仿宋" w:hAnsi="仿宋" w:eastAsia="仿宋"/>
                <w:bCs/>
                <w:sz w:val="24"/>
                <w:szCs w:val="24"/>
              </w:rPr>
              <w:t>不接受联合体投标。</w:t>
            </w:r>
            <w:r>
              <w:rPr>
                <w:rFonts w:hint="eastAsia" w:ascii="仿宋" w:hAnsi="仿宋" w:eastAsia="仿宋"/>
                <w:bCs/>
                <w:sz w:val="24"/>
                <w:szCs w:val="24"/>
                <w:lang w:val="en-US" w:eastAsia="zh-CN"/>
              </w:rPr>
              <w:t>不接受代理商投标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2025年12月22日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2025年12月30日17：00前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2025年12月30日17：00前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2025年12月27日17：00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2026年1月1日17：00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开户名称</w:t>
            </w:r>
            <w:r>
              <w:rPr>
                <w:rFonts w:hint="eastAsia" w:ascii="仿宋_GB2312" w:hAnsi="仿宋_GB2312" w:eastAsia="仿宋_GB2312" w:cs="仿宋_GB2312"/>
                <w:sz w:val="24"/>
                <w:szCs w:val="24"/>
              </w:rPr>
              <w:t>：重汽（重庆）轻型汽车有限公司</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开户银行</w:t>
            </w:r>
            <w:r>
              <w:rPr>
                <w:rFonts w:hint="eastAsia" w:ascii="仿宋_GB2312" w:hAnsi="仿宋_GB2312" w:eastAsia="仿宋_GB2312" w:cs="仿宋_GB2312"/>
                <w:sz w:val="24"/>
                <w:szCs w:val="24"/>
              </w:rPr>
              <w:t>：中信银行济南舜耕支行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银行账号</w:t>
            </w:r>
            <w:r>
              <w:rPr>
                <w:rFonts w:hint="eastAsia" w:ascii="仿宋_GB2312" w:hAnsi="仿宋_GB2312" w:eastAsia="仿宋_GB2312" w:cs="仿宋_GB2312"/>
                <w:sz w:val="24"/>
                <w:szCs w:val="24"/>
              </w:rPr>
              <w:t>：8112501012801267437</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联行号</w:t>
            </w:r>
            <w:r>
              <w:rPr>
                <w:rFonts w:hint="eastAsia" w:ascii="仿宋_GB2312" w:hAnsi="仿宋_GB2312" w:eastAsia="仿宋_GB2312" w:cs="仿宋_GB2312"/>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2026年1月1日17：00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2026年1月5</w:t>
            </w:r>
            <w:bookmarkStart w:id="100" w:name="_GoBack"/>
            <w:bookmarkEnd w:id="100"/>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重汽（重庆）轻型汽车有限公司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rPr>
                <w:rFonts w:hint="eastAsia" w:ascii="仿宋_GB2312" w:hAnsi="仿宋_GB2312" w:eastAsia="仿宋_GB2312"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1"/>
              <w:numPr>
                <w:ilvl w:val="0"/>
                <w:numId w:val="3"/>
              </w:numPr>
              <w:adjustRightInd w:val="0"/>
              <w:snapToGrid w:val="0"/>
              <w:spacing w:line="360" w:lineRule="auto"/>
              <w:ind w:firstLineChars="0"/>
              <w:jc w:val="left"/>
              <w:rPr>
                <w:rFonts w:hint="eastAsia" w:ascii="仿宋" w:hAnsi="仿宋" w:eastAsia="仿宋" w:cs="仿宋_GB2312"/>
                <w:bCs/>
                <w:sz w:val="24"/>
                <w:szCs w:val="24"/>
                <w:highlight w:val="none"/>
              </w:rPr>
            </w:pPr>
            <w:r>
              <w:rPr>
                <w:rFonts w:hint="eastAsia" w:ascii="仿宋" w:hAnsi="仿宋" w:eastAsia="仿宋" w:cs="仿宋_GB2312"/>
                <w:bCs/>
                <w:sz w:val="24"/>
                <w:szCs w:val="24"/>
              </w:rPr>
              <w:t>付款方式：</w:t>
            </w:r>
            <w:r>
              <w:rPr>
                <w:rFonts w:hint="eastAsia" w:ascii="仿宋" w:hAnsi="仿宋" w:eastAsia="仿宋" w:cs="仿宋_GB2312"/>
                <w:bCs/>
                <w:sz w:val="24"/>
                <w:szCs w:val="24"/>
                <w:lang w:val="en-US" w:eastAsia="zh-CN"/>
              </w:rPr>
              <w:t>银行转账</w:t>
            </w:r>
          </w:p>
          <w:p>
            <w:pPr>
              <w:pStyle w:val="131"/>
              <w:numPr>
                <w:ilvl w:val="0"/>
                <w:numId w:val="3"/>
              </w:numPr>
              <w:adjustRightInd w:val="0"/>
              <w:snapToGrid w:val="0"/>
              <w:spacing w:line="360" w:lineRule="auto"/>
              <w:ind w:firstLineChars="0"/>
              <w:jc w:val="left"/>
              <w:rPr>
                <w:rFonts w:hint="eastAsia" w:ascii="仿宋" w:hAnsi="仿宋" w:eastAsia="仿宋" w:cs="仿宋_GB2312"/>
                <w:bCs/>
                <w:sz w:val="24"/>
                <w:szCs w:val="24"/>
              </w:rPr>
            </w:pPr>
            <w:r>
              <w:rPr>
                <w:rFonts w:hint="eastAsia" w:ascii="仿宋" w:hAnsi="仿宋" w:eastAsia="仿宋" w:cs="仿宋_GB2312"/>
                <w:bCs/>
                <w:sz w:val="24"/>
                <w:szCs w:val="24"/>
                <w:highlight w:val="none"/>
              </w:rPr>
              <w:t>付款节点:</w:t>
            </w:r>
            <w:r>
              <w:rPr>
                <w:rFonts w:hint="eastAsia" w:ascii="仿宋" w:hAnsi="仿宋" w:eastAsia="仿宋"/>
                <w:sz w:val="24"/>
                <w:szCs w:val="24"/>
                <w:highlight w:val="none"/>
              </w:rPr>
              <w:t xml:space="preserve"> </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结算一次，</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统计</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参训</w:t>
            </w:r>
            <w:r>
              <w:rPr>
                <w:rFonts w:hint="eastAsia" w:ascii="仿宋" w:hAnsi="仿宋" w:eastAsia="仿宋" w:cs="仿宋_GB2312"/>
                <w:bCs/>
                <w:sz w:val="24"/>
                <w:szCs w:val="24"/>
                <w:highlight w:val="none"/>
                <w:lang w:val="en-US" w:eastAsia="zh-CN"/>
              </w:rPr>
              <w:t>并</w:t>
            </w:r>
            <w:r>
              <w:rPr>
                <w:rFonts w:hint="eastAsia" w:ascii="仿宋" w:hAnsi="仿宋" w:eastAsia="仿宋" w:cs="仿宋_GB2312"/>
                <w:bCs/>
                <w:sz w:val="24"/>
                <w:szCs w:val="24"/>
                <w:highlight w:val="none"/>
              </w:rPr>
              <w:t>考试成绩</w:t>
            </w:r>
            <w:r>
              <w:rPr>
                <w:rFonts w:hint="eastAsia" w:ascii="仿宋" w:hAnsi="仿宋" w:eastAsia="仿宋" w:cs="仿宋_GB2312"/>
                <w:bCs/>
                <w:sz w:val="24"/>
                <w:szCs w:val="24"/>
                <w:highlight w:val="none"/>
                <w:lang w:val="en-US" w:eastAsia="zh-CN"/>
              </w:rPr>
              <w:t>合格</w:t>
            </w:r>
            <w:r>
              <w:rPr>
                <w:rFonts w:hint="eastAsia" w:ascii="仿宋" w:hAnsi="仿宋" w:eastAsia="仿宋" w:cs="仿宋_GB2312"/>
                <w:bCs/>
                <w:sz w:val="24"/>
                <w:szCs w:val="24"/>
                <w:highlight w:val="none"/>
              </w:rPr>
              <w:t>及费用明细表经</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审核确认后，</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开具有效增值税</w:t>
            </w:r>
            <w:r>
              <w:rPr>
                <w:rFonts w:hint="eastAsia" w:ascii="仿宋" w:hAnsi="仿宋" w:eastAsia="仿宋" w:cs="仿宋_GB2312"/>
                <w:bCs/>
                <w:sz w:val="24"/>
                <w:szCs w:val="24"/>
                <w:highlight w:val="none"/>
                <w:lang w:val="en-US" w:eastAsia="zh-CN"/>
              </w:rPr>
              <w:t>发票到招标人财务挂账，挂账后次月</w:t>
            </w:r>
            <w:r>
              <w:rPr>
                <w:rFonts w:hint="eastAsia" w:ascii="仿宋" w:hAnsi="仿宋" w:eastAsia="仿宋" w:cs="仿宋_GB2312"/>
                <w:bCs/>
                <w:sz w:val="24"/>
                <w:szCs w:val="24"/>
                <w:highlight w:val="none"/>
              </w:rPr>
              <w:t>付款。</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4"/>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9448"/>
      <w:bookmarkStart w:id="8" w:name="_Toc6577"/>
      <w:bookmarkStart w:id="9" w:name="_Toc11216"/>
      <w:bookmarkStart w:id="10" w:name="_Toc427"/>
      <w:bookmarkStart w:id="11" w:name="_Toc2708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5"/>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85487"/>
      <w:bookmarkStart w:id="20" w:name="_Toc33267001"/>
      <w:bookmarkStart w:id="21" w:name="_Toc33265653"/>
      <w:bookmarkStart w:id="22" w:name="_Toc33266914"/>
      <w:bookmarkStart w:id="23" w:name="_Toc33266950"/>
      <w:bookmarkStart w:id="24" w:name="_Toc33266627"/>
      <w:bookmarkStart w:id="25" w:name="_Toc30534"/>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85489"/>
      <w:bookmarkStart w:id="29" w:name="_Toc33266951"/>
      <w:bookmarkStart w:id="30" w:name="_Toc33266628"/>
      <w:bookmarkStart w:id="31" w:name="_Toc33267002"/>
      <w:bookmarkStart w:id="32" w:name="_Toc395116634"/>
      <w:bookmarkStart w:id="33" w:name="_Toc33266915"/>
      <w:bookmarkStart w:id="34" w:name="_Toc33265654"/>
      <w:bookmarkStart w:id="35" w:name="_Toc33265753"/>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8"/>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0"/>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7"/>
      <w:bookmarkStart w:id="40" w:name="OLE_LINK26"/>
      <w:bookmarkStart w:id="41" w:name="OLE_LINK28"/>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31869"/>
      <w:bookmarkStart w:id="45" w:name="_Toc13479"/>
      <w:bookmarkStart w:id="46" w:name="_Toc21022"/>
      <w:bookmarkStart w:id="47" w:name="_Toc2363"/>
      <w:bookmarkStart w:id="48" w:name="_Toc762"/>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商务标报价表（见附件）</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24964"/>
      <w:bookmarkStart w:id="58" w:name="_Toc16358"/>
      <w:bookmarkStart w:id="59" w:name="_Toc7110"/>
      <w:bookmarkStart w:id="60" w:name="_Toc20467"/>
      <w:bookmarkStart w:id="61" w:name="_Toc11355"/>
      <w:bookmarkStart w:id="62" w:name="_Toc18805"/>
      <w:bookmarkStart w:id="63" w:name="_Toc8032"/>
      <w:bookmarkStart w:id="64" w:name="_Toc4532"/>
      <w:bookmarkStart w:id="65" w:name="_Toc3372"/>
      <w:bookmarkStart w:id="66" w:name="_Toc12563"/>
      <w:bookmarkStart w:id="67" w:name="_Toc4483"/>
      <w:bookmarkStart w:id="68" w:name="_Toc22649"/>
      <w:bookmarkStart w:id="69" w:name="_Toc1884"/>
      <w:bookmarkStart w:id="70" w:name="_Toc28236"/>
      <w:bookmarkStart w:id="71" w:name="_Toc30738"/>
      <w:bookmarkStart w:id="72" w:name="_Toc4194"/>
      <w:bookmarkStart w:id="73" w:name="_Toc14517"/>
      <w:bookmarkStart w:id="74" w:name="_Toc24913"/>
      <w:bookmarkStart w:id="75" w:name="_Toc20272"/>
      <w:bookmarkStart w:id="76" w:name="_Toc6346"/>
      <w:bookmarkStart w:id="77" w:name="_Toc133783966"/>
      <w:bookmarkStart w:id="78" w:name="_Toc13555"/>
      <w:bookmarkStart w:id="79" w:name="_Toc12714"/>
      <w:bookmarkStart w:id="80" w:name="_Toc19672"/>
      <w:bookmarkStart w:id="81" w:name="_Toc32378"/>
      <w:bookmarkStart w:id="82" w:name="_Toc6957"/>
      <w:bookmarkStart w:id="83" w:name="_Toc18606"/>
      <w:bookmarkStart w:id="84" w:name="_Toc18182"/>
      <w:bookmarkStart w:id="85" w:name="_Toc4029"/>
      <w:bookmarkStart w:id="86" w:name="_Toc3565"/>
      <w:bookmarkStart w:id="87" w:name="_Toc13988"/>
      <w:bookmarkStart w:id="88" w:name="_Toc13605"/>
      <w:bookmarkStart w:id="89" w:name="_Toc21497"/>
      <w:bookmarkStart w:id="90" w:name="_Toc13562"/>
      <w:bookmarkStart w:id="91" w:name="_Toc12552"/>
      <w:bookmarkStart w:id="92" w:name="_Toc23870"/>
      <w:bookmarkStart w:id="93" w:name="_Toc8202"/>
      <w:bookmarkStart w:id="94" w:name="_Toc7511"/>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11"/>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wordWrap w:val="0"/>
        <w:ind w:right="315"/>
        <w:jc w:val="right"/>
        <w:rPr>
          <w:rFonts w:ascii="宋体" w:hAnsi="宋体"/>
          <w:b/>
          <w:bCs w:val="0"/>
          <w:sz w:val="44"/>
          <w:szCs w:val="44"/>
        </w:rPr>
      </w:pPr>
    </w:p>
    <w:p>
      <w:pPr>
        <w:jc w:val="center"/>
        <w:rPr>
          <w:rFonts w:ascii="宋体" w:hAnsi="宋体"/>
          <w:b/>
          <w:bCs w:val="0"/>
          <w:sz w:val="44"/>
          <w:szCs w:val="44"/>
        </w:rPr>
      </w:pPr>
    </w:p>
    <w:p>
      <w:pPr>
        <w:jc w:val="center"/>
        <w:rPr>
          <w:rFonts w:ascii="宋体" w:hAnsi="宋体"/>
          <w:b/>
          <w:bCs w:val="0"/>
          <w:sz w:val="52"/>
          <w:szCs w:val="52"/>
        </w:rPr>
      </w:pPr>
    </w:p>
    <w:p>
      <w:pPr>
        <w:jc w:val="center"/>
        <w:rPr>
          <w:rFonts w:ascii="宋体" w:hAnsi="宋体"/>
          <w:b/>
          <w:bCs w:val="0"/>
          <w:sz w:val="52"/>
          <w:szCs w:val="52"/>
        </w:rPr>
      </w:pPr>
    </w:p>
    <w:p>
      <w:pPr>
        <w:jc w:val="center"/>
        <w:rPr>
          <w:rFonts w:hint="eastAsia" w:ascii="方正小标宋简体" w:hAnsi="方正小标宋简体" w:eastAsia="方正小标宋简体" w:cs="方正小标宋简体"/>
          <w:b/>
          <w:bCs w:val="0"/>
          <w:sz w:val="52"/>
          <w:szCs w:val="52"/>
          <w:lang w:val="en-US" w:eastAsia="zh-CN"/>
        </w:rPr>
      </w:pPr>
      <w:r>
        <w:rPr>
          <w:rFonts w:hint="eastAsia" w:ascii="方正小标宋简体" w:hAnsi="方正小标宋简体" w:eastAsia="方正小标宋简体" w:cs="方正小标宋简体"/>
          <w:b/>
          <w:bCs w:val="0"/>
          <w:sz w:val="52"/>
          <w:szCs w:val="52"/>
          <w:lang w:val="en-US" w:eastAsia="zh-CN"/>
        </w:rPr>
        <w:t>重庆汽车特种作业及特种设备作业培训</w:t>
      </w:r>
    </w:p>
    <w:p>
      <w:pPr>
        <w:jc w:val="center"/>
        <w:rPr>
          <w:rFonts w:hint="eastAsia" w:ascii="方正小标宋简体" w:hAnsi="方正小标宋简体" w:eastAsia="方正小标宋简体" w:cs="方正小标宋简体"/>
          <w:b/>
          <w:bCs w:val="0"/>
          <w:sz w:val="52"/>
          <w:szCs w:val="52"/>
        </w:rPr>
      </w:pPr>
      <w:r>
        <w:rPr>
          <w:rFonts w:hint="eastAsia" w:ascii="方正小标宋简体" w:hAnsi="方正小标宋简体" w:eastAsia="方正小标宋简体" w:cs="方正小标宋简体"/>
          <w:b/>
          <w:bCs w:val="0"/>
          <w:sz w:val="52"/>
          <w:szCs w:val="52"/>
          <w:lang w:val="en-US" w:eastAsia="zh-CN"/>
        </w:rPr>
        <w:t>项目</w:t>
      </w:r>
      <w:r>
        <w:rPr>
          <w:rFonts w:hint="eastAsia" w:ascii="方正小标宋简体" w:hAnsi="方正小标宋简体" w:eastAsia="方正小标宋简体" w:cs="方正小标宋简体"/>
          <w:b/>
          <w:bCs w:val="0"/>
          <w:sz w:val="52"/>
          <w:szCs w:val="52"/>
        </w:rPr>
        <w:t>技术要求</w:t>
      </w: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32"/>
          <w:szCs w:val="32"/>
        </w:rPr>
      </w:pPr>
    </w:p>
    <w:p>
      <w:pPr>
        <w:ind w:firstLine="3832" w:firstLineChars="1197"/>
        <w:rPr>
          <w:rFonts w:ascii="宋体" w:hAnsi="宋体"/>
          <w:b/>
          <w:bCs w:val="0"/>
          <w:sz w:val="32"/>
          <w:szCs w:val="32"/>
        </w:rPr>
      </w:pPr>
      <w:r>
        <w:rPr>
          <w:rFonts w:hint="eastAsia" w:ascii="宋体" w:hAnsi="宋体"/>
          <w:b/>
          <w:bCs w:val="0"/>
          <w:sz w:val="32"/>
          <w:szCs w:val="32"/>
        </w:rPr>
        <w:t>20</w:t>
      </w:r>
      <w:r>
        <w:rPr>
          <w:rFonts w:hint="eastAsia" w:ascii="宋体" w:hAnsi="宋体"/>
          <w:b/>
          <w:bCs w:val="0"/>
          <w:sz w:val="32"/>
          <w:szCs w:val="32"/>
          <w:lang w:val="en-US" w:eastAsia="zh-CN"/>
        </w:rPr>
        <w:t>25</w:t>
      </w:r>
      <w:r>
        <w:rPr>
          <w:rFonts w:hint="eastAsia" w:ascii="宋体" w:hAnsi="宋体"/>
          <w:b/>
          <w:bCs w:val="0"/>
          <w:sz w:val="32"/>
          <w:szCs w:val="32"/>
        </w:rPr>
        <w:t>年</w:t>
      </w:r>
      <w:r>
        <w:rPr>
          <w:rFonts w:hint="eastAsia" w:ascii="宋体" w:hAnsi="宋体"/>
          <w:b/>
          <w:bCs w:val="0"/>
          <w:sz w:val="32"/>
          <w:szCs w:val="32"/>
          <w:lang w:val="en-US" w:eastAsia="zh-CN"/>
        </w:rPr>
        <w:t>10</w:t>
      </w:r>
      <w:r>
        <w:rPr>
          <w:rFonts w:hint="eastAsia" w:ascii="宋体" w:hAnsi="宋体"/>
          <w:b/>
          <w:bCs w:val="0"/>
          <w:sz w:val="32"/>
          <w:szCs w:val="32"/>
        </w:rPr>
        <w:t xml:space="preserve">月 </w:t>
      </w:r>
    </w:p>
    <w:p>
      <w:pPr>
        <w:rPr>
          <w:rFonts w:ascii="宋体" w:hAnsi="宋体"/>
          <w:b/>
          <w:bCs w:val="0"/>
          <w:sz w:val="28"/>
          <w:szCs w:val="28"/>
        </w:rPr>
        <w:sectPr>
          <w:headerReference r:id="rId10" w:type="default"/>
          <w:footerReference r:id="rId11" w:type="default"/>
          <w:footerReference r:id="rId12" w:type="even"/>
          <w:pgSz w:w="11907" w:h="16840"/>
          <w:pgMar w:top="1440" w:right="1080" w:bottom="1440" w:left="1080" w:header="851" w:footer="850" w:gutter="57"/>
          <w:pgNumType w:fmt="decimal" w:start="1" w:chapStyle="1"/>
          <w:cols w:space="720" w:num="1"/>
          <w:docGrid w:type="lines" w:linePitch="326" w:charSpace="0"/>
        </w:sectPr>
      </w:pP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lang w:val="en-US" w:eastAsia="zh-CN"/>
        </w:rPr>
      </w:pPr>
      <w:r>
        <w:rPr>
          <w:rFonts w:hint="eastAsia" w:ascii="黑体" w:hAnsi="黑体" w:eastAsia="黑体" w:cs="黑体"/>
          <w:b w:val="0"/>
          <w:bCs/>
          <w:i w:val="0"/>
          <w:iCs w:val="0"/>
          <w:sz w:val="28"/>
          <w:szCs w:val="28"/>
        </w:rPr>
        <w:t>一、项目</w:t>
      </w:r>
      <w:r>
        <w:rPr>
          <w:rFonts w:hint="eastAsia" w:ascii="黑体" w:hAnsi="黑体" w:eastAsia="黑体" w:cs="黑体"/>
          <w:b w:val="0"/>
          <w:bCs/>
          <w:i w:val="0"/>
          <w:iCs w:val="0"/>
          <w:sz w:val="28"/>
          <w:szCs w:val="28"/>
          <w:lang w:val="en-US" w:eastAsia="zh-CN"/>
        </w:rPr>
        <w:t>内容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 w:hAnsi="仿宋" w:eastAsia="仿宋" w:cs="仿宋"/>
          <w:b w:val="0"/>
          <w:bCs/>
          <w:i w:val="0"/>
          <w:iCs w:val="0"/>
          <w:sz w:val="28"/>
          <w:szCs w:val="28"/>
          <w:lang w:val="en-US" w:eastAsia="zh-CN"/>
        </w:rPr>
      </w:pPr>
      <w:r>
        <w:rPr>
          <w:rFonts w:hint="eastAsia" w:ascii="仿宋_GB2312" w:hAnsi="仿宋_GB2312" w:eastAsia="仿宋_GB2312" w:cs="仿宋_GB2312"/>
          <w:b w:val="0"/>
          <w:bCs/>
          <w:i w:val="0"/>
          <w:iCs w:val="0"/>
          <w:sz w:val="28"/>
          <w:szCs w:val="28"/>
        </w:rPr>
        <w:t>本项目为</w:t>
      </w:r>
      <w:r>
        <w:rPr>
          <w:rFonts w:hint="eastAsia" w:ascii="仿宋_GB2312" w:hAnsi="仿宋_GB2312" w:eastAsia="仿宋_GB2312" w:cs="仿宋_GB2312"/>
          <w:b w:val="0"/>
          <w:bCs/>
          <w:i w:val="0"/>
          <w:iCs w:val="0"/>
          <w:sz w:val="28"/>
          <w:szCs w:val="28"/>
          <w:lang w:val="en-US" w:eastAsia="zh-CN"/>
        </w:rPr>
        <w:t>重汽（重庆）轻型汽车有限公司</w:t>
      </w:r>
      <w:r>
        <w:rPr>
          <w:rFonts w:hint="eastAsia" w:ascii="仿宋_GB2312" w:hAnsi="仿宋_GB2312" w:eastAsia="仿宋_GB2312" w:cs="仿宋_GB2312"/>
          <w:b w:val="0"/>
          <w:bCs/>
          <w:i w:val="0"/>
          <w:iCs w:val="0"/>
          <w:sz w:val="28"/>
          <w:szCs w:val="28"/>
        </w:rPr>
        <w:t>（以下简称</w:t>
      </w:r>
      <w:r>
        <w:rPr>
          <w:rFonts w:hint="eastAsia" w:ascii="仿宋_GB2312" w:hAnsi="仿宋_GB2312" w:eastAsia="仿宋_GB2312" w:cs="仿宋_GB2312"/>
          <w:b w:val="0"/>
          <w:bCs/>
          <w:i w:val="0"/>
          <w:iCs w:val="0"/>
          <w:sz w:val="28"/>
          <w:szCs w:val="28"/>
          <w:lang w:val="en-US" w:eastAsia="zh-CN"/>
        </w:rPr>
        <w:t>招标方</w:t>
      </w:r>
      <w:r>
        <w:rPr>
          <w:rFonts w:hint="eastAsia" w:ascii="仿宋_GB2312" w:hAnsi="仿宋_GB2312" w:eastAsia="仿宋_GB2312" w:cs="仿宋_GB2312"/>
          <w:b w:val="0"/>
          <w:bCs/>
          <w:i w:val="0"/>
          <w:iCs w:val="0"/>
          <w:sz w:val="28"/>
          <w:szCs w:val="28"/>
        </w:rPr>
        <w:t>）</w:t>
      </w:r>
      <w:r>
        <w:rPr>
          <w:rFonts w:hint="eastAsia" w:ascii="仿宋_GB2312" w:hAnsi="仿宋_GB2312" w:eastAsia="仿宋_GB2312" w:cs="仿宋_GB2312"/>
          <w:b w:val="0"/>
          <w:bCs/>
          <w:i w:val="0"/>
          <w:iCs w:val="0"/>
          <w:sz w:val="28"/>
          <w:szCs w:val="28"/>
          <w:lang w:val="en-US" w:eastAsia="zh-CN"/>
        </w:rPr>
        <w:t>特种作业及特种设备作业培训，现招标方寻找具备培训资质、技术能力优良、服务好的供应商（以下简称投标方/投标单位），负责该项目的实施。</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rPr>
      </w:pPr>
      <w:r>
        <w:rPr>
          <w:rFonts w:hint="eastAsia" w:ascii="仿宋" w:hAnsi="仿宋" w:eastAsia="仿宋" w:cs="仿宋"/>
          <w:b/>
          <w:bCs w:val="0"/>
          <w:i w:val="0"/>
          <w:iCs w:val="0"/>
          <w:sz w:val="28"/>
          <w:szCs w:val="28"/>
        </w:rPr>
        <w:t>1.1、项目名称及地点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项目名称：重庆汽车特种作业及特种设备作业培训。</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1.2、项目内容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本项目所称培训均包括取证初训和复训，主要包括以下两个方面：</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1.2.1特种作业及特种设备作业初训；</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1.2.2特种作业及特种设备作业复训。</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1.3、投标单位基本要求</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1.3.1投标单位须具备人力资源和社会保障部门颁发的办学资质证明，以及民政部门颁发的登记证书或工商部门颁发的登记证书。</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1.3.2.投标单位须满足《安全生产培训机构基本条件》（AQ/8011-2023）要求，在《重庆市应急管理局</w:t>
      </w:r>
      <w:r>
        <w:rPr>
          <w:rFonts w:hint="default" w:ascii="仿宋_GB2312" w:hAnsi="仿宋_GB2312" w:eastAsia="仿宋_GB2312" w:cs="仿宋_GB2312"/>
          <w:b w:val="0"/>
          <w:bCs/>
          <w:i w:val="0"/>
          <w:iCs w:val="0"/>
          <w:sz w:val="28"/>
          <w:szCs w:val="28"/>
          <w:lang w:val="en-US" w:eastAsia="zh-CN"/>
        </w:rPr>
        <w:t>关于公示全市安全生产培训机构基本条件复核及等级评定结果的通告</w:t>
      </w:r>
      <w:r>
        <w:rPr>
          <w:rFonts w:hint="eastAsia" w:ascii="仿宋_GB2312" w:hAnsi="仿宋_GB2312" w:eastAsia="仿宋_GB2312" w:cs="仿宋_GB2312"/>
          <w:b w:val="0"/>
          <w:bCs/>
          <w:i w:val="0"/>
          <w:iCs w:val="0"/>
          <w:sz w:val="28"/>
          <w:szCs w:val="28"/>
          <w:lang w:val="en-US" w:eastAsia="zh-CN"/>
        </w:rPr>
        <w:t>》【</w:t>
      </w:r>
      <w:r>
        <w:rPr>
          <w:rFonts w:hint="default" w:ascii="仿宋_GB2312" w:hAnsi="仿宋_GB2312" w:eastAsia="仿宋_GB2312" w:cs="仿宋_GB2312"/>
          <w:b w:val="0"/>
          <w:bCs/>
          <w:i w:val="0"/>
          <w:iCs w:val="0"/>
          <w:sz w:val="28"/>
          <w:szCs w:val="28"/>
          <w:lang w:val="en-US" w:eastAsia="zh-CN"/>
        </w:rPr>
        <w:t xml:space="preserve">2025 </w:t>
      </w:r>
      <w:r>
        <w:rPr>
          <w:rFonts w:hint="eastAsia" w:ascii="仿宋_GB2312" w:hAnsi="仿宋_GB2312" w:eastAsia="仿宋_GB2312" w:cs="仿宋_GB2312"/>
          <w:b w:val="0"/>
          <w:bCs/>
          <w:i w:val="0"/>
          <w:iCs w:val="0"/>
          <w:sz w:val="28"/>
          <w:szCs w:val="28"/>
          <w:lang w:val="en-US" w:eastAsia="zh-CN"/>
        </w:rPr>
        <w:t xml:space="preserve">年第 </w:t>
      </w:r>
      <w:r>
        <w:rPr>
          <w:rFonts w:hint="default" w:ascii="仿宋_GB2312" w:hAnsi="仿宋_GB2312" w:eastAsia="仿宋_GB2312" w:cs="仿宋_GB2312"/>
          <w:b w:val="0"/>
          <w:bCs/>
          <w:i w:val="0"/>
          <w:iCs w:val="0"/>
          <w:sz w:val="28"/>
          <w:szCs w:val="28"/>
          <w:lang w:val="en-US" w:eastAsia="zh-CN"/>
        </w:rPr>
        <w:t>20 号</w:t>
      </w:r>
      <w:r>
        <w:rPr>
          <w:rFonts w:hint="eastAsia" w:ascii="仿宋_GB2312" w:hAnsi="仿宋_GB2312" w:eastAsia="仿宋_GB2312" w:cs="仿宋_GB2312"/>
          <w:b w:val="0"/>
          <w:bCs/>
          <w:i w:val="0"/>
          <w:iCs w:val="0"/>
          <w:sz w:val="28"/>
          <w:szCs w:val="28"/>
          <w:lang w:val="en-US" w:eastAsia="zh-CN"/>
        </w:rPr>
        <w:t>】的名单里，评定等级为一级、二级、三级。</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1.3.3投标单位须提供近两年三个以上同类型项目的业绩证明。</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1.3.4投标单位近三年内无违法及重大违规记录，未受到过相关行政部门的处罚。</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1.4、项目范围</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本项目具体的培训项目如下：</w:t>
      </w:r>
    </w:p>
    <w:tbl>
      <w:tblPr>
        <w:tblStyle w:val="41"/>
        <w:tblW w:w="82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6"/>
        <w:gridCol w:w="2582"/>
        <w:gridCol w:w="4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1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作业类别/种类</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操作项目/作业项目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606"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特种作业</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电工作业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高压电工作业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低压电工作业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防爆电气作业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焊接与热切割作业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熔化焊接与热切割作业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压力焊作业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高处作业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高处安装、维护、拆除作业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制冷与空调作业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制冷与空调设备运行操作作业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 w:hRule="atLeast"/>
          <w:jc w:val="center"/>
        </w:trPr>
        <w:tc>
          <w:tcPr>
            <w:tcW w:w="16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特种设备作业</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特种设备安全管理</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特种设备安全管理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锅炉作业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工业锅炉司炉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锅炉水处理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压力容器作业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快开门式压力容器操作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起重机作业</w:t>
            </w:r>
          </w:p>
        </w:tc>
        <w:tc>
          <w:tcPr>
            <w:tcW w:w="41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起重机司机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场(厂)内专用机动车辆作业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叉车司机</w:t>
            </w:r>
          </w:p>
        </w:tc>
      </w:tr>
    </w:tbl>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rPr>
      </w:pPr>
      <w:r>
        <w:rPr>
          <w:rFonts w:hint="eastAsia" w:ascii="黑体" w:hAnsi="黑体" w:eastAsia="黑体" w:cs="黑体"/>
          <w:b w:val="0"/>
          <w:bCs/>
          <w:i w:val="0"/>
          <w:iCs w:val="0"/>
          <w:sz w:val="28"/>
          <w:szCs w:val="28"/>
        </w:rPr>
        <w:t>二、技术能力要求</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2.1投标单位须具备人力资源和社会保障部门颁发的办学资质证明，以及民政部门颁发的登记证书或工商部门颁发的登记证书。</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2.2.投标单位须满足《安全生产培训机构基本条件》（AQ/8011-2023）要求，在《重庆市应急管理局</w:t>
      </w:r>
      <w:r>
        <w:rPr>
          <w:rFonts w:hint="default" w:ascii="仿宋_GB2312" w:hAnsi="仿宋_GB2312" w:eastAsia="仿宋_GB2312" w:cs="仿宋_GB2312"/>
          <w:b w:val="0"/>
          <w:bCs/>
          <w:i w:val="0"/>
          <w:iCs w:val="0"/>
          <w:sz w:val="28"/>
          <w:szCs w:val="28"/>
          <w:lang w:val="en-US" w:eastAsia="zh-CN"/>
        </w:rPr>
        <w:t>关于公示全市安全生产培训机构基本条件复核及等级评定结果的通告</w:t>
      </w:r>
      <w:r>
        <w:rPr>
          <w:rFonts w:hint="eastAsia" w:ascii="仿宋_GB2312" w:hAnsi="仿宋_GB2312" w:eastAsia="仿宋_GB2312" w:cs="仿宋_GB2312"/>
          <w:b w:val="0"/>
          <w:bCs/>
          <w:i w:val="0"/>
          <w:iCs w:val="0"/>
          <w:sz w:val="28"/>
          <w:szCs w:val="28"/>
          <w:lang w:val="en-US" w:eastAsia="zh-CN"/>
        </w:rPr>
        <w:t>》【</w:t>
      </w:r>
      <w:r>
        <w:rPr>
          <w:rFonts w:hint="default" w:ascii="仿宋_GB2312" w:hAnsi="仿宋_GB2312" w:eastAsia="仿宋_GB2312" w:cs="仿宋_GB2312"/>
          <w:b w:val="0"/>
          <w:bCs/>
          <w:i w:val="0"/>
          <w:iCs w:val="0"/>
          <w:sz w:val="28"/>
          <w:szCs w:val="28"/>
          <w:lang w:val="en-US" w:eastAsia="zh-CN"/>
        </w:rPr>
        <w:t xml:space="preserve">2025 </w:t>
      </w:r>
      <w:r>
        <w:rPr>
          <w:rFonts w:hint="eastAsia" w:ascii="仿宋_GB2312" w:hAnsi="仿宋_GB2312" w:eastAsia="仿宋_GB2312" w:cs="仿宋_GB2312"/>
          <w:b w:val="0"/>
          <w:bCs/>
          <w:i w:val="0"/>
          <w:iCs w:val="0"/>
          <w:sz w:val="28"/>
          <w:szCs w:val="28"/>
          <w:lang w:val="en-US" w:eastAsia="zh-CN"/>
        </w:rPr>
        <w:t xml:space="preserve">年第 </w:t>
      </w:r>
      <w:r>
        <w:rPr>
          <w:rFonts w:hint="default" w:ascii="仿宋_GB2312" w:hAnsi="仿宋_GB2312" w:eastAsia="仿宋_GB2312" w:cs="仿宋_GB2312"/>
          <w:b w:val="0"/>
          <w:bCs/>
          <w:i w:val="0"/>
          <w:iCs w:val="0"/>
          <w:sz w:val="28"/>
          <w:szCs w:val="28"/>
          <w:lang w:val="en-US" w:eastAsia="zh-CN"/>
        </w:rPr>
        <w:t>20 号</w:t>
      </w:r>
      <w:r>
        <w:rPr>
          <w:rFonts w:hint="eastAsia" w:ascii="仿宋_GB2312" w:hAnsi="仿宋_GB2312" w:eastAsia="仿宋_GB2312" w:cs="仿宋_GB2312"/>
          <w:b w:val="0"/>
          <w:bCs/>
          <w:i w:val="0"/>
          <w:iCs w:val="0"/>
          <w:sz w:val="28"/>
          <w:szCs w:val="28"/>
          <w:lang w:val="en-US" w:eastAsia="zh-CN"/>
        </w:rPr>
        <w:t>】的名单里，评定等级为一级、二级、三级。</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2.3投标单位应具备良好的办学实力和软硬件资源，有固定的培训场所，能及时组织开班培训，满足本技术要求有关培训考试时间的要求。</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rPr>
        <w:t>三、</w:t>
      </w:r>
      <w:r>
        <w:rPr>
          <w:rFonts w:hint="eastAsia" w:ascii="黑体" w:hAnsi="黑体" w:eastAsia="黑体" w:cs="黑体"/>
          <w:b w:val="0"/>
          <w:bCs/>
          <w:sz w:val="28"/>
          <w:szCs w:val="28"/>
          <w:lang w:val="en-US" w:eastAsia="zh-CN"/>
        </w:rPr>
        <w:t>技术服务</w:t>
      </w:r>
      <w:r>
        <w:rPr>
          <w:rFonts w:hint="eastAsia" w:ascii="黑体" w:hAnsi="黑体" w:eastAsia="黑体" w:cs="黑体"/>
          <w:b w:val="0"/>
          <w:bCs/>
          <w:sz w:val="28"/>
          <w:szCs w:val="28"/>
        </w:rPr>
        <w:t>要求</w:t>
      </w:r>
    </w:p>
    <w:p>
      <w:pPr>
        <w:tabs>
          <w:tab w:val="left" w:pos="6300"/>
        </w:tabs>
        <w:snapToGrid w:val="0"/>
        <w:spacing w:before="48" w:beforeLines="20" w:after="48" w:afterLines="20" w:line="360" w:lineRule="auto"/>
        <w:ind w:firstLine="562" w:firstLineChars="200"/>
        <w:jc w:val="left"/>
        <w:rPr>
          <w:rFonts w:hint="default"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sz w:val="28"/>
          <w:szCs w:val="28"/>
        </w:rPr>
        <w:t>★</w:t>
      </w:r>
      <w:r>
        <w:rPr>
          <w:rFonts w:hint="eastAsia" w:ascii="仿宋_GB2312" w:hAnsi="仿宋_GB2312" w:eastAsia="仿宋_GB2312" w:cs="仿宋_GB2312"/>
          <w:b/>
          <w:bCs/>
          <w:i w:val="0"/>
          <w:iCs w:val="0"/>
          <w:color w:val="000000"/>
          <w:kern w:val="0"/>
          <w:sz w:val="28"/>
          <w:szCs w:val="28"/>
          <w:u w:val="none"/>
          <w:lang w:val="en-US" w:eastAsia="zh-CN" w:bidi="ar"/>
        </w:rPr>
        <w:t>3.1本项目为整体打包项目，投标单位须对所有的培训项目投标，否则视为无效标。</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3.2投标单位应确保中标后，及时组织培训和报名考试，确保在接到招标单位的报名信息90天以内完成培训和考试（</w:t>
      </w:r>
      <w:r>
        <w:rPr>
          <w:rFonts w:hint="eastAsia" w:ascii="仿宋_GB2312" w:hAnsi="仿宋_GB2312" w:eastAsia="仿宋_GB2312" w:cs="仿宋_GB2312"/>
          <w:sz w:val="28"/>
          <w:szCs w:val="28"/>
          <w:lang w:val="en-US" w:eastAsia="zh-CN"/>
        </w:rPr>
        <w:t>因行政主管部门或考试机构原因导致的考试延迟等原因除外</w:t>
      </w:r>
      <w:r>
        <w:rPr>
          <w:rFonts w:hint="eastAsia" w:ascii="仿宋_GB2312" w:hAnsi="仿宋_GB2312" w:eastAsia="仿宋_GB2312" w:cs="仿宋_GB2312"/>
          <w:color w:val="auto"/>
          <w:kern w:val="2"/>
          <w:sz w:val="28"/>
          <w:szCs w:val="28"/>
          <w:lang w:val="en-US" w:eastAsia="zh-CN" w:bidi="ar"/>
        </w:rPr>
        <w:t>）。</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3.3</w:t>
      </w:r>
      <w:r>
        <w:rPr>
          <w:rFonts w:hint="eastAsia" w:ascii="仿宋_GB2312" w:hAnsi="仿宋_GB2312" w:eastAsia="仿宋_GB2312" w:cs="仿宋_GB2312"/>
          <w:sz w:val="28"/>
          <w:szCs w:val="28"/>
          <w:lang w:val="en-US" w:eastAsia="zh-CN"/>
        </w:rPr>
        <w:t>防爆电气作业、压力焊作业、制冷与空调设备运行操作作业的培训和考试完成时间可适当延长</w:t>
      </w:r>
      <w:r>
        <w:rPr>
          <w:rFonts w:hint="eastAsia" w:ascii="仿宋_GB2312" w:hAnsi="仿宋_GB2312" w:eastAsia="仿宋_GB2312" w:cs="仿宋_GB2312"/>
          <w:color w:val="auto"/>
          <w:kern w:val="2"/>
          <w:sz w:val="28"/>
          <w:szCs w:val="28"/>
          <w:lang w:val="en-US" w:eastAsia="zh-CN" w:bidi="ar"/>
        </w:rPr>
        <w:t>。</w:t>
      </w:r>
    </w:p>
    <w:p>
      <w:pPr>
        <w:tabs>
          <w:tab w:val="left" w:pos="6300"/>
        </w:tabs>
        <w:snapToGrid w:val="0"/>
        <w:spacing w:before="48" w:beforeLines="20" w:after="48" w:afterLines="20" w:line="360" w:lineRule="auto"/>
        <w:ind w:firstLine="560" w:firstLineChars="20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四</w:t>
      </w:r>
      <w:r>
        <w:rPr>
          <w:rFonts w:hint="eastAsia" w:ascii="黑体" w:hAnsi="黑体" w:eastAsia="黑体" w:cs="黑体"/>
          <w:b w:val="0"/>
          <w:bCs/>
          <w:sz w:val="28"/>
          <w:szCs w:val="28"/>
        </w:rPr>
        <w:t>、中标</w:t>
      </w:r>
      <w:r>
        <w:rPr>
          <w:rFonts w:hint="eastAsia" w:ascii="黑体" w:hAnsi="黑体" w:eastAsia="黑体" w:cs="黑体"/>
          <w:b w:val="0"/>
          <w:bCs/>
          <w:sz w:val="28"/>
          <w:szCs w:val="28"/>
          <w:lang w:val="en-US" w:eastAsia="zh-CN"/>
        </w:rPr>
        <w:t>方</w:t>
      </w:r>
      <w:r>
        <w:rPr>
          <w:rFonts w:hint="eastAsia" w:ascii="黑体" w:hAnsi="黑体" w:eastAsia="黑体" w:cs="黑体"/>
          <w:b w:val="0"/>
          <w:bCs/>
          <w:sz w:val="28"/>
          <w:szCs w:val="28"/>
        </w:rPr>
        <w:t>职责</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4.1中标单位应严格按照本技术要求和合同要求，及时组织培训和报名考试。</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kern w:val="2"/>
          <w:sz w:val="28"/>
          <w:szCs w:val="28"/>
          <w:lang w:val="en-US" w:eastAsia="zh-CN" w:bidi="ar"/>
        </w:rPr>
        <w:t>4.2中标单位应做好培训过程中的安全工作，确保招标方参训人员的安全；参训人员在培训过程的安全，由中标单位负责。</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五、违约处理</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5.1因中标单位原因（如未及时开班、未及时完成培训、未及时报名考试等）导致招标方参训人员未在报名后90天内完成培训考试的，招标方可对中标单位进行罚款，罚款标准1000元/次；若因此造成招标方其他损失的（如行政处罚），相关损失由中标单位承担。</w:t>
      </w:r>
    </w:p>
    <w:p>
      <w:pPr>
        <w:tabs>
          <w:tab w:val="left" w:pos="6300"/>
        </w:tabs>
        <w:snapToGrid w:val="0"/>
        <w:spacing w:before="48" w:beforeLines="20" w:after="48" w:afterLines="20" w:line="360" w:lineRule="auto"/>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5.2因中标单位组织不力、管理不善、安全措施不足等原因导致招标方参训人员在培训过程中遭受事故伤害的，招标方可对中标单位进行考核，考核标准1000元/人</w:t>
      </w:r>
      <w:r>
        <w:rPr>
          <w:rFonts w:hint="eastAsia" w:ascii="等线" w:hAnsi="等线" w:eastAsia="等线" w:cs="等线"/>
          <w:sz w:val="28"/>
          <w:szCs w:val="28"/>
          <w:lang w:val="en-US" w:eastAsia="zh-CN"/>
        </w:rPr>
        <w:t>·</w:t>
      </w:r>
      <w:r>
        <w:rPr>
          <w:rFonts w:hint="eastAsia" w:ascii="仿宋_GB2312" w:hAnsi="仿宋_GB2312" w:eastAsia="仿宋_GB2312" w:cs="仿宋_GB2312"/>
          <w:sz w:val="28"/>
          <w:szCs w:val="28"/>
          <w:lang w:val="en-US" w:eastAsia="zh-CN"/>
        </w:rPr>
        <w:t>次，由此给招标方造成的损失由中标单位承担。</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lang w:val="en-US" w:eastAsia="zh-CN"/>
        </w:rPr>
        <w:t>六</w:t>
      </w:r>
      <w:r>
        <w:rPr>
          <w:rFonts w:hint="eastAsia" w:ascii="黑体" w:hAnsi="黑体" w:eastAsia="黑体" w:cs="黑体"/>
          <w:b w:val="0"/>
          <w:bCs/>
          <w:sz w:val="28"/>
          <w:szCs w:val="28"/>
        </w:rPr>
        <w:t>、特别说明</w:t>
      </w:r>
    </w:p>
    <w:p>
      <w:pPr>
        <w:tabs>
          <w:tab w:val="left" w:pos="6300"/>
        </w:tabs>
        <w:snapToGrid w:val="0"/>
        <w:spacing w:before="48" w:beforeLines="20" w:after="48" w:afterLines="20" w:line="360" w:lineRule="auto"/>
        <w:ind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本招标文件内，带“★”号条款为必须满足条款，否则做废标处理。</w:t>
      </w: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
      <w:pPr>
        <w:pStyle w:val="22"/>
      </w:pPr>
    </w:p>
    <w:p>
      <w:pPr>
        <w:spacing w:line="360" w:lineRule="auto"/>
        <w:jc w:val="center"/>
        <w:outlineLvl w:val="0"/>
        <w:rPr>
          <w:rFonts w:ascii="宋体" w:hAnsi="Calibri" w:eastAsia="宋体" w:cs="Times New Roman"/>
          <w:b/>
          <w:sz w:val="36"/>
          <w:szCs w:val="36"/>
        </w:rPr>
      </w:pPr>
      <w:bookmarkStart w:id="96"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6"/>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7" w:name="_Toc8509"/>
      <w:bookmarkStart w:id="98" w:name="_Toc20872"/>
      <w:bookmarkStart w:id="99"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7"/>
      <w:bookmarkEnd w:id="98"/>
      <w:bookmarkEnd w:id="99"/>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5"/>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G5BMsBAACc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RZ&#10;rV5n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lhuQTLAQAAnAMAAA4AAAAAAAAAAQAgAAAAHgEAAGRycy9lMm9E&#10;b2MueG1sUEsFBgAAAAAGAAYAWQEAAFsFAAAAAA==&#10;">
              <v:fill on="f" focussize="0,0"/>
              <v:stroke on="f"/>
              <v:imagedata o:title=""/>
              <o:lock v:ext="edit" aspectratio="f"/>
              <v:textbox inset="0mm,0mm,0mm,0mm" style="mso-fit-shape-to-text:t;">
                <w:txbxContent>
                  <w:p>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fldChar w:fldCharType="begin"/>
    </w:r>
    <w:r>
      <w:rPr>
        <w:rStyle w:val="45"/>
      </w:rPr>
      <w:instrText xml:space="preserve">PAGE  </w:instrText>
    </w:r>
    <w:r>
      <w:fldChar w:fldCharType="end"/>
    </w:r>
  </w:p>
  <w:p>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3752777" o:spid="_x0000_s3073" o:spt="136" type="#_x0000_t136" style="position:absolute;left:0pt;margin-left:475.7pt;margin-top:562.8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3726737" o:spid="_x0000_s3074" o:spt="136" type="#_x0000_t136" style="position:absolute;left:0pt;margin-left:366.1pt;margin-top:672.4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3088485" o:spid="_x0000_s3075" o:spt="136" type="#_x0000_t136" style="position:absolute;left:0pt;margin-left:256.5pt;margin-top:782.0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2601308" o:spid="_x0000_s3076" o:spt="136" type="#_x0000_t136" style="position:absolute;left:0pt;margin-left:475.7pt;margin-top:357.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2069770" o:spid="_x0000_s3077" o:spt="136" type="#_x0000_t136" style="position:absolute;left:0pt;margin-left:366.1pt;margin-top:467.1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1607985" o:spid="_x0000_s3078" o:spt="136" type="#_x0000_t136" style="position:absolute;left:0pt;margin-left:256.5pt;margin-top:576.7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0754290" o:spid="_x0000_s3079" o:spt="136" type="#_x0000_t136" style="position:absolute;left:0pt;margin-left:146.9pt;margin-top:686.3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0219564" o:spid="_x0000_s3080" o:spt="136" type="#_x0000_t136" style="position:absolute;left:0pt;margin-left:37.3pt;margin-top:795.9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9364550" o:spid="_x0000_s3081" o:spt="136" type="#_x0000_t136" style="position:absolute;left:0pt;margin-left:475.7pt;margin-top:152.1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8424301" o:spid="_x0000_s3082" o:spt="136" type="#_x0000_t136" style="position:absolute;left:0pt;margin-left:366.1pt;margin-top:261.7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8190082" o:spid="_x0000_s3083" o:spt="136" type="#_x0000_t136" style="position:absolute;left:0pt;margin-left:256.5pt;margin-top:371.3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232658" o:spid="_x0000_s3084" o:spt="136" type="#_x0000_t136" style="position:absolute;left:0pt;margin-left:146.9pt;margin-top:480.9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6890977" o:spid="_x0000_s3085" o:spt="136" type="#_x0000_t136" style="position:absolute;left:0pt;margin-left:37.3pt;margin-top:590.5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6212263" o:spid="_x0000_s3086" o:spt="136" type="#_x0000_t136" style="position:absolute;left:0pt;margin-left:-72.3pt;margin-top:700.1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5272661" o:spid="_x0000_s3087" o:spt="136" type="#_x0000_t136" style="position:absolute;left:0pt;margin-left:475.7pt;margin-top:-53.1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884516" o:spid="_x0000_s3088" o:spt="136" type="#_x0000_t136" style="position:absolute;left:0pt;margin-left:366.1pt;margin-top:56.4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183938" o:spid="_x0000_s3089" o:spt="136" type="#_x0000_t136" style="position:absolute;left:0pt;margin-left:256.5pt;margin-top:166.0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3735547" o:spid="_x0000_s3090" o:spt="136" type="#_x0000_t136" style="position:absolute;left:0pt;margin-left:146.9pt;margin-top:275.65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3394316" o:spid="_x0000_s3091" o:spt="136" type="#_x0000_t136" style="position:absolute;left:0pt;margin-left:37.3pt;margin-top:385.2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678378" o:spid="_x0000_s3092" o:spt="136" type="#_x0000_t136" style="position:absolute;left:0pt;margin-left:-72.3pt;margin-top:494.8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520332" o:spid="_x0000_s3093" o:spt="136" type="#_x0000_t136" style="position:absolute;left:0pt;margin-left:256.5pt;margin-top:-39.3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487587" o:spid="_x0000_s3094" o:spt="136" type="#_x0000_t136" style="position:absolute;left:0pt;margin-left:146.9pt;margin-top:70.3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767977" o:spid="_x0000_s3095" o:spt="136" type="#_x0000_t136" style="position:absolute;left:0pt;margin-left:37.3pt;margin-top:179.9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85966" o:spid="_x0000_s3096" o:spt="136" type="#_x0000_t136" style="position:absolute;left:0pt;margin-left:-72.3pt;margin-top:289.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46024" o:spid="_x0000_s3097" o:spt="136" type="#_x0000_t136" style="position:absolute;left:0pt;margin-left:37.3pt;margin-top:-25.4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60745" o:spid="_x0000_s3098" o:spt="136" type="#_x0000_t136" style="position:absolute;left:0pt;margin-left:-72.3pt;margin-top:84.1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rFonts w:hint="eastAsia"/>
        <w:sz w:val="24"/>
        <w:szCs w:val="24"/>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1603118"/>
    <w:multiLevelType w:val="multilevel"/>
    <w:tmpl w:val="716031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9"/>
  </w:num>
  <w:num w:numId="3">
    <w:abstractNumId w:val="3"/>
  </w:num>
  <w:num w:numId="4">
    <w:abstractNumId w:val="8"/>
  </w:num>
  <w:num w:numId="5">
    <w:abstractNumId w:val="10"/>
  </w:num>
  <w:num w:numId="6">
    <w:abstractNumId w:val="4"/>
  </w:num>
  <w:num w:numId="7">
    <w:abstractNumId w:val="2"/>
  </w:num>
  <w:num w:numId="8">
    <w:abstractNumId w:val="6"/>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01113"/>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CB4CE0"/>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7176D2"/>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4937BB"/>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21BD1"/>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2025-12-22T08:27:41Z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