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7881B">
      <w:pPr>
        <w:keepNext w:val="0"/>
        <w:keepLines w:val="0"/>
        <w:pageBreakBefore w:val="0"/>
        <w:widowControl w:val="0"/>
        <w:kinsoku/>
        <w:wordWrap/>
        <w:overflowPunct/>
        <w:topLinePunct w:val="0"/>
        <w:autoSpaceDE w:val="0"/>
        <w:autoSpaceDN w:val="0"/>
        <w:bidi w:val="0"/>
        <w:adjustRightInd/>
        <w:snapToGrid/>
        <w:spacing w:before="150" w:beforeLines="50" w:after="150" w:afterLines="50"/>
        <w:ind w:left="142"/>
        <w:jc w:val="center"/>
        <w:textAlignment w:val="auto"/>
        <w:rPr>
          <w:rFonts w:hint="eastAsia" w:ascii="黑体" w:hAnsi="黑体" w:eastAsia="黑体" w:cs="黑体"/>
          <w:b/>
          <w:w w:val="98"/>
          <w:sz w:val="32"/>
        </w:rPr>
      </w:pPr>
      <w:r>
        <w:rPr>
          <w:rFonts w:hint="eastAsia" w:ascii="黑体" w:hAnsi="黑体" w:eastAsia="黑体" w:cs="黑体"/>
          <w:b/>
          <w:sz w:val="32"/>
          <w:lang w:val="en-US" w:eastAsia="zh-CN"/>
        </w:rPr>
        <w:t>2025</w:t>
      </w:r>
      <w:r>
        <w:rPr>
          <w:rFonts w:hint="eastAsia" w:ascii="黑体" w:hAnsi="黑体" w:eastAsia="黑体" w:cs="黑体"/>
          <w:b/>
          <w:sz w:val="32"/>
          <w:lang w:val="en-US"/>
        </w:rPr>
        <w:t>年</w:t>
      </w:r>
      <w:r>
        <w:rPr>
          <w:rFonts w:hint="eastAsia" w:ascii="黑体" w:hAnsi="黑体" w:eastAsia="黑体" w:cs="黑体"/>
          <w:b/>
          <w:sz w:val="32"/>
        </w:rPr>
        <w:t>重点排污单位信息公开表</w:t>
      </w:r>
      <w:r>
        <w:rPr>
          <w:rFonts w:hint="eastAsia" w:ascii="黑体" w:hAnsi="黑体" w:eastAsia="黑体" w:cs="黑体"/>
          <w:b/>
          <w:w w:val="98"/>
          <w:sz w:val="32"/>
        </w:rPr>
        <w:t xml:space="preserve"> </w:t>
      </w:r>
    </w:p>
    <w:p w14:paraId="3E1349D4">
      <w:pPr>
        <w:pStyle w:val="3"/>
        <w:keepNext w:val="0"/>
        <w:keepLines w:val="0"/>
        <w:pageBreakBefore w:val="0"/>
        <w:widowControl w:val="0"/>
        <w:tabs>
          <w:tab w:val="left" w:pos="7169"/>
        </w:tabs>
        <w:kinsoku/>
        <w:wordWrap/>
        <w:overflowPunct/>
        <w:topLinePunct w:val="0"/>
        <w:autoSpaceDE w:val="0"/>
        <w:autoSpaceDN w:val="0"/>
        <w:bidi w:val="0"/>
        <w:adjustRightInd/>
        <w:snapToGrid w:val="0"/>
        <w:spacing w:before="150" w:beforeLines="50" w:after="150" w:afterLines="50"/>
        <w:ind w:left="0"/>
        <w:jc w:val="center"/>
        <w:textAlignment w:val="auto"/>
        <w:rPr>
          <w:rFonts w:hint="eastAsia" w:ascii="仿宋_GB2312" w:hAnsi="仿宋_GB2312" w:eastAsia="仿宋_GB2312" w:cs="仿宋_GB2312"/>
          <w:spacing w:val="-38"/>
          <w:sz w:val="20"/>
          <w:szCs w:val="20"/>
        </w:rPr>
      </w:pPr>
      <w:r>
        <w:rPr>
          <w:rFonts w:hint="eastAsia" w:ascii="仿宋_GB2312" w:hAnsi="仿宋_GB2312" w:eastAsia="仿宋_GB2312" w:cs="仿宋_GB2312"/>
          <w:spacing w:val="-1"/>
          <w:sz w:val="20"/>
          <w:szCs w:val="20"/>
          <w:lang w:val="en-US" w:eastAsia="zh-CN"/>
        </w:rPr>
        <w:t xml:space="preserve">                                                                                                               </w:t>
      </w:r>
      <w:r>
        <w:rPr>
          <w:rFonts w:hint="eastAsia" w:ascii="仿宋_GB2312" w:hAnsi="仿宋_GB2312" w:eastAsia="仿宋_GB2312" w:cs="仿宋_GB2312"/>
          <w:spacing w:val="-1"/>
          <w:sz w:val="20"/>
          <w:szCs w:val="20"/>
        </w:rPr>
        <w:t>公开时间</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lang w:eastAsia="zh-CN"/>
        </w:rPr>
        <w:t>202</w:t>
      </w:r>
      <w:r>
        <w:rPr>
          <w:rFonts w:hint="eastAsia" w:ascii="仿宋_GB2312" w:hAnsi="仿宋_GB2312" w:eastAsia="仿宋_GB2312" w:cs="仿宋_GB2312"/>
          <w:sz w:val="20"/>
          <w:szCs w:val="20"/>
          <w:lang w:val="en-US" w:eastAsia="zh-CN"/>
        </w:rPr>
        <w:t xml:space="preserve">6 </w:t>
      </w:r>
      <w:r>
        <w:rPr>
          <w:rFonts w:hint="eastAsia" w:ascii="仿宋_GB2312" w:hAnsi="仿宋_GB2312" w:eastAsia="仿宋_GB2312" w:cs="仿宋_GB2312"/>
          <w:spacing w:val="-38"/>
          <w:sz w:val="20"/>
          <w:szCs w:val="20"/>
        </w:rPr>
        <w:t>年</w:t>
      </w:r>
      <w:r>
        <w:rPr>
          <w:rFonts w:hint="eastAsia" w:ascii="仿宋_GB2312" w:hAnsi="仿宋_GB2312" w:eastAsia="仿宋_GB2312" w:cs="仿宋_GB2312"/>
          <w:spacing w:val="-38"/>
          <w:sz w:val="20"/>
          <w:szCs w:val="20"/>
          <w:lang w:val="en-US" w:eastAsia="zh-CN"/>
        </w:rPr>
        <w:t xml:space="preserve"> 1 </w:t>
      </w:r>
      <w:r>
        <w:rPr>
          <w:rFonts w:hint="eastAsia" w:ascii="仿宋_GB2312" w:hAnsi="仿宋_GB2312" w:eastAsia="仿宋_GB2312" w:cs="仿宋_GB2312"/>
          <w:spacing w:val="-38"/>
          <w:sz w:val="20"/>
          <w:szCs w:val="20"/>
        </w:rPr>
        <w:t>月</w:t>
      </w:r>
    </w:p>
    <w:tbl>
      <w:tblPr>
        <w:tblStyle w:val="7"/>
        <w:tblW w:w="14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506"/>
        <w:gridCol w:w="1734"/>
        <w:gridCol w:w="3336"/>
        <w:gridCol w:w="294"/>
        <w:gridCol w:w="1101"/>
        <w:gridCol w:w="2686"/>
        <w:gridCol w:w="2878"/>
      </w:tblGrid>
      <w:tr w14:paraId="69A4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92" w:type="dxa"/>
            <w:vMerge w:val="restart"/>
            <w:vAlign w:val="center"/>
          </w:tcPr>
          <w:p w14:paraId="65FC6862">
            <w:pPr>
              <w:pStyle w:val="11"/>
              <w:jc w:val="center"/>
              <w:rPr>
                <w:rFonts w:ascii="黑体" w:hAnsi="黑体" w:eastAsia="黑体"/>
                <w:spacing w:val="-1"/>
                <w:w w:val="95"/>
                <w:lang w:val="en-US"/>
              </w:rPr>
            </w:pPr>
            <w:r>
              <w:rPr>
                <w:rFonts w:ascii="黑体" w:hAnsi="黑体" w:eastAsia="黑体"/>
                <w:spacing w:val="-1"/>
                <w:w w:val="95"/>
                <w:lang w:val="en-US"/>
              </w:rPr>
              <w:t>基础</w:t>
            </w:r>
          </w:p>
          <w:p w14:paraId="5B0A9F10">
            <w:pPr>
              <w:pStyle w:val="11"/>
              <w:jc w:val="center"/>
            </w:pPr>
            <w:r>
              <w:rPr>
                <w:rFonts w:ascii="黑体" w:hAnsi="黑体" w:eastAsia="黑体"/>
                <w:spacing w:val="-1"/>
                <w:w w:val="95"/>
                <w:lang w:val="en-US"/>
              </w:rPr>
              <w:t>信息</w:t>
            </w:r>
          </w:p>
        </w:tc>
        <w:tc>
          <w:tcPr>
            <w:tcW w:w="1506" w:type="dxa"/>
            <w:vAlign w:val="center"/>
          </w:tcPr>
          <w:p w14:paraId="51B19F20">
            <w:pPr>
              <w:pStyle w:val="11"/>
              <w:jc w:val="center"/>
              <w:rPr>
                <w:rFonts w:ascii="黑体" w:hAnsi="黑体" w:eastAsia="黑体"/>
                <w:spacing w:val="-1"/>
                <w:w w:val="95"/>
              </w:rPr>
            </w:pPr>
            <w:r>
              <w:rPr>
                <w:rFonts w:ascii="黑体" w:hAnsi="黑体" w:eastAsia="黑体"/>
                <w:spacing w:val="-1"/>
                <w:w w:val="95"/>
              </w:rPr>
              <w:t>单位名称</w:t>
            </w:r>
          </w:p>
        </w:tc>
        <w:tc>
          <w:tcPr>
            <w:tcW w:w="5070" w:type="dxa"/>
            <w:gridSpan w:val="2"/>
            <w:vAlign w:val="center"/>
          </w:tcPr>
          <w:p w14:paraId="01428416">
            <w:pPr>
              <w:pStyle w:val="11"/>
              <w:jc w:val="center"/>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eastAsia="zh-CN"/>
              </w:rPr>
              <w:t>中国重汽集团济南汽车部件有限公司</w:t>
            </w:r>
          </w:p>
        </w:tc>
        <w:tc>
          <w:tcPr>
            <w:tcW w:w="1395" w:type="dxa"/>
            <w:gridSpan w:val="2"/>
            <w:vAlign w:val="center"/>
          </w:tcPr>
          <w:p w14:paraId="4704B252">
            <w:pPr>
              <w:pStyle w:val="11"/>
              <w:jc w:val="center"/>
              <w:rPr>
                <w:rFonts w:ascii="黑体" w:hAnsi="黑体" w:eastAsia="黑体"/>
                <w:spacing w:val="-1"/>
                <w:w w:val="95"/>
              </w:rPr>
            </w:pPr>
            <w:r>
              <w:rPr>
                <w:rFonts w:ascii="黑体" w:hAnsi="黑体" w:eastAsia="黑体"/>
                <w:spacing w:val="-1"/>
                <w:w w:val="95"/>
              </w:rPr>
              <w:t>统一信用代码</w:t>
            </w:r>
          </w:p>
        </w:tc>
        <w:tc>
          <w:tcPr>
            <w:tcW w:w="5564" w:type="dxa"/>
            <w:gridSpan w:val="2"/>
            <w:vAlign w:val="center"/>
          </w:tcPr>
          <w:p w14:paraId="3DCBF830">
            <w:pPr>
              <w:pStyle w:val="11"/>
              <w:spacing w:before="171" w:line="360" w:lineRule="auto"/>
              <w:ind w:left="546" w:right="434"/>
              <w:jc w:val="center"/>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91370181MA3REL3Y80</w:t>
            </w:r>
          </w:p>
        </w:tc>
      </w:tr>
      <w:tr w14:paraId="0C2E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92" w:type="dxa"/>
            <w:vMerge w:val="continue"/>
            <w:vAlign w:val="center"/>
          </w:tcPr>
          <w:p w14:paraId="21469C21">
            <w:pPr>
              <w:pStyle w:val="3"/>
              <w:tabs>
                <w:tab w:val="left" w:pos="7169"/>
              </w:tabs>
              <w:spacing w:before="280"/>
              <w:jc w:val="center"/>
            </w:pPr>
          </w:p>
        </w:tc>
        <w:tc>
          <w:tcPr>
            <w:tcW w:w="1506" w:type="dxa"/>
            <w:vAlign w:val="center"/>
          </w:tcPr>
          <w:p w14:paraId="2ECE1814">
            <w:pPr>
              <w:pStyle w:val="11"/>
              <w:spacing w:before="15"/>
              <w:ind w:right="158"/>
              <w:jc w:val="center"/>
              <w:rPr>
                <w:rFonts w:ascii="黑体" w:hAnsi="黑体" w:eastAsia="黑体"/>
              </w:rPr>
            </w:pPr>
            <w:r>
              <w:rPr>
                <w:rFonts w:hint="eastAsia" w:ascii="黑体" w:hAnsi="黑体" w:eastAsia="黑体"/>
                <w:spacing w:val="-1"/>
                <w:w w:val="95"/>
                <w:lang w:val="en-US"/>
              </w:rPr>
              <w:t>单位</w:t>
            </w:r>
            <w:r>
              <w:rPr>
                <w:rFonts w:ascii="黑体" w:hAnsi="黑体" w:eastAsia="黑体"/>
                <w:spacing w:val="-1"/>
                <w:w w:val="95"/>
              </w:rPr>
              <w:t>负责人</w:t>
            </w:r>
          </w:p>
        </w:tc>
        <w:tc>
          <w:tcPr>
            <w:tcW w:w="5070" w:type="dxa"/>
            <w:gridSpan w:val="2"/>
            <w:vAlign w:val="center"/>
          </w:tcPr>
          <w:p w14:paraId="42E5E96A">
            <w:pPr>
              <w:pStyle w:val="11"/>
              <w:spacing w:before="171" w:line="360" w:lineRule="auto"/>
              <w:ind w:left="546" w:right="434"/>
              <w:jc w:val="center"/>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石小锐</w:t>
            </w:r>
          </w:p>
        </w:tc>
        <w:tc>
          <w:tcPr>
            <w:tcW w:w="1395" w:type="dxa"/>
            <w:gridSpan w:val="2"/>
            <w:vAlign w:val="center"/>
          </w:tcPr>
          <w:p w14:paraId="7CB7EF99">
            <w:pPr>
              <w:pStyle w:val="11"/>
              <w:spacing w:before="171"/>
              <w:ind w:left="106"/>
              <w:jc w:val="center"/>
              <w:rPr>
                <w:rFonts w:ascii="黑体" w:hAnsi="黑体" w:eastAsia="黑体"/>
                <w:spacing w:val="-1"/>
                <w:w w:val="95"/>
              </w:rPr>
            </w:pPr>
            <w:r>
              <w:rPr>
                <w:rFonts w:ascii="黑体" w:hAnsi="黑体" w:eastAsia="黑体"/>
                <w:spacing w:val="-1"/>
                <w:w w:val="95"/>
              </w:rPr>
              <w:t>联系电话</w:t>
            </w:r>
          </w:p>
        </w:tc>
        <w:tc>
          <w:tcPr>
            <w:tcW w:w="5564" w:type="dxa"/>
            <w:gridSpan w:val="2"/>
            <w:vAlign w:val="center"/>
          </w:tcPr>
          <w:p w14:paraId="3773E05A">
            <w:pPr>
              <w:pStyle w:val="11"/>
              <w:spacing w:before="171" w:line="360" w:lineRule="auto"/>
              <w:ind w:left="546" w:right="434"/>
              <w:jc w:val="center"/>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58069395</w:t>
            </w:r>
          </w:p>
        </w:tc>
      </w:tr>
      <w:tr w14:paraId="2856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92" w:type="dxa"/>
            <w:vMerge w:val="continue"/>
            <w:vAlign w:val="center"/>
          </w:tcPr>
          <w:p w14:paraId="6BB53711">
            <w:pPr>
              <w:pStyle w:val="3"/>
              <w:tabs>
                <w:tab w:val="left" w:pos="7169"/>
              </w:tabs>
              <w:spacing w:before="280"/>
              <w:jc w:val="center"/>
            </w:pPr>
          </w:p>
        </w:tc>
        <w:tc>
          <w:tcPr>
            <w:tcW w:w="1506" w:type="dxa"/>
            <w:vAlign w:val="center"/>
          </w:tcPr>
          <w:p w14:paraId="03CBE2BD">
            <w:pPr>
              <w:pStyle w:val="11"/>
              <w:spacing w:before="15"/>
              <w:jc w:val="center"/>
              <w:rPr>
                <w:rFonts w:ascii="黑体" w:hAnsi="黑体" w:eastAsia="黑体"/>
                <w:spacing w:val="-1"/>
                <w:w w:val="95"/>
              </w:rPr>
            </w:pPr>
            <w:r>
              <w:rPr>
                <w:rFonts w:ascii="黑体" w:hAnsi="黑体" w:eastAsia="黑体"/>
                <w:spacing w:val="-1"/>
                <w:w w:val="95"/>
              </w:rPr>
              <w:t>生产地址</w:t>
            </w:r>
          </w:p>
        </w:tc>
        <w:tc>
          <w:tcPr>
            <w:tcW w:w="12029" w:type="dxa"/>
            <w:gridSpan w:val="6"/>
            <w:vAlign w:val="center"/>
          </w:tcPr>
          <w:p w14:paraId="4E5681BD">
            <w:pPr>
              <w:pStyle w:val="11"/>
              <w:keepNext w:val="0"/>
              <w:keepLines w:val="0"/>
              <w:pageBreakBefore w:val="0"/>
              <w:widowControl w:val="0"/>
              <w:kinsoku/>
              <w:wordWrap/>
              <w:overflowPunct/>
              <w:topLinePunct w:val="0"/>
              <w:autoSpaceDE w:val="0"/>
              <w:autoSpaceDN w:val="0"/>
              <w:bidi w:val="0"/>
              <w:adjustRightInd/>
              <w:snapToGrid/>
              <w:spacing w:line="240" w:lineRule="auto"/>
              <w:ind w:left="544"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济南市章丘区圣井街道潘王路西重汽工业园北三厂</w:t>
            </w:r>
          </w:p>
        </w:tc>
      </w:tr>
      <w:tr w14:paraId="3A37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992" w:type="dxa"/>
            <w:vMerge w:val="continue"/>
            <w:vAlign w:val="center"/>
          </w:tcPr>
          <w:p w14:paraId="6E2D83D9">
            <w:pPr>
              <w:pStyle w:val="3"/>
              <w:tabs>
                <w:tab w:val="left" w:pos="7169"/>
              </w:tabs>
              <w:spacing w:before="280"/>
              <w:jc w:val="center"/>
            </w:pPr>
          </w:p>
        </w:tc>
        <w:tc>
          <w:tcPr>
            <w:tcW w:w="1506" w:type="dxa"/>
            <w:vAlign w:val="center"/>
          </w:tcPr>
          <w:p w14:paraId="12910B50">
            <w:pPr>
              <w:pStyle w:val="11"/>
              <w:jc w:val="center"/>
              <w:rPr>
                <w:rFonts w:ascii="黑体" w:hAnsi="黑体" w:eastAsia="黑体"/>
                <w:spacing w:val="-1"/>
                <w:w w:val="95"/>
              </w:rPr>
            </w:pPr>
            <w:r>
              <w:rPr>
                <w:rFonts w:ascii="黑体" w:hAnsi="黑体" w:eastAsia="黑体"/>
                <w:spacing w:val="-1"/>
                <w:w w:val="95"/>
              </w:rPr>
              <w:t>产品及企业规模简介</w:t>
            </w:r>
          </w:p>
        </w:tc>
        <w:tc>
          <w:tcPr>
            <w:tcW w:w="12029" w:type="dxa"/>
            <w:gridSpan w:val="6"/>
            <w:vAlign w:val="center"/>
          </w:tcPr>
          <w:p w14:paraId="3CBBAF30">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16" w:firstLineChars="20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中国重汽集团济南汽车部件有限公司位于济南市章丘区明水经济开发区，现有大型生产流水线50余条，产品以中重型商用车底盘零部件为主，是集重卡传动轴总成、鞍座总成、转向拉杆总成、平衡轴带轴壳总成、推力杆总成、等速驱动轴总成、转向管柱总成、铸铝零部件、车轮总成、底盘零部件生产为一体的综合性汽车零部件生产企业，年配套能力达40万辆份。</w:t>
            </w:r>
          </w:p>
          <w:p w14:paraId="0B74591B">
            <w:pPr>
              <w:pStyle w:val="11"/>
              <w:keepNext w:val="0"/>
              <w:keepLines w:val="0"/>
              <w:pageBreakBefore w:val="0"/>
              <w:widowControl w:val="0"/>
              <w:kinsoku/>
              <w:wordWrap/>
              <w:overflowPunct/>
              <w:topLinePunct w:val="0"/>
              <w:autoSpaceDE w:val="0"/>
              <w:autoSpaceDN w:val="0"/>
              <w:bidi w:val="0"/>
              <w:adjustRightInd/>
              <w:snapToGrid/>
              <w:spacing w:line="240" w:lineRule="auto"/>
              <w:ind w:right="0" w:firstLine="416" w:firstLineChars="20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其中建设项目环评有：提升零部件技术水平和质量技术改造项目、传动轴厂提升能力搬迁技术改造项目、中国重汽集团济南商用车有限公司无内胎车轮自动化生产线建设和车轮涂装线延长改造项目等，都已获取章丘区环保局竣工环境保护验收批复。目前我公司主要从事汽车零部件及配件制造，主要产品鞍座、 平衡轴、操纵器、制动蹄、推力杆、踏板等。</w:t>
            </w:r>
          </w:p>
        </w:tc>
      </w:tr>
      <w:tr w14:paraId="3DDF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992" w:type="dxa"/>
            <w:vMerge w:val="restart"/>
            <w:vAlign w:val="center"/>
          </w:tcPr>
          <w:p w14:paraId="4ABA9535">
            <w:pPr>
              <w:pStyle w:val="11"/>
              <w:spacing w:before="1" w:line="266" w:lineRule="auto"/>
              <w:ind w:right="89"/>
              <w:jc w:val="center"/>
              <w:rPr>
                <w:rFonts w:ascii="黑体" w:hAnsi="黑体" w:eastAsia="黑体"/>
                <w:spacing w:val="-1"/>
                <w:w w:val="95"/>
              </w:rPr>
            </w:pPr>
            <w:r>
              <w:rPr>
                <w:rFonts w:ascii="黑体" w:hAnsi="黑体" w:eastAsia="黑体"/>
                <w:spacing w:val="-1"/>
                <w:w w:val="95"/>
              </w:rPr>
              <w:t>排污</w:t>
            </w:r>
          </w:p>
          <w:p w14:paraId="64C74A8A">
            <w:pPr>
              <w:pStyle w:val="11"/>
              <w:spacing w:before="1" w:line="266" w:lineRule="auto"/>
              <w:ind w:right="89"/>
              <w:jc w:val="center"/>
              <w:rPr>
                <w:b/>
              </w:rPr>
            </w:pPr>
            <w:r>
              <w:rPr>
                <w:rFonts w:ascii="黑体" w:hAnsi="黑体" w:eastAsia="黑体"/>
                <w:spacing w:val="-1"/>
                <w:w w:val="95"/>
              </w:rPr>
              <w:t>信息</w:t>
            </w:r>
          </w:p>
        </w:tc>
        <w:tc>
          <w:tcPr>
            <w:tcW w:w="1506" w:type="dxa"/>
            <w:vMerge w:val="restart"/>
            <w:vAlign w:val="center"/>
          </w:tcPr>
          <w:p w14:paraId="3409A6E0">
            <w:pPr>
              <w:pStyle w:val="11"/>
              <w:jc w:val="center"/>
              <w:rPr>
                <w:rFonts w:ascii="黑体" w:hAnsi="黑体" w:eastAsia="黑体"/>
                <w:spacing w:val="-1"/>
                <w:w w:val="95"/>
              </w:rPr>
            </w:pPr>
            <w:r>
              <w:rPr>
                <w:rFonts w:ascii="黑体" w:hAnsi="黑体" w:eastAsia="黑体"/>
                <w:spacing w:val="-1"/>
                <w:w w:val="95"/>
              </w:rPr>
              <w:t>水环境</w:t>
            </w:r>
          </w:p>
        </w:tc>
        <w:tc>
          <w:tcPr>
            <w:tcW w:w="1734" w:type="dxa"/>
            <w:vAlign w:val="center"/>
          </w:tcPr>
          <w:p w14:paraId="458374CB">
            <w:pPr>
              <w:pStyle w:val="11"/>
              <w:spacing w:before="15"/>
              <w:jc w:val="center"/>
              <w:rPr>
                <w:rFonts w:hint="eastAsia" w:ascii="黑体" w:hAnsi="黑体" w:eastAsia="黑体"/>
                <w:spacing w:val="-1"/>
                <w:w w:val="95"/>
              </w:rPr>
            </w:pPr>
            <w:r>
              <w:rPr>
                <w:rFonts w:hint="eastAsia" w:ascii="黑体" w:hAnsi="黑体" w:eastAsia="黑体"/>
                <w:spacing w:val="-1"/>
                <w:w w:val="95"/>
              </w:rPr>
              <w:t>主要污染物名称</w:t>
            </w:r>
          </w:p>
        </w:tc>
        <w:tc>
          <w:tcPr>
            <w:tcW w:w="3630" w:type="dxa"/>
            <w:gridSpan w:val="2"/>
            <w:vAlign w:val="center"/>
          </w:tcPr>
          <w:p w14:paraId="50D84FE2">
            <w:pPr>
              <w:pStyle w:val="11"/>
              <w:keepNext w:val="0"/>
              <w:keepLines w:val="0"/>
              <w:pageBreakBefore w:val="0"/>
              <w:widowControl w:val="0"/>
              <w:kinsoku/>
              <w:wordWrap/>
              <w:overflowPunct/>
              <w:topLinePunct w:val="0"/>
              <w:autoSpaceDE w:val="0"/>
              <w:autoSpaceDN w:val="0"/>
              <w:bidi w:val="0"/>
              <w:adjustRightInd/>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废水主要来源于济南部件公司厂区生活污水和经预处理达到《污水排入城镇下水道水质标准》的工业废水</w:t>
            </w:r>
          </w:p>
        </w:tc>
        <w:tc>
          <w:tcPr>
            <w:tcW w:w="1101" w:type="dxa"/>
            <w:vAlign w:val="center"/>
          </w:tcPr>
          <w:p w14:paraId="3CAC4E48">
            <w:pPr>
              <w:pStyle w:val="11"/>
              <w:keepNext w:val="0"/>
              <w:keepLines w:val="0"/>
              <w:pageBreakBefore w:val="0"/>
              <w:widowControl w:val="0"/>
              <w:kinsoku/>
              <w:wordWrap/>
              <w:overflowPunct/>
              <w:topLinePunct w:val="0"/>
              <w:autoSpaceDE w:val="0"/>
              <w:autoSpaceDN w:val="0"/>
              <w:bidi w:val="0"/>
              <w:adjustRightInd/>
              <w:snapToGrid/>
              <w:spacing w:before="15"/>
              <w:ind w:right="0"/>
              <w:jc w:val="center"/>
              <w:textAlignment w:val="auto"/>
              <w:rPr>
                <w:rFonts w:hint="eastAsia" w:ascii="黑体" w:hAnsi="黑体" w:eastAsia="黑体"/>
                <w:spacing w:val="-1"/>
                <w:w w:val="95"/>
              </w:rPr>
            </w:pPr>
            <w:r>
              <w:rPr>
                <w:rFonts w:hint="eastAsia" w:ascii="黑体" w:hAnsi="黑体" w:eastAsia="黑体"/>
                <w:spacing w:val="-1"/>
                <w:w w:val="95"/>
              </w:rPr>
              <w:t>排放方式</w:t>
            </w:r>
          </w:p>
        </w:tc>
        <w:tc>
          <w:tcPr>
            <w:tcW w:w="5564" w:type="dxa"/>
            <w:gridSpan w:val="2"/>
            <w:vAlign w:val="center"/>
          </w:tcPr>
          <w:p w14:paraId="1DEDB1B0">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废水经综合污水处理站处理后达标排入光大水务运营有限公司章丘第三污水处理厂。</w:t>
            </w:r>
            <w:bookmarkStart w:id="0" w:name="_GoBack"/>
            <w:bookmarkEnd w:id="0"/>
          </w:p>
        </w:tc>
      </w:tr>
      <w:tr w14:paraId="489B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92" w:type="dxa"/>
            <w:vMerge w:val="continue"/>
            <w:vAlign w:val="center"/>
          </w:tcPr>
          <w:p w14:paraId="03FC4926">
            <w:pPr>
              <w:pStyle w:val="11"/>
              <w:spacing w:before="1" w:line="266" w:lineRule="auto"/>
              <w:ind w:right="89"/>
              <w:jc w:val="center"/>
              <w:rPr>
                <w:b/>
              </w:rPr>
            </w:pPr>
          </w:p>
        </w:tc>
        <w:tc>
          <w:tcPr>
            <w:tcW w:w="1506" w:type="dxa"/>
            <w:vMerge w:val="continue"/>
            <w:vAlign w:val="center"/>
          </w:tcPr>
          <w:p w14:paraId="4DD3F47D">
            <w:pPr>
              <w:pStyle w:val="11"/>
              <w:jc w:val="center"/>
              <w:rPr>
                <w:b/>
              </w:rPr>
            </w:pPr>
          </w:p>
        </w:tc>
        <w:tc>
          <w:tcPr>
            <w:tcW w:w="1734" w:type="dxa"/>
            <w:vAlign w:val="center"/>
          </w:tcPr>
          <w:p w14:paraId="1E142B50">
            <w:pPr>
              <w:pStyle w:val="11"/>
              <w:spacing w:before="15"/>
              <w:jc w:val="center"/>
              <w:rPr>
                <w:rFonts w:hint="eastAsia" w:ascii="黑体" w:hAnsi="黑体" w:eastAsia="黑体"/>
                <w:spacing w:val="-1"/>
                <w:w w:val="95"/>
              </w:rPr>
            </w:pPr>
            <w:r>
              <w:rPr>
                <w:rFonts w:hint="eastAsia" w:ascii="黑体" w:hAnsi="黑体" w:eastAsia="黑体"/>
                <w:spacing w:val="-1"/>
                <w:w w:val="95"/>
              </w:rPr>
              <w:t>排放口数量和分布情况</w:t>
            </w:r>
          </w:p>
        </w:tc>
        <w:tc>
          <w:tcPr>
            <w:tcW w:w="3630" w:type="dxa"/>
            <w:gridSpan w:val="2"/>
            <w:vAlign w:val="center"/>
          </w:tcPr>
          <w:p w14:paraId="669FB285">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废水总排放口一个,位于厂区西北角</w:t>
            </w:r>
          </w:p>
        </w:tc>
        <w:tc>
          <w:tcPr>
            <w:tcW w:w="1101" w:type="dxa"/>
            <w:vAlign w:val="center"/>
          </w:tcPr>
          <w:p w14:paraId="04C75096">
            <w:pPr>
              <w:pStyle w:val="11"/>
              <w:keepNext w:val="0"/>
              <w:keepLines w:val="0"/>
              <w:pageBreakBefore w:val="0"/>
              <w:widowControl w:val="0"/>
              <w:kinsoku/>
              <w:wordWrap/>
              <w:overflowPunct/>
              <w:topLinePunct w:val="0"/>
              <w:autoSpaceDE w:val="0"/>
              <w:autoSpaceDN w:val="0"/>
              <w:bidi w:val="0"/>
              <w:adjustRightInd/>
              <w:snapToGrid/>
              <w:spacing w:before="15"/>
              <w:ind w:right="0"/>
              <w:jc w:val="center"/>
              <w:textAlignment w:val="auto"/>
              <w:rPr>
                <w:rFonts w:hint="eastAsia" w:ascii="黑体" w:hAnsi="黑体" w:eastAsia="黑体"/>
                <w:spacing w:val="-1"/>
                <w:w w:val="95"/>
              </w:rPr>
            </w:pPr>
            <w:r>
              <w:rPr>
                <w:rFonts w:hint="eastAsia" w:ascii="黑体" w:hAnsi="黑体" w:eastAsia="黑体"/>
                <w:spacing w:val="-1"/>
                <w:w w:val="95"/>
              </w:rPr>
              <w:t>超标情况</w:t>
            </w:r>
          </w:p>
        </w:tc>
        <w:tc>
          <w:tcPr>
            <w:tcW w:w="5564" w:type="dxa"/>
            <w:gridSpan w:val="2"/>
            <w:vAlign w:val="center"/>
          </w:tcPr>
          <w:p w14:paraId="1CFEA32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达标排放</w:t>
            </w:r>
          </w:p>
        </w:tc>
      </w:tr>
      <w:tr w14:paraId="581D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992" w:type="dxa"/>
            <w:vMerge w:val="continue"/>
            <w:vAlign w:val="center"/>
          </w:tcPr>
          <w:p w14:paraId="0B4E59AB">
            <w:pPr>
              <w:pStyle w:val="11"/>
              <w:spacing w:before="1" w:line="266" w:lineRule="auto"/>
              <w:ind w:right="89"/>
              <w:jc w:val="center"/>
              <w:rPr>
                <w:b/>
              </w:rPr>
            </w:pPr>
          </w:p>
        </w:tc>
        <w:tc>
          <w:tcPr>
            <w:tcW w:w="1506" w:type="dxa"/>
            <w:vMerge w:val="continue"/>
            <w:vAlign w:val="center"/>
          </w:tcPr>
          <w:p w14:paraId="3AF4DB9D">
            <w:pPr>
              <w:pStyle w:val="11"/>
              <w:jc w:val="center"/>
              <w:rPr>
                <w:b/>
              </w:rPr>
            </w:pPr>
          </w:p>
        </w:tc>
        <w:tc>
          <w:tcPr>
            <w:tcW w:w="1734" w:type="dxa"/>
            <w:vAlign w:val="center"/>
          </w:tcPr>
          <w:p w14:paraId="557144B2">
            <w:pPr>
              <w:pStyle w:val="11"/>
              <w:spacing w:before="15"/>
              <w:jc w:val="center"/>
              <w:rPr>
                <w:rFonts w:hint="eastAsia" w:ascii="黑体" w:hAnsi="黑体" w:eastAsia="黑体"/>
                <w:spacing w:val="-1"/>
                <w:w w:val="95"/>
              </w:rPr>
            </w:pPr>
            <w:r>
              <w:rPr>
                <w:rFonts w:hint="eastAsia" w:ascii="黑体" w:hAnsi="黑体" w:eastAsia="黑体"/>
                <w:spacing w:val="-1"/>
                <w:w w:val="95"/>
              </w:rPr>
              <w:t>执行的污染物排放标准</w:t>
            </w:r>
          </w:p>
        </w:tc>
        <w:tc>
          <w:tcPr>
            <w:tcW w:w="3630" w:type="dxa"/>
            <w:gridSpan w:val="2"/>
            <w:vAlign w:val="center"/>
          </w:tcPr>
          <w:p w14:paraId="12D8C785">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污水排入城镇下水道水质标准GB/T 31962-2015</w:t>
            </w:r>
          </w:p>
        </w:tc>
        <w:tc>
          <w:tcPr>
            <w:tcW w:w="1101" w:type="dxa"/>
            <w:vAlign w:val="center"/>
          </w:tcPr>
          <w:p w14:paraId="14480357">
            <w:pPr>
              <w:pStyle w:val="11"/>
              <w:keepNext w:val="0"/>
              <w:keepLines w:val="0"/>
              <w:pageBreakBefore w:val="0"/>
              <w:widowControl w:val="0"/>
              <w:kinsoku/>
              <w:wordWrap/>
              <w:overflowPunct/>
              <w:topLinePunct w:val="0"/>
              <w:autoSpaceDE w:val="0"/>
              <w:autoSpaceDN w:val="0"/>
              <w:bidi w:val="0"/>
              <w:adjustRightInd/>
              <w:snapToGrid/>
              <w:spacing w:before="15"/>
              <w:ind w:right="0"/>
              <w:jc w:val="center"/>
              <w:textAlignment w:val="auto"/>
              <w:rPr>
                <w:rFonts w:hint="eastAsia" w:ascii="黑体" w:hAnsi="黑体" w:eastAsia="黑体"/>
                <w:spacing w:val="-1"/>
                <w:w w:val="95"/>
              </w:rPr>
            </w:pPr>
            <w:r>
              <w:rPr>
                <w:rFonts w:hint="eastAsia" w:ascii="黑体" w:hAnsi="黑体" w:eastAsia="黑体"/>
                <w:spacing w:val="-1"/>
                <w:w w:val="95"/>
                <w:lang w:eastAsia="zh-CN"/>
              </w:rPr>
              <w:t>202</w:t>
            </w:r>
            <w:r>
              <w:rPr>
                <w:rFonts w:hint="eastAsia" w:ascii="黑体" w:hAnsi="黑体" w:eastAsia="黑体"/>
                <w:spacing w:val="-1"/>
                <w:w w:val="95"/>
                <w:lang w:val="en-US" w:eastAsia="zh-CN"/>
              </w:rPr>
              <w:t>5</w:t>
            </w:r>
            <w:r>
              <w:rPr>
                <w:rFonts w:hint="eastAsia" w:ascii="黑体" w:hAnsi="黑体" w:eastAsia="黑体"/>
                <w:spacing w:val="-1"/>
                <w:w w:val="95"/>
              </w:rPr>
              <w:t>年排放浓度</w:t>
            </w:r>
          </w:p>
        </w:tc>
        <w:tc>
          <w:tcPr>
            <w:tcW w:w="5564" w:type="dxa"/>
            <w:gridSpan w:val="2"/>
            <w:vAlign w:val="center"/>
          </w:tcPr>
          <w:p w14:paraId="30F2691E">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b w:val="0"/>
                <w:bCs w:val="0"/>
                <w:color w:val="000000"/>
                <w:sz w:val="20"/>
                <w:szCs w:val="20"/>
                <w:lang w:val="en-US" w:eastAsia="zh-CN"/>
              </w:rPr>
            </w:pPr>
            <w:r>
              <w:rPr>
                <w:rFonts w:hint="eastAsia" w:ascii="仿宋_GB2312" w:hAnsi="仿宋_GB2312" w:eastAsia="仿宋_GB2312" w:cs="仿宋_GB2312"/>
                <w:b w:val="0"/>
                <w:bCs w:val="0"/>
                <w:color w:val="000000"/>
                <w:sz w:val="20"/>
                <w:szCs w:val="20"/>
              </w:rPr>
              <w:t>五日生化需氧量 （BOD</w:t>
            </w:r>
            <w:r>
              <w:rPr>
                <w:rFonts w:hint="eastAsia" w:ascii="仿宋_GB2312" w:hAnsi="仿宋_GB2312" w:eastAsia="仿宋_GB2312" w:cs="仿宋_GB2312"/>
                <w:b w:val="0"/>
                <w:bCs w:val="0"/>
                <w:color w:val="000000"/>
                <w:sz w:val="13"/>
                <w:szCs w:val="13"/>
              </w:rPr>
              <w:t>5</w:t>
            </w:r>
            <w:r>
              <w:rPr>
                <w:rFonts w:hint="eastAsia" w:ascii="仿宋_GB2312" w:hAnsi="仿宋_GB2312" w:eastAsia="仿宋_GB2312" w:cs="仿宋_GB2312"/>
                <w:b w:val="0"/>
                <w:bCs w:val="0"/>
                <w:color w:val="000000"/>
                <w:sz w:val="20"/>
                <w:szCs w:val="20"/>
              </w:rPr>
              <w:t>）</w:t>
            </w:r>
            <w:r>
              <w:rPr>
                <w:rFonts w:hint="eastAsia" w:ascii="仿宋_GB2312" w:hAnsi="仿宋_GB2312" w:eastAsia="仿宋_GB2312" w:cs="仿宋_GB2312"/>
                <w:b w:val="0"/>
                <w:bCs w:val="0"/>
                <w:color w:val="000000"/>
                <w:sz w:val="20"/>
                <w:szCs w:val="20"/>
                <w:lang w:eastAsia="zh-CN"/>
              </w:rPr>
              <w:t>：</w:t>
            </w:r>
            <w:r>
              <w:rPr>
                <w:rFonts w:hint="eastAsia" w:ascii="仿宋_GB2312" w:hAnsi="仿宋_GB2312" w:eastAsia="仿宋_GB2312" w:cs="仿宋_GB2312"/>
                <w:b w:val="0"/>
                <w:bCs w:val="0"/>
                <w:color w:val="000000"/>
                <w:sz w:val="20"/>
                <w:szCs w:val="20"/>
              </w:rPr>
              <w:t>13.2</w:t>
            </w:r>
            <w:r>
              <w:rPr>
                <w:rFonts w:hint="eastAsia" w:ascii="仿宋_GB2312" w:hAnsi="仿宋_GB2312" w:eastAsia="仿宋_GB2312" w:cs="仿宋_GB2312"/>
                <w:spacing w:val="-1"/>
                <w:sz w:val="21"/>
                <w:szCs w:val="21"/>
                <w:lang w:val="en-US" w:eastAsia="zh-CN"/>
              </w:rPr>
              <w:t>mg/L</w:t>
            </w:r>
          </w:p>
          <w:p w14:paraId="3387088B">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b w:val="0"/>
                <w:bCs w:val="0"/>
                <w:color w:val="000000"/>
                <w:sz w:val="20"/>
                <w:szCs w:val="20"/>
                <w:lang w:val="en-US" w:eastAsia="zh-CN"/>
              </w:rPr>
              <w:t>石油类：</w:t>
            </w:r>
            <w:r>
              <w:rPr>
                <w:rFonts w:hint="eastAsia" w:ascii="仿宋_GB2312" w:hAnsi="仿宋_GB2312" w:eastAsia="仿宋_GB2312" w:cs="仿宋_GB2312"/>
                <w:b w:val="0"/>
                <w:bCs w:val="0"/>
                <w:color w:val="000000"/>
                <w:sz w:val="20"/>
                <w:szCs w:val="20"/>
              </w:rPr>
              <w:t>1.05mg/L</w:t>
            </w:r>
          </w:p>
          <w:p w14:paraId="6956EB12">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化学需氧量（COD）：23.7mg/L；</w:t>
            </w:r>
          </w:p>
          <w:p w14:paraId="6A3A4FF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总磷(mg/l)：3.4mg/L；</w:t>
            </w:r>
          </w:p>
          <w:p w14:paraId="66BCB91A">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氨氮（NH3-N）1.62mg/L；</w:t>
            </w:r>
          </w:p>
          <w:p w14:paraId="2B8BE0D1">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b w:val="0"/>
                <w:bCs w:val="0"/>
                <w:color w:val="000000"/>
                <w:sz w:val="20"/>
                <w:szCs w:val="20"/>
              </w:rPr>
              <w:t>悬浮物</w:t>
            </w:r>
            <w:r>
              <w:rPr>
                <w:rFonts w:hint="eastAsia" w:ascii="仿宋_GB2312" w:hAnsi="仿宋_GB2312" w:eastAsia="仿宋_GB2312" w:cs="仿宋_GB2312"/>
                <w:b w:val="0"/>
                <w:bCs w:val="0"/>
                <w:color w:val="000000"/>
                <w:sz w:val="20"/>
                <w:szCs w:val="20"/>
                <w:lang w:eastAsia="zh-CN"/>
              </w:rPr>
              <w:t>：</w:t>
            </w:r>
            <w:r>
              <w:rPr>
                <w:rFonts w:hint="eastAsia" w:ascii="仿宋_GB2312" w:hAnsi="仿宋_GB2312" w:eastAsia="仿宋_GB2312" w:cs="仿宋_GB2312"/>
                <w:b w:val="0"/>
                <w:bCs w:val="0"/>
                <w:color w:val="000000"/>
                <w:sz w:val="20"/>
                <w:szCs w:val="20"/>
              </w:rPr>
              <w:t>43</w:t>
            </w:r>
            <w:r>
              <w:rPr>
                <w:rFonts w:hint="eastAsia" w:ascii="仿宋_GB2312" w:hAnsi="仿宋_GB2312" w:eastAsia="仿宋_GB2312" w:cs="仿宋_GB2312"/>
                <w:spacing w:val="-1"/>
                <w:sz w:val="21"/>
                <w:szCs w:val="21"/>
                <w:lang w:val="en-US" w:eastAsia="zh-CN"/>
              </w:rPr>
              <w:t>mg/L；</w:t>
            </w:r>
          </w:p>
          <w:p w14:paraId="00A09225">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PH 值 ：8.29；</w:t>
            </w:r>
          </w:p>
          <w:p w14:paraId="5637160F">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b w:val="0"/>
                <w:bCs w:val="0"/>
                <w:color w:val="000000"/>
                <w:sz w:val="20"/>
                <w:szCs w:val="20"/>
              </w:rPr>
              <w:t>氟化物</w:t>
            </w:r>
            <w:r>
              <w:rPr>
                <w:rFonts w:hint="eastAsia" w:ascii="仿宋_GB2312" w:hAnsi="仿宋_GB2312" w:eastAsia="仿宋_GB2312" w:cs="仿宋_GB2312"/>
                <w:b w:val="0"/>
                <w:bCs w:val="0"/>
                <w:color w:val="000000"/>
                <w:sz w:val="20"/>
                <w:szCs w:val="20"/>
                <w:lang w:eastAsia="zh-CN"/>
              </w:rPr>
              <w:t>：</w:t>
            </w:r>
            <w:r>
              <w:rPr>
                <w:rFonts w:hint="eastAsia" w:ascii="仿宋_GB2312" w:hAnsi="仿宋_GB2312" w:eastAsia="仿宋_GB2312" w:cs="仿宋_GB2312"/>
                <w:b w:val="0"/>
                <w:bCs w:val="0"/>
                <w:color w:val="000000"/>
                <w:sz w:val="20"/>
                <w:szCs w:val="20"/>
                <w:lang w:val="en-US" w:eastAsia="zh-CN"/>
              </w:rPr>
              <w:t>0.006</w:t>
            </w:r>
            <w:r>
              <w:rPr>
                <w:rFonts w:hint="eastAsia" w:ascii="仿宋_GB2312" w:hAnsi="仿宋_GB2312" w:eastAsia="仿宋_GB2312" w:cs="仿宋_GB2312"/>
                <w:b w:val="0"/>
                <w:bCs w:val="0"/>
                <w:color w:val="000000"/>
                <w:sz w:val="20"/>
                <w:szCs w:val="20"/>
              </w:rPr>
              <w:t>mg/L</w:t>
            </w:r>
            <w:r>
              <w:rPr>
                <w:rFonts w:hint="eastAsia" w:ascii="仿宋_GB2312" w:hAnsi="仿宋_GB2312" w:eastAsia="仿宋_GB2312" w:cs="仿宋_GB2312"/>
                <w:b w:val="0"/>
                <w:bCs w:val="0"/>
                <w:color w:val="000000"/>
                <w:sz w:val="20"/>
                <w:szCs w:val="20"/>
                <w:lang w:eastAsia="zh-CN"/>
              </w:rPr>
              <w:t>。</w:t>
            </w:r>
          </w:p>
        </w:tc>
      </w:tr>
      <w:tr w14:paraId="7962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992" w:type="dxa"/>
            <w:vMerge w:val="continue"/>
            <w:vAlign w:val="center"/>
          </w:tcPr>
          <w:p w14:paraId="3BB42805">
            <w:pPr>
              <w:pStyle w:val="11"/>
              <w:spacing w:before="1" w:line="266" w:lineRule="auto"/>
              <w:ind w:right="89"/>
              <w:jc w:val="center"/>
              <w:rPr>
                <w:b/>
              </w:rPr>
            </w:pPr>
          </w:p>
        </w:tc>
        <w:tc>
          <w:tcPr>
            <w:tcW w:w="1506" w:type="dxa"/>
            <w:vMerge w:val="restart"/>
            <w:vAlign w:val="center"/>
          </w:tcPr>
          <w:p w14:paraId="003BBC11">
            <w:pPr>
              <w:pStyle w:val="11"/>
              <w:jc w:val="center"/>
              <w:rPr>
                <w:rFonts w:ascii="黑体" w:hAnsi="黑体" w:eastAsia="黑体"/>
                <w:spacing w:val="-1"/>
                <w:w w:val="95"/>
              </w:rPr>
            </w:pPr>
            <w:r>
              <w:rPr>
                <w:rFonts w:hint="eastAsia" w:ascii="黑体" w:hAnsi="黑体" w:eastAsia="黑体"/>
                <w:spacing w:val="-1"/>
                <w:w w:val="95"/>
              </w:rPr>
              <w:t>大气</w:t>
            </w:r>
          </w:p>
          <w:p w14:paraId="7F88C047">
            <w:pPr>
              <w:pStyle w:val="11"/>
              <w:jc w:val="center"/>
              <w:rPr>
                <w:b/>
              </w:rPr>
            </w:pPr>
            <w:r>
              <w:rPr>
                <w:rFonts w:ascii="黑体" w:hAnsi="黑体" w:eastAsia="黑体"/>
                <w:spacing w:val="-1"/>
                <w:w w:val="95"/>
              </w:rPr>
              <w:t>环境</w:t>
            </w:r>
          </w:p>
        </w:tc>
        <w:tc>
          <w:tcPr>
            <w:tcW w:w="1734" w:type="dxa"/>
            <w:vAlign w:val="center"/>
          </w:tcPr>
          <w:p w14:paraId="781E5157">
            <w:pPr>
              <w:pStyle w:val="11"/>
              <w:spacing w:before="15"/>
              <w:jc w:val="center"/>
              <w:rPr>
                <w:rFonts w:hint="eastAsia" w:ascii="黑体" w:hAnsi="黑体" w:eastAsia="黑体"/>
                <w:spacing w:val="-1"/>
                <w:w w:val="95"/>
              </w:rPr>
            </w:pPr>
            <w:r>
              <w:rPr>
                <w:rFonts w:hint="eastAsia" w:ascii="黑体" w:hAnsi="黑体" w:eastAsia="黑体"/>
                <w:spacing w:val="-1"/>
                <w:w w:val="95"/>
              </w:rPr>
              <w:t>主要污染物名称</w:t>
            </w:r>
          </w:p>
        </w:tc>
        <w:tc>
          <w:tcPr>
            <w:tcW w:w="3630" w:type="dxa"/>
            <w:gridSpan w:val="2"/>
            <w:vAlign w:val="center"/>
          </w:tcPr>
          <w:p w14:paraId="59736A3B">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颗粒物、苯、甲苯、二甲苯、VOCs</w:t>
            </w:r>
          </w:p>
          <w:p w14:paraId="4ABCC2A8">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非甲烷总烃、氮氧化物</w:t>
            </w:r>
          </w:p>
        </w:tc>
        <w:tc>
          <w:tcPr>
            <w:tcW w:w="1101" w:type="dxa"/>
            <w:vAlign w:val="center"/>
          </w:tcPr>
          <w:p w14:paraId="3D13EE7D">
            <w:pPr>
              <w:pStyle w:val="11"/>
              <w:keepNext w:val="0"/>
              <w:keepLines w:val="0"/>
              <w:pageBreakBefore w:val="0"/>
              <w:widowControl w:val="0"/>
              <w:kinsoku/>
              <w:wordWrap/>
              <w:overflowPunct/>
              <w:topLinePunct w:val="0"/>
              <w:autoSpaceDE w:val="0"/>
              <w:autoSpaceDN w:val="0"/>
              <w:bidi w:val="0"/>
              <w:adjustRightInd/>
              <w:snapToGrid/>
              <w:spacing w:before="15"/>
              <w:ind w:right="0"/>
              <w:jc w:val="center"/>
              <w:textAlignment w:val="auto"/>
              <w:rPr>
                <w:rFonts w:hint="eastAsia" w:ascii="黑体" w:hAnsi="黑体" w:eastAsia="黑体"/>
                <w:spacing w:val="-1"/>
                <w:w w:val="95"/>
              </w:rPr>
            </w:pPr>
            <w:r>
              <w:rPr>
                <w:rFonts w:hint="eastAsia" w:ascii="黑体" w:hAnsi="黑体" w:eastAsia="黑体"/>
                <w:spacing w:val="-1"/>
                <w:w w:val="95"/>
              </w:rPr>
              <w:t>排放方式</w:t>
            </w:r>
          </w:p>
        </w:tc>
        <w:tc>
          <w:tcPr>
            <w:tcW w:w="5564" w:type="dxa"/>
            <w:gridSpan w:val="2"/>
            <w:vAlign w:val="center"/>
          </w:tcPr>
          <w:p w14:paraId="7E8D647B">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颗粒物经袋式除尘器收集处置过滤和滤筒除尘后由排气筒达标排放；喷漆废气经预处理+活性炭吸附+脱附+催化燃烧的处理工艺处理后由排气筒达标排放至大气环境。</w:t>
            </w:r>
          </w:p>
        </w:tc>
      </w:tr>
      <w:tr w14:paraId="45C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92" w:type="dxa"/>
            <w:vMerge w:val="continue"/>
            <w:vAlign w:val="center"/>
          </w:tcPr>
          <w:p w14:paraId="1BC17275">
            <w:pPr>
              <w:pStyle w:val="11"/>
              <w:spacing w:before="1" w:line="266" w:lineRule="auto"/>
              <w:ind w:right="89"/>
              <w:jc w:val="center"/>
              <w:rPr>
                <w:b/>
              </w:rPr>
            </w:pPr>
          </w:p>
        </w:tc>
        <w:tc>
          <w:tcPr>
            <w:tcW w:w="1506" w:type="dxa"/>
            <w:vMerge w:val="continue"/>
            <w:vAlign w:val="center"/>
          </w:tcPr>
          <w:p w14:paraId="7AD3D0C1">
            <w:pPr>
              <w:pStyle w:val="11"/>
              <w:spacing w:before="15"/>
              <w:jc w:val="center"/>
              <w:rPr>
                <w:b/>
                <w:sz w:val="21"/>
                <w:szCs w:val="21"/>
              </w:rPr>
            </w:pPr>
          </w:p>
        </w:tc>
        <w:tc>
          <w:tcPr>
            <w:tcW w:w="1734" w:type="dxa"/>
            <w:vAlign w:val="center"/>
          </w:tcPr>
          <w:p w14:paraId="499DFD20">
            <w:pPr>
              <w:pStyle w:val="11"/>
              <w:spacing w:before="15"/>
              <w:jc w:val="center"/>
              <w:rPr>
                <w:rFonts w:ascii="黑体" w:hAnsi="黑体" w:eastAsia="黑体"/>
                <w:spacing w:val="-1"/>
                <w:w w:val="95"/>
              </w:rPr>
            </w:pPr>
            <w:r>
              <w:rPr>
                <w:rFonts w:hint="eastAsia" w:ascii="黑体" w:hAnsi="黑体" w:eastAsia="黑体"/>
                <w:spacing w:val="-1"/>
                <w:w w:val="95"/>
              </w:rPr>
              <w:t>排放口数量和分布情况</w:t>
            </w:r>
          </w:p>
        </w:tc>
        <w:tc>
          <w:tcPr>
            <w:tcW w:w="3630" w:type="dxa"/>
            <w:gridSpan w:val="2"/>
            <w:vAlign w:val="center"/>
          </w:tcPr>
          <w:p w14:paraId="572F7A2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厂区共一百零九根排气筒，主要分布于厂区各生产线。</w:t>
            </w:r>
          </w:p>
        </w:tc>
        <w:tc>
          <w:tcPr>
            <w:tcW w:w="1101" w:type="dxa"/>
            <w:vAlign w:val="center"/>
          </w:tcPr>
          <w:p w14:paraId="2D1AF49A">
            <w:pPr>
              <w:pStyle w:val="11"/>
              <w:keepNext w:val="0"/>
              <w:keepLines w:val="0"/>
              <w:pageBreakBefore w:val="0"/>
              <w:widowControl w:val="0"/>
              <w:kinsoku/>
              <w:wordWrap/>
              <w:overflowPunct/>
              <w:topLinePunct w:val="0"/>
              <w:autoSpaceDE w:val="0"/>
              <w:autoSpaceDN w:val="0"/>
              <w:bidi w:val="0"/>
              <w:adjustRightInd/>
              <w:snapToGrid/>
              <w:spacing w:line="266" w:lineRule="auto"/>
              <w:ind w:right="0"/>
              <w:jc w:val="center"/>
              <w:textAlignment w:val="auto"/>
              <w:rPr>
                <w:rFonts w:ascii="黑体" w:hAnsi="黑体" w:eastAsia="黑体"/>
                <w:spacing w:val="-1"/>
                <w:w w:val="95"/>
              </w:rPr>
            </w:pPr>
            <w:r>
              <w:rPr>
                <w:rFonts w:hint="eastAsia" w:ascii="黑体" w:hAnsi="黑体" w:eastAsia="黑体"/>
                <w:spacing w:val="-1"/>
                <w:w w:val="95"/>
              </w:rPr>
              <w:t>超标情况</w:t>
            </w:r>
          </w:p>
        </w:tc>
        <w:tc>
          <w:tcPr>
            <w:tcW w:w="5564" w:type="dxa"/>
            <w:gridSpan w:val="2"/>
            <w:vAlign w:val="center"/>
          </w:tcPr>
          <w:p w14:paraId="251A98F3">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达标排放</w:t>
            </w:r>
          </w:p>
        </w:tc>
      </w:tr>
      <w:tr w14:paraId="6DE3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7" w:hRule="atLeast"/>
          <w:jc w:val="center"/>
        </w:trPr>
        <w:tc>
          <w:tcPr>
            <w:tcW w:w="992" w:type="dxa"/>
            <w:vMerge w:val="continue"/>
            <w:vAlign w:val="center"/>
          </w:tcPr>
          <w:p w14:paraId="463B3008">
            <w:pPr>
              <w:pStyle w:val="11"/>
              <w:spacing w:before="1" w:line="266" w:lineRule="auto"/>
              <w:ind w:right="89"/>
              <w:jc w:val="center"/>
              <w:rPr>
                <w:b/>
              </w:rPr>
            </w:pPr>
          </w:p>
        </w:tc>
        <w:tc>
          <w:tcPr>
            <w:tcW w:w="1506" w:type="dxa"/>
            <w:vMerge w:val="continue"/>
            <w:vAlign w:val="center"/>
          </w:tcPr>
          <w:p w14:paraId="273A2EAF">
            <w:pPr>
              <w:pStyle w:val="11"/>
              <w:jc w:val="center"/>
              <w:rPr>
                <w:b/>
              </w:rPr>
            </w:pPr>
          </w:p>
        </w:tc>
        <w:tc>
          <w:tcPr>
            <w:tcW w:w="1734" w:type="dxa"/>
            <w:vAlign w:val="center"/>
          </w:tcPr>
          <w:p w14:paraId="4B3F9B91">
            <w:pPr>
              <w:pStyle w:val="11"/>
              <w:spacing w:line="278" w:lineRule="auto"/>
              <w:ind w:right="244"/>
              <w:jc w:val="center"/>
              <w:rPr>
                <w:rFonts w:ascii="黑体" w:hAnsi="黑体" w:eastAsia="黑体"/>
                <w:spacing w:val="-1"/>
                <w:w w:val="95"/>
              </w:rPr>
            </w:pPr>
            <w:r>
              <w:rPr>
                <w:rFonts w:hint="eastAsia" w:ascii="黑体" w:hAnsi="黑体" w:eastAsia="黑体"/>
                <w:spacing w:val="-1"/>
                <w:w w:val="95"/>
              </w:rPr>
              <w:t>执行的污染物排放标准</w:t>
            </w:r>
          </w:p>
        </w:tc>
        <w:tc>
          <w:tcPr>
            <w:tcW w:w="3630" w:type="dxa"/>
            <w:gridSpan w:val="2"/>
            <w:vAlign w:val="center"/>
          </w:tcPr>
          <w:p w14:paraId="250C101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区域性大气污染物综合排放标准 DB37/2376-2019,山东省区域性大气污染物综合排放标准DB/37 2376-2019，挥发性有机物排放标准第五部分;表面涂装行业DB37/2801.5-2018,山东省锅炉大气污染物排放标准DB37/2374-2018,恶臭污染物排放标准GB 14554-93,大气污染物综合排放标准 GB 16297-1996,大气污染物综合排放标准 GB16297-1996</w:t>
            </w:r>
          </w:p>
        </w:tc>
        <w:tc>
          <w:tcPr>
            <w:tcW w:w="1101" w:type="dxa"/>
            <w:vAlign w:val="center"/>
          </w:tcPr>
          <w:p w14:paraId="0484D29F">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ascii="黑体" w:hAnsi="黑体" w:eastAsia="黑体"/>
                <w:spacing w:val="-1"/>
                <w:w w:val="95"/>
              </w:rPr>
            </w:pPr>
            <w:r>
              <w:rPr>
                <w:rFonts w:hint="eastAsia" w:ascii="黑体" w:hAnsi="黑体" w:eastAsia="黑体"/>
                <w:spacing w:val="-1"/>
                <w:w w:val="95"/>
              </w:rPr>
              <w:t>排放浓度</w:t>
            </w:r>
          </w:p>
          <w:p w14:paraId="222B6F94">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ascii="黑体" w:hAnsi="黑体" w:eastAsia="黑体"/>
                <w:spacing w:val="-1"/>
                <w:w w:val="95"/>
              </w:rPr>
            </w:pPr>
            <w:r>
              <w:rPr>
                <w:rFonts w:hint="eastAsia" w:ascii="黑体" w:hAnsi="黑体" w:eastAsia="黑体"/>
                <w:spacing w:val="-1"/>
                <w:w w:val="95"/>
              </w:rPr>
              <w:t>（</w:t>
            </w:r>
            <w:r>
              <w:rPr>
                <w:rFonts w:hint="eastAsia" w:ascii="黑体" w:hAnsi="黑体" w:eastAsia="黑体"/>
                <w:spacing w:val="-1"/>
                <w:w w:val="95"/>
                <w:lang w:eastAsia="zh-CN"/>
              </w:rPr>
              <w:t>2025</w:t>
            </w:r>
            <w:r>
              <w:rPr>
                <w:rFonts w:hint="eastAsia" w:ascii="黑体" w:hAnsi="黑体" w:eastAsia="黑体"/>
                <w:spacing w:val="-1"/>
                <w:w w:val="95"/>
              </w:rPr>
              <w:t>年</w:t>
            </w:r>
            <w:r>
              <w:rPr>
                <w:rFonts w:hint="eastAsia" w:ascii="黑体" w:hAnsi="黑体" w:eastAsia="黑体"/>
                <w:spacing w:val="-1"/>
                <w:w w:val="95"/>
                <w:lang w:val="en-US" w:eastAsia="zh-CN"/>
              </w:rPr>
              <w:t>12</w:t>
            </w:r>
            <w:r>
              <w:rPr>
                <w:rFonts w:hint="eastAsia" w:ascii="黑体" w:hAnsi="黑体" w:eastAsia="黑体"/>
                <w:spacing w:val="-1"/>
                <w:w w:val="95"/>
              </w:rPr>
              <w:t>月实测）</w:t>
            </w:r>
          </w:p>
        </w:tc>
        <w:tc>
          <w:tcPr>
            <w:tcW w:w="5564" w:type="dxa"/>
            <w:gridSpan w:val="2"/>
            <w:vAlign w:val="center"/>
          </w:tcPr>
          <w:p w14:paraId="59A217FB">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2025年年度环境监测实测排放浓度（单位：mg/m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1B891B43">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氮氧化物：</w:t>
            </w:r>
          </w:p>
          <w:p w14:paraId="5557463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DA008（13mg/m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）DA018（33mg/m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）DA019（27mg/m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）DA020（18mg/m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）DA056（26mg/m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）DA062（44mg/m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）DA068（18mg/m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）DA069（25mg/m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）DA070（19mg/m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）DA071（16mg/m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）DA072（22mg/m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）DA073（20mg/m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）DA074（15mg/m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）DA076（24mg/m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）DA078（22mg/m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）DA080（17mg/m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）DA084（28mg/m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）DA088（22mg/m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）DA089（21mg/m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）DA090（19mg/m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4CF5EB9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颗粒物：</w:t>
            </w:r>
          </w:p>
          <w:p w14:paraId="3AB7BE14">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DA001（2.5mg/m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）DA002（2.7mg/m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）DA005（2.6mg/m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）DA006（2.3mg/m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）DA007（2.5mg/m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）DA008（2.2mg/m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）DA011（2.2mg/m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）DA012（2.4mg/m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）DA016（2.4mg/m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）DA018（2.4mg/m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）DA019（1.9mg/m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）DA020（2mg/m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）DA021（2.5mg/m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）DA022（2.5mg/m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）DA025（2.9mg/m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）DA026（2.6mg/m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）DA027（2.5mg/m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）DA029（2.1mg/m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）DA030（2mg/m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）DA031（1.2mg/m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）DA032（2.6mg/m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）DA034（2.1mg/m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）DA035（2.3mg/m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）DA036（2.5mg/m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）DA039（2.1mg/m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）DA043（2.9mg/m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）DA044（2.7mg/m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）DA045（3.7mg/m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）DA047（2.6mg/m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）DA048（2.6mg/m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）DA049（2.4mg/m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）DA050（2.7mg/m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）DA054（2.4mg/m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）DA056（1.8mg/m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）DA062（2.1mg/m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）DA063（1.1mg/m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）DA068（1.5mg/m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）DA069（2.3mg/m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）DA070（1.9mg/m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）DA071（2.6mg/m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）DA072（2.1mg/m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）DA073（2.5mg/m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）DA074（2.1mg/m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）DA076（1.8mg/m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）DA077（2.5mg/m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）DA078（2.6mg/m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）DA080（2.9mg/m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）DA084（3.8mg/m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）DA086（2.5mg/m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）DA087（2.5mg/m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）DAD88（1.4mg/m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）DA089（2.8mg/m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）DA090（2.7mg/m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）DA092（2.7mg/m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）DA093（2.2mg/m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）DA094（2.6mg/m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57D3ADC1">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非甲烷总烃：</w:t>
            </w:r>
          </w:p>
          <w:p w14:paraId="617A5861">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DA011（</w:t>
            </w:r>
            <w:r>
              <w:rPr>
                <w:rFonts w:ascii="TimesNewRomanPSMT" w:hAnsi="TimesNewRomanPSMT" w:eastAsia="TimesNewRomanPSMT" w:cs="TimesNewRomanPSMT"/>
                <w:b w:val="0"/>
                <w:bCs w:val="0"/>
                <w:color w:val="000000"/>
                <w:sz w:val="20"/>
                <w:szCs w:val="20"/>
              </w:rPr>
              <w:t>5.17</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）DA015（</w:t>
            </w:r>
            <w:r>
              <w:rPr>
                <w:rFonts w:ascii="TimesNewRomanPSMT" w:hAnsi="TimesNewRomanPSMT" w:eastAsia="TimesNewRomanPSMT" w:cs="TimesNewRomanPSMT"/>
                <w:b w:val="0"/>
                <w:bCs w:val="0"/>
                <w:color w:val="000000"/>
                <w:sz w:val="20"/>
                <w:szCs w:val="20"/>
              </w:rPr>
              <w:t>5.05</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）DA016（</w:t>
            </w:r>
            <w:r>
              <w:rPr>
                <w:rFonts w:ascii="TimesNewRomanPSMT" w:hAnsi="TimesNewRomanPSMT" w:eastAsia="TimesNewRomanPSMT" w:cs="TimesNewRomanPSMT"/>
                <w:b w:val="0"/>
                <w:bCs w:val="0"/>
                <w:color w:val="000000"/>
                <w:sz w:val="20"/>
                <w:szCs w:val="20"/>
              </w:rPr>
              <w:t>5.30</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）DA017（</w:t>
            </w:r>
            <w:r>
              <w:rPr>
                <w:rFonts w:ascii="TimesNewRomanPSMT" w:hAnsi="TimesNewRomanPSMT" w:eastAsia="TimesNewRomanPSMT" w:cs="TimesNewRomanPSMT"/>
                <w:b w:val="0"/>
                <w:bCs w:val="0"/>
                <w:color w:val="000000"/>
                <w:sz w:val="20"/>
                <w:szCs w:val="20"/>
              </w:rPr>
              <w:t>5.12</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）DA023（</w:t>
            </w:r>
            <w:r>
              <w:rPr>
                <w:rFonts w:ascii="TimesNewRomanPSMT" w:hAnsi="TimesNewRomanPSMT" w:eastAsia="TimesNewRomanPSMT" w:cs="TimesNewRomanPSMT"/>
                <w:b w:val="0"/>
                <w:bCs w:val="0"/>
                <w:color w:val="000000"/>
                <w:sz w:val="20"/>
                <w:szCs w:val="20"/>
              </w:rPr>
              <w:t>5.27</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）DA024（5.29mg/m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）DA063（3.02mg/m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）DA106（20mg/m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）DA104（20mg/m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3E4EC2B5">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二甲苯：</w:t>
            </w:r>
          </w:p>
          <w:p w14:paraId="26FD271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DA031（0.503mg/m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）DA045（0.694mg/m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）DA051（0.274mg/m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）DA063（0.653mg/m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）DA077（0.35mg/m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）DA095（</w:t>
            </w:r>
            <w:r>
              <w:rPr>
                <w:rFonts w:ascii="TimesNewRomanPSMT" w:hAnsi="TimesNewRomanPSMT" w:eastAsia="TimesNewRomanPSMT" w:cs="TimesNewRomanPSMT"/>
                <w:b w:val="0"/>
                <w:bCs w:val="0"/>
                <w:color w:val="000000"/>
                <w:sz w:val="20"/>
                <w:szCs w:val="20"/>
              </w:rPr>
              <w:t>0.557</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33</w:t>
            </w:r>
            <w:r>
              <w:rPr>
                <w:rFonts w:hint="eastAsia" w:ascii="仿宋_GB2312" w:hAnsi="仿宋_GB2312" w:eastAsia="仿宋_GB2312" w:cs="仿宋_GB2312"/>
                <w:spacing w:val="-1"/>
                <w:sz w:val="21"/>
                <w:szCs w:val="21"/>
                <w:lang w:val="en-US" w:eastAsia="zh-CN"/>
              </w:rPr>
              <w:t>）DA100（0.703mg/m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）DA104（0.698mg/m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）DA105（0.696mg/m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）DA106（0.696mg/m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w:t>
            </w:r>
            <w:r>
              <w:rPr>
                <w:rFonts w:hint="default" w:ascii="仿宋_GB2312" w:hAnsi="仿宋_GB2312" w:eastAsia="仿宋_GB2312" w:cs="仿宋_GB2312"/>
                <w:spacing w:val="-1"/>
                <w:sz w:val="21"/>
                <w:szCs w:val="21"/>
                <w:lang w:eastAsia="zh-CN"/>
              </w:rPr>
              <w:t>7</w:t>
            </w:r>
            <w:r>
              <w:rPr>
                <w:rFonts w:hint="eastAsia" w:ascii="仿宋_GB2312" w:hAnsi="仿宋_GB2312" w:eastAsia="仿宋_GB2312" w:cs="仿宋_GB2312"/>
                <w:spacing w:val="-1"/>
                <w:sz w:val="21"/>
                <w:szCs w:val="21"/>
                <w:lang w:val="en-US" w:eastAsia="zh-CN"/>
              </w:rPr>
              <w:t>（0.422mg/m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26035FE5">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甲苯：</w:t>
            </w:r>
          </w:p>
          <w:p w14:paraId="4AED6BA3">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DA031（0.503mg/m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）DA045（0.694mg/m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）DA051（0.274mg/m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）DA063（0.653mg/m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）DA077（0.35mg/m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）DA095（</w:t>
            </w:r>
            <w:r>
              <w:rPr>
                <w:rFonts w:ascii="TimesNewRomanPSMT" w:hAnsi="TimesNewRomanPSMT" w:eastAsia="TimesNewRomanPSMT" w:cs="TimesNewRomanPSMT"/>
                <w:b w:val="0"/>
                <w:bCs w:val="0"/>
                <w:color w:val="000000"/>
                <w:sz w:val="20"/>
                <w:szCs w:val="20"/>
              </w:rPr>
              <w:t>0.557</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）DA100（0.192/m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）DA104（0.223mg/m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）DA105（0.263mg/m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）DA106（0.262mg/m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）DA107（0.138mg/m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p w14:paraId="7390A2F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苯：</w:t>
            </w:r>
          </w:p>
          <w:p w14:paraId="0C1848B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DA031（0.228mg/m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）DA045（0.261/m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）DA051（0.12mg/m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）DA063（0.269mg/m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）DA077（0.125mg/m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）DA095（</w:t>
            </w:r>
            <w:r>
              <w:rPr>
                <w:rFonts w:hint="eastAsia" w:ascii="TimesNewRomanPSMT" w:hAnsi="TimesNewRomanPSMT" w:eastAsia="TimesNewRomanPSMT" w:cs="TimesNewRomanPSMT"/>
                <w:b w:val="0"/>
                <w:bCs w:val="0"/>
                <w:color w:val="000000"/>
                <w:sz w:val="20"/>
                <w:szCs w:val="20"/>
              </w:rPr>
              <w:t>0.022</w:t>
            </w:r>
            <w:r>
              <w:rPr>
                <w:rFonts w:hint="eastAsia" w:ascii="仿宋_GB2312" w:hAnsi="仿宋_GB2312" w:eastAsia="仿宋_GB2312" w:cs="仿宋_GB2312"/>
                <w:spacing w:val="-1"/>
                <w:sz w:val="21"/>
                <w:szCs w:val="21"/>
                <w:lang w:val="en-US" w:eastAsia="zh-CN"/>
              </w:rPr>
              <w:t>mg/m</w:t>
            </w:r>
            <w:r>
              <w:rPr>
                <w:rFonts w:hint="eastAsia" w:ascii="仿宋_GB2312" w:hAnsi="仿宋_GB2312" w:eastAsia="仿宋_GB2312" w:cs="仿宋_GB2312"/>
                <w:spacing w:val="-1"/>
                <w:sz w:val="21"/>
                <w:szCs w:val="21"/>
                <w:vertAlign w:val="superscript"/>
                <w:lang w:val="en-US" w:eastAsia="zh-CN"/>
              </w:rPr>
              <w:t>3</w:t>
            </w:r>
            <w:r>
              <w:rPr>
                <w:rFonts w:hint="eastAsia" w:ascii="仿宋_GB2312" w:hAnsi="仿宋_GB2312" w:eastAsia="仿宋_GB2312" w:cs="仿宋_GB2312"/>
                <w:spacing w:val="-1"/>
                <w:sz w:val="21"/>
                <w:szCs w:val="21"/>
                <w:lang w:val="en-US" w:eastAsia="zh-CN"/>
              </w:rPr>
              <w:t>）。</w:t>
            </w:r>
          </w:p>
        </w:tc>
      </w:tr>
      <w:tr w14:paraId="2674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jc w:val="center"/>
        </w:trPr>
        <w:tc>
          <w:tcPr>
            <w:tcW w:w="992" w:type="dxa"/>
            <w:vMerge w:val="restart"/>
            <w:vAlign w:val="center"/>
          </w:tcPr>
          <w:p w14:paraId="68B2FF24">
            <w:pPr>
              <w:pStyle w:val="11"/>
              <w:spacing w:before="1" w:line="266" w:lineRule="auto"/>
              <w:ind w:right="89"/>
              <w:jc w:val="center"/>
              <w:rPr>
                <w:b/>
                <w:lang w:val="en-US"/>
              </w:rPr>
            </w:pPr>
          </w:p>
        </w:tc>
        <w:tc>
          <w:tcPr>
            <w:tcW w:w="1506" w:type="dxa"/>
            <w:vMerge w:val="restart"/>
            <w:vAlign w:val="center"/>
          </w:tcPr>
          <w:p w14:paraId="5BF5B01B">
            <w:pPr>
              <w:pStyle w:val="11"/>
              <w:jc w:val="center"/>
              <w:rPr>
                <w:rFonts w:hint="default" w:eastAsia="宋体"/>
                <w:b/>
                <w:lang w:val="en-US" w:eastAsia="zh-CN"/>
              </w:rPr>
            </w:pPr>
            <w:r>
              <w:rPr>
                <w:rFonts w:hint="eastAsia" w:ascii="黑体" w:hAnsi="黑体" w:eastAsia="黑体"/>
                <w:spacing w:val="-1"/>
                <w:w w:val="95"/>
                <w:lang w:val="en-US" w:eastAsia="zh-CN"/>
              </w:rPr>
              <w:t>危险废物</w:t>
            </w:r>
          </w:p>
        </w:tc>
        <w:tc>
          <w:tcPr>
            <w:tcW w:w="1734" w:type="dxa"/>
            <w:vAlign w:val="center"/>
          </w:tcPr>
          <w:p w14:paraId="7CC45FD2">
            <w:pPr>
              <w:pStyle w:val="11"/>
              <w:spacing w:line="266" w:lineRule="auto"/>
              <w:ind w:right="146" w:rightChars="0"/>
              <w:jc w:val="center"/>
              <w:rPr>
                <w:rFonts w:ascii="黑体" w:hAnsi="黑体" w:eastAsia="黑体"/>
                <w:spacing w:val="-1"/>
                <w:w w:val="95"/>
              </w:rPr>
            </w:pPr>
            <w:r>
              <w:rPr>
                <w:rFonts w:ascii="黑体" w:hAnsi="黑体" w:eastAsia="黑体"/>
                <w:spacing w:val="-1"/>
                <w:w w:val="95"/>
              </w:rPr>
              <w:t>危险废物代码及产生工艺</w:t>
            </w:r>
          </w:p>
        </w:tc>
        <w:tc>
          <w:tcPr>
            <w:tcW w:w="3630" w:type="dxa"/>
            <w:gridSpan w:val="2"/>
            <w:vAlign w:val="center"/>
          </w:tcPr>
          <w:p w14:paraId="11938D2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废切削液900-006-09：机加工；废漆渣900-252-12：喷漆线；</w:t>
            </w:r>
          </w:p>
          <w:p w14:paraId="2A486ED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废活性炭、废过滤棉;900-041-49 喷漆线；废油漆桶 900-041-49;喷漆；  废磷化渣336-064-17：喷漆；废活性炭 900-041-49;喷漆；废矿物油 900-249-08;机加工。</w:t>
            </w:r>
          </w:p>
        </w:tc>
        <w:tc>
          <w:tcPr>
            <w:tcW w:w="1101" w:type="dxa"/>
            <w:vAlign w:val="center"/>
          </w:tcPr>
          <w:p w14:paraId="410D0190">
            <w:pPr>
              <w:pStyle w:val="11"/>
              <w:keepNext w:val="0"/>
              <w:keepLines w:val="0"/>
              <w:pageBreakBefore w:val="0"/>
              <w:widowControl w:val="0"/>
              <w:kinsoku/>
              <w:wordWrap/>
              <w:overflowPunct/>
              <w:topLinePunct w:val="0"/>
              <w:autoSpaceDE w:val="0"/>
              <w:autoSpaceDN w:val="0"/>
              <w:bidi w:val="0"/>
              <w:adjustRightInd/>
              <w:snapToGrid/>
              <w:ind w:right="0"/>
              <w:jc w:val="center"/>
              <w:textAlignment w:val="auto"/>
              <w:rPr>
                <w:rFonts w:ascii="黑体" w:hAnsi="黑体" w:eastAsia="黑体"/>
                <w:spacing w:val="-1"/>
                <w:w w:val="95"/>
              </w:rPr>
            </w:pPr>
            <w:r>
              <w:rPr>
                <w:rFonts w:hint="eastAsia" w:ascii="黑体" w:hAnsi="黑体" w:eastAsia="黑体"/>
                <w:spacing w:val="-1"/>
                <w:w w:val="95"/>
                <w:lang w:val="en-US" w:eastAsia="zh-CN"/>
              </w:rPr>
              <w:t>排放物</w:t>
            </w:r>
            <w:r>
              <w:rPr>
                <w:rFonts w:ascii="黑体" w:hAnsi="黑体" w:eastAsia="黑体"/>
                <w:spacing w:val="-1"/>
                <w:w w:val="95"/>
              </w:rPr>
              <w:t>检测方式</w:t>
            </w:r>
          </w:p>
        </w:tc>
        <w:tc>
          <w:tcPr>
            <w:tcW w:w="5564" w:type="dxa"/>
            <w:gridSpan w:val="2"/>
            <w:vAlign w:val="center"/>
          </w:tcPr>
          <w:p w14:paraId="67F79C23">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委托有资质的第三方监测公司进行检测，并出具检测报告。</w:t>
            </w:r>
          </w:p>
        </w:tc>
      </w:tr>
      <w:tr w14:paraId="2FF1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92" w:type="dxa"/>
            <w:vMerge w:val="continue"/>
            <w:vAlign w:val="center"/>
          </w:tcPr>
          <w:p w14:paraId="1C0779AD">
            <w:pPr>
              <w:pStyle w:val="11"/>
              <w:spacing w:before="1" w:line="266" w:lineRule="auto"/>
              <w:ind w:right="89"/>
              <w:jc w:val="center"/>
              <w:rPr>
                <w:b/>
              </w:rPr>
            </w:pPr>
          </w:p>
        </w:tc>
        <w:tc>
          <w:tcPr>
            <w:tcW w:w="1506" w:type="dxa"/>
            <w:vMerge w:val="continue"/>
            <w:vAlign w:val="center"/>
          </w:tcPr>
          <w:p w14:paraId="7E6BA9AC">
            <w:pPr>
              <w:pStyle w:val="11"/>
              <w:jc w:val="center"/>
              <w:rPr>
                <w:b/>
              </w:rPr>
            </w:pPr>
          </w:p>
        </w:tc>
        <w:tc>
          <w:tcPr>
            <w:tcW w:w="1734" w:type="dxa"/>
            <w:vAlign w:val="center"/>
          </w:tcPr>
          <w:p w14:paraId="0E4346FF">
            <w:pPr>
              <w:pStyle w:val="11"/>
              <w:spacing w:before="10"/>
              <w:jc w:val="center"/>
              <w:rPr>
                <w:rFonts w:ascii="黑体" w:hAnsi="黑体" w:eastAsia="黑体"/>
                <w:spacing w:val="-1"/>
                <w:w w:val="95"/>
              </w:rPr>
            </w:pPr>
            <w:r>
              <w:rPr>
                <w:rFonts w:ascii="黑体" w:hAnsi="黑体" w:eastAsia="黑体"/>
                <w:spacing w:val="-1"/>
                <w:w w:val="95"/>
              </w:rPr>
              <w:t>危险废物贮存情况</w:t>
            </w:r>
          </w:p>
        </w:tc>
        <w:tc>
          <w:tcPr>
            <w:tcW w:w="3630" w:type="dxa"/>
            <w:gridSpan w:val="2"/>
            <w:vAlign w:val="center"/>
          </w:tcPr>
          <w:p w14:paraId="6EDECEE1">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建有符合标准的危废仓库，按照《工业危险废物产生单位规范化管理指标》进行管理。</w:t>
            </w:r>
          </w:p>
        </w:tc>
        <w:tc>
          <w:tcPr>
            <w:tcW w:w="1101" w:type="dxa"/>
            <w:vAlign w:val="center"/>
          </w:tcPr>
          <w:p w14:paraId="04AAA483">
            <w:pPr>
              <w:pStyle w:val="11"/>
              <w:keepNext w:val="0"/>
              <w:keepLines w:val="0"/>
              <w:pageBreakBefore w:val="0"/>
              <w:widowControl w:val="0"/>
              <w:kinsoku/>
              <w:wordWrap/>
              <w:overflowPunct/>
              <w:topLinePunct w:val="0"/>
              <w:autoSpaceDE w:val="0"/>
              <w:autoSpaceDN w:val="0"/>
              <w:bidi w:val="0"/>
              <w:adjustRightInd/>
              <w:snapToGrid/>
              <w:spacing w:line="266" w:lineRule="auto"/>
              <w:ind w:right="0"/>
              <w:jc w:val="center"/>
              <w:textAlignment w:val="auto"/>
              <w:rPr>
                <w:rFonts w:hint="eastAsia" w:ascii="黑体" w:hAnsi="黑体" w:eastAsia="黑体"/>
                <w:spacing w:val="-1"/>
                <w:w w:val="95"/>
                <w:lang w:val="en-US" w:eastAsia="zh-CN"/>
              </w:rPr>
            </w:pPr>
            <w:r>
              <w:rPr>
                <w:rFonts w:hint="eastAsia" w:ascii="黑体" w:hAnsi="黑体" w:eastAsia="黑体"/>
                <w:spacing w:val="-1"/>
                <w:w w:val="95"/>
                <w:lang w:val="en-US" w:eastAsia="zh-CN"/>
              </w:rPr>
              <w:t>排放物</w:t>
            </w:r>
          </w:p>
          <w:p w14:paraId="10BC7BDB">
            <w:pPr>
              <w:pStyle w:val="11"/>
              <w:keepNext w:val="0"/>
              <w:keepLines w:val="0"/>
              <w:pageBreakBefore w:val="0"/>
              <w:widowControl w:val="0"/>
              <w:kinsoku/>
              <w:wordWrap/>
              <w:overflowPunct/>
              <w:topLinePunct w:val="0"/>
              <w:autoSpaceDE w:val="0"/>
              <w:autoSpaceDN w:val="0"/>
              <w:bidi w:val="0"/>
              <w:adjustRightInd/>
              <w:snapToGrid/>
              <w:spacing w:line="266" w:lineRule="auto"/>
              <w:ind w:right="0"/>
              <w:jc w:val="center"/>
              <w:textAlignment w:val="auto"/>
              <w:rPr>
                <w:rFonts w:ascii="黑体" w:hAnsi="黑体" w:eastAsia="黑体"/>
                <w:spacing w:val="-1"/>
                <w:w w:val="95"/>
              </w:rPr>
            </w:pPr>
            <w:r>
              <w:rPr>
                <w:rFonts w:hint="eastAsia" w:ascii="黑体" w:hAnsi="黑体" w:eastAsia="黑体"/>
                <w:spacing w:val="-1"/>
                <w:w w:val="95"/>
              </w:rPr>
              <w:t>超标情况</w:t>
            </w:r>
          </w:p>
        </w:tc>
        <w:tc>
          <w:tcPr>
            <w:tcW w:w="5564" w:type="dxa"/>
            <w:gridSpan w:val="2"/>
            <w:vAlign w:val="center"/>
          </w:tcPr>
          <w:p w14:paraId="1834C90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达标排放</w:t>
            </w:r>
          </w:p>
        </w:tc>
      </w:tr>
      <w:tr w14:paraId="68BF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8" w:hRule="atLeast"/>
          <w:jc w:val="center"/>
        </w:trPr>
        <w:tc>
          <w:tcPr>
            <w:tcW w:w="992" w:type="dxa"/>
            <w:vMerge w:val="continue"/>
            <w:vAlign w:val="center"/>
          </w:tcPr>
          <w:p w14:paraId="682BB423">
            <w:pPr>
              <w:pStyle w:val="11"/>
              <w:spacing w:before="1" w:line="266" w:lineRule="auto"/>
              <w:ind w:right="89"/>
              <w:jc w:val="center"/>
              <w:rPr>
                <w:b/>
              </w:rPr>
            </w:pPr>
          </w:p>
        </w:tc>
        <w:tc>
          <w:tcPr>
            <w:tcW w:w="1506" w:type="dxa"/>
            <w:vMerge w:val="continue"/>
            <w:vAlign w:val="center"/>
          </w:tcPr>
          <w:p w14:paraId="3D66C788">
            <w:pPr>
              <w:pStyle w:val="11"/>
              <w:jc w:val="center"/>
              <w:rPr>
                <w:b/>
              </w:rPr>
            </w:pPr>
          </w:p>
        </w:tc>
        <w:tc>
          <w:tcPr>
            <w:tcW w:w="1734" w:type="dxa"/>
            <w:vAlign w:val="center"/>
          </w:tcPr>
          <w:p w14:paraId="646CBCA0">
            <w:pPr>
              <w:pStyle w:val="11"/>
              <w:spacing w:line="266" w:lineRule="auto"/>
              <w:ind w:right="146" w:rightChars="0"/>
              <w:jc w:val="center"/>
              <w:rPr>
                <w:rFonts w:ascii="黑体" w:hAnsi="黑体" w:eastAsia="黑体"/>
                <w:spacing w:val="-1"/>
                <w:w w:val="95"/>
              </w:rPr>
            </w:pPr>
            <w:r>
              <w:rPr>
                <w:rFonts w:ascii="黑体" w:hAnsi="黑体" w:eastAsia="黑体"/>
                <w:spacing w:val="-1"/>
                <w:w w:val="95"/>
              </w:rPr>
              <w:t>危险废物内部处置及外单位转移处置情况</w:t>
            </w:r>
          </w:p>
        </w:tc>
        <w:tc>
          <w:tcPr>
            <w:tcW w:w="3630" w:type="dxa"/>
            <w:gridSpan w:val="2"/>
            <w:vAlign w:val="center"/>
          </w:tcPr>
          <w:p w14:paraId="6475F237">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 xml:space="preserve">2025年年度产生危险废物（单位：吨）：废磷化渣：1.08  废矿物油：13.22 废电池：7.2674 废浮油、浮渣：10.22 </w:t>
            </w:r>
            <w:r>
              <w:rPr>
                <w:rFonts w:hint="eastAsia" w:ascii="仿宋_GB2312" w:hAnsi="仿宋_GB2312" w:eastAsia="仿宋_GB2312" w:cs="仿宋_GB2312"/>
                <w:spacing w:val="-1"/>
                <w:sz w:val="21"/>
                <w:szCs w:val="21"/>
                <w:highlight w:val="none"/>
                <w:lang w:val="en-US" w:eastAsia="zh-CN"/>
              </w:rPr>
              <w:t xml:space="preserve">废包装容器：  113.79  废过滤棉：175.11 磨床废弃物：149.41 </w:t>
            </w:r>
            <w:r>
              <w:rPr>
                <w:rFonts w:hint="eastAsia" w:ascii="仿宋_GB2312" w:hAnsi="仿宋_GB2312" w:eastAsia="仿宋_GB2312" w:cs="仿宋_GB2312"/>
                <w:spacing w:val="-1"/>
                <w:sz w:val="21"/>
                <w:szCs w:val="21"/>
                <w:lang w:val="en-US" w:eastAsia="zh-CN"/>
              </w:rPr>
              <w:t>铝灰：60.13  实验室废液：0.44  废漆渣：90.71 废活性炭：15.4 废纸盒：2.68  废弃包装物：4.86 废渣：1.99 合计：658.0274吨；</w:t>
            </w:r>
          </w:p>
          <w:p w14:paraId="463A5F7B">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 xml:space="preserve">2025年年度外单位转移危险废物（单位：吨）：废磷化渣：1.08  废矿物油：13.22 废电池：7.2674 废浮油、浮渣：10.22 </w:t>
            </w:r>
            <w:r>
              <w:rPr>
                <w:rFonts w:hint="eastAsia" w:ascii="仿宋_GB2312" w:hAnsi="仿宋_GB2312" w:eastAsia="仿宋_GB2312" w:cs="仿宋_GB2312"/>
                <w:spacing w:val="-1"/>
                <w:sz w:val="21"/>
                <w:szCs w:val="21"/>
                <w:highlight w:val="none"/>
                <w:lang w:val="en-US" w:eastAsia="zh-CN"/>
              </w:rPr>
              <w:t xml:space="preserve">废包装容器：  113.79  废过滤棉：175.11 磨床废弃物：149.41 </w:t>
            </w:r>
            <w:r>
              <w:rPr>
                <w:rFonts w:hint="eastAsia" w:ascii="仿宋_GB2312" w:hAnsi="仿宋_GB2312" w:eastAsia="仿宋_GB2312" w:cs="仿宋_GB2312"/>
                <w:spacing w:val="-1"/>
                <w:sz w:val="21"/>
                <w:szCs w:val="21"/>
                <w:lang w:val="en-US" w:eastAsia="zh-CN"/>
              </w:rPr>
              <w:t>铝灰：60.13  实验室废液：0.44  废漆渣：90.71 废活性炭：15.4 废纸盒：2.68  废弃包装物：4.86 废渣：1.99 合计：658.0274吨；</w:t>
            </w:r>
          </w:p>
          <w:p w14:paraId="63B28189">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both"/>
              <w:textAlignment w:val="auto"/>
              <w:rPr>
                <w:rFonts w:hint="default"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由德州正朔环保有限公司、山东平福环境服务有限公司、山东晏鼎环保科技有限公司、济南市鑫源物资开发利用有限公司、山东宏兴环保材料有限公司、菏泽荣润达环保科技有限公司、泰安德正海中环保科技有限责任公司进行转运处置。</w:t>
            </w:r>
          </w:p>
        </w:tc>
        <w:tc>
          <w:tcPr>
            <w:tcW w:w="1101" w:type="dxa"/>
            <w:vAlign w:val="center"/>
          </w:tcPr>
          <w:p w14:paraId="4DFCFF62">
            <w:pPr>
              <w:pStyle w:val="11"/>
              <w:keepNext w:val="0"/>
              <w:keepLines w:val="0"/>
              <w:pageBreakBefore w:val="0"/>
              <w:widowControl w:val="0"/>
              <w:kinsoku/>
              <w:wordWrap/>
              <w:overflowPunct/>
              <w:topLinePunct w:val="0"/>
              <w:autoSpaceDE w:val="0"/>
              <w:autoSpaceDN w:val="0"/>
              <w:bidi w:val="0"/>
              <w:adjustRightInd/>
              <w:snapToGrid/>
              <w:spacing w:before="1"/>
              <w:ind w:right="0"/>
              <w:jc w:val="center"/>
              <w:textAlignment w:val="auto"/>
              <w:rPr>
                <w:rFonts w:ascii="黑体" w:hAnsi="黑体" w:eastAsia="黑体"/>
                <w:spacing w:val="-1"/>
                <w:w w:val="95"/>
              </w:rPr>
            </w:pPr>
            <w:r>
              <w:rPr>
                <w:rFonts w:hint="eastAsia" w:ascii="黑体" w:hAnsi="黑体" w:eastAsia="黑体"/>
                <w:spacing w:val="-1"/>
                <w:w w:val="95"/>
                <w:lang w:val="en-US" w:eastAsia="zh-CN"/>
              </w:rPr>
              <w:t>危险废物</w:t>
            </w:r>
            <w:r>
              <w:rPr>
                <w:rFonts w:ascii="黑体" w:hAnsi="黑体" w:eastAsia="黑体"/>
                <w:spacing w:val="-1"/>
                <w:w w:val="95"/>
              </w:rPr>
              <w:t>排放方式</w:t>
            </w:r>
          </w:p>
        </w:tc>
        <w:tc>
          <w:tcPr>
            <w:tcW w:w="5564" w:type="dxa"/>
            <w:gridSpan w:val="2"/>
            <w:vAlign w:val="center"/>
          </w:tcPr>
          <w:p w14:paraId="17622291">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危险废物密闭储存于危废仓库，与山东平福环境服务有限公司、山东晏鼎环保科技有限公司、山东鑫纳环保科技有限公司签订合同办理转移申请后进行合法转移处置。</w:t>
            </w:r>
          </w:p>
        </w:tc>
      </w:tr>
      <w:tr w14:paraId="4CEA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2" w:type="dxa"/>
            <w:vMerge w:val="restart"/>
            <w:vAlign w:val="center"/>
          </w:tcPr>
          <w:p w14:paraId="2B5EFE00">
            <w:pPr>
              <w:pStyle w:val="11"/>
              <w:spacing w:before="1" w:line="266" w:lineRule="auto"/>
              <w:ind w:right="89"/>
              <w:jc w:val="center"/>
              <w:rPr>
                <w:rFonts w:ascii="黑体" w:hAnsi="黑体" w:eastAsia="黑体"/>
                <w:spacing w:val="-1"/>
                <w:w w:val="95"/>
              </w:rPr>
            </w:pPr>
            <w:r>
              <w:rPr>
                <w:rFonts w:ascii="黑体" w:hAnsi="黑体" w:eastAsia="黑体"/>
                <w:spacing w:val="-1"/>
                <w:w w:val="95"/>
              </w:rPr>
              <w:t>防治污染设施</w:t>
            </w:r>
          </w:p>
        </w:tc>
        <w:tc>
          <w:tcPr>
            <w:tcW w:w="6870" w:type="dxa"/>
            <w:gridSpan w:val="4"/>
            <w:vAlign w:val="center"/>
          </w:tcPr>
          <w:p w14:paraId="45B4D9C3">
            <w:pPr>
              <w:pStyle w:val="11"/>
              <w:spacing w:before="1" w:line="266" w:lineRule="auto"/>
              <w:ind w:right="89"/>
              <w:jc w:val="center"/>
              <w:rPr>
                <w:rFonts w:ascii="黑体" w:hAnsi="黑体" w:eastAsia="黑体"/>
                <w:spacing w:val="-1"/>
                <w:w w:val="95"/>
                <w:lang w:val="en-US"/>
              </w:rPr>
            </w:pPr>
            <w:r>
              <w:rPr>
                <w:rFonts w:ascii="黑体" w:hAnsi="黑体" w:eastAsia="黑体"/>
                <w:spacing w:val="-1"/>
                <w:w w:val="95"/>
                <w:lang w:val="en-US"/>
              </w:rPr>
              <w:t>污染设施名称</w:t>
            </w:r>
          </w:p>
        </w:tc>
        <w:tc>
          <w:tcPr>
            <w:tcW w:w="6665" w:type="dxa"/>
            <w:gridSpan w:val="3"/>
            <w:vAlign w:val="center"/>
          </w:tcPr>
          <w:p w14:paraId="04B427E4">
            <w:pPr>
              <w:pStyle w:val="11"/>
              <w:spacing w:before="1" w:line="266" w:lineRule="auto"/>
              <w:ind w:right="89"/>
              <w:jc w:val="center"/>
              <w:rPr>
                <w:rFonts w:ascii="黑体" w:hAnsi="黑体" w:eastAsia="黑体"/>
                <w:spacing w:val="-1"/>
                <w:w w:val="95"/>
                <w:lang w:val="en-US"/>
              </w:rPr>
            </w:pPr>
            <w:r>
              <w:rPr>
                <w:rFonts w:ascii="黑体" w:hAnsi="黑体" w:eastAsia="黑体"/>
                <w:spacing w:val="-1"/>
                <w:w w:val="95"/>
                <w:lang w:val="en-US"/>
              </w:rPr>
              <w:t>运行情况</w:t>
            </w:r>
          </w:p>
        </w:tc>
      </w:tr>
      <w:tr w14:paraId="2CA8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92" w:type="dxa"/>
            <w:vMerge w:val="continue"/>
            <w:vAlign w:val="center"/>
          </w:tcPr>
          <w:p w14:paraId="34D15E16">
            <w:pPr>
              <w:pStyle w:val="11"/>
              <w:spacing w:before="1" w:line="266" w:lineRule="auto"/>
              <w:ind w:right="89"/>
              <w:jc w:val="center"/>
              <w:rPr>
                <w:b/>
              </w:rPr>
            </w:pPr>
          </w:p>
        </w:tc>
        <w:tc>
          <w:tcPr>
            <w:tcW w:w="6870" w:type="dxa"/>
            <w:gridSpan w:val="4"/>
            <w:vAlign w:val="center"/>
          </w:tcPr>
          <w:p w14:paraId="03CA1707">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喷漆废水预处理站</w:t>
            </w:r>
          </w:p>
        </w:tc>
        <w:tc>
          <w:tcPr>
            <w:tcW w:w="6665" w:type="dxa"/>
            <w:gridSpan w:val="3"/>
            <w:vAlign w:val="center"/>
          </w:tcPr>
          <w:p w14:paraId="1B1B378D">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运行正常，排入综合污水处理站</w:t>
            </w:r>
          </w:p>
        </w:tc>
      </w:tr>
      <w:tr w14:paraId="458E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992" w:type="dxa"/>
            <w:vMerge w:val="continue"/>
            <w:vAlign w:val="center"/>
          </w:tcPr>
          <w:p w14:paraId="5C8AD30B">
            <w:pPr>
              <w:pStyle w:val="11"/>
              <w:spacing w:before="1" w:line="266" w:lineRule="auto"/>
              <w:ind w:right="89"/>
              <w:jc w:val="center"/>
              <w:rPr>
                <w:b/>
              </w:rPr>
            </w:pPr>
          </w:p>
        </w:tc>
        <w:tc>
          <w:tcPr>
            <w:tcW w:w="6870" w:type="dxa"/>
            <w:gridSpan w:val="4"/>
            <w:vAlign w:val="center"/>
          </w:tcPr>
          <w:p w14:paraId="7DE2EBE3">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综合污水处理站</w:t>
            </w:r>
          </w:p>
        </w:tc>
        <w:tc>
          <w:tcPr>
            <w:tcW w:w="6665" w:type="dxa"/>
            <w:gridSpan w:val="3"/>
            <w:vAlign w:val="center"/>
          </w:tcPr>
          <w:p w14:paraId="782639CC">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运行正常，达标排放到光大水务（章丘）运营有限公司三厂</w:t>
            </w:r>
          </w:p>
        </w:tc>
      </w:tr>
      <w:tr w14:paraId="2F78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992" w:type="dxa"/>
            <w:vAlign w:val="center"/>
          </w:tcPr>
          <w:p w14:paraId="7BD4B1E2">
            <w:pPr>
              <w:pStyle w:val="11"/>
              <w:spacing w:before="1" w:line="266" w:lineRule="auto"/>
              <w:ind w:right="89"/>
              <w:jc w:val="center"/>
              <w:rPr>
                <w:rFonts w:ascii="黑体" w:hAnsi="黑体" w:eastAsia="黑体"/>
                <w:spacing w:val="-1"/>
                <w:w w:val="95"/>
              </w:rPr>
            </w:pPr>
            <w:r>
              <w:rPr>
                <w:rFonts w:ascii="黑体" w:hAnsi="黑体" w:eastAsia="黑体"/>
                <w:spacing w:val="-1"/>
                <w:w w:val="95"/>
              </w:rPr>
              <w:t>建设项目环境影响评价其他环保行政许可</w:t>
            </w:r>
          </w:p>
          <w:p w14:paraId="00EF5E5F">
            <w:pPr>
              <w:pStyle w:val="11"/>
              <w:spacing w:before="1" w:line="266" w:lineRule="auto"/>
              <w:ind w:right="89"/>
              <w:jc w:val="center"/>
              <w:rPr>
                <w:rFonts w:ascii="黑体" w:hAnsi="黑体" w:eastAsia="黑体"/>
                <w:spacing w:val="-1"/>
                <w:w w:val="95"/>
              </w:rPr>
            </w:pPr>
            <w:r>
              <w:rPr>
                <w:rFonts w:ascii="黑体" w:hAnsi="黑体" w:eastAsia="黑体"/>
                <w:spacing w:val="-1"/>
                <w:w w:val="95"/>
              </w:rPr>
              <w:t>情况</w:t>
            </w:r>
          </w:p>
        </w:tc>
        <w:tc>
          <w:tcPr>
            <w:tcW w:w="3240" w:type="dxa"/>
            <w:gridSpan w:val="2"/>
            <w:vAlign w:val="center"/>
          </w:tcPr>
          <w:p w14:paraId="589F26F0">
            <w:pPr>
              <w:pStyle w:val="11"/>
              <w:spacing w:before="1" w:line="266" w:lineRule="auto"/>
              <w:ind w:right="89"/>
              <w:jc w:val="center"/>
              <w:rPr>
                <w:rFonts w:ascii="黑体" w:hAnsi="黑体" w:eastAsia="黑体"/>
                <w:spacing w:val="-1"/>
                <w:w w:val="95"/>
              </w:rPr>
            </w:pPr>
            <w:r>
              <w:rPr>
                <w:rFonts w:ascii="黑体" w:hAnsi="黑体" w:eastAsia="黑体"/>
                <w:spacing w:val="-1"/>
                <w:w w:val="95"/>
              </w:rPr>
              <w:t>建设项目环境影响评价情况</w:t>
            </w:r>
          </w:p>
        </w:tc>
        <w:tc>
          <w:tcPr>
            <w:tcW w:w="3630" w:type="dxa"/>
            <w:gridSpan w:val="2"/>
            <w:vAlign w:val="center"/>
          </w:tcPr>
          <w:p w14:paraId="74FBE955">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《传动轴厂提升能力搬迁技术改造项目》（章环建检【2017】25号）</w:t>
            </w:r>
          </w:p>
          <w:p w14:paraId="729D4C07">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《精密铸造厂提升能力搬迁技术改造项目》（章环建检【2017】28号）</w:t>
            </w:r>
          </w:p>
          <w:p w14:paraId="7115C8B2">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both"/>
              <w:textAlignment w:val="auto"/>
              <w:rPr>
                <w:color w:val="000000" w:themeColor="text1"/>
                <w14:textFill>
                  <w14:solidFill>
                    <w14:schemeClr w14:val="tx1"/>
                  </w14:solidFill>
                </w14:textFill>
              </w:rPr>
            </w:pPr>
            <w:r>
              <w:rPr>
                <w:rFonts w:hint="eastAsia" w:ascii="仿宋_GB2312" w:hAnsi="仿宋_GB2312" w:eastAsia="仿宋_GB2312" w:cs="仿宋_GB2312"/>
                <w:spacing w:val="-1"/>
                <w:sz w:val="21"/>
                <w:szCs w:val="21"/>
                <w:lang w:val="en-US" w:eastAsia="zh-CN"/>
              </w:rPr>
              <w:t>《提升零部件技术水平和质量技术改造项目》（章环建检【2016】4号）</w:t>
            </w:r>
          </w:p>
        </w:tc>
        <w:tc>
          <w:tcPr>
            <w:tcW w:w="3787" w:type="dxa"/>
            <w:gridSpan w:val="2"/>
            <w:vAlign w:val="center"/>
          </w:tcPr>
          <w:p w14:paraId="19B0E782">
            <w:pPr>
              <w:pStyle w:val="11"/>
              <w:spacing w:line="266" w:lineRule="auto"/>
              <w:ind w:right="193"/>
              <w:jc w:val="center"/>
              <w:rPr>
                <w:b/>
              </w:rPr>
            </w:pPr>
            <w:r>
              <w:rPr>
                <w:rFonts w:ascii="黑体" w:hAnsi="黑体" w:eastAsia="黑体"/>
                <w:spacing w:val="-1"/>
                <w:w w:val="95"/>
              </w:rPr>
              <w:t>其他环境保护行政许可情况</w:t>
            </w:r>
          </w:p>
        </w:tc>
        <w:tc>
          <w:tcPr>
            <w:tcW w:w="2878" w:type="dxa"/>
            <w:vAlign w:val="center"/>
          </w:tcPr>
          <w:p w14:paraId="470AB33C">
            <w:pPr>
              <w:pStyle w:val="11"/>
              <w:jc w:val="center"/>
            </w:pPr>
          </w:p>
          <w:p w14:paraId="5682420F">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rPr>
                <w:rFonts w:hint="eastAsia" w:ascii="仿宋_GB2312" w:hAnsi="仿宋_GB2312" w:eastAsia="仿宋_GB2312" w:cs="仿宋_GB2312"/>
                <w:spacing w:val="-1"/>
                <w:sz w:val="21"/>
                <w:szCs w:val="21"/>
                <w:lang w:val="en-US" w:eastAsia="zh-CN"/>
              </w:rPr>
            </w:pPr>
          </w:p>
          <w:p w14:paraId="1DC5BA94">
            <w:pPr>
              <w:pStyle w:val="11"/>
              <w:keepNext w:val="0"/>
              <w:keepLines w:val="0"/>
              <w:pageBreakBefore w:val="0"/>
              <w:widowControl w:val="0"/>
              <w:kinsoku/>
              <w:wordWrap/>
              <w:overflowPunct/>
              <w:topLinePunct w:val="0"/>
              <w:autoSpaceDE w:val="0"/>
              <w:autoSpaceDN w:val="0"/>
              <w:bidi w:val="0"/>
              <w:adjustRightInd w:val="0"/>
              <w:snapToGrid/>
              <w:spacing w:line="240" w:lineRule="auto"/>
              <w:ind w:left="0" w:right="0"/>
              <w:jc w:val="center"/>
              <w:textAlignment w:val="auto"/>
            </w:pPr>
            <w:r>
              <w:rPr>
                <w:rFonts w:hint="eastAsia" w:ascii="仿宋_GB2312" w:hAnsi="仿宋_GB2312" w:eastAsia="仿宋_GB2312" w:cs="仿宋_GB2312"/>
                <w:spacing w:val="-1"/>
                <w:sz w:val="21"/>
                <w:szCs w:val="21"/>
                <w:lang w:val="en-US" w:eastAsia="zh-CN"/>
              </w:rPr>
              <w:t>无</w:t>
            </w:r>
          </w:p>
          <w:p w14:paraId="1CA7421F">
            <w:pPr>
              <w:pStyle w:val="11"/>
              <w:jc w:val="center"/>
            </w:pPr>
          </w:p>
        </w:tc>
      </w:tr>
      <w:tr w14:paraId="4C80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992" w:type="dxa"/>
            <w:vAlign w:val="center"/>
          </w:tcPr>
          <w:p w14:paraId="5D2AF82A">
            <w:pPr>
              <w:pStyle w:val="11"/>
              <w:spacing w:before="197" w:line="266" w:lineRule="auto"/>
              <w:ind w:right="84"/>
              <w:jc w:val="center"/>
              <w:rPr>
                <w:rFonts w:ascii="黑体" w:hAnsi="黑体" w:eastAsia="黑体"/>
                <w:spacing w:val="-1"/>
                <w:w w:val="95"/>
              </w:rPr>
            </w:pPr>
            <w:r>
              <w:rPr>
                <w:rFonts w:ascii="黑体" w:hAnsi="黑体" w:eastAsia="黑体"/>
                <w:spacing w:val="-1"/>
                <w:w w:val="95"/>
              </w:rPr>
              <w:t>突发环境事件应急预案基本简介</w:t>
            </w:r>
          </w:p>
        </w:tc>
        <w:tc>
          <w:tcPr>
            <w:tcW w:w="13535" w:type="dxa"/>
            <w:gridSpan w:val="7"/>
            <w:vAlign w:val="center"/>
          </w:tcPr>
          <w:p w14:paraId="2B26001F">
            <w:pPr>
              <w:pStyle w:val="11"/>
              <w:keepNext w:val="0"/>
              <w:keepLines w:val="0"/>
              <w:pageBreakBefore w:val="0"/>
              <w:widowControl w:val="0"/>
              <w:kinsoku/>
              <w:wordWrap/>
              <w:overflowPunct/>
              <w:topLinePunct w:val="0"/>
              <w:autoSpaceDE w:val="0"/>
              <w:autoSpaceDN w:val="0"/>
              <w:bidi w:val="0"/>
              <w:adjustRightInd w:val="0"/>
              <w:snapToGrid w:val="0"/>
              <w:spacing w:line="240" w:lineRule="auto"/>
              <w:ind w:right="0" w:firstLine="416" w:firstLineChars="20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开展深入广泛的《中华人民共和国固体废物污染防治法》的宣传教育活动。 2025年4月对危废管理人员进行了环保知识培训，；对全体职工传达最新环保知识，并将这一工作纳入年度培训工作之中。</w:t>
            </w:r>
          </w:p>
          <w:p w14:paraId="1D7D3642">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both"/>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确立并调整了应急指挥体系，组建了应急队伍。成立了突发环境事件应急救援工作领导小组，设立突发环境事件应急组织机构，由突发环境事件应急指挥部、各应急救援组构成。设现场指挥组、调度协调组、物资供应组、现场处置组、警戒保卫组等 5个工作组。建立了应急响应程序，确立了应急响应分级处置的程序建立了现场处置措施，细化了各种应急情况应急处置措施。</w:t>
            </w:r>
          </w:p>
          <w:p w14:paraId="378DC843">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both"/>
              <w:textAlignment w:val="auto"/>
              <w:rPr>
                <w:rFonts w:hAnsi="Times New Roman"/>
                <w:sz w:val="18"/>
                <w:szCs w:val="18"/>
                <w:lang w:val="en-US" w:bidi="ar-SA"/>
              </w:rPr>
            </w:pPr>
            <w:r>
              <w:rPr>
                <w:rFonts w:hint="eastAsia" w:ascii="仿宋_GB2312" w:hAnsi="仿宋_GB2312" w:eastAsia="仿宋_GB2312" w:cs="仿宋_GB2312"/>
                <w:spacing w:val="-1"/>
                <w:sz w:val="21"/>
                <w:szCs w:val="21"/>
                <w:lang w:val="en-US" w:eastAsia="zh-CN"/>
              </w:rPr>
              <w:t>突发环境事件应急预案备案文件于2024年1月9日收讫，济南市生态环境局章丘分局予以备案登记。</w:t>
            </w:r>
          </w:p>
        </w:tc>
      </w:tr>
      <w:tr w14:paraId="4BA0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992" w:type="dxa"/>
            <w:vAlign w:val="center"/>
          </w:tcPr>
          <w:p w14:paraId="5AE933B4">
            <w:pPr>
              <w:pStyle w:val="11"/>
              <w:spacing w:before="197" w:line="266" w:lineRule="auto"/>
              <w:ind w:right="84"/>
              <w:jc w:val="center"/>
              <w:rPr>
                <w:rFonts w:ascii="黑体" w:hAnsi="黑体" w:eastAsia="黑体"/>
                <w:spacing w:val="-1"/>
                <w:w w:val="95"/>
              </w:rPr>
            </w:pPr>
            <w:r>
              <w:rPr>
                <w:rFonts w:ascii="黑体" w:hAnsi="黑体" w:eastAsia="黑体"/>
                <w:spacing w:val="-1"/>
                <w:w w:val="95"/>
              </w:rPr>
              <w:t>环境自行监测方案</w:t>
            </w:r>
          </w:p>
          <w:p w14:paraId="19CA84BE">
            <w:pPr>
              <w:pStyle w:val="11"/>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ascii="黑体" w:hAnsi="黑体" w:eastAsia="黑体"/>
                <w:spacing w:val="-1"/>
                <w:w w:val="95"/>
              </w:rPr>
            </w:pPr>
            <w:r>
              <w:rPr>
                <w:rFonts w:ascii="黑体" w:hAnsi="黑体" w:eastAsia="黑体"/>
                <w:spacing w:val="-1"/>
                <w:w w:val="95"/>
              </w:rPr>
              <w:t>（市控重点排污单位填报）</w:t>
            </w:r>
          </w:p>
        </w:tc>
        <w:tc>
          <w:tcPr>
            <w:tcW w:w="13535" w:type="dxa"/>
            <w:gridSpan w:val="7"/>
            <w:vAlign w:val="center"/>
          </w:tcPr>
          <w:p w14:paraId="592BF8E8">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与第三方资质单位签订监测合同，开展重点企业自行监测工作。自行监测内容分为废水、废气、噪声：</w:t>
            </w:r>
          </w:p>
          <w:p w14:paraId="12D7D168">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废水：PH 值、化学需氧量和氨氮安装自动监控设施，实时进行监测，石油类、悬浮 物、五日生化需氧量、阴离子表面活性剂每月进行监测。在线监控的污染物指标每季度进行对比监测。</w:t>
            </w:r>
          </w:p>
          <w:p w14:paraId="5FCC10A1">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废气检测;烟尘颗粒物每年一次进行监测，喷漆废气二氧化硫、氮氧化物、甲苯、苯、二甲苯、颗粒物每季度进行一次监测，挥发性有机物每月一次进行监测。</w:t>
            </w:r>
          </w:p>
          <w:p w14:paraId="36457268">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left"/>
              <w:textAlignment w:val="auto"/>
              <w:rPr>
                <w:rFonts w:hint="eastAsia" w:ascii="仿宋_GB2312" w:hAnsi="仿宋_GB2312" w:eastAsia="仿宋_GB2312" w:cs="仿宋_GB2312"/>
                <w:spacing w:val="-1"/>
                <w:sz w:val="21"/>
                <w:szCs w:val="21"/>
                <w:lang w:val="en-US" w:eastAsia="zh-CN"/>
              </w:rPr>
            </w:pPr>
            <w:r>
              <w:rPr>
                <w:rFonts w:hint="eastAsia" w:ascii="仿宋_GB2312" w:hAnsi="仿宋_GB2312" w:eastAsia="仿宋_GB2312" w:cs="仿宋_GB2312"/>
                <w:spacing w:val="-1"/>
                <w:sz w:val="21"/>
                <w:szCs w:val="21"/>
                <w:lang w:val="en-US" w:eastAsia="zh-CN"/>
              </w:rPr>
              <w:t>噪声检测每半年一次。</w:t>
            </w:r>
          </w:p>
          <w:p w14:paraId="12E7FB82">
            <w:pPr>
              <w:pStyle w:val="11"/>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416" w:firstLineChars="200"/>
              <w:jc w:val="left"/>
              <w:textAlignment w:val="auto"/>
              <w:rPr>
                <w:rFonts w:hAnsi="Times New Roman"/>
                <w:sz w:val="18"/>
                <w:szCs w:val="18"/>
                <w:lang w:val="en-US" w:bidi="ar-SA"/>
              </w:rPr>
            </w:pPr>
            <w:r>
              <w:rPr>
                <w:rFonts w:hint="eastAsia" w:ascii="仿宋_GB2312" w:hAnsi="仿宋_GB2312" w:eastAsia="仿宋_GB2312" w:cs="仿宋_GB2312"/>
                <w:spacing w:val="-1"/>
                <w:sz w:val="21"/>
                <w:szCs w:val="21"/>
                <w:lang w:val="en-US" w:eastAsia="zh-CN"/>
              </w:rPr>
              <w:t>1套污水在线监测设施，检测项目（COD、氨氮、pH 值、总磷、总氮、流量）； 3套VOCs 废气在线监测设施，检测项目（苯、甲苯、二甲苯、非甲烷总烃）；</w:t>
            </w:r>
          </w:p>
        </w:tc>
      </w:tr>
      <w:tr w14:paraId="32F7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92" w:type="dxa"/>
            <w:vAlign w:val="center"/>
          </w:tcPr>
          <w:p w14:paraId="46AD15EB">
            <w:pPr>
              <w:pStyle w:val="11"/>
              <w:spacing w:before="175" w:line="266" w:lineRule="auto"/>
              <w:ind w:left="203" w:right="84"/>
              <w:jc w:val="center"/>
              <w:rPr>
                <w:rFonts w:ascii="黑体" w:hAnsi="黑体" w:eastAsia="黑体"/>
                <w:spacing w:val="-1"/>
                <w:w w:val="95"/>
              </w:rPr>
            </w:pPr>
            <w:r>
              <w:rPr>
                <w:rFonts w:ascii="黑体" w:hAnsi="黑体" w:eastAsia="黑体"/>
                <w:spacing w:val="-1"/>
                <w:w w:val="95"/>
              </w:rPr>
              <w:t>其他环境信息</w:t>
            </w:r>
          </w:p>
        </w:tc>
        <w:tc>
          <w:tcPr>
            <w:tcW w:w="13535" w:type="dxa"/>
            <w:gridSpan w:val="7"/>
            <w:vAlign w:val="center"/>
          </w:tcPr>
          <w:p w14:paraId="55EED0A0">
            <w:pPr>
              <w:pStyle w:val="11"/>
              <w:spacing w:before="1"/>
              <w:ind w:left="121"/>
              <w:jc w:val="center"/>
              <w:rPr>
                <w:b/>
              </w:rPr>
            </w:pPr>
          </w:p>
        </w:tc>
      </w:tr>
    </w:tbl>
    <w:p w14:paraId="0352F144">
      <w:pPr>
        <w:keepNext w:val="0"/>
        <w:keepLines w:val="0"/>
        <w:pageBreakBefore w:val="0"/>
        <w:widowControl w:val="0"/>
        <w:kinsoku/>
        <w:wordWrap/>
        <w:overflowPunct/>
        <w:topLinePunct w:val="0"/>
        <w:autoSpaceDE w:val="0"/>
        <w:autoSpaceDN w:val="0"/>
        <w:bidi w:val="0"/>
        <w:adjustRightInd/>
        <w:snapToGrid/>
        <w:spacing w:line="20" w:lineRule="exact"/>
        <w:textAlignment w:val="auto"/>
      </w:pPr>
    </w:p>
    <w:sectPr>
      <w:pgSz w:w="16840" w:h="11910" w:orient="landscape"/>
      <w:pgMar w:top="1418" w:right="1418" w:bottom="1418" w:left="141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YmEzY2E2MzFhNjAzOWQ2YTBlMGMzZmQwNWJiZmUifQ=="/>
    <w:docVar w:name="KSO_WPS_MARK_KEY" w:val="80273f11-54cb-4fc2-9b1c-a83f465f07ce"/>
  </w:docVars>
  <w:rsids>
    <w:rsidRoot w:val="00DC0004"/>
    <w:rsid w:val="000E506B"/>
    <w:rsid w:val="00105390"/>
    <w:rsid w:val="00120675"/>
    <w:rsid w:val="001246C5"/>
    <w:rsid w:val="001D119E"/>
    <w:rsid w:val="001D71DA"/>
    <w:rsid w:val="00256D92"/>
    <w:rsid w:val="002C7CA8"/>
    <w:rsid w:val="00354A76"/>
    <w:rsid w:val="00356452"/>
    <w:rsid w:val="00375760"/>
    <w:rsid w:val="003D03A8"/>
    <w:rsid w:val="003E19F2"/>
    <w:rsid w:val="003F6D2B"/>
    <w:rsid w:val="004111CD"/>
    <w:rsid w:val="00425F8F"/>
    <w:rsid w:val="004307A3"/>
    <w:rsid w:val="004D6B6C"/>
    <w:rsid w:val="00542575"/>
    <w:rsid w:val="00593287"/>
    <w:rsid w:val="005C40E0"/>
    <w:rsid w:val="005C5F9A"/>
    <w:rsid w:val="005C6ACC"/>
    <w:rsid w:val="005E7F81"/>
    <w:rsid w:val="00636296"/>
    <w:rsid w:val="00677855"/>
    <w:rsid w:val="006C33FA"/>
    <w:rsid w:val="006F4724"/>
    <w:rsid w:val="00751124"/>
    <w:rsid w:val="0076048A"/>
    <w:rsid w:val="007A541C"/>
    <w:rsid w:val="007C6C56"/>
    <w:rsid w:val="00880280"/>
    <w:rsid w:val="008E318E"/>
    <w:rsid w:val="009505D6"/>
    <w:rsid w:val="009A0BC9"/>
    <w:rsid w:val="009B53A3"/>
    <w:rsid w:val="00A67821"/>
    <w:rsid w:val="00A8418E"/>
    <w:rsid w:val="00B300F6"/>
    <w:rsid w:val="00B35D47"/>
    <w:rsid w:val="00C3001E"/>
    <w:rsid w:val="00C35F0D"/>
    <w:rsid w:val="00C664B4"/>
    <w:rsid w:val="00CD36B6"/>
    <w:rsid w:val="00D52987"/>
    <w:rsid w:val="00D702E7"/>
    <w:rsid w:val="00D72222"/>
    <w:rsid w:val="00DA4BEC"/>
    <w:rsid w:val="00DC0004"/>
    <w:rsid w:val="00DD3675"/>
    <w:rsid w:val="00DE652B"/>
    <w:rsid w:val="00E73A93"/>
    <w:rsid w:val="00E742A2"/>
    <w:rsid w:val="00EB06C2"/>
    <w:rsid w:val="00EE0E89"/>
    <w:rsid w:val="00EF791A"/>
    <w:rsid w:val="00F3321E"/>
    <w:rsid w:val="00F639CD"/>
    <w:rsid w:val="00FB6D2A"/>
    <w:rsid w:val="00FF15F7"/>
    <w:rsid w:val="00FF46E8"/>
    <w:rsid w:val="014F219D"/>
    <w:rsid w:val="016505B0"/>
    <w:rsid w:val="023F66B6"/>
    <w:rsid w:val="025E292E"/>
    <w:rsid w:val="02AB78A7"/>
    <w:rsid w:val="02C866AB"/>
    <w:rsid w:val="02DC3B79"/>
    <w:rsid w:val="03440ED3"/>
    <w:rsid w:val="035E25E7"/>
    <w:rsid w:val="03634CF7"/>
    <w:rsid w:val="03B634AF"/>
    <w:rsid w:val="04497378"/>
    <w:rsid w:val="0499472A"/>
    <w:rsid w:val="0560375C"/>
    <w:rsid w:val="05BF6471"/>
    <w:rsid w:val="05E57574"/>
    <w:rsid w:val="05E732EC"/>
    <w:rsid w:val="064A73D7"/>
    <w:rsid w:val="067F3525"/>
    <w:rsid w:val="06BC02D5"/>
    <w:rsid w:val="07904C6B"/>
    <w:rsid w:val="07D33802"/>
    <w:rsid w:val="08571D21"/>
    <w:rsid w:val="086F1377"/>
    <w:rsid w:val="087529C5"/>
    <w:rsid w:val="08920D5C"/>
    <w:rsid w:val="092403B3"/>
    <w:rsid w:val="095E38C5"/>
    <w:rsid w:val="097F1A8E"/>
    <w:rsid w:val="0A4C7BC2"/>
    <w:rsid w:val="0AA40279"/>
    <w:rsid w:val="0AD33E3F"/>
    <w:rsid w:val="0AFF69E2"/>
    <w:rsid w:val="0B4160D2"/>
    <w:rsid w:val="0B4A48E4"/>
    <w:rsid w:val="0B7C61A0"/>
    <w:rsid w:val="0BC267A7"/>
    <w:rsid w:val="0C2F1549"/>
    <w:rsid w:val="0CCA2932"/>
    <w:rsid w:val="0D0A3D49"/>
    <w:rsid w:val="0D5C50AC"/>
    <w:rsid w:val="0D6C2329"/>
    <w:rsid w:val="0D904269"/>
    <w:rsid w:val="0D9C32E2"/>
    <w:rsid w:val="0DC51B42"/>
    <w:rsid w:val="0E2559C4"/>
    <w:rsid w:val="0E286250"/>
    <w:rsid w:val="0E341099"/>
    <w:rsid w:val="0E46145F"/>
    <w:rsid w:val="0E552DBD"/>
    <w:rsid w:val="0ECA5559"/>
    <w:rsid w:val="0F2307EE"/>
    <w:rsid w:val="0F4946D0"/>
    <w:rsid w:val="0F8C6CB2"/>
    <w:rsid w:val="0FDD7C8A"/>
    <w:rsid w:val="102E6CA7"/>
    <w:rsid w:val="103141BB"/>
    <w:rsid w:val="103233B6"/>
    <w:rsid w:val="10611EED"/>
    <w:rsid w:val="10CC380A"/>
    <w:rsid w:val="10DD519F"/>
    <w:rsid w:val="10ED552F"/>
    <w:rsid w:val="11A025A1"/>
    <w:rsid w:val="11ED1C8A"/>
    <w:rsid w:val="132A0982"/>
    <w:rsid w:val="138008DC"/>
    <w:rsid w:val="13824654"/>
    <w:rsid w:val="139D1BB7"/>
    <w:rsid w:val="13C108C6"/>
    <w:rsid w:val="13E42C19"/>
    <w:rsid w:val="14EA0703"/>
    <w:rsid w:val="15311626"/>
    <w:rsid w:val="154579A4"/>
    <w:rsid w:val="15EE5FD1"/>
    <w:rsid w:val="15F8032E"/>
    <w:rsid w:val="16005D04"/>
    <w:rsid w:val="162C4F37"/>
    <w:rsid w:val="16B03286"/>
    <w:rsid w:val="16F77313"/>
    <w:rsid w:val="177F7350"/>
    <w:rsid w:val="17B60D70"/>
    <w:rsid w:val="17DE0D04"/>
    <w:rsid w:val="18E92A80"/>
    <w:rsid w:val="197D623D"/>
    <w:rsid w:val="19A227FB"/>
    <w:rsid w:val="1B4904BA"/>
    <w:rsid w:val="1B6B6636"/>
    <w:rsid w:val="1BA77C77"/>
    <w:rsid w:val="1BB20D58"/>
    <w:rsid w:val="1BBC0057"/>
    <w:rsid w:val="1C69029D"/>
    <w:rsid w:val="1EAA2CB1"/>
    <w:rsid w:val="1F086948"/>
    <w:rsid w:val="1F3A4716"/>
    <w:rsid w:val="1F7732D5"/>
    <w:rsid w:val="1F925C1F"/>
    <w:rsid w:val="1FB62D96"/>
    <w:rsid w:val="1FD06747"/>
    <w:rsid w:val="20A2020F"/>
    <w:rsid w:val="21033805"/>
    <w:rsid w:val="214E3DC8"/>
    <w:rsid w:val="217E226A"/>
    <w:rsid w:val="21B77BBF"/>
    <w:rsid w:val="221B014E"/>
    <w:rsid w:val="222A0391"/>
    <w:rsid w:val="223D5896"/>
    <w:rsid w:val="2341122C"/>
    <w:rsid w:val="236C6869"/>
    <w:rsid w:val="24460AA9"/>
    <w:rsid w:val="24855D52"/>
    <w:rsid w:val="249E0BC2"/>
    <w:rsid w:val="251178A0"/>
    <w:rsid w:val="25145328"/>
    <w:rsid w:val="26816824"/>
    <w:rsid w:val="26CD1C32"/>
    <w:rsid w:val="273D0B66"/>
    <w:rsid w:val="27427F2B"/>
    <w:rsid w:val="27604855"/>
    <w:rsid w:val="27A31034"/>
    <w:rsid w:val="27A53160"/>
    <w:rsid w:val="27E070F5"/>
    <w:rsid w:val="282E6701"/>
    <w:rsid w:val="28807DE2"/>
    <w:rsid w:val="28C803AF"/>
    <w:rsid w:val="2949072C"/>
    <w:rsid w:val="294F4B81"/>
    <w:rsid w:val="29995DFC"/>
    <w:rsid w:val="29AB625B"/>
    <w:rsid w:val="2A110088"/>
    <w:rsid w:val="2A2953D2"/>
    <w:rsid w:val="2A2B41EB"/>
    <w:rsid w:val="2A5B2CD1"/>
    <w:rsid w:val="2AA450FF"/>
    <w:rsid w:val="2AEF3F25"/>
    <w:rsid w:val="2B651AEC"/>
    <w:rsid w:val="2B6A7A50"/>
    <w:rsid w:val="2BA967CA"/>
    <w:rsid w:val="2BB4516F"/>
    <w:rsid w:val="2BB60EE7"/>
    <w:rsid w:val="2CA62D0A"/>
    <w:rsid w:val="2D60735C"/>
    <w:rsid w:val="2D91660E"/>
    <w:rsid w:val="2DD90EBD"/>
    <w:rsid w:val="2DE33AEA"/>
    <w:rsid w:val="2E00644A"/>
    <w:rsid w:val="2E121069"/>
    <w:rsid w:val="2E204A87"/>
    <w:rsid w:val="2E89643F"/>
    <w:rsid w:val="2EFA41D4"/>
    <w:rsid w:val="2F527179"/>
    <w:rsid w:val="30090A9C"/>
    <w:rsid w:val="303C059F"/>
    <w:rsid w:val="30517430"/>
    <w:rsid w:val="32AE766A"/>
    <w:rsid w:val="32D57EA5"/>
    <w:rsid w:val="332B21BB"/>
    <w:rsid w:val="341B3FDD"/>
    <w:rsid w:val="353A4937"/>
    <w:rsid w:val="355737D2"/>
    <w:rsid w:val="357339A5"/>
    <w:rsid w:val="3578720D"/>
    <w:rsid w:val="35C2216D"/>
    <w:rsid w:val="36062A6B"/>
    <w:rsid w:val="376637C1"/>
    <w:rsid w:val="37B409D1"/>
    <w:rsid w:val="380A6249"/>
    <w:rsid w:val="3823299C"/>
    <w:rsid w:val="38EF5A38"/>
    <w:rsid w:val="39186D3D"/>
    <w:rsid w:val="39276F80"/>
    <w:rsid w:val="393873DF"/>
    <w:rsid w:val="396F26D5"/>
    <w:rsid w:val="39785A2E"/>
    <w:rsid w:val="39883F6D"/>
    <w:rsid w:val="39B36A66"/>
    <w:rsid w:val="39D013C6"/>
    <w:rsid w:val="3B3836C7"/>
    <w:rsid w:val="3B516536"/>
    <w:rsid w:val="3B7257DA"/>
    <w:rsid w:val="3B8155D7"/>
    <w:rsid w:val="3B9B2C7D"/>
    <w:rsid w:val="3BCB351D"/>
    <w:rsid w:val="3CA40C2F"/>
    <w:rsid w:val="3CAD470B"/>
    <w:rsid w:val="3CBC20D5"/>
    <w:rsid w:val="3CC33464"/>
    <w:rsid w:val="3D5E4F3B"/>
    <w:rsid w:val="3D87538C"/>
    <w:rsid w:val="3E0A1AD7"/>
    <w:rsid w:val="3E216694"/>
    <w:rsid w:val="3E410AE4"/>
    <w:rsid w:val="3EB94B1E"/>
    <w:rsid w:val="3EE020AB"/>
    <w:rsid w:val="3F5D4836"/>
    <w:rsid w:val="3F8073EA"/>
    <w:rsid w:val="3F917849"/>
    <w:rsid w:val="40185875"/>
    <w:rsid w:val="404E5042"/>
    <w:rsid w:val="4084115C"/>
    <w:rsid w:val="40DE261A"/>
    <w:rsid w:val="42057AC0"/>
    <w:rsid w:val="426E3E72"/>
    <w:rsid w:val="42D02437"/>
    <w:rsid w:val="42D9753D"/>
    <w:rsid w:val="447D039C"/>
    <w:rsid w:val="4504286C"/>
    <w:rsid w:val="451E392D"/>
    <w:rsid w:val="457A79E8"/>
    <w:rsid w:val="458F0387"/>
    <w:rsid w:val="459260C9"/>
    <w:rsid w:val="45CC3389"/>
    <w:rsid w:val="46E6047B"/>
    <w:rsid w:val="470D3C59"/>
    <w:rsid w:val="471F398D"/>
    <w:rsid w:val="474E6020"/>
    <w:rsid w:val="47AF1047"/>
    <w:rsid w:val="487A531F"/>
    <w:rsid w:val="48D32C81"/>
    <w:rsid w:val="494D67E4"/>
    <w:rsid w:val="49FC1D63"/>
    <w:rsid w:val="4A5D6CA6"/>
    <w:rsid w:val="4AB12B4E"/>
    <w:rsid w:val="4AC565F9"/>
    <w:rsid w:val="4B047121"/>
    <w:rsid w:val="4C1710D6"/>
    <w:rsid w:val="4C431ECB"/>
    <w:rsid w:val="4CA035FE"/>
    <w:rsid w:val="4D2770F7"/>
    <w:rsid w:val="4D44470F"/>
    <w:rsid w:val="4D471547"/>
    <w:rsid w:val="4D5438C5"/>
    <w:rsid w:val="4DB210B7"/>
    <w:rsid w:val="4E0B6A19"/>
    <w:rsid w:val="4EE7618A"/>
    <w:rsid w:val="4FB25E54"/>
    <w:rsid w:val="5049712E"/>
    <w:rsid w:val="509B22D6"/>
    <w:rsid w:val="50C50D86"/>
    <w:rsid w:val="50E83041"/>
    <w:rsid w:val="50EA561A"/>
    <w:rsid w:val="50F73284"/>
    <w:rsid w:val="51273B6A"/>
    <w:rsid w:val="51791EEB"/>
    <w:rsid w:val="51825244"/>
    <w:rsid w:val="51E27A91"/>
    <w:rsid w:val="51E952C3"/>
    <w:rsid w:val="52102850"/>
    <w:rsid w:val="52952D55"/>
    <w:rsid w:val="52E55A8A"/>
    <w:rsid w:val="53204D14"/>
    <w:rsid w:val="53334A48"/>
    <w:rsid w:val="534A7FE3"/>
    <w:rsid w:val="53BA6F17"/>
    <w:rsid w:val="53F02939"/>
    <w:rsid w:val="541128AF"/>
    <w:rsid w:val="5444152C"/>
    <w:rsid w:val="547F3CBD"/>
    <w:rsid w:val="549E2395"/>
    <w:rsid w:val="54BE47E5"/>
    <w:rsid w:val="54D758A7"/>
    <w:rsid w:val="556E1102"/>
    <w:rsid w:val="556E6FD0"/>
    <w:rsid w:val="568B23E5"/>
    <w:rsid w:val="569F41A2"/>
    <w:rsid w:val="56DC6BBD"/>
    <w:rsid w:val="57691CEC"/>
    <w:rsid w:val="576F0018"/>
    <w:rsid w:val="578C0BCA"/>
    <w:rsid w:val="58A62B3A"/>
    <w:rsid w:val="58D060C7"/>
    <w:rsid w:val="5943350B"/>
    <w:rsid w:val="59611BE3"/>
    <w:rsid w:val="597B2CA5"/>
    <w:rsid w:val="59B937CD"/>
    <w:rsid w:val="59C12681"/>
    <w:rsid w:val="5A4640F1"/>
    <w:rsid w:val="5A6B2D19"/>
    <w:rsid w:val="5AE1122D"/>
    <w:rsid w:val="5AF50EB1"/>
    <w:rsid w:val="5BDE519A"/>
    <w:rsid w:val="5C0F5926"/>
    <w:rsid w:val="5C757E7F"/>
    <w:rsid w:val="5D261179"/>
    <w:rsid w:val="5D6D40C4"/>
    <w:rsid w:val="5E0F7E5F"/>
    <w:rsid w:val="5EE66E12"/>
    <w:rsid w:val="5F2135F7"/>
    <w:rsid w:val="5F625A9F"/>
    <w:rsid w:val="5F73502D"/>
    <w:rsid w:val="6032304D"/>
    <w:rsid w:val="604858AA"/>
    <w:rsid w:val="60912DAE"/>
    <w:rsid w:val="61016185"/>
    <w:rsid w:val="61D02BDE"/>
    <w:rsid w:val="61EB6341"/>
    <w:rsid w:val="62FA10DE"/>
    <w:rsid w:val="63220635"/>
    <w:rsid w:val="63554566"/>
    <w:rsid w:val="63A552C2"/>
    <w:rsid w:val="64106852"/>
    <w:rsid w:val="64CF0348"/>
    <w:rsid w:val="64D616D7"/>
    <w:rsid w:val="64DE67DD"/>
    <w:rsid w:val="650D3001"/>
    <w:rsid w:val="650E0E71"/>
    <w:rsid w:val="65183A9D"/>
    <w:rsid w:val="65212AA9"/>
    <w:rsid w:val="666B40A1"/>
    <w:rsid w:val="66B6356E"/>
    <w:rsid w:val="67BA708E"/>
    <w:rsid w:val="68157B8A"/>
    <w:rsid w:val="68A64603"/>
    <w:rsid w:val="695F671E"/>
    <w:rsid w:val="69D63F27"/>
    <w:rsid w:val="69D962BC"/>
    <w:rsid w:val="69E82B0F"/>
    <w:rsid w:val="6A332BD4"/>
    <w:rsid w:val="6A5C61DA"/>
    <w:rsid w:val="6A5F3F1C"/>
    <w:rsid w:val="6B347990"/>
    <w:rsid w:val="6B961BC0"/>
    <w:rsid w:val="6BAF4A30"/>
    <w:rsid w:val="6C6420CA"/>
    <w:rsid w:val="6C847C6A"/>
    <w:rsid w:val="6CE626D3"/>
    <w:rsid w:val="6CE70A96"/>
    <w:rsid w:val="6D745F31"/>
    <w:rsid w:val="6DA85BDA"/>
    <w:rsid w:val="6DEF7365"/>
    <w:rsid w:val="6DF73C6F"/>
    <w:rsid w:val="6E192634"/>
    <w:rsid w:val="6E4771A1"/>
    <w:rsid w:val="6E5D4C17"/>
    <w:rsid w:val="6E641B01"/>
    <w:rsid w:val="6E6C6C08"/>
    <w:rsid w:val="6EFF6962"/>
    <w:rsid w:val="6F2A4AF9"/>
    <w:rsid w:val="6F5E1C9F"/>
    <w:rsid w:val="6F996223"/>
    <w:rsid w:val="6FC97B45"/>
    <w:rsid w:val="6FD66A2F"/>
    <w:rsid w:val="70057314"/>
    <w:rsid w:val="703E3F6D"/>
    <w:rsid w:val="7089584F"/>
    <w:rsid w:val="70D56CE6"/>
    <w:rsid w:val="70DA254F"/>
    <w:rsid w:val="71A30B93"/>
    <w:rsid w:val="71AA1F21"/>
    <w:rsid w:val="71CF7BA0"/>
    <w:rsid w:val="71D76A8E"/>
    <w:rsid w:val="71E256C0"/>
    <w:rsid w:val="720466D2"/>
    <w:rsid w:val="72681A58"/>
    <w:rsid w:val="727F515C"/>
    <w:rsid w:val="730B4C41"/>
    <w:rsid w:val="73520CA4"/>
    <w:rsid w:val="73602D7B"/>
    <w:rsid w:val="737A1F1E"/>
    <w:rsid w:val="73B52DFF"/>
    <w:rsid w:val="741915E0"/>
    <w:rsid w:val="74FC0CE6"/>
    <w:rsid w:val="75011414"/>
    <w:rsid w:val="75151DA7"/>
    <w:rsid w:val="75472AE0"/>
    <w:rsid w:val="75530B22"/>
    <w:rsid w:val="765468FF"/>
    <w:rsid w:val="76DC2D7F"/>
    <w:rsid w:val="77FA7033"/>
    <w:rsid w:val="78250553"/>
    <w:rsid w:val="78715DC8"/>
    <w:rsid w:val="791D122B"/>
    <w:rsid w:val="796321AA"/>
    <w:rsid w:val="797D616D"/>
    <w:rsid w:val="798474FC"/>
    <w:rsid w:val="79A13C0A"/>
    <w:rsid w:val="79AE12B3"/>
    <w:rsid w:val="7A17211E"/>
    <w:rsid w:val="7A603AC5"/>
    <w:rsid w:val="7A613F58"/>
    <w:rsid w:val="7A6B246A"/>
    <w:rsid w:val="7AAC6D0A"/>
    <w:rsid w:val="7ABD2CC5"/>
    <w:rsid w:val="7ADD1BA5"/>
    <w:rsid w:val="7B536E6B"/>
    <w:rsid w:val="7B607AF4"/>
    <w:rsid w:val="7B8170F7"/>
    <w:rsid w:val="7BD55DED"/>
    <w:rsid w:val="7BDA78A7"/>
    <w:rsid w:val="7C001096"/>
    <w:rsid w:val="7C815F74"/>
    <w:rsid w:val="7CFE387D"/>
    <w:rsid w:val="7D064AA2"/>
    <w:rsid w:val="7D3049CD"/>
    <w:rsid w:val="7D856F8A"/>
    <w:rsid w:val="7D935F5F"/>
    <w:rsid w:val="7DCA74A7"/>
    <w:rsid w:val="7E8F4979"/>
    <w:rsid w:val="7E9C79A6"/>
    <w:rsid w:val="7EED78F1"/>
    <w:rsid w:val="7EFB200E"/>
    <w:rsid w:val="7F112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semiHidden/>
    <w:qFormat/>
    <w:uiPriority w:val="99"/>
    <w:rPr>
      <w:rFonts w:ascii="Calibri" w:hAnsi="Calibri"/>
      <w:sz w:val="21"/>
    </w:rPr>
  </w:style>
  <w:style w:type="paragraph" w:styleId="3">
    <w:name w:val="Body Text"/>
    <w:basedOn w:val="1"/>
    <w:qFormat/>
    <w:uiPriority w:val="1"/>
    <w:pPr>
      <w:spacing w:before="5"/>
    </w:pPr>
  </w:style>
  <w:style w:type="paragraph" w:styleId="4">
    <w:name w:val="footer"/>
    <w:basedOn w:val="1"/>
    <w:link w:val="13"/>
    <w:autoRedefine/>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style>
  <w:style w:type="character" w:customStyle="1" w:styleId="12">
    <w:name w:val="页眉 字符"/>
    <w:basedOn w:val="8"/>
    <w:link w:val="5"/>
    <w:autoRedefine/>
    <w:qFormat/>
    <w:uiPriority w:val="0"/>
    <w:rPr>
      <w:rFonts w:ascii="宋体" w:hAnsi="宋体" w:cs="宋体"/>
      <w:sz w:val="18"/>
      <w:szCs w:val="18"/>
      <w:lang w:val="zh-CN" w:bidi="zh-CN"/>
    </w:rPr>
  </w:style>
  <w:style w:type="character" w:customStyle="1" w:styleId="13">
    <w:name w:val="页脚 字符"/>
    <w:basedOn w:val="8"/>
    <w:link w:val="4"/>
    <w:qFormat/>
    <w:uiPriority w:val="0"/>
    <w:rPr>
      <w:rFonts w:ascii="宋体" w:hAnsi="宋体" w:cs="宋体"/>
      <w:sz w:val="18"/>
      <w:szCs w:val="18"/>
      <w:lang w:val="zh-CN" w:bidi="zh-CN"/>
    </w:rPr>
  </w:style>
  <w:style w:type="character" w:customStyle="1" w:styleId="14">
    <w:name w:val="文档结构图 字符"/>
    <w:basedOn w:val="8"/>
    <w:link w:val="2"/>
    <w:autoRedefine/>
    <w:semiHidden/>
    <w:qFormat/>
    <w:uiPriority w:val="99"/>
    <w:rPr>
      <w:rFonts w:ascii="Calibri" w:hAnsi="Calibri" w:cs="宋体"/>
      <w:sz w:val="21"/>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82D78-DBDD-4314-882D-46767A4E1367}">
  <ds:schemaRefs/>
</ds:datastoreItem>
</file>

<file path=docProps/app.xml><?xml version="1.0" encoding="utf-8"?>
<Properties xmlns="http://schemas.openxmlformats.org/officeDocument/2006/extended-properties" xmlns:vt="http://schemas.openxmlformats.org/officeDocument/2006/docPropsVTypes">
  <Template>Normal</Template>
  <Pages>5</Pages>
  <Words>2773</Words>
  <Characters>4381</Characters>
  <Lines>11</Lines>
  <Paragraphs>7</Paragraphs>
  <TotalTime>17</TotalTime>
  <ScaleCrop>false</ScaleCrop>
  <LinksUpToDate>false</LinksUpToDate>
  <CharactersWithSpaces>4603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2022-09-15T02:03:00Z</dcterms:created>
  <dc:creator>PGOS</dc:creator>
  <cp:lastModifiedBy>郑国鹏</cp:lastModifiedBy>
  <cp:lastPrinted>2022-02-07T02:49:00Z</cp:lastPrinted>
  <dcterms:modified xsi:type="dcterms:W3CDTF">2026-01-08T03:43:51Z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Microsoft® Office Word 2007</vt:lpwstr>
  </property>
  <property fmtid="{D5CDD505-2E9C-101B-9397-08002B2CF9AE}" pid="4" name="LastSaved">
    <vt:filetime>2020-09-05T00:00:00Z</vt:filetime>
  </property>
  <property fmtid="{D5CDD505-2E9C-101B-9397-08002B2CF9AE}" pid="5" name="KSOProductBuildVer">
    <vt:lpwstr>2052-12.1.0.24034</vt:lpwstr>
  </property>
  <property fmtid="{D5CDD505-2E9C-101B-9397-08002B2CF9AE}" pid="6" name="ICV">
    <vt:lpwstr>D857EC747901411284F6790CBA5FCC34_13</vt:lpwstr>
  </property>
  <property fmtid="{D5CDD505-2E9C-101B-9397-08002B2CF9AE}" pid="7" name="KSOTemplateDocerSaveRecord">
    <vt:lpwstr>eyJoZGlkIjoiNTdjYmEzY2E2MzFhNjAzOWQ2YTBlMGMzZmQwNWJiZmUiLCJ1c2VySWQiOiI0MjE0MDU3MDMifQ==</vt:lpwstr>
  </property>
</Properties>
</file>