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60"/>
        </w:tabs>
        <w:spacing w:line="360" w:lineRule="auto"/>
        <w:ind w:firstLine="480" w:firstLineChars="200"/>
        <w:rPr>
          <w:sz w:val="24"/>
        </w:rPr>
      </w:pPr>
      <w:r>
        <w:rPr>
          <w:sz w:val="24"/>
        </w:rPr>
        <w:drawing>
          <wp:anchor distT="0" distB="0" distL="114300" distR="114300" simplePos="0" relativeHeight="251659264" behindDoc="0" locked="0" layoutInCell="1" allowOverlap="1">
            <wp:simplePos x="0" y="0"/>
            <wp:positionH relativeFrom="column">
              <wp:posOffset>102870</wp:posOffset>
            </wp:positionH>
            <wp:positionV relativeFrom="paragraph">
              <wp:posOffset>294640</wp:posOffset>
            </wp:positionV>
            <wp:extent cx="2400300" cy="852170"/>
            <wp:effectExtent l="0" t="0" r="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400300" cy="852170"/>
                    </a:xfrm>
                    <a:prstGeom prst="rect">
                      <a:avLst/>
                    </a:prstGeom>
                  </pic:spPr>
                </pic:pic>
              </a:graphicData>
            </a:graphic>
          </wp:anchor>
        </w:drawing>
      </w:r>
    </w:p>
    <w:p>
      <w:pPr>
        <w:pStyle w:val="60"/>
        <w:spacing w:line="900" w:lineRule="exact"/>
        <w:rPr>
          <w:rStyle w:val="58"/>
          <w:rFonts w:ascii="宋体" w:hAnsi="宋体" w:cs="仿宋"/>
          <w:b/>
          <w:bCs/>
          <w:sz w:val="52"/>
          <w:szCs w:val="36"/>
        </w:rPr>
      </w:pPr>
    </w:p>
    <w:p>
      <w:pPr>
        <w:pStyle w:val="60"/>
        <w:spacing w:line="900" w:lineRule="exact"/>
        <w:jc w:val="center"/>
        <w:rPr>
          <w:rStyle w:val="58"/>
          <w:rFonts w:ascii="宋体" w:hAnsi="宋体" w:cs="仿宋"/>
          <w:b/>
          <w:bCs/>
          <w:sz w:val="52"/>
          <w:szCs w:val="36"/>
        </w:rPr>
      </w:pPr>
    </w:p>
    <w:p>
      <w:pPr>
        <w:pStyle w:val="60"/>
        <w:jc w:val="center"/>
        <w:rPr>
          <w:rStyle w:val="58"/>
          <w:rFonts w:ascii="宋体" w:hAnsi="宋体" w:cs="仿宋"/>
          <w:b/>
          <w:bCs/>
          <w:sz w:val="48"/>
          <w:szCs w:val="48"/>
        </w:rPr>
      </w:pPr>
      <w:bookmarkStart w:id="0" w:name="_Hlk209620515"/>
      <w:r>
        <w:rPr>
          <w:rStyle w:val="58"/>
          <w:rFonts w:hint="eastAsia" w:ascii="宋体" w:hAnsi="宋体" w:cs="仿宋"/>
          <w:b/>
          <w:bCs/>
          <w:sz w:val="48"/>
          <w:szCs w:val="48"/>
        </w:rPr>
        <w:t>济南成型厂</w:t>
      </w:r>
    </w:p>
    <w:p>
      <w:pPr>
        <w:pStyle w:val="60"/>
        <w:jc w:val="center"/>
        <w:rPr>
          <w:rStyle w:val="58"/>
          <w:rFonts w:ascii="宋体" w:hAnsi="宋体"/>
          <w:b/>
          <w:sz w:val="18"/>
          <w:szCs w:val="18"/>
        </w:rPr>
      </w:pPr>
      <w:r>
        <w:rPr>
          <w:rStyle w:val="58"/>
          <w:rFonts w:hint="eastAsia" w:ascii="宋体" w:hAnsi="宋体" w:cs="仿宋"/>
          <w:b/>
          <w:bCs/>
          <w:sz w:val="48"/>
          <w:szCs w:val="48"/>
        </w:rPr>
        <w:t>电动叉车锂电池充电站建设技改项目工程施工</w:t>
      </w:r>
    </w:p>
    <w:bookmarkEnd w:id="0"/>
    <w:p>
      <w:pPr>
        <w:pStyle w:val="60"/>
        <w:rPr>
          <w:rStyle w:val="58"/>
          <w:rFonts w:ascii="宋体" w:hAnsi="宋体"/>
          <w:b/>
          <w:sz w:val="18"/>
          <w:szCs w:val="18"/>
        </w:rPr>
      </w:pPr>
    </w:p>
    <w:p>
      <w:pPr>
        <w:pStyle w:val="60"/>
        <w:rPr>
          <w:rStyle w:val="58"/>
          <w:rFonts w:ascii="宋体" w:hAnsi="宋体"/>
          <w:b/>
          <w:sz w:val="18"/>
          <w:szCs w:val="18"/>
        </w:rPr>
      </w:pPr>
    </w:p>
    <w:p>
      <w:pPr>
        <w:pStyle w:val="60"/>
        <w:rPr>
          <w:rStyle w:val="58"/>
          <w:rFonts w:ascii="宋体" w:hAnsi="宋体"/>
          <w:b/>
          <w:sz w:val="18"/>
          <w:szCs w:val="18"/>
        </w:rPr>
      </w:pPr>
    </w:p>
    <w:p>
      <w:pPr>
        <w:pStyle w:val="60"/>
        <w:jc w:val="center"/>
        <w:rPr>
          <w:rStyle w:val="58"/>
          <w:rFonts w:ascii="宋体" w:hAnsi="宋体"/>
          <w:b/>
          <w:sz w:val="84"/>
          <w:szCs w:val="84"/>
        </w:rPr>
      </w:pPr>
      <w:r>
        <w:rPr>
          <w:rStyle w:val="58"/>
          <w:rFonts w:ascii="宋体" w:hAnsi="宋体"/>
          <w:b/>
          <w:sz w:val="84"/>
          <w:szCs w:val="84"/>
        </w:rPr>
        <w:t>招 标 文 件</w:t>
      </w:r>
    </w:p>
    <w:p>
      <w:pPr>
        <w:pStyle w:val="60"/>
        <w:jc w:val="center"/>
        <w:rPr>
          <w:rStyle w:val="58"/>
          <w:rFonts w:ascii="宋体" w:hAnsi="宋体"/>
          <w:b/>
          <w:sz w:val="32"/>
          <w:szCs w:val="32"/>
        </w:rPr>
      </w:pPr>
    </w:p>
    <w:p>
      <w:pPr>
        <w:snapToGrid w:val="0"/>
        <w:spacing w:line="300" w:lineRule="auto"/>
        <w:jc w:val="center"/>
        <w:rPr>
          <w:rStyle w:val="58"/>
          <w:rFonts w:ascii="宋体" w:hAnsi="宋体"/>
          <w:bCs/>
          <w:sz w:val="24"/>
          <w:szCs w:val="32"/>
          <w:u w:val="single"/>
        </w:rPr>
      </w:pPr>
      <w:r>
        <w:rPr>
          <w:rStyle w:val="58"/>
          <w:rFonts w:ascii="宋体" w:hAnsi="宋体"/>
          <w:b/>
          <w:bCs/>
          <w:sz w:val="24"/>
          <w:szCs w:val="32"/>
        </w:rPr>
        <w:t xml:space="preserve">招标编号: ZBGL2026020180    </w:t>
      </w:r>
    </w:p>
    <w:p>
      <w:pPr>
        <w:snapToGrid w:val="0"/>
        <w:spacing w:line="300" w:lineRule="auto"/>
        <w:jc w:val="center"/>
        <w:rPr>
          <w:rStyle w:val="58"/>
          <w:rFonts w:ascii="宋体" w:hAnsi="宋体"/>
          <w:b/>
          <w:bCs/>
        </w:rPr>
      </w:pPr>
    </w:p>
    <w:p>
      <w:pPr>
        <w:snapToGrid w:val="0"/>
        <w:spacing w:line="300" w:lineRule="auto"/>
        <w:ind w:firstLine="1355" w:firstLineChars="450"/>
        <w:rPr>
          <w:rStyle w:val="58"/>
          <w:rFonts w:ascii="宋体" w:hAnsi="宋体"/>
          <w:b/>
          <w:sz w:val="30"/>
        </w:rPr>
      </w:pPr>
    </w:p>
    <w:p>
      <w:pPr>
        <w:snapToGrid w:val="0"/>
        <w:spacing w:line="300" w:lineRule="auto"/>
        <w:ind w:firstLine="1355" w:firstLineChars="450"/>
        <w:rPr>
          <w:rStyle w:val="58"/>
          <w:rFonts w:ascii="宋体" w:hAnsi="宋体"/>
          <w:b/>
          <w:sz w:val="30"/>
        </w:rPr>
      </w:pPr>
    </w:p>
    <w:p>
      <w:pPr>
        <w:snapToGrid w:val="0"/>
        <w:spacing w:line="300" w:lineRule="auto"/>
        <w:ind w:firstLine="1355" w:firstLineChars="450"/>
        <w:rPr>
          <w:rStyle w:val="58"/>
          <w:rFonts w:ascii="宋体" w:hAnsi="宋体"/>
          <w:b/>
          <w:sz w:val="30"/>
        </w:rPr>
      </w:pPr>
    </w:p>
    <w:p>
      <w:pPr>
        <w:pStyle w:val="19"/>
      </w:pPr>
    </w:p>
    <w:p>
      <w:pPr>
        <w:snapToGrid w:val="0"/>
        <w:spacing w:line="560" w:lineRule="exact"/>
        <w:rPr>
          <w:rStyle w:val="58"/>
          <w:rFonts w:ascii="宋体" w:hAnsi="宋体"/>
          <w:b/>
          <w:sz w:val="30"/>
        </w:rPr>
      </w:pPr>
    </w:p>
    <w:p>
      <w:pPr>
        <w:snapToGrid w:val="0"/>
        <w:spacing w:line="560" w:lineRule="exact"/>
        <w:jc w:val="center"/>
        <w:rPr>
          <w:rStyle w:val="58"/>
          <w:rFonts w:ascii="宋体" w:hAnsi="宋体"/>
          <w:b/>
          <w:sz w:val="30"/>
        </w:rPr>
      </w:pPr>
      <w:r>
        <w:rPr>
          <w:rStyle w:val="58"/>
          <w:rFonts w:ascii="宋体" w:hAnsi="宋体"/>
          <w:b/>
          <w:sz w:val="30"/>
        </w:rPr>
        <w:t>招 标 人：</w:t>
      </w:r>
      <w:bookmarkStart w:id="1" w:name="_Hlk209618508"/>
      <w:r>
        <w:rPr>
          <w:rStyle w:val="58"/>
          <w:rFonts w:hint="eastAsia" w:ascii="宋体" w:hAnsi="宋体"/>
          <w:b/>
          <w:sz w:val="30"/>
        </w:rPr>
        <w:t>中国重汽集团济南动力有限公司</w:t>
      </w:r>
      <w:bookmarkEnd w:id="1"/>
    </w:p>
    <w:p>
      <w:pPr>
        <w:snapToGrid w:val="0"/>
        <w:spacing w:line="560" w:lineRule="exact"/>
        <w:jc w:val="center"/>
        <w:rPr>
          <w:rStyle w:val="58"/>
          <w:rFonts w:ascii="宋体" w:hAnsi="宋体"/>
          <w:b/>
          <w:sz w:val="30"/>
        </w:rPr>
      </w:pPr>
      <w:r>
        <w:rPr>
          <w:rStyle w:val="58"/>
          <w:rFonts w:ascii="宋体" w:hAnsi="宋体"/>
          <w:b/>
          <w:sz w:val="30"/>
        </w:rPr>
        <w:t>编制日期：二〇</w:t>
      </w:r>
      <w:r>
        <w:rPr>
          <w:rStyle w:val="58"/>
          <w:rFonts w:hint="eastAsia" w:ascii="宋体" w:hAnsi="宋体"/>
          <w:b/>
          <w:sz w:val="30"/>
        </w:rPr>
        <w:t>二六</w:t>
      </w:r>
      <w:r>
        <w:rPr>
          <w:rStyle w:val="58"/>
          <w:rFonts w:ascii="宋体" w:hAnsi="宋体"/>
          <w:b/>
          <w:sz w:val="30"/>
        </w:rPr>
        <w:t>年</w:t>
      </w:r>
      <w:r>
        <w:rPr>
          <w:rStyle w:val="58"/>
          <w:rFonts w:hint="eastAsia" w:ascii="宋体" w:hAnsi="宋体"/>
          <w:b/>
          <w:sz w:val="30"/>
        </w:rPr>
        <w:t>二</w:t>
      </w:r>
      <w:r>
        <w:rPr>
          <w:rStyle w:val="58"/>
          <w:rFonts w:ascii="宋体" w:hAnsi="宋体"/>
          <w:b/>
          <w:sz w:val="30"/>
        </w:rPr>
        <w:t>月</w:t>
      </w:r>
    </w:p>
    <w:p>
      <w:pPr>
        <w:snapToGrid w:val="0"/>
        <w:spacing w:line="360" w:lineRule="auto"/>
        <w:jc w:val="center"/>
        <w:rPr>
          <w:rStyle w:val="58"/>
          <w:rFonts w:ascii="宋体" w:hAnsi="宋体"/>
          <w:b/>
          <w:sz w:val="32"/>
          <w:szCs w:val="44"/>
        </w:rPr>
      </w:pPr>
      <w:r>
        <w:rPr>
          <w:rStyle w:val="58"/>
          <w:rFonts w:ascii="宋体" w:hAnsi="宋体"/>
          <w:b/>
          <w:sz w:val="30"/>
        </w:rPr>
        <w:br w:type="page"/>
      </w:r>
      <w:r>
        <w:rPr>
          <w:rStyle w:val="58"/>
          <w:rFonts w:ascii="宋体" w:hAnsi="宋体"/>
          <w:b/>
          <w:sz w:val="32"/>
          <w:szCs w:val="44"/>
        </w:rPr>
        <w:t>目   录</w:t>
      </w:r>
    </w:p>
    <w:p>
      <w:pPr>
        <w:pStyle w:val="28"/>
        <w:tabs>
          <w:tab w:val="right" w:leader="dot" w:pos="10466"/>
          <w:tab w:val="clear" w:pos="9629"/>
        </w:tabs>
        <w:rPr>
          <w:rFonts w:asciiTheme="minorHAnsi" w:hAnsiTheme="minorHAnsi" w:eastAsiaTheme="minorEastAsia" w:cstheme="minorBidi"/>
          <w:b w:val="0"/>
          <w:szCs w:val="22"/>
        </w:rPr>
      </w:pPr>
      <w:r>
        <w:rPr>
          <w:rStyle w:val="58"/>
          <w:sz w:val="20"/>
        </w:rPr>
        <w:fldChar w:fldCharType="begin"/>
      </w:r>
      <w:r>
        <w:rPr>
          <w:rStyle w:val="58"/>
          <w:rFonts w:asciiTheme="minorEastAsia" w:hAnsiTheme="minorEastAsia" w:eastAsiaTheme="minorEastAsia"/>
          <w:sz w:val="20"/>
          <w:szCs w:val="21"/>
        </w:rPr>
        <w:instrText xml:space="preserve"> TOC \o "1-3" \h \z \u </w:instrText>
      </w:r>
      <w:r>
        <w:rPr>
          <w:rStyle w:val="58"/>
          <w:sz w:val="20"/>
        </w:rPr>
        <w:fldChar w:fldCharType="separate"/>
      </w:r>
      <w:r>
        <w:fldChar w:fldCharType="begin"/>
      </w:r>
      <w:r>
        <w:instrText xml:space="preserve"> HYPERLINK \l "_Toc220505557" </w:instrText>
      </w:r>
      <w:r>
        <w:fldChar w:fldCharType="separate"/>
      </w:r>
      <w:r>
        <w:rPr>
          <w:rStyle w:val="45"/>
        </w:rPr>
        <w:t>第一卷</w:t>
      </w:r>
      <w:r>
        <w:tab/>
      </w:r>
      <w:r>
        <w:fldChar w:fldCharType="begin"/>
      </w:r>
      <w:r>
        <w:instrText xml:space="preserve"> PAGEREF _Toc220505557 \h </w:instrText>
      </w:r>
      <w:r>
        <w:fldChar w:fldCharType="separate"/>
      </w:r>
      <w:r>
        <w:t>1</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"_Toc220505558" </w:instrText>
      </w:r>
      <w:r>
        <w:fldChar w:fldCharType="separate"/>
      </w:r>
      <w:r>
        <w:rPr>
          <w:rStyle w:val="45"/>
        </w:rPr>
        <w:t>第一章   招标公告</w:t>
      </w:r>
      <w:r>
        <w:tab/>
      </w:r>
      <w:r>
        <w:fldChar w:fldCharType="begin"/>
      </w:r>
      <w:r>
        <w:instrText xml:space="preserve"> PAGEREF _Toc220505558 \h </w:instrText>
      </w:r>
      <w:r>
        <w:fldChar w:fldCharType="separate"/>
      </w:r>
      <w:r>
        <w:t>2</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"_Toc220505559" </w:instrText>
      </w:r>
      <w:r>
        <w:fldChar w:fldCharType="separate"/>
      </w:r>
      <w:r>
        <w:rPr>
          <w:rStyle w:val="45"/>
        </w:rPr>
        <w:t>第二章  投标人须知</w:t>
      </w:r>
      <w:r>
        <w:tab/>
      </w:r>
      <w:r>
        <w:fldChar w:fldCharType="begin"/>
      </w:r>
      <w:r>
        <w:instrText xml:space="preserve"> PAGEREF _Toc220505559 \h </w:instrText>
      </w:r>
      <w:r>
        <w:fldChar w:fldCharType="separate"/>
      </w:r>
      <w:r>
        <w:t>17</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"_Toc220505560" </w:instrText>
      </w:r>
      <w:r>
        <w:fldChar w:fldCharType="separate"/>
      </w:r>
      <w:r>
        <w:rPr>
          <w:rStyle w:val="45"/>
        </w:rPr>
        <w:t>投标人须知前附表</w:t>
      </w:r>
      <w:r>
        <w:tab/>
      </w:r>
      <w:r>
        <w:fldChar w:fldCharType="begin"/>
      </w:r>
      <w:r>
        <w:instrText xml:space="preserve"> PAGEREF _Toc220505560 \h </w:instrText>
      </w:r>
      <w:r>
        <w:fldChar w:fldCharType="separate"/>
      </w:r>
      <w:r>
        <w:t>17</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"_Toc220505561" </w:instrText>
      </w:r>
      <w:r>
        <w:fldChar w:fldCharType="separate"/>
      </w:r>
      <w:r>
        <w:rPr>
          <w:rStyle w:val="45"/>
        </w:rPr>
        <w:t>1. 总则</w:t>
      </w:r>
      <w:r>
        <w:tab/>
      </w:r>
      <w:r>
        <w:fldChar w:fldCharType="begin"/>
      </w:r>
      <w:r>
        <w:instrText xml:space="preserve"> PAGEREF _Toc220505561 \h </w:instrText>
      </w:r>
      <w:r>
        <w:fldChar w:fldCharType="separate"/>
      </w:r>
      <w:r>
        <w:t>24</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"_Toc220505562" </w:instrText>
      </w:r>
      <w:r>
        <w:fldChar w:fldCharType="separate"/>
      </w:r>
      <w:r>
        <w:rPr>
          <w:rStyle w:val="45"/>
        </w:rPr>
        <w:t>2. 招标文件</w:t>
      </w:r>
      <w:r>
        <w:tab/>
      </w:r>
      <w:r>
        <w:fldChar w:fldCharType="begin"/>
      </w:r>
      <w:r>
        <w:instrText xml:space="preserve"> PAGEREF _Toc220505562 \h </w:instrText>
      </w:r>
      <w:r>
        <w:fldChar w:fldCharType="separate"/>
      </w:r>
      <w:r>
        <w:t>25</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"_Toc220505563" </w:instrText>
      </w:r>
      <w:r>
        <w:fldChar w:fldCharType="separate"/>
      </w:r>
      <w:r>
        <w:rPr>
          <w:rStyle w:val="45"/>
        </w:rPr>
        <w:t>3. 投标文件</w:t>
      </w:r>
      <w:r>
        <w:tab/>
      </w:r>
      <w:r>
        <w:fldChar w:fldCharType="begin"/>
      </w:r>
      <w:r>
        <w:instrText xml:space="preserve"> PAGEREF _Toc220505563 \h </w:instrText>
      </w:r>
      <w:r>
        <w:fldChar w:fldCharType="separate"/>
      </w:r>
      <w:r>
        <w:t>26</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"_Toc220505564" </w:instrText>
      </w:r>
      <w:r>
        <w:fldChar w:fldCharType="separate"/>
      </w:r>
      <w:r>
        <w:rPr>
          <w:rStyle w:val="45"/>
        </w:rPr>
        <w:t>4. 投标</w:t>
      </w:r>
      <w:r>
        <w:tab/>
      </w:r>
      <w:r>
        <w:fldChar w:fldCharType="begin"/>
      </w:r>
      <w:r>
        <w:instrText xml:space="preserve"> PAGEREF _Toc220505564 \h </w:instrText>
      </w:r>
      <w:r>
        <w:fldChar w:fldCharType="separate"/>
      </w:r>
      <w:r>
        <w:t>28</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"_Toc220505565" </w:instrText>
      </w:r>
      <w:r>
        <w:fldChar w:fldCharType="separate"/>
      </w:r>
      <w:r>
        <w:rPr>
          <w:rStyle w:val="45"/>
        </w:rPr>
        <w:t>5. 开标</w:t>
      </w:r>
      <w:r>
        <w:tab/>
      </w:r>
      <w:r>
        <w:fldChar w:fldCharType="begin"/>
      </w:r>
      <w:r>
        <w:instrText xml:space="preserve"> PAGEREF _Toc220505565 \h </w:instrText>
      </w:r>
      <w:r>
        <w:fldChar w:fldCharType="separate"/>
      </w:r>
      <w:r>
        <w:t>28</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"_Toc220505566" </w:instrText>
      </w:r>
      <w:r>
        <w:fldChar w:fldCharType="separate"/>
      </w:r>
      <w:r>
        <w:rPr>
          <w:rStyle w:val="45"/>
        </w:rPr>
        <w:t>6. 评标</w:t>
      </w:r>
      <w:r>
        <w:tab/>
      </w:r>
      <w:r>
        <w:fldChar w:fldCharType="begin"/>
      </w:r>
      <w:r>
        <w:instrText xml:space="preserve"> PAGEREF _Toc220505566 \h </w:instrText>
      </w:r>
      <w:r>
        <w:fldChar w:fldCharType="separate"/>
      </w:r>
      <w:r>
        <w:t>30</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"_Toc220505567" </w:instrText>
      </w:r>
      <w:r>
        <w:fldChar w:fldCharType="separate"/>
      </w:r>
      <w:r>
        <w:rPr>
          <w:rStyle w:val="45"/>
        </w:rPr>
        <w:t>7. 合同授予</w:t>
      </w:r>
      <w:r>
        <w:tab/>
      </w:r>
      <w:r>
        <w:fldChar w:fldCharType="begin"/>
      </w:r>
      <w:r>
        <w:instrText xml:space="preserve"> PAGEREF _Toc220505567 \h </w:instrText>
      </w:r>
      <w:r>
        <w:fldChar w:fldCharType="separate"/>
      </w:r>
      <w:r>
        <w:t>30</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"_Toc220505568" </w:instrText>
      </w:r>
      <w:r>
        <w:fldChar w:fldCharType="separate"/>
      </w:r>
      <w:r>
        <w:rPr>
          <w:rStyle w:val="45"/>
        </w:rPr>
        <w:t>8. 重新招标和不再招标</w:t>
      </w:r>
      <w:r>
        <w:tab/>
      </w:r>
      <w:r>
        <w:fldChar w:fldCharType="begin"/>
      </w:r>
      <w:r>
        <w:instrText xml:space="preserve"> PAGEREF _Toc220505568 \h </w:instrText>
      </w:r>
      <w:r>
        <w:fldChar w:fldCharType="separate"/>
      </w:r>
      <w:r>
        <w:t>31</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"_Toc220505569" </w:instrText>
      </w:r>
      <w:r>
        <w:fldChar w:fldCharType="separate"/>
      </w:r>
      <w:r>
        <w:rPr>
          <w:rStyle w:val="45"/>
        </w:rPr>
        <w:t>9. 纪律和监督</w:t>
      </w:r>
      <w:r>
        <w:tab/>
      </w:r>
      <w:r>
        <w:fldChar w:fldCharType="begin"/>
      </w:r>
      <w:r>
        <w:instrText xml:space="preserve"> PAGEREF _Toc220505569 \h </w:instrText>
      </w:r>
      <w:r>
        <w:fldChar w:fldCharType="separate"/>
      </w:r>
      <w:r>
        <w:t>31</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"_Toc220505570" </w:instrText>
      </w:r>
      <w:r>
        <w:fldChar w:fldCharType="separate"/>
      </w:r>
      <w:r>
        <w:rPr>
          <w:rStyle w:val="45"/>
        </w:rPr>
        <w:t>10.中标人瑕疵滞后发现的处理原则</w:t>
      </w:r>
      <w:r>
        <w:tab/>
      </w:r>
      <w:r>
        <w:fldChar w:fldCharType="begin"/>
      </w:r>
      <w:r>
        <w:instrText xml:space="preserve"> PAGEREF _Toc220505570 \h </w:instrText>
      </w:r>
      <w:r>
        <w:fldChar w:fldCharType="separate"/>
      </w:r>
      <w:r>
        <w:t>32</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"_Toc220505571" </w:instrText>
      </w:r>
      <w:r>
        <w:fldChar w:fldCharType="separate"/>
      </w:r>
      <w:r>
        <w:rPr>
          <w:rStyle w:val="45"/>
        </w:rPr>
        <w:t>11. 需要补充的其他内容</w:t>
      </w:r>
      <w:r>
        <w:tab/>
      </w:r>
      <w:r>
        <w:fldChar w:fldCharType="begin"/>
      </w:r>
      <w:r>
        <w:instrText xml:space="preserve"> PAGEREF _Toc220505571 \h </w:instrText>
      </w:r>
      <w:r>
        <w:fldChar w:fldCharType="separate"/>
      </w:r>
      <w:r>
        <w:t>32</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"_Toc220505572" </w:instrText>
      </w:r>
      <w:r>
        <w:fldChar w:fldCharType="separate"/>
      </w:r>
      <w:r>
        <w:rPr>
          <w:rStyle w:val="45"/>
        </w:rPr>
        <w:t>第三章 评标办法</w:t>
      </w:r>
      <w:r>
        <w:tab/>
      </w:r>
      <w:r>
        <w:fldChar w:fldCharType="begin"/>
      </w:r>
      <w:r>
        <w:instrText xml:space="preserve"> PAGEREF _Toc220505572 \h </w:instrText>
      </w:r>
      <w:r>
        <w:fldChar w:fldCharType="separate"/>
      </w:r>
      <w:r>
        <w:t>33</w:t>
      </w:r>
      <w:r>
        <w:fldChar w:fldCharType="end"/>
      </w:r>
      <w:r>
        <w:fldChar w:fldCharType="end"/>
      </w:r>
    </w:p>
    <w:p>
      <w:pPr>
        <w:pStyle w:val="22"/>
        <w:tabs>
          <w:tab w:val="right" w:leader="dot" w:pos="10466"/>
        </w:tabs>
        <w:rPr>
          <w:rFonts w:asciiTheme="minorHAnsi" w:hAnsiTheme="minorHAnsi" w:eastAsiaTheme="minorEastAsia" w:cstheme="minorBidi"/>
          <w:szCs w:val="22"/>
        </w:rPr>
      </w:pPr>
      <w:r>
        <w:fldChar w:fldCharType="begin"/>
      </w:r>
      <w:r>
        <w:instrText xml:space="preserve"> HYPERLINK \l "_Toc220505573" </w:instrText>
      </w:r>
      <w:r>
        <w:fldChar w:fldCharType="separate"/>
      </w:r>
      <w:r>
        <w:rPr>
          <w:rStyle w:val="45"/>
        </w:rPr>
        <w:t>一、评分细则</w:t>
      </w:r>
      <w:r>
        <w:tab/>
      </w:r>
      <w:r>
        <w:fldChar w:fldCharType="begin"/>
      </w:r>
      <w:r>
        <w:instrText xml:space="preserve"> PAGEREF _Toc220505573 \h </w:instrText>
      </w:r>
      <w:r>
        <w:fldChar w:fldCharType="separate"/>
      </w:r>
      <w:r>
        <w:t>33</w:t>
      </w:r>
      <w:r>
        <w:fldChar w:fldCharType="end"/>
      </w:r>
      <w:r>
        <w:fldChar w:fldCharType="end"/>
      </w:r>
    </w:p>
    <w:p>
      <w:pPr>
        <w:pStyle w:val="22"/>
        <w:tabs>
          <w:tab w:val="right" w:leader="dot" w:pos="10466"/>
        </w:tabs>
        <w:rPr>
          <w:rFonts w:asciiTheme="minorHAnsi" w:hAnsiTheme="minorHAnsi" w:eastAsiaTheme="minorEastAsia" w:cstheme="minorBidi"/>
          <w:szCs w:val="22"/>
        </w:rPr>
      </w:pPr>
      <w:r>
        <w:fldChar w:fldCharType="begin"/>
      </w:r>
      <w:r>
        <w:instrText xml:space="preserve"> HYPERLINK \l "_Toc220505574" </w:instrText>
      </w:r>
      <w:r>
        <w:fldChar w:fldCharType="separate"/>
      </w:r>
      <w:r>
        <w:rPr>
          <w:rStyle w:val="45"/>
        </w:rPr>
        <w:t>二、评标办法</w:t>
      </w:r>
      <w:r>
        <w:tab/>
      </w:r>
      <w:r>
        <w:fldChar w:fldCharType="begin"/>
      </w:r>
      <w:r>
        <w:instrText xml:space="preserve"> PAGEREF _Toc220505574 \h </w:instrText>
      </w:r>
      <w:r>
        <w:fldChar w:fldCharType="separate"/>
      </w:r>
      <w:r>
        <w:t>34</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"_Toc220505575" </w:instrText>
      </w:r>
      <w:r>
        <w:fldChar w:fldCharType="separate"/>
      </w:r>
      <w:r>
        <w:rPr>
          <w:rStyle w:val="45"/>
        </w:rPr>
        <w:t>第四章 合同条款及格式</w:t>
      </w:r>
      <w:r>
        <w:tab/>
      </w:r>
      <w:r>
        <w:fldChar w:fldCharType="begin"/>
      </w:r>
      <w:r>
        <w:instrText xml:space="preserve"> PAGEREF _Toc220505575 \h </w:instrText>
      </w:r>
      <w:r>
        <w:fldChar w:fldCharType="separate"/>
      </w:r>
      <w:r>
        <w:t>38</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"_Toc220505576" </w:instrText>
      </w:r>
      <w:r>
        <w:fldChar w:fldCharType="separate"/>
      </w:r>
      <w:r>
        <w:rPr>
          <w:rStyle w:val="45"/>
          <w:rFonts w:ascii="宋体" w:hAnsi="宋体"/>
        </w:rPr>
        <w:t>第五章 投标报价要求</w:t>
      </w:r>
      <w:r>
        <w:tab/>
      </w:r>
      <w:r>
        <w:fldChar w:fldCharType="begin"/>
      </w:r>
      <w:r>
        <w:instrText xml:space="preserve"> PAGEREF _Toc220505576 \h </w:instrText>
      </w:r>
      <w:r>
        <w:fldChar w:fldCharType="separate"/>
      </w:r>
      <w:r>
        <w:t>72</w:t>
      </w:r>
      <w:r>
        <w:fldChar w:fldCharType="end"/>
      </w:r>
      <w:r>
        <w:fldChar w:fldCharType="end"/>
      </w:r>
    </w:p>
    <w:p>
      <w:pPr>
        <w:pStyle w:val="22"/>
        <w:tabs>
          <w:tab w:val="right" w:leader="dot" w:pos="10466"/>
        </w:tabs>
        <w:rPr>
          <w:rFonts w:asciiTheme="minorHAnsi" w:hAnsiTheme="minorHAnsi" w:eastAsiaTheme="minorEastAsia" w:cstheme="minorBidi"/>
          <w:szCs w:val="22"/>
        </w:rPr>
      </w:pPr>
      <w:r>
        <w:fldChar w:fldCharType="begin"/>
      </w:r>
      <w:r>
        <w:instrText xml:space="preserve"> HYPERLINK \l "_Toc220505577" </w:instrText>
      </w:r>
      <w:r>
        <w:fldChar w:fldCharType="separate"/>
      </w:r>
      <w:r>
        <w:rPr>
          <w:rStyle w:val="45"/>
          <w:rFonts w:ascii="宋体" w:hAnsi="宋体" w:cs="TimesNewRomanPSMT"/>
        </w:rPr>
        <w:t>1 工程量清单部分</w:t>
      </w:r>
      <w:r>
        <w:tab/>
      </w:r>
      <w:r>
        <w:fldChar w:fldCharType="begin"/>
      </w:r>
      <w:r>
        <w:instrText xml:space="preserve"> PAGEREF _Toc220505577 \h </w:instrText>
      </w:r>
      <w:r>
        <w:fldChar w:fldCharType="separate"/>
      </w:r>
      <w:r>
        <w:t>72</w:t>
      </w:r>
      <w:r>
        <w:fldChar w:fldCharType="end"/>
      </w:r>
      <w:r>
        <w:fldChar w:fldCharType="end"/>
      </w:r>
    </w:p>
    <w:p>
      <w:pPr>
        <w:pStyle w:val="22"/>
        <w:tabs>
          <w:tab w:val="right" w:leader="dot" w:pos="10466"/>
        </w:tabs>
        <w:rPr>
          <w:rFonts w:asciiTheme="minorHAnsi" w:hAnsiTheme="minorHAnsi" w:eastAsiaTheme="minorEastAsia" w:cstheme="minorBidi"/>
          <w:szCs w:val="22"/>
        </w:rPr>
      </w:pPr>
      <w:r>
        <w:fldChar w:fldCharType="begin"/>
      </w:r>
      <w:r>
        <w:instrText xml:space="preserve"> HYPERLINK \l "_Toc220505578" </w:instrText>
      </w:r>
      <w:r>
        <w:fldChar w:fldCharType="separate"/>
      </w:r>
      <w:r>
        <w:rPr>
          <w:rStyle w:val="45"/>
          <w:rFonts w:ascii="宋体" w:hAnsi="宋体" w:cs="TimesNewRomanPSMT"/>
        </w:rPr>
        <w:t>2 清单以外项目</w:t>
      </w:r>
      <w:r>
        <w:tab/>
      </w:r>
      <w:r>
        <w:fldChar w:fldCharType="begin"/>
      </w:r>
      <w:r>
        <w:instrText xml:space="preserve"> PAGEREF _Toc220505578 \h </w:instrText>
      </w:r>
      <w:r>
        <w:fldChar w:fldCharType="separate"/>
      </w:r>
      <w:r>
        <w:t>75</w:t>
      </w:r>
      <w:r>
        <w:fldChar w:fldCharType="end"/>
      </w:r>
      <w:r>
        <w:fldChar w:fldCharType="end"/>
      </w:r>
    </w:p>
    <w:p>
      <w:pPr>
        <w:pStyle w:val="22"/>
        <w:tabs>
          <w:tab w:val="right" w:leader="dot" w:pos="10466"/>
        </w:tabs>
        <w:rPr>
          <w:rFonts w:asciiTheme="minorHAnsi" w:hAnsiTheme="minorHAnsi" w:eastAsiaTheme="minorEastAsia" w:cstheme="minorBidi"/>
          <w:szCs w:val="22"/>
        </w:rPr>
      </w:pPr>
      <w:r>
        <w:fldChar w:fldCharType="begin"/>
      </w:r>
      <w:r>
        <w:instrText xml:space="preserve"> HYPERLINK \l "_Toc220505579" </w:instrText>
      </w:r>
      <w:r>
        <w:fldChar w:fldCharType="separate"/>
      </w:r>
      <w:r>
        <w:rPr>
          <w:rStyle w:val="45"/>
          <w:rFonts w:ascii="宋体" w:hAnsi="宋体" w:cs="TimesNewRomanPSMT"/>
        </w:rPr>
        <w:t>3 其他说明</w:t>
      </w:r>
      <w:r>
        <w:tab/>
      </w:r>
      <w:r>
        <w:fldChar w:fldCharType="begin"/>
      </w:r>
      <w:r>
        <w:instrText xml:space="preserve"> PAGEREF _Toc220505579 \h </w:instrText>
      </w:r>
      <w:r>
        <w:fldChar w:fldCharType="separate"/>
      </w:r>
      <w:r>
        <w:t>76</w:t>
      </w:r>
      <w:r>
        <w:fldChar w:fldCharType="end"/>
      </w:r>
      <w:r>
        <w:fldChar w:fldCharType="end"/>
      </w:r>
    </w:p>
    <w:p>
      <w:pPr>
        <w:pStyle w:val="28"/>
        <w:tabs>
          <w:tab w:val="right" w:leader="dot" w:pos="10466"/>
          <w:tab w:val="clear" w:pos="9629"/>
        </w:tabs>
        <w:rPr>
          <w:rFonts w:asciiTheme="minorHAnsi" w:hAnsiTheme="minorHAnsi" w:eastAsiaTheme="minorEastAsia" w:cstheme="minorBidi"/>
          <w:b w:val="0"/>
          <w:szCs w:val="22"/>
        </w:rPr>
      </w:pPr>
      <w:r>
        <w:fldChar w:fldCharType="begin"/>
      </w:r>
      <w:r>
        <w:instrText xml:space="preserve"> HYPERLINK \l "_Toc220505580" </w:instrText>
      </w:r>
      <w:r>
        <w:fldChar w:fldCharType="separate"/>
      </w:r>
      <w:r>
        <w:rPr>
          <w:rStyle w:val="45"/>
        </w:rPr>
        <w:t>第二卷</w:t>
      </w:r>
      <w:r>
        <w:tab/>
      </w:r>
      <w:r>
        <w:fldChar w:fldCharType="begin"/>
      </w:r>
      <w:r>
        <w:instrText xml:space="preserve"> PAGEREF _Toc220505580 \h </w:instrText>
      </w:r>
      <w:r>
        <w:fldChar w:fldCharType="separate"/>
      </w:r>
      <w:r>
        <w:t>80</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"_Toc220505581" </w:instrText>
      </w:r>
      <w:r>
        <w:fldChar w:fldCharType="separate"/>
      </w:r>
      <w:r>
        <w:rPr>
          <w:rStyle w:val="45"/>
        </w:rPr>
        <w:t>第六章  图  纸</w:t>
      </w:r>
      <w:r>
        <w:tab/>
      </w:r>
      <w:r>
        <w:fldChar w:fldCharType="begin"/>
      </w:r>
      <w:r>
        <w:instrText xml:space="preserve"> PAGEREF _Toc220505581 \h </w:instrText>
      </w:r>
      <w:r>
        <w:fldChar w:fldCharType="separate"/>
      </w:r>
      <w:r>
        <w:t>81</w:t>
      </w:r>
      <w:r>
        <w:fldChar w:fldCharType="end"/>
      </w:r>
      <w:r>
        <w:fldChar w:fldCharType="end"/>
      </w:r>
    </w:p>
    <w:p>
      <w:pPr>
        <w:pStyle w:val="28"/>
        <w:tabs>
          <w:tab w:val="right" w:leader="dot" w:pos="10466"/>
          <w:tab w:val="clear" w:pos="9629"/>
        </w:tabs>
        <w:rPr>
          <w:rFonts w:asciiTheme="minorHAnsi" w:hAnsiTheme="minorHAnsi" w:eastAsiaTheme="minorEastAsia" w:cstheme="minorBidi"/>
          <w:b w:val="0"/>
          <w:szCs w:val="22"/>
        </w:rPr>
      </w:pPr>
      <w:r>
        <w:fldChar w:fldCharType="begin"/>
      </w:r>
      <w:r>
        <w:instrText xml:space="preserve"> HYPERLINK \l "_Toc220505582" </w:instrText>
      </w:r>
      <w:r>
        <w:fldChar w:fldCharType="separate"/>
      </w:r>
      <w:r>
        <w:rPr>
          <w:rStyle w:val="45"/>
        </w:rPr>
        <w:t>第三卷</w:t>
      </w:r>
      <w:r>
        <w:tab/>
      </w:r>
      <w:r>
        <w:fldChar w:fldCharType="begin"/>
      </w:r>
      <w:r>
        <w:instrText xml:space="preserve"> PAGEREF _Toc220505582 \h </w:instrText>
      </w:r>
      <w:r>
        <w:fldChar w:fldCharType="separate"/>
      </w:r>
      <w:r>
        <w:t>82</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"_Toc220505583" </w:instrText>
      </w:r>
      <w:r>
        <w:fldChar w:fldCharType="separate"/>
      </w:r>
      <w:r>
        <w:rPr>
          <w:rStyle w:val="45"/>
        </w:rPr>
        <w:t>第七章  技术标准和要求</w:t>
      </w:r>
      <w:r>
        <w:tab/>
      </w:r>
      <w:r>
        <w:fldChar w:fldCharType="begin"/>
      </w:r>
      <w:r>
        <w:instrText xml:space="preserve"> PAGEREF _Toc220505583 \h </w:instrText>
      </w:r>
      <w:r>
        <w:fldChar w:fldCharType="separate"/>
      </w:r>
      <w:r>
        <w:t>83</w:t>
      </w:r>
      <w:r>
        <w:fldChar w:fldCharType="end"/>
      </w:r>
      <w:r>
        <w:fldChar w:fldCharType="end"/>
      </w:r>
    </w:p>
    <w:p>
      <w:pPr>
        <w:pStyle w:val="28"/>
        <w:tabs>
          <w:tab w:val="right" w:leader="dot" w:pos="10466"/>
          <w:tab w:val="clear" w:pos="9629"/>
        </w:tabs>
        <w:rPr>
          <w:rFonts w:asciiTheme="minorHAnsi" w:hAnsiTheme="minorHAnsi" w:eastAsiaTheme="minorEastAsia" w:cstheme="minorBidi"/>
          <w:b w:val="0"/>
          <w:szCs w:val="22"/>
        </w:rPr>
      </w:pPr>
      <w:r>
        <w:fldChar w:fldCharType="begin"/>
      </w:r>
      <w:r>
        <w:instrText xml:space="preserve"> HYPERLINK \l "_Toc220505584" </w:instrText>
      </w:r>
      <w:r>
        <w:fldChar w:fldCharType="separate"/>
      </w:r>
      <w:r>
        <w:rPr>
          <w:rStyle w:val="45"/>
        </w:rPr>
        <w:t>第四卷</w:t>
      </w:r>
      <w:r>
        <w:tab/>
      </w:r>
      <w:r>
        <w:fldChar w:fldCharType="begin"/>
      </w:r>
      <w:r>
        <w:instrText xml:space="preserve"> PAGEREF _Toc220505584 \h </w:instrText>
      </w:r>
      <w:r>
        <w:fldChar w:fldCharType="separate"/>
      </w:r>
      <w:r>
        <w:t>85</w:t>
      </w:r>
      <w:r>
        <w:fldChar w:fldCharType="end"/>
      </w:r>
      <w:r>
        <w:fldChar w:fldCharType="end"/>
      </w:r>
    </w:p>
    <w:p>
      <w:pPr>
        <w:pStyle w:val="4"/>
        <w:tabs>
          <w:tab w:val="right" w:leader="dot" w:pos="10466"/>
          <w:tab w:val="clear" w:pos="9629"/>
        </w:tabs>
        <w:ind w:left="420"/>
        <w:rPr>
          <w:rFonts w:asciiTheme="minorHAnsi" w:hAnsiTheme="minorHAnsi" w:eastAsiaTheme="minorEastAsia" w:cstheme="minorBidi"/>
          <w:b w:val="0"/>
          <w:szCs w:val="22"/>
        </w:rPr>
      </w:pPr>
      <w:r>
        <w:fldChar w:fldCharType="begin"/>
      </w:r>
      <w:r>
        <w:instrText xml:space="preserve"> HYPERLINK \l "_Toc220505585" </w:instrText>
      </w:r>
      <w:r>
        <w:fldChar w:fldCharType="separate"/>
      </w:r>
      <w:r>
        <w:rPr>
          <w:rStyle w:val="45"/>
        </w:rPr>
        <w:t>第八章  投标文件格式</w:t>
      </w:r>
      <w:r>
        <w:tab/>
      </w:r>
      <w:r>
        <w:fldChar w:fldCharType="begin"/>
      </w:r>
      <w:r>
        <w:instrText xml:space="preserve"> PAGEREF _Toc220505585 \h </w:instrText>
      </w:r>
      <w:r>
        <w:fldChar w:fldCharType="separate"/>
      </w:r>
      <w:r>
        <w:t>86</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"_Toc220505586" </w:instrText>
      </w:r>
      <w:r>
        <w:fldChar w:fldCharType="separate"/>
      </w:r>
      <w:r>
        <w:rPr>
          <w:rStyle w:val="45"/>
        </w:rPr>
        <w:t>一、投标函及投标函附录</w:t>
      </w:r>
      <w:r>
        <w:tab/>
      </w:r>
      <w:r>
        <w:fldChar w:fldCharType="begin"/>
      </w:r>
      <w:r>
        <w:instrText xml:space="preserve"> PAGEREF _Toc220505586 \h </w:instrText>
      </w:r>
      <w:r>
        <w:fldChar w:fldCharType="separate"/>
      </w:r>
      <w:r>
        <w:t>88</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"_Toc220505587" </w:instrText>
      </w:r>
      <w:r>
        <w:fldChar w:fldCharType="separate"/>
      </w:r>
      <w:r>
        <w:rPr>
          <w:rStyle w:val="45"/>
        </w:rPr>
        <w:t>二、法定代表人身份证明</w:t>
      </w:r>
      <w:r>
        <w:tab/>
      </w:r>
      <w:r>
        <w:fldChar w:fldCharType="begin"/>
      </w:r>
      <w:r>
        <w:instrText xml:space="preserve"> PAGEREF _Toc220505587 \h </w:instrText>
      </w:r>
      <w:r>
        <w:fldChar w:fldCharType="separate"/>
      </w:r>
      <w:r>
        <w:t>92</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"_Toc220505588" </w:instrText>
      </w:r>
      <w:r>
        <w:fldChar w:fldCharType="separate"/>
      </w:r>
      <w:r>
        <w:rPr>
          <w:rStyle w:val="45"/>
        </w:rPr>
        <w:t>三、授权委托书</w:t>
      </w:r>
      <w:r>
        <w:tab/>
      </w:r>
      <w:r>
        <w:fldChar w:fldCharType="begin"/>
      </w:r>
      <w:r>
        <w:instrText xml:space="preserve"> PAGEREF _Toc220505588 \h </w:instrText>
      </w:r>
      <w:r>
        <w:fldChar w:fldCharType="separate"/>
      </w:r>
      <w:r>
        <w:t>93</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"_Toc220505589" </w:instrText>
      </w:r>
      <w:r>
        <w:fldChar w:fldCharType="separate"/>
      </w:r>
      <w:r>
        <w:rPr>
          <w:rStyle w:val="45"/>
        </w:rPr>
        <w:t>四、投标保证金</w:t>
      </w:r>
      <w:r>
        <w:tab/>
      </w:r>
      <w:r>
        <w:fldChar w:fldCharType="begin"/>
      </w:r>
      <w:r>
        <w:instrText xml:space="preserve"> PAGEREF _Toc220505589 \h </w:instrText>
      </w:r>
      <w:r>
        <w:fldChar w:fldCharType="separate"/>
      </w:r>
      <w:r>
        <w:t>94</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"_Toc220505590" </w:instrText>
      </w:r>
      <w:r>
        <w:fldChar w:fldCharType="separate"/>
      </w:r>
      <w:r>
        <w:rPr>
          <w:rStyle w:val="45"/>
        </w:rPr>
        <w:t>五、已标价工程量清单</w:t>
      </w:r>
      <w:r>
        <w:tab/>
      </w:r>
      <w:r>
        <w:fldChar w:fldCharType="begin"/>
      </w:r>
      <w:r>
        <w:instrText xml:space="preserve"> PAGEREF _Toc220505590 \h </w:instrText>
      </w:r>
      <w:r>
        <w:fldChar w:fldCharType="separate"/>
      </w:r>
      <w:r>
        <w:t>95</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"_Toc220505591" </w:instrText>
      </w:r>
      <w:r>
        <w:fldChar w:fldCharType="separate"/>
      </w:r>
      <w:r>
        <w:rPr>
          <w:rStyle w:val="45"/>
        </w:rPr>
        <w:t>六、 施工组织设计</w:t>
      </w:r>
      <w:r>
        <w:tab/>
      </w:r>
      <w:r>
        <w:fldChar w:fldCharType="begin"/>
      </w:r>
      <w:r>
        <w:instrText xml:space="preserve"> PAGEREF _Toc220505591 \h </w:instrText>
      </w:r>
      <w:r>
        <w:fldChar w:fldCharType="separate"/>
      </w:r>
      <w:r>
        <w:t>96</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"_Toc220505592" </w:instrText>
      </w:r>
      <w:r>
        <w:fldChar w:fldCharType="separate"/>
      </w:r>
      <w:r>
        <w:rPr>
          <w:rStyle w:val="45"/>
        </w:rPr>
        <w:t>七、 项目管理机构</w:t>
      </w:r>
      <w:r>
        <w:tab/>
      </w:r>
      <w:r>
        <w:fldChar w:fldCharType="begin"/>
      </w:r>
      <w:r>
        <w:instrText xml:space="preserve"> PAGEREF _Toc220505592 \h </w:instrText>
      </w:r>
      <w:r>
        <w:fldChar w:fldCharType="separate"/>
      </w:r>
      <w:r>
        <w:t>97</w:t>
      </w:r>
      <w:r>
        <w:fldChar w:fldCharType="end"/>
      </w:r>
      <w:r>
        <w:fldChar w:fldCharType="end"/>
      </w:r>
    </w:p>
    <w:p>
      <w:pPr>
        <w:pStyle w:val="22"/>
        <w:tabs>
          <w:tab w:val="right" w:leader="dot" w:pos="10456"/>
        </w:tabs>
        <w:rPr>
          <w:rFonts w:asciiTheme="minorHAnsi" w:hAnsiTheme="minorHAnsi" w:eastAsiaTheme="minorEastAsia" w:cstheme="minorBidi"/>
          <w:szCs w:val="22"/>
        </w:rPr>
      </w:pPr>
      <w:r>
        <w:fldChar w:fldCharType="begin"/>
      </w:r>
      <w:r>
        <w:instrText xml:space="preserve"> HYPERLINK \l "_Toc220505593" </w:instrText>
      </w:r>
      <w:r>
        <w:fldChar w:fldCharType="separate"/>
      </w:r>
      <w:r>
        <w:rPr>
          <w:rStyle w:val="45"/>
        </w:rPr>
        <w:t>八、 其他材料</w:t>
      </w:r>
      <w:r>
        <w:tab/>
      </w:r>
      <w:r>
        <w:fldChar w:fldCharType="begin"/>
      </w:r>
      <w:r>
        <w:instrText xml:space="preserve"> PAGEREF _Toc220505593 \h </w:instrText>
      </w:r>
      <w:r>
        <w:fldChar w:fldCharType="separate"/>
      </w:r>
      <w:r>
        <w:t>100</w:t>
      </w:r>
      <w:r>
        <w:fldChar w:fldCharType="end"/>
      </w:r>
      <w:r>
        <w:fldChar w:fldCharType="end"/>
      </w:r>
    </w:p>
    <w:p>
      <w:pPr>
        <w:pStyle w:val="4"/>
        <w:tabs>
          <w:tab w:val="right" w:leader="dot" w:pos="10466"/>
          <w:tab w:val="clear" w:pos="9629"/>
        </w:tabs>
        <w:ind w:left="420"/>
      </w:pPr>
      <w:r>
        <w:fldChar w:fldCharType="begin"/>
      </w:r>
      <w:r>
        <w:instrText xml:space="preserve"> HYPERLINK \l "_Toc220505594" </w:instrText>
      </w:r>
      <w:r>
        <w:fldChar w:fldCharType="separate"/>
      </w:r>
      <w:r>
        <w:rPr>
          <w:rStyle w:val="45"/>
        </w:rPr>
        <w:t>第九章  资格审查文件</w:t>
      </w:r>
      <w:r>
        <w:tab/>
      </w:r>
      <w:r>
        <w:fldChar w:fldCharType="begin"/>
      </w:r>
      <w:r>
        <w:instrText xml:space="preserve"> PAGEREF _Toc220505594 \h </w:instrText>
      </w:r>
      <w:r>
        <w:fldChar w:fldCharType="separate"/>
      </w:r>
      <w:r>
        <w:t>101</w:t>
      </w:r>
      <w:r>
        <w:fldChar w:fldCharType="end"/>
      </w:r>
      <w:r>
        <w:fldChar w:fldCharType="end"/>
      </w:r>
      <w:r>
        <w:rPr>
          <w:rFonts w:asciiTheme="minorEastAsia" w:hAnsiTheme="minorEastAsia" w:eastAsiaTheme="minorEastAsia"/>
          <w:szCs w:val="21"/>
        </w:rPr>
        <w:fldChar w:fldCharType="end"/>
      </w:r>
    </w:p>
    <w:p>
      <w:pPr>
        <w:pStyle w:val="5"/>
        <w:jc w:val="center"/>
        <w:rPr>
          <w:sz w:val="48"/>
          <w:szCs w:val="48"/>
        </w:rPr>
        <w:sectPr>
          <w:footerReference r:id="rId5" w:type="first"/>
          <w:headerReference r:id="rId3" w:type="default"/>
          <w:footerReference r:id="rId4" w:type="default"/>
          <w:type w:val="continuous"/>
          <w:pgSz w:w="11906" w:h="16838"/>
          <w:pgMar w:top="720" w:right="720" w:bottom="720" w:left="720" w:header="227" w:footer="227" w:gutter="0"/>
          <w:pgNumType w:start="1"/>
          <w:cols w:space="720" w:num="1"/>
          <w:docGrid w:type="lines" w:linePitch="381" w:charSpace="0"/>
        </w:sectPr>
      </w:pPr>
      <w:bookmarkStart w:id="2" w:name="_Toc1616"/>
      <w:bookmarkStart w:id="3" w:name="_Toc17817319"/>
    </w:p>
    <w:p>
      <w:pPr>
        <w:pStyle w:val="5"/>
        <w:jc w:val="center"/>
        <w:rPr>
          <w:sz w:val="48"/>
          <w:szCs w:val="48"/>
        </w:rPr>
        <w:sectPr>
          <w:footerReference r:id="rId6" w:type="default"/>
          <w:pgSz w:w="11906" w:h="16838"/>
          <w:pgMar w:top="720" w:right="720" w:bottom="720" w:left="720" w:header="227" w:footer="227" w:gutter="0"/>
          <w:pgNumType w:start="1"/>
          <w:cols w:space="720" w:num="1"/>
          <w:vAlign w:val="center"/>
          <w:docGrid w:type="lines" w:linePitch="381" w:charSpace="0"/>
        </w:sectPr>
      </w:pPr>
      <w:bookmarkStart w:id="4" w:name="_Toc220505557"/>
      <w:r>
        <w:rPr>
          <w:sz w:val="48"/>
          <w:szCs w:val="48"/>
        </w:rPr>
        <w:t>第一卷</w:t>
      </w:r>
      <w:bookmarkEnd w:id="2"/>
      <w:bookmarkEnd w:id="3"/>
      <w:bookmarkEnd w:id="4"/>
      <w:bookmarkStart w:id="5" w:name="_Toc16518"/>
      <w:bookmarkStart w:id="6" w:name="_Toc23462"/>
      <w:bookmarkStart w:id="7" w:name="_Toc9654"/>
      <w:bookmarkStart w:id="8" w:name="_Toc17817321"/>
    </w:p>
    <w:p>
      <w:pPr>
        <w:pStyle w:val="6"/>
        <w:jc w:val="center"/>
      </w:pPr>
      <w:bookmarkStart w:id="9" w:name="_Toc220505558"/>
      <w:r>
        <w:rPr>
          <w:rFonts w:hint="eastAsia"/>
          <w:i w:val="0"/>
          <w:sz w:val="32"/>
          <w:szCs w:val="32"/>
        </w:rPr>
        <w:t>第一章   招标公告</w:t>
      </w:r>
      <w:bookmarkEnd w:id="5"/>
      <w:bookmarkEnd w:id="6"/>
      <w:bookmarkEnd w:id="9"/>
    </w:p>
    <w:p>
      <w:pPr>
        <w:widowControl/>
        <w:spacing w:line="560" w:lineRule="exact"/>
        <w:jc w:val="left"/>
        <w:rPr>
          <w:rFonts w:ascii="宋体" w:hAnsi="宋体" w:cs="宋体"/>
          <w:b/>
          <w:kern w:val="0"/>
          <w:sz w:val="24"/>
          <w:lang w:bidi="en-US"/>
        </w:rPr>
      </w:pPr>
      <w:r>
        <w:rPr>
          <w:rFonts w:hint="eastAsia" w:ascii="宋体" w:hAnsi="宋体" w:cs="宋体"/>
          <w:b/>
          <w:kern w:val="0"/>
          <w:sz w:val="24"/>
          <w:lang w:bidi="en-US"/>
        </w:rPr>
        <w:t>1.招标条件</w:t>
      </w:r>
    </w:p>
    <w:p>
      <w:pPr>
        <w:widowControl/>
        <w:spacing w:line="360" w:lineRule="auto"/>
        <w:ind w:firstLine="480" w:firstLineChars="200"/>
        <w:rPr>
          <w:rFonts w:ascii="宋体" w:hAnsi="宋体" w:cs="宋体"/>
          <w:kern w:val="0"/>
          <w:sz w:val="24"/>
          <w:lang w:bidi="en-US"/>
        </w:rPr>
      </w:pPr>
      <w:r>
        <w:rPr>
          <w:rFonts w:hint="eastAsia" w:ascii="宋体" w:hAnsi="宋体" w:cs="宋体"/>
          <w:sz w:val="24"/>
          <w:u w:val="single"/>
        </w:rPr>
        <w:t>中国重汽集团济南动力有限公司</w:t>
      </w:r>
      <w:r>
        <w:rPr>
          <w:rFonts w:hint="eastAsia" w:ascii="宋体" w:hAnsi="宋体" w:cs="宋体"/>
          <w:kern w:val="0"/>
          <w:sz w:val="24"/>
          <w:lang w:bidi="en-US"/>
        </w:rPr>
        <w:t>针对</w:t>
      </w:r>
      <w:r>
        <w:rPr>
          <w:rFonts w:hint="eastAsia" w:ascii="宋体" w:hAnsi="宋体" w:cs="宋体"/>
          <w:kern w:val="0"/>
          <w:sz w:val="24"/>
          <w:u w:val="single"/>
          <w:lang w:bidi="en-US"/>
        </w:rPr>
        <w:t>济南成型厂电动叉车锂电池充电站建设技改项目工程施工</w:t>
      </w:r>
      <w:r>
        <w:rPr>
          <w:rFonts w:hint="eastAsia" w:ascii="宋体" w:hAnsi="宋体" w:cs="宋体"/>
          <w:kern w:val="0"/>
          <w:sz w:val="24"/>
          <w:lang w:bidi="en-US"/>
        </w:rPr>
        <w:t>项目，以公开招标的方式组织招标。本项目业主为</w:t>
      </w:r>
      <w:r>
        <w:rPr>
          <w:rFonts w:hint="eastAsia" w:ascii="宋体" w:hAnsi="宋体" w:cs="宋体"/>
          <w:sz w:val="24"/>
          <w:u w:val="single"/>
        </w:rPr>
        <w:t>中国重汽集团济南动力有限公司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pPr>
        <w:widowControl/>
        <w:spacing w:line="360" w:lineRule="auto"/>
        <w:ind w:firstLine="480" w:firstLineChars="200"/>
        <w:jc w:val="left"/>
        <w:rPr>
          <w:rFonts w:ascii="宋体" w:hAnsi="宋体" w:cs="宋体"/>
          <w:kern w:val="0"/>
          <w:sz w:val="24"/>
          <w:lang w:bidi="en-US"/>
        </w:rPr>
      </w:pPr>
      <w:bookmarkStart w:id="10" w:name="_Toc144974482"/>
      <w:bookmarkEnd w:id="10"/>
      <w:bookmarkStart w:id="11" w:name="_Toc285809451"/>
      <w:bookmarkEnd w:id="11"/>
      <w:bookmarkStart w:id="12" w:name="_Toc179632530"/>
      <w:bookmarkEnd w:id="12"/>
      <w:bookmarkStart w:id="13" w:name="_Toc152045514"/>
      <w:bookmarkEnd w:id="13"/>
      <w:bookmarkStart w:id="14" w:name="_Toc152042290"/>
      <w:bookmarkEnd w:id="14"/>
      <w:r>
        <w:rPr>
          <w:rFonts w:hint="eastAsia" w:ascii="宋体" w:hAnsi="宋体" w:cs="宋体"/>
          <w:kern w:val="0"/>
          <w:sz w:val="24"/>
          <w:lang w:bidi="en-US"/>
        </w:rPr>
        <w:t>2.1工程名称：</w:t>
      </w:r>
      <w:r>
        <w:rPr>
          <w:rFonts w:hint="eastAsia" w:ascii="宋体" w:hAnsi="宋体" w:cs="宋体"/>
          <w:kern w:val="0"/>
          <w:sz w:val="24"/>
          <w:u w:val="single"/>
          <w:lang w:bidi="en-US"/>
        </w:rPr>
        <w:t>济南成型厂电动叉车锂电池充电站建设技改项目工程施工</w:t>
      </w:r>
      <w:r>
        <w:rPr>
          <w:rFonts w:hint="eastAsia" w:ascii="宋体" w:hAnsi="宋体" w:cs="宋体"/>
          <w:kern w:val="0"/>
          <w:sz w:val="24"/>
          <w:lang w:bidi="en-US"/>
        </w:rPr>
        <w:t>；</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2.2工程地点：</w:t>
      </w:r>
      <w:r>
        <w:rPr>
          <w:rFonts w:hint="eastAsia" w:ascii="宋体" w:hAnsi="宋体" w:cs="宋体"/>
          <w:kern w:val="0"/>
          <w:sz w:val="24"/>
          <w:u w:val="single"/>
          <w:lang w:bidi="en-US"/>
        </w:rPr>
        <w:t>山东省济南市章丘区</w:t>
      </w:r>
      <w:r>
        <w:rPr>
          <w:rFonts w:hint="eastAsia" w:ascii="宋体" w:hAnsi="宋体" w:cs="宋体"/>
          <w:kern w:val="0"/>
          <w:sz w:val="24"/>
          <w:lang w:bidi="en-US"/>
        </w:rPr>
        <w:t>；</w:t>
      </w:r>
    </w:p>
    <w:p>
      <w:pPr>
        <w:spacing w:line="360" w:lineRule="auto"/>
        <w:ind w:firstLine="480" w:firstLineChars="200"/>
        <w:rPr>
          <w:rFonts w:ascii="宋体" w:hAnsi="宋体" w:cs="宋体"/>
          <w:kern w:val="0"/>
          <w:sz w:val="24"/>
          <w:lang w:bidi="en-US"/>
        </w:rPr>
      </w:pPr>
      <w:r>
        <w:rPr>
          <w:rFonts w:hint="eastAsia" w:ascii="宋体" w:hAnsi="宋体" w:cs="宋体"/>
          <w:kern w:val="0"/>
          <w:sz w:val="24"/>
          <w:lang w:bidi="en-US"/>
        </w:rPr>
        <w:t>2.3工程概况：</w:t>
      </w:r>
      <w:bookmarkStart w:id="15" w:name="_Hlk210896923"/>
    </w:p>
    <w:bookmarkEnd w:id="15"/>
    <w:p>
      <w:pPr>
        <w:spacing w:line="360" w:lineRule="auto"/>
        <w:ind w:firstLine="482" w:firstLineChars="200"/>
        <w:rPr>
          <w:rFonts w:ascii="宋体" w:hAnsi="宋体" w:cs="宋体"/>
          <w:kern w:val="0"/>
          <w:sz w:val="24"/>
          <w:lang w:bidi="en-US"/>
        </w:rPr>
      </w:pPr>
      <w:r>
        <w:rPr>
          <w:rFonts w:hint="eastAsia" w:ascii="宋体" w:hAnsi="宋体" w:cs="宋体"/>
          <w:b/>
          <w:bCs/>
          <w:kern w:val="0"/>
          <w:sz w:val="24"/>
          <w:lang w:bidi="en-US"/>
        </w:rPr>
        <w:t>济南成型厂电动叉车锂电池充电站建设技改项目工程施工，</w:t>
      </w:r>
      <w:r>
        <w:rPr>
          <w:rFonts w:hint="eastAsia" w:ascii="宋体" w:hAnsi="宋体" w:cs="宋体"/>
          <w:kern w:val="0"/>
          <w:sz w:val="24"/>
          <w:lang w:bidi="en-US"/>
        </w:rPr>
        <w:t>主要内容包含新建棚式充电站（6车位，3台充电机），配套电力设施、火焰探测及灭火装置、安防监控等；</w:t>
      </w:r>
    </w:p>
    <w:p>
      <w:pPr>
        <w:widowControl/>
        <w:spacing w:line="360" w:lineRule="auto"/>
        <w:ind w:firstLine="480" w:firstLineChars="200"/>
        <w:jc w:val="left"/>
        <w:rPr>
          <w:rFonts w:ascii="宋体" w:hAnsi="宋体" w:cs="宋体"/>
          <w:kern w:val="0"/>
          <w:sz w:val="24"/>
          <w:lang w:bidi="en-US"/>
        </w:rPr>
      </w:pPr>
      <w:r>
        <w:rPr>
          <w:rFonts w:ascii="宋体" w:hAnsi="宋体" w:cs="宋体"/>
          <w:kern w:val="0"/>
          <w:sz w:val="24"/>
          <w:lang w:bidi="en-US"/>
        </w:rPr>
        <w:t>5</w:t>
      </w:r>
      <w:r>
        <w:rPr>
          <w:rFonts w:hint="eastAsia" w:ascii="宋体" w:hAnsi="宋体" w:cs="宋体"/>
          <w:kern w:val="0"/>
          <w:sz w:val="24"/>
          <w:lang w:bidi="en-US"/>
        </w:rPr>
        <w:t>2.4资金来源：</w:t>
      </w:r>
      <w:r>
        <w:rPr>
          <w:rFonts w:hint="eastAsia" w:ascii="宋体" w:hAnsi="宋体" w:cs="宋体"/>
          <w:kern w:val="0"/>
          <w:sz w:val="24"/>
          <w:u w:val="single"/>
          <w:lang w:bidi="en-US"/>
        </w:rPr>
        <w:t>企业自筹，已落实</w:t>
      </w:r>
      <w:r>
        <w:rPr>
          <w:rFonts w:hint="eastAsia" w:ascii="宋体" w:hAnsi="宋体" w:cs="宋体"/>
          <w:kern w:val="0"/>
          <w:sz w:val="24"/>
          <w:lang w:bidi="en-US"/>
        </w:rPr>
        <w:t>；</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2.5工期要求：</w:t>
      </w:r>
      <w:r>
        <w:rPr>
          <w:rFonts w:hint="eastAsia" w:ascii="宋体" w:hAnsi="宋体" w:cs="宋体"/>
          <w:kern w:val="0"/>
          <w:sz w:val="24"/>
          <w:u w:val="single"/>
          <w:lang w:bidi="en-US"/>
        </w:rPr>
        <w:t>计划工期</w:t>
      </w:r>
      <w:r>
        <w:rPr>
          <w:rFonts w:ascii="宋体" w:hAnsi="宋体" w:cs="宋体"/>
          <w:kern w:val="0"/>
          <w:sz w:val="24"/>
          <w:u w:val="single"/>
          <w:lang w:bidi="en-US"/>
        </w:rPr>
        <w:t>60</w:t>
      </w:r>
      <w:r>
        <w:rPr>
          <w:rFonts w:hint="eastAsia" w:ascii="宋体" w:hAnsi="宋体" w:cs="宋体"/>
          <w:kern w:val="0"/>
          <w:sz w:val="24"/>
          <w:u w:val="single"/>
          <w:lang w:bidi="en-US"/>
        </w:rPr>
        <w:t xml:space="preserve">日历日，最终以招标文件为准 </w:t>
      </w:r>
      <w:r>
        <w:rPr>
          <w:rFonts w:hint="eastAsia" w:ascii="宋体" w:hAnsi="宋体" w:cs="宋体"/>
          <w:kern w:val="0"/>
          <w:sz w:val="24"/>
          <w:lang w:bidi="en-US"/>
        </w:rPr>
        <w:t>；</w:t>
      </w:r>
    </w:p>
    <w:p>
      <w:pPr>
        <w:widowControl/>
        <w:spacing w:line="360" w:lineRule="auto"/>
        <w:ind w:firstLine="480" w:firstLineChars="200"/>
        <w:jc w:val="left"/>
        <w:rPr>
          <w:rFonts w:ascii="宋体" w:hAnsi="宋体"/>
          <w:sz w:val="24"/>
          <w:u w:val="single"/>
        </w:rPr>
      </w:pPr>
      <w:r>
        <w:rPr>
          <w:rFonts w:hint="eastAsia" w:ascii="宋体" w:hAnsi="宋体" w:cs="宋体"/>
          <w:kern w:val="0"/>
          <w:sz w:val="24"/>
          <w:lang w:bidi="en-US"/>
        </w:rPr>
        <w:t>2.6招标范围：</w:t>
      </w:r>
      <w:r>
        <w:rPr>
          <w:rFonts w:hint="eastAsia" w:ascii="宋体" w:hAnsi="宋体"/>
          <w:sz w:val="24"/>
          <w:u w:val="single"/>
        </w:rPr>
        <w:t>本次招标范围包括但不限于施工图纸范围内的全部工作内容的施工、验收及质量保修，以及招标人新增清单外施工内容等，详见招标文件、图纸及工程量清单；</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rFonts w:hint="eastAsia"/>
          <w:kern w:val="0"/>
          <w:sz w:val="24"/>
          <w:szCs w:val="21"/>
          <w:u w:val="single"/>
          <w:lang w:bidi="en-US"/>
        </w:rPr>
        <w:t xml:space="preserve"> </w:t>
      </w:r>
      <w:r>
        <w:rPr>
          <w:kern w:val="0"/>
          <w:sz w:val="24"/>
          <w:szCs w:val="21"/>
          <w:u w:val="single"/>
          <w:lang w:bidi="en-US"/>
        </w:rPr>
        <w:t>500</w:t>
      </w:r>
      <w:r>
        <w:rPr>
          <w:rFonts w:hint="eastAsia"/>
          <w:kern w:val="0"/>
          <w:sz w:val="24"/>
          <w:szCs w:val="21"/>
          <w:u w:val="single"/>
          <w:lang w:bidi="en-US"/>
        </w:rPr>
        <w:t xml:space="preserve"> </w:t>
      </w:r>
      <w:r>
        <w:rPr>
          <w:rFonts w:hint="eastAsia"/>
          <w:kern w:val="0"/>
          <w:sz w:val="24"/>
          <w:szCs w:val="21"/>
          <w:lang w:bidi="en-US"/>
        </w:rPr>
        <w:t>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pPr>
        <w:spacing w:line="360" w:lineRule="auto"/>
        <w:ind w:left="2" w:firstLine="480" w:firstLineChars="200"/>
        <w:rPr>
          <w:rFonts w:ascii="宋体" w:hAnsi="宋体"/>
          <w:szCs w:val="21"/>
        </w:rPr>
      </w:pPr>
      <w:r>
        <w:rPr>
          <w:rFonts w:hint="eastAsia" w:ascii="宋体" w:hAnsi="宋体"/>
          <w:kern w:val="0"/>
          <w:sz w:val="24"/>
          <w:szCs w:val="21"/>
          <w:lang w:bidi="en-US"/>
        </w:rPr>
        <w:t>（2）投标人资质要求：</w:t>
      </w:r>
      <w:r>
        <w:rPr>
          <w:rFonts w:hint="eastAsia" w:ascii="宋体" w:hAnsi="宋体" w:cs="宋体"/>
          <w:kern w:val="0"/>
          <w:sz w:val="24"/>
        </w:rPr>
        <w:t>具有</w:t>
      </w:r>
      <w:r>
        <w:rPr>
          <w:rFonts w:hint="eastAsia" w:ascii="宋体" w:hAnsi="宋体" w:cs="宋体"/>
          <w:kern w:val="0"/>
          <w:sz w:val="24"/>
          <w:u w:val="single"/>
        </w:rPr>
        <w:t>建筑工程施工总承包叁级及以上</w:t>
      </w:r>
      <w:r>
        <w:rPr>
          <w:rFonts w:hint="eastAsia" w:ascii="宋体" w:hAnsi="宋体" w:cs="宋体"/>
          <w:kern w:val="0"/>
          <w:sz w:val="24"/>
        </w:rPr>
        <w:t>资质</w:t>
      </w:r>
      <w:r>
        <w:rPr>
          <w:rFonts w:hint="eastAsia" w:ascii="宋体" w:hAnsi="宋体"/>
          <w:kern w:val="0"/>
          <w:sz w:val="24"/>
          <w:szCs w:val="21"/>
          <w:lang w:bidi="en-US"/>
        </w:rPr>
        <w:t>，并具有有效的安全生产许可证；</w:t>
      </w:r>
    </w:p>
    <w:p>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（3）投标人拟派项目负责人要求：须具备</w:t>
      </w:r>
      <w:r>
        <w:rPr>
          <w:rFonts w:hint="eastAsia" w:ascii="宋体" w:hAnsi="宋体"/>
          <w:kern w:val="0"/>
          <w:sz w:val="24"/>
          <w:szCs w:val="21"/>
          <w:u w:val="single"/>
          <w:lang w:bidi="en-US"/>
        </w:rPr>
        <w:t>建筑工程专业</w:t>
      </w:r>
      <w:r>
        <w:rPr>
          <w:rFonts w:hint="eastAsia" w:ascii="宋体" w:hAnsi="宋体" w:cs="宋体"/>
          <w:kern w:val="0"/>
          <w:sz w:val="24"/>
          <w:u w:val="single"/>
        </w:rPr>
        <w:t>贰级及以上</w:t>
      </w:r>
      <w:r>
        <w:rPr>
          <w:rFonts w:hint="eastAsia" w:ascii="宋体" w:hAnsi="宋体"/>
          <w:kern w:val="0"/>
          <w:sz w:val="24"/>
          <w:szCs w:val="21"/>
          <w:u w:val="single"/>
          <w:lang w:bidi="en-US"/>
        </w:rPr>
        <w:t>注册建造师证书</w:t>
      </w:r>
      <w:r>
        <w:rPr>
          <w:rFonts w:hint="eastAsia" w:ascii="宋体" w:hAnsi="宋体"/>
          <w:kern w:val="0"/>
          <w:sz w:val="24"/>
          <w:szCs w:val="21"/>
          <w:lang w:bidi="en-US"/>
        </w:rPr>
        <w:t>，具有有效的安全考核合格B证且不得担任其他在施建设工程项目的项目经理；</w:t>
      </w:r>
    </w:p>
    <w:p>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（4）财务要求：近三年财务状况良好（近三年指</w:t>
      </w:r>
      <w:r>
        <w:rPr>
          <w:rFonts w:hint="eastAsia" w:ascii="宋体" w:hAnsi="宋体"/>
          <w:kern w:val="0"/>
          <w:sz w:val="24"/>
          <w:szCs w:val="21"/>
          <w:u w:val="single"/>
          <w:lang w:bidi="en-US"/>
        </w:rPr>
        <w:t>202</w:t>
      </w:r>
      <w:r>
        <w:rPr>
          <w:rFonts w:ascii="宋体" w:hAnsi="宋体"/>
          <w:kern w:val="0"/>
          <w:sz w:val="24"/>
          <w:szCs w:val="21"/>
          <w:u w:val="single"/>
          <w:lang w:bidi="en-US"/>
        </w:rPr>
        <w:t>2</w:t>
      </w:r>
      <w:r>
        <w:rPr>
          <w:rFonts w:hint="eastAsia" w:ascii="宋体" w:hAnsi="宋体"/>
          <w:kern w:val="0"/>
          <w:sz w:val="24"/>
          <w:szCs w:val="21"/>
          <w:u w:val="single"/>
          <w:lang w:bidi="en-US"/>
        </w:rPr>
        <w:t>、202</w:t>
      </w:r>
      <w:r>
        <w:rPr>
          <w:rFonts w:ascii="宋体" w:hAnsi="宋体"/>
          <w:kern w:val="0"/>
          <w:sz w:val="24"/>
          <w:szCs w:val="21"/>
          <w:u w:val="single"/>
          <w:lang w:bidi="en-US"/>
        </w:rPr>
        <w:t>3</w:t>
      </w:r>
      <w:r>
        <w:rPr>
          <w:rFonts w:hint="eastAsia" w:ascii="宋体" w:hAnsi="宋体"/>
          <w:kern w:val="0"/>
          <w:sz w:val="24"/>
          <w:szCs w:val="21"/>
          <w:u w:val="single"/>
          <w:lang w:bidi="en-US"/>
        </w:rPr>
        <w:t>、202</w:t>
      </w:r>
      <w:r>
        <w:rPr>
          <w:rFonts w:ascii="宋体" w:hAnsi="宋体"/>
          <w:kern w:val="0"/>
          <w:sz w:val="24"/>
          <w:szCs w:val="21"/>
          <w:u w:val="single"/>
          <w:lang w:bidi="en-US"/>
        </w:rPr>
        <w:t>4</w:t>
      </w:r>
      <w:r>
        <w:rPr>
          <w:rFonts w:hint="eastAsia" w:ascii="宋体" w:hAnsi="宋体"/>
          <w:kern w:val="0"/>
          <w:sz w:val="24"/>
          <w:szCs w:val="21"/>
          <w:lang w:bidi="en-US"/>
        </w:rPr>
        <w:t>年），</w:t>
      </w:r>
      <w:bookmarkStart w:id="16" w:name="_Hlk161823319"/>
      <w:r>
        <w:rPr>
          <w:rFonts w:hint="eastAsia" w:ascii="宋体" w:hAnsi="宋体"/>
          <w:kern w:val="0"/>
          <w:sz w:val="24"/>
          <w:szCs w:val="21"/>
          <w:lang w:bidi="en-US"/>
        </w:rPr>
        <w:t>要求包含企业最近半年完税证明、信用证明材料（中国人民银行征信报告）、年度纳税信用评价信息、企业对外担保说明；</w:t>
      </w:r>
      <w:bookmarkEnd w:id="16"/>
    </w:p>
    <w:p>
      <w:pPr>
        <w:widowControl/>
        <w:spacing w:line="360" w:lineRule="auto"/>
        <w:ind w:left="2" w:firstLine="480" w:firstLineChars="200"/>
        <w:jc w:val="left"/>
        <w:rPr>
          <w:rFonts w:ascii="宋体" w:cs="宋体"/>
          <w:sz w:val="24"/>
          <w:lang w:bidi="ar"/>
        </w:rPr>
      </w:pPr>
      <w:r>
        <w:rPr>
          <w:rFonts w:hint="eastAsia" w:ascii="宋体" w:hAnsi="宋体"/>
          <w:kern w:val="0"/>
          <w:sz w:val="24"/>
          <w:szCs w:val="21"/>
          <w:lang w:bidi="en-US"/>
        </w:rPr>
        <w:t>（5）信誉要求：</w:t>
      </w:r>
      <w:r>
        <w:rPr>
          <w:rFonts w:hint="eastAsia" w:ascii="宋体" w:cs="宋体"/>
          <w:sz w:val="24"/>
          <w:lang w:bidi="ar"/>
        </w:rPr>
        <w:t>近三年</w:t>
      </w:r>
      <w:r>
        <w:rPr>
          <w:rFonts w:hint="eastAsia" w:ascii="宋体" w:hAnsi="宋体"/>
          <w:kern w:val="0"/>
          <w:sz w:val="24"/>
          <w:szCs w:val="21"/>
          <w:lang w:bidi="en-US"/>
        </w:rPr>
        <w:t>（2023年2月1日至今）</w:t>
      </w:r>
      <w:r>
        <w:rPr>
          <w:rFonts w:hint="eastAsia" w:ascii="宋体" w:cs="宋体"/>
          <w:sz w:val="24"/>
          <w:lang w:bidi="ar"/>
        </w:rPr>
        <w:t>公司信誉良好，无行政处罚及失信记录等信息，无与本项目有关的违法违规等不良行为，无招标违规、谎报年度报告信息、提供虚假资质资料等行为或其他行政处罚记录；</w:t>
      </w:r>
    </w:p>
    <w:p>
      <w:pPr>
        <w:widowControl/>
        <w:spacing w:line="360" w:lineRule="auto"/>
        <w:ind w:left="2" w:firstLine="480" w:firstLineChars="200"/>
        <w:jc w:val="left"/>
        <w:rPr>
          <w:rFonts w:ascii="宋体" w:cs="宋体"/>
          <w:sz w:val="24"/>
          <w:lang w:bidi="ar"/>
        </w:rPr>
      </w:pPr>
      <w:bookmarkStart w:id="17" w:name="_Hlk161823373"/>
      <w:r>
        <w:rPr>
          <w:rFonts w:hint="eastAsia" w:ascii="宋体" w:cs="宋体"/>
          <w:sz w:val="24"/>
          <w:lang w:bidi="ar"/>
        </w:rPr>
        <w:t>（6）业绩要求：近两年</w:t>
      </w:r>
      <w:r>
        <w:rPr>
          <w:rFonts w:hint="eastAsia" w:ascii="宋体" w:hAnsi="宋体"/>
          <w:kern w:val="0"/>
          <w:sz w:val="24"/>
          <w:szCs w:val="21"/>
          <w:lang w:bidi="en-US"/>
        </w:rPr>
        <w:t>（202</w:t>
      </w:r>
      <w:r>
        <w:rPr>
          <w:rFonts w:ascii="宋体" w:hAnsi="宋体"/>
          <w:kern w:val="0"/>
          <w:sz w:val="24"/>
          <w:szCs w:val="21"/>
          <w:lang w:bidi="en-US"/>
        </w:rPr>
        <w:t>4</w:t>
      </w:r>
      <w:r>
        <w:rPr>
          <w:rFonts w:hint="eastAsia" w:ascii="宋体" w:hAnsi="宋体"/>
          <w:kern w:val="0"/>
          <w:sz w:val="24"/>
          <w:szCs w:val="21"/>
          <w:lang w:bidi="en-US"/>
        </w:rPr>
        <w:t>年2月1日至今）</w:t>
      </w:r>
      <w:r>
        <w:rPr>
          <w:rFonts w:hint="eastAsia" w:ascii="宋体" w:cs="宋体"/>
          <w:sz w:val="24"/>
          <w:lang w:bidi="ar"/>
        </w:rPr>
        <w:t>至少承揽过</w:t>
      </w:r>
      <w:r>
        <w:rPr>
          <w:rFonts w:ascii="宋体" w:cs="宋体"/>
          <w:sz w:val="24"/>
          <w:lang w:bidi="ar"/>
        </w:rPr>
        <w:t>2</w:t>
      </w:r>
      <w:r>
        <w:rPr>
          <w:rFonts w:hint="eastAsia" w:ascii="宋体" w:cs="宋体"/>
          <w:sz w:val="24"/>
          <w:lang w:bidi="ar"/>
        </w:rPr>
        <w:t>个</w:t>
      </w:r>
      <w:r>
        <w:rPr>
          <w:rFonts w:hint="eastAsia" w:ascii="宋体" w:cs="宋体"/>
          <w:sz w:val="24"/>
          <w:u w:val="single"/>
          <w:lang w:bidi="ar"/>
        </w:rPr>
        <w:t>合同额不低于</w:t>
      </w:r>
      <w:r>
        <w:rPr>
          <w:rFonts w:ascii="宋体" w:cs="宋体"/>
          <w:sz w:val="24"/>
          <w:u w:val="single"/>
          <w:lang w:bidi="ar"/>
        </w:rPr>
        <w:t>50</w:t>
      </w:r>
      <w:r>
        <w:rPr>
          <w:rFonts w:hint="eastAsia" w:ascii="宋体" w:cs="宋体"/>
          <w:sz w:val="24"/>
          <w:u w:val="single"/>
          <w:lang w:bidi="ar"/>
        </w:rPr>
        <w:t>万元</w:t>
      </w:r>
      <w:r>
        <w:rPr>
          <w:rFonts w:hint="eastAsia" w:ascii="宋体" w:cs="宋体"/>
          <w:sz w:val="24"/>
          <w:lang w:bidi="ar"/>
        </w:rPr>
        <w:t>的类似工业项目业绩（以合同签订时间为准），报名时需提供合同原件及竣工验收报告（如有）的扫描件；</w:t>
      </w:r>
    </w:p>
    <w:bookmarkEnd w:id="17"/>
    <w:p>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7</w:t>
      </w:r>
      <w:r>
        <w:rPr>
          <w:rFonts w:hint="eastAsia" w:ascii="宋体" w:cs="宋体"/>
          <w:sz w:val="24"/>
          <w:lang w:bidi="ar"/>
        </w:rPr>
        <w:t>）单位负责人为同一人或者存在控股、管理关系的不同投标人，不得同时报名参加本次招标活动，否则须另提供上级单位对本项目投标的授权；</w:t>
      </w:r>
    </w:p>
    <w:p>
      <w:pPr>
        <w:pStyle w:val="2"/>
        <w:ind w:left="0" w:leftChars="0" w:firstLine="480"/>
        <w:rPr>
          <w:rFonts w:ascii="宋体" w:cs="宋体"/>
          <w:sz w:val="24"/>
          <w:lang w:bidi="ar"/>
        </w:rPr>
      </w:pPr>
      <w:r>
        <w:rPr>
          <w:rFonts w:hint="eastAsia" w:ascii="宋体" w:cs="宋体"/>
          <w:sz w:val="24"/>
          <w:lang w:bidi="ar"/>
        </w:rPr>
        <w:t>（</w:t>
      </w:r>
      <w:r>
        <w:rPr>
          <w:rFonts w:ascii="宋体" w:cs="宋体"/>
          <w:sz w:val="24"/>
          <w:lang w:bidi="ar"/>
        </w:rPr>
        <w:t>8</w:t>
      </w:r>
      <w:r>
        <w:rPr>
          <w:rFonts w:hint="eastAsia" w:ascii="宋体" w:cs="宋体"/>
          <w:sz w:val="24"/>
          <w:lang w:bidi="ar"/>
        </w:rPr>
        <w:t>）投标人没有被我公司列入黑名单；</w:t>
      </w:r>
    </w:p>
    <w:p>
      <w:pPr>
        <w:pStyle w:val="2"/>
        <w:ind w:left="0" w:leftChars="0" w:firstLine="480"/>
        <w:rPr>
          <w:rFonts w:ascii="宋体" w:cs="宋体"/>
          <w:sz w:val="24"/>
          <w:lang w:bidi="ar"/>
        </w:rPr>
      </w:pPr>
      <w:r>
        <w:rPr>
          <w:rFonts w:hint="eastAsia" w:ascii="宋体" w:cs="宋体"/>
          <w:sz w:val="24"/>
          <w:lang w:bidi="ar"/>
        </w:rPr>
        <w:t>（</w:t>
      </w:r>
      <w:r>
        <w:rPr>
          <w:rFonts w:ascii="宋体" w:cs="宋体"/>
          <w:sz w:val="24"/>
          <w:lang w:bidi="ar"/>
        </w:rPr>
        <w:t>9</w:t>
      </w:r>
      <w:r>
        <w:rPr>
          <w:rFonts w:hint="eastAsia" w:ascii="宋体" w:cs="宋体"/>
          <w:sz w:val="24"/>
          <w:lang w:bidi="ar"/>
        </w:rPr>
        <w:t>）投标人的直接或间接股东、法定代表人、董事、监事、高管非重汽员工及其亲属；</w:t>
      </w:r>
    </w:p>
    <w:p>
      <w:pPr>
        <w:widowControl/>
        <w:adjustRightInd w:val="0"/>
        <w:snapToGrid w:val="0"/>
        <w:spacing w:line="360" w:lineRule="auto"/>
        <w:ind w:firstLine="480" w:firstLineChars="200"/>
        <w:jc w:val="left"/>
        <w:rPr>
          <w:rFonts w:ascii="宋体" w:hAnsi="宋体"/>
          <w:kern w:val="0"/>
          <w:sz w:val="24"/>
          <w:szCs w:val="21"/>
          <w:lang w:bidi="en-US"/>
        </w:rPr>
      </w:pPr>
      <w:r>
        <w:rPr>
          <w:rFonts w:hint="eastAsia" w:ascii="宋体" w:cs="宋体"/>
          <w:kern w:val="0"/>
          <w:sz w:val="24"/>
          <w:lang w:bidi="en-US"/>
        </w:rPr>
        <w:t>（</w:t>
      </w:r>
      <w:r>
        <w:rPr>
          <w:rFonts w:ascii="宋体" w:cs="宋体"/>
          <w:kern w:val="0"/>
          <w:sz w:val="24"/>
          <w:lang w:bidi="en-US"/>
        </w:rPr>
        <w:t>10</w:t>
      </w:r>
      <w:r>
        <w:rPr>
          <w:rFonts w:hint="eastAsia" w:ascii="宋体" w:cs="宋体"/>
          <w:kern w:val="0"/>
          <w:sz w:val="24"/>
          <w:lang w:bidi="en-US"/>
        </w:rPr>
        <w:t>）法律法规对合格</w:t>
      </w:r>
      <w:r>
        <w:rPr>
          <w:rFonts w:hint="eastAsia" w:ascii="宋体" w:hAnsi="宋体"/>
          <w:kern w:val="0"/>
          <w:sz w:val="24"/>
          <w:szCs w:val="21"/>
          <w:lang w:bidi="en-US"/>
        </w:rPr>
        <w:t>投标人</w:t>
      </w:r>
      <w:r>
        <w:rPr>
          <w:rFonts w:hint="eastAsia" w:ascii="宋体" w:cs="宋体"/>
          <w:kern w:val="0"/>
          <w:sz w:val="24"/>
          <w:lang w:bidi="en-US"/>
        </w:rPr>
        <w:t>的其他要求、规定。</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报名单位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pPr>
        <w:widowControl/>
        <w:spacing w:line="360" w:lineRule="auto"/>
        <w:ind w:firstLine="480" w:firstLineChars="200"/>
        <w:rPr>
          <w:sz w:val="24"/>
          <w:lang w:bidi="ar"/>
        </w:rPr>
      </w:pPr>
      <w:r>
        <w:rPr>
          <w:rFonts w:hint="eastAsia" w:ascii="宋体" w:hAnsi="宋体" w:cs="宋体"/>
          <w:kern w:val="0"/>
          <w:sz w:val="24"/>
          <w:lang w:bidi="en-US"/>
        </w:rPr>
        <w:t>4.1凡有意参加投标者，请于</w:t>
      </w:r>
      <w:r>
        <w:rPr>
          <w:rFonts w:hint="eastAsia" w:ascii="宋体" w:hAnsi="宋体" w:cs="宋体"/>
          <w:kern w:val="0"/>
          <w:sz w:val="24"/>
          <w:highlight w:val="yellow"/>
          <w:lang w:bidi="en-US"/>
        </w:rPr>
        <w:t>202</w:t>
      </w:r>
      <w:r>
        <w:rPr>
          <w:rFonts w:ascii="宋体" w:hAnsi="宋体" w:cs="宋体"/>
          <w:kern w:val="0"/>
          <w:sz w:val="24"/>
          <w:highlight w:val="yellow"/>
          <w:lang w:bidi="en-US"/>
        </w:rPr>
        <w:t>6</w:t>
      </w:r>
      <w:r>
        <w:rPr>
          <w:rFonts w:hint="eastAsia" w:ascii="宋体" w:hAnsi="宋体" w:cs="宋体"/>
          <w:kern w:val="0"/>
          <w:sz w:val="24"/>
          <w:highlight w:val="yellow"/>
          <w:lang w:bidi="en-US"/>
        </w:rPr>
        <w:t>年</w:t>
      </w:r>
      <w:r>
        <w:rPr>
          <w:rFonts w:ascii="宋体" w:hAnsi="宋体" w:cs="宋体"/>
          <w:kern w:val="0"/>
          <w:sz w:val="24"/>
          <w:highlight w:val="yellow"/>
          <w:u w:val="single"/>
          <w:lang w:bidi="en-US"/>
        </w:rPr>
        <w:t>2</w:t>
      </w:r>
      <w:r>
        <w:rPr>
          <w:rFonts w:hint="eastAsia" w:ascii="宋体" w:hAnsi="宋体" w:cs="宋体"/>
          <w:kern w:val="0"/>
          <w:sz w:val="24"/>
          <w:highlight w:val="yellow"/>
          <w:lang w:bidi="en-US"/>
        </w:rPr>
        <w:t>月</w:t>
      </w:r>
      <w:r>
        <w:rPr>
          <w:rFonts w:ascii="宋体" w:hAnsi="宋体" w:cs="宋体"/>
          <w:kern w:val="0"/>
          <w:sz w:val="24"/>
          <w:highlight w:val="yellow"/>
          <w:u w:val="single"/>
          <w:lang w:bidi="en-US"/>
        </w:rPr>
        <w:t>1</w:t>
      </w:r>
      <w:r>
        <w:rPr>
          <w:rFonts w:hint="eastAsia" w:ascii="宋体" w:hAnsi="宋体" w:cs="宋体"/>
          <w:kern w:val="0"/>
          <w:sz w:val="24"/>
          <w:highlight w:val="yellow"/>
          <w:u w:val="single"/>
          <w:lang w:val="en-US" w:eastAsia="zh-CN" w:bidi="en-US"/>
        </w:rPr>
        <w:t>4</w:t>
      </w:r>
      <w:r>
        <w:rPr>
          <w:rFonts w:hint="eastAsia" w:ascii="宋体" w:hAnsi="宋体" w:cs="宋体"/>
          <w:kern w:val="0"/>
          <w:sz w:val="24"/>
          <w:highlight w:val="yellow"/>
          <w:lang w:bidi="en-US"/>
        </w:rPr>
        <w:t>日至202</w:t>
      </w:r>
      <w:r>
        <w:rPr>
          <w:rFonts w:ascii="宋体" w:hAnsi="宋体" w:cs="宋体"/>
          <w:kern w:val="0"/>
          <w:sz w:val="24"/>
          <w:highlight w:val="yellow"/>
          <w:lang w:bidi="en-US"/>
        </w:rPr>
        <w:t>6</w:t>
      </w:r>
      <w:r>
        <w:rPr>
          <w:rFonts w:hint="eastAsia" w:ascii="宋体" w:hAnsi="宋体" w:cs="宋体"/>
          <w:kern w:val="0"/>
          <w:sz w:val="24"/>
          <w:highlight w:val="yellow"/>
          <w:lang w:bidi="en-US"/>
        </w:rPr>
        <w:t>年</w:t>
      </w:r>
      <w:r>
        <w:rPr>
          <w:rFonts w:ascii="宋体" w:hAnsi="宋体" w:cs="宋体"/>
          <w:kern w:val="0"/>
          <w:sz w:val="24"/>
          <w:highlight w:val="yellow"/>
          <w:u w:val="single"/>
          <w:lang w:bidi="en-US"/>
        </w:rPr>
        <w:t>2</w:t>
      </w:r>
      <w:r>
        <w:rPr>
          <w:rFonts w:hint="eastAsia" w:ascii="宋体" w:hAnsi="宋体" w:cs="宋体"/>
          <w:kern w:val="0"/>
          <w:sz w:val="24"/>
          <w:highlight w:val="yellow"/>
          <w:lang w:bidi="en-US"/>
        </w:rPr>
        <w:t>月</w:t>
      </w:r>
      <w:r>
        <w:rPr>
          <w:rFonts w:ascii="宋体" w:hAnsi="宋体" w:cs="宋体"/>
          <w:kern w:val="0"/>
          <w:sz w:val="24"/>
          <w:highlight w:val="yellow"/>
          <w:u w:val="single"/>
          <w:lang w:bidi="en-US"/>
        </w:rPr>
        <w:t>2</w:t>
      </w:r>
      <w:r>
        <w:rPr>
          <w:rFonts w:hint="eastAsia" w:ascii="宋体" w:hAnsi="宋体" w:cs="宋体"/>
          <w:kern w:val="0"/>
          <w:sz w:val="24"/>
          <w:highlight w:val="yellow"/>
          <w:u w:val="single"/>
          <w:lang w:val="en-US" w:eastAsia="zh-CN" w:bidi="en-US"/>
        </w:rPr>
        <w:t>7</w:t>
      </w:r>
      <w:r>
        <w:rPr>
          <w:rFonts w:hint="eastAsia" w:ascii="宋体" w:hAnsi="宋体" w:cs="宋体"/>
          <w:kern w:val="0"/>
          <w:sz w:val="24"/>
          <w:highlight w:val="yellow"/>
          <w:lang w:bidi="en-US"/>
        </w:rPr>
        <w:t>日</w:t>
      </w:r>
      <w:r>
        <w:rPr>
          <w:rFonts w:hint="eastAsia" w:ascii="宋体" w:hAnsi="宋体" w:cs="宋体"/>
          <w:kern w:val="0"/>
          <w:sz w:val="24"/>
          <w:lang w:bidi="en-US"/>
        </w:rPr>
        <w:t>，</w:t>
      </w:r>
      <w:r>
        <w:rPr>
          <w:rFonts w:hint="eastAsia" w:ascii="宋体" w:cs="宋体"/>
          <w:sz w:val="24"/>
          <w:lang w:bidi="ar"/>
        </w:rPr>
        <w:t>按照以下顺序及所列项准备相关资料的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bookmarkStart w:id="18" w:name="_Hlk212119793"/>
      <w:r>
        <w:rPr>
          <w:sz w:val="24"/>
          <w:lang w:bidi="ar"/>
        </w:rPr>
        <w:t>根据招标人在中国重汽官网等公开媒体上发布的招标信息，在“中国重汽e采通”平台报名。按照中国重汽e采通</w:t>
      </w:r>
      <w:r>
        <w:rPr>
          <w:rFonts w:hint="eastAsia"/>
          <w:sz w:val="24"/>
          <w:lang w:bidi="ar"/>
        </w:rPr>
        <w:t>“</w:t>
      </w:r>
      <w:r>
        <w:rPr>
          <w:sz w:val="24"/>
          <w:lang w:bidi="ar"/>
        </w:rPr>
        <w:t>SRM非生产供应商注册手册</w:t>
      </w:r>
      <w:r>
        <w:rPr>
          <w:rFonts w:hint="eastAsia"/>
          <w:sz w:val="24"/>
          <w:lang w:bidi="ar"/>
        </w:rPr>
        <w:t>”</w:t>
      </w:r>
      <w:r>
        <w:rPr>
          <w:sz w:val="24"/>
          <w:lang w:bidi="ar"/>
        </w:rPr>
        <w:t>（附件-供应商注册）进行注册，注册完毕后按照</w:t>
      </w:r>
      <w:r>
        <w:rPr>
          <w:rFonts w:hint="eastAsia"/>
          <w:sz w:val="24"/>
          <w:lang w:bidi="ar"/>
        </w:rPr>
        <w:t>“</w:t>
      </w:r>
      <w:r>
        <w:rPr>
          <w:sz w:val="24"/>
          <w:lang w:bidi="ar"/>
        </w:rPr>
        <w:t>SRM系统供应商用户手册</w:t>
      </w:r>
      <w:r>
        <w:rPr>
          <w:rFonts w:hint="eastAsia"/>
          <w:sz w:val="24"/>
          <w:lang w:bidi="ar"/>
        </w:rPr>
        <w:t>”</w:t>
      </w:r>
      <w:r>
        <w:rPr>
          <w:sz w:val="24"/>
          <w:lang w:bidi="ar"/>
        </w:rPr>
        <w:t>（附件-供应商应标），登录重汽e采通平台后进入</w:t>
      </w:r>
      <w:r>
        <w:rPr>
          <w:rFonts w:hint="eastAsia"/>
          <w:sz w:val="24"/>
          <w:lang w:bidi="ar"/>
        </w:rPr>
        <w:t>“</w:t>
      </w:r>
      <w:r>
        <w:rPr>
          <w:sz w:val="24"/>
          <w:lang w:bidi="ar"/>
        </w:rPr>
        <w:t>供应商应标</w:t>
      </w:r>
      <w:r>
        <w:rPr>
          <w:rFonts w:hint="eastAsia"/>
          <w:sz w:val="24"/>
          <w:lang w:bidi="ar"/>
        </w:rPr>
        <w:t>”</w:t>
      </w:r>
      <w:r>
        <w:rPr>
          <w:sz w:val="24"/>
          <w:lang w:bidi="ar"/>
        </w:rPr>
        <w:t>，选择对应的项目，点击</w:t>
      </w:r>
      <w:r>
        <w:rPr>
          <w:rFonts w:hint="eastAsia"/>
          <w:sz w:val="24"/>
          <w:lang w:bidi="ar"/>
        </w:rPr>
        <w:t>“</w:t>
      </w:r>
      <w:r>
        <w:rPr>
          <w:sz w:val="24"/>
          <w:lang w:bidi="ar"/>
        </w:rPr>
        <w:t>应标</w:t>
      </w:r>
      <w:r>
        <w:rPr>
          <w:rFonts w:hint="eastAsia"/>
          <w:sz w:val="24"/>
          <w:lang w:bidi="ar"/>
        </w:rPr>
        <w:t>”</w:t>
      </w:r>
      <w:r>
        <w:rPr>
          <w:sz w:val="24"/>
          <w:lang w:bidi="ar"/>
        </w:rPr>
        <w:t>后按照下方资质文件组成准备资料并上传(资质标，要求做好目录），资质审查通过即为报名成功；公示期间请尽快报名。</w:t>
      </w:r>
    </w:p>
    <w:bookmarkEnd w:id="18"/>
    <w:p>
      <w:pPr>
        <w:pStyle w:val="2"/>
        <w:ind w:left="420" w:firstLine="420"/>
      </w:pPr>
      <w:r>
        <w:rPr>
          <w:rFonts w:hint="eastAsia" w:ascii="仿宋_GB2312" w:hAnsi="仿宋_GB2312" w:eastAsia="仿宋_GB2312" w:cs="仿宋_GB2312"/>
          <w:highlight w:val="yellow"/>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w:t>
      </w:r>
    </w:p>
    <w:p>
      <w:pPr>
        <w:widowControl/>
        <w:spacing w:line="360" w:lineRule="auto"/>
        <w:ind w:firstLine="482" w:firstLineChars="200"/>
        <w:rPr>
          <w:rFonts w:ascii="宋体" w:cs="宋体"/>
          <w:b/>
          <w:bCs/>
          <w:sz w:val="24"/>
          <w:lang w:bidi="ar"/>
        </w:rPr>
      </w:pPr>
      <w:r>
        <w:rPr>
          <w:rFonts w:hint="eastAsia" w:ascii="宋体" w:cs="宋体"/>
          <w:b/>
          <w:bCs/>
          <w:sz w:val="24"/>
          <w:lang w:bidi="ar"/>
        </w:rPr>
        <w:t>报名时提供的资料不合格的会在系统被驳回，请及时查阅</w:t>
      </w:r>
      <w:bookmarkStart w:id="19" w:name="_Hlk212122099"/>
      <w:r>
        <w:rPr>
          <w:rFonts w:hint="eastAsia" w:ascii="宋体" w:cs="宋体"/>
          <w:b/>
          <w:bCs/>
          <w:sz w:val="24"/>
          <w:lang w:bidi="ar"/>
        </w:rPr>
        <w:t>审核状态</w:t>
      </w:r>
      <w:bookmarkEnd w:id="19"/>
      <w:r>
        <w:rPr>
          <w:rFonts w:hint="eastAsia" w:ascii="宋体" w:cs="宋体"/>
          <w:b/>
          <w:bCs/>
          <w:sz w:val="24"/>
          <w:lang w:bidi="ar"/>
        </w:rPr>
        <w:t>并及时补齐资料，不能按时补充资料的视为自动放弃本次投标。</w:t>
      </w:r>
    </w:p>
    <w:p>
      <w:pPr>
        <w:widowControl/>
        <w:numPr>
          <w:ilvl w:val="0"/>
          <w:numId w:val="1"/>
        </w:numPr>
        <w:spacing w:line="360" w:lineRule="auto"/>
        <w:rPr>
          <w:kern w:val="0"/>
          <w:sz w:val="24"/>
          <w:szCs w:val="21"/>
          <w:lang w:bidi="en-US"/>
        </w:rPr>
      </w:pPr>
      <w:r>
        <w:rPr>
          <w:rFonts w:hint="eastAsia"/>
          <w:kern w:val="0"/>
          <w:sz w:val="24"/>
          <w:szCs w:val="21"/>
          <w:lang w:bidi="en-US"/>
        </w:rPr>
        <w:t>XXX公司XXX项目投标信息明细表（</w:t>
      </w:r>
      <w:r>
        <w:rPr>
          <w:rFonts w:hint="eastAsia"/>
          <w:b/>
          <w:bCs/>
          <w:kern w:val="0"/>
          <w:sz w:val="24"/>
          <w:szCs w:val="21"/>
          <w:lang w:bidi="en-US"/>
        </w:rPr>
        <w:t>附件1</w:t>
      </w:r>
      <w:r>
        <w:rPr>
          <w:rFonts w:hint="eastAsia"/>
          <w:kern w:val="0"/>
          <w:sz w:val="24"/>
          <w:szCs w:val="21"/>
          <w:lang w:bidi="en-US"/>
        </w:rPr>
        <w:t>）</w:t>
      </w:r>
    </w:p>
    <w:p>
      <w:pPr>
        <w:widowControl/>
        <w:numPr>
          <w:ilvl w:val="0"/>
          <w:numId w:val="1"/>
        </w:numPr>
        <w:spacing w:line="360" w:lineRule="auto"/>
        <w:rPr>
          <w:kern w:val="0"/>
          <w:sz w:val="24"/>
          <w:szCs w:val="21"/>
          <w:lang w:bidi="en-US"/>
        </w:rPr>
      </w:pPr>
      <w:r>
        <w:rPr>
          <w:rFonts w:hint="eastAsia"/>
          <w:kern w:val="0"/>
          <w:sz w:val="24"/>
          <w:szCs w:val="21"/>
          <w:lang w:bidi="en-US"/>
        </w:rPr>
        <w:t>营业执照；</w:t>
      </w:r>
    </w:p>
    <w:p>
      <w:pPr>
        <w:widowControl/>
        <w:numPr>
          <w:ilvl w:val="0"/>
          <w:numId w:val="1"/>
        </w:numPr>
        <w:spacing w:line="360" w:lineRule="auto"/>
        <w:rPr>
          <w:kern w:val="0"/>
          <w:sz w:val="24"/>
          <w:szCs w:val="21"/>
          <w:lang w:bidi="en-US"/>
        </w:rPr>
      </w:pPr>
      <w:r>
        <w:rPr>
          <w:rFonts w:hint="eastAsia"/>
          <w:kern w:val="0"/>
          <w:sz w:val="24"/>
          <w:szCs w:val="21"/>
          <w:lang w:bidi="en-US"/>
        </w:rPr>
        <w:t>资质证书；</w:t>
      </w:r>
    </w:p>
    <w:p>
      <w:pPr>
        <w:widowControl/>
        <w:numPr>
          <w:ilvl w:val="0"/>
          <w:numId w:val="1"/>
        </w:numPr>
        <w:spacing w:line="360" w:lineRule="auto"/>
        <w:rPr>
          <w:kern w:val="0"/>
          <w:sz w:val="24"/>
          <w:szCs w:val="21"/>
          <w:lang w:bidi="en-US"/>
        </w:rPr>
      </w:pPr>
      <w:r>
        <w:rPr>
          <w:rFonts w:hint="eastAsia"/>
          <w:kern w:val="0"/>
          <w:sz w:val="24"/>
          <w:szCs w:val="21"/>
          <w:lang w:bidi="en-US"/>
        </w:rPr>
        <w:t>安全生产许可证；</w:t>
      </w:r>
    </w:p>
    <w:p>
      <w:pPr>
        <w:widowControl/>
        <w:numPr>
          <w:ilvl w:val="0"/>
          <w:numId w:val="1"/>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pPr>
        <w:widowControl/>
        <w:numPr>
          <w:ilvl w:val="0"/>
          <w:numId w:val="1"/>
        </w:numPr>
        <w:spacing w:line="360" w:lineRule="auto"/>
        <w:jc w:val="left"/>
        <w:rPr>
          <w:kern w:val="0"/>
          <w:sz w:val="24"/>
          <w:szCs w:val="21"/>
          <w:lang w:bidi="en-US"/>
        </w:rPr>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2022-2024年，提供最近三年报告）企业财务审计报告扫描件附后，</w:t>
      </w:r>
      <w:r>
        <w:rPr>
          <w:rFonts w:hint="eastAsia" w:ascii="宋体" w:hAnsi="宋体"/>
          <w:kern w:val="0"/>
          <w:sz w:val="24"/>
          <w:lang w:bidi="en-US"/>
        </w:rPr>
        <w:t>还应包含企业最近半年完税证明、信用证明材料（中国人民银行征信报告）；年度纳税信用评价信息；企业对外担保说明</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7" w:type="dxa"/>
            <w:gridSpan w:val="4"/>
            <w:vAlign w:val="center"/>
          </w:tcPr>
          <w:p>
            <w:pPr>
              <w:spacing w:line="360" w:lineRule="auto"/>
              <w:jc w:val="center"/>
              <w:rPr>
                <w:rStyle w:val="58"/>
                <w:rFonts w:ascii="宋体"/>
              </w:rPr>
            </w:pPr>
            <w:r>
              <w:rPr>
                <w:rStyle w:val="58"/>
                <w:rFonts w:hint="eastAsia" w:ascii="宋体"/>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注册资金（万元）</w:t>
            </w:r>
          </w:p>
        </w:tc>
        <w:tc>
          <w:tcPr>
            <w:tcW w:w="6861" w:type="dxa"/>
            <w:gridSpan w:val="3"/>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实收资金（万元）</w:t>
            </w:r>
          </w:p>
        </w:tc>
        <w:tc>
          <w:tcPr>
            <w:tcW w:w="6861" w:type="dxa"/>
            <w:gridSpan w:val="3"/>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年度资产情况</w:t>
            </w:r>
          </w:p>
        </w:tc>
        <w:tc>
          <w:tcPr>
            <w:tcW w:w="2295" w:type="dxa"/>
          </w:tcPr>
          <w:p>
            <w:pPr>
              <w:spacing w:line="360" w:lineRule="auto"/>
              <w:jc w:val="center"/>
              <w:rPr>
                <w:rStyle w:val="58"/>
                <w:rFonts w:ascii="宋体"/>
              </w:rPr>
            </w:pPr>
            <w:r>
              <w:rPr>
                <w:rStyle w:val="58"/>
                <w:rFonts w:hint="eastAsia" w:ascii="宋体"/>
              </w:rPr>
              <w:t>2022年</w:t>
            </w:r>
          </w:p>
        </w:tc>
        <w:tc>
          <w:tcPr>
            <w:tcW w:w="2283" w:type="dxa"/>
          </w:tcPr>
          <w:p>
            <w:pPr>
              <w:spacing w:line="360" w:lineRule="auto"/>
              <w:jc w:val="center"/>
              <w:rPr>
                <w:rStyle w:val="58"/>
                <w:rFonts w:ascii="宋体"/>
              </w:rPr>
            </w:pPr>
            <w:r>
              <w:rPr>
                <w:rStyle w:val="58"/>
                <w:rFonts w:hint="eastAsia" w:ascii="宋体"/>
              </w:rPr>
              <w:t>2023年</w:t>
            </w:r>
          </w:p>
        </w:tc>
        <w:tc>
          <w:tcPr>
            <w:tcW w:w="2283" w:type="dxa"/>
          </w:tcPr>
          <w:p>
            <w:pPr>
              <w:spacing w:line="360" w:lineRule="auto"/>
              <w:jc w:val="center"/>
              <w:rPr>
                <w:rStyle w:val="58"/>
                <w:rFonts w:ascii="宋体"/>
              </w:rPr>
            </w:pPr>
            <w:r>
              <w:rPr>
                <w:rStyle w:val="58"/>
                <w:rFonts w:hint="eastAsia" w:ascii="宋体"/>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26" w:type="dxa"/>
          </w:tcPr>
          <w:p>
            <w:pPr>
              <w:spacing w:line="360" w:lineRule="auto"/>
              <w:jc w:val="center"/>
              <w:rPr>
                <w:rStyle w:val="58"/>
                <w:rFonts w:ascii="宋体"/>
              </w:rPr>
            </w:pPr>
            <w:r>
              <w:rPr>
                <w:rStyle w:val="58"/>
                <w:rFonts w:hint="eastAsia" w:ascii="宋体"/>
              </w:rPr>
              <w:t>流动资产（万元）</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非流动资产（万元）</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营业收入（万元）</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年底资产总值（万元）</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年底负债总值（万元）</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资产负债率（</w:t>
            </w:r>
            <w:r>
              <w:rPr>
                <w:rStyle w:val="58"/>
                <w:rFonts w:hint="eastAsia" w:ascii="宋体"/>
                <w:u w:val="single"/>
              </w:rPr>
              <w:t xml:space="preserve">  </w:t>
            </w:r>
            <w:r>
              <w:rPr>
                <w:rStyle w:val="58"/>
                <w:rFonts w:hint="eastAsia" w:ascii="宋体"/>
              </w:rPr>
              <w:t>%）</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58"/>
                <w:rFonts w:ascii="宋体"/>
              </w:rPr>
            </w:pPr>
            <w:r>
              <w:rPr>
                <w:rStyle w:val="58"/>
                <w:rFonts w:hint="eastAsia" w:ascii="宋体"/>
              </w:rPr>
              <w:t>净利润（万元）</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26" w:type="dxa"/>
          </w:tcPr>
          <w:p>
            <w:pPr>
              <w:spacing w:line="360" w:lineRule="auto"/>
              <w:jc w:val="center"/>
              <w:rPr>
                <w:rStyle w:val="58"/>
                <w:rFonts w:ascii="宋体"/>
              </w:rPr>
            </w:pPr>
            <w:r>
              <w:rPr>
                <w:rStyle w:val="58"/>
                <w:rFonts w:hint="eastAsia" w:ascii="宋体"/>
              </w:rPr>
              <w:t>未分配利润（万元）</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Fonts w:ascii="宋体"/>
              </w:rPr>
            </w:pPr>
            <w:r>
              <w:rPr>
                <w:rStyle w:val="58"/>
                <w:rFonts w:hint="eastAsia" w:ascii="宋体"/>
              </w:rPr>
              <w:t>营运资金</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Fonts w:ascii="宋体"/>
              </w:rPr>
            </w:pPr>
            <w:r>
              <w:rPr>
                <w:rStyle w:val="58"/>
                <w:rFonts w:hint="eastAsia" w:ascii="宋体"/>
                <w:sz w:val="20"/>
                <w:szCs w:val="20"/>
              </w:rPr>
              <w:t>（本年营业收入-上年营业收入）÷上年营业收入</w:t>
            </w:r>
          </w:p>
        </w:tc>
        <w:tc>
          <w:tcPr>
            <w:tcW w:w="2295"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c>
          <w:tcPr>
            <w:tcW w:w="2283" w:type="dxa"/>
          </w:tcPr>
          <w:p>
            <w:pPr>
              <w:spacing w:line="360" w:lineRule="auto"/>
              <w:jc w:val="center"/>
              <w:rPr>
                <w:rStyle w:val="58"/>
                <w:rFonts w:ascii="宋体"/>
              </w:rPr>
            </w:pPr>
          </w:p>
        </w:tc>
      </w:tr>
    </w:tbl>
    <w:p>
      <w:pPr>
        <w:widowControl/>
        <w:numPr>
          <w:ilvl w:val="0"/>
          <w:numId w:val="1"/>
        </w:numPr>
        <w:spacing w:line="360" w:lineRule="auto"/>
        <w:rPr>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pPr>
        <w:widowControl/>
        <w:numPr>
          <w:ilvl w:val="0"/>
          <w:numId w:val="1"/>
        </w:numPr>
        <w:spacing w:line="360" w:lineRule="auto"/>
        <w:rPr>
          <w:kern w:val="0"/>
          <w:sz w:val="24"/>
          <w:szCs w:val="21"/>
          <w:lang w:bidi="en-US"/>
        </w:rPr>
      </w:pPr>
      <w:r>
        <w:rPr>
          <w:rFonts w:hint="eastAsia"/>
          <w:kern w:val="0"/>
          <w:sz w:val="24"/>
          <w:szCs w:val="21"/>
          <w:lang w:bidi="en-US"/>
        </w:rPr>
        <w:t>拟派项目经理注册建造师证书证及有效的安全考核合格</w:t>
      </w:r>
      <w:r>
        <w:rPr>
          <w:kern w:val="0"/>
          <w:sz w:val="24"/>
          <w:szCs w:val="21"/>
          <w:lang w:bidi="en-US"/>
        </w:rPr>
        <w:t>B</w:t>
      </w:r>
      <w:r>
        <w:rPr>
          <w:rFonts w:hint="eastAsia"/>
          <w:kern w:val="0"/>
          <w:sz w:val="24"/>
          <w:szCs w:val="21"/>
          <w:lang w:bidi="en-US"/>
        </w:rPr>
        <w:t>证，项目经理的履历简介、从业业绩、近</w:t>
      </w:r>
      <w:r>
        <w:rPr>
          <w:kern w:val="0"/>
          <w:sz w:val="24"/>
          <w:szCs w:val="21"/>
          <w:lang w:bidi="en-US"/>
        </w:rPr>
        <w:t>6</w:t>
      </w:r>
      <w:r>
        <w:rPr>
          <w:rFonts w:hint="eastAsia"/>
          <w:kern w:val="0"/>
          <w:sz w:val="24"/>
          <w:szCs w:val="21"/>
          <w:lang w:bidi="en-US"/>
        </w:rPr>
        <w:t>个月社保缴纳证明；</w:t>
      </w:r>
    </w:p>
    <w:p>
      <w:pPr>
        <w:widowControl/>
        <w:numPr>
          <w:ilvl w:val="0"/>
          <w:numId w:val="1"/>
        </w:numPr>
        <w:spacing w:line="360" w:lineRule="auto"/>
        <w:rPr>
          <w:kern w:val="0"/>
          <w:sz w:val="24"/>
          <w:szCs w:val="21"/>
          <w:lang w:bidi="en-US"/>
        </w:rPr>
      </w:pPr>
      <w:r>
        <w:rPr>
          <w:kern w:val="0"/>
          <w:sz w:val="24"/>
          <w:szCs w:val="21"/>
          <w:lang w:bidi="en-US"/>
        </w:rPr>
        <w:t>2024年2月1</w:t>
      </w:r>
      <w:r>
        <w:rPr>
          <w:rFonts w:hint="eastAsia"/>
          <w:kern w:val="0"/>
          <w:sz w:val="24"/>
          <w:szCs w:val="21"/>
          <w:lang w:bidi="en-US"/>
        </w:rPr>
        <w:t>日至今类似项目业绩（合同额不低于</w:t>
      </w:r>
      <w:r>
        <w:rPr>
          <w:kern w:val="0"/>
          <w:sz w:val="24"/>
          <w:szCs w:val="21"/>
          <w:lang w:bidi="en-US"/>
        </w:rPr>
        <w:t>50</w:t>
      </w:r>
      <w:r>
        <w:rPr>
          <w:rFonts w:hint="eastAsia"/>
          <w:kern w:val="0"/>
          <w:sz w:val="24"/>
          <w:szCs w:val="21"/>
          <w:lang w:bidi="en-US"/>
        </w:rPr>
        <w:t>万元），要求提供合同及验收报告（如有）原件扫描件，至少两份，能报尽报，填写</w:t>
      </w:r>
      <w:r>
        <w:rPr>
          <w:rFonts w:hint="eastAsia"/>
          <w:b/>
          <w:bCs/>
          <w:kern w:val="0"/>
          <w:sz w:val="24"/>
          <w:szCs w:val="21"/>
          <w:lang w:bidi="en-US"/>
        </w:rPr>
        <w:t>附件</w:t>
      </w:r>
      <w:r>
        <w:rPr>
          <w:b/>
          <w:bCs/>
          <w:kern w:val="0"/>
          <w:sz w:val="24"/>
          <w:szCs w:val="21"/>
          <w:lang w:bidi="en-US"/>
        </w:rPr>
        <w:t>2</w:t>
      </w:r>
      <w:r>
        <w:rPr>
          <w:rFonts w:hint="eastAsia"/>
          <w:kern w:val="0"/>
          <w:sz w:val="24"/>
          <w:szCs w:val="21"/>
          <w:lang w:bidi="en-US"/>
        </w:rPr>
        <w:t>；</w:t>
      </w:r>
    </w:p>
    <w:p>
      <w:pPr>
        <w:widowControl/>
        <w:numPr>
          <w:ilvl w:val="0"/>
          <w:numId w:val="1"/>
        </w:numPr>
        <w:spacing w:line="360" w:lineRule="auto"/>
        <w:rPr>
          <w:kern w:val="0"/>
          <w:sz w:val="24"/>
          <w:szCs w:val="21"/>
          <w:lang w:bidi="en-US"/>
        </w:rPr>
      </w:pPr>
      <w:r>
        <w:rPr>
          <w:rFonts w:hint="eastAsia"/>
          <w:kern w:val="0"/>
          <w:sz w:val="24"/>
          <w:szCs w:val="21"/>
          <w:lang w:bidi="en-US"/>
        </w:rPr>
        <w:t>唯一的法人授权委托书（</w:t>
      </w:r>
      <w:r>
        <w:rPr>
          <w:rFonts w:hint="eastAsia"/>
          <w:b/>
          <w:bCs/>
          <w:kern w:val="0"/>
          <w:sz w:val="24"/>
          <w:szCs w:val="21"/>
          <w:lang w:bidi="en-US"/>
        </w:rPr>
        <w:t>附件</w:t>
      </w:r>
      <w:r>
        <w:rPr>
          <w:b/>
          <w:bCs/>
          <w:kern w:val="0"/>
          <w:sz w:val="24"/>
          <w:szCs w:val="21"/>
          <w:lang w:bidi="en-US"/>
        </w:rPr>
        <w:t>3</w:t>
      </w:r>
      <w:r>
        <w:rPr>
          <w:rFonts w:hint="eastAsia"/>
          <w:kern w:val="0"/>
          <w:sz w:val="24"/>
          <w:szCs w:val="21"/>
          <w:lang w:bidi="en-US"/>
        </w:rPr>
        <w:t>）、授权人和被授权人身份证，及在本单位近</w:t>
      </w:r>
      <w:r>
        <w:rPr>
          <w:kern w:val="0"/>
          <w:sz w:val="24"/>
          <w:szCs w:val="21"/>
          <w:lang w:bidi="en-US"/>
        </w:rPr>
        <w:t>12</w:t>
      </w:r>
      <w:r>
        <w:rPr>
          <w:rFonts w:hint="eastAsia"/>
          <w:kern w:val="0"/>
          <w:sz w:val="24"/>
          <w:szCs w:val="21"/>
          <w:lang w:bidi="en-US"/>
        </w:rPr>
        <w:t>个月社保缴纳证明；</w:t>
      </w:r>
    </w:p>
    <w:p>
      <w:pPr>
        <w:widowControl/>
        <w:numPr>
          <w:ilvl w:val="0"/>
          <w:numId w:val="1"/>
        </w:numPr>
        <w:spacing w:line="360" w:lineRule="auto"/>
        <w:rPr>
          <w:kern w:val="0"/>
          <w:sz w:val="24"/>
          <w:szCs w:val="21"/>
          <w:lang w:bidi="en-US"/>
        </w:rPr>
      </w:pPr>
      <w:r>
        <w:rPr>
          <w:rFonts w:hint="eastAsia"/>
          <w:kern w:val="0"/>
          <w:sz w:val="24"/>
          <w:szCs w:val="21"/>
          <w:lang w:bidi="en-US"/>
        </w:rPr>
        <w:t>联系人、联系方式、电子邮箱。</w:t>
      </w:r>
    </w:p>
    <w:p>
      <w:pPr>
        <w:adjustRightInd w:val="0"/>
        <w:snapToGrid w:val="0"/>
        <w:spacing w:line="360" w:lineRule="auto"/>
        <w:ind w:firstLine="482" w:firstLineChars="200"/>
        <w:rPr>
          <w:rFonts w:ascii="宋体" w:cs="宋体"/>
          <w:b/>
          <w:bCs/>
          <w:kern w:val="0"/>
          <w:sz w:val="24"/>
          <w:u w:val="single"/>
          <w:lang w:bidi="en-US"/>
        </w:rPr>
      </w:pPr>
      <w:r>
        <w:rPr>
          <w:rFonts w:hint="eastAsia" w:ascii="宋体" w:cs="宋体"/>
          <w:b/>
          <w:bCs/>
          <w:kern w:val="0"/>
          <w:sz w:val="24"/>
          <w:highlight w:val="yellow"/>
          <w:u w:val="single"/>
          <w:lang w:bidi="en-US"/>
        </w:rPr>
        <w:t>以上报名资料均要加盖公章。</w:t>
      </w:r>
    </w:p>
    <w:p>
      <w:pPr>
        <w:adjustRightInd w:val="0"/>
        <w:snapToGrid w:val="0"/>
        <w:spacing w:line="360" w:lineRule="auto"/>
        <w:rPr>
          <w:rFonts w:ascii="宋体" w:cs="宋体"/>
          <w:b/>
          <w:bCs/>
          <w:kern w:val="0"/>
          <w:sz w:val="24"/>
          <w:shd w:val="pct10" w:color="auto" w:fill="FFFFFF"/>
          <w:lang w:bidi="en-US"/>
        </w:rPr>
      </w:pPr>
      <w:r>
        <w:rPr>
          <w:rFonts w:hint="eastAsia" w:ascii="宋体" w:cs="宋体"/>
          <w:b/>
          <w:bCs/>
          <w:kern w:val="0"/>
          <w:sz w:val="24"/>
          <w:shd w:val="pct10" w:color="auto" w:fill="FFFFFF"/>
          <w:lang w:bidi="en-US"/>
        </w:rPr>
        <w:t>注意：</w:t>
      </w:r>
    </w:p>
    <w:p>
      <w:pPr>
        <w:spacing w:line="360" w:lineRule="auto"/>
        <w:ind w:firstLine="482" w:firstLineChars="200"/>
        <w:rPr>
          <w:rFonts w:ascii="宋体" w:cs="宋体"/>
          <w:b/>
          <w:bCs/>
          <w:sz w:val="24"/>
        </w:rPr>
      </w:pPr>
      <w:r>
        <w:rPr>
          <w:rFonts w:hint="eastAsia" w:ascii="宋体" w:cs="宋体"/>
          <w:b/>
          <w:bCs/>
          <w:kern w:val="0"/>
          <w:sz w:val="24"/>
          <w:lang w:bidi="en-US"/>
        </w:rPr>
        <w:t>本项目实行资格预审，资质审查通过即为报名成功。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pPr>
        <w:spacing w:line="360" w:lineRule="auto"/>
        <w:ind w:firstLine="482" w:firstLineChars="200"/>
        <w:jc w:val="left"/>
        <w:rPr>
          <w:rFonts w:ascii="宋体" w:cs="宋体"/>
          <w:b/>
          <w:bCs/>
          <w:sz w:val="24"/>
        </w:rPr>
      </w:pPr>
      <w:r>
        <w:rPr>
          <w:rFonts w:hint="eastAsia" w:ascii="宋体" w:cs="宋体"/>
          <w:b/>
          <w:bCs/>
          <w:sz w:val="24"/>
        </w:rPr>
        <w:t>入围者通过重汽e采通平台接收电子版招标文件，具体发送时间另行通知。</w:t>
      </w:r>
    </w:p>
    <w:p>
      <w:pPr>
        <w:spacing w:line="360" w:lineRule="auto"/>
        <w:ind w:firstLine="482" w:firstLineChars="200"/>
        <w:jc w:val="left"/>
        <w:rPr>
          <w:rStyle w:val="45"/>
          <w:color w:val="C00000"/>
          <w:lang w:bidi="ar"/>
        </w:rPr>
      </w:pPr>
      <w:r>
        <w:rPr>
          <w:rFonts w:hint="eastAsia" w:ascii="宋体" w:cs="宋体"/>
          <w:b/>
          <w:bCs/>
          <w:sz w:val="24"/>
          <w:lang w:bidi="ar"/>
        </w:rPr>
        <w:t>报名同时请按照本公告附件</w:t>
      </w:r>
      <w:r>
        <w:rPr>
          <w:rFonts w:ascii="宋体" w:cs="宋体"/>
          <w:b/>
          <w:bCs/>
          <w:sz w:val="24"/>
          <w:lang w:bidi="ar"/>
        </w:rPr>
        <w:t>4</w:t>
      </w:r>
      <w:r>
        <w:rPr>
          <w:rFonts w:hint="eastAsia" w:ascii="宋体" w:cs="宋体"/>
          <w:b/>
          <w:bCs/>
          <w:sz w:val="24"/>
          <w:lang w:bidi="ar"/>
        </w:rPr>
        <w:t>《非生产供应商注册操作手册》及e采通首页《供应商用户手册》提示完成平台注册（网址：</w:t>
      </w:r>
      <w:r>
        <w:rPr>
          <w:sz w:val="24"/>
        </w:rPr>
        <w:t>http</w:t>
      </w:r>
      <w:r>
        <w:rPr>
          <w:rFonts w:hint="eastAsia"/>
          <w:sz w:val="24"/>
        </w:rPr>
        <w:t>s</w:t>
      </w:r>
      <w:r>
        <w:rPr>
          <w:sz w:val="24"/>
        </w:rPr>
        <w:t>://ecaitong.sinotruk.com:8012/#/login），注册时，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供货类别选择“工程建设-工程建设”；账号信息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pPr>
        <w:spacing w:line="360" w:lineRule="auto"/>
        <w:ind w:firstLine="482" w:firstLineChars="200"/>
        <w:jc w:val="left"/>
        <w:rPr>
          <w:rFonts w:ascii="宋体" w:cs="宋体"/>
          <w:b/>
          <w:bCs/>
          <w:sz w:val="24"/>
          <w:lang w:bidi="ar"/>
        </w:rPr>
      </w:pPr>
      <w:r>
        <w:rPr>
          <w:rFonts w:hint="eastAsia" w:ascii="宋体" w:cs="宋体"/>
          <w:b/>
          <w:bCs/>
          <w:sz w:val="24"/>
          <w:highlight w:val="yellow"/>
          <w:lang w:bidi="ar"/>
        </w:rPr>
        <w:t>e采通注册并</w:t>
      </w:r>
      <w:r>
        <w:rPr>
          <w:rFonts w:hint="eastAsia" w:ascii="宋体" w:cs="宋体"/>
          <w:b/>
          <w:bCs/>
          <w:sz w:val="24"/>
          <w:highlight w:val="yellow"/>
          <w:em w:val="dot"/>
          <w:lang w:bidi="ar"/>
        </w:rPr>
        <w:t>审核通过后</w:t>
      </w:r>
      <w:r>
        <w:rPr>
          <w:rFonts w:hint="eastAsia" w:ascii="宋体" w:cs="宋体"/>
          <w:b/>
          <w:bCs/>
          <w:sz w:val="24"/>
          <w:lang w:bidi="ar"/>
        </w:rPr>
        <w:t>方能参与本项目应标及后续投标，审核通过后请电话告知招标方联系人。</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4.2招标文件获取：另行通知。</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5．投标文件的递交</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5.1 投标文件递交的截止时间：（同投标截止时间，下同）详见招标文件。</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6．招标公告发布媒介</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本次公告在中国重型汽车集团有限公司网站上发布。</w:t>
      </w:r>
    </w:p>
    <w:p>
      <w:pPr>
        <w:widowControl/>
        <w:adjustRightInd w:val="0"/>
        <w:snapToGrid w:val="0"/>
        <w:spacing w:line="360" w:lineRule="auto"/>
        <w:jc w:val="left"/>
        <w:rPr>
          <w:rFonts w:ascii="宋体" w:hAnsi="宋体" w:cs="宋体"/>
          <w:b/>
          <w:bCs/>
          <w:kern w:val="0"/>
          <w:sz w:val="24"/>
          <w:lang w:bidi="en-US"/>
        </w:rPr>
      </w:pPr>
      <w:r>
        <w:rPr>
          <w:rFonts w:hint="eastAsia" w:ascii="宋体" w:hAnsi="宋体" w:cs="宋体"/>
          <w:b/>
          <w:bCs/>
          <w:kern w:val="0"/>
          <w:sz w:val="24"/>
          <w:lang w:bidi="en-US"/>
        </w:rPr>
        <w:t>7．联系方式</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招 标 人：中国重汽集团济南动力有限公司</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cs="宋体"/>
          <w:kern w:val="0"/>
          <w:sz w:val="24"/>
          <w:lang w:bidi="en-US"/>
        </w:rPr>
        <w:t>地</w:t>
      </w:r>
      <w:r>
        <w:rPr>
          <w:rFonts w:cs="宋体"/>
          <w:kern w:val="0"/>
          <w:sz w:val="24"/>
          <w:lang w:bidi="en-US"/>
        </w:rPr>
        <w:t xml:space="preserve">    </w:t>
      </w:r>
      <w:r>
        <w:rPr>
          <w:rFonts w:hint="eastAsia" w:cs="宋体"/>
          <w:kern w:val="0"/>
          <w:sz w:val="24"/>
          <w:lang w:bidi="en-US"/>
        </w:rPr>
        <w:t>址：</w:t>
      </w:r>
      <w:r>
        <w:rPr>
          <w:rFonts w:hint="eastAsia" w:ascii="宋体" w:hAnsi="宋体" w:cs="宋体"/>
          <w:kern w:val="0"/>
          <w:sz w:val="24"/>
          <w:lang w:bidi="en-US"/>
        </w:rPr>
        <w:t>济南市高新区华奥路777号重汽科技大厦</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联 系 人：</w:t>
      </w:r>
      <w:r>
        <w:rPr>
          <w:rFonts w:hint="eastAsia" w:ascii="宋体" w:hAnsi="宋体" w:cs="宋体"/>
          <w:kern w:val="0"/>
          <w:sz w:val="24"/>
          <w:lang w:val="en-US" w:eastAsia="zh-CN" w:bidi="en-US"/>
        </w:rPr>
        <w:t>侯老师</w:t>
      </w:r>
      <w:r>
        <w:rPr>
          <w:rFonts w:hint="eastAsia" w:ascii="宋体" w:hAnsi="宋体" w:cs="宋体"/>
          <w:kern w:val="0"/>
          <w:sz w:val="24"/>
          <w:lang w:bidi="en-US"/>
        </w:rPr>
        <w:t xml:space="preserve"> </w:t>
      </w:r>
      <w:r>
        <w:rPr>
          <w:rFonts w:ascii="宋体" w:hAnsi="宋体" w:cs="宋体"/>
          <w:kern w:val="0"/>
          <w:sz w:val="24"/>
          <w:lang w:bidi="en-US"/>
        </w:rPr>
        <w:t xml:space="preserve">   </w:t>
      </w:r>
    </w:p>
    <w:p>
      <w:pPr>
        <w:widowControl/>
        <w:adjustRightInd w:val="0"/>
        <w:snapToGrid w:val="0"/>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电    话：</w:t>
      </w:r>
      <w:r>
        <w:rPr>
          <w:rFonts w:hint="eastAsia" w:ascii="宋体" w:hAnsi="宋体" w:cs="宋体"/>
          <w:kern w:val="0"/>
          <w:sz w:val="24"/>
          <w:lang w:val="en-US" w:eastAsia="zh-CN" w:bidi="en-US"/>
        </w:rPr>
        <w:t>15269194886</w:t>
      </w:r>
      <w:r>
        <w:rPr>
          <w:rFonts w:ascii="宋体" w:hAnsi="宋体" w:cs="宋体"/>
          <w:kern w:val="0"/>
          <w:sz w:val="24"/>
          <w:lang w:bidi="en-US"/>
        </w:rPr>
        <w:t xml:space="preserve">     </w:t>
      </w:r>
    </w:p>
    <w:p>
      <w:pPr>
        <w:widowControl/>
        <w:spacing w:line="360" w:lineRule="auto"/>
        <w:ind w:firstLine="480" w:firstLineChars="200"/>
        <w:jc w:val="right"/>
        <w:rPr>
          <w:rFonts w:ascii="宋体" w:hAnsi="宋体"/>
          <w:kern w:val="0"/>
          <w:sz w:val="24"/>
          <w:szCs w:val="21"/>
          <w:lang w:bidi="en-US"/>
        </w:rPr>
      </w:pPr>
      <w:r>
        <w:rPr>
          <w:rFonts w:hint="eastAsia" w:ascii="宋体" w:hAnsi="宋体"/>
          <w:kern w:val="0"/>
          <w:sz w:val="24"/>
          <w:szCs w:val="21"/>
          <w:lang w:bidi="en-US"/>
        </w:rPr>
        <w:t>202</w:t>
      </w:r>
      <w:r>
        <w:rPr>
          <w:rFonts w:ascii="宋体" w:hAnsi="宋体"/>
          <w:kern w:val="0"/>
          <w:sz w:val="24"/>
          <w:szCs w:val="21"/>
          <w:lang w:bidi="en-US"/>
        </w:rPr>
        <w:t>6</w:t>
      </w:r>
      <w:r>
        <w:rPr>
          <w:rFonts w:hint="eastAsia" w:ascii="宋体" w:hAnsi="宋体"/>
          <w:kern w:val="0"/>
          <w:sz w:val="24"/>
          <w:szCs w:val="21"/>
          <w:lang w:bidi="en-US"/>
        </w:rPr>
        <w:t>年</w:t>
      </w:r>
      <w:r>
        <w:rPr>
          <w:rFonts w:ascii="宋体" w:hAnsi="宋体" w:cs="宋体"/>
          <w:kern w:val="0"/>
          <w:sz w:val="24"/>
          <w:lang w:bidi="en-US"/>
        </w:rPr>
        <w:t>2</w:t>
      </w:r>
      <w:r>
        <w:rPr>
          <w:rFonts w:hint="eastAsia" w:ascii="宋体" w:hAnsi="宋体"/>
          <w:kern w:val="0"/>
          <w:sz w:val="24"/>
          <w:szCs w:val="21"/>
          <w:lang w:bidi="en-US"/>
        </w:rPr>
        <w:t>月</w:t>
      </w:r>
      <w:r>
        <w:rPr>
          <w:rFonts w:ascii="宋体" w:hAnsi="宋体" w:cs="宋体"/>
          <w:kern w:val="0"/>
          <w:sz w:val="24"/>
          <w:lang w:bidi="en-US"/>
        </w:rPr>
        <w:t>12</w:t>
      </w:r>
      <w:r>
        <w:rPr>
          <w:rFonts w:hint="eastAsia" w:ascii="宋体" w:hAnsi="宋体"/>
          <w:kern w:val="0"/>
          <w:sz w:val="24"/>
          <w:szCs w:val="21"/>
          <w:lang w:bidi="en-US"/>
        </w:rPr>
        <w:t>日</w:t>
      </w:r>
    </w:p>
    <w:p>
      <w:pPr>
        <w:widowControl/>
        <w:spacing w:line="360" w:lineRule="auto"/>
        <w:ind w:firstLine="480" w:firstLineChars="200"/>
        <w:jc w:val="left"/>
        <w:rPr>
          <w:rFonts w:ascii="宋体" w:hAnsi="宋体"/>
          <w:kern w:val="0"/>
          <w:sz w:val="24"/>
          <w:szCs w:val="21"/>
          <w:lang w:bidi="en-US"/>
        </w:rPr>
      </w:pPr>
    </w:p>
    <w:p>
      <w:pPr>
        <w:widowControl/>
        <w:spacing w:line="500" w:lineRule="exact"/>
        <w:jc w:val="left"/>
        <w:rPr>
          <w:rFonts w:ascii="宋体" w:hAnsi="宋体"/>
          <w:kern w:val="0"/>
          <w:sz w:val="24"/>
          <w:szCs w:val="21"/>
          <w:lang w:bidi="en-US"/>
        </w:rPr>
      </w:pPr>
      <w:r>
        <w:rPr>
          <w:rFonts w:ascii="宋体" w:hAnsi="宋体"/>
          <w:kern w:val="0"/>
          <w:sz w:val="24"/>
          <w:szCs w:val="21"/>
          <w:lang w:bidi="en-US"/>
        </w:rPr>
        <w:br w:type="page"/>
      </w:r>
    </w:p>
    <w:p>
      <w:pPr>
        <w:rPr>
          <w:sz w:val="30"/>
          <w:szCs w:val="30"/>
        </w:rPr>
      </w:pPr>
      <w:r>
        <w:rPr>
          <w:rFonts w:hint="eastAsia"/>
          <w:sz w:val="30"/>
          <w:szCs w:val="30"/>
        </w:rPr>
        <w:t>附件</w:t>
      </w:r>
      <w:r>
        <w:rPr>
          <w:sz w:val="30"/>
          <w:szCs w:val="30"/>
        </w:rPr>
        <w:t>1</w:t>
      </w:r>
      <w:r>
        <w:rPr>
          <w:rFonts w:hint="eastAsia"/>
          <w:sz w:val="30"/>
          <w:szCs w:val="30"/>
        </w:rPr>
        <w:t>：投标信息明细表</w:t>
      </w:r>
    </w:p>
    <w:tbl>
      <w:tblPr>
        <w:tblStyle w:val="37"/>
        <w:tblW w:w="5000" w:type="pct"/>
        <w:tblInd w:w="0" w:type="dxa"/>
        <w:tblLayout w:type="autofit"/>
        <w:tblCellMar>
          <w:top w:w="0" w:type="dxa"/>
          <w:left w:w="108" w:type="dxa"/>
          <w:bottom w:w="0" w:type="dxa"/>
          <w:right w:w="108" w:type="dxa"/>
        </w:tblCellMar>
      </w:tblPr>
      <w:tblGrid>
        <w:gridCol w:w="416"/>
        <w:gridCol w:w="1006"/>
        <w:gridCol w:w="416"/>
        <w:gridCol w:w="439"/>
        <w:gridCol w:w="796"/>
        <w:gridCol w:w="845"/>
        <w:gridCol w:w="707"/>
        <w:gridCol w:w="559"/>
        <w:gridCol w:w="531"/>
        <w:gridCol w:w="482"/>
        <w:gridCol w:w="482"/>
        <w:gridCol w:w="816"/>
        <w:gridCol w:w="589"/>
        <w:gridCol w:w="501"/>
        <w:gridCol w:w="589"/>
        <w:gridCol w:w="473"/>
        <w:gridCol w:w="590"/>
        <w:gridCol w:w="445"/>
      </w:tblGrid>
      <w:tr>
        <w:tblPrEx>
          <w:tblCellMar>
            <w:top w:w="0" w:type="dxa"/>
            <w:left w:w="108" w:type="dxa"/>
            <w:bottom w:w="0" w:type="dxa"/>
            <w:right w:w="108" w:type="dxa"/>
          </w:tblCellMar>
        </w:tblPrEx>
        <w:trPr>
          <w:trHeight w:val="285"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单位名称</w:t>
            </w:r>
          </w:p>
        </w:tc>
        <w:tc>
          <w:tcPr>
            <w:tcW w:w="1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地区</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联系人</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联系方式</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FF0000"/>
                <w:kern w:val="0"/>
                <w:sz w:val="20"/>
                <w:szCs w:val="20"/>
                <w:lang w:bidi="ar"/>
              </w:rPr>
            </w:pPr>
            <w:r>
              <w:rPr>
                <w:rFonts w:hint="eastAsia" w:ascii="宋体" w:hAnsi="宋体" w:cs="宋体"/>
                <w:color w:val="FF0000"/>
                <w:kern w:val="0"/>
                <w:sz w:val="20"/>
                <w:szCs w:val="20"/>
                <w:lang w:bidi="ar"/>
              </w:rPr>
              <w:t>唯一指定</w:t>
            </w:r>
          </w:p>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邮箱</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注册资金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（≥500万）</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注册时间</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企业性质</w:t>
            </w:r>
          </w:p>
        </w:tc>
        <w:tc>
          <w:tcPr>
            <w:tcW w:w="236" w:type="pct"/>
            <w:vMerge w:val="restart"/>
            <w:tcBorders>
              <w:top w:val="single" w:color="000000" w:sz="4" w:space="0"/>
              <w:left w:val="single" w:color="000000" w:sz="4" w:space="0"/>
              <w:right w:val="single" w:color="000000" w:sz="4" w:space="0"/>
            </w:tcBorders>
            <w:shd w:val="clear" w:color="auto" w:fill="FFFFFF"/>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施工总承包资质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项目经理</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类似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业绩</w:t>
            </w:r>
          </w:p>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数量</w:t>
            </w:r>
          </w:p>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3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ascii="宋体" w:hAnsi="宋体" w:cs="宋体"/>
                <w:color w:val="000000"/>
                <w:kern w:val="0"/>
                <w:sz w:val="20"/>
                <w:szCs w:val="20"/>
                <w:lang w:bidi="ar"/>
              </w:rPr>
              <w:t>2</w:t>
            </w:r>
            <w:r>
              <w:rPr>
                <w:rFonts w:hint="eastAsia" w:ascii="宋体" w:hAnsi="宋体" w:cs="宋体"/>
                <w:color w:val="000000"/>
                <w:kern w:val="0"/>
                <w:sz w:val="20"/>
                <w:szCs w:val="20"/>
                <w:lang w:bidi="ar"/>
              </w:rPr>
              <w:t>年</w:t>
            </w:r>
          </w:p>
        </w:tc>
        <w:tc>
          <w:tcPr>
            <w:tcW w:w="51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ascii="宋体" w:hAnsi="宋体" w:cs="宋体"/>
                <w:color w:val="000000"/>
                <w:kern w:val="0"/>
                <w:sz w:val="20"/>
                <w:szCs w:val="20"/>
                <w:lang w:bidi="ar"/>
              </w:rPr>
              <w:t>3</w:t>
            </w:r>
            <w:r>
              <w:rPr>
                <w:rFonts w:hint="eastAsia" w:ascii="宋体" w:hAnsi="宋体" w:cs="宋体"/>
                <w:color w:val="000000"/>
                <w:kern w:val="0"/>
                <w:sz w:val="20"/>
                <w:szCs w:val="20"/>
                <w:lang w:bidi="ar"/>
              </w:rPr>
              <w:t>年</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ascii="宋体" w:hAnsi="宋体" w:cs="宋体"/>
                <w:color w:val="000000"/>
                <w:kern w:val="0"/>
                <w:sz w:val="20"/>
                <w:szCs w:val="20"/>
                <w:lang w:bidi="ar"/>
              </w:rPr>
              <w:t>4</w:t>
            </w:r>
            <w:r>
              <w:rPr>
                <w:rFonts w:hint="eastAsia" w:ascii="宋体" w:hAnsi="宋体" w:cs="宋体"/>
                <w:color w:val="000000"/>
                <w:kern w:val="0"/>
                <w:sz w:val="20"/>
                <w:szCs w:val="20"/>
                <w:lang w:bidi="ar"/>
              </w:rPr>
              <w:t>年</w:t>
            </w:r>
          </w:p>
        </w:tc>
      </w:tr>
      <w:tr>
        <w:tblPrEx>
          <w:tblCellMar>
            <w:top w:w="0" w:type="dxa"/>
            <w:left w:w="108" w:type="dxa"/>
            <w:bottom w:w="0" w:type="dxa"/>
            <w:right w:w="108" w:type="dxa"/>
          </w:tblCellMar>
        </w:tblPrEx>
        <w:trPr>
          <w:trHeight w:val="4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1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36" w:type="pct"/>
            <w:vMerge w:val="continue"/>
            <w:tcBorders>
              <w:left w:val="single" w:color="000000" w:sz="4" w:space="0"/>
              <w:bottom w:val="single" w:color="000000" w:sz="4" w:space="0"/>
              <w:right w:val="single" w:color="000000" w:sz="4" w:space="0"/>
            </w:tcBorders>
            <w:shd w:val="clear" w:color="auto" w:fill="FFFFFF"/>
          </w:tcPr>
          <w:p>
            <w:pPr>
              <w:rPr>
                <w:sz w:val="20"/>
                <w:szCs w:val="20"/>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r>
      <w:tr>
        <w:tblPrEx>
          <w:tblCellMar>
            <w:top w:w="0" w:type="dxa"/>
            <w:left w:w="108" w:type="dxa"/>
            <w:bottom w:w="0" w:type="dxa"/>
            <w:right w:w="108" w:type="dxa"/>
          </w:tblCellMar>
        </w:tblPrEx>
        <w:trPr>
          <w:trHeight w:val="64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r>
      <w:tr>
        <w:tblPrEx>
          <w:tblCellMar>
            <w:top w:w="0" w:type="dxa"/>
            <w:left w:w="108" w:type="dxa"/>
            <w:bottom w:w="0" w:type="dxa"/>
            <w:right w:w="108" w:type="dxa"/>
          </w:tblCellMar>
        </w:tblPrEx>
        <w:trPr>
          <w:trHeight w:val="694"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r>
      <w:tr>
        <w:tblPrEx>
          <w:tblCellMar>
            <w:top w:w="0" w:type="dxa"/>
            <w:left w:w="108" w:type="dxa"/>
            <w:bottom w:w="0" w:type="dxa"/>
            <w:right w:w="108" w:type="dxa"/>
          </w:tblCellMar>
        </w:tblPrEx>
        <w:trPr>
          <w:trHeight w:val="71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r>
    </w:tbl>
    <w:p>
      <w:pPr>
        <w:rPr>
          <w:rFonts w:ascii="宋体" w:hAnsi="宋体"/>
          <w:kern w:val="0"/>
          <w:sz w:val="24"/>
          <w:szCs w:val="21"/>
          <w:lang w:bidi="en-US"/>
        </w:rPr>
      </w:pPr>
    </w:p>
    <w:p>
      <w:pPr>
        <w:autoSpaceDE w:val="0"/>
        <w:autoSpaceDN w:val="0"/>
        <w:adjustRightInd w:val="0"/>
        <w:snapToGrid w:val="0"/>
        <w:spacing w:line="420" w:lineRule="exact"/>
        <w:jc w:val="left"/>
        <w:rPr>
          <w:rFonts w:ascii="宋体" w:cs="宋体"/>
          <w:b/>
          <w:bCs/>
          <w:sz w:val="24"/>
          <w:lang w:bidi="ar"/>
        </w:rPr>
      </w:pPr>
      <w:r>
        <w:rPr>
          <w:rFonts w:hint="eastAsia" w:ascii="宋体" w:cs="宋体"/>
          <w:b/>
          <w:bCs/>
          <w:sz w:val="24"/>
          <w:lang w:bidi="ar"/>
        </w:rPr>
        <w:t>注意：数据依据为报名单位提供的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sz w:val="24"/>
          <w:highlight w:val="yellow"/>
          <w:lang w:bidi="ar"/>
        </w:rPr>
        <w:t>e采通注册时未填报财务数据的，将无法提交应标资料并无法参加投标，请及时补充资料，详见后附说明</w:t>
      </w:r>
      <w:r>
        <w:rPr>
          <w:rFonts w:hint="eastAsia" w:ascii="宋体" w:cs="宋体"/>
          <w:b/>
          <w:bCs/>
          <w:sz w:val="24"/>
          <w:lang w:bidi="ar"/>
        </w:rPr>
        <w:t>。</w:t>
      </w:r>
    </w:p>
    <w:p>
      <w:pPr>
        <w:rPr>
          <w:rFonts w:ascii="宋体" w:hAnsi="宋体"/>
          <w:kern w:val="0"/>
          <w:sz w:val="24"/>
          <w:szCs w:val="21"/>
          <w:lang w:bidi="en-US"/>
        </w:rPr>
      </w:pPr>
      <w:r>
        <w:rPr>
          <w:rFonts w:ascii="宋体" w:hAnsi="宋体"/>
          <w:kern w:val="0"/>
          <w:sz w:val="24"/>
          <w:szCs w:val="21"/>
          <w:lang w:bidi="en-US"/>
        </w:rPr>
        <w:br w:type="page"/>
      </w:r>
    </w:p>
    <w:p>
      <w:pPr>
        <w:rPr>
          <w:sz w:val="30"/>
          <w:szCs w:val="30"/>
        </w:rPr>
      </w:pPr>
      <w:r>
        <w:rPr>
          <w:rFonts w:hint="eastAsia"/>
          <w:sz w:val="30"/>
          <w:szCs w:val="30"/>
        </w:rPr>
        <w:t>附件2:</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2090"/>
        <w:gridCol w:w="1049"/>
        <w:gridCol w:w="1049"/>
        <w:gridCol w:w="1674"/>
        <w:gridCol w:w="1674"/>
        <w:gridCol w:w="1257"/>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Borders>
              <w:top w:val="single" w:color="auto" w:sz="4" w:space="0"/>
              <w:left w:val="single" w:color="auto" w:sz="4" w:space="0"/>
              <w:bottom w:val="single" w:color="auto" w:sz="4" w:space="0"/>
              <w:right w:val="single" w:color="auto" w:sz="4" w:space="0"/>
            </w:tcBorders>
            <w:noWrap/>
          </w:tcPr>
          <w:p>
            <w:pPr>
              <w:autoSpaceDE w:val="0"/>
              <w:autoSpaceDN w:val="0"/>
              <w:jc w:val="center"/>
              <w:rPr>
                <w:b/>
                <w:bCs/>
                <w:sz w:val="30"/>
                <w:szCs w:val="30"/>
              </w:rPr>
            </w:pPr>
            <w:r>
              <w:rPr>
                <w:rFonts w:hint="eastAsia"/>
                <w:b/>
                <w:bCs/>
                <w:sz w:val="28"/>
                <w:szCs w:val="28"/>
              </w:rPr>
              <w:t>近两年</w:t>
            </w:r>
            <w:r>
              <w:rPr>
                <w:b/>
                <w:bCs/>
                <w:sz w:val="28"/>
                <w:szCs w:val="28"/>
                <w:u w:val="single"/>
              </w:rPr>
              <w:t>50</w:t>
            </w:r>
            <w:r>
              <w:rPr>
                <w:rFonts w:hint="eastAsia"/>
                <w:b/>
                <w:bCs/>
                <w:sz w:val="28"/>
                <w:szCs w:val="28"/>
              </w:rPr>
              <w:t>万元及以上的类似工业项目</w:t>
            </w:r>
            <w:r>
              <w:rPr>
                <w:b/>
                <w:bCs/>
                <w:sz w:val="28"/>
                <w:szCs w:val="28"/>
              </w:rPr>
              <w:t>业绩</w:t>
            </w:r>
            <w:r>
              <w:rPr>
                <w:rFonts w:hint="eastAsia"/>
                <w:b/>
                <w:bCs/>
                <w:sz w:val="28"/>
                <w:szCs w:val="28"/>
              </w:rPr>
              <w:t>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9"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序号</w:t>
            </w:r>
          </w:p>
        </w:tc>
        <w:tc>
          <w:tcPr>
            <w:tcW w:w="69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项目/合同</w:t>
            </w:r>
          </w:p>
          <w:p>
            <w:pPr>
              <w:autoSpaceDE w:val="0"/>
              <w:autoSpaceDN w:val="0"/>
              <w:jc w:val="center"/>
              <w:rPr>
                <w:sz w:val="24"/>
              </w:rPr>
            </w:pPr>
            <w:r>
              <w:rPr>
                <w:rFonts w:hint="eastAsia"/>
                <w:sz w:val="24"/>
              </w:rPr>
              <w:t>名称</w:t>
            </w:r>
          </w:p>
        </w:tc>
        <w:tc>
          <w:tcPr>
            <w:tcW w:w="736"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项目地点</w:t>
            </w:r>
          </w:p>
        </w:tc>
        <w:tc>
          <w:tcPr>
            <w:tcW w:w="699"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工程规模</w:t>
            </w:r>
          </w:p>
        </w:tc>
        <w:tc>
          <w:tcPr>
            <w:tcW w:w="698"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施工内容及范围</w:t>
            </w:r>
          </w:p>
        </w:tc>
        <w:tc>
          <w:tcPr>
            <w:tcW w:w="591"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合同额（万元）</w:t>
            </w:r>
          </w:p>
        </w:tc>
        <w:tc>
          <w:tcPr>
            <w:tcW w:w="681"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项目负责人</w:t>
            </w:r>
          </w:p>
        </w:tc>
        <w:tc>
          <w:tcPr>
            <w:tcW w:w="522"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是否已竣工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1</w:t>
            </w:r>
          </w:p>
        </w:tc>
        <w:tc>
          <w:tcPr>
            <w:tcW w:w="69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2</w:t>
            </w:r>
          </w:p>
        </w:tc>
        <w:tc>
          <w:tcPr>
            <w:tcW w:w="69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3</w:t>
            </w:r>
          </w:p>
        </w:tc>
        <w:tc>
          <w:tcPr>
            <w:tcW w:w="69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7" w:type="pct"/>
            <w:tcBorders>
              <w:top w:val="single" w:color="auto" w:sz="4" w:space="0"/>
              <w:left w:val="single" w:color="auto" w:sz="4" w:space="0"/>
              <w:bottom w:val="single" w:color="auto" w:sz="4" w:space="0"/>
              <w:right w:val="single" w:color="auto" w:sz="4" w:space="0"/>
            </w:tcBorders>
            <w:noWrap/>
            <w:vAlign w:val="center"/>
          </w:tcPr>
          <w:p>
            <w:pPr>
              <w:autoSpaceDE w:val="0"/>
              <w:autoSpaceDN w:val="0"/>
              <w:jc w:val="center"/>
              <w:rPr>
                <w:sz w:val="24"/>
              </w:rPr>
            </w:pPr>
            <w:r>
              <w:rPr>
                <w:rFonts w:hint="eastAsia"/>
                <w:sz w:val="24"/>
              </w:rPr>
              <w:t>4</w:t>
            </w:r>
          </w:p>
        </w:tc>
        <w:tc>
          <w:tcPr>
            <w:tcW w:w="69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37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r>
              <w:rPr>
                <w:rFonts w:hint="eastAsia"/>
                <w:sz w:val="24"/>
              </w:rPr>
              <w:t>......</w:t>
            </w:r>
          </w:p>
        </w:tc>
        <w:tc>
          <w:tcPr>
            <w:tcW w:w="69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377"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7" w:type="pct"/>
            <w:tcBorders>
              <w:top w:val="single" w:color="auto" w:sz="4" w:space="0"/>
              <w:left w:val="single" w:color="auto" w:sz="4" w:space="0"/>
              <w:bottom w:val="single" w:color="auto" w:sz="4" w:space="0"/>
              <w:right w:val="single" w:color="auto" w:sz="4" w:space="0"/>
            </w:tcBorders>
            <w:noWrap/>
            <w:vAlign w:val="center"/>
          </w:tcPr>
          <w:p>
            <w:pPr>
              <w:autoSpaceDE w:val="0"/>
              <w:autoSpaceDN w:val="0"/>
              <w:rPr>
                <w:sz w:val="24"/>
              </w:rPr>
            </w:pPr>
            <w:r>
              <w:rPr>
                <w:rFonts w:hint="eastAsia"/>
                <w:sz w:val="24"/>
              </w:rPr>
              <w:t>数量不限，能报尽报</w:t>
            </w:r>
          </w:p>
        </w:tc>
        <w:tc>
          <w:tcPr>
            <w:tcW w:w="736"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9"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98"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9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681"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c>
          <w:tcPr>
            <w:tcW w:w="522" w:type="pct"/>
            <w:tcBorders>
              <w:top w:val="single" w:color="auto" w:sz="4" w:space="0"/>
              <w:left w:val="single" w:color="auto" w:sz="4" w:space="0"/>
              <w:bottom w:val="single" w:color="auto" w:sz="4" w:space="0"/>
              <w:right w:val="single" w:color="auto" w:sz="4" w:space="0"/>
            </w:tcBorders>
            <w:noWrap/>
          </w:tcPr>
          <w:p>
            <w:pPr>
              <w:autoSpaceDE w:val="0"/>
              <w:autoSpaceDN w:val="0"/>
              <w:rPr>
                <w:sz w:val="24"/>
              </w:rPr>
            </w:pPr>
          </w:p>
        </w:tc>
      </w:tr>
    </w:tbl>
    <w:p>
      <w:pPr>
        <w:rPr>
          <w:rFonts w:ascii="宋体" w:hAnsi="宋体"/>
          <w:kern w:val="0"/>
          <w:sz w:val="24"/>
          <w:szCs w:val="21"/>
          <w:lang w:bidi="en-US"/>
        </w:rPr>
      </w:pPr>
    </w:p>
    <w:p>
      <w:pPr>
        <w:autoSpaceDE w:val="0"/>
        <w:autoSpaceDN w:val="0"/>
        <w:rPr>
          <w:sz w:val="30"/>
          <w:szCs w:val="30"/>
        </w:rPr>
      </w:pPr>
      <w:bookmarkStart w:id="20" w:name="_Toc136871075"/>
      <w:r>
        <w:rPr>
          <w:sz w:val="30"/>
          <w:szCs w:val="30"/>
        </w:rPr>
        <w:br w:type="page"/>
      </w:r>
    </w:p>
    <w:p>
      <w:pPr>
        <w:rPr>
          <w:rFonts w:ascii="宋体"/>
          <w:sz w:val="28"/>
          <w:szCs w:val="28"/>
        </w:rPr>
      </w:pPr>
      <w:r>
        <w:rPr>
          <w:rFonts w:hint="eastAsia"/>
          <w:sz w:val="30"/>
          <w:szCs w:val="30"/>
        </w:rPr>
        <w:t>附件</w:t>
      </w:r>
      <w:r>
        <w:rPr>
          <w:sz w:val="30"/>
          <w:szCs w:val="30"/>
        </w:rPr>
        <w:t>3</w:t>
      </w:r>
    </w:p>
    <w:bookmarkEnd w:id="20"/>
    <w:p>
      <w:pPr>
        <w:spacing w:line="360" w:lineRule="auto"/>
        <w:jc w:val="center"/>
        <w:rPr>
          <w:rFonts w:ascii="宋体" w:hAnsi="宋体"/>
          <w:b/>
          <w:sz w:val="32"/>
          <w:szCs w:val="32"/>
        </w:rPr>
      </w:pPr>
      <w:r>
        <w:rPr>
          <w:rFonts w:hint="eastAsia" w:ascii="宋体" w:hAnsi="宋体"/>
          <w:b/>
          <w:sz w:val="32"/>
          <w:szCs w:val="32"/>
        </w:rPr>
        <w:t>法人授权委托书</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7"/>
        <w:tblW w:w="5000" w:type="pct"/>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1068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5000" w:type="pct"/>
          </w:tcPr>
          <w:p>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pPr>
              <w:snapToGrid w:val="0"/>
              <w:spacing w:line="360" w:lineRule="auto"/>
              <w:ind w:firstLine="480"/>
              <w:rPr>
                <w:rFonts w:ascii="宋体" w:cs="宋体"/>
                <w:sz w:val="24"/>
              </w:rPr>
            </w:pPr>
          </w:p>
          <w:p>
            <w:pPr>
              <w:pStyle w:val="28"/>
            </w:pPr>
          </w:p>
          <w:p/>
          <w:p>
            <w:pPr>
              <w:pStyle w:val="28"/>
            </w:pPr>
          </w:p>
        </w:tc>
      </w:tr>
    </w:tbl>
    <w:p>
      <w:pPr>
        <w:snapToGrid w:val="0"/>
        <w:spacing w:line="360" w:lineRule="auto"/>
        <w:rPr>
          <w:rFonts w:ascii="宋体" w:cs="宋体"/>
          <w:sz w:val="24"/>
        </w:rPr>
      </w:pPr>
    </w:p>
    <w:p>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pPr>
        <w:snapToGrid w:val="0"/>
        <w:spacing w:line="360" w:lineRule="auto"/>
        <w:ind w:firstLine="4920" w:firstLineChars="2050"/>
        <w:rPr>
          <w:rFonts w:ascii="宋体" w:cs="宋体"/>
          <w:sz w:val="24"/>
        </w:rPr>
      </w:pPr>
    </w:p>
    <w:p>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法定代表人（签字或盖章）：</w:t>
      </w:r>
    </w:p>
    <w:p>
      <w:pPr>
        <w:tabs>
          <w:tab w:val="left" w:pos="4395"/>
        </w:tabs>
        <w:snapToGrid w:val="0"/>
        <w:spacing w:line="360" w:lineRule="auto"/>
        <w:ind w:right="240" w:firstLine="4320" w:firstLineChars="1800"/>
        <w:jc w:val="left"/>
        <w:rPr>
          <w:rFonts w:ascii="宋体" w:cs="宋体"/>
          <w:sz w:val="24"/>
        </w:rPr>
      </w:pPr>
      <w:r>
        <w:rPr>
          <w:rFonts w:hint="eastAsia" w:ascii="宋体" w:cs="宋体"/>
          <w:sz w:val="24"/>
        </w:rPr>
        <w:t>日期：    年   月   日</w:t>
      </w:r>
    </w:p>
    <w:p>
      <w:pPr>
        <w:pStyle w:val="2"/>
        <w:ind w:left="420" w:firstLine="420"/>
      </w:pPr>
    </w:p>
    <w:p>
      <w:pPr>
        <w:pStyle w:val="4"/>
        <w:ind w:left="420"/>
      </w:pPr>
      <w:r>
        <w:br w:type="page"/>
      </w:r>
    </w:p>
    <w:p>
      <w:pPr>
        <w:rPr>
          <w:sz w:val="30"/>
          <w:szCs w:val="30"/>
        </w:rPr>
      </w:pPr>
      <w:r>
        <w:rPr>
          <w:rFonts w:hint="eastAsia"/>
          <w:sz w:val="30"/>
          <w:szCs w:val="30"/>
        </w:rPr>
        <w:t>附件</w:t>
      </w:r>
      <w:r>
        <w:rPr>
          <w:sz w:val="30"/>
          <w:szCs w:val="30"/>
        </w:rPr>
        <w:t>4</w:t>
      </w:r>
      <w:r>
        <w:rPr>
          <w:rFonts w:hint="eastAsia"/>
          <w:sz w:val="30"/>
          <w:szCs w:val="30"/>
        </w:rPr>
        <w:t>:</w:t>
      </w:r>
    </w:p>
    <w:p>
      <w:pPr>
        <w:jc w:val="center"/>
        <w:rPr>
          <w:b/>
          <w:bCs/>
          <w:sz w:val="30"/>
          <w:szCs w:val="30"/>
        </w:rPr>
      </w:pPr>
      <w:bookmarkStart w:id="21" w:name="_Toc6557"/>
      <w:bookmarkStart w:id="22" w:name="_Toc9534"/>
      <w:bookmarkStart w:id="23" w:name="_Toc25980"/>
      <w:bookmarkStart w:id="24" w:name="_Toc3889"/>
      <w:bookmarkStart w:id="25" w:name="_Toc20729"/>
      <w:r>
        <w:rPr>
          <w:rFonts w:hint="eastAsia"/>
          <w:b/>
          <w:bCs/>
          <w:sz w:val="30"/>
          <w:szCs w:val="30"/>
        </w:rPr>
        <w:t>非生产供应商注册操作手册</w:t>
      </w:r>
      <w:bookmarkEnd w:id="21"/>
      <w:bookmarkEnd w:id="22"/>
      <w:bookmarkEnd w:id="23"/>
      <w:bookmarkEnd w:id="24"/>
      <w:bookmarkEnd w:id="25"/>
    </w:p>
    <w:p>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rPr>
          <w:rFonts w:ascii="宋体" w:cs="宋体"/>
          <w:b/>
          <w:bCs/>
          <w:color w:val="C00000"/>
          <w:lang w:bidi="ar"/>
        </w:rPr>
      </w:pPr>
    </w:p>
    <w:p>
      <w:pPr>
        <w:rPr>
          <w:rFonts w:ascii="宋体" w:cs="宋体"/>
          <w:b/>
          <w:bCs/>
          <w:color w:val="C00000"/>
          <w:lang w:bidi="ar"/>
        </w:rPr>
      </w:pPr>
    </w:p>
    <w:p>
      <w:pPr>
        <w:rPr>
          <w:rFonts w:ascii="宋体" w:cs="宋体"/>
          <w:b/>
          <w:bCs/>
          <w:sz w:val="32"/>
          <w:szCs w:val="40"/>
          <w:highlight w:val="yellow"/>
        </w:rPr>
      </w:pPr>
      <w:r>
        <w:rPr>
          <w:rFonts w:hint="eastAsia" w:ascii="宋体" w:cs="宋体"/>
          <w:b/>
          <w:bCs/>
          <w:sz w:val="32"/>
          <w:szCs w:val="40"/>
          <w:highlight w:val="yellow"/>
          <w:lang w:bidi="ar"/>
        </w:rPr>
        <w:t>供应商注册</w:t>
      </w:r>
    </w:p>
    <w:p>
      <w:pPr>
        <w:rPr>
          <w:rFonts w:ascii="宋体" w:cs="宋体"/>
          <w:b/>
          <w:bCs/>
          <w:color w:val="C00000"/>
        </w:rPr>
      </w:pPr>
      <w:r>
        <w:rPr>
          <w:rFonts w:hint="eastAsia" w:ascii="宋体" w:cs="宋体"/>
          <w:b/>
          <w:bCs/>
          <w:color w:val="C00000"/>
          <w:lang w:bidi="ar"/>
        </w:rPr>
        <w:t>归口部门选“技术改造部”</w:t>
      </w:r>
    </w:p>
    <w:p>
      <w:r>
        <w:rPr>
          <w:rFonts w:hint="eastAsia" w:ascii="宋体" w:cs="宋体"/>
          <w:color w:val="000000"/>
          <w:lang w:bidi="ar"/>
        </w:rPr>
        <w:t>浏览器中输入地址</w:t>
      </w:r>
      <w:r>
        <w:rPr>
          <w:rFonts w:ascii="Calibri" w:hAnsi="Calibri" w:eastAsia="Calibri" w:cs="Calibri"/>
          <w:color w:val="000000"/>
          <w:lang w:bidi="ar"/>
        </w:rPr>
        <w:t>;</w:t>
      </w:r>
    </w:p>
    <w:p>
      <w:r>
        <w:fldChar w:fldCharType="begin"/>
      </w:r>
      <w:r>
        <w:instrText xml:space="preserve"> HYPERLINK "http://ecaitong.sinotruk.com:8012/" \l "/login normalLink /tdkey d38o9f /tdfe -10 /tdfu http:/ecaitong.sinotruk.com:8012/#/login /tdlt inline" </w:instrText>
      </w:r>
      <w:r>
        <w:fldChar w:fldCharType="separate"/>
      </w:r>
      <w:r>
        <w:rPr>
          <w:rStyle w:val="45"/>
        </w:rPr>
        <w:t>http</w:t>
      </w:r>
      <w:r>
        <w:rPr>
          <w:rStyle w:val="45"/>
          <w:rFonts w:hint="eastAsia"/>
        </w:rPr>
        <w:t>s</w:t>
      </w:r>
      <w:r>
        <w:rPr>
          <w:rStyle w:val="45"/>
        </w:rPr>
        <w:t>://ecaitong.sinotruk.com:8012/#/login</w:t>
      </w:r>
      <w:r>
        <w:rPr>
          <w:rStyle w:val="45"/>
        </w:rPr>
        <w:fldChar w:fldCharType="end"/>
      </w:r>
    </w:p>
    <w:p>
      <w:pPr>
        <w:numPr>
          <w:ilvl w:val="0"/>
          <w:numId w:val="2"/>
        </w:numPr>
        <w:rPr>
          <w:rFonts w:ascii="宋体" w:cs="宋体"/>
          <w:color w:val="000000"/>
          <w:lang w:bidi="ar"/>
        </w:rPr>
      </w:pPr>
      <w:r>
        <w:rPr>
          <w:rFonts w:hint="eastAsia" w:ascii="宋体" w:cs="宋体"/>
          <w:color w:val="000000"/>
          <w:lang w:bidi="ar"/>
        </w:rPr>
        <w:t>点击立即注册</w:t>
      </w:r>
    </w:p>
    <w:p>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pPr>
        <w:snapToGrid w:val="0"/>
        <w:spacing w:line="312" w:lineRule="auto"/>
      </w:pPr>
      <w:r>
        <w:rPr>
          <w:rFonts w:ascii="宋体" w:hAnsi="宋体" w:cs="宋体"/>
          <w:sz w:val="24"/>
        </w:rPr>
        <w:drawing>
          <wp:inline distT="0" distB="0" distL="114300" distR="114300">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21"/>
                    <a:stretch>
                      <a:fillRect/>
                    </a:stretch>
                  </pic:blipFill>
                  <pic:spPr>
                    <a:xfrm>
                      <a:off x="0" y="0"/>
                      <a:ext cx="5605145" cy="2578735"/>
                    </a:xfrm>
                    <a:prstGeom prst="rect">
                      <a:avLst/>
                    </a:prstGeom>
                    <a:noFill/>
                    <a:ln w="9525">
                      <a:noFill/>
                    </a:ln>
                  </pic:spPr>
                </pic:pic>
              </a:graphicData>
            </a:graphic>
          </wp:inline>
        </w:drawing>
      </w:r>
    </w:p>
    <w:p>
      <w:r>
        <w:rPr>
          <w:rFonts w:ascii="Calibri" w:hAnsi="Calibri" w:eastAsia="Calibri" w:cs="Calibri"/>
          <w:color w:val="000000"/>
          <w:lang w:bidi="ar"/>
        </w:rPr>
        <w:t xml:space="preserve">2.     </w:t>
      </w:r>
      <w:r>
        <w:rPr>
          <w:rFonts w:hint="eastAsia" w:ascii="宋体" w:cs="宋体"/>
          <w:color w:val="000000"/>
          <w:lang w:bidi="ar"/>
        </w:rPr>
        <w:t>填写手机号码（没有注册过的）</w:t>
      </w:r>
    </w:p>
    <w:p>
      <w:pPr>
        <w:snapToGrid w:val="0"/>
        <w:spacing w:line="312" w:lineRule="auto"/>
      </w:pPr>
      <w:r>
        <w:drawing>
          <wp:inline distT="0" distB="0" distL="114300" distR="114300">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22"/>
                    <a:stretch>
                      <a:fillRect/>
                    </a:stretch>
                  </pic:blipFill>
                  <pic:spPr>
                    <a:xfrm>
                      <a:off x="0" y="0"/>
                      <a:ext cx="5758180" cy="2765425"/>
                    </a:xfrm>
                    <a:prstGeom prst="rect">
                      <a:avLst/>
                    </a:prstGeom>
                    <a:noFill/>
                    <a:ln>
                      <a:noFill/>
                    </a:ln>
                  </pic:spPr>
                </pic:pic>
              </a:graphicData>
            </a:graphic>
          </wp:inline>
        </w:drawing>
      </w:r>
    </w:p>
    <w:p>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pPr>
        <w:snapToGrid w:val="0"/>
        <w:spacing w:line="312" w:lineRule="auto"/>
      </w:pPr>
      <w:r>
        <w:drawing>
          <wp:inline distT="0" distB="0" distL="114300" distR="114300">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23"/>
                    <a:stretch>
                      <a:fillRect/>
                    </a:stretch>
                  </pic:blipFill>
                  <pic:spPr>
                    <a:xfrm>
                      <a:off x="0" y="0"/>
                      <a:ext cx="5760085" cy="2867025"/>
                    </a:xfrm>
                    <a:prstGeom prst="rect">
                      <a:avLst/>
                    </a:prstGeom>
                    <a:noFill/>
                    <a:ln>
                      <a:noFill/>
                    </a:ln>
                  </pic:spPr>
                </pic:pic>
              </a:graphicData>
            </a:graphic>
          </wp:inline>
        </w:drawing>
      </w:r>
    </w:p>
    <w:p>
      <w:r>
        <w:rPr>
          <w:rFonts w:ascii="Calibri" w:hAnsi="Calibri" w:eastAsia="Calibri" w:cs="Calibri"/>
          <w:color w:val="000000"/>
          <w:lang w:bidi="ar"/>
        </w:rPr>
        <w:t xml:space="preserve">4.     </w:t>
      </w:r>
      <w:r>
        <w:rPr>
          <w:rFonts w:hint="eastAsia" w:ascii="宋体" w:cs="宋体"/>
          <w:color w:val="000000"/>
          <w:lang w:bidi="ar"/>
        </w:rPr>
        <w:t>点击新增</w:t>
      </w:r>
    </w:p>
    <w:p>
      <w:pPr>
        <w:snapToGrid w:val="0"/>
        <w:spacing w:line="312" w:lineRule="auto"/>
      </w:pPr>
      <w:r>
        <w:drawing>
          <wp:inline distT="0" distB="0" distL="114300" distR="114300">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24"/>
                    <a:stretch>
                      <a:fillRect/>
                    </a:stretch>
                  </pic:blipFill>
                  <pic:spPr>
                    <a:xfrm>
                      <a:off x="0" y="0"/>
                      <a:ext cx="5758180" cy="2852420"/>
                    </a:xfrm>
                    <a:prstGeom prst="rect">
                      <a:avLst/>
                    </a:prstGeom>
                    <a:noFill/>
                    <a:ln>
                      <a:noFill/>
                    </a:ln>
                  </pic:spPr>
                </pic:pic>
              </a:graphicData>
            </a:graphic>
          </wp:inline>
        </w:drawing>
      </w:r>
    </w:p>
    <w:p>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pPr>
        <w:rPr>
          <w:rFonts w:ascii="宋体" w:cs="宋体"/>
          <w:color w:val="000000"/>
        </w:rPr>
      </w:pPr>
      <w:r>
        <w:drawing>
          <wp:inline distT="0" distB="0" distL="114300" distR="114300">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25"/>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26"/>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3970"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26"/>
                    <a:stretch>
                      <a:fillRect/>
                    </a:stretch>
                  </pic:blipFill>
                  <pic:spPr>
                    <a:xfrm>
                      <a:off x="0" y="0"/>
                      <a:ext cx="5758180" cy="2817495"/>
                    </a:xfrm>
                    <a:prstGeom prst="rect">
                      <a:avLst/>
                    </a:prstGeom>
                    <a:noFill/>
                    <a:ln>
                      <a:noFill/>
                    </a:ln>
                  </pic:spPr>
                </pic:pic>
              </a:graphicData>
            </a:graphic>
          </wp:inline>
        </w:drawing>
      </w:r>
    </w:p>
    <w:p/>
    <w:p>
      <w:pPr>
        <w:snapToGrid w:val="0"/>
        <w:spacing w:line="312" w:lineRule="auto"/>
      </w:pPr>
    </w:p>
    <w:p/>
    <w:p>
      <w:pPr>
        <w:pStyle w:val="8"/>
        <w:widowControl/>
        <w:rPr>
          <w:rFonts w:ascii="Cambria" w:hAnsi="Cambria" w:cs="Cambria"/>
          <w:highlight w:val="yellow"/>
        </w:rPr>
      </w:pPr>
      <w:r>
        <w:rPr>
          <w:rFonts w:hint="eastAsia" w:ascii="宋体" w:cs="宋体"/>
          <w:highlight w:val="yellow"/>
        </w:rPr>
        <w:t>登录界面</w:t>
      </w:r>
    </w:p>
    <w:p>
      <w:pPr>
        <w:spacing w:line="360" w:lineRule="auto"/>
      </w:pPr>
      <w:r>
        <w:rPr>
          <w:lang w:bidi="ar"/>
        </w:rPr>
        <w:t>1</w:t>
      </w:r>
      <w:r>
        <w:rPr>
          <w:rFonts w:hint="eastAsia" w:ascii="宋体" w:cs="宋体"/>
          <w:lang w:bidi="ar"/>
        </w:rPr>
        <w:t>）功能简介</w:t>
      </w:r>
    </w:p>
    <w:p>
      <w:pPr>
        <w:spacing w:line="360" w:lineRule="auto"/>
      </w:pPr>
      <w:r>
        <w:rPr>
          <w:rFonts w:hint="eastAsia" w:ascii="宋体" w:cs="宋体"/>
          <w:lang w:bidi="ar"/>
        </w:rPr>
        <w:t>此页面用于进行账号登录，找回密码。</w:t>
      </w:r>
    </w:p>
    <w:p>
      <w:pPr>
        <w:numPr>
          <w:ilvl w:val="0"/>
          <w:numId w:val="3"/>
        </w:numPr>
        <w:spacing w:line="360" w:lineRule="auto"/>
      </w:pPr>
      <w:r>
        <w:rPr>
          <w:rFonts w:hint="eastAsia" w:ascii="宋体" w:cs="宋体"/>
          <w:lang w:bidi="ar"/>
        </w:rPr>
        <w:t>界面如下</w:t>
      </w:r>
    </w:p>
    <w:p>
      <w:r>
        <w:drawing>
          <wp:inline distT="0" distB="0" distL="114300" distR="114300">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27"/>
                    <a:stretch>
                      <a:fillRect/>
                    </a:stretch>
                  </pic:blipFill>
                  <pic:spPr>
                    <a:xfrm>
                      <a:off x="0" y="0"/>
                      <a:ext cx="5278120" cy="2660650"/>
                    </a:xfrm>
                    <a:prstGeom prst="rect">
                      <a:avLst/>
                    </a:prstGeom>
                    <a:noFill/>
                    <a:ln>
                      <a:noFill/>
                    </a:ln>
                  </pic:spPr>
                </pic:pic>
              </a:graphicData>
            </a:graphic>
          </wp:inline>
        </w:drawing>
      </w:r>
    </w:p>
    <w:p>
      <w:pPr>
        <w:pStyle w:val="159"/>
        <w:widowControl/>
        <w:ind w:firstLine="0" w:firstLineChars="0"/>
        <w:rPr>
          <w:kern w:val="2"/>
          <w:sz w:val="21"/>
          <w:szCs w:val="21"/>
        </w:rPr>
      </w:pPr>
      <w:r>
        <w:rPr>
          <w:kern w:val="2"/>
          <w:sz w:val="21"/>
          <w:szCs w:val="21"/>
        </w:rPr>
        <w:t>3</w:t>
      </w:r>
      <w:r>
        <w:rPr>
          <w:rFonts w:hint="eastAsia" w:ascii="宋体" w:cs="宋体"/>
          <w:kern w:val="2"/>
          <w:sz w:val="21"/>
          <w:szCs w:val="21"/>
        </w:rPr>
        <w:t>）页面规则</w:t>
      </w:r>
    </w:p>
    <w:p>
      <w:pPr>
        <w:pStyle w:val="159"/>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pPr>
        <w:pStyle w:val="8"/>
        <w:widowControl/>
        <w:spacing w:line="360" w:lineRule="auto"/>
        <w:rPr>
          <w:rFonts w:ascii="Cambria" w:hAnsi="Cambria" w:cs="Cambria"/>
          <w:highlight w:val="yellow"/>
        </w:rPr>
      </w:pPr>
      <w:r>
        <w:rPr>
          <w:rFonts w:hint="eastAsia" w:ascii="宋体" w:cs="宋体"/>
          <w:highlight w:val="yellow"/>
        </w:rPr>
        <w:t>供应商注册注意事项</w:t>
      </w:r>
    </w:p>
    <w:p>
      <w:pPr>
        <w:spacing w:line="360" w:lineRule="auto"/>
      </w:pPr>
      <w:r>
        <w:rPr>
          <w:lang w:bidi="ar"/>
        </w:rPr>
        <w:t>1</w:t>
      </w:r>
      <w:r>
        <w:rPr>
          <w:rFonts w:hint="eastAsia" w:ascii="宋体" w:cs="宋体"/>
          <w:lang w:bidi="ar"/>
        </w:rPr>
        <w:t>）功能简介</w:t>
      </w:r>
    </w:p>
    <w:p>
      <w:pPr>
        <w:spacing w:line="360" w:lineRule="auto"/>
      </w:pPr>
      <w:r>
        <w:rPr>
          <w:rFonts w:hint="eastAsia" w:ascii="宋体" w:cs="宋体"/>
          <w:lang w:bidi="ar"/>
        </w:rPr>
        <w:t>此页面用于进行供应商注册</w:t>
      </w:r>
    </w:p>
    <w:p>
      <w:pPr>
        <w:pStyle w:val="159"/>
        <w:widowControl/>
        <w:ind w:firstLine="0" w:firstLineChars="0"/>
        <w:rPr>
          <w:kern w:val="2"/>
          <w:sz w:val="21"/>
          <w:szCs w:val="21"/>
        </w:rPr>
      </w:pPr>
      <w:r>
        <w:rPr>
          <w:kern w:val="2"/>
          <w:sz w:val="21"/>
          <w:szCs w:val="21"/>
        </w:rPr>
        <w:t>2</w:t>
      </w:r>
      <w:r>
        <w:rPr>
          <w:rFonts w:hint="eastAsia" w:ascii="宋体" w:cs="宋体"/>
          <w:kern w:val="2"/>
          <w:sz w:val="21"/>
          <w:szCs w:val="21"/>
        </w:rPr>
        <w:t>）界面如下</w:t>
      </w:r>
    </w:p>
    <w:p>
      <w:r>
        <w:drawing>
          <wp:inline distT="0" distB="0" distL="114300" distR="114300">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28"/>
                    <a:stretch>
                      <a:fillRect/>
                    </a:stretch>
                  </pic:blipFill>
                  <pic:spPr>
                    <a:xfrm>
                      <a:off x="0" y="0"/>
                      <a:ext cx="5342255" cy="2485390"/>
                    </a:xfrm>
                    <a:prstGeom prst="rect">
                      <a:avLst/>
                    </a:prstGeom>
                    <a:noFill/>
                    <a:ln>
                      <a:noFill/>
                    </a:ln>
                  </pic:spPr>
                </pic:pic>
              </a:graphicData>
            </a:graphic>
          </wp:inline>
        </w:drawing>
      </w:r>
    </w:p>
    <w:p>
      <w:pPr>
        <w:pStyle w:val="159"/>
        <w:widowControl/>
        <w:tabs>
          <w:tab w:val="left" w:pos="0"/>
        </w:tabs>
        <w:ind w:firstLine="0" w:firstLineChars="0"/>
        <w:rPr>
          <w:kern w:val="2"/>
          <w:sz w:val="21"/>
          <w:szCs w:val="21"/>
        </w:rPr>
      </w:pPr>
      <w:r>
        <w:rPr>
          <w:rFonts w:hint="eastAsia" w:ascii="宋体" w:cs="宋体"/>
          <w:kern w:val="2"/>
          <w:sz w:val="21"/>
          <w:szCs w:val="21"/>
        </w:rPr>
        <w:t>3）页面规则</w:t>
      </w:r>
    </w:p>
    <w:p>
      <w:pPr>
        <w:pStyle w:val="159"/>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pPr>
        <w:spacing w:line="360" w:lineRule="auto"/>
      </w:pPr>
      <w:r>
        <w:rPr>
          <w:rFonts w:hint="eastAsia" w:ascii="宋体" w:cs="宋体"/>
          <w:lang w:bidi="ar"/>
        </w:rPr>
        <w:t>注册信息的字段：尽量把所有信息都填写完整，</w:t>
      </w:r>
    </w:p>
    <w:p>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pPr>
        <w:pStyle w:val="15"/>
        <w:widowControl/>
        <w:numPr>
          <w:ilvl w:val="0"/>
          <w:numId w:val="4"/>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pPr>
        <w:pStyle w:val="15"/>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pStyle w:val="15"/>
        <w:widowControl/>
        <w:tabs>
          <w:tab w:val="left" w:pos="312"/>
        </w:tabs>
        <w:spacing w:line="360" w:lineRule="auto"/>
        <w:ind w:firstLine="0"/>
        <w:jc w:val="left"/>
        <w:rPr>
          <w:rFonts w:ascii="宋体" w:cs="宋体"/>
          <w:kern w:val="2"/>
        </w:rPr>
      </w:pPr>
    </w:p>
    <w:p>
      <w:pPr>
        <w:pStyle w:val="8"/>
        <w:widowControl/>
        <w:rPr>
          <w:highlight w:val="yellow"/>
        </w:rPr>
      </w:pPr>
      <w:r>
        <w:rPr>
          <w:rFonts w:hint="eastAsia" w:eastAsia="黑体" w:cs="黑体"/>
          <w:highlight w:val="yellow"/>
        </w:rPr>
        <w:t>供应商应标</w:t>
      </w:r>
    </w:p>
    <w:p>
      <w:pPr>
        <w:rPr>
          <w:rFonts w:ascii="宋体" w:hAnsi="宋体" w:cs="宋体"/>
          <w:sz w:val="28"/>
          <w:szCs w:val="28"/>
        </w:rPr>
      </w:pPr>
      <w:r>
        <w:rPr>
          <w:rFonts w:hint="eastAsia" w:ascii="宋体" w:hAnsi="宋体" w:cs="宋体"/>
          <w:sz w:val="28"/>
          <w:szCs w:val="28"/>
          <w:lang w:bidi="ar"/>
        </w:rPr>
        <w:t>路径：招投标中心-非生产类招投标-供应商应标</w:t>
      </w:r>
    </w:p>
    <w:p>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r>
        <w:drawing>
          <wp:inline distT="0" distB="0" distL="114300" distR="114300">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5393690" cy="2126615"/>
                    </a:xfrm>
                    <a:prstGeom prst="rect">
                      <a:avLst/>
                    </a:prstGeom>
                    <a:noFill/>
                    <a:ln>
                      <a:noFill/>
                    </a:ln>
                  </pic:spPr>
                </pic:pic>
              </a:graphicData>
            </a:graphic>
          </wp:inline>
        </w:drawing>
      </w:r>
    </w:p>
    <w:p>
      <w:pPr>
        <w:rPr>
          <w:rFonts w:cs="宋体"/>
          <w:sz w:val="24"/>
          <w:lang w:bidi="ar"/>
        </w:rPr>
      </w:pPr>
      <w:r>
        <w:rPr>
          <w:rFonts w:hint="eastAsia" w:cs="宋体"/>
          <w:sz w:val="24"/>
          <w:lang w:bidi="ar"/>
        </w:rPr>
        <w:t>注意：</w:t>
      </w:r>
    </w:p>
    <w:p>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30"/>
                    <a:stretch>
                      <a:fillRect/>
                    </a:stretch>
                  </pic:blipFill>
                  <pic:spPr>
                    <a:xfrm>
                      <a:off x="0" y="0"/>
                      <a:ext cx="5426075" cy="2279015"/>
                    </a:xfrm>
                    <a:prstGeom prst="rect">
                      <a:avLst/>
                    </a:prstGeom>
                    <a:noFill/>
                    <a:ln>
                      <a:noFill/>
                    </a:ln>
                  </pic:spPr>
                </pic:pic>
              </a:graphicData>
            </a:graphic>
          </wp:inline>
        </w:drawing>
      </w:r>
    </w:p>
    <w:p>
      <w:pPr>
        <w:pStyle w:val="15"/>
        <w:widowControl/>
        <w:tabs>
          <w:tab w:val="left" w:pos="312"/>
        </w:tabs>
        <w:spacing w:line="360" w:lineRule="auto"/>
        <w:ind w:firstLine="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31"/>
                    <a:stretch>
                      <a:fillRect/>
                    </a:stretch>
                  </pic:blipFill>
                  <pic:spPr>
                    <a:xfrm>
                      <a:off x="0" y="0"/>
                      <a:ext cx="5331460" cy="2324100"/>
                    </a:xfrm>
                    <a:prstGeom prst="rect">
                      <a:avLst/>
                    </a:prstGeom>
                    <a:noFill/>
                    <a:ln>
                      <a:noFill/>
                    </a:ln>
                  </pic:spPr>
                </pic:pic>
              </a:graphicData>
            </a:graphic>
          </wp:inline>
        </w:drawing>
      </w:r>
    </w:p>
    <w:p>
      <w:pPr>
        <w:rPr>
          <w:rFonts w:ascii="宋体" w:hAnsi="宋体"/>
          <w:kern w:val="0"/>
          <w:sz w:val="24"/>
          <w:szCs w:val="21"/>
          <w:lang w:bidi="en-US"/>
        </w:rPr>
      </w:pPr>
    </w:p>
    <w:p>
      <w:pPr>
        <w:pStyle w:val="2"/>
        <w:ind w:left="420" w:firstLine="420"/>
      </w:pPr>
    </w:p>
    <w:p>
      <w:pPr>
        <w:pStyle w:val="4"/>
        <w:ind w:left="420"/>
      </w:pPr>
    </w:p>
    <w:p>
      <w:pPr>
        <w:rPr>
          <w:rFonts w:ascii="宋体" w:hAnsi="宋体"/>
          <w:kern w:val="0"/>
          <w:sz w:val="24"/>
          <w:szCs w:val="21"/>
          <w:lang w:bidi="en-US"/>
        </w:rPr>
      </w:pPr>
    </w:p>
    <w:p>
      <w:pPr>
        <w:pStyle w:val="19"/>
        <w:rPr>
          <w:rFonts w:ascii="宋体" w:hAnsi="宋体" w:eastAsia="宋体"/>
          <w:kern w:val="0"/>
          <w:sz w:val="24"/>
          <w:szCs w:val="21"/>
          <w:lang w:bidi="en-US"/>
        </w:rPr>
        <w:sectPr>
          <w:pgSz w:w="11906" w:h="16838"/>
          <w:pgMar w:top="720" w:right="720" w:bottom="720" w:left="720" w:header="227" w:footer="227" w:gutter="0"/>
          <w:cols w:space="720" w:num="1"/>
          <w:docGrid w:type="lines" w:linePitch="381" w:charSpace="0"/>
        </w:sectPr>
      </w:pPr>
    </w:p>
    <w:p>
      <w:pPr>
        <w:pStyle w:val="6"/>
        <w:jc w:val="center"/>
        <w:rPr>
          <w:i w:val="0"/>
          <w:iCs w:val="0"/>
          <w:sz w:val="32"/>
          <w:szCs w:val="32"/>
        </w:rPr>
      </w:pPr>
      <w:bookmarkStart w:id="26" w:name="_Toc220505559"/>
      <w:r>
        <w:rPr>
          <w:rFonts w:hint="eastAsia"/>
          <w:i w:val="0"/>
          <w:iCs w:val="0"/>
          <w:sz w:val="32"/>
          <w:szCs w:val="32"/>
        </w:rPr>
        <w:t xml:space="preserve">第二章  </w:t>
      </w:r>
      <w:r>
        <w:rPr>
          <w:i w:val="0"/>
          <w:iCs w:val="0"/>
          <w:sz w:val="32"/>
          <w:szCs w:val="32"/>
        </w:rPr>
        <w:t>投标人须知</w:t>
      </w:r>
      <w:bookmarkEnd w:id="7"/>
      <w:bookmarkEnd w:id="8"/>
      <w:bookmarkEnd w:id="26"/>
    </w:p>
    <w:p>
      <w:pPr>
        <w:pStyle w:val="7"/>
        <w:spacing w:before="0" w:after="0"/>
        <w:jc w:val="center"/>
        <w:rPr>
          <w:sz w:val="30"/>
          <w:szCs w:val="30"/>
        </w:rPr>
      </w:pPr>
      <w:bookmarkStart w:id="27" w:name="_Toc6745"/>
      <w:bookmarkStart w:id="28" w:name="_Toc17817322"/>
      <w:bookmarkStart w:id="29" w:name="_Toc220505560"/>
      <w:r>
        <w:rPr>
          <w:sz w:val="30"/>
          <w:szCs w:val="30"/>
        </w:rPr>
        <w:t>投标人须知前附表</w:t>
      </w:r>
      <w:bookmarkEnd w:id="27"/>
      <w:bookmarkEnd w:id="28"/>
      <w:bookmarkEnd w:id="29"/>
    </w:p>
    <w:p>
      <w:pPr>
        <w:spacing w:line="360" w:lineRule="auto"/>
        <w:ind w:firstLine="480" w:firstLineChars="200"/>
        <w:rPr>
          <w:rFonts w:ascii="宋体" w:hAnsi="宋体" w:cs="宋体"/>
          <w:sz w:val="24"/>
        </w:rPr>
      </w:pPr>
      <w:r>
        <w:rPr>
          <w:rFonts w:hint="eastAsia" w:ascii="宋体" w:hAnsi="宋体" w:cs="宋体"/>
          <w:sz w:val="24"/>
        </w:rPr>
        <w:t>本表是对“投标人须知”正文的具体补充和修改，如有不一致，以“前附表”为准。</w:t>
      </w:r>
    </w:p>
    <w:tbl>
      <w:tblPr>
        <w:tblStyle w:val="37"/>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913"/>
        <w:gridCol w:w="2177"/>
        <w:gridCol w:w="657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05" w:hRule="atLeast"/>
          <w:jc w:val="center"/>
        </w:trPr>
        <w:tc>
          <w:tcPr>
            <w:tcW w:w="472" w:type="pct"/>
            <w:tcBorders>
              <w:top w:val="single" w:color="000000" w:sz="12" w:space="0"/>
              <w:left w:val="single" w:color="000000" w:sz="12" w:space="0"/>
              <w:bottom w:val="single" w:color="000000" w:sz="6" w:space="0"/>
              <w:right w:val="single" w:color="000000" w:sz="6" w:space="0"/>
            </w:tcBorders>
            <w:vAlign w:val="center"/>
          </w:tcPr>
          <w:p>
            <w:pPr>
              <w:rPr>
                <w:rStyle w:val="58"/>
                <w:rFonts w:ascii="宋体" w:hAnsi="宋体"/>
                <w:b/>
                <w:szCs w:val="21"/>
              </w:rPr>
            </w:pPr>
            <w:r>
              <w:rPr>
                <w:rStyle w:val="58"/>
                <w:rFonts w:ascii="宋体" w:hAnsi="宋体"/>
                <w:b/>
                <w:szCs w:val="21"/>
              </w:rPr>
              <w:t>条款号</w:t>
            </w:r>
          </w:p>
        </w:tc>
        <w:tc>
          <w:tcPr>
            <w:tcW w:w="1126" w:type="pct"/>
            <w:tcBorders>
              <w:top w:val="single" w:color="000000" w:sz="12" w:space="0"/>
              <w:left w:val="single" w:color="000000" w:sz="6" w:space="0"/>
              <w:bottom w:val="single" w:color="000000" w:sz="6" w:space="0"/>
              <w:right w:val="single" w:color="000000" w:sz="6" w:space="0"/>
            </w:tcBorders>
            <w:vAlign w:val="center"/>
          </w:tcPr>
          <w:p>
            <w:pPr>
              <w:jc w:val="center"/>
              <w:rPr>
                <w:rStyle w:val="58"/>
                <w:rFonts w:ascii="宋体" w:hAnsi="宋体"/>
                <w:b/>
                <w:szCs w:val="21"/>
              </w:rPr>
            </w:pPr>
            <w:r>
              <w:rPr>
                <w:rStyle w:val="58"/>
                <w:rFonts w:ascii="宋体" w:hAnsi="宋体"/>
                <w:b/>
                <w:szCs w:val="21"/>
              </w:rPr>
              <w:t>条款名称</w:t>
            </w:r>
          </w:p>
        </w:tc>
        <w:tc>
          <w:tcPr>
            <w:tcW w:w="3402" w:type="pct"/>
            <w:tcBorders>
              <w:top w:val="single" w:color="000000" w:sz="12" w:space="0"/>
              <w:left w:val="single" w:color="000000" w:sz="6" w:space="0"/>
              <w:bottom w:val="single" w:color="000000" w:sz="6" w:space="0"/>
              <w:right w:val="single" w:color="000000" w:sz="12" w:space="0"/>
            </w:tcBorders>
            <w:vAlign w:val="center"/>
          </w:tcPr>
          <w:p>
            <w:pPr>
              <w:jc w:val="center"/>
              <w:rPr>
                <w:rStyle w:val="58"/>
                <w:rFonts w:ascii="宋体" w:hAnsi="宋体"/>
                <w:b/>
                <w:szCs w:val="21"/>
              </w:rPr>
            </w:pPr>
            <w:r>
              <w:rPr>
                <w:rStyle w:val="58"/>
                <w:rFonts w:ascii="宋体" w:hAnsi="宋体"/>
                <w:b/>
                <w:szCs w:val="21"/>
              </w:rPr>
              <w:t>编  列  内  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1.1.2</w:t>
            </w:r>
          </w:p>
        </w:tc>
        <w:tc>
          <w:tcPr>
            <w:tcW w:w="1126" w:type="pct"/>
            <w:tcBorders>
              <w:top w:val="single" w:color="000000" w:sz="6" w:space="0"/>
              <w:left w:val="single" w:color="000000" w:sz="6"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招标人</w:t>
            </w:r>
          </w:p>
        </w:tc>
        <w:tc>
          <w:tcPr>
            <w:tcW w:w="3402" w:type="pct"/>
            <w:tcBorders>
              <w:top w:val="single" w:color="000000" w:sz="6" w:space="0"/>
              <w:left w:val="single" w:color="000000" w:sz="6" w:space="0"/>
              <w:bottom w:val="single" w:color="000000" w:sz="6" w:space="0"/>
              <w:right w:val="single" w:color="000000" w:sz="12" w:space="0"/>
            </w:tcBorders>
          </w:tcPr>
          <w:p>
            <w:pPr>
              <w:spacing w:line="276" w:lineRule="auto"/>
              <w:rPr>
                <w:rFonts w:ascii="宋体" w:hAnsi="宋体"/>
                <w:szCs w:val="21"/>
              </w:rPr>
            </w:pPr>
            <w:r>
              <w:rPr>
                <w:rFonts w:ascii="宋体" w:hAnsi="宋体"/>
                <w:szCs w:val="21"/>
              </w:rPr>
              <w:t>名</w:t>
            </w:r>
            <w:r>
              <w:rPr>
                <w:rFonts w:hint="eastAsia" w:ascii="宋体" w:hAnsi="宋体"/>
                <w:szCs w:val="21"/>
              </w:rPr>
              <w:t xml:space="preserve">  </w:t>
            </w:r>
            <w:r>
              <w:rPr>
                <w:rFonts w:ascii="宋体" w:hAnsi="宋体"/>
                <w:szCs w:val="21"/>
              </w:rPr>
              <w:t>称：</w:t>
            </w:r>
            <w:r>
              <w:rPr>
                <w:rFonts w:hint="eastAsia" w:ascii="宋体" w:hAnsi="宋体" w:cs="宋体"/>
                <w:kern w:val="0"/>
                <w:szCs w:val="21"/>
                <w:lang w:bidi="en-US"/>
              </w:rPr>
              <w:t>中国重汽集团济南动力有限公司</w:t>
            </w:r>
          </w:p>
          <w:p>
            <w:pPr>
              <w:spacing w:line="276" w:lineRule="auto"/>
              <w:rPr>
                <w:rFonts w:ascii="宋体" w:hAnsi="宋体" w:cs="宋体"/>
                <w:kern w:val="0"/>
                <w:szCs w:val="21"/>
                <w:lang w:bidi="en-US"/>
              </w:rPr>
            </w:pPr>
            <w:r>
              <w:rPr>
                <w:rFonts w:hint="eastAsia" w:ascii="宋体" w:hAnsi="宋体"/>
                <w:szCs w:val="21"/>
              </w:rPr>
              <w:t>地  址：济南市高新区华奥路777号重汽科技大厦</w:t>
            </w:r>
          </w:p>
          <w:p>
            <w:pPr>
              <w:spacing w:line="276" w:lineRule="auto"/>
              <w:rPr>
                <w:rFonts w:ascii="宋体" w:hAnsi="宋体"/>
                <w:szCs w:val="21"/>
              </w:rPr>
            </w:pPr>
            <w:r>
              <w:rPr>
                <w:rFonts w:hint="eastAsia" w:ascii="宋体" w:hAnsi="宋体"/>
                <w:szCs w:val="21"/>
              </w:rPr>
              <w:t xml:space="preserve">联系人： </w:t>
            </w:r>
            <w:r>
              <w:rPr>
                <w:rFonts w:ascii="宋体" w:hAnsi="宋体"/>
                <w:szCs w:val="21"/>
              </w:rPr>
              <w:t xml:space="preserve">      </w:t>
            </w:r>
          </w:p>
          <w:p>
            <w:pPr>
              <w:spacing w:line="276" w:lineRule="auto"/>
              <w:rPr>
                <w:rStyle w:val="58"/>
                <w:rFonts w:ascii="宋体" w:hAnsi="宋体"/>
              </w:rPr>
            </w:pPr>
            <w:r>
              <w:rPr>
                <w:rFonts w:hint="eastAsia" w:ascii="宋体" w:hAnsi="宋体"/>
                <w:szCs w:val="21"/>
              </w:rPr>
              <w:t>电  话：</w:t>
            </w:r>
            <w:r>
              <w:rPr>
                <w:rFonts w:ascii="宋体" w:hAnsi="宋体"/>
                <w:szCs w:val="21"/>
              </w:rPr>
              <w:t xml:space="preserve">   </w:t>
            </w:r>
            <w:r>
              <w:rPr>
                <w:szCs w:val="21"/>
              </w:rPr>
              <w:t xml:space="preserve">   </w:t>
            </w:r>
            <w:r>
              <w:rPr>
                <w:rFonts w:ascii="宋体" w:hAnsi="宋体" w:cs="宋体"/>
                <w:kern w:val="0"/>
                <w:szCs w:val="21"/>
                <w:lang w:bidi="en-US"/>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250" w:hRule="exact"/>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1.1.4</w:t>
            </w:r>
          </w:p>
        </w:tc>
        <w:tc>
          <w:tcPr>
            <w:tcW w:w="1126" w:type="pct"/>
            <w:tcBorders>
              <w:top w:val="single" w:color="000000" w:sz="6" w:space="0"/>
              <w:left w:val="single" w:color="000000" w:sz="6"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项目名称</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hint="eastAsia" w:ascii="宋体" w:hAnsi="宋体"/>
                <w:szCs w:val="21"/>
              </w:rPr>
              <w:t>济南成型厂电动叉车锂电池充电站建设技改项目工程施工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87" w:hRule="exact"/>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1.1.</w:t>
            </w:r>
            <w:r>
              <w:rPr>
                <w:rStyle w:val="58"/>
                <w:rFonts w:hint="eastAsia" w:ascii="宋体" w:hAnsi="宋体"/>
                <w:szCs w:val="21"/>
              </w:rPr>
              <w:t>5</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建设地点</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hint="eastAsia" w:ascii="宋体" w:hAnsi="宋体"/>
                <w:szCs w:val="21"/>
              </w:rPr>
              <w:t>济南市章丘区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5" w:hRule="exact"/>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1.2.1</w:t>
            </w:r>
          </w:p>
        </w:tc>
        <w:tc>
          <w:tcPr>
            <w:tcW w:w="1126" w:type="pct"/>
            <w:tcBorders>
              <w:top w:val="single" w:color="000000" w:sz="6" w:space="0"/>
              <w:left w:val="single" w:color="000000" w:sz="6"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资金来源</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自筹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9" w:hRule="exact"/>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1.2.2</w:t>
            </w:r>
          </w:p>
        </w:tc>
        <w:tc>
          <w:tcPr>
            <w:tcW w:w="1126" w:type="pct"/>
            <w:tcBorders>
              <w:top w:val="single" w:color="000000" w:sz="6" w:space="0"/>
              <w:left w:val="single" w:color="000000" w:sz="6"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出资比例</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3" w:hRule="exact"/>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1.2.3</w:t>
            </w:r>
          </w:p>
        </w:tc>
        <w:tc>
          <w:tcPr>
            <w:tcW w:w="1126" w:type="pct"/>
            <w:tcBorders>
              <w:top w:val="single" w:color="000000" w:sz="6" w:space="0"/>
              <w:left w:val="single" w:color="000000" w:sz="6"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资金落实情况</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已落实</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1.3.1</w:t>
            </w:r>
          </w:p>
        </w:tc>
        <w:tc>
          <w:tcPr>
            <w:tcW w:w="1126" w:type="pct"/>
            <w:tcBorders>
              <w:top w:val="single" w:color="000000" w:sz="6" w:space="0"/>
              <w:left w:val="single" w:color="000000" w:sz="6"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招标范围</w:t>
            </w:r>
          </w:p>
        </w:tc>
        <w:tc>
          <w:tcPr>
            <w:tcW w:w="3402" w:type="pct"/>
            <w:tcBorders>
              <w:top w:val="single" w:color="000000" w:sz="6" w:space="0"/>
              <w:left w:val="single" w:color="000000" w:sz="6" w:space="0"/>
              <w:bottom w:val="single" w:color="000000" w:sz="6" w:space="0"/>
              <w:right w:val="single" w:color="000000" w:sz="12" w:space="0"/>
            </w:tcBorders>
          </w:tcPr>
          <w:p>
            <w:pPr>
              <w:pStyle w:val="18"/>
              <w:rPr>
                <w:rStyle w:val="58"/>
                <w:rFonts w:ascii="宋体" w:hAnsi="宋体"/>
              </w:rPr>
            </w:pPr>
            <w:r>
              <w:rPr>
                <w:rStyle w:val="58"/>
                <w:rFonts w:hint="eastAsia" w:ascii="宋体" w:hAnsi="宋体" w:cs="Times New Roman"/>
                <w:szCs w:val="21"/>
              </w:rPr>
              <w:t>包括但不限于施工图纸范围内的全部工作内容的施工、验收及质量保修，以及招标人新增清单外施工内容等，详见招标文件、图纸及工程量清单。</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1.3.2</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Fonts w:ascii="宋体" w:hAnsi="宋体" w:cs="宋体"/>
                <w:b/>
                <w:bCs/>
                <w:szCs w:val="21"/>
              </w:rPr>
            </w:pPr>
            <w:r>
              <w:rPr>
                <w:rStyle w:val="58"/>
                <w:rFonts w:hint="eastAsia" w:ascii="宋体" w:hAnsi="宋体" w:cs="宋体"/>
                <w:b/>
                <w:bCs/>
                <w:szCs w:val="21"/>
                <w:highlight w:val="yellow"/>
              </w:rPr>
              <w:t>计划工期</w:t>
            </w:r>
          </w:p>
        </w:tc>
        <w:tc>
          <w:tcPr>
            <w:tcW w:w="3402" w:type="pct"/>
            <w:tcBorders>
              <w:top w:val="single" w:color="000000" w:sz="6" w:space="0"/>
              <w:left w:val="single" w:color="000000" w:sz="6" w:space="0"/>
              <w:bottom w:val="single" w:color="000000" w:sz="6" w:space="0"/>
              <w:right w:val="single" w:color="000000" w:sz="12" w:space="0"/>
            </w:tcBorders>
          </w:tcPr>
          <w:p>
            <w:pPr>
              <w:spacing w:line="276" w:lineRule="auto"/>
              <w:ind w:firstLine="210" w:firstLineChars="100"/>
            </w:pPr>
            <w:r>
              <w:rPr>
                <w:rFonts w:hint="eastAsia"/>
              </w:rPr>
              <w:t>计划总工期：</w:t>
            </w:r>
            <w:r>
              <w:t>60</w:t>
            </w:r>
            <w:r>
              <w:rPr>
                <w:rFonts w:hint="eastAsia"/>
              </w:rPr>
              <w:t>日历天；</w:t>
            </w:r>
          </w:p>
          <w:p>
            <w:pPr>
              <w:spacing w:line="276" w:lineRule="auto"/>
              <w:ind w:firstLine="210" w:firstLineChars="100"/>
            </w:pPr>
            <w:r>
              <w:rPr>
                <w:rFonts w:hint="eastAsia"/>
              </w:rPr>
              <w:t>计划开工日期：2026年</w:t>
            </w:r>
            <w:r>
              <w:t>4</w:t>
            </w:r>
            <w:r>
              <w:rPr>
                <w:rFonts w:hint="eastAsia"/>
              </w:rPr>
              <w:t>月</w:t>
            </w:r>
            <w:r>
              <w:t>1</w:t>
            </w:r>
            <w:r>
              <w:rPr>
                <w:rFonts w:hint="eastAsia"/>
              </w:rPr>
              <w:t>日（以招标人开工令为准）；</w:t>
            </w:r>
          </w:p>
          <w:p>
            <w:pPr>
              <w:spacing w:line="276" w:lineRule="auto"/>
              <w:ind w:firstLine="210" w:firstLineChars="100"/>
            </w:pPr>
            <w:r>
              <w:rPr>
                <w:rFonts w:hint="eastAsia"/>
              </w:rPr>
              <w:t>计划竣工日期：2026年</w:t>
            </w:r>
            <w:r>
              <w:t>5</w:t>
            </w:r>
            <w:r>
              <w:rPr>
                <w:rFonts w:hint="eastAsia"/>
              </w:rPr>
              <w:t>月3</w:t>
            </w:r>
            <w:r>
              <w:t>0</w:t>
            </w:r>
            <w:r>
              <w:rPr>
                <w:rFonts w:hint="eastAsia"/>
              </w:rPr>
              <w:t>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1.3.3</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400" w:lineRule="exact"/>
              <w:rPr>
                <w:rStyle w:val="58"/>
                <w:rFonts w:ascii="宋体" w:hAnsi="宋体"/>
                <w:szCs w:val="21"/>
              </w:rPr>
            </w:pPr>
            <w:r>
              <w:rPr>
                <w:rStyle w:val="58"/>
                <w:rFonts w:ascii="宋体" w:hAnsi="宋体"/>
                <w:szCs w:val="21"/>
              </w:rPr>
              <w:t>质量要求</w:t>
            </w:r>
          </w:p>
        </w:tc>
        <w:tc>
          <w:tcPr>
            <w:tcW w:w="3402"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质量标准：</w:t>
            </w:r>
            <w:r>
              <w:rPr>
                <w:rStyle w:val="58"/>
                <w:rFonts w:ascii="宋体" w:hAnsi="宋体"/>
                <w:szCs w:val="21"/>
                <w:u w:val="single"/>
              </w:rPr>
              <w:t>合格</w:t>
            </w:r>
            <w:r>
              <w:rPr>
                <w:rStyle w:val="58"/>
                <w:rFonts w:ascii="宋体" w:hAnsi="宋体"/>
                <w:szCs w:val="21"/>
              </w:rPr>
              <w:t>；</w:t>
            </w:r>
          </w:p>
          <w:p>
            <w:pPr>
              <w:spacing w:line="276" w:lineRule="auto"/>
              <w:rPr>
                <w:rStyle w:val="58"/>
                <w:rFonts w:ascii="宋体" w:hAnsi="宋体"/>
                <w:szCs w:val="21"/>
              </w:rPr>
            </w:pPr>
            <w:r>
              <w:rPr>
                <w:rStyle w:val="58"/>
                <w:rFonts w:ascii="宋体" w:hAnsi="宋体"/>
                <w:szCs w:val="21"/>
              </w:rPr>
              <w:t>关于质量要求的详细说明见第七章“技术标准和要求”。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2" w:type="pct"/>
            <w:vMerge w:val="restar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1.4.1</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400" w:lineRule="exact"/>
              <w:rPr>
                <w:rStyle w:val="58"/>
                <w:rFonts w:ascii="宋体" w:hAnsi="宋体"/>
                <w:szCs w:val="21"/>
              </w:rPr>
            </w:pPr>
            <w:r>
              <w:rPr>
                <w:rStyle w:val="58"/>
                <w:rFonts w:ascii="宋体" w:hAnsi="宋体"/>
                <w:szCs w:val="21"/>
              </w:rPr>
              <w:t>投标人资格</w:t>
            </w:r>
          </w:p>
        </w:tc>
        <w:tc>
          <w:tcPr>
            <w:tcW w:w="3402" w:type="pct"/>
            <w:tcBorders>
              <w:top w:val="single" w:color="000000" w:sz="6" w:space="0"/>
              <w:left w:val="single" w:color="000000" w:sz="6" w:space="0"/>
              <w:bottom w:val="single" w:color="000000" w:sz="6" w:space="0"/>
              <w:right w:val="single" w:color="000000" w:sz="12" w:space="0"/>
            </w:tcBorders>
          </w:tcPr>
          <w:p>
            <w:pPr>
              <w:spacing w:line="276" w:lineRule="auto"/>
              <w:rPr>
                <w:rFonts w:ascii="宋体" w:hAnsi="宋体"/>
                <w:szCs w:val="21"/>
              </w:rPr>
            </w:pPr>
            <w:r>
              <w:rPr>
                <w:rFonts w:hint="eastAsia" w:ascii="宋体" w:hAnsi="宋体"/>
                <w:szCs w:val="21"/>
              </w:rPr>
              <w:t>1.资质条件：详见招标公告；</w:t>
            </w:r>
          </w:p>
          <w:p>
            <w:pPr>
              <w:spacing w:line="276" w:lineRule="auto"/>
              <w:rPr>
                <w:rFonts w:ascii="宋体" w:hAnsi="宋体"/>
                <w:szCs w:val="21"/>
              </w:rPr>
            </w:pPr>
            <w:r>
              <w:rPr>
                <w:rFonts w:hint="eastAsia" w:ascii="宋体" w:hAnsi="宋体"/>
                <w:szCs w:val="21"/>
              </w:rPr>
              <w:t>2.财务要求：详见招标公告；</w:t>
            </w:r>
          </w:p>
          <w:p>
            <w:pPr>
              <w:spacing w:line="276" w:lineRule="auto"/>
              <w:rPr>
                <w:rFonts w:ascii="宋体" w:hAnsi="宋体"/>
                <w:szCs w:val="21"/>
              </w:rPr>
            </w:pPr>
            <w:r>
              <w:rPr>
                <w:rFonts w:hint="eastAsia" w:ascii="宋体" w:hAnsi="宋体"/>
                <w:szCs w:val="21"/>
              </w:rPr>
              <w:t>3.信誉要求：详见招标公告；</w:t>
            </w:r>
          </w:p>
          <w:p>
            <w:pPr>
              <w:spacing w:line="276" w:lineRule="auto"/>
              <w:rPr>
                <w:rFonts w:ascii="宋体" w:hAnsi="宋体"/>
                <w:szCs w:val="21"/>
              </w:rPr>
            </w:pPr>
            <w:r>
              <w:rPr>
                <w:rFonts w:hint="eastAsia" w:ascii="宋体" w:hAnsi="宋体"/>
                <w:szCs w:val="21"/>
              </w:rPr>
              <w:t>4.拟派项目经理资格要求：详见招标公告；</w:t>
            </w:r>
          </w:p>
          <w:p>
            <w:pPr>
              <w:ind w:firstLine="420" w:firstLineChars="200"/>
              <w:rPr>
                <w:rStyle w:val="58"/>
                <w:rFonts w:ascii="宋体" w:hAnsi="宋体"/>
                <w:b/>
                <w:szCs w:val="21"/>
              </w:rPr>
            </w:pPr>
            <w:r>
              <w:rPr>
                <w:rFonts w:hint="eastAsia" w:ascii="宋体" w:hAnsi="宋体"/>
                <w:szCs w:val="21"/>
              </w:rPr>
              <w:t>对投标人的资格审查实行资格后审，资格审查资料的具体编制要求详见第九章资格审查文件。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2" w:type="pct"/>
            <w:vMerge w:val="continue"/>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近年财务状况的年份要求</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hint="eastAsia" w:ascii="宋体" w:hAnsi="宋体"/>
                <w:szCs w:val="21"/>
                <w:u w:val="single"/>
              </w:rPr>
              <w:t>2022、2023、2024年</w:t>
            </w:r>
            <w:r>
              <w:rPr>
                <w:rStyle w:val="58"/>
                <w:rFonts w:hint="eastAsia" w:ascii="宋体" w:hAnsi="宋体"/>
                <w:szCs w:val="21"/>
              </w:rPr>
              <w:t>，要求包含企业最近半年完税证明、信用证明材料（中国人民银行信用报告）；年度纳税信用评价信息（可从电子税务局查询截图）；企业对外担保说明（写明贵单位对外有无对外担保和质押业务）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2" w:type="pct"/>
            <w:vMerge w:val="continue"/>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近年承担的类似工程的年份要求</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u w:val="single"/>
              </w:rPr>
              <w:t xml:space="preserve"> </w:t>
            </w:r>
            <w:r>
              <w:rPr>
                <w:rStyle w:val="58"/>
                <w:rFonts w:hint="eastAsia" w:ascii="宋体" w:hAnsi="宋体"/>
                <w:szCs w:val="21"/>
                <w:u w:val="single"/>
              </w:rPr>
              <w:t>两</w:t>
            </w:r>
            <w:r>
              <w:rPr>
                <w:rStyle w:val="58"/>
                <w:rFonts w:ascii="宋体" w:hAnsi="宋体"/>
                <w:szCs w:val="21"/>
                <w:u w:val="single"/>
              </w:rPr>
              <w:t xml:space="preserve"> </w:t>
            </w:r>
            <w:r>
              <w:rPr>
                <w:rStyle w:val="58"/>
                <w:rFonts w:ascii="宋体" w:hAnsi="宋体"/>
                <w:szCs w:val="21"/>
              </w:rPr>
              <w:t>年，指</w:t>
            </w:r>
            <w:r>
              <w:rPr>
                <w:rStyle w:val="58"/>
                <w:rFonts w:ascii="宋体" w:hAnsi="宋体"/>
                <w:szCs w:val="21"/>
                <w:u w:val="single"/>
              </w:rPr>
              <w:t>2024年2月1</w:t>
            </w:r>
            <w:r>
              <w:rPr>
                <w:rStyle w:val="58"/>
                <w:rFonts w:ascii="宋体" w:hAnsi="宋体"/>
                <w:szCs w:val="21"/>
              </w:rPr>
              <w:t>日至开标之日（以合同签订时间为准）。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2" w:type="pct"/>
            <w:vMerge w:val="continue"/>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近年发生的诉讼及仲裁情况的年份要求</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u w:val="single"/>
              </w:rPr>
              <w:t xml:space="preserve"> 三 </w:t>
            </w:r>
            <w:r>
              <w:rPr>
                <w:rStyle w:val="58"/>
                <w:rFonts w:ascii="宋体" w:hAnsi="宋体"/>
                <w:szCs w:val="21"/>
              </w:rPr>
              <w:t>年，指</w:t>
            </w:r>
            <w:r>
              <w:rPr>
                <w:rStyle w:val="58"/>
                <w:rFonts w:ascii="宋体" w:hAnsi="宋体"/>
                <w:szCs w:val="21"/>
                <w:u w:val="single"/>
              </w:rPr>
              <w:t>2023年2月1</w:t>
            </w:r>
            <w:r>
              <w:rPr>
                <w:rStyle w:val="58"/>
                <w:rFonts w:ascii="宋体" w:hAnsi="宋体"/>
                <w:szCs w:val="21"/>
              </w:rPr>
              <w:t>日至开标之日。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cantSplit/>
          <w:jc w:val="center"/>
        </w:trPr>
        <w:tc>
          <w:tcPr>
            <w:tcW w:w="472" w:type="pct"/>
            <w:vMerge w:val="continue"/>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是否允许递交备选投标方案</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u w:val="single"/>
              </w:rPr>
            </w:pPr>
            <w:r>
              <w:rPr>
                <w:rStyle w:val="58"/>
                <w:rFonts w:ascii="宋体" w:hAnsi="宋体"/>
                <w:szCs w:val="21"/>
              </w:rPr>
              <w:t>不允许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1.4.2</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是否接受联合体投标</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不接受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47" w:hRule="atLeast"/>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1.9</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踏勘现场</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Fonts w:ascii="宋体" w:hAnsi="宋体"/>
                <w:szCs w:val="21"/>
              </w:rPr>
            </w:pPr>
            <w:r>
              <w:rPr>
                <w:rFonts w:hint="eastAsia" w:ascii="宋体" w:hAnsi="宋体"/>
                <w:szCs w:val="21"/>
              </w:rPr>
              <w:t>组织统一踏勘，暂定时间：</w:t>
            </w:r>
            <w:r>
              <w:rPr>
                <w:rFonts w:hint="eastAsia" w:ascii="宋体" w:hAnsi="宋体"/>
                <w:szCs w:val="21"/>
                <w:highlight w:val="yellow"/>
                <w:u w:val="single"/>
              </w:rPr>
              <w:t>202</w:t>
            </w:r>
            <w:r>
              <w:rPr>
                <w:rFonts w:ascii="宋体" w:hAnsi="宋体"/>
                <w:szCs w:val="21"/>
                <w:highlight w:val="yellow"/>
                <w:u w:val="single"/>
              </w:rPr>
              <w:t>6</w:t>
            </w:r>
            <w:r>
              <w:rPr>
                <w:rFonts w:hint="eastAsia" w:ascii="宋体" w:hAnsi="宋体"/>
                <w:szCs w:val="21"/>
                <w:highlight w:val="yellow"/>
                <w:u w:val="single"/>
              </w:rPr>
              <w:t>年</w:t>
            </w:r>
            <w:r>
              <w:rPr>
                <w:rFonts w:ascii="宋体" w:hAnsi="宋体"/>
                <w:szCs w:val="21"/>
                <w:highlight w:val="yellow"/>
                <w:u w:val="single"/>
              </w:rPr>
              <w:t>2</w:t>
            </w:r>
            <w:r>
              <w:rPr>
                <w:rFonts w:hint="eastAsia" w:ascii="宋体" w:hAnsi="宋体"/>
                <w:szCs w:val="21"/>
                <w:highlight w:val="yellow"/>
                <w:u w:val="single"/>
              </w:rPr>
              <w:t>月2</w:t>
            </w:r>
            <w:r>
              <w:rPr>
                <w:rFonts w:ascii="宋体" w:hAnsi="宋体"/>
                <w:szCs w:val="21"/>
                <w:highlight w:val="yellow"/>
                <w:u w:val="single"/>
              </w:rPr>
              <w:t>7</w:t>
            </w:r>
            <w:r>
              <w:rPr>
                <w:rFonts w:hint="eastAsia" w:ascii="宋体" w:hAnsi="宋体"/>
                <w:szCs w:val="21"/>
                <w:highlight w:val="yellow"/>
                <w:u w:val="single"/>
              </w:rPr>
              <w:t>日上午9:00</w:t>
            </w:r>
            <w:r>
              <w:rPr>
                <w:rFonts w:hint="eastAsia" w:ascii="宋体" w:hAnsi="宋体"/>
                <w:szCs w:val="21"/>
              </w:rPr>
              <w:t>，请自行前往，提前对接踏勘联系人进行入厂报备。如有变动，另行通知。</w:t>
            </w:r>
          </w:p>
          <w:p>
            <w:pPr>
              <w:spacing w:line="276" w:lineRule="auto"/>
              <w:rPr>
                <w:rStyle w:val="58"/>
                <w:rFonts w:ascii="宋体" w:hAnsi="宋体"/>
                <w:szCs w:val="21"/>
              </w:rPr>
            </w:pPr>
            <w:r>
              <w:rPr>
                <w:rStyle w:val="58"/>
                <w:rFonts w:hint="eastAsia" w:ascii="宋体" w:hAnsi="宋体"/>
                <w:szCs w:val="21"/>
              </w:rPr>
              <w:t>如因对现场情况了解、考虑不周造成的投标风险和一切后果由投标人自行承担。</w:t>
            </w:r>
          </w:p>
          <w:p>
            <w:pPr>
              <w:spacing w:line="276" w:lineRule="auto"/>
              <w:rPr>
                <w:rStyle w:val="58"/>
                <w:rFonts w:ascii="宋体" w:hAnsi="宋体"/>
                <w:szCs w:val="21"/>
                <w:u w:val="single"/>
              </w:rPr>
            </w:pPr>
            <w:r>
              <w:rPr>
                <w:rStyle w:val="58"/>
                <w:rFonts w:ascii="宋体" w:hAnsi="宋体"/>
                <w:szCs w:val="21"/>
              </w:rPr>
              <w:t>踏勘联系人：</w:t>
            </w:r>
            <w:r>
              <w:rPr>
                <w:rStyle w:val="58"/>
                <w:rFonts w:hint="eastAsia" w:ascii="宋体" w:hAnsi="宋体"/>
                <w:szCs w:val="21"/>
                <w:u w:val="single"/>
              </w:rPr>
              <w:t>魏超</w:t>
            </w:r>
            <w:r>
              <w:rPr>
                <w:rStyle w:val="58"/>
                <w:rFonts w:ascii="宋体" w:hAnsi="宋体"/>
                <w:szCs w:val="21"/>
              </w:rPr>
              <w:t>，联系电话：</w:t>
            </w:r>
            <w:r>
              <w:rPr>
                <w:rStyle w:val="58"/>
                <w:rFonts w:ascii="宋体" w:hAnsi="宋体"/>
                <w:szCs w:val="21"/>
                <w:u w:val="single"/>
              </w:rPr>
              <w:t>18766109108</w:t>
            </w:r>
            <w:r>
              <w:rPr>
                <w:rStyle w:val="58"/>
                <w:rFonts w:hint="eastAsia" w:ascii="宋体" w:hAnsi="宋体"/>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1.10</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投标预备会</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不召开</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1.11</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工程分包</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原则上不允许，如需专业分包须经招标人审核同意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12" w:space="0"/>
              <w:right w:val="single" w:color="000000" w:sz="6" w:space="0"/>
            </w:tcBorders>
            <w:vAlign w:val="center"/>
          </w:tcPr>
          <w:p>
            <w:pPr>
              <w:rPr>
                <w:rStyle w:val="58"/>
                <w:rFonts w:ascii="宋体" w:hAnsi="宋体"/>
                <w:szCs w:val="21"/>
              </w:rPr>
            </w:pPr>
            <w:r>
              <w:rPr>
                <w:rStyle w:val="58"/>
                <w:rFonts w:ascii="宋体" w:hAnsi="宋体"/>
                <w:szCs w:val="21"/>
              </w:rPr>
              <w:t>1.12</w:t>
            </w:r>
          </w:p>
        </w:tc>
        <w:tc>
          <w:tcPr>
            <w:tcW w:w="1126" w:type="pct"/>
            <w:tcBorders>
              <w:top w:val="single" w:color="000000" w:sz="6" w:space="0"/>
              <w:left w:val="single" w:color="000000" w:sz="6" w:space="0"/>
              <w:bottom w:val="single" w:color="000000" w:sz="12"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偏离</w:t>
            </w:r>
          </w:p>
        </w:tc>
        <w:tc>
          <w:tcPr>
            <w:tcW w:w="3402" w:type="pct"/>
            <w:tcBorders>
              <w:top w:val="single" w:color="000000" w:sz="6" w:space="0"/>
              <w:left w:val="single" w:color="000000" w:sz="6" w:space="0"/>
              <w:bottom w:val="single" w:color="000000" w:sz="12"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不允许</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12"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2.1</w:t>
            </w:r>
          </w:p>
        </w:tc>
        <w:tc>
          <w:tcPr>
            <w:tcW w:w="1126" w:type="pct"/>
            <w:tcBorders>
              <w:top w:val="single" w:color="000000" w:sz="12"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构成招标文件的其他材料</w:t>
            </w:r>
          </w:p>
        </w:tc>
        <w:tc>
          <w:tcPr>
            <w:tcW w:w="3402" w:type="pct"/>
            <w:tcBorders>
              <w:top w:val="single" w:color="000000" w:sz="12"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shd w:val="pct10" w:color="auto" w:fill="FFFFFF"/>
              </w:rPr>
            </w:pPr>
            <w:r>
              <w:rPr>
                <w:rStyle w:val="58"/>
                <w:rFonts w:ascii="宋体" w:hAnsi="宋体"/>
                <w:szCs w:val="21"/>
              </w:rPr>
              <w:t>本项目的招标答疑文件及补充通知（如有）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2.2.1</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投标人要求澄清招标文件</w:t>
            </w:r>
            <w:r>
              <w:rPr>
                <w:rStyle w:val="58"/>
                <w:rFonts w:hint="eastAsia" w:ascii="宋体" w:hAnsi="宋体"/>
                <w:szCs w:val="21"/>
              </w:rPr>
              <w:t>/提出疑问</w:t>
            </w:r>
            <w:r>
              <w:rPr>
                <w:rStyle w:val="58"/>
                <w:rFonts w:ascii="宋体" w:hAnsi="宋体"/>
                <w:szCs w:val="21"/>
              </w:rPr>
              <w:t>的截止时间</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u w:val="single"/>
              </w:rPr>
            </w:pPr>
            <w:r>
              <w:rPr>
                <w:rFonts w:hint="eastAsia" w:ascii="宋体" w:hAnsi="宋体"/>
                <w:szCs w:val="21"/>
                <w:highlight w:val="yellow"/>
              </w:rPr>
              <w:t>202</w:t>
            </w:r>
            <w:r>
              <w:rPr>
                <w:rFonts w:ascii="宋体" w:hAnsi="宋体"/>
                <w:szCs w:val="21"/>
                <w:highlight w:val="yellow"/>
              </w:rPr>
              <w:t>6</w:t>
            </w:r>
            <w:r>
              <w:rPr>
                <w:rFonts w:hint="eastAsia" w:ascii="宋体" w:hAnsi="宋体"/>
                <w:szCs w:val="21"/>
                <w:highlight w:val="yellow"/>
              </w:rPr>
              <w:t>年</w:t>
            </w:r>
            <w:r>
              <w:rPr>
                <w:rFonts w:ascii="宋体" w:hAnsi="宋体"/>
                <w:szCs w:val="21"/>
                <w:highlight w:val="yellow"/>
              </w:rPr>
              <w:t>2</w:t>
            </w:r>
            <w:r>
              <w:rPr>
                <w:rFonts w:hint="eastAsia" w:asciiTheme="minorEastAsia" w:hAnsiTheme="minorEastAsia" w:eastAsiaTheme="minorEastAsia"/>
                <w:szCs w:val="21"/>
                <w:highlight w:val="yellow"/>
              </w:rPr>
              <w:t>月</w:t>
            </w:r>
            <w:r>
              <w:rPr>
                <w:rFonts w:asciiTheme="minorEastAsia" w:hAnsiTheme="minorEastAsia" w:eastAsiaTheme="minorEastAsia"/>
                <w:szCs w:val="21"/>
                <w:highlight w:val="yellow"/>
              </w:rPr>
              <w:t>28</w:t>
            </w:r>
            <w:r>
              <w:rPr>
                <w:rFonts w:hint="eastAsia" w:asciiTheme="minorEastAsia" w:hAnsiTheme="minorEastAsia" w:eastAsiaTheme="minorEastAsia"/>
                <w:szCs w:val="21"/>
                <w:highlight w:val="yellow"/>
              </w:rPr>
              <w:t>日</w:t>
            </w:r>
            <w:r>
              <w:rPr>
                <w:rStyle w:val="58"/>
                <w:rFonts w:asciiTheme="minorEastAsia" w:hAnsiTheme="minorEastAsia" w:eastAsiaTheme="minorEastAsia"/>
                <w:szCs w:val="21"/>
                <w:highlight w:val="yellow"/>
                <w:u w:val="single"/>
              </w:rPr>
              <w:t>17</w:t>
            </w:r>
            <w:r>
              <w:rPr>
                <w:rStyle w:val="58"/>
                <w:rFonts w:hint="eastAsia" w:asciiTheme="minorEastAsia" w:hAnsiTheme="minorEastAsia" w:eastAsiaTheme="minorEastAsia"/>
                <w:szCs w:val="21"/>
                <w:highlight w:val="yellow"/>
                <w:u w:val="single"/>
              </w:rPr>
              <w:t>:</w:t>
            </w:r>
            <w:r>
              <w:rPr>
                <w:rStyle w:val="58"/>
                <w:rFonts w:asciiTheme="minorEastAsia" w:hAnsiTheme="minorEastAsia" w:eastAsiaTheme="minorEastAsia"/>
                <w:szCs w:val="21"/>
                <w:highlight w:val="yellow"/>
                <w:u w:val="single"/>
              </w:rPr>
              <w:t>0</w:t>
            </w:r>
            <w:r>
              <w:rPr>
                <w:rStyle w:val="58"/>
                <w:rFonts w:ascii="宋体" w:hAnsi="宋体"/>
                <w:szCs w:val="21"/>
                <w:highlight w:val="yellow"/>
                <w:u w:val="single"/>
              </w:rPr>
              <w:t>0前</w:t>
            </w:r>
            <w:r>
              <w:rPr>
                <w:rStyle w:val="58"/>
                <w:rFonts w:ascii="宋体" w:hAnsi="宋体"/>
                <w:szCs w:val="21"/>
                <w:u w:val="single"/>
              </w:rPr>
              <w:t>，</w:t>
            </w:r>
            <w:r>
              <w:rPr>
                <w:rStyle w:val="58"/>
                <w:rFonts w:ascii="宋体" w:hAnsi="宋体"/>
                <w:szCs w:val="21"/>
              </w:rPr>
              <w:t>发电子邮件（WORD版及加盖公章的扫描件）至</w:t>
            </w:r>
            <w:r>
              <w:rPr>
                <w:rFonts w:hint="eastAsia" w:ascii="宋体" w:hAnsi="宋体"/>
                <w:szCs w:val="21"/>
              </w:rPr>
              <w:t>gst</w:t>
            </w:r>
            <w:r>
              <w:rPr>
                <w:rFonts w:ascii="宋体" w:hAnsi="宋体"/>
                <w:szCs w:val="21"/>
              </w:rPr>
              <w:t>777@foxmail.com</w:t>
            </w:r>
            <w:r>
              <w:rPr>
                <w:rStyle w:val="58"/>
                <w:rFonts w:ascii="宋体" w:hAnsi="宋体"/>
                <w:szCs w:val="21"/>
              </w:rPr>
              <w:t>，并电话通知</w:t>
            </w:r>
            <w:r>
              <w:rPr>
                <w:rStyle w:val="58"/>
                <w:rFonts w:hint="eastAsia" w:ascii="宋体" w:hAnsi="宋体"/>
                <w:szCs w:val="21"/>
              </w:rPr>
              <w:t>工作人员查收</w:t>
            </w:r>
            <w:r>
              <w:rPr>
                <w:rStyle w:val="58"/>
                <w:rFonts w:hint="eastAsia" w:ascii="宋体" w:hAnsi="宋体"/>
                <w:szCs w:val="21"/>
                <w:lang w:eastAsia="en-US"/>
              </w:rPr>
              <w:t>（联系人：</w:t>
            </w:r>
            <w:r>
              <w:rPr>
                <w:rFonts w:hint="eastAsia" w:ascii="宋体" w:hAnsi="宋体"/>
                <w:szCs w:val="21"/>
              </w:rPr>
              <w:t>葛工</w:t>
            </w:r>
            <w:r>
              <w:rPr>
                <w:rStyle w:val="58"/>
                <w:rFonts w:hint="eastAsia" w:ascii="宋体" w:hAnsi="宋体"/>
                <w:szCs w:val="21"/>
                <w:lang w:eastAsia="en-US"/>
              </w:rPr>
              <w:t>；联系方式：</w:t>
            </w:r>
            <w:r>
              <w:t>18560151676</w:t>
            </w:r>
            <w:r>
              <w:rPr>
                <w:rStyle w:val="58"/>
                <w:rFonts w:hint="eastAsia" w:ascii="宋体" w:hAnsi="宋体"/>
                <w:szCs w:val="21"/>
                <w:lang w:eastAsia="en-US"/>
              </w:rPr>
              <w:t>）</w:t>
            </w:r>
            <w:r>
              <w:rPr>
                <w:rStyle w:val="58"/>
                <w:rFonts w:hint="eastAsia" w:ascii="宋体" w:hAnsi="宋体"/>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67" w:hRule="exact"/>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2.2.2</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highlight w:val="yellow"/>
              </w:rPr>
              <w:t>投标截止时间</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u w:val="single"/>
              </w:rPr>
            </w:pPr>
            <w:r>
              <w:rPr>
                <w:rFonts w:hint="eastAsia" w:ascii="宋体" w:hAnsi="宋体"/>
                <w:szCs w:val="21"/>
                <w:highlight w:val="yellow"/>
              </w:rPr>
              <w:t>202</w:t>
            </w:r>
            <w:r>
              <w:rPr>
                <w:rFonts w:ascii="宋体" w:hAnsi="宋体"/>
                <w:szCs w:val="21"/>
                <w:highlight w:val="yellow"/>
              </w:rPr>
              <w:t>6</w:t>
            </w:r>
            <w:r>
              <w:rPr>
                <w:rFonts w:hint="eastAsia" w:asciiTheme="minorEastAsia" w:hAnsiTheme="minorEastAsia" w:eastAsiaTheme="minorEastAsia"/>
                <w:szCs w:val="21"/>
                <w:highlight w:val="yellow"/>
              </w:rPr>
              <w:t>年</w:t>
            </w:r>
            <w:bookmarkStart w:id="253" w:name="_GoBack"/>
            <w:r>
              <w:rPr>
                <w:rFonts w:asciiTheme="minorEastAsia" w:hAnsiTheme="minorEastAsia" w:eastAsiaTheme="minorEastAsia"/>
                <w:szCs w:val="21"/>
                <w:highlight w:val="yellow"/>
              </w:rPr>
              <w:t>3</w:t>
            </w:r>
            <w:r>
              <w:rPr>
                <w:rFonts w:hint="eastAsia" w:asciiTheme="minorEastAsia" w:hAnsiTheme="minorEastAsia" w:eastAsiaTheme="minorEastAsia"/>
                <w:szCs w:val="21"/>
                <w:highlight w:val="yellow"/>
              </w:rPr>
              <w:t>月</w:t>
            </w:r>
            <w:r>
              <w:rPr>
                <w:rFonts w:asciiTheme="minorEastAsia" w:hAnsiTheme="minorEastAsia" w:eastAsiaTheme="minorEastAsia"/>
                <w:szCs w:val="21"/>
                <w:highlight w:val="yellow"/>
              </w:rPr>
              <w:t>5</w:t>
            </w:r>
            <w:r>
              <w:rPr>
                <w:rFonts w:hint="eastAsia" w:asciiTheme="minorEastAsia" w:hAnsiTheme="minorEastAsia" w:eastAsiaTheme="minorEastAsia"/>
                <w:szCs w:val="21"/>
                <w:highlight w:val="yellow"/>
              </w:rPr>
              <w:t>日</w:t>
            </w:r>
            <w:bookmarkEnd w:id="253"/>
            <w:r>
              <w:rPr>
                <w:rFonts w:asciiTheme="minorEastAsia" w:hAnsiTheme="minorEastAsia" w:eastAsiaTheme="minorEastAsia"/>
                <w:szCs w:val="21"/>
                <w:highlight w:val="yellow"/>
              </w:rPr>
              <w:t>9</w:t>
            </w:r>
            <w:r>
              <w:rPr>
                <w:rStyle w:val="58"/>
                <w:rFonts w:hint="eastAsia" w:asciiTheme="minorEastAsia" w:hAnsiTheme="minorEastAsia" w:eastAsiaTheme="minorEastAsia"/>
                <w:szCs w:val="21"/>
                <w:highlight w:val="yellow"/>
              </w:rPr>
              <w:t>:</w:t>
            </w:r>
            <w:r>
              <w:rPr>
                <w:rStyle w:val="58"/>
                <w:rFonts w:asciiTheme="minorEastAsia" w:hAnsiTheme="minorEastAsia" w:eastAsiaTheme="minorEastAsia"/>
                <w:szCs w:val="21"/>
                <w:highlight w:val="yellow"/>
              </w:rPr>
              <w:t>00</w:t>
            </w:r>
            <w:r>
              <w:rPr>
                <w:rStyle w:val="58"/>
                <w:rFonts w:hint="eastAsia" w:asciiTheme="minorEastAsia" w:hAnsiTheme="minorEastAsia" w:eastAsiaTheme="minorEastAsia"/>
                <w:b/>
                <w:bCs/>
                <w:szCs w:val="21"/>
                <w:highlight w:val="yellow"/>
              </w:rPr>
              <w:t>（以重汽e采通设置时间为准）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2.2.3</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投标人确认收到招标文件澄清的时间及方式</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ind w:left="-2" w:leftChars="-1" w:firstLine="2" w:firstLineChars="1"/>
              <w:rPr>
                <w:rStyle w:val="58"/>
                <w:rFonts w:ascii="宋体" w:hAnsi="宋体"/>
                <w:szCs w:val="21"/>
                <w:u w:val="single"/>
              </w:rPr>
            </w:pPr>
            <w:r>
              <w:rPr>
                <w:rStyle w:val="58"/>
                <w:rFonts w:ascii="宋体" w:hAnsi="宋体"/>
                <w:szCs w:val="21"/>
              </w:rPr>
              <w:t>在收到相应澄清文件后</w:t>
            </w:r>
            <w:r>
              <w:rPr>
                <w:rStyle w:val="58"/>
                <w:rFonts w:ascii="宋体" w:hAnsi="宋体"/>
                <w:szCs w:val="21"/>
                <w:u w:val="single"/>
              </w:rPr>
              <w:t>24</w:t>
            </w:r>
            <w:r>
              <w:rPr>
                <w:rStyle w:val="58"/>
                <w:rFonts w:ascii="宋体" w:hAnsi="宋体"/>
                <w:szCs w:val="21"/>
              </w:rPr>
              <w:t>小时内；在回执单上盖上单位公章，以书面方式回执。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2.3.2</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投标人确认收到招标文件修改的时间及方式</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在收到相应修改文件后</w:t>
            </w:r>
            <w:r>
              <w:rPr>
                <w:rStyle w:val="58"/>
                <w:rFonts w:ascii="宋体" w:hAnsi="宋体"/>
                <w:szCs w:val="21"/>
                <w:u w:val="single"/>
              </w:rPr>
              <w:t>24</w:t>
            </w:r>
            <w:r>
              <w:rPr>
                <w:rStyle w:val="58"/>
                <w:rFonts w:ascii="宋体" w:hAnsi="宋体"/>
                <w:szCs w:val="21"/>
              </w:rPr>
              <w:t>小时内；在回执单上盖上单位公章，以书面方式回执。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3.1.1</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构成投标文件的其他材料</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投标人的澄清及承诺（如果有）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5" w:hRule="atLeast"/>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3.3.1</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投标有效期</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u w:val="single"/>
              </w:rPr>
              <w:t>90</w:t>
            </w:r>
            <w:r>
              <w:rPr>
                <w:rStyle w:val="58"/>
                <w:rFonts w:ascii="宋体" w:hAnsi="宋体"/>
                <w:szCs w:val="21"/>
              </w:rPr>
              <w:t>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rPr>
                <w:rStyle w:val="58"/>
                <w:rFonts w:ascii="宋体" w:hAnsi="宋体"/>
                <w:szCs w:val="21"/>
              </w:rPr>
            </w:pPr>
            <w:r>
              <w:rPr>
                <w:rStyle w:val="58"/>
                <w:rFonts w:ascii="宋体" w:hAnsi="宋体"/>
                <w:szCs w:val="21"/>
              </w:rPr>
              <w:t>3.4.1</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投标保证金的递交及相关费用的收取</w:t>
            </w:r>
          </w:p>
        </w:tc>
        <w:tc>
          <w:tcPr>
            <w:tcW w:w="3402" w:type="pct"/>
            <w:tcBorders>
              <w:top w:val="single" w:color="000000" w:sz="6" w:space="0"/>
              <w:left w:val="single" w:color="000000" w:sz="6" w:space="0"/>
              <w:bottom w:val="single" w:color="000000" w:sz="6" w:space="0"/>
              <w:right w:val="single" w:color="000000" w:sz="12" w:space="0"/>
            </w:tcBorders>
          </w:tcPr>
          <w:p>
            <w:r>
              <w:t>投标保证金的形式：</w:t>
            </w:r>
          </w:p>
          <w:p>
            <w:pPr>
              <w:tabs>
                <w:tab w:val="left" w:pos="3994"/>
              </w:tabs>
            </w:pPr>
            <w:r>
              <w:rPr/>
              <w:sym w:font="Wingdings 2" w:char="0052"/>
            </w:r>
            <w:r>
              <w:t>电汇或网银</w:t>
            </w:r>
            <w:r>
              <w:rPr>
                <w:rFonts w:hint="eastAsia"/>
              </w:rPr>
              <w:t>或银行保函；</w:t>
            </w:r>
            <w:r>
              <w:tab/>
            </w:r>
          </w:p>
          <w:p>
            <w:r>
              <w:rPr>
                <w:rFonts w:hint="eastAsia"/>
              </w:rPr>
              <w:t>投标保证金需从银行基本账户转出。</w:t>
            </w:r>
          </w:p>
          <w:p>
            <w:r>
              <w:t>投标保证金的金额：</w:t>
            </w:r>
            <w:r>
              <w:rPr>
                <w:rFonts w:hint="eastAsia"/>
              </w:rPr>
              <w:t>人民币伍仟元整（¥</w:t>
            </w:r>
            <w:r>
              <w:t>5000</w:t>
            </w:r>
            <w:r>
              <w:rPr>
                <w:rFonts w:hint="eastAsia"/>
              </w:rPr>
              <w:t>元）</w:t>
            </w:r>
          </w:p>
          <w:p>
            <w:r>
              <w:t>投标保证金提交截止期限：</w:t>
            </w:r>
            <w:r>
              <w:rPr>
                <w:rFonts w:hint="eastAsia"/>
                <w:highlight w:val="yellow"/>
              </w:rPr>
              <w:t>202</w:t>
            </w:r>
            <w:r>
              <w:rPr>
                <w:highlight w:val="yellow"/>
              </w:rPr>
              <w:t>6</w:t>
            </w:r>
            <w:r>
              <w:rPr>
                <w:rFonts w:hint="eastAsia"/>
                <w:highlight w:val="yellow"/>
              </w:rPr>
              <w:t>年</w:t>
            </w:r>
            <w:r>
              <w:rPr>
                <w:highlight w:val="yellow"/>
              </w:rPr>
              <w:t>3</w:t>
            </w:r>
            <w:r>
              <w:rPr>
                <w:rFonts w:hint="eastAsia"/>
                <w:highlight w:val="yellow"/>
              </w:rPr>
              <w:t>月</w:t>
            </w:r>
            <w:r>
              <w:rPr>
                <w:highlight w:val="yellow"/>
              </w:rPr>
              <w:t>4</w:t>
            </w:r>
            <w:r>
              <w:rPr>
                <w:rFonts w:hint="eastAsia"/>
                <w:highlight w:val="yellow"/>
              </w:rPr>
              <w:t>日</w:t>
            </w:r>
            <w:r>
              <w:rPr>
                <w:highlight w:val="yellow"/>
              </w:rPr>
              <w:t>1</w:t>
            </w:r>
            <w:r>
              <w:rPr>
                <w:rFonts w:hint="eastAsia"/>
                <w:highlight w:val="yellow"/>
              </w:rPr>
              <w:t>7</w:t>
            </w:r>
            <w:r>
              <w:rPr>
                <w:highlight w:val="yellow"/>
              </w:rPr>
              <w:t>:00时前</w:t>
            </w:r>
            <w:r>
              <w:rPr>
                <w:rFonts w:hint="eastAsia"/>
              </w:rPr>
              <w:t>。</w:t>
            </w:r>
          </w:p>
          <w:p>
            <w:r>
              <w:rPr>
                <w:rFonts w:hint="eastAsia"/>
              </w:rPr>
              <w:t>投标保证金提交到：</w:t>
            </w:r>
          </w:p>
          <w:p>
            <w:pPr>
              <w:ind w:firstLine="420" w:firstLineChars="200"/>
            </w:pPr>
            <w:r>
              <w:rPr>
                <w:rFonts w:hint="eastAsia"/>
              </w:rPr>
              <w:t>开户名称：中国重汽集团济南动力有限公司</w:t>
            </w:r>
          </w:p>
          <w:p>
            <w:pPr>
              <w:ind w:firstLine="420" w:firstLineChars="200"/>
            </w:pPr>
            <w:r>
              <w:rPr>
                <w:rFonts w:hint="eastAsia"/>
              </w:rPr>
              <w:t>开户银行：中国建设银行济南市天桥区支行</w:t>
            </w:r>
          </w:p>
          <w:p>
            <w:pPr>
              <w:ind w:firstLine="420" w:firstLineChars="200"/>
            </w:pPr>
            <w:r>
              <w:rPr>
                <w:rFonts w:hint="eastAsia"/>
              </w:rPr>
              <w:t>银行帐号：37001616508050150300</w:t>
            </w:r>
          </w:p>
          <w:p>
            <w:pPr>
              <w:ind w:firstLine="420" w:firstLineChars="200"/>
            </w:pPr>
            <w:r>
              <w:rPr>
                <w:rFonts w:hint="eastAsia"/>
              </w:rPr>
              <w:t>开户行行号：105451000362</w:t>
            </w:r>
          </w:p>
          <w:p>
            <w:pPr>
              <w:ind w:firstLine="420" w:firstLineChars="200"/>
            </w:pPr>
            <w:r>
              <w:rPr>
                <w:rFonts w:hint="eastAsia"/>
              </w:rPr>
              <w:t>财务电话：0531-56062179</w:t>
            </w:r>
          </w:p>
          <w:p>
            <w:r>
              <w:rPr>
                <w:rFonts w:hint="eastAsia"/>
              </w:rPr>
              <w:t>保证金未按上述规定缴纳的，视为自动放弃投标资格。</w:t>
            </w:r>
          </w:p>
          <w:p/>
          <w:p>
            <w:r>
              <w:rPr/>
              <w:sym w:font="Wingdings 2" w:char="0052"/>
            </w:r>
            <w:r>
              <w:t>中标人的投标保证金自动转为履约保证金，待竣工验收后根据履约情况予以退还。</w:t>
            </w:r>
          </w:p>
          <w:p>
            <w:pPr>
              <w:pStyle w:val="2"/>
              <w:ind w:left="420" w:firstLine="420"/>
            </w:pPr>
          </w:p>
          <w:p>
            <w:pPr>
              <w:pStyle w:val="2"/>
              <w:ind w:left="0" w:leftChars="0" w:firstLine="0" w:firstLineChars="0"/>
              <w:rPr>
                <w:b/>
                <w:bCs/>
              </w:rPr>
            </w:pPr>
            <w:r>
              <w:rPr>
                <w:rFonts w:hint="eastAsia"/>
                <w:b/>
                <w:bCs/>
                <w:highlight w:val="yellow"/>
              </w:rPr>
              <w:t>特别提醒：</w:t>
            </w:r>
          </w:p>
          <w:p>
            <w:pPr>
              <w:rPr>
                <w:b/>
                <w:bCs/>
              </w:rPr>
            </w:pPr>
            <w:r>
              <w:rPr>
                <w:rFonts w:hint="eastAsia"/>
              </w:rPr>
              <w:t>1、</w:t>
            </w:r>
            <w:r>
              <w:rPr>
                <w:rFonts w:hint="eastAsia"/>
                <w:b/>
                <w:bCs/>
              </w:rPr>
              <w:t>投标人原则上应以提交银行投标保函或从银行基本账户转账的方式缴纳投标保证金。</w:t>
            </w:r>
          </w:p>
          <w:p>
            <w:r>
              <w:rPr>
                <w:rFonts w:hint="eastAsia"/>
              </w:rPr>
              <w:t>投标人提交银行投标保函的，应在开标时提交投标保函正本</w:t>
            </w:r>
            <w:r>
              <w:rPr>
                <w:rFonts w:hint="eastAsia"/>
                <w:b/>
                <w:bCs/>
              </w:rPr>
              <w:t>（若有，需单独密封）</w:t>
            </w:r>
            <w:r>
              <w:rPr>
                <w:rFonts w:hint="eastAsia"/>
              </w:rPr>
              <w:t>，该投标保函应是不可撤销的“见索即付”保函，保函有效期应满足投标有效期要求；</w:t>
            </w:r>
          </w:p>
          <w:p>
            <w:r>
              <w:rPr>
                <w:rFonts w:hint="eastAsia"/>
              </w:rPr>
              <w:t>投标人从银行基本账户转账的，</w:t>
            </w:r>
            <w:r>
              <w:rPr>
                <w:rFonts w:hint="eastAsia"/>
                <w:b/>
                <w:bCs/>
              </w:rPr>
              <w:t>银行摘要信息中要求有“保证金”字样。</w:t>
            </w:r>
          </w:p>
          <w:p>
            <w:r>
              <w:rPr>
                <w:rFonts w:hint="eastAsia"/>
              </w:rPr>
              <w:t>2、</w:t>
            </w:r>
            <w:r>
              <w:t>投标保证金的退还</w:t>
            </w:r>
          </w:p>
          <w:p>
            <w:pPr>
              <w:ind w:firstLine="420" w:firstLineChars="200"/>
            </w:pPr>
            <w:r>
              <w:t>按照招投标法保证金返还相关条款约定，结合我公司财务管理流程等综合因素，保证金退款流程申请成功退款到账时间为：</w:t>
            </w:r>
            <w:r>
              <w:rPr>
                <w:rFonts w:hint="eastAsia"/>
              </w:rPr>
              <w:t>未中标的投标人投标保证金将在中标通知书发出后60日内予以无息退还；中标人的投标保证金将转为履约保证金的，待具备退还条件后予以无息退还</w:t>
            </w:r>
            <w:r>
              <w:t>。</w:t>
            </w:r>
          </w:p>
          <w:p>
            <w:pPr>
              <w:ind w:firstLine="420" w:firstLineChars="200"/>
            </w:pPr>
            <w:r>
              <w:t>请各投标单位知悉且视为认同此条款。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3.6.3</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签字和（或）盖章要求</w:t>
            </w:r>
          </w:p>
        </w:tc>
        <w:tc>
          <w:tcPr>
            <w:tcW w:w="3402"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投标文件封面处及投标函均应加盖投标人印章并经法定代表人或其委托代理人签字或盖章。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7" w:hRule="atLeast"/>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3.6.4</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投标文件副本份数</w:t>
            </w:r>
          </w:p>
        </w:tc>
        <w:tc>
          <w:tcPr>
            <w:tcW w:w="3402" w:type="pct"/>
            <w:tcBorders>
              <w:top w:val="single" w:color="000000" w:sz="6" w:space="0"/>
              <w:left w:val="single" w:color="000000" w:sz="6" w:space="0"/>
              <w:bottom w:val="single" w:color="000000" w:sz="6" w:space="0"/>
              <w:right w:val="single" w:color="000000" w:sz="12" w:space="0"/>
            </w:tcBorders>
            <w:vAlign w:val="center"/>
          </w:tcPr>
          <w:p>
            <w:pPr>
              <w:rPr>
                <w:rStyle w:val="58"/>
                <w:rFonts w:ascii="宋体" w:hAnsi="宋体"/>
                <w:szCs w:val="21"/>
              </w:rPr>
            </w:pPr>
            <w:r>
              <w:rPr>
                <w:rStyle w:val="58"/>
                <w:rFonts w:hint="eastAsia" w:ascii="宋体" w:hAnsi="宋体"/>
                <w:szCs w:val="21"/>
              </w:rPr>
              <w:t>一</w:t>
            </w:r>
            <w:r>
              <w:rPr>
                <w:rStyle w:val="58"/>
                <w:rFonts w:ascii="宋体" w:hAnsi="宋体"/>
                <w:szCs w:val="21"/>
              </w:rPr>
              <w:t>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3.6.5</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pPr>
            <w:r>
              <w:t>装订要求</w:t>
            </w:r>
          </w:p>
        </w:tc>
        <w:tc>
          <w:tcPr>
            <w:tcW w:w="3402" w:type="pct"/>
            <w:tcBorders>
              <w:top w:val="single" w:color="000000" w:sz="6" w:space="0"/>
              <w:left w:val="single" w:color="000000" w:sz="6" w:space="0"/>
              <w:bottom w:val="single" w:color="000000" w:sz="6" w:space="0"/>
              <w:right w:val="single" w:color="000000" w:sz="12" w:space="0"/>
            </w:tcBorders>
          </w:tcPr>
          <w:p>
            <w:pPr>
              <w:spacing w:line="276" w:lineRule="auto"/>
            </w:pPr>
            <w:r>
              <w:t>按照</w:t>
            </w:r>
            <w:r>
              <w:rPr>
                <w:rFonts w:hint="eastAsia"/>
              </w:rPr>
              <w:t>总则、</w:t>
            </w:r>
            <w:r>
              <w:rPr>
                <w:b/>
                <w:bCs/>
              </w:rPr>
              <w:t>投标人须知第3.1.1项</w:t>
            </w:r>
            <w:r>
              <w:t>规定的投标文件组成内容，投标文件应按以下要求装订；</w:t>
            </w:r>
          </w:p>
          <w:p>
            <w:pPr>
              <w:spacing w:line="276" w:lineRule="auto"/>
            </w:pPr>
            <w:r>
              <w:rPr>
                <w:rFonts w:hint="eastAsia"/>
              </w:rPr>
              <w:t>（1）</w:t>
            </w:r>
            <w:r>
              <w:rPr>
                <w:rFonts w:hint="eastAsia"/>
                <w:b/>
                <w:bCs/>
              </w:rPr>
              <w:t>工程唱标单</w:t>
            </w:r>
            <w:r>
              <w:rPr>
                <w:rFonts w:hint="eastAsia"/>
              </w:rPr>
              <w:t>：一式二份，单独密封。</w:t>
            </w:r>
          </w:p>
          <w:p>
            <w:pPr>
              <w:spacing w:line="276" w:lineRule="auto"/>
            </w:pPr>
            <w:r>
              <w:rPr>
                <w:rFonts w:hint="eastAsia"/>
              </w:rPr>
              <w:t>（2）</w:t>
            </w:r>
            <w:r>
              <w:rPr>
                <w:rFonts w:hint="eastAsia"/>
                <w:b/>
                <w:bCs/>
              </w:rPr>
              <w:t>投标文件电子版</w:t>
            </w:r>
            <w:r>
              <w:rPr>
                <w:rFonts w:hint="eastAsia"/>
              </w:rPr>
              <w:t>：</w:t>
            </w:r>
            <w:r>
              <w:rPr>
                <w:rStyle w:val="58"/>
                <w:rFonts w:ascii="宋体" w:hAnsi="宋体"/>
                <w:szCs w:val="21"/>
              </w:rPr>
              <w:t>U盘</w:t>
            </w:r>
            <w:r>
              <w:rPr>
                <w:rStyle w:val="58"/>
                <w:rFonts w:hint="eastAsia" w:ascii="宋体" w:hAnsi="宋体"/>
                <w:szCs w:val="21"/>
              </w:rPr>
              <w:t>，一份，</w:t>
            </w:r>
            <w:r>
              <w:rPr>
                <w:rStyle w:val="58"/>
                <w:rFonts w:ascii="宋体" w:hAnsi="宋体"/>
                <w:szCs w:val="21"/>
              </w:rPr>
              <w:t>单独放入一个密封袋中</w:t>
            </w:r>
            <w:r>
              <w:rPr>
                <w:rStyle w:val="58"/>
                <w:rFonts w:hint="eastAsia" w:ascii="宋体" w:hAnsi="宋体"/>
                <w:szCs w:val="21"/>
              </w:rPr>
              <w:t>。投标文件电子版应包含</w:t>
            </w:r>
            <w:r>
              <w:rPr>
                <w:rStyle w:val="58"/>
                <w:rFonts w:ascii="宋体" w:hAnsi="宋体"/>
                <w:szCs w:val="21"/>
              </w:rPr>
              <w:t>PDF</w:t>
            </w:r>
            <w:r>
              <w:rPr>
                <w:rStyle w:val="58"/>
                <w:rFonts w:hint="eastAsia" w:ascii="宋体" w:hAnsi="宋体"/>
                <w:szCs w:val="21"/>
              </w:rPr>
              <w:t>、</w:t>
            </w:r>
            <w:r>
              <w:rPr>
                <w:rStyle w:val="58"/>
                <w:rFonts w:ascii="宋体" w:hAnsi="宋体"/>
                <w:szCs w:val="21"/>
              </w:rPr>
              <w:t>WORD</w:t>
            </w:r>
            <w:r>
              <w:rPr>
                <w:rStyle w:val="58"/>
                <w:rFonts w:hint="eastAsia" w:ascii="宋体" w:hAnsi="宋体"/>
                <w:szCs w:val="21"/>
              </w:rPr>
              <w:t>、</w:t>
            </w:r>
            <w:r>
              <w:rPr>
                <w:rStyle w:val="58"/>
                <w:rFonts w:ascii="宋体" w:hAnsi="宋体"/>
                <w:szCs w:val="21"/>
              </w:rPr>
              <w:t>EXCEL格式</w:t>
            </w:r>
            <w:r>
              <w:rPr>
                <w:rStyle w:val="58"/>
                <w:rFonts w:hint="eastAsia" w:ascii="宋体" w:hAnsi="宋体"/>
                <w:szCs w:val="21"/>
              </w:rPr>
              <w:t>（P</w:t>
            </w:r>
            <w:r>
              <w:rPr>
                <w:rStyle w:val="58"/>
                <w:rFonts w:ascii="宋体" w:hAnsi="宋体"/>
                <w:szCs w:val="21"/>
              </w:rPr>
              <w:t>DF</w:t>
            </w:r>
            <w:r>
              <w:rPr>
                <w:rStyle w:val="58"/>
                <w:rFonts w:hint="eastAsia" w:ascii="宋体" w:hAnsi="宋体"/>
                <w:szCs w:val="21"/>
              </w:rPr>
              <w:t>版需逐页加盖公章），确保与上传重汽e采通的投标文件电子版一致。其中，</w:t>
            </w:r>
            <w:r>
              <w:rPr>
                <w:rStyle w:val="58"/>
                <w:rFonts w:ascii="宋体" w:hAnsi="宋体"/>
                <w:b/>
                <w:bCs/>
                <w:szCs w:val="21"/>
              </w:rPr>
              <w:t>《分部分项工程量清单与计价表》应为EXCEL格式</w:t>
            </w:r>
            <w:r>
              <w:rPr>
                <w:rStyle w:val="58"/>
                <w:rFonts w:hint="eastAsia" w:ascii="宋体" w:hAnsi="宋体"/>
                <w:b/>
                <w:bCs/>
                <w:szCs w:val="21"/>
              </w:rPr>
              <w:t>，并应包含广联达软件版报价文件。</w:t>
            </w:r>
            <w:r>
              <w:rPr>
                <w:rStyle w:val="58"/>
                <w:rFonts w:hint="eastAsia" w:ascii="宋体" w:hAnsi="宋体" w:cs="宋体"/>
                <w:b/>
                <w:bCs/>
                <w:szCs w:val="21"/>
              </w:rPr>
              <w:t>电子版与上传到e采通的文件不一致的，以上传到e采通的为准。</w:t>
            </w:r>
          </w:p>
          <w:p>
            <w:pPr>
              <w:spacing w:line="276" w:lineRule="auto"/>
            </w:pPr>
            <w:r>
              <w:rPr>
                <w:rFonts w:hint="eastAsia"/>
              </w:rPr>
              <w:t>（3）</w:t>
            </w:r>
            <w:r>
              <w:rPr>
                <w:b/>
                <w:bCs/>
              </w:rPr>
              <w:t>资格审查文件</w:t>
            </w:r>
            <w:r>
              <w:t>：第九章内容（只需一份，单独装密封）</w:t>
            </w:r>
          </w:p>
          <w:p>
            <w:pPr>
              <w:spacing w:line="276" w:lineRule="auto"/>
            </w:pPr>
            <w:r>
              <w:t>（4）</w:t>
            </w:r>
            <w:r>
              <w:rPr>
                <w:b/>
                <w:bCs/>
              </w:rPr>
              <w:t>商务标及技术标文件</w:t>
            </w:r>
            <w:r>
              <w:t>，分两册装订，分别为：</w:t>
            </w:r>
          </w:p>
          <w:p>
            <w:pPr>
              <w:spacing w:line="276" w:lineRule="auto"/>
            </w:pPr>
            <w:r>
              <w:t>商务标册：包括（1）至（5）的内容（一正</w:t>
            </w:r>
            <w:r>
              <w:rPr>
                <w:rFonts w:hint="eastAsia"/>
              </w:rPr>
              <w:t>一</w:t>
            </w:r>
            <w:r>
              <w:t>副）</w:t>
            </w:r>
          </w:p>
          <w:p>
            <w:pPr>
              <w:spacing w:line="276" w:lineRule="auto"/>
            </w:pPr>
            <w:r>
              <w:t>技术标册：包括（6）至（8）的内容（一正</w:t>
            </w:r>
            <w:r>
              <w:rPr>
                <w:rFonts w:hint="eastAsia"/>
                <w:b/>
                <w:bCs/>
              </w:rPr>
              <w:t>一</w:t>
            </w:r>
            <w:r>
              <w:t>副）</w:t>
            </w:r>
          </w:p>
          <w:p>
            <w:pPr>
              <w:spacing w:line="276" w:lineRule="auto"/>
            </w:pPr>
            <w:r>
              <w:t>以上文件每册采用胶装方式装订，应牢固、不易拆散和换页，不得采用活页装订。</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4.1.2</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pPr>
            <w:r>
              <w:t>封套上写明</w:t>
            </w:r>
          </w:p>
        </w:tc>
        <w:tc>
          <w:tcPr>
            <w:tcW w:w="3402" w:type="pct"/>
            <w:tcBorders>
              <w:top w:val="single" w:color="000000" w:sz="6" w:space="0"/>
              <w:left w:val="single" w:color="000000" w:sz="6" w:space="0"/>
              <w:bottom w:val="single" w:color="000000" w:sz="6" w:space="0"/>
              <w:right w:val="single" w:color="000000" w:sz="12" w:space="0"/>
            </w:tcBorders>
          </w:tcPr>
          <w:p>
            <w:pPr>
              <w:spacing w:line="276" w:lineRule="auto"/>
            </w:pPr>
            <w:r>
              <w:rPr>
                <w:rFonts w:hint="eastAsia"/>
              </w:rPr>
              <w:t>1) 项目编号、项目名称；</w:t>
            </w:r>
          </w:p>
          <w:p>
            <w:pPr>
              <w:spacing w:line="276" w:lineRule="auto"/>
            </w:pPr>
            <w:r>
              <w:rPr>
                <w:rFonts w:hint="eastAsia"/>
              </w:rPr>
              <w:t>2) 技术标书、唱标单、投标文件电子版、商务标书、资格审查文件；</w:t>
            </w:r>
          </w:p>
          <w:p>
            <w:pPr>
              <w:spacing w:line="276" w:lineRule="auto"/>
            </w:pPr>
            <w:r>
              <w:rPr>
                <w:rFonts w:hint="eastAsia"/>
              </w:rPr>
              <w:t>3) 投标人名称（加盖公章）、地址、固定电话、授权人手机号；</w:t>
            </w:r>
          </w:p>
          <w:p>
            <w:pPr>
              <w:spacing w:line="276" w:lineRule="auto"/>
            </w:pPr>
            <w:r>
              <w:rPr>
                <w:rFonts w:hint="eastAsia"/>
              </w:rPr>
              <w:t>4）每一密封件在封口处注明“于    年  月   日  时  分</w:t>
            </w:r>
            <w:r>
              <w:t>（按实际开标时间填写）</w:t>
            </w:r>
            <w:r>
              <w:rPr>
                <w:rFonts w:hint="eastAsia"/>
              </w:rPr>
              <w:t>之前不准启封”字样。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4.2.2</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jc w:val="center"/>
              <w:rPr>
                <w:rStyle w:val="58"/>
                <w:rFonts w:ascii="宋体" w:hAnsi="宋体"/>
                <w:szCs w:val="21"/>
              </w:rPr>
            </w:pPr>
            <w:r>
              <w:rPr>
                <w:rStyle w:val="58"/>
                <w:rFonts w:ascii="宋体" w:hAnsi="宋体"/>
                <w:szCs w:val="21"/>
              </w:rPr>
              <w:t>递交投标文件地点</w:t>
            </w:r>
          </w:p>
        </w:tc>
        <w:tc>
          <w:tcPr>
            <w:tcW w:w="3402" w:type="pct"/>
            <w:tcBorders>
              <w:top w:val="single" w:color="000000" w:sz="6" w:space="0"/>
              <w:left w:val="single" w:color="000000" w:sz="6" w:space="0"/>
              <w:bottom w:val="single" w:color="000000" w:sz="6" w:space="0"/>
              <w:right w:val="single" w:color="000000" w:sz="12" w:space="0"/>
            </w:tcBorders>
          </w:tcPr>
          <w:p>
            <w:pPr>
              <w:spacing w:line="276" w:lineRule="auto"/>
              <w:ind w:firstLine="420" w:firstLineChars="200"/>
            </w:pPr>
            <w:r>
              <w:rPr>
                <w:rFonts w:hint="eastAsia"/>
                <w:highlight w:val="yellow"/>
              </w:rPr>
              <w:t>纸质版投标文件递交地点：济南市华奥路</w:t>
            </w:r>
            <w:r>
              <w:rPr>
                <w:highlight w:val="yellow"/>
              </w:rPr>
              <w:t>777</w:t>
            </w:r>
            <w:r>
              <w:rPr>
                <w:rFonts w:hint="eastAsia"/>
                <w:highlight w:val="yellow"/>
              </w:rPr>
              <w:t>号重汽科技大厦</w:t>
            </w:r>
            <w:r>
              <w:rPr>
                <w:highlight w:val="yellow"/>
              </w:rPr>
              <w:t>1307</w:t>
            </w:r>
            <w:r>
              <w:rPr>
                <w:rFonts w:hint="eastAsia"/>
                <w:highlight w:val="yellow"/>
              </w:rPr>
              <w:t>室，</w:t>
            </w:r>
            <w:r>
              <w:rPr>
                <w:rFonts w:hint="eastAsia"/>
                <w:b/>
                <w:bCs/>
              </w:rPr>
              <w:t>线上线下同时开标</w:t>
            </w:r>
            <w:r>
              <w:rPr>
                <w:rFonts w:hint="eastAsia"/>
              </w:rPr>
              <w:t>。</w:t>
            </w:r>
          </w:p>
          <w:p>
            <w:pPr>
              <w:spacing w:line="276" w:lineRule="auto"/>
              <w:ind w:firstLine="420" w:firstLineChars="200"/>
            </w:pPr>
            <w:r>
              <w:rPr>
                <w:rFonts w:hint="eastAsia"/>
              </w:rPr>
              <w:t>同时，投标人须在投标截止时间前</w:t>
            </w:r>
            <w:r>
              <w:rPr>
                <w:rFonts w:hint="eastAsia" w:ascii="宋体" w:hAnsi="宋体" w:cs="宋体"/>
                <w:szCs w:val="21"/>
              </w:rPr>
              <w:t>（</w:t>
            </w:r>
            <w:r>
              <w:rPr>
                <w:rFonts w:hint="eastAsia" w:ascii="宋体" w:hAnsi="宋体" w:cs="宋体"/>
                <w:b/>
                <w:bCs/>
                <w:szCs w:val="21"/>
                <w:em w:val="dot"/>
              </w:rPr>
              <w:t>为避免网络或电脑设备等临时出现问题，建议在投标截止日期前至少一天</w:t>
            </w:r>
            <w:r>
              <w:rPr>
                <w:rFonts w:hint="eastAsia" w:ascii="宋体" w:hAnsi="宋体" w:cs="宋体"/>
                <w:szCs w:val="21"/>
              </w:rPr>
              <w:t>）</w:t>
            </w:r>
            <w:r>
              <w:rPr>
                <w:rFonts w:hint="eastAsia"/>
              </w:rPr>
              <w:t>将电子版投标文件上传到重汽e采通平台</w:t>
            </w:r>
            <w:r>
              <w:fldChar w:fldCharType="begin"/>
            </w:r>
            <w:r>
              <w:instrText xml:space="preserve"> HYPERLINK "https://ecaitong.sinotruk.com:8012/" </w:instrText>
            </w:r>
            <w:r>
              <w:fldChar w:fldCharType="separate"/>
            </w:r>
            <w:r>
              <w:rPr>
                <w:rStyle w:val="45"/>
                <w:rFonts w:hint="eastAsia"/>
                <w:color w:val="auto"/>
                <w:sz w:val="21"/>
              </w:rPr>
              <w:t>http</w:t>
            </w:r>
            <w:r>
              <w:rPr>
                <w:rStyle w:val="45"/>
                <w:color w:val="auto"/>
                <w:sz w:val="21"/>
              </w:rPr>
              <w:t>s</w:t>
            </w:r>
            <w:r>
              <w:rPr>
                <w:rStyle w:val="45"/>
                <w:rFonts w:hint="eastAsia"/>
                <w:color w:val="auto"/>
                <w:sz w:val="21"/>
              </w:rPr>
              <w:t>://ecaitong.sinotruk.com:8012/</w:t>
            </w:r>
            <w:r>
              <w:rPr>
                <w:rStyle w:val="45"/>
                <w:color w:val="auto"/>
                <w:sz w:val="21"/>
              </w:rPr>
              <w:fldChar w:fldCharType="end"/>
            </w:r>
            <w:r>
              <w:rPr>
                <w:rFonts w:hint="eastAsia"/>
              </w:rPr>
              <w:t>，操作方式详见最新版《SRM-系统用户手册-非生产招投标（供应商使用）》。</w:t>
            </w:r>
            <w:r>
              <w:rPr>
                <w:rFonts w:hint="eastAsia" w:ascii="宋体" w:hAnsi="宋体" w:cs="宋体"/>
                <w:b/>
                <w:bCs/>
                <w:szCs w:val="21"/>
                <w:em w:val="dot"/>
              </w:rPr>
              <w:t>若逾期未完成重汽e采通上传标书，即便递交了纸质版投标文件，一律视为自动放弃本次投标。</w:t>
            </w:r>
          </w:p>
          <w:p>
            <w:pPr>
              <w:spacing w:line="276" w:lineRule="auto"/>
              <w:ind w:firstLine="420" w:firstLineChars="200"/>
            </w:pPr>
            <w:r>
              <w:rPr>
                <w:rFonts w:hint="eastAsia"/>
              </w:rPr>
              <w:t>注意：投标人必须在报名时根据《非生产供应商注册操作手册》完成账号注册</w:t>
            </w:r>
            <w:r>
              <w:t>，</w:t>
            </w:r>
            <w:r>
              <w:rPr>
                <w:rFonts w:hint="eastAsia"/>
              </w:rPr>
              <w:t>注册审核需2-4日，审核通过后，</w:t>
            </w:r>
            <w:r>
              <w:rPr>
                <w:rFonts w:hint="eastAsia" w:ascii="宋体" w:hAnsi="宋体" w:cs="宋体"/>
                <w:szCs w:val="21"/>
              </w:rPr>
              <w:t>使用企业账号gsy+供应商编码，初始密码为scm@2022（或@2023，以注册成功收到的短信通知为准）登录。报名成功后</w:t>
            </w:r>
            <w:r>
              <w:t>进入“</w:t>
            </w:r>
            <w:r>
              <w:rPr>
                <w:b/>
                <w:bCs/>
              </w:rPr>
              <w:t>招投标中心-非生产类招投标-供应商应标</w:t>
            </w:r>
            <w:r>
              <w:t>”</w:t>
            </w:r>
            <w:r>
              <w:rPr>
                <w:rFonts w:hint="eastAsia"/>
              </w:rPr>
              <w:t>，上传资格审查资料后通知招标联系人。</w:t>
            </w:r>
          </w:p>
          <w:p>
            <w:pPr>
              <w:pStyle w:val="2"/>
              <w:spacing w:after="0"/>
              <w:ind w:left="0" w:leftChars="0" w:firstLine="422"/>
              <w:rPr>
                <w:b/>
                <w:bCs/>
              </w:rPr>
            </w:pPr>
            <w:r>
              <w:rPr>
                <w:rFonts w:hint="eastAsia"/>
                <w:b/>
                <w:bCs/>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pStyle w:val="2"/>
              <w:spacing w:after="0"/>
              <w:ind w:left="0" w:leftChars="0" w:firstLine="420"/>
            </w:pPr>
            <w:r>
              <w:rPr>
                <w:rFonts w:hint="eastAsia"/>
              </w:rPr>
              <w:t>应标截止时间即报名截止时间，精确到秒，逾期将无法应标，视为报名不成功，无法参与投标。请自行掌握时间安排，避免无法应标。</w:t>
            </w:r>
          </w:p>
          <w:p>
            <w:pPr>
              <w:spacing w:line="276" w:lineRule="auto"/>
              <w:ind w:firstLine="420" w:firstLineChars="200"/>
            </w:pPr>
            <w:r>
              <w:rPr>
                <w:rFonts w:hint="eastAsia"/>
              </w:rPr>
              <w:t>注：资格审查未通过，不允许进入技术和商务开标、评审。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4.2.3</w:t>
            </w:r>
          </w:p>
        </w:tc>
        <w:tc>
          <w:tcPr>
            <w:tcW w:w="1126" w:type="pct"/>
            <w:tcBorders>
              <w:top w:val="single" w:color="000000" w:sz="6" w:space="0"/>
              <w:left w:val="single" w:color="000000" w:sz="6" w:space="0"/>
              <w:bottom w:val="single" w:color="000000" w:sz="6" w:space="0"/>
              <w:right w:val="single" w:color="000000" w:sz="6" w:space="0"/>
            </w:tcBorders>
          </w:tcPr>
          <w:p>
            <w:pPr>
              <w:spacing w:line="276" w:lineRule="auto"/>
              <w:rPr>
                <w:rStyle w:val="58"/>
                <w:rFonts w:ascii="宋体" w:hAnsi="宋体"/>
                <w:szCs w:val="21"/>
              </w:rPr>
            </w:pPr>
            <w:r>
              <w:rPr>
                <w:rStyle w:val="58"/>
                <w:rFonts w:ascii="宋体" w:hAnsi="宋体"/>
                <w:szCs w:val="21"/>
              </w:rPr>
              <w:t>是否退还投标文件</w:t>
            </w:r>
          </w:p>
        </w:tc>
        <w:tc>
          <w:tcPr>
            <w:tcW w:w="3402"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5.1</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highlight w:val="yellow"/>
              </w:rPr>
              <w:t>开标时间和地点</w:t>
            </w:r>
          </w:p>
        </w:tc>
        <w:tc>
          <w:tcPr>
            <w:tcW w:w="3402"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开标时间：</w:t>
            </w:r>
            <w:r>
              <w:rPr>
                <w:rStyle w:val="58"/>
                <w:rFonts w:hint="eastAsia" w:ascii="宋体" w:hAnsi="宋体"/>
                <w:b/>
                <w:bCs/>
                <w:szCs w:val="21"/>
              </w:rPr>
              <w:t>原则上同投标截止时间，</w:t>
            </w:r>
            <w:r>
              <w:rPr>
                <w:rStyle w:val="58"/>
                <w:rFonts w:hint="eastAsia" w:asciiTheme="minorEastAsia" w:hAnsiTheme="minorEastAsia" w:eastAsiaTheme="minorEastAsia"/>
                <w:b/>
                <w:bCs/>
                <w:szCs w:val="21"/>
              </w:rPr>
              <w:t>以重汽e采通设置时间为准</w:t>
            </w:r>
          </w:p>
          <w:p>
            <w:pPr>
              <w:spacing w:line="276" w:lineRule="auto"/>
              <w:rPr>
                <w:rStyle w:val="58"/>
                <w:rFonts w:ascii="宋体" w:hAnsi="宋体"/>
                <w:szCs w:val="21"/>
              </w:rPr>
            </w:pPr>
            <w:r>
              <w:rPr>
                <w:rStyle w:val="58"/>
                <w:rFonts w:ascii="宋体" w:hAnsi="宋体"/>
                <w:szCs w:val="21"/>
              </w:rPr>
              <w:t>开标地点：</w:t>
            </w:r>
            <w:r>
              <w:rPr>
                <w:rStyle w:val="58"/>
                <w:rFonts w:hint="eastAsia" w:ascii="宋体" w:hAnsi="宋体"/>
                <w:szCs w:val="21"/>
                <w:u w:val="single"/>
              </w:rPr>
              <w:t>济南市华奥路777号重汽科技大厦</w:t>
            </w:r>
            <w:r>
              <w:rPr>
                <w:rStyle w:val="58"/>
                <w:rFonts w:ascii="宋体" w:hAnsi="宋体"/>
                <w:szCs w:val="21"/>
                <w:u w:val="single"/>
              </w:rPr>
              <w:t>1307</w:t>
            </w:r>
            <w:r>
              <w:rPr>
                <w:rStyle w:val="58"/>
                <w:rFonts w:hint="eastAsia" w:ascii="宋体" w:hAnsi="宋体"/>
                <w:szCs w:val="21"/>
                <w:u w:val="single"/>
              </w:rPr>
              <w:t>室（暂定，以实际通知为准）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5.2</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开标程序</w:t>
            </w:r>
          </w:p>
        </w:tc>
        <w:tc>
          <w:tcPr>
            <w:tcW w:w="3402"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详见投标人须知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6.1.1</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评标委员会的组建</w:t>
            </w:r>
          </w:p>
        </w:tc>
        <w:tc>
          <w:tcPr>
            <w:tcW w:w="3402"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评标委员会构成：3人</w:t>
            </w:r>
            <w:r>
              <w:rPr>
                <w:rStyle w:val="58"/>
                <w:rFonts w:hint="eastAsia" w:ascii="宋体" w:hAnsi="宋体"/>
                <w:szCs w:val="21"/>
              </w:rPr>
              <w:t>及</w:t>
            </w:r>
            <w:r>
              <w:rPr>
                <w:rStyle w:val="58"/>
                <w:rFonts w:ascii="宋体" w:hAnsi="宋体"/>
                <w:szCs w:val="21"/>
              </w:rPr>
              <w:t>以上单数。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7.1</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是否授权评标委员会确定中标人</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7.3</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履约担保</w:t>
            </w:r>
          </w:p>
        </w:tc>
        <w:tc>
          <w:tcPr>
            <w:tcW w:w="3402" w:type="pct"/>
            <w:tcBorders>
              <w:top w:val="single" w:color="000000" w:sz="6" w:space="0"/>
              <w:left w:val="single" w:color="000000" w:sz="6" w:space="0"/>
              <w:bottom w:val="single" w:color="000000" w:sz="6" w:space="0"/>
              <w:right w:val="single" w:color="000000" w:sz="12" w:space="0"/>
            </w:tcBorders>
          </w:tcPr>
          <w:p>
            <w:pPr>
              <w:pStyle w:val="19"/>
            </w:pPr>
            <w:r>
              <w:rPr>
                <w:rFonts w:hint="eastAsia"/>
              </w:rPr>
              <w:sym w:font="Wingdings 2" w:char="0052"/>
            </w:r>
            <w:r>
              <w:rPr>
                <w:rFonts w:hint="eastAsia" w:eastAsia="宋体"/>
                <w:sz w:val="21"/>
                <w:szCs w:val="24"/>
              </w:rPr>
              <w:t>投标保证金转为履约保证金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 需要补充的其他内容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33"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11.1词语定义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94" w:hRule="exact"/>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11.1.1</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类似工程</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b/>
                <w:bCs/>
                <w:szCs w:val="21"/>
              </w:rPr>
              <w:t>类似工程是指：</w:t>
            </w:r>
            <w:r>
              <w:rPr>
                <w:rStyle w:val="58"/>
                <w:rFonts w:hint="eastAsia" w:ascii="宋体" w:hAnsi="宋体"/>
                <w:b/>
                <w:bCs/>
                <w:szCs w:val="21"/>
              </w:rPr>
              <w:t>近两年（202</w:t>
            </w:r>
            <w:r>
              <w:rPr>
                <w:rStyle w:val="58"/>
                <w:rFonts w:ascii="宋体" w:hAnsi="宋体"/>
                <w:b/>
                <w:bCs/>
                <w:szCs w:val="21"/>
              </w:rPr>
              <w:t>4</w:t>
            </w:r>
            <w:r>
              <w:rPr>
                <w:rStyle w:val="58"/>
                <w:rFonts w:hint="eastAsia" w:ascii="宋体" w:hAnsi="宋体"/>
                <w:b/>
                <w:bCs/>
                <w:szCs w:val="21"/>
              </w:rPr>
              <w:t>年2月1日至今）单项合同额不低于5</w:t>
            </w:r>
            <w:r>
              <w:rPr>
                <w:rStyle w:val="58"/>
                <w:rFonts w:ascii="宋体" w:hAnsi="宋体"/>
                <w:b/>
                <w:bCs/>
                <w:szCs w:val="21"/>
              </w:rPr>
              <w:t>0</w:t>
            </w:r>
            <w:r>
              <w:rPr>
                <w:rStyle w:val="58"/>
                <w:rFonts w:hint="eastAsia" w:ascii="宋体" w:hAnsi="宋体"/>
                <w:b/>
                <w:bCs/>
                <w:szCs w:val="21"/>
              </w:rPr>
              <w:t>万元类似工业项目施工合同；</w:t>
            </w:r>
            <w:r>
              <w:rPr>
                <w:rStyle w:val="58"/>
                <w:rFonts w:ascii="宋体" w:hAnsi="宋体"/>
                <w:szCs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658" w:hRule="exact"/>
          <w:jc w:val="center"/>
        </w:trPr>
        <w:tc>
          <w:tcPr>
            <w:tcW w:w="472" w:type="pct"/>
            <w:tcBorders>
              <w:top w:val="single" w:color="000000" w:sz="6" w:space="0"/>
              <w:left w:val="single" w:color="000000" w:sz="12"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11.1.2</w:t>
            </w: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不良行为记录</w:t>
            </w:r>
          </w:p>
        </w:tc>
        <w:tc>
          <w:tcPr>
            <w:tcW w:w="3402"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不良行为记录是指：</w:t>
            </w:r>
            <w:r>
              <w:rPr>
                <w:rStyle w:val="58"/>
                <w:szCs w:val="21"/>
              </w:rPr>
              <w:t>a、</w:t>
            </w:r>
            <w:r>
              <w:rPr>
                <w:rStyle w:val="58"/>
                <w:rFonts w:ascii="宋体" w:hAnsi="宋体"/>
                <w:szCs w:val="21"/>
              </w:rPr>
              <w:t>企业不良行为记录情况主要是近年投标人在工程建设过程中因违反有关工程建设的法律、法规、规章或强制性标准和执业行为规范，经县级以上建设行政主管部门或其委托的执法监督机构查实和行政处罚，形成的不良行为记录。</w:t>
            </w:r>
            <w:r>
              <w:rPr>
                <w:rStyle w:val="58"/>
                <w:b/>
                <w:szCs w:val="21"/>
              </w:rPr>
              <w:t>b、经裁判文书网查询投标人有单位行贿犯罪记录的（投标人自行查询，并附在投标文件中）。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2" w:hRule="exact"/>
          <w:jc w:val="center"/>
        </w:trPr>
        <w:tc>
          <w:tcPr>
            <w:tcW w:w="5000" w:type="pct"/>
            <w:gridSpan w:val="3"/>
            <w:tcBorders>
              <w:top w:val="single" w:color="000000" w:sz="6" w:space="0"/>
              <w:left w:val="single" w:color="000000" w:sz="12" w:space="0"/>
              <w:bottom w:val="single" w:color="000000" w:sz="12"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11.2 “暗标”评审</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12"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1126" w:type="pct"/>
            <w:tcBorders>
              <w:top w:val="single" w:color="000000" w:sz="12" w:space="0"/>
              <w:left w:val="single" w:color="000000" w:sz="6" w:space="0"/>
              <w:bottom w:val="single" w:color="000000" w:sz="6" w:space="0"/>
              <w:right w:val="single" w:color="000000" w:sz="6" w:space="0"/>
            </w:tcBorders>
          </w:tcPr>
          <w:p>
            <w:pPr>
              <w:spacing w:line="276" w:lineRule="auto"/>
              <w:rPr>
                <w:rStyle w:val="58"/>
                <w:rFonts w:ascii="宋体" w:hAnsi="宋体"/>
                <w:szCs w:val="21"/>
              </w:rPr>
            </w:pPr>
            <w:r>
              <w:rPr>
                <w:rStyle w:val="58"/>
                <w:rFonts w:ascii="宋体" w:hAnsi="宋体"/>
                <w:szCs w:val="21"/>
              </w:rPr>
              <w:t>施工组织设计是否采用“暗标”评审方式</w:t>
            </w:r>
          </w:p>
        </w:tc>
        <w:tc>
          <w:tcPr>
            <w:tcW w:w="3402" w:type="pct"/>
            <w:tcBorders>
              <w:top w:val="single" w:color="000000" w:sz="12"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不采用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8"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11.3  投标文件电子版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vAlign w:val="center"/>
          </w:tcPr>
          <w:p>
            <w:pPr>
              <w:spacing w:line="276" w:lineRule="auto"/>
              <w:rPr>
                <w:rStyle w:val="58"/>
                <w:rFonts w:ascii="宋体" w:hAnsi="宋体"/>
                <w:szCs w:val="21"/>
              </w:rPr>
            </w:pPr>
            <w:r>
              <w:rPr>
                <w:rStyle w:val="58"/>
                <w:rFonts w:ascii="宋体" w:hAnsi="宋体"/>
                <w:szCs w:val="21"/>
              </w:rPr>
              <w:t>是否要求投标人在递交投标文件时，同时递交投标文件电子版</w:t>
            </w:r>
          </w:p>
        </w:tc>
        <w:tc>
          <w:tcPr>
            <w:tcW w:w="3402" w:type="pct"/>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要求，投标文件电子版内容：</w:t>
            </w:r>
          </w:p>
          <w:p>
            <w:pPr>
              <w:spacing w:line="276" w:lineRule="auto"/>
              <w:rPr>
                <w:rStyle w:val="58"/>
                <w:rFonts w:ascii="宋体" w:hAnsi="宋体"/>
                <w:szCs w:val="21"/>
              </w:rPr>
            </w:pPr>
            <w:r>
              <w:rPr>
                <w:rStyle w:val="58"/>
                <w:rFonts w:ascii="宋体" w:hAnsi="宋体"/>
                <w:szCs w:val="21"/>
              </w:rPr>
              <w:t>投标文件电子版份数：</w:t>
            </w:r>
            <w:r>
              <w:rPr>
                <w:rStyle w:val="58"/>
                <w:rFonts w:hint="eastAsia" w:ascii="宋体" w:hAnsi="宋体"/>
                <w:szCs w:val="21"/>
              </w:rPr>
              <w:t>一</w:t>
            </w:r>
            <w:r>
              <w:rPr>
                <w:rStyle w:val="58"/>
                <w:rFonts w:ascii="宋体" w:hAnsi="宋体"/>
                <w:szCs w:val="21"/>
              </w:rPr>
              <w:t>份；</w:t>
            </w:r>
          </w:p>
          <w:p>
            <w:pPr>
              <w:spacing w:line="276" w:lineRule="auto"/>
              <w:rPr>
                <w:rStyle w:val="58"/>
                <w:rFonts w:ascii="宋体" w:hAnsi="宋体"/>
                <w:szCs w:val="21"/>
              </w:rPr>
            </w:pPr>
            <w:r>
              <w:rPr>
                <w:rStyle w:val="58"/>
                <w:rFonts w:ascii="宋体" w:hAnsi="宋体"/>
                <w:szCs w:val="21"/>
              </w:rPr>
              <w:t>投标文件电子版形式：U盘。PDF</w:t>
            </w:r>
            <w:r>
              <w:rPr>
                <w:rStyle w:val="58"/>
                <w:rFonts w:hint="eastAsia" w:ascii="宋体" w:hAnsi="宋体"/>
                <w:szCs w:val="21"/>
              </w:rPr>
              <w:t>、</w:t>
            </w:r>
            <w:r>
              <w:rPr>
                <w:rStyle w:val="58"/>
                <w:rFonts w:ascii="宋体" w:hAnsi="宋体"/>
                <w:szCs w:val="21"/>
              </w:rPr>
              <w:t>WORD</w:t>
            </w:r>
            <w:r>
              <w:rPr>
                <w:rStyle w:val="58"/>
                <w:rFonts w:hint="eastAsia" w:ascii="宋体" w:hAnsi="宋体"/>
                <w:szCs w:val="21"/>
              </w:rPr>
              <w:t>、</w:t>
            </w:r>
            <w:r>
              <w:rPr>
                <w:rStyle w:val="58"/>
                <w:rFonts w:ascii="宋体" w:hAnsi="宋体"/>
                <w:szCs w:val="21"/>
              </w:rPr>
              <w:t>EXCEL格式，《分部分项工程量清单与计价表》应为EXCEL格式</w:t>
            </w:r>
            <w:r>
              <w:rPr>
                <w:rStyle w:val="58"/>
                <w:rFonts w:hint="eastAsia" w:ascii="宋体" w:hAnsi="宋体"/>
                <w:szCs w:val="21"/>
              </w:rPr>
              <w:t>，并应包含广联达软件版报价文件。</w:t>
            </w:r>
          </w:p>
          <w:p>
            <w:pPr>
              <w:spacing w:line="276" w:lineRule="auto"/>
              <w:rPr>
                <w:rStyle w:val="58"/>
                <w:rFonts w:ascii="宋体" w:hAnsi="宋体"/>
                <w:szCs w:val="21"/>
              </w:rPr>
            </w:pPr>
            <w:r>
              <w:rPr>
                <w:rStyle w:val="58"/>
                <w:rFonts w:ascii="宋体" w:hAnsi="宋体"/>
                <w:szCs w:val="21"/>
              </w:rPr>
              <w:t>投标文件电子版密封方式：单独放入一个密封袋中，并在封套每个封口处加盖投标人单位公章，在封套上标记“投标文件电子版”字样。</w:t>
            </w:r>
          </w:p>
          <w:p>
            <w:pPr>
              <w:pStyle w:val="2"/>
              <w:ind w:left="420" w:firstLine="0" w:firstLineChars="0"/>
            </w:pPr>
            <w:r>
              <w:rPr>
                <w:rStyle w:val="58"/>
                <w:rFonts w:hint="eastAsia" w:hAnsi="宋体"/>
                <w:b/>
                <w:bCs/>
                <w:szCs w:val="21"/>
              </w:rPr>
              <w:t>投标人需确保与上传重汽e采通的投标文件电子版一致。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6"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11.4 计算机辅助评标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1126" w:type="pct"/>
            <w:tcBorders>
              <w:top w:val="single" w:color="000000" w:sz="6" w:space="0"/>
              <w:left w:val="single" w:color="000000" w:sz="6" w:space="0"/>
              <w:bottom w:val="single" w:color="000000" w:sz="6" w:space="0"/>
              <w:right w:val="single" w:color="000000" w:sz="6" w:space="0"/>
            </w:tcBorders>
          </w:tcPr>
          <w:p>
            <w:pPr>
              <w:spacing w:line="276" w:lineRule="auto"/>
              <w:rPr>
                <w:rStyle w:val="58"/>
                <w:rFonts w:ascii="宋体" w:hAnsi="宋体"/>
                <w:szCs w:val="21"/>
              </w:rPr>
            </w:pPr>
            <w:r>
              <w:rPr>
                <w:rStyle w:val="58"/>
                <w:rFonts w:ascii="宋体" w:hAnsi="宋体"/>
                <w:szCs w:val="21"/>
              </w:rPr>
              <w:t>是否实行计算机辅助评标</w:t>
            </w:r>
          </w:p>
        </w:tc>
        <w:tc>
          <w:tcPr>
            <w:tcW w:w="3402" w:type="pct"/>
            <w:tcBorders>
              <w:top w:val="single" w:color="000000" w:sz="6" w:space="0"/>
              <w:left w:val="single" w:color="000000" w:sz="6"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8"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11.5 投标人代表出席开标会</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Fonts w:hint="eastAsia"/>
                <w:b/>
                <w:bCs/>
              </w:rPr>
              <w:t>按照本须知</w:t>
            </w:r>
            <w:r>
              <w:fldChar w:fldCharType="begin"/>
            </w:r>
            <w:r>
              <w:instrText xml:space="preserve"> HYPERLINK \l "开标时间和地点" </w:instrText>
            </w:r>
            <w:r>
              <w:fldChar w:fldCharType="separate"/>
            </w:r>
            <w:r>
              <w:rPr>
                <w:rFonts w:hint="eastAsia"/>
                <w:b/>
                <w:bCs/>
              </w:rPr>
              <w:t>第</w:t>
            </w:r>
            <w:bookmarkStart w:id="30" w:name="_Hlt363566421"/>
            <w:r>
              <w:rPr>
                <w:rFonts w:hint="eastAsia"/>
                <w:b/>
                <w:bCs/>
              </w:rPr>
              <w:t>5</w:t>
            </w:r>
            <w:bookmarkEnd w:id="30"/>
            <w:r>
              <w:rPr>
                <w:rFonts w:hint="eastAsia"/>
                <w:b/>
                <w:bCs/>
              </w:rPr>
              <w:t>.</w:t>
            </w:r>
            <w:bookmarkStart w:id="31" w:name="_Hlt364843077"/>
            <w:bookmarkStart w:id="32" w:name="_Hlt364843078"/>
            <w:bookmarkStart w:id="33" w:name="_Hlt363565524"/>
            <w:r>
              <w:rPr>
                <w:rFonts w:hint="eastAsia"/>
                <w:b/>
                <w:bCs/>
              </w:rPr>
              <w:t>1</w:t>
            </w:r>
            <w:bookmarkEnd w:id="31"/>
            <w:bookmarkEnd w:id="32"/>
            <w:bookmarkEnd w:id="33"/>
            <w:r>
              <w:rPr>
                <w:rFonts w:hint="eastAsia"/>
                <w:b/>
                <w:bCs/>
              </w:rPr>
              <w:t>款</w:t>
            </w:r>
            <w:r>
              <w:rPr>
                <w:rFonts w:hint="eastAsia"/>
                <w:b/>
                <w:bCs/>
              </w:rPr>
              <w:fldChar w:fldCharType="end"/>
            </w:r>
            <w:r>
              <w:rPr>
                <w:rFonts w:hint="eastAsia"/>
                <w:b/>
                <w:bCs/>
              </w:rPr>
              <w:t>的规定，招标人邀请</w:t>
            </w:r>
            <w:r>
              <w:rPr>
                <w:rFonts w:hint="eastAsia"/>
                <w:b/>
                <w:bCs/>
                <w:highlight w:val="yellow"/>
              </w:rPr>
              <w:t>所有投标人的法定代表人或其委托代理人参加现场开标会，同时登录重汽</w:t>
            </w:r>
            <w:r>
              <w:rPr>
                <w:b/>
                <w:bCs/>
                <w:highlight w:val="yellow"/>
              </w:rPr>
              <w:t>e</w:t>
            </w:r>
            <w:r>
              <w:rPr>
                <w:rFonts w:hint="eastAsia"/>
                <w:b/>
                <w:bCs/>
                <w:highlight w:val="yellow"/>
              </w:rPr>
              <w:t>采通平台</w:t>
            </w:r>
            <w:r>
              <w:rPr>
                <w:rFonts w:hint="eastAsia"/>
                <w:b/>
                <w:bCs/>
              </w:rPr>
              <w:t>。投标人的法定代表人或其委托代理人应当按时参加开标会，并在招标人按开标程序进行点名时，向招标人提交法定代表人身份证明文件（或法定代表人授权委托书）原件及本人身份证原件供校验。</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41"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11.6 中标公示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02"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11.7 知识产权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构成本招标文件各个组成部分的文件，未经招标人书面同意，投标人不得擅自复印和用于非本招标项目所需的其他目的。招标人全部或者部分使用未中标人投标文件中的技术成果或技术方案时，需征得其书面同意，并不得擅自复印或提供给第三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67"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11.8 重新招标的其他情形</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除投标人须知正文第8条规定的情形外，除非已经产生中标候选人，在投标有效期内同意延长投标有效期的投标人少于三个的，招标人应当依法重新招标。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16"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11.9 同义词语</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472" w:type="pct"/>
            <w:tcBorders>
              <w:top w:val="single" w:color="000000" w:sz="6" w:space="0"/>
              <w:left w:val="single" w:color="000000" w:sz="12" w:space="0"/>
              <w:bottom w:val="single" w:color="000000" w:sz="6" w:space="0"/>
              <w:right w:val="single" w:color="000000" w:sz="6" w:space="0"/>
            </w:tcBorders>
          </w:tcPr>
          <w:p>
            <w:pPr>
              <w:spacing w:line="276" w:lineRule="auto"/>
              <w:rPr>
                <w:rStyle w:val="58"/>
                <w:rFonts w:ascii="宋体" w:hAnsi="宋体"/>
                <w:szCs w:val="21"/>
              </w:rPr>
            </w:pPr>
          </w:p>
        </w:tc>
        <w:tc>
          <w:tcPr>
            <w:tcW w:w="4528" w:type="pct"/>
            <w:gridSpan w:val="2"/>
            <w:tcBorders>
              <w:top w:val="single" w:color="000000" w:sz="6" w:space="0"/>
              <w:left w:val="single" w:color="000000" w:sz="6" w:space="0"/>
              <w:bottom w:val="single" w:color="000000" w:sz="6" w:space="0"/>
              <w:right w:val="single" w:color="000000" w:sz="12" w:space="0"/>
            </w:tcBorders>
          </w:tcPr>
          <w:p>
            <w:pPr>
              <w:spacing w:line="276" w:lineRule="auto"/>
              <w:rPr>
                <w:rStyle w:val="58"/>
                <w:rFonts w:ascii="宋体" w:hAnsi="宋体"/>
                <w:szCs w:val="21"/>
              </w:rPr>
            </w:pPr>
            <w:r>
              <w:rPr>
                <w:rStyle w:val="58"/>
                <w:rFonts w:ascii="宋体" w:hAnsi="宋体"/>
                <w:szCs w:val="21"/>
              </w:rPr>
              <w:t>构成招标文件组成部分的“通用合同条款”、“专用合同条款”、“技术标准和要求”和“工程量清单”等章节中出现的措辞“发包人”和“承包人”，在招标投标阶段应当分别按“招标人”和“投标人”进行理解。</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6" w:hRule="exac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11.10 解释权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000" w:type="pct"/>
            <w:gridSpan w:val="3"/>
            <w:tcBorders>
              <w:top w:val="single" w:color="000000" w:sz="6" w:space="0"/>
              <w:left w:val="single" w:color="000000" w:sz="12" w:space="0"/>
              <w:bottom w:val="single" w:color="000000" w:sz="6" w:space="0"/>
              <w:right w:val="single" w:color="000000" w:sz="12" w:space="0"/>
            </w:tcBorders>
          </w:tcPr>
          <w:p>
            <w:pPr>
              <w:spacing w:line="276" w:lineRule="auto"/>
              <w:ind w:firstLine="420" w:firstLineChars="200"/>
              <w:rPr>
                <w:rStyle w:val="58"/>
                <w:rFonts w:ascii="宋体" w:hAnsi="宋体"/>
                <w:szCs w:val="21"/>
              </w:rPr>
            </w:pPr>
            <w:r>
              <w:rPr>
                <w:rStyle w:val="58"/>
                <w:rFonts w:ascii="宋体" w:hAnsi="宋体"/>
                <w:szCs w:val="21"/>
              </w:rPr>
              <w:t>构成本招标文件的各个组成文件应互为解释，互为说明；如有不明确或不一致，构成合同文件组成内容的，以合同文件约定内容为准，且以专用合同条款约定的合同文件优先顺序解释；除招标文件中有特别规定外，仅适用于招标投标阶段的规定，按</w:t>
            </w:r>
            <w:r>
              <w:rPr>
                <w:rStyle w:val="58"/>
                <w:rFonts w:hint="eastAsia" w:ascii="宋体" w:hAnsi="宋体"/>
                <w:szCs w:val="21"/>
              </w:rPr>
              <w:t>招标公告</w:t>
            </w:r>
            <w:r>
              <w:rPr>
                <w:rStyle w:val="58"/>
                <w:rFonts w:ascii="宋体" w:hAnsi="宋体"/>
                <w:szCs w:val="21"/>
              </w:rPr>
              <w:t>、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负责解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8" w:hRule="atLeast"/>
          <w:jc w:val="center"/>
        </w:trPr>
        <w:tc>
          <w:tcPr>
            <w:tcW w:w="5000" w:type="pct"/>
            <w:gridSpan w:val="3"/>
            <w:tcBorders>
              <w:top w:val="single" w:color="000000" w:sz="6" w:space="0"/>
              <w:left w:val="single" w:color="000000" w:sz="12" w:space="0"/>
              <w:bottom w:val="single" w:color="000000" w:sz="6" w:space="0"/>
              <w:right w:val="single" w:color="000000" w:sz="12" w:space="0"/>
            </w:tcBorders>
            <w:vAlign w:val="center"/>
          </w:tcPr>
          <w:p>
            <w:pPr>
              <w:spacing w:line="276" w:lineRule="auto"/>
              <w:rPr>
                <w:rStyle w:val="58"/>
                <w:rFonts w:ascii="宋体" w:hAnsi="宋体"/>
                <w:szCs w:val="21"/>
              </w:rPr>
            </w:pPr>
            <w:r>
              <w:rPr>
                <w:rStyle w:val="58"/>
                <w:rFonts w:ascii="宋体" w:hAnsi="宋体"/>
                <w:szCs w:val="21"/>
              </w:rPr>
              <w:t>11.11 招标人补充的其他内容</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jc w:val="center"/>
        </w:trPr>
        <w:tc>
          <w:tcPr>
            <w:tcW w:w="5000" w:type="pct"/>
            <w:gridSpan w:val="3"/>
            <w:tcBorders>
              <w:top w:val="single" w:color="000000" w:sz="6" w:space="0"/>
              <w:left w:val="single" w:color="000000" w:sz="12" w:space="0"/>
              <w:bottom w:val="single" w:color="000000" w:sz="12" w:space="0"/>
              <w:right w:val="single" w:color="000000" w:sz="12" w:space="0"/>
            </w:tcBorders>
          </w:tcPr>
          <w:p>
            <w:pPr>
              <w:numPr>
                <w:ilvl w:val="0"/>
                <w:numId w:val="5"/>
              </w:numPr>
              <w:snapToGrid w:val="0"/>
              <w:spacing w:line="276" w:lineRule="auto"/>
            </w:pPr>
            <w:r>
              <w:rPr>
                <w:rFonts w:hint="eastAsia"/>
              </w:rPr>
              <w:t>预</w:t>
            </w:r>
            <w:r>
              <w:t>中标</w:t>
            </w:r>
            <w:r>
              <w:rPr>
                <w:rFonts w:hint="eastAsia"/>
              </w:rPr>
              <w:t>单位</w:t>
            </w:r>
            <w:r>
              <w:t>放弃中标、因不可抗力不能履行合同、不按照招标文件要求提交履约保证金</w:t>
            </w:r>
            <w:r>
              <w:rPr>
                <w:rFonts w:hint="eastAsia"/>
              </w:rPr>
              <w:t>/保函</w:t>
            </w:r>
            <w:r>
              <w:t>，或者被查实存在影响中标结果的违法行为等情形，不符合中标条件的，招标人可以按照评标委员会提出的中标候选人名单</w:t>
            </w:r>
            <w:r>
              <w:rPr>
                <w:rFonts w:hint="eastAsia"/>
              </w:rPr>
              <w:t>择优</w:t>
            </w:r>
            <w:r>
              <w:t>确定其他中标候选人为中标人，也可以重新招标。</w:t>
            </w:r>
          </w:p>
          <w:p>
            <w:pPr>
              <w:numPr>
                <w:ilvl w:val="0"/>
                <w:numId w:val="5"/>
              </w:numPr>
              <w:snapToGrid w:val="0"/>
              <w:spacing w:line="276" w:lineRule="auto"/>
              <w:rPr>
                <w:b/>
                <w:bCs/>
              </w:rPr>
            </w:pPr>
            <w:r>
              <w:rPr>
                <w:rFonts w:hint="eastAsia"/>
                <w:b/>
                <w:bCs/>
              </w:rPr>
              <w:t>造价咨询费执行2026年度造价咨询服务合同约定，其中：</w:t>
            </w:r>
          </w:p>
          <w:p>
            <w:pPr>
              <w:snapToGrid w:val="0"/>
              <w:spacing w:line="276" w:lineRule="auto"/>
              <w:ind w:firstLine="422" w:firstLineChars="200"/>
              <w:rPr>
                <w:b/>
                <w:bCs/>
              </w:rPr>
            </w:pPr>
            <w:r>
              <w:rPr>
                <w:rFonts w:hint="eastAsia"/>
                <w:b/>
                <w:bCs/>
              </w:rPr>
              <w:t>招标阶段清单编制费：执行固定费率0.5‰（千分之0.5），取费基数为施工合同金额（中标金额，含暂估价、暂列金额）。单个项目的招标阶段咨询服务费用低于500元的按500元收取。施工合同签订后一次性支付。</w:t>
            </w:r>
          </w:p>
          <w:p>
            <w:pPr>
              <w:snapToGrid w:val="0"/>
              <w:spacing w:line="276" w:lineRule="auto"/>
              <w:ind w:firstLine="422" w:firstLineChars="200"/>
              <w:rPr>
                <w:b/>
                <w:bCs/>
              </w:rPr>
            </w:pPr>
          </w:p>
          <w:p>
            <w:pPr>
              <w:snapToGrid w:val="0"/>
              <w:spacing w:line="276" w:lineRule="auto"/>
              <w:ind w:firstLine="422" w:firstLineChars="200"/>
              <w:rPr>
                <w:b/>
                <w:bCs/>
              </w:rPr>
            </w:pPr>
            <w:r>
              <w:rPr>
                <w:rFonts w:hint="eastAsia"/>
                <w:b/>
                <w:bCs/>
              </w:rPr>
              <w:t>上述费用由中标人直接向造价咨询单位缴纳，持相应收费发票等资料按招标文件约定时间申请退还投标保证金，各报价人无需将本项费用单独列项，但应将其综合考虑到投标报价中。</w:t>
            </w:r>
          </w:p>
          <w:p>
            <w:pPr>
              <w:pStyle w:val="2"/>
              <w:ind w:left="420" w:firstLine="420"/>
            </w:pPr>
          </w:p>
          <w:p>
            <w:pPr>
              <w:numPr>
                <w:ilvl w:val="0"/>
                <w:numId w:val="5"/>
              </w:numPr>
              <w:snapToGrid w:val="0"/>
              <w:spacing w:line="276" w:lineRule="auto"/>
            </w:pPr>
            <w:r>
              <w:rPr>
                <w:rFonts w:hint="eastAsia"/>
              </w:rPr>
              <w:t>投标人应到工地踏勘以充分了解工地位置、周边情况、地质水文、道路、储存空间、装卸限制及任何其它足以影响投标报价的情况。任何因忽视或误解工地情况而导致的索赔或工期延长申请将不予批准。施工期间服从、配合招标人厂区生产要求。</w:t>
            </w:r>
          </w:p>
          <w:p>
            <w:pPr>
              <w:numPr>
                <w:ilvl w:val="0"/>
                <w:numId w:val="5"/>
              </w:numPr>
              <w:snapToGrid w:val="0"/>
              <w:spacing w:line="276" w:lineRule="auto"/>
              <w:rPr>
                <w:color w:val="FF0000"/>
                <w:u w:val="single"/>
              </w:rPr>
            </w:pPr>
            <w:r>
              <w:rPr>
                <w:rFonts w:hint="eastAsia"/>
                <w:b/>
                <w:bCs/>
              </w:rPr>
              <w:t>现场施工要求</w:t>
            </w:r>
          </w:p>
          <w:p>
            <w:pPr>
              <w:snapToGrid w:val="0"/>
              <w:spacing w:line="276" w:lineRule="auto"/>
              <w:ind w:firstLine="420" w:firstLineChars="200"/>
            </w:pPr>
            <w:r>
              <w:rPr>
                <w:rFonts w:hint="eastAsia"/>
              </w:rPr>
              <w:sym w:font="Wingdings 2" w:char="F052"/>
            </w:r>
            <w:r>
              <w:rPr>
                <w:rFonts w:hint="eastAsia"/>
              </w:rPr>
              <w:t>投标人投报的项目班子成员必须始终在工地现场管理，不得擅自更换、不得兼职其他项目，否则按合同条款执行。施工过程中如发现另行设立执行项目经理的情况，给予警告或违约金处罚，若仍不整改，视为承包人违约，招标人有权终止协议并要求赔偿损失。</w:t>
            </w:r>
          </w:p>
          <w:p>
            <w:pPr>
              <w:snapToGrid w:val="0"/>
              <w:spacing w:line="276" w:lineRule="auto"/>
              <w:ind w:firstLine="420" w:firstLineChars="200"/>
            </w:pPr>
            <w:r>
              <w:rPr>
                <w:rFonts w:hint="eastAsia"/>
              </w:rPr>
              <w:sym w:font="Wingdings 2" w:char="F052"/>
            </w:r>
            <w:r>
              <w:rPr>
                <w:rFonts w:hint="eastAsia"/>
              </w:rPr>
              <w:t>现场不提供办公区、生活区，施工方自行考虑。</w:t>
            </w:r>
          </w:p>
          <w:p>
            <w:pPr>
              <w:snapToGrid w:val="0"/>
              <w:spacing w:line="276" w:lineRule="auto"/>
              <w:ind w:firstLine="420" w:firstLineChars="200"/>
            </w:pPr>
            <w:r>
              <w:rPr>
                <w:rFonts w:hint="eastAsia"/>
              </w:rPr>
              <w:sym w:font="Wingdings 2" w:char="F052"/>
            </w:r>
            <w:r>
              <w:rPr>
                <w:rFonts w:hint="eastAsia"/>
              </w:rPr>
              <w:t>发包人在施工范围周边指定水电接驳点，由中标人自行敷设至施工区，并自行考虑临时停水、停电的应急预案（费用已在投标报价中综合考虑，不再另计）；施工水电费按表计量缴费，发生费用由中标人承担，据实按厂区价格（电费1</w:t>
            </w:r>
            <w:r>
              <w:t>.01</w:t>
            </w:r>
            <w:r>
              <w:rPr>
                <w:rFonts w:hint="eastAsia"/>
              </w:rPr>
              <w:t>元/度）结算缴纳至厂区管理单位，否则在结算时按照直接费的0.</w:t>
            </w:r>
            <w:r>
              <w:t>1</w:t>
            </w:r>
            <w:r>
              <w:rPr>
                <w:rFonts w:hint="eastAsia"/>
              </w:rPr>
              <w:t>%扣除水电费用。</w:t>
            </w:r>
          </w:p>
          <w:p>
            <w:pPr>
              <w:snapToGrid w:val="0"/>
              <w:spacing w:line="276" w:lineRule="auto"/>
              <w:ind w:firstLine="420" w:firstLineChars="200"/>
              <w:rPr>
                <w:rFonts w:ascii="宋体" w:hAnsi="宋体" w:cs="宋体"/>
                <w:szCs w:val="21"/>
              </w:rPr>
            </w:pPr>
            <w:r>
              <w:rPr>
                <w:rFonts w:hint="eastAsia"/>
              </w:rPr>
              <w:sym w:font="Wingdings 2" w:char="F052"/>
            </w:r>
            <w:r>
              <w:rPr>
                <w:rFonts w:hint="eastAsia" w:ascii="宋体" w:hAnsi="宋体" w:cs="宋体"/>
                <w:szCs w:val="21"/>
              </w:rPr>
              <w:t>施工期间应服从</w:t>
            </w:r>
            <w:r>
              <w:rPr>
                <w:rFonts w:hint="eastAsia"/>
              </w:rPr>
              <w:t>厂区</w:t>
            </w:r>
            <w:r>
              <w:rPr>
                <w:rFonts w:hint="eastAsia" w:ascii="宋体" w:hAnsi="宋体" w:cs="宋体"/>
                <w:szCs w:val="21"/>
              </w:rPr>
              <w:t>安全文明管理规定，车辆人员进出管理规定（物流运输、施工车辆，优先选用重汽品牌）以及一切厂区</w:t>
            </w:r>
            <w:r>
              <w:rPr>
                <w:rFonts w:hint="eastAsia"/>
              </w:rPr>
              <w:t>管理</w:t>
            </w:r>
            <w:r>
              <w:rPr>
                <w:rFonts w:hint="eastAsia" w:ascii="宋体" w:hAnsi="宋体" w:cs="宋体"/>
                <w:szCs w:val="21"/>
              </w:rPr>
              <w:t>制度，如人员登记、防疫管理、禁止吸烟、特种作业、动火审批用电审批、登高审批及相关安全环保检查等。</w:t>
            </w:r>
          </w:p>
          <w:p>
            <w:pPr>
              <w:snapToGrid w:val="0"/>
              <w:spacing w:line="276" w:lineRule="auto"/>
              <w:ind w:firstLine="420" w:firstLineChars="200"/>
            </w:pPr>
            <w:r>
              <w:rPr>
                <w:rFonts w:hint="eastAsia"/>
              </w:rPr>
              <w:sym w:font="Wingdings 2" w:char="F052"/>
            </w:r>
            <w:r>
              <w:t>中标人自行负责进场设备材料物资的看护责任，若现场发生的丢失损坏，不得以此向招标人索赔工期和费用。</w:t>
            </w:r>
          </w:p>
          <w:p>
            <w:pPr>
              <w:snapToGrid w:val="0"/>
              <w:spacing w:line="276" w:lineRule="auto"/>
              <w:ind w:firstLine="420" w:firstLineChars="200"/>
            </w:pPr>
            <w:r>
              <w:rPr>
                <w:rFonts w:hint="eastAsia"/>
              </w:rPr>
              <w:sym w:font="Wingdings 2" w:char="F052"/>
            </w:r>
            <w:r>
              <w:rPr>
                <w:rFonts w:hint="eastAsia"/>
              </w:rPr>
              <w:t>中标人自进场施工开始至交接验收前负责施工范围内的成品保护工作，包括自身自己、其它施工单位以及招标单位的成品、半成品等，如发生损坏、更改变化，由中标人负责免费进行恢复原状。</w:t>
            </w:r>
          </w:p>
          <w:p>
            <w:pPr>
              <w:snapToGrid w:val="0"/>
              <w:spacing w:line="276" w:lineRule="auto"/>
              <w:ind w:firstLine="420" w:firstLineChars="200"/>
            </w:pPr>
            <w:r>
              <w:rPr>
                <w:rFonts w:hint="eastAsia"/>
              </w:rPr>
              <w:sym w:font="Wingdings 2" w:char="F052"/>
            </w:r>
            <w:r>
              <w:rPr>
                <w:rFonts w:hint="eastAsia"/>
              </w:rPr>
              <w:t>施工期间不得以进入冬雨季施工、中高考期间、秋冬季大气污染应急响应（均为可预见因素）、法定节假日等作为工期延误的理由，必须采取施工措施保证施工质量和进度。</w:t>
            </w:r>
          </w:p>
          <w:p>
            <w:pPr>
              <w:snapToGrid w:val="0"/>
              <w:spacing w:line="276" w:lineRule="auto"/>
              <w:ind w:firstLine="420" w:firstLineChars="200"/>
            </w:pPr>
            <w:r>
              <w:rPr>
                <w:rFonts w:hint="eastAsia"/>
              </w:rPr>
              <w:sym w:font="Wingdings 2" w:char="F052"/>
            </w:r>
            <w:r>
              <w:t>施工期间必须采取抑尘降尘措施，</w:t>
            </w:r>
            <w:r>
              <w:rPr>
                <w:rFonts w:hint="eastAsia"/>
              </w:rPr>
              <w:t>施工区域采用</w:t>
            </w:r>
            <w:r>
              <w:t>封闭围挡进行封闭施工，与生产交叉时应采取保生产措施，服从</w:t>
            </w:r>
            <w:r>
              <w:rPr>
                <w:rFonts w:hint="eastAsia"/>
              </w:rPr>
              <w:t>厂区</w:t>
            </w:r>
            <w:r>
              <w:t>生产需要，</w:t>
            </w:r>
            <w:r>
              <w:rPr>
                <w:rFonts w:hint="eastAsia"/>
              </w:rPr>
              <w:t>充分考虑施工机械多次进场，</w:t>
            </w:r>
            <w:r>
              <w:t>积极采取夜间施工、加班加人等赶工措施。不得以此申请延长工期和增加费用。</w:t>
            </w:r>
          </w:p>
          <w:p>
            <w:pPr>
              <w:snapToGrid w:val="0"/>
              <w:spacing w:line="276" w:lineRule="auto"/>
              <w:ind w:firstLine="420" w:firstLineChars="200"/>
            </w:pPr>
            <w:r>
              <w:rPr>
                <w:rFonts w:hint="eastAsia"/>
              </w:rPr>
              <w:sym w:font="Wingdings 2" w:char="F052"/>
            </w:r>
            <w:r>
              <w:rPr>
                <w:rFonts w:hint="eastAsia"/>
              </w:rPr>
              <w:t>投标人须认可招标人的工作指令，包括错时、夜间、节假日能正常开展工作的要求。</w:t>
            </w:r>
          </w:p>
          <w:p>
            <w:pPr>
              <w:snapToGrid w:val="0"/>
              <w:spacing w:line="276" w:lineRule="auto"/>
              <w:ind w:firstLine="420" w:firstLineChars="200"/>
              <w:rPr>
                <w:i/>
                <w:iCs/>
                <w:color w:val="FF0000"/>
              </w:rPr>
            </w:pPr>
            <w:r>
              <w:rPr>
                <w:rFonts w:hint="eastAsia"/>
              </w:rPr>
              <w:sym w:font="Wingdings 2" w:char="F052"/>
            </w:r>
            <w:r>
              <w:rPr>
                <w:rFonts w:hint="eastAsia"/>
              </w:rPr>
              <w:t>施工期间应严格落实项目所在地的政府安全文明标准、渣土处置标准、扬尘环保、重污染天气应急响应等标准，做到六个百分百，采取湿法作业，冲洗设备、密目网裸土全覆盖，施工结束每日及时恢复，运输期间，中标人负责运输路线上道路的及时清理、冲洗，确保文明卫生。相关费用均包含在安全文明措施费中。承包人负责渣土处置的一切手续办理，投标时综合考虑，相关费用亦包含在投标总报价中。</w:t>
            </w:r>
          </w:p>
          <w:p>
            <w:pPr>
              <w:snapToGrid w:val="0"/>
              <w:spacing w:line="276" w:lineRule="auto"/>
              <w:ind w:firstLine="420" w:firstLineChars="200"/>
              <w:rPr>
                <w:color w:val="FF0000"/>
              </w:rPr>
            </w:pPr>
            <w:r>
              <w:rPr>
                <w:rFonts w:hint="eastAsia"/>
              </w:rPr>
              <w:sym w:font="Wingdings 2" w:char="F052"/>
            </w:r>
            <w:r>
              <w:rPr>
                <w:rFonts w:hint="eastAsia"/>
              </w:rPr>
              <w:t>现场分区域分段施工、交叉施工、错时施工是必然的，必须服从厂区生产安排、建设方统一指挥，施工降效等费用综合考虑到措施费用中。</w:t>
            </w:r>
          </w:p>
          <w:p>
            <w:pPr>
              <w:snapToGrid w:val="0"/>
              <w:spacing w:line="276" w:lineRule="auto"/>
              <w:ind w:firstLine="420" w:firstLineChars="200"/>
            </w:pPr>
            <w:r>
              <w:rPr>
                <w:rFonts w:hint="eastAsia"/>
              </w:rPr>
              <w:sym w:font="Wingdings 2" w:char="F052"/>
            </w:r>
            <w:r>
              <w:rPr>
                <w:rFonts w:hint="eastAsia"/>
              </w:rPr>
              <w:t>现场施工人员登高、电工、焊工等作业必须持证上岗，并保证证书在有效期内且在专业允许范围内。</w:t>
            </w:r>
          </w:p>
          <w:p>
            <w:pPr>
              <w:snapToGrid w:val="0"/>
              <w:spacing w:line="276" w:lineRule="auto"/>
              <w:ind w:firstLine="422" w:firstLineChars="200"/>
              <w:rPr>
                <w:b/>
                <w:bCs/>
              </w:rPr>
            </w:pPr>
            <w:r>
              <w:rPr>
                <w:rFonts w:hint="eastAsia"/>
                <w:b/>
                <w:bCs/>
              </w:rPr>
              <w:sym w:font="Wingdings 2" w:char="F052"/>
            </w:r>
            <w:r>
              <w:rPr>
                <w:b/>
                <w:bCs/>
              </w:rPr>
              <w:t>施工期间为保障临时通行而采取的措施如租赁铺设钢板等发生的费用，综合考虑到投标报价中。</w:t>
            </w:r>
          </w:p>
          <w:p>
            <w:pPr>
              <w:pStyle w:val="2"/>
              <w:ind w:left="420" w:firstLine="420"/>
            </w:pPr>
          </w:p>
          <w:p>
            <w:pPr>
              <w:numPr>
                <w:ilvl w:val="0"/>
                <w:numId w:val="5"/>
              </w:numPr>
              <w:snapToGrid w:val="0"/>
              <w:spacing w:line="276" w:lineRule="auto"/>
              <w:rPr>
                <w:b/>
                <w:bCs/>
              </w:rPr>
            </w:pPr>
            <w:r>
              <w:rPr>
                <w:rFonts w:hint="eastAsia"/>
                <w:b/>
                <w:bCs/>
              </w:rPr>
              <w:t>商务报价注意内容</w:t>
            </w:r>
          </w:p>
          <w:p>
            <w:pPr>
              <w:pStyle w:val="4"/>
              <w:ind w:left="420"/>
            </w:pPr>
            <w:r>
              <w:rPr>
                <w:rFonts w:hint="eastAsia"/>
              </w:rPr>
              <w:t>项目预算：人民币</w:t>
            </w:r>
            <w:r>
              <w:t>25.51</w:t>
            </w:r>
            <w:r>
              <w:rPr>
                <w:rFonts w:hint="eastAsia"/>
              </w:rPr>
              <w:t>万元（含9</w:t>
            </w:r>
            <w:r>
              <w:t>%</w:t>
            </w:r>
            <w:r>
              <w:rPr>
                <w:rFonts w:hint="eastAsia"/>
              </w:rPr>
              <w:t>增值税）。</w:t>
            </w:r>
          </w:p>
          <w:p>
            <w:pPr>
              <w:snapToGrid w:val="0"/>
              <w:spacing w:line="276" w:lineRule="auto"/>
              <w:ind w:firstLine="420" w:firstLineChars="200"/>
              <w:rPr>
                <w:b/>
                <w:bCs/>
                <w:color w:val="FF0000"/>
              </w:rPr>
            </w:pPr>
            <w:r>
              <w:rPr>
                <w:rFonts w:hint="eastAsia"/>
              </w:rPr>
              <w:sym w:font="Wingdings 2" w:char="0052"/>
            </w:r>
            <w:r>
              <w:rPr>
                <w:rFonts w:hint="eastAsia"/>
              </w:rPr>
              <w:t>本工程不设暂列金。</w:t>
            </w:r>
          </w:p>
          <w:p>
            <w:pPr>
              <w:snapToGrid w:val="0"/>
              <w:spacing w:line="276" w:lineRule="auto"/>
              <w:ind w:firstLine="420" w:firstLineChars="200"/>
            </w:pPr>
            <w:r>
              <w:rPr>
                <w:rFonts w:hint="eastAsia"/>
              </w:rPr>
              <w:sym w:font="Wingdings 2" w:char="F052"/>
            </w:r>
            <w:r>
              <w:rPr>
                <w:rFonts w:hint="eastAsia"/>
              </w:rPr>
              <w:t>本次招标无甲供材料设备，所有材料设备均包含在投标单位报价范围之内。</w:t>
            </w:r>
          </w:p>
          <w:p>
            <w:pPr>
              <w:numPr>
                <w:ilvl w:val="0"/>
                <w:numId w:val="5"/>
              </w:numPr>
              <w:snapToGrid w:val="0"/>
              <w:spacing w:line="276" w:lineRule="auto"/>
              <w:rPr>
                <w:b/>
                <w:bCs/>
              </w:rPr>
            </w:pPr>
            <w:r>
              <w:rPr>
                <w:rFonts w:hint="eastAsia"/>
                <w:b/>
                <w:bCs/>
              </w:rPr>
              <w:t>合同付款条件</w:t>
            </w:r>
          </w:p>
          <w:p>
            <w:pPr>
              <w:snapToGrid w:val="0"/>
              <w:spacing w:line="276" w:lineRule="auto"/>
              <w:ind w:firstLine="420" w:firstLineChars="200"/>
            </w:pPr>
            <w:r>
              <w:rPr>
                <w:rFonts w:hint="eastAsia"/>
              </w:rPr>
              <w:t>付款方式：半年期商业汇票（包含银行承兑汇票和商业承兑汇票）。</w:t>
            </w:r>
          </w:p>
          <w:p>
            <w:pPr>
              <w:snapToGrid w:val="0"/>
              <w:spacing w:line="276" w:lineRule="auto"/>
              <w:ind w:firstLine="420" w:firstLineChars="200"/>
            </w:pPr>
            <w:bookmarkStart w:id="34" w:name="_Hlk210897141"/>
            <w:r>
              <w:rPr>
                <w:rFonts w:hint="eastAsia"/>
              </w:rPr>
              <w:t>本工程无预付款，工程款支付按月形象进度报表，经监理工程师、发包人审核后于次月内付至工程月形象进度造价的7</w:t>
            </w:r>
            <w:r>
              <w:t>5</w:t>
            </w:r>
            <w:r>
              <w:rPr>
                <w:rFonts w:hint="eastAsia"/>
              </w:rPr>
              <w:t>%。累计进度款最高付至合同签约价的7</w:t>
            </w:r>
            <w:r>
              <w:t>5</w:t>
            </w:r>
            <w:r>
              <w:rPr>
                <w:rFonts w:hint="eastAsia"/>
              </w:rPr>
              <w:t>%；完成工程竣工资料移交、竣工结算申报且竣工验收合格后付至已完成形象进度产值的</w:t>
            </w:r>
            <w:r>
              <w:t>80</w:t>
            </w:r>
            <w:r>
              <w:rPr>
                <w:rFonts w:hint="eastAsia"/>
              </w:rPr>
              <w:t>%，且最高付至合同签约价</w:t>
            </w:r>
            <w:r>
              <w:t>80</w:t>
            </w:r>
            <w:r>
              <w:rPr>
                <w:rFonts w:hint="eastAsia"/>
              </w:rPr>
              <w:t>%；竣工结算审计完毕经双方签字认可后付款至工程结算款的9</w:t>
            </w:r>
            <w:r>
              <w:t>7</w:t>
            </w:r>
            <w:r>
              <w:rPr>
                <w:rFonts w:hint="eastAsia"/>
              </w:rPr>
              <w:t>%，结算款的</w:t>
            </w:r>
            <w:r>
              <w:t>3</w:t>
            </w:r>
            <w:r>
              <w:rPr>
                <w:rFonts w:hint="eastAsia"/>
              </w:rPr>
              <w:t>%作为质量保修金，无质量问题自内部验收合格之日起两年后支付。</w:t>
            </w:r>
          </w:p>
          <w:bookmarkEnd w:id="34"/>
          <w:p>
            <w:pPr>
              <w:snapToGrid w:val="0"/>
              <w:spacing w:line="276" w:lineRule="auto"/>
              <w:ind w:firstLine="420" w:firstLineChars="200"/>
            </w:pPr>
            <w:r>
              <w:rPr>
                <w:rFonts w:hint="eastAsia"/>
              </w:rPr>
              <w:t>发包人所有款项的支付均需承包人持当批付款金额一致的符合国家要求的增值税专用发票、收据、授权委托书、经办人身份证明原件及复印件等其他发包人财务制度要求的资料办理。</w:t>
            </w:r>
          </w:p>
          <w:p>
            <w:pPr>
              <w:numPr>
                <w:ilvl w:val="0"/>
                <w:numId w:val="5"/>
              </w:numPr>
              <w:snapToGrid w:val="0"/>
              <w:spacing w:line="276" w:lineRule="auto"/>
              <w:rPr>
                <w:rFonts w:ascii="宋体" w:hAnsi="宋体" w:cs="宋体"/>
                <w:b/>
                <w:bCs/>
                <w:szCs w:val="21"/>
              </w:rPr>
            </w:pPr>
            <w:r>
              <w:rPr>
                <w:rFonts w:hint="eastAsia" w:ascii="宋体" w:hAnsi="宋体" w:cs="宋体"/>
                <w:b/>
                <w:bCs/>
                <w:szCs w:val="21"/>
              </w:rPr>
              <w:t>其他</w:t>
            </w:r>
          </w:p>
          <w:p>
            <w:pPr>
              <w:snapToGrid w:val="0"/>
              <w:spacing w:line="276" w:lineRule="auto"/>
              <w:ind w:firstLine="420" w:firstLineChars="200"/>
            </w:pPr>
            <w:r>
              <w:rPr>
                <w:rFonts w:hint="eastAsia"/>
              </w:rPr>
              <w:sym w:font="Wingdings 2" w:char="F052"/>
            </w:r>
            <w:r>
              <w:t>中标人应严格落实项目所在地的最新农民工工资保证金管理规定，</w:t>
            </w:r>
            <w:r>
              <w:rPr>
                <w:rFonts w:hint="eastAsia"/>
              </w:rPr>
              <w:t>建筑工程项目农民工实名制和工资专用账户管理制度，</w:t>
            </w:r>
            <w:r>
              <w:t>负责按规定及时全额缴纳</w:t>
            </w:r>
            <w:r>
              <w:rPr>
                <w:rFonts w:hint="eastAsia"/>
              </w:rPr>
              <w:t>，并负责将进度款中的人工费及时转账至农民工工资专用账户中，确保账户金额充足。同时杜绝层层分包，转包行为，确保工资及时发放到劳务工人本人手中</w:t>
            </w:r>
            <w:r>
              <w:t>，并负责及时办理工伤保险。否则视为严重违约，除承担违约责任外，对造成的一切后果和责任自行承担。</w:t>
            </w:r>
            <w:r>
              <w:rPr>
                <w:rFonts w:hint="eastAsia"/>
              </w:rPr>
              <w:t>若本项目中标人发生农民工欠薪，产生政府投诉、堵门、阻挠施工等事件的，每发生一起，除妥善及时处理、消除影响外还有承担违约责任，视情节严重情况给予1万-5万元/次考核。</w:t>
            </w:r>
          </w:p>
          <w:p>
            <w:pPr>
              <w:snapToGrid w:val="0"/>
              <w:spacing w:line="276" w:lineRule="auto"/>
              <w:ind w:firstLine="420" w:firstLineChars="200"/>
            </w:pPr>
            <w:r>
              <w:rPr>
                <w:rFonts w:hint="eastAsia"/>
              </w:rPr>
              <w:sym w:font="Wingdings 2" w:char="F052"/>
            </w:r>
            <w:r>
              <w:rPr>
                <w:rFonts w:hint="eastAsia"/>
              </w:rPr>
              <w:t>若承包人施工进度严重滞后且无有效抢工措施，施工进度无明显改善的或中途除不可抗力因素外的任何停工，经发包人函告后仍未在通知的时间内积极采取有效措施达到现场进度要求的或承包人拒绝继续施工或以行为表示不再施工的，发包人有权自行委托其他施工单位（第三方）替代施工，而不构成违约，且无需得到承包人同意。第三方施工单位施工所发生的费用，由发包人书面认可即视为有效，最终由承包人承担，承担方式：承包人直接向第三方支付或由发包人代为支付，由发包人代为支付的，从承包人剩余的工程款中予以扣除。此外，因承包人的违约行为，发包人还有权视情况解除合同，或/并要求承包人赔偿工程结算总价款或合同约定总价款1%-5%的违约金。</w:t>
            </w:r>
          </w:p>
          <w:p>
            <w:pPr>
              <w:snapToGrid w:val="0"/>
              <w:spacing w:line="276" w:lineRule="auto"/>
              <w:ind w:firstLine="420" w:firstLineChars="200"/>
            </w:pPr>
            <w:r>
              <w:rPr>
                <w:rFonts w:hint="eastAsia"/>
              </w:rPr>
              <w:sym w:font="Wingdings 2" w:char="F052"/>
            </w:r>
            <w:r>
              <w:rPr>
                <w:rFonts w:hint="eastAsia"/>
              </w:rPr>
              <w:t>项目施工所有（不含甲供材料设备、甲分包部分）试验检测费用（包括但不限于见证取样复试、地基基础检测、主体结构检测、钢结构检测、空气质量检测、弱电检测、外墙保温系统型式检测、防雷检测、消防检测、沉降观测、焊缝检测、配电平台高低压设备的相关试验、各类流量计、能量计、温度压力传感器的校验（项目内部验收完移交时，计量装置必须在有效期内）等）均已综合考虑并包含在承包人投标总价中。根据《建设工程质量检测管理办法》第二十一条及《山东省住房和城乡建设厅关于压实建设单位工程质量首要责任的实施办法》，非建设单位委托的检测机构出具的检测报告不得作为工程质量验收资料。乙购材料设备的见证取样送检及施工专项检测（如焊缝探伤等），由发包人委托具有相应资质的第三方检测单位进行检测。若所发生的检测费用由发包人按检测委托合同支付的，在竣工结算时按实际发生检测总费用予以扣除。若所发生的检测费由发包人委托人直接垫付的，由承包人支付给发包人委托人。</w:t>
            </w:r>
          </w:p>
          <w:p>
            <w:pPr>
              <w:snapToGrid w:val="0"/>
              <w:spacing w:line="276" w:lineRule="auto"/>
              <w:ind w:firstLine="422" w:firstLineChars="200"/>
              <w:rPr>
                <w:b/>
                <w:bCs/>
              </w:rPr>
            </w:pPr>
            <w:r>
              <w:rPr>
                <w:rFonts w:hint="eastAsia"/>
                <w:b/>
                <w:bCs/>
              </w:rPr>
              <w:sym w:font="Wingdings 2" w:char="0052"/>
            </w:r>
            <w:r>
              <w:rPr>
                <w:rFonts w:hint="eastAsia"/>
                <w:b/>
                <w:bCs/>
              </w:rPr>
              <w:t>承包人申请工程款支付时需按发包人要求同步完善工程技术及质量控制资料，因资料不完善影响工程款支付的，不得以此为由影响施工进度。</w:t>
            </w:r>
          </w:p>
          <w:p>
            <w:pPr>
              <w:snapToGrid w:val="0"/>
              <w:spacing w:line="276" w:lineRule="auto"/>
              <w:ind w:firstLine="422" w:firstLineChars="200"/>
              <w:rPr>
                <w:b/>
                <w:bCs/>
              </w:rPr>
            </w:pPr>
            <w:r>
              <w:rPr>
                <w:rFonts w:hint="eastAsia"/>
                <w:b/>
                <w:bCs/>
              </w:rPr>
              <w:sym w:font="Wingdings 2" w:char="F052"/>
            </w:r>
            <w:r>
              <w:rPr>
                <w:rFonts w:hint="eastAsia"/>
                <w:b/>
                <w:bCs/>
              </w:rPr>
              <w:t xml:space="preserve"> 工程结算审计，由发包人委托造价咨询单位审计或自行审计。（1）初审审计：结算审计费=基本审计费+效益审计费，其中：基本审计费1000元，效益审计费根据工程项目审减额参考鲁价费发【2007】205号文收费标准执行，对结算审减额超过5%部分，按5%计取审计费，以上费用均由承包人支付。审计费由承包人直接缴纳或者由发包人在工程款中代扣代缴。（2）复审审计：结算审计费根据工程项目审减额参考鲁价费发【2007】205号文收费标准执行，结算审减额按5%计取审计费，由承包人支付。审计费由承包人直接缴纳或者由发包人在工程款中代扣代缴。</w:t>
            </w:r>
          </w:p>
          <w:p>
            <w:pPr>
              <w:numPr>
                <w:ilvl w:val="0"/>
                <w:numId w:val="5"/>
              </w:numPr>
              <w:snapToGrid w:val="0"/>
              <w:spacing w:line="276" w:lineRule="auto"/>
              <w:rPr>
                <w:b/>
                <w:bCs/>
              </w:rPr>
            </w:pPr>
            <w:r>
              <w:rPr>
                <w:rFonts w:hint="eastAsia"/>
                <w:b/>
                <w:bCs/>
              </w:rPr>
              <w:t>开标进场注意事项</w:t>
            </w:r>
          </w:p>
          <w:p>
            <w:pPr>
              <w:snapToGrid w:val="0"/>
              <w:spacing w:line="276" w:lineRule="auto"/>
              <w:ind w:firstLine="420" w:firstLineChars="200"/>
              <w:rPr>
                <w:b/>
                <w:bCs/>
              </w:rPr>
            </w:pPr>
            <w:r>
              <w:rPr/>
              <w:sym w:font="Wingdings 2" w:char="0052"/>
            </w:r>
            <w:r>
              <w:t>开标当日，</w:t>
            </w:r>
            <w:r>
              <w:rPr>
                <w:rFonts w:hint="eastAsia"/>
              </w:rPr>
              <w:t>投标单位的授权委托人及投标项目经理、技术标编制人员、商务标编制人员必须到场。且所有到场人员</w:t>
            </w:r>
            <w:r>
              <w:t>必须出具在本单位连续缴纳不低于1年的社保记录和证明，否则不予进入开标现场。</w:t>
            </w:r>
          </w:p>
          <w:p>
            <w:pPr>
              <w:pStyle w:val="4"/>
              <w:ind w:left="420"/>
            </w:pPr>
          </w:p>
          <w:p>
            <w:r>
              <w:rPr>
                <w:rFonts w:hint="eastAsia"/>
                <w:b/>
                <w:bCs/>
              </w:rPr>
              <w:t>特别着重提醒：投标时须提交杜绝挂靠、转包承诺函（详见投标函附录），函必须经公司法务部门/人员签字及法定代表人签字盖公章。</w:t>
            </w:r>
          </w:p>
        </w:tc>
      </w:tr>
    </w:tbl>
    <w:p>
      <w:pPr>
        <w:pStyle w:val="19"/>
        <w:rPr>
          <w:lang w:bidi="en-US"/>
        </w:rPr>
      </w:pPr>
      <w:bookmarkStart w:id="35" w:name="_Toc17817323"/>
      <w:bookmarkStart w:id="36" w:name="_Toc28870"/>
      <w:bookmarkStart w:id="37" w:name="_Toc16063893"/>
    </w:p>
    <w:p>
      <w:pPr>
        <w:pStyle w:val="7"/>
        <w:spacing w:before="0" w:after="0"/>
        <w:jc w:val="center"/>
        <w:rPr>
          <w:sz w:val="30"/>
          <w:szCs w:val="30"/>
        </w:rPr>
      </w:pPr>
      <w:bookmarkStart w:id="38" w:name="_Toc220505561"/>
      <w:r>
        <w:rPr>
          <w:sz w:val="30"/>
          <w:szCs w:val="30"/>
        </w:rPr>
        <w:t>1. 总则</w:t>
      </w:r>
      <w:bookmarkEnd w:id="35"/>
      <w:bookmarkEnd w:id="36"/>
      <w:bookmarkEnd w:id="37"/>
      <w:bookmarkEnd w:id="38"/>
    </w:p>
    <w:p>
      <w:pPr>
        <w:pStyle w:val="62"/>
        <w:spacing w:before="0" w:after="0"/>
        <w:rPr>
          <w:rStyle w:val="58"/>
          <w:rFonts w:ascii="宋体" w:hAnsi="宋体"/>
        </w:rPr>
      </w:pPr>
      <w:r>
        <w:rPr>
          <w:rStyle w:val="58"/>
          <w:rFonts w:ascii="宋体" w:hAnsi="宋体"/>
        </w:rPr>
        <w:t>1.1 项目概况</w:t>
      </w:r>
    </w:p>
    <w:p>
      <w:pPr>
        <w:spacing w:line="360" w:lineRule="auto"/>
        <w:ind w:firstLine="420" w:firstLineChars="200"/>
        <w:rPr>
          <w:rStyle w:val="58"/>
          <w:rFonts w:ascii="宋体" w:hAnsi="宋体"/>
        </w:rPr>
      </w:pPr>
      <w:r>
        <w:rPr>
          <w:rStyle w:val="58"/>
          <w:rFonts w:ascii="宋体" w:hAnsi="宋体"/>
        </w:rPr>
        <w:t>1.1.1根据《中华人民共和国招标投标法》等有关法律、法规和规章的规定，本招标项目已具备招标条件，现对本项目施工进行招标。</w:t>
      </w:r>
    </w:p>
    <w:p>
      <w:pPr>
        <w:spacing w:line="360" w:lineRule="auto"/>
        <w:ind w:firstLine="420" w:firstLineChars="200"/>
        <w:rPr>
          <w:rStyle w:val="58"/>
          <w:rFonts w:ascii="宋体" w:hAnsi="宋体"/>
        </w:rPr>
      </w:pPr>
      <w:r>
        <w:rPr>
          <w:rStyle w:val="58"/>
          <w:rFonts w:ascii="宋体" w:hAnsi="宋体"/>
        </w:rPr>
        <w:t>1.1.2 本招标项目招标人：见投标人须知前附表。</w:t>
      </w:r>
    </w:p>
    <w:p>
      <w:pPr>
        <w:spacing w:line="360" w:lineRule="auto"/>
        <w:ind w:firstLine="420" w:firstLineChars="200"/>
        <w:rPr>
          <w:rStyle w:val="58"/>
          <w:rFonts w:ascii="宋体" w:hAnsi="宋体"/>
        </w:rPr>
      </w:pPr>
      <w:r>
        <w:rPr>
          <w:rStyle w:val="58"/>
          <w:rFonts w:ascii="宋体" w:hAnsi="宋体"/>
        </w:rPr>
        <w:t>1.1.3 本项目招标代理机构：见投标人须知前附表。</w:t>
      </w:r>
    </w:p>
    <w:p>
      <w:pPr>
        <w:spacing w:line="360" w:lineRule="auto"/>
        <w:ind w:firstLine="420" w:firstLineChars="200"/>
        <w:rPr>
          <w:rStyle w:val="58"/>
          <w:rFonts w:ascii="宋体" w:hAnsi="宋体"/>
        </w:rPr>
      </w:pPr>
      <w:r>
        <w:rPr>
          <w:rStyle w:val="58"/>
          <w:rFonts w:ascii="宋体" w:hAnsi="宋体"/>
        </w:rPr>
        <w:t>1.1.4 本招标项目名称：见投标人须知前附表。</w:t>
      </w:r>
    </w:p>
    <w:p>
      <w:pPr>
        <w:spacing w:line="360" w:lineRule="auto"/>
        <w:ind w:firstLine="420" w:firstLineChars="200"/>
        <w:rPr>
          <w:rStyle w:val="58"/>
          <w:rFonts w:ascii="宋体" w:hAnsi="宋体"/>
        </w:rPr>
      </w:pPr>
      <w:r>
        <w:rPr>
          <w:rStyle w:val="58"/>
          <w:rFonts w:ascii="宋体" w:hAnsi="宋体"/>
        </w:rPr>
        <w:t>1.1.5 本招标项目建设规模：见投标人须知前附表。</w:t>
      </w:r>
    </w:p>
    <w:p>
      <w:pPr>
        <w:spacing w:line="360" w:lineRule="auto"/>
        <w:ind w:firstLine="420" w:firstLineChars="200"/>
        <w:rPr>
          <w:rStyle w:val="58"/>
          <w:rFonts w:ascii="宋体" w:hAnsi="宋体"/>
        </w:rPr>
      </w:pPr>
      <w:r>
        <w:rPr>
          <w:rStyle w:val="58"/>
          <w:rFonts w:ascii="宋体" w:hAnsi="宋体"/>
        </w:rPr>
        <w:t>1.1.6 本项目建设地点：见投标人须知前附表。</w:t>
      </w:r>
    </w:p>
    <w:p>
      <w:pPr>
        <w:pStyle w:val="62"/>
        <w:spacing w:before="0" w:after="0"/>
        <w:rPr>
          <w:rStyle w:val="58"/>
          <w:rFonts w:ascii="宋体" w:hAnsi="宋体"/>
          <w:sz w:val="24"/>
        </w:rPr>
      </w:pPr>
      <w:r>
        <w:rPr>
          <w:rStyle w:val="58"/>
          <w:rFonts w:ascii="宋体" w:hAnsi="宋体"/>
          <w:sz w:val="24"/>
        </w:rPr>
        <w:t>1.2 资金来源和落实情况</w:t>
      </w:r>
    </w:p>
    <w:p>
      <w:pPr>
        <w:spacing w:line="360" w:lineRule="auto"/>
        <w:ind w:firstLine="420" w:firstLineChars="200"/>
        <w:rPr>
          <w:rStyle w:val="58"/>
          <w:rFonts w:ascii="宋体" w:hAnsi="宋体"/>
        </w:rPr>
      </w:pPr>
      <w:r>
        <w:rPr>
          <w:rStyle w:val="58"/>
          <w:rFonts w:ascii="宋体" w:hAnsi="宋体"/>
        </w:rPr>
        <w:t>1.2.1 本招标项目的资金来源：见投标人须知前附表。</w:t>
      </w:r>
    </w:p>
    <w:p>
      <w:pPr>
        <w:spacing w:line="360" w:lineRule="auto"/>
        <w:ind w:firstLine="420" w:firstLineChars="200"/>
        <w:rPr>
          <w:rStyle w:val="58"/>
          <w:rFonts w:ascii="宋体" w:hAnsi="宋体"/>
        </w:rPr>
      </w:pPr>
      <w:r>
        <w:rPr>
          <w:rStyle w:val="58"/>
          <w:rFonts w:ascii="宋体" w:hAnsi="宋体"/>
        </w:rPr>
        <w:t>1.2.2 本招标项目的出资比例：见投标人须知前附表。</w:t>
      </w:r>
    </w:p>
    <w:p>
      <w:pPr>
        <w:spacing w:line="360" w:lineRule="auto"/>
        <w:ind w:firstLine="420" w:firstLineChars="200"/>
        <w:rPr>
          <w:rStyle w:val="58"/>
          <w:rFonts w:ascii="宋体" w:hAnsi="宋体"/>
        </w:rPr>
      </w:pPr>
      <w:r>
        <w:rPr>
          <w:rStyle w:val="58"/>
          <w:rFonts w:ascii="宋体" w:hAnsi="宋体"/>
        </w:rPr>
        <w:t>1.2.3 本招标项目的资金落实情况：见投标人须知前附表。</w:t>
      </w:r>
    </w:p>
    <w:p>
      <w:pPr>
        <w:pStyle w:val="62"/>
        <w:spacing w:before="0" w:after="0"/>
        <w:rPr>
          <w:rStyle w:val="58"/>
          <w:rFonts w:ascii="宋体" w:hAnsi="宋体"/>
          <w:sz w:val="24"/>
        </w:rPr>
      </w:pPr>
      <w:r>
        <w:rPr>
          <w:rStyle w:val="58"/>
          <w:rFonts w:ascii="宋体" w:hAnsi="宋体"/>
          <w:sz w:val="24"/>
        </w:rPr>
        <w:t>1.3 招标范围、计划工期和质量要求</w:t>
      </w:r>
    </w:p>
    <w:p>
      <w:pPr>
        <w:spacing w:line="360" w:lineRule="auto"/>
        <w:ind w:firstLine="420" w:firstLineChars="200"/>
        <w:rPr>
          <w:rStyle w:val="58"/>
          <w:rFonts w:ascii="宋体" w:hAnsi="宋体"/>
        </w:rPr>
      </w:pPr>
      <w:r>
        <w:rPr>
          <w:rStyle w:val="58"/>
          <w:rFonts w:ascii="宋体" w:hAnsi="宋体"/>
        </w:rPr>
        <w:t>1.3.1 本次招标范围：见投标人须知前附表。</w:t>
      </w:r>
    </w:p>
    <w:p>
      <w:pPr>
        <w:spacing w:line="360" w:lineRule="auto"/>
        <w:ind w:firstLine="420" w:firstLineChars="200"/>
        <w:rPr>
          <w:rStyle w:val="58"/>
          <w:rFonts w:ascii="宋体" w:hAnsi="宋体"/>
        </w:rPr>
      </w:pPr>
      <w:r>
        <w:rPr>
          <w:rStyle w:val="58"/>
          <w:rFonts w:ascii="宋体" w:hAnsi="宋体"/>
        </w:rPr>
        <w:t>1.3.2 本项目的计划工期：见投标人须知前附表。</w:t>
      </w:r>
    </w:p>
    <w:p>
      <w:pPr>
        <w:spacing w:line="360" w:lineRule="auto"/>
        <w:ind w:firstLine="420" w:firstLineChars="200"/>
        <w:rPr>
          <w:rStyle w:val="58"/>
          <w:rFonts w:ascii="宋体" w:hAnsi="宋体"/>
        </w:rPr>
      </w:pPr>
      <w:r>
        <w:rPr>
          <w:rStyle w:val="58"/>
          <w:rFonts w:ascii="宋体" w:hAnsi="宋体"/>
        </w:rPr>
        <w:t>1.3.3 本项目的质量要求：见投标人须知前附表。</w:t>
      </w:r>
    </w:p>
    <w:p>
      <w:pPr>
        <w:pStyle w:val="62"/>
        <w:spacing w:before="0" w:after="0"/>
        <w:rPr>
          <w:rStyle w:val="58"/>
          <w:rFonts w:ascii="宋体" w:hAnsi="宋体"/>
          <w:sz w:val="24"/>
        </w:rPr>
      </w:pPr>
      <w:r>
        <w:rPr>
          <w:rStyle w:val="58"/>
          <w:rFonts w:ascii="宋体" w:hAnsi="宋体"/>
          <w:sz w:val="24"/>
        </w:rPr>
        <w:t>1.4 投标人资格要求</w:t>
      </w:r>
    </w:p>
    <w:p>
      <w:pPr>
        <w:spacing w:line="360" w:lineRule="auto"/>
        <w:ind w:firstLine="420" w:firstLineChars="200"/>
        <w:rPr>
          <w:rStyle w:val="58"/>
          <w:rFonts w:ascii="宋体" w:hAnsi="宋体"/>
        </w:rPr>
      </w:pPr>
      <w:r>
        <w:rPr>
          <w:rStyle w:val="58"/>
          <w:rFonts w:ascii="宋体" w:hAnsi="宋体"/>
        </w:rPr>
        <w:t>1.4.1投标人应具备承担本项目施工的资质条件、能力和信誉。</w:t>
      </w:r>
    </w:p>
    <w:p>
      <w:pPr>
        <w:spacing w:line="360" w:lineRule="auto"/>
        <w:ind w:firstLine="718" w:firstLineChars="342"/>
        <w:rPr>
          <w:rStyle w:val="58"/>
          <w:rFonts w:ascii="宋体" w:hAnsi="宋体"/>
        </w:rPr>
      </w:pPr>
      <w:r>
        <w:rPr>
          <w:rStyle w:val="58"/>
          <w:rFonts w:ascii="宋体" w:hAnsi="宋体"/>
        </w:rPr>
        <w:t>（1）资质条件：见投标人须知前附表；</w:t>
      </w:r>
    </w:p>
    <w:p>
      <w:pPr>
        <w:spacing w:line="360" w:lineRule="auto"/>
        <w:ind w:firstLine="718" w:firstLineChars="342"/>
        <w:rPr>
          <w:rStyle w:val="58"/>
          <w:rFonts w:ascii="宋体" w:hAnsi="宋体"/>
        </w:rPr>
      </w:pPr>
      <w:r>
        <w:rPr>
          <w:rStyle w:val="58"/>
          <w:rFonts w:ascii="宋体" w:hAnsi="宋体"/>
        </w:rPr>
        <w:t>（2）财务要求：见投标人须知前附表；</w:t>
      </w:r>
    </w:p>
    <w:p>
      <w:pPr>
        <w:spacing w:line="360" w:lineRule="auto"/>
        <w:ind w:firstLine="718" w:firstLineChars="342"/>
        <w:rPr>
          <w:rStyle w:val="58"/>
          <w:rFonts w:ascii="宋体" w:hAnsi="宋体"/>
        </w:rPr>
      </w:pPr>
      <w:r>
        <w:rPr>
          <w:rStyle w:val="58"/>
          <w:rFonts w:ascii="宋体" w:hAnsi="宋体"/>
        </w:rPr>
        <w:t>（3）信誉要求：见投标人须知前附表；</w:t>
      </w:r>
    </w:p>
    <w:p>
      <w:pPr>
        <w:spacing w:line="360" w:lineRule="auto"/>
        <w:ind w:firstLine="735" w:firstLineChars="350"/>
        <w:rPr>
          <w:rStyle w:val="58"/>
          <w:rFonts w:ascii="宋体" w:hAnsi="宋体"/>
        </w:rPr>
      </w:pPr>
      <w:r>
        <w:rPr>
          <w:rStyle w:val="58"/>
          <w:rFonts w:ascii="宋体" w:hAnsi="宋体"/>
        </w:rPr>
        <w:t>（4）项目经理资格：见投标人须知前附表；</w:t>
      </w:r>
    </w:p>
    <w:p>
      <w:pPr>
        <w:spacing w:line="360" w:lineRule="auto"/>
        <w:ind w:firstLine="735" w:firstLineChars="350"/>
        <w:rPr>
          <w:rStyle w:val="58"/>
          <w:rFonts w:ascii="宋体" w:hAnsi="宋体"/>
        </w:rPr>
      </w:pPr>
      <w:r>
        <w:rPr>
          <w:rStyle w:val="58"/>
          <w:rFonts w:ascii="宋体" w:hAnsi="宋体"/>
        </w:rPr>
        <w:t>（5）其他要求：见投标人须知前附表。</w:t>
      </w:r>
    </w:p>
    <w:p>
      <w:pPr>
        <w:spacing w:line="360" w:lineRule="auto"/>
        <w:rPr>
          <w:rStyle w:val="58"/>
          <w:rFonts w:ascii="宋体" w:hAnsi="宋体"/>
        </w:rPr>
      </w:pPr>
      <w:r>
        <w:rPr>
          <w:rStyle w:val="58"/>
          <w:rFonts w:ascii="宋体" w:hAnsi="宋体"/>
        </w:rPr>
        <w:t xml:space="preserve">    1.4.2 本工程</w:t>
      </w:r>
      <w:r>
        <w:rPr>
          <w:rStyle w:val="58"/>
          <w:rFonts w:hint="eastAsia" w:ascii="宋体" w:hAnsi="宋体"/>
          <w:u w:val="single"/>
        </w:rPr>
        <w:t>不接受</w:t>
      </w:r>
      <w:r>
        <w:rPr>
          <w:rStyle w:val="58"/>
          <w:rFonts w:ascii="宋体" w:hAnsi="宋体"/>
        </w:rPr>
        <w:t>联合体投标；</w:t>
      </w:r>
    </w:p>
    <w:p>
      <w:pPr>
        <w:spacing w:line="360" w:lineRule="auto"/>
        <w:ind w:firstLine="420" w:firstLineChars="200"/>
        <w:rPr>
          <w:rStyle w:val="58"/>
          <w:rFonts w:ascii="宋体" w:hAnsi="宋体"/>
        </w:rPr>
      </w:pPr>
      <w:r>
        <w:rPr>
          <w:rStyle w:val="58"/>
          <w:rFonts w:ascii="宋体" w:hAnsi="宋体"/>
        </w:rPr>
        <w:t>1.4.3 投标人不得存在下列情形之一：</w:t>
      </w:r>
    </w:p>
    <w:p>
      <w:pPr>
        <w:spacing w:line="360" w:lineRule="auto"/>
        <w:ind w:firstLine="718" w:firstLineChars="342"/>
        <w:rPr>
          <w:rStyle w:val="58"/>
          <w:rFonts w:ascii="宋体" w:hAnsi="宋体"/>
        </w:rPr>
      </w:pPr>
      <w:r>
        <w:rPr>
          <w:rStyle w:val="58"/>
          <w:rFonts w:ascii="宋体" w:hAnsi="宋体"/>
        </w:rPr>
        <w:t xml:space="preserve">（1）为招标人不具有独立法人资格的附属机构（单位）； </w:t>
      </w:r>
    </w:p>
    <w:p>
      <w:pPr>
        <w:spacing w:line="360" w:lineRule="auto"/>
        <w:ind w:firstLine="718" w:firstLineChars="342"/>
        <w:rPr>
          <w:rStyle w:val="58"/>
          <w:rFonts w:ascii="宋体" w:hAnsi="宋体"/>
        </w:rPr>
      </w:pPr>
      <w:r>
        <w:rPr>
          <w:rStyle w:val="58"/>
          <w:rFonts w:ascii="宋体" w:hAnsi="宋体"/>
        </w:rPr>
        <w:t xml:space="preserve">（2）为本项目前期准备提供设计或咨询服务的，但设计施工总承包的除外； </w:t>
      </w:r>
    </w:p>
    <w:p>
      <w:pPr>
        <w:spacing w:line="360" w:lineRule="auto"/>
        <w:ind w:firstLine="718" w:firstLineChars="342"/>
        <w:rPr>
          <w:rStyle w:val="58"/>
          <w:rFonts w:ascii="宋体" w:hAnsi="宋体"/>
        </w:rPr>
      </w:pPr>
      <w:r>
        <w:rPr>
          <w:rStyle w:val="58"/>
          <w:rFonts w:ascii="宋体" w:hAnsi="宋体"/>
        </w:rPr>
        <w:t>（3）为本项目的监理人；</w:t>
      </w:r>
    </w:p>
    <w:p>
      <w:pPr>
        <w:spacing w:line="360" w:lineRule="auto"/>
        <w:ind w:firstLine="718" w:firstLineChars="342"/>
        <w:rPr>
          <w:rStyle w:val="58"/>
          <w:rFonts w:ascii="宋体" w:hAnsi="宋体"/>
        </w:rPr>
      </w:pPr>
      <w:r>
        <w:rPr>
          <w:rStyle w:val="58"/>
          <w:rFonts w:ascii="宋体" w:hAnsi="宋体"/>
        </w:rPr>
        <w:t>（4）为本项目的代建人；</w:t>
      </w:r>
    </w:p>
    <w:p>
      <w:pPr>
        <w:spacing w:line="360" w:lineRule="auto"/>
        <w:ind w:firstLine="718" w:firstLineChars="342"/>
        <w:rPr>
          <w:rStyle w:val="58"/>
          <w:rFonts w:ascii="宋体" w:hAnsi="宋体"/>
        </w:rPr>
      </w:pPr>
      <w:r>
        <w:rPr>
          <w:rStyle w:val="58"/>
          <w:rFonts w:ascii="宋体" w:hAnsi="宋体"/>
        </w:rPr>
        <w:t xml:space="preserve">（5）为本项目提供招标代理服务的； </w:t>
      </w:r>
    </w:p>
    <w:p>
      <w:pPr>
        <w:spacing w:line="360" w:lineRule="auto"/>
        <w:ind w:firstLine="718" w:firstLineChars="342"/>
        <w:rPr>
          <w:rStyle w:val="58"/>
          <w:rFonts w:ascii="宋体" w:hAnsi="宋体"/>
        </w:rPr>
      </w:pPr>
      <w:r>
        <w:rPr>
          <w:rStyle w:val="58"/>
          <w:rFonts w:ascii="宋体" w:hAnsi="宋体"/>
        </w:rPr>
        <w:t>（6）与本项目的监理人或代建人或招标代理机构同为一个法定代表人的；</w:t>
      </w:r>
    </w:p>
    <w:p>
      <w:pPr>
        <w:spacing w:line="360" w:lineRule="auto"/>
        <w:ind w:firstLine="718" w:firstLineChars="342"/>
        <w:rPr>
          <w:rStyle w:val="58"/>
          <w:rFonts w:ascii="宋体" w:hAnsi="宋体"/>
        </w:rPr>
      </w:pPr>
      <w:r>
        <w:rPr>
          <w:rStyle w:val="58"/>
          <w:rFonts w:ascii="宋体" w:hAnsi="宋体"/>
        </w:rPr>
        <w:t>（7）与本项目的监理人或代建人或招标代理机构相互控股或参股的；</w:t>
      </w:r>
    </w:p>
    <w:p>
      <w:pPr>
        <w:spacing w:line="360" w:lineRule="auto"/>
        <w:ind w:firstLine="718" w:firstLineChars="342"/>
        <w:rPr>
          <w:rStyle w:val="58"/>
          <w:rFonts w:ascii="宋体" w:hAnsi="宋体"/>
        </w:rPr>
      </w:pPr>
      <w:r>
        <w:rPr>
          <w:rStyle w:val="58"/>
          <w:rFonts w:ascii="宋体" w:hAnsi="宋体"/>
        </w:rPr>
        <w:t>（8）与本项目的监理人或代建人或招标代理机构相互任职或工作的；</w:t>
      </w:r>
    </w:p>
    <w:p>
      <w:pPr>
        <w:spacing w:line="360" w:lineRule="auto"/>
        <w:ind w:firstLine="718" w:firstLineChars="342"/>
        <w:rPr>
          <w:rStyle w:val="58"/>
          <w:rFonts w:ascii="宋体" w:hAnsi="宋体"/>
        </w:rPr>
      </w:pPr>
      <w:r>
        <w:rPr>
          <w:rStyle w:val="58"/>
          <w:rFonts w:ascii="宋体" w:hAnsi="宋体"/>
        </w:rPr>
        <w:t xml:space="preserve">（9）被责令停业的； </w:t>
      </w:r>
    </w:p>
    <w:p>
      <w:pPr>
        <w:spacing w:line="360" w:lineRule="auto"/>
        <w:ind w:firstLine="718" w:firstLineChars="342"/>
        <w:rPr>
          <w:rStyle w:val="58"/>
          <w:rFonts w:ascii="宋体" w:hAnsi="宋体"/>
        </w:rPr>
      </w:pPr>
      <w:r>
        <w:rPr>
          <w:rStyle w:val="58"/>
          <w:rFonts w:ascii="宋体" w:hAnsi="宋体"/>
        </w:rPr>
        <w:t xml:space="preserve">（10）被暂停或取消投标资格的； </w:t>
      </w:r>
    </w:p>
    <w:p>
      <w:pPr>
        <w:spacing w:line="360" w:lineRule="auto"/>
        <w:ind w:firstLine="718" w:firstLineChars="342"/>
        <w:rPr>
          <w:rStyle w:val="58"/>
          <w:rFonts w:ascii="宋体" w:hAnsi="宋体"/>
        </w:rPr>
      </w:pPr>
      <w:r>
        <w:rPr>
          <w:rStyle w:val="58"/>
          <w:rFonts w:ascii="宋体" w:hAnsi="宋体"/>
        </w:rPr>
        <w:t>（11）财产被接管或冻结的；</w:t>
      </w:r>
    </w:p>
    <w:p>
      <w:pPr>
        <w:spacing w:line="360" w:lineRule="auto"/>
        <w:ind w:firstLine="718" w:firstLineChars="342"/>
        <w:rPr>
          <w:rStyle w:val="58"/>
          <w:rFonts w:ascii="宋体" w:hAnsi="宋体"/>
        </w:rPr>
      </w:pPr>
      <w:r>
        <w:rPr>
          <w:rStyle w:val="58"/>
          <w:rFonts w:ascii="宋体" w:hAnsi="宋体"/>
        </w:rPr>
        <w:t>（12）在最近三年内有骗取中标或严重违约或重大工程质量问题的。</w:t>
      </w:r>
    </w:p>
    <w:p>
      <w:pPr>
        <w:pStyle w:val="62"/>
        <w:spacing w:before="0" w:after="0"/>
        <w:rPr>
          <w:rStyle w:val="58"/>
          <w:rFonts w:ascii="宋体" w:hAnsi="宋体"/>
          <w:sz w:val="24"/>
        </w:rPr>
      </w:pPr>
      <w:r>
        <w:rPr>
          <w:rStyle w:val="58"/>
          <w:rFonts w:ascii="宋体" w:hAnsi="宋体"/>
          <w:sz w:val="24"/>
        </w:rPr>
        <w:t>1.5 费用承担</w:t>
      </w:r>
    </w:p>
    <w:p>
      <w:pPr>
        <w:spacing w:line="360" w:lineRule="auto"/>
        <w:ind w:firstLine="420" w:firstLineChars="200"/>
        <w:rPr>
          <w:rStyle w:val="58"/>
          <w:rFonts w:ascii="宋体" w:hAnsi="宋体"/>
        </w:rPr>
      </w:pPr>
      <w:r>
        <w:rPr>
          <w:rStyle w:val="58"/>
          <w:rFonts w:ascii="宋体" w:hAnsi="宋体"/>
        </w:rPr>
        <w:t>投标人准备和参加投标活动发生的费用自理。招标代理费由中标单位支付。</w:t>
      </w:r>
    </w:p>
    <w:p>
      <w:pPr>
        <w:pStyle w:val="62"/>
        <w:spacing w:before="0" w:after="0"/>
        <w:rPr>
          <w:rStyle w:val="58"/>
          <w:rFonts w:ascii="宋体" w:hAnsi="宋体"/>
          <w:sz w:val="24"/>
        </w:rPr>
      </w:pPr>
      <w:r>
        <w:rPr>
          <w:rStyle w:val="58"/>
          <w:rFonts w:ascii="宋体" w:hAnsi="宋体"/>
          <w:sz w:val="24"/>
        </w:rPr>
        <w:t>1.6 保密</w:t>
      </w:r>
    </w:p>
    <w:p>
      <w:pPr>
        <w:spacing w:line="360" w:lineRule="auto"/>
        <w:ind w:firstLine="420" w:firstLineChars="200"/>
        <w:rPr>
          <w:rStyle w:val="58"/>
          <w:rFonts w:ascii="宋体" w:hAnsi="宋体"/>
        </w:rPr>
      </w:pPr>
      <w:r>
        <w:rPr>
          <w:rStyle w:val="58"/>
          <w:rFonts w:ascii="宋体" w:hAnsi="宋体"/>
        </w:rPr>
        <w:t xml:space="preserve">参与招标投标活动的各方应对招标文件和投标文件中的商业和技术等秘密保密，违者应对由此造成的后果承担法律责任。 </w:t>
      </w:r>
    </w:p>
    <w:p>
      <w:pPr>
        <w:pStyle w:val="62"/>
        <w:spacing w:before="0" w:after="0"/>
        <w:rPr>
          <w:rStyle w:val="58"/>
          <w:rFonts w:ascii="宋体" w:hAnsi="宋体"/>
          <w:sz w:val="24"/>
        </w:rPr>
      </w:pPr>
      <w:r>
        <w:rPr>
          <w:rStyle w:val="58"/>
          <w:rFonts w:ascii="宋体" w:hAnsi="宋体"/>
          <w:sz w:val="24"/>
        </w:rPr>
        <w:t>1.7 语言文字</w:t>
      </w:r>
    </w:p>
    <w:p>
      <w:pPr>
        <w:spacing w:line="360" w:lineRule="auto"/>
        <w:ind w:firstLine="420" w:firstLineChars="200"/>
        <w:rPr>
          <w:rStyle w:val="58"/>
          <w:rFonts w:ascii="宋体" w:hAnsi="宋体"/>
        </w:rPr>
      </w:pPr>
      <w:r>
        <w:rPr>
          <w:rStyle w:val="58"/>
          <w:rFonts w:ascii="宋体" w:hAnsi="宋体"/>
        </w:rPr>
        <w:t>除专用术语外，与招标投标有关的语言均使用中文。必要时专用术语应附有中文注释。</w:t>
      </w:r>
    </w:p>
    <w:p>
      <w:pPr>
        <w:pStyle w:val="62"/>
        <w:spacing w:before="0" w:after="0"/>
        <w:rPr>
          <w:rStyle w:val="58"/>
          <w:rFonts w:ascii="宋体" w:hAnsi="宋体"/>
          <w:sz w:val="24"/>
        </w:rPr>
      </w:pPr>
      <w:r>
        <w:rPr>
          <w:rStyle w:val="58"/>
          <w:rFonts w:ascii="宋体" w:hAnsi="宋体"/>
          <w:sz w:val="24"/>
        </w:rPr>
        <w:t>1.8 计量单位</w:t>
      </w:r>
    </w:p>
    <w:p>
      <w:pPr>
        <w:spacing w:line="360" w:lineRule="auto"/>
        <w:ind w:firstLine="420" w:firstLineChars="200"/>
        <w:rPr>
          <w:rStyle w:val="58"/>
          <w:rFonts w:ascii="宋体" w:hAnsi="宋体"/>
        </w:rPr>
      </w:pPr>
      <w:r>
        <w:rPr>
          <w:rStyle w:val="58"/>
          <w:rFonts w:ascii="宋体" w:hAnsi="宋体"/>
        </w:rPr>
        <w:t>所有计量均采用中华人民共和国法定计量单位。</w:t>
      </w:r>
    </w:p>
    <w:p>
      <w:pPr>
        <w:pStyle w:val="62"/>
        <w:spacing w:before="0" w:after="0"/>
        <w:rPr>
          <w:rStyle w:val="58"/>
          <w:rFonts w:ascii="宋体" w:hAnsi="宋体"/>
          <w:sz w:val="24"/>
        </w:rPr>
      </w:pPr>
      <w:r>
        <w:rPr>
          <w:rStyle w:val="58"/>
          <w:rFonts w:ascii="宋体" w:hAnsi="宋体"/>
          <w:sz w:val="24"/>
        </w:rPr>
        <w:t>1.9 踏勘现场</w:t>
      </w:r>
    </w:p>
    <w:p>
      <w:pPr>
        <w:spacing w:line="360" w:lineRule="auto"/>
        <w:ind w:firstLine="420" w:firstLineChars="200"/>
        <w:rPr>
          <w:rStyle w:val="58"/>
          <w:rFonts w:ascii="宋体" w:hAnsi="宋体"/>
        </w:rPr>
      </w:pPr>
      <w:r>
        <w:rPr>
          <w:rStyle w:val="58"/>
          <w:rFonts w:ascii="宋体" w:hAnsi="宋体"/>
        </w:rPr>
        <w:t xml:space="preserve">1.9.1 投标人须知前附表规定组织踏勘现场的，招标人按投标人须知前附表规定的时间、地点组织投标人踏勘项目现场。 </w:t>
      </w:r>
    </w:p>
    <w:p>
      <w:pPr>
        <w:spacing w:line="360" w:lineRule="auto"/>
        <w:ind w:firstLine="420" w:firstLineChars="200"/>
        <w:rPr>
          <w:rStyle w:val="58"/>
          <w:rFonts w:ascii="宋体" w:hAnsi="宋体"/>
        </w:rPr>
      </w:pPr>
      <w:r>
        <w:rPr>
          <w:rStyle w:val="58"/>
          <w:rFonts w:ascii="宋体" w:hAnsi="宋体"/>
        </w:rPr>
        <w:t>1.9.2 投标人踏勘现场发生的费用自理。</w:t>
      </w:r>
    </w:p>
    <w:p>
      <w:pPr>
        <w:spacing w:line="360" w:lineRule="auto"/>
        <w:ind w:firstLine="420" w:firstLineChars="200"/>
        <w:rPr>
          <w:rStyle w:val="58"/>
          <w:rFonts w:ascii="宋体" w:hAnsi="宋体"/>
        </w:rPr>
      </w:pPr>
      <w:r>
        <w:rPr>
          <w:rStyle w:val="58"/>
          <w:rFonts w:ascii="宋体" w:hAnsi="宋体"/>
        </w:rPr>
        <w:t>1.9.3 除招标人的原因外，投标人自行负责在踏勘现场中所发生的人员伤亡和财产损失。</w:t>
      </w:r>
    </w:p>
    <w:p>
      <w:pPr>
        <w:spacing w:line="360" w:lineRule="auto"/>
        <w:ind w:firstLine="420" w:firstLineChars="200"/>
        <w:rPr>
          <w:rStyle w:val="58"/>
          <w:rFonts w:ascii="宋体" w:hAnsi="宋体"/>
        </w:rPr>
      </w:pPr>
      <w:r>
        <w:rPr>
          <w:rStyle w:val="58"/>
          <w:rFonts w:ascii="宋体" w:hAnsi="宋体"/>
        </w:rPr>
        <w:t>1.9.4 招标人在踏勘现场中介绍的工程场地和相关的周边环境情况，供投标人在编制投标文件时参考，招标人不对投标人据此作出的判断和决策负责。</w:t>
      </w:r>
    </w:p>
    <w:p>
      <w:pPr>
        <w:pStyle w:val="62"/>
        <w:spacing w:before="0" w:after="0"/>
        <w:rPr>
          <w:rStyle w:val="58"/>
          <w:rFonts w:ascii="宋体" w:hAnsi="宋体"/>
          <w:sz w:val="24"/>
        </w:rPr>
      </w:pPr>
      <w:r>
        <w:rPr>
          <w:rStyle w:val="58"/>
          <w:rFonts w:ascii="宋体" w:hAnsi="宋体"/>
          <w:sz w:val="24"/>
        </w:rPr>
        <w:t>1.10 投标预备会</w:t>
      </w:r>
    </w:p>
    <w:p>
      <w:pPr>
        <w:spacing w:line="360" w:lineRule="auto"/>
        <w:ind w:firstLine="567" w:firstLineChars="270"/>
        <w:rPr>
          <w:rStyle w:val="58"/>
          <w:rFonts w:ascii="宋体" w:hAnsi="宋体"/>
        </w:rPr>
      </w:pPr>
      <w:r>
        <w:rPr>
          <w:rStyle w:val="58"/>
          <w:rFonts w:ascii="宋体" w:hAnsi="宋体"/>
        </w:rPr>
        <w:t>按投标人须知前附表规定不召开投标预备会。</w:t>
      </w:r>
    </w:p>
    <w:p>
      <w:pPr>
        <w:pStyle w:val="62"/>
        <w:spacing w:before="0" w:after="0"/>
        <w:rPr>
          <w:rStyle w:val="58"/>
          <w:rFonts w:ascii="宋体" w:hAnsi="宋体"/>
          <w:sz w:val="24"/>
        </w:rPr>
      </w:pPr>
      <w:r>
        <w:rPr>
          <w:rStyle w:val="58"/>
          <w:rFonts w:ascii="宋体" w:hAnsi="宋体"/>
          <w:sz w:val="24"/>
        </w:rPr>
        <w:t>1.11 工程分包</w:t>
      </w:r>
    </w:p>
    <w:p>
      <w:pPr>
        <w:spacing w:line="360" w:lineRule="auto"/>
        <w:ind w:firstLine="567" w:firstLineChars="270"/>
        <w:rPr>
          <w:rStyle w:val="58"/>
          <w:rFonts w:ascii="宋体" w:hAnsi="宋体"/>
        </w:rPr>
      </w:pPr>
      <w:r>
        <w:rPr>
          <w:rStyle w:val="58"/>
          <w:rFonts w:ascii="宋体" w:hAnsi="宋体"/>
        </w:rPr>
        <w:t>详见投标人须知前附表。</w:t>
      </w:r>
    </w:p>
    <w:p>
      <w:pPr>
        <w:pStyle w:val="62"/>
        <w:spacing w:before="0" w:after="0"/>
        <w:rPr>
          <w:rStyle w:val="58"/>
          <w:rFonts w:ascii="宋体" w:hAnsi="宋体"/>
          <w:sz w:val="24"/>
        </w:rPr>
      </w:pPr>
      <w:r>
        <w:rPr>
          <w:rStyle w:val="58"/>
          <w:rFonts w:ascii="宋体" w:hAnsi="宋体"/>
          <w:sz w:val="24"/>
        </w:rPr>
        <w:t>1.12 偏离</w:t>
      </w:r>
    </w:p>
    <w:p>
      <w:pPr>
        <w:spacing w:line="360" w:lineRule="auto"/>
        <w:ind w:firstLine="464" w:firstLineChars="221"/>
        <w:rPr>
          <w:rStyle w:val="58"/>
          <w:rFonts w:ascii="宋体" w:hAnsi="宋体"/>
        </w:rPr>
      </w:pPr>
      <w:r>
        <w:rPr>
          <w:rStyle w:val="58"/>
          <w:rFonts w:ascii="宋体" w:hAnsi="宋体"/>
        </w:rPr>
        <w:t>不允许。</w:t>
      </w:r>
    </w:p>
    <w:p>
      <w:pPr>
        <w:pStyle w:val="7"/>
        <w:spacing w:before="0" w:after="0"/>
        <w:jc w:val="center"/>
        <w:rPr>
          <w:sz w:val="30"/>
          <w:szCs w:val="30"/>
        </w:rPr>
      </w:pPr>
      <w:bookmarkStart w:id="39" w:name="_Toc11696"/>
      <w:bookmarkStart w:id="40" w:name="_Toc220505562"/>
      <w:bookmarkStart w:id="41" w:name="_Toc16063894"/>
      <w:bookmarkStart w:id="42" w:name="_Toc17817324"/>
      <w:r>
        <w:rPr>
          <w:sz w:val="30"/>
          <w:szCs w:val="30"/>
        </w:rPr>
        <w:t>2. 招标文件</w:t>
      </w:r>
      <w:bookmarkEnd w:id="39"/>
      <w:bookmarkEnd w:id="40"/>
      <w:bookmarkEnd w:id="41"/>
      <w:bookmarkEnd w:id="42"/>
    </w:p>
    <w:p>
      <w:pPr>
        <w:pStyle w:val="62"/>
        <w:spacing w:before="0" w:after="0"/>
        <w:rPr>
          <w:rStyle w:val="58"/>
          <w:rFonts w:ascii="宋体" w:hAnsi="宋体"/>
          <w:sz w:val="24"/>
        </w:rPr>
      </w:pPr>
      <w:r>
        <w:rPr>
          <w:rStyle w:val="58"/>
          <w:rFonts w:ascii="宋体" w:hAnsi="宋体"/>
          <w:sz w:val="24"/>
        </w:rPr>
        <w:t>2.1 招标文件的组成</w:t>
      </w:r>
    </w:p>
    <w:p>
      <w:pPr>
        <w:spacing w:line="360" w:lineRule="auto"/>
        <w:ind w:firstLine="359" w:firstLineChars="171"/>
        <w:rPr>
          <w:rStyle w:val="58"/>
          <w:rFonts w:ascii="宋体" w:hAnsi="宋体"/>
        </w:rPr>
      </w:pPr>
      <w:r>
        <w:rPr>
          <w:rStyle w:val="58"/>
          <w:rFonts w:ascii="宋体" w:hAnsi="宋体"/>
        </w:rPr>
        <w:t>本招标文件包括：</w:t>
      </w:r>
    </w:p>
    <w:p>
      <w:pPr>
        <w:spacing w:line="360" w:lineRule="auto"/>
        <w:ind w:firstLine="359" w:firstLineChars="171"/>
        <w:rPr>
          <w:rStyle w:val="58"/>
          <w:rFonts w:ascii="宋体" w:hAnsi="宋体"/>
        </w:rPr>
      </w:pPr>
      <w:r>
        <w:rPr>
          <w:rStyle w:val="58"/>
          <w:rFonts w:ascii="宋体" w:hAnsi="宋体"/>
        </w:rPr>
        <w:t>（1）</w:t>
      </w:r>
      <w:r>
        <w:rPr>
          <w:rStyle w:val="58"/>
          <w:rFonts w:hint="eastAsia" w:ascii="宋体" w:hAnsi="宋体"/>
        </w:rPr>
        <w:t>招标公告</w:t>
      </w:r>
      <w:r>
        <w:rPr>
          <w:rStyle w:val="58"/>
          <w:rFonts w:ascii="宋体" w:hAnsi="宋体"/>
        </w:rPr>
        <w:t>；</w:t>
      </w:r>
    </w:p>
    <w:p>
      <w:pPr>
        <w:spacing w:line="360" w:lineRule="auto"/>
        <w:ind w:firstLine="359" w:firstLineChars="171"/>
        <w:rPr>
          <w:rStyle w:val="58"/>
          <w:rFonts w:ascii="宋体" w:hAnsi="宋体"/>
        </w:rPr>
      </w:pPr>
      <w:r>
        <w:rPr>
          <w:rStyle w:val="58"/>
          <w:rFonts w:ascii="宋体" w:hAnsi="宋体"/>
        </w:rPr>
        <w:t>（2）投标人须知；</w:t>
      </w:r>
    </w:p>
    <w:p>
      <w:pPr>
        <w:spacing w:line="360" w:lineRule="auto"/>
        <w:ind w:firstLine="359" w:firstLineChars="171"/>
        <w:rPr>
          <w:rStyle w:val="58"/>
          <w:rFonts w:ascii="宋体" w:hAnsi="宋体"/>
        </w:rPr>
      </w:pPr>
      <w:r>
        <w:rPr>
          <w:rStyle w:val="58"/>
          <w:rFonts w:ascii="宋体" w:hAnsi="宋体"/>
        </w:rPr>
        <w:t>（3）评标办法；</w:t>
      </w:r>
    </w:p>
    <w:p>
      <w:pPr>
        <w:spacing w:line="360" w:lineRule="auto"/>
        <w:ind w:firstLine="359" w:firstLineChars="171"/>
        <w:rPr>
          <w:rStyle w:val="58"/>
          <w:rFonts w:ascii="宋体" w:hAnsi="宋体"/>
        </w:rPr>
      </w:pPr>
      <w:r>
        <w:rPr>
          <w:rStyle w:val="58"/>
          <w:rFonts w:ascii="宋体" w:hAnsi="宋体"/>
        </w:rPr>
        <w:t>（4）合同条款及格式；</w:t>
      </w:r>
    </w:p>
    <w:p>
      <w:pPr>
        <w:spacing w:line="360" w:lineRule="auto"/>
        <w:ind w:firstLine="359" w:firstLineChars="171"/>
        <w:rPr>
          <w:rStyle w:val="58"/>
          <w:rFonts w:ascii="宋体" w:hAnsi="宋体"/>
        </w:rPr>
      </w:pPr>
      <w:r>
        <w:rPr>
          <w:rStyle w:val="58"/>
          <w:rFonts w:ascii="宋体" w:hAnsi="宋体"/>
        </w:rPr>
        <w:t xml:space="preserve">（5）工程量清单； </w:t>
      </w:r>
    </w:p>
    <w:p>
      <w:pPr>
        <w:spacing w:line="360" w:lineRule="auto"/>
        <w:ind w:firstLine="359" w:firstLineChars="171"/>
        <w:rPr>
          <w:rStyle w:val="58"/>
          <w:rFonts w:ascii="宋体" w:hAnsi="宋体"/>
        </w:rPr>
      </w:pPr>
      <w:r>
        <w:rPr>
          <w:rStyle w:val="58"/>
          <w:rFonts w:ascii="宋体" w:hAnsi="宋体"/>
        </w:rPr>
        <w:t xml:space="preserve">（6）图纸； </w:t>
      </w:r>
    </w:p>
    <w:p>
      <w:pPr>
        <w:spacing w:line="360" w:lineRule="auto"/>
        <w:ind w:firstLine="359" w:firstLineChars="171"/>
        <w:rPr>
          <w:rStyle w:val="58"/>
          <w:rFonts w:ascii="宋体" w:hAnsi="宋体"/>
        </w:rPr>
      </w:pPr>
      <w:r>
        <w:rPr>
          <w:rStyle w:val="58"/>
          <w:rFonts w:ascii="宋体" w:hAnsi="宋体"/>
        </w:rPr>
        <w:t xml:space="preserve">（7）技术标准和要求； </w:t>
      </w:r>
    </w:p>
    <w:p>
      <w:pPr>
        <w:spacing w:line="360" w:lineRule="auto"/>
        <w:ind w:firstLine="359" w:firstLineChars="171"/>
        <w:rPr>
          <w:rStyle w:val="58"/>
          <w:rFonts w:ascii="宋体" w:hAnsi="宋体"/>
        </w:rPr>
      </w:pPr>
      <w:r>
        <w:rPr>
          <w:rStyle w:val="58"/>
          <w:rFonts w:ascii="宋体" w:hAnsi="宋体"/>
        </w:rPr>
        <w:t>（8）投标文件格式；</w:t>
      </w:r>
    </w:p>
    <w:p>
      <w:pPr>
        <w:spacing w:line="360" w:lineRule="auto"/>
        <w:ind w:firstLine="359" w:firstLineChars="171"/>
        <w:rPr>
          <w:rStyle w:val="58"/>
          <w:rFonts w:ascii="宋体" w:hAnsi="宋体"/>
        </w:rPr>
      </w:pPr>
      <w:r>
        <w:rPr>
          <w:rStyle w:val="58"/>
          <w:rFonts w:ascii="宋体" w:hAnsi="宋体"/>
        </w:rPr>
        <w:t>（9）投标人须知前附表规定的其他材料。</w:t>
      </w:r>
    </w:p>
    <w:p>
      <w:pPr>
        <w:spacing w:line="360" w:lineRule="auto"/>
        <w:ind w:firstLine="420" w:firstLineChars="200"/>
        <w:rPr>
          <w:rStyle w:val="58"/>
          <w:rFonts w:ascii="宋体" w:hAnsi="宋体"/>
        </w:rPr>
      </w:pPr>
      <w:r>
        <w:rPr>
          <w:rStyle w:val="58"/>
          <w:rFonts w:ascii="宋体" w:hAnsi="宋体"/>
        </w:rPr>
        <w:t>根据本章</w:t>
      </w:r>
      <w:r>
        <w:rPr>
          <w:rStyle w:val="45"/>
          <w:rFonts w:ascii="宋体" w:hAnsi="宋体"/>
          <w:color w:val="auto"/>
          <w:sz w:val="21"/>
        </w:rPr>
        <w:t>第2.2款</w:t>
      </w:r>
      <w:r>
        <w:rPr>
          <w:rStyle w:val="58"/>
          <w:rFonts w:ascii="宋体" w:hAnsi="宋体"/>
        </w:rPr>
        <w:t>和</w:t>
      </w:r>
      <w:r>
        <w:rPr>
          <w:rStyle w:val="45"/>
          <w:rFonts w:ascii="宋体" w:hAnsi="宋体"/>
          <w:color w:val="auto"/>
          <w:sz w:val="21"/>
        </w:rPr>
        <w:t>第2.3款</w:t>
      </w:r>
      <w:r>
        <w:rPr>
          <w:rStyle w:val="58"/>
          <w:rFonts w:ascii="宋体" w:hAnsi="宋体"/>
        </w:rPr>
        <w:t>对招标文件所作的澄清、修改，构成招标文件的组成部分。</w:t>
      </w:r>
    </w:p>
    <w:p>
      <w:pPr>
        <w:pStyle w:val="62"/>
        <w:spacing w:before="0" w:after="0"/>
        <w:rPr>
          <w:rStyle w:val="58"/>
          <w:rFonts w:ascii="宋体" w:hAnsi="宋体"/>
          <w:sz w:val="24"/>
        </w:rPr>
      </w:pPr>
      <w:r>
        <w:rPr>
          <w:rStyle w:val="58"/>
          <w:rFonts w:ascii="宋体" w:hAnsi="宋体"/>
          <w:sz w:val="24"/>
        </w:rPr>
        <w:t>2.2 招标文件的澄清</w:t>
      </w:r>
    </w:p>
    <w:p>
      <w:pPr>
        <w:spacing w:line="360" w:lineRule="auto"/>
        <w:ind w:firstLine="420" w:firstLineChars="200"/>
        <w:rPr>
          <w:rStyle w:val="58"/>
          <w:rFonts w:ascii="宋体" w:hAnsi="宋体"/>
        </w:rPr>
      </w:pPr>
      <w:r>
        <w:rPr>
          <w:rStyle w:val="58"/>
          <w:rFonts w:ascii="宋体" w:hAnsi="宋体"/>
        </w:rPr>
        <w:t>2.2.1投标人应仔细阅读和检查招标文件的全部内容。</w:t>
      </w:r>
      <w:r>
        <w:rPr>
          <w:rStyle w:val="58"/>
          <w:rFonts w:ascii="宋体" w:hAnsi="宋体"/>
          <w:szCs w:val="21"/>
        </w:rPr>
        <w:t>如发现缺页或附件不全，应及时向招标人提出，以便补齐。</w:t>
      </w:r>
      <w:r>
        <w:rPr>
          <w:rStyle w:val="58"/>
          <w:rFonts w:ascii="宋体" w:hAnsi="宋体"/>
        </w:rPr>
        <w:t>如有疑问，应在投标人须知前附表规定的时间前以书面形式（包括邮件、传真等可以有形地表现所载内容的形式，下同），要求招标人对招标文件予以澄清。</w:t>
      </w:r>
    </w:p>
    <w:p>
      <w:pPr>
        <w:spacing w:line="360" w:lineRule="auto"/>
        <w:ind w:firstLine="420" w:firstLineChars="200"/>
        <w:rPr>
          <w:rStyle w:val="58"/>
          <w:rFonts w:ascii="宋体" w:hAnsi="宋体"/>
        </w:rPr>
      </w:pPr>
      <w:r>
        <w:rPr>
          <w:rStyle w:val="58"/>
          <w:rFonts w:ascii="宋体" w:hAnsi="宋体"/>
        </w:rPr>
        <w:t>2.2.2 招标文件的澄清将在投标人须知前附表规定的投标截止时间</w:t>
      </w:r>
      <w:r>
        <w:rPr>
          <w:rStyle w:val="58"/>
          <w:rFonts w:ascii="宋体" w:hAnsi="宋体"/>
          <w:b/>
          <w:bCs/>
        </w:rPr>
        <w:t>3天前</w:t>
      </w:r>
      <w:r>
        <w:rPr>
          <w:rStyle w:val="58"/>
          <w:rFonts w:ascii="宋体" w:hAnsi="宋体"/>
        </w:rPr>
        <w:t>以书面形式发给所有购买招标文件的投标人，但不指明澄清问题的来源。如果澄清发出的时间距投标截止时间不足3天，相应延长投标截止时间。</w:t>
      </w:r>
    </w:p>
    <w:p>
      <w:pPr>
        <w:spacing w:line="360" w:lineRule="auto"/>
        <w:ind w:firstLine="420" w:firstLineChars="200"/>
        <w:rPr>
          <w:rStyle w:val="58"/>
          <w:rFonts w:ascii="宋体" w:hAnsi="宋体"/>
        </w:rPr>
      </w:pPr>
      <w:r>
        <w:rPr>
          <w:rStyle w:val="58"/>
          <w:rFonts w:ascii="宋体" w:hAnsi="宋体"/>
        </w:rPr>
        <w:t>2.2.3 投标人在收到澄清后，应在投标人须知前附表规定的时间内以书面形式通知招标人，确认已收到该澄清。</w:t>
      </w:r>
    </w:p>
    <w:p>
      <w:pPr>
        <w:pStyle w:val="62"/>
        <w:spacing w:before="0" w:after="0"/>
        <w:rPr>
          <w:rStyle w:val="58"/>
          <w:rFonts w:ascii="宋体" w:hAnsi="宋体"/>
          <w:sz w:val="24"/>
        </w:rPr>
      </w:pPr>
      <w:r>
        <w:rPr>
          <w:rStyle w:val="58"/>
          <w:rFonts w:ascii="宋体" w:hAnsi="宋体"/>
          <w:sz w:val="24"/>
        </w:rPr>
        <w:t>2.3 招标文件的修改</w:t>
      </w:r>
    </w:p>
    <w:p>
      <w:pPr>
        <w:spacing w:line="360" w:lineRule="auto"/>
        <w:ind w:firstLine="420" w:firstLineChars="200"/>
        <w:rPr>
          <w:rStyle w:val="58"/>
          <w:rFonts w:ascii="宋体" w:hAnsi="宋体"/>
        </w:rPr>
      </w:pPr>
      <w:r>
        <w:rPr>
          <w:rStyle w:val="58"/>
          <w:rFonts w:ascii="宋体" w:hAnsi="宋体"/>
        </w:rPr>
        <w:t xml:space="preserve">2.3.1 在投标截止时间3天前，招标人可以书面形式修改招标文件，并通知所有已购买招标文件的投标人。如果修改招标文件的时间距投标截止时间不足3天，相应延长投标截止时间。 </w:t>
      </w:r>
    </w:p>
    <w:p>
      <w:pPr>
        <w:spacing w:line="360" w:lineRule="auto"/>
        <w:ind w:firstLine="420" w:firstLineChars="200"/>
        <w:rPr>
          <w:rStyle w:val="58"/>
          <w:rFonts w:ascii="宋体" w:hAnsi="宋体"/>
        </w:rPr>
      </w:pPr>
      <w:r>
        <w:rPr>
          <w:rStyle w:val="58"/>
          <w:rFonts w:ascii="宋体" w:hAnsi="宋体"/>
        </w:rPr>
        <w:t>2.3.2 投标人收到修改内容后，应在投标人须知前附表规定的时间内以书面形式通知招标人，确认已收到该修改。</w:t>
      </w:r>
    </w:p>
    <w:p>
      <w:pPr>
        <w:pStyle w:val="7"/>
        <w:spacing w:before="0" w:after="0"/>
        <w:jc w:val="center"/>
        <w:rPr>
          <w:sz w:val="30"/>
          <w:szCs w:val="30"/>
        </w:rPr>
      </w:pPr>
      <w:bookmarkStart w:id="43" w:name="_Toc16063895"/>
      <w:bookmarkStart w:id="44" w:name="_Toc220505563"/>
      <w:bookmarkStart w:id="45" w:name="_Toc24274"/>
      <w:bookmarkStart w:id="46" w:name="_Toc17817325"/>
      <w:r>
        <w:rPr>
          <w:sz w:val="30"/>
          <w:szCs w:val="30"/>
        </w:rPr>
        <w:t>3. 投标文件</w:t>
      </w:r>
      <w:bookmarkEnd w:id="43"/>
      <w:bookmarkEnd w:id="44"/>
      <w:bookmarkEnd w:id="45"/>
      <w:bookmarkEnd w:id="46"/>
    </w:p>
    <w:p>
      <w:pPr>
        <w:pStyle w:val="62"/>
        <w:spacing w:before="0" w:after="0"/>
        <w:rPr>
          <w:rStyle w:val="58"/>
          <w:rFonts w:ascii="宋体" w:hAnsi="宋体"/>
          <w:sz w:val="24"/>
        </w:rPr>
      </w:pPr>
      <w:r>
        <w:rPr>
          <w:rStyle w:val="58"/>
          <w:rFonts w:ascii="宋体" w:hAnsi="宋体"/>
          <w:sz w:val="24"/>
        </w:rPr>
        <w:t>3.1 投标文件的组成</w:t>
      </w:r>
    </w:p>
    <w:p>
      <w:pPr>
        <w:spacing w:line="360" w:lineRule="auto"/>
        <w:ind w:firstLine="465"/>
        <w:rPr>
          <w:rStyle w:val="58"/>
          <w:rFonts w:ascii="宋体" w:hAnsi="宋体"/>
        </w:rPr>
      </w:pPr>
      <w:r>
        <w:rPr>
          <w:rStyle w:val="58"/>
          <w:rFonts w:ascii="宋体" w:hAnsi="宋体"/>
        </w:rPr>
        <w:t>3.1.1投标文件应包括下列内容：</w:t>
      </w:r>
    </w:p>
    <w:p>
      <w:pPr>
        <w:pStyle w:val="67"/>
        <w:numPr>
          <w:ilvl w:val="0"/>
          <w:numId w:val="6"/>
        </w:numPr>
        <w:spacing w:line="360" w:lineRule="auto"/>
        <w:ind w:firstLineChars="0"/>
        <w:rPr>
          <w:rStyle w:val="58"/>
          <w:rFonts w:ascii="宋体" w:hAnsi="宋体"/>
        </w:rPr>
      </w:pPr>
      <w:r>
        <w:rPr>
          <w:rStyle w:val="58"/>
          <w:rFonts w:ascii="宋体" w:hAnsi="宋体"/>
        </w:rPr>
        <w:t>投标函及投标函附录；</w:t>
      </w:r>
    </w:p>
    <w:p>
      <w:pPr>
        <w:pStyle w:val="67"/>
        <w:numPr>
          <w:ilvl w:val="0"/>
          <w:numId w:val="6"/>
        </w:numPr>
        <w:spacing w:line="360" w:lineRule="auto"/>
        <w:ind w:firstLineChars="0"/>
        <w:rPr>
          <w:rStyle w:val="58"/>
          <w:rFonts w:ascii="宋体" w:hAnsi="宋体"/>
        </w:rPr>
      </w:pPr>
      <w:r>
        <w:rPr>
          <w:rStyle w:val="58"/>
          <w:rFonts w:ascii="宋体" w:hAnsi="宋体"/>
        </w:rPr>
        <w:t>法定代表人身份证明或附有法定代表人身份证明的授权委托书；</w:t>
      </w:r>
    </w:p>
    <w:p>
      <w:pPr>
        <w:pStyle w:val="67"/>
        <w:numPr>
          <w:ilvl w:val="0"/>
          <w:numId w:val="6"/>
        </w:numPr>
        <w:spacing w:line="360" w:lineRule="auto"/>
        <w:ind w:firstLineChars="0"/>
        <w:rPr>
          <w:rStyle w:val="58"/>
          <w:rFonts w:ascii="宋体" w:hAnsi="宋体"/>
        </w:rPr>
      </w:pPr>
      <w:r>
        <w:rPr>
          <w:rStyle w:val="58"/>
          <w:rFonts w:ascii="宋体" w:hAnsi="宋体"/>
        </w:rPr>
        <w:t>联合体协议书（如有）；</w:t>
      </w:r>
    </w:p>
    <w:p>
      <w:pPr>
        <w:pStyle w:val="67"/>
        <w:numPr>
          <w:ilvl w:val="0"/>
          <w:numId w:val="6"/>
        </w:numPr>
        <w:spacing w:line="360" w:lineRule="auto"/>
        <w:ind w:firstLineChars="0"/>
        <w:rPr>
          <w:rStyle w:val="58"/>
          <w:rFonts w:ascii="宋体" w:hAnsi="宋体"/>
        </w:rPr>
      </w:pPr>
      <w:r>
        <w:rPr>
          <w:rStyle w:val="58"/>
          <w:rFonts w:ascii="宋体" w:hAnsi="宋体"/>
        </w:rPr>
        <w:t>投标保证金；</w:t>
      </w:r>
    </w:p>
    <w:p>
      <w:pPr>
        <w:pStyle w:val="67"/>
        <w:numPr>
          <w:ilvl w:val="0"/>
          <w:numId w:val="6"/>
        </w:numPr>
        <w:spacing w:line="360" w:lineRule="auto"/>
        <w:ind w:firstLineChars="0"/>
        <w:rPr>
          <w:rStyle w:val="58"/>
          <w:rFonts w:ascii="宋体" w:hAnsi="宋体"/>
        </w:rPr>
      </w:pPr>
      <w:r>
        <w:rPr>
          <w:rStyle w:val="58"/>
          <w:rFonts w:ascii="宋体" w:hAnsi="宋体"/>
        </w:rPr>
        <w:t>商务报价（含已标价工程量清单）；</w:t>
      </w:r>
    </w:p>
    <w:p>
      <w:pPr>
        <w:pStyle w:val="67"/>
        <w:numPr>
          <w:ilvl w:val="0"/>
          <w:numId w:val="6"/>
        </w:numPr>
        <w:spacing w:line="360" w:lineRule="auto"/>
        <w:ind w:firstLineChars="0"/>
        <w:rPr>
          <w:rStyle w:val="58"/>
          <w:rFonts w:ascii="宋体" w:hAnsi="宋体"/>
        </w:rPr>
      </w:pPr>
      <w:bookmarkStart w:id="47" w:name="_Toc22048063"/>
      <w:r>
        <w:rPr>
          <w:rStyle w:val="58"/>
          <w:rFonts w:ascii="宋体" w:hAnsi="宋体"/>
        </w:rPr>
        <w:t>施工组织设计</w:t>
      </w:r>
      <w:bookmarkEnd w:id="47"/>
    </w:p>
    <w:p>
      <w:pPr>
        <w:pStyle w:val="67"/>
        <w:numPr>
          <w:ilvl w:val="0"/>
          <w:numId w:val="6"/>
        </w:numPr>
        <w:spacing w:line="360" w:lineRule="auto"/>
        <w:ind w:firstLineChars="0"/>
        <w:rPr>
          <w:rStyle w:val="58"/>
          <w:rFonts w:ascii="宋体" w:hAnsi="宋体"/>
        </w:rPr>
      </w:pPr>
      <w:r>
        <w:rPr>
          <w:rFonts w:hint="eastAsia"/>
        </w:rPr>
        <w:sym w:font="Wingdings 2" w:char="F052"/>
      </w:r>
      <w:r>
        <w:rPr>
          <w:rStyle w:val="58"/>
          <w:rFonts w:ascii="宋体" w:hAnsi="宋体"/>
        </w:rPr>
        <w:t>项目管理机构</w:t>
      </w:r>
    </w:p>
    <w:p>
      <w:pPr>
        <w:pStyle w:val="67"/>
        <w:numPr>
          <w:ilvl w:val="0"/>
          <w:numId w:val="6"/>
        </w:numPr>
        <w:spacing w:line="360" w:lineRule="auto"/>
        <w:ind w:firstLineChars="0"/>
        <w:rPr>
          <w:rFonts w:ascii="宋体" w:hAnsi="宋体"/>
        </w:rPr>
      </w:pPr>
      <w:r>
        <w:rPr>
          <w:rStyle w:val="58"/>
          <w:rFonts w:ascii="宋体" w:hAnsi="宋体"/>
        </w:rPr>
        <w:t>投标人须知前附表规定的其他材料</w:t>
      </w:r>
      <w:r>
        <w:rPr>
          <w:rStyle w:val="58"/>
          <w:rFonts w:hint="eastAsia" w:ascii="宋体" w:hAnsi="宋体"/>
        </w:rPr>
        <w:t>；</w:t>
      </w:r>
    </w:p>
    <w:p>
      <w:pPr>
        <w:pStyle w:val="67"/>
        <w:numPr>
          <w:ilvl w:val="0"/>
          <w:numId w:val="6"/>
        </w:numPr>
        <w:spacing w:line="360" w:lineRule="auto"/>
        <w:ind w:firstLineChars="0"/>
        <w:rPr>
          <w:rFonts w:ascii="宋体" w:hAnsi="宋体"/>
        </w:rPr>
      </w:pPr>
      <w:r>
        <w:rPr>
          <w:rStyle w:val="58"/>
          <w:rFonts w:ascii="宋体" w:hAnsi="宋体"/>
        </w:rPr>
        <w:t>资格审查文件。</w:t>
      </w:r>
    </w:p>
    <w:p>
      <w:pPr>
        <w:spacing w:line="360" w:lineRule="auto"/>
        <w:ind w:firstLine="359" w:firstLineChars="171"/>
        <w:rPr>
          <w:rStyle w:val="58"/>
          <w:rFonts w:ascii="宋体" w:hAnsi="宋体"/>
        </w:rPr>
      </w:pPr>
      <w:r>
        <w:rPr>
          <w:rStyle w:val="58"/>
          <w:rFonts w:ascii="宋体" w:hAnsi="宋体"/>
        </w:rPr>
        <w:t xml:space="preserve">3.1.2 投标人须知前附表规定不接受联合体投标的，或投标人没有组成联合体的，投标文件不包括本章第3.1.1（3）目所指的联合体协议书。 </w:t>
      </w:r>
    </w:p>
    <w:p>
      <w:pPr>
        <w:pStyle w:val="62"/>
        <w:spacing w:before="0" w:after="0"/>
        <w:rPr>
          <w:rStyle w:val="58"/>
          <w:rFonts w:ascii="宋体" w:hAnsi="宋体"/>
          <w:sz w:val="24"/>
        </w:rPr>
      </w:pPr>
      <w:r>
        <w:rPr>
          <w:rStyle w:val="58"/>
          <w:rFonts w:ascii="宋体" w:hAnsi="宋体"/>
          <w:sz w:val="24"/>
        </w:rPr>
        <w:t>3.2 投标报价</w:t>
      </w:r>
    </w:p>
    <w:p>
      <w:pPr>
        <w:spacing w:line="360" w:lineRule="auto"/>
        <w:ind w:firstLine="420" w:firstLineChars="200"/>
        <w:rPr>
          <w:rStyle w:val="58"/>
          <w:rFonts w:ascii="宋体" w:hAnsi="宋体"/>
        </w:rPr>
      </w:pPr>
      <w:r>
        <w:rPr>
          <w:rStyle w:val="58"/>
          <w:rFonts w:ascii="宋体" w:hAnsi="宋体"/>
        </w:rPr>
        <w:t>3.2.1 投标人应按</w:t>
      </w:r>
      <w:r>
        <w:rPr>
          <w:rStyle w:val="45"/>
          <w:rFonts w:ascii="宋体" w:hAnsi="宋体"/>
          <w:color w:val="auto"/>
          <w:sz w:val="21"/>
        </w:rPr>
        <w:t>第五章“工程量清单”</w:t>
      </w:r>
      <w:r>
        <w:rPr>
          <w:rStyle w:val="58"/>
          <w:rFonts w:ascii="宋体" w:hAnsi="宋体"/>
        </w:rPr>
        <w:t>的要求填写相应表格。</w:t>
      </w:r>
    </w:p>
    <w:p>
      <w:pPr>
        <w:spacing w:line="360" w:lineRule="auto"/>
        <w:ind w:firstLine="420" w:firstLineChars="200"/>
        <w:rPr>
          <w:rStyle w:val="58"/>
          <w:rFonts w:ascii="宋体" w:hAnsi="宋体"/>
        </w:rPr>
      </w:pPr>
      <w:r>
        <w:rPr>
          <w:rStyle w:val="58"/>
          <w:rFonts w:ascii="宋体" w:hAnsi="宋体"/>
        </w:rPr>
        <w:t>3.2.2 投标人在投标截止时间前修改投标函中的投标总报价，应同时修改</w:t>
      </w:r>
      <w:r>
        <w:rPr>
          <w:rStyle w:val="45"/>
          <w:rFonts w:ascii="宋体" w:hAnsi="宋体"/>
          <w:color w:val="auto"/>
          <w:sz w:val="21"/>
        </w:rPr>
        <w:t>第五章“工程量清单”</w:t>
      </w:r>
      <w:r>
        <w:rPr>
          <w:rStyle w:val="58"/>
          <w:rFonts w:ascii="宋体" w:hAnsi="宋体"/>
        </w:rPr>
        <w:t>中的相应报价。此修改须符合本章</w:t>
      </w:r>
      <w:r>
        <w:rPr>
          <w:rStyle w:val="45"/>
          <w:rFonts w:ascii="宋体" w:hAnsi="宋体"/>
          <w:color w:val="auto"/>
          <w:sz w:val="21"/>
        </w:rPr>
        <w:t>第4.3款</w:t>
      </w:r>
      <w:r>
        <w:rPr>
          <w:rStyle w:val="58"/>
          <w:rFonts w:ascii="宋体" w:hAnsi="宋体"/>
        </w:rPr>
        <w:t>的有关要求。</w:t>
      </w:r>
    </w:p>
    <w:p>
      <w:pPr>
        <w:pStyle w:val="62"/>
        <w:spacing w:before="0" w:after="0"/>
        <w:rPr>
          <w:rStyle w:val="58"/>
          <w:rFonts w:ascii="宋体" w:hAnsi="宋体"/>
          <w:sz w:val="24"/>
        </w:rPr>
      </w:pPr>
      <w:r>
        <w:rPr>
          <w:rStyle w:val="58"/>
          <w:rFonts w:ascii="宋体" w:hAnsi="宋体"/>
          <w:sz w:val="24"/>
        </w:rPr>
        <w:t>3.3 投标有效期</w:t>
      </w:r>
    </w:p>
    <w:p>
      <w:pPr>
        <w:spacing w:line="360" w:lineRule="auto"/>
        <w:ind w:firstLine="420" w:firstLineChars="200"/>
        <w:rPr>
          <w:rStyle w:val="58"/>
          <w:rFonts w:ascii="宋体" w:hAnsi="宋体"/>
        </w:rPr>
      </w:pPr>
      <w:r>
        <w:rPr>
          <w:rStyle w:val="58"/>
          <w:rFonts w:ascii="宋体" w:hAnsi="宋体"/>
        </w:rPr>
        <w:t>3.3.1 在投标人须知前附表规定的投标有效期内，投标人不得要求撤销或修改其投标文件。</w:t>
      </w:r>
    </w:p>
    <w:p>
      <w:pPr>
        <w:spacing w:line="360" w:lineRule="auto"/>
        <w:ind w:firstLine="420" w:firstLineChars="200"/>
        <w:rPr>
          <w:rStyle w:val="58"/>
          <w:rFonts w:ascii="宋体" w:hAnsi="宋体"/>
        </w:rPr>
      </w:pPr>
      <w:r>
        <w:rPr>
          <w:rStyle w:val="58"/>
          <w:rFonts w:ascii="宋体" w:hAnsi="宋体"/>
        </w:rPr>
        <w:t>3.3.2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pStyle w:val="62"/>
        <w:spacing w:before="0" w:after="0"/>
        <w:rPr>
          <w:rStyle w:val="58"/>
          <w:rFonts w:ascii="宋体" w:hAnsi="宋体"/>
          <w:sz w:val="24"/>
        </w:rPr>
      </w:pPr>
      <w:r>
        <w:rPr>
          <w:rStyle w:val="58"/>
          <w:rFonts w:ascii="宋体" w:hAnsi="宋体"/>
          <w:sz w:val="24"/>
        </w:rPr>
        <w:t>3.4 投标保证金</w:t>
      </w:r>
    </w:p>
    <w:p>
      <w:pPr>
        <w:spacing w:line="360" w:lineRule="auto"/>
        <w:ind w:firstLine="420" w:firstLineChars="200"/>
        <w:rPr>
          <w:rStyle w:val="58"/>
          <w:rFonts w:ascii="宋体" w:hAnsi="宋体"/>
        </w:rPr>
      </w:pPr>
      <w:r>
        <w:rPr>
          <w:rStyle w:val="58"/>
          <w:rFonts w:ascii="宋体" w:hAnsi="宋体"/>
        </w:rPr>
        <w:t>3.4.1 投标人在递交投标文件的同时，应按投标人须知前附表规定的金额和形式递交投标保证金，并作为其投标文件的组成部分。联合体投标的，其投标保证金由牵头人递交，并应符合投标人须知前附表的规定。</w:t>
      </w:r>
    </w:p>
    <w:p>
      <w:pPr>
        <w:spacing w:line="360" w:lineRule="auto"/>
        <w:ind w:firstLine="420" w:firstLineChars="200"/>
        <w:rPr>
          <w:rStyle w:val="58"/>
          <w:rFonts w:ascii="宋体" w:hAnsi="宋体"/>
        </w:rPr>
      </w:pPr>
      <w:r>
        <w:rPr>
          <w:rStyle w:val="58"/>
          <w:rFonts w:ascii="宋体" w:hAnsi="宋体"/>
        </w:rPr>
        <w:t>3.4.2 投标人不按本章第3.4.1项要求提交投标保证金的，其投标文件作</w:t>
      </w:r>
      <w:r>
        <w:rPr>
          <w:rStyle w:val="58"/>
          <w:rFonts w:hint="eastAsia" w:ascii="宋体" w:hAnsi="宋体"/>
        </w:rPr>
        <w:t>无效标</w:t>
      </w:r>
      <w:r>
        <w:rPr>
          <w:rStyle w:val="58"/>
          <w:rFonts w:ascii="宋体" w:hAnsi="宋体"/>
        </w:rPr>
        <w:t>处理。</w:t>
      </w:r>
    </w:p>
    <w:p>
      <w:pPr>
        <w:spacing w:line="360" w:lineRule="auto"/>
        <w:ind w:firstLine="420" w:firstLineChars="200"/>
        <w:rPr>
          <w:rStyle w:val="58"/>
          <w:rFonts w:ascii="宋体" w:hAnsi="宋体"/>
          <w:shd w:val="pct10" w:color="auto" w:fill="FFFFFF"/>
        </w:rPr>
      </w:pPr>
      <w:r>
        <w:rPr>
          <w:rStyle w:val="58"/>
          <w:rFonts w:ascii="宋体" w:hAnsi="宋体"/>
        </w:rPr>
        <w:t>3.4.3未中标的投标人投标保证金将在中标通知书发出后60日内予以退还。中标人的投标保证金将在招标人与中标人签订施工合同后60日内予以退还</w:t>
      </w:r>
      <w:r>
        <w:rPr>
          <w:rStyle w:val="58"/>
          <w:rFonts w:hint="eastAsia" w:ascii="宋体" w:hAnsi="宋体"/>
        </w:rPr>
        <w:t>，转为履约保证金的待具备退还条件后予以退还</w:t>
      </w:r>
      <w:r>
        <w:rPr>
          <w:rStyle w:val="58"/>
          <w:rFonts w:ascii="宋体" w:hAnsi="宋体"/>
        </w:rPr>
        <w:t>。</w:t>
      </w:r>
    </w:p>
    <w:p>
      <w:pPr>
        <w:spacing w:line="360" w:lineRule="auto"/>
        <w:ind w:firstLine="420" w:firstLineChars="200"/>
        <w:rPr>
          <w:rStyle w:val="58"/>
          <w:rFonts w:ascii="宋体" w:hAnsi="宋体"/>
        </w:rPr>
      </w:pPr>
      <w:r>
        <w:rPr>
          <w:rStyle w:val="58"/>
          <w:rFonts w:ascii="宋体" w:hAnsi="宋体"/>
        </w:rPr>
        <w:t xml:space="preserve">3.4.4 有下列情形之一的，投标保证金将不予退还： </w:t>
      </w:r>
    </w:p>
    <w:p>
      <w:pPr>
        <w:pStyle w:val="67"/>
        <w:numPr>
          <w:ilvl w:val="0"/>
          <w:numId w:val="7"/>
        </w:numPr>
        <w:spacing w:line="360" w:lineRule="auto"/>
        <w:ind w:left="0" w:firstLine="420" w:firstLineChars="0"/>
        <w:rPr>
          <w:rFonts w:ascii="宋体" w:hAnsi="宋体"/>
        </w:rPr>
      </w:pPr>
      <w:r>
        <w:rPr>
          <w:rFonts w:ascii="宋体" w:hAnsi="宋体"/>
        </w:rPr>
        <w:t>投标人在规定的投标有效期内撤销或修改其投标文件</w:t>
      </w:r>
      <w:r>
        <w:rPr>
          <w:rFonts w:hint="eastAsia" w:ascii="宋体" w:hAnsi="宋体"/>
        </w:rPr>
        <w:t>的</w:t>
      </w:r>
      <w:r>
        <w:rPr>
          <w:rFonts w:ascii="宋体" w:hAnsi="宋体"/>
        </w:rPr>
        <w:t>；</w:t>
      </w:r>
    </w:p>
    <w:p>
      <w:pPr>
        <w:pStyle w:val="67"/>
        <w:numPr>
          <w:ilvl w:val="0"/>
          <w:numId w:val="7"/>
        </w:numPr>
        <w:spacing w:line="360" w:lineRule="auto"/>
        <w:ind w:left="0" w:firstLine="420" w:firstLineChars="0"/>
        <w:rPr>
          <w:rFonts w:ascii="宋体" w:hAnsi="宋体"/>
        </w:rPr>
      </w:pPr>
      <w:r>
        <w:rPr>
          <w:rFonts w:hint="eastAsia" w:ascii="宋体" w:hAnsi="宋体"/>
        </w:rPr>
        <w:t>投标人与招标人、其他投标人或者采购代理机构恶意串通、围标、陪标的；</w:t>
      </w:r>
    </w:p>
    <w:p>
      <w:pPr>
        <w:pStyle w:val="67"/>
        <w:numPr>
          <w:ilvl w:val="0"/>
          <w:numId w:val="7"/>
        </w:numPr>
        <w:spacing w:line="360" w:lineRule="auto"/>
        <w:ind w:left="0" w:firstLine="420" w:firstLineChars="0"/>
        <w:rPr>
          <w:rFonts w:ascii="宋体" w:hAnsi="宋体"/>
        </w:rPr>
      </w:pPr>
      <w:r>
        <w:rPr>
          <w:rFonts w:hint="eastAsia" w:ascii="宋体" w:hAnsi="宋体"/>
        </w:rPr>
        <w:t>截至开标前3天，投标人无正当理由、未以书面形式向招标人递交说明而在投标截止日不来投标的；</w:t>
      </w:r>
    </w:p>
    <w:p>
      <w:pPr>
        <w:pStyle w:val="67"/>
        <w:numPr>
          <w:ilvl w:val="0"/>
          <w:numId w:val="7"/>
        </w:numPr>
        <w:spacing w:line="360" w:lineRule="auto"/>
        <w:ind w:left="0" w:firstLine="420" w:firstLineChars="0"/>
        <w:rPr>
          <w:rFonts w:ascii="宋体" w:hAnsi="宋体"/>
        </w:rPr>
      </w:pPr>
      <w:r>
        <w:rPr>
          <w:rFonts w:hint="eastAsia" w:ascii="宋体" w:hAnsi="宋体"/>
        </w:rPr>
        <w:t>投标人递送投标文件后，无正当理由放弃投标的；</w:t>
      </w:r>
    </w:p>
    <w:p>
      <w:pPr>
        <w:pStyle w:val="67"/>
        <w:numPr>
          <w:ilvl w:val="0"/>
          <w:numId w:val="7"/>
        </w:numPr>
        <w:spacing w:line="360" w:lineRule="auto"/>
        <w:ind w:left="0" w:firstLine="420" w:firstLineChars="0"/>
        <w:rPr>
          <w:rFonts w:ascii="宋体" w:hAnsi="宋体"/>
        </w:rPr>
      </w:pPr>
      <w:r>
        <w:rPr>
          <w:rFonts w:hint="eastAsia"/>
        </w:rPr>
        <w:t>投标人在投标文件中提供</w:t>
      </w:r>
      <w:r>
        <w:rPr>
          <w:rFonts w:hint="eastAsia" w:ascii="宋体" w:hAnsi="宋体"/>
        </w:rPr>
        <w:t>虚假材料的；</w:t>
      </w:r>
    </w:p>
    <w:p>
      <w:pPr>
        <w:pStyle w:val="67"/>
        <w:numPr>
          <w:ilvl w:val="0"/>
          <w:numId w:val="7"/>
        </w:numPr>
        <w:spacing w:line="360" w:lineRule="auto"/>
        <w:ind w:left="0" w:firstLine="420" w:firstLineChars="0"/>
        <w:rPr>
          <w:rFonts w:ascii="宋体" w:hAnsi="宋体"/>
        </w:rPr>
      </w:pPr>
      <w:r>
        <w:rPr>
          <w:rFonts w:hint="eastAsia" w:ascii="宋体" w:hAnsi="宋体"/>
        </w:rPr>
        <w:t>自中标通知书发出之日起30日内，中标人无正当理由不与招标人签订合同的；</w:t>
      </w:r>
    </w:p>
    <w:p>
      <w:pPr>
        <w:pStyle w:val="67"/>
        <w:numPr>
          <w:ilvl w:val="0"/>
          <w:numId w:val="7"/>
        </w:numPr>
        <w:spacing w:line="360" w:lineRule="auto"/>
        <w:ind w:left="0" w:firstLine="420" w:firstLineChars="0"/>
        <w:rPr>
          <w:rFonts w:ascii="宋体" w:hAnsi="宋体"/>
        </w:rPr>
      </w:pPr>
      <w:r>
        <w:rPr>
          <w:rFonts w:hint="eastAsia" w:ascii="宋体" w:hAnsi="宋体"/>
        </w:rPr>
        <w:t>除因不可抗力或谈判文件、询价通知书认可的情形以外，中标人不与招标人签订合同的；</w:t>
      </w:r>
    </w:p>
    <w:p>
      <w:pPr>
        <w:pStyle w:val="67"/>
        <w:numPr>
          <w:ilvl w:val="0"/>
          <w:numId w:val="7"/>
        </w:numPr>
        <w:spacing w:line="360" w:lineRule="auto"/>
        <w:ind w:left="0" w:firstLine="420" w:firstLineChars="0"/>
      </w:pPr>
      <w:r>
        <w:rPr>
          <w:rFonts w:hint="eastAsia" w:ascii="宋体" w:hAnsi="宋体"/>
        </w:rPr>
        <w:t>投标人有违约违规行为或被投诉、举报的，在调查处理期间，保证金暂不退还，待调查处理结束后按有关规定处理。</w:t>
      </w:r>
    </w:p>
    <w:p>
      <w:pPr>
        <w:pStyle w:val="62"/>
        <w:spacing w:before="0" w:after="0"/>
        <w:rPr>
          <w:rStyle w:val="58"/>
          <w:rFonts w:ascii="宋体" w:hAnsi="宋体"/>
          <w:sz w:val="24"/>
        </w:rPr>
      </w:pPr>
      <w:r>
        <w:rPr>
          <w:rStyle w:val="58"/>
          <w:rFonts w:ascii="宋体" w:hAnsi="宋体"/>
          <w:sz w:val="24"/>
        </w:rPr>
        <w:t>3.5 备选投标方案</w:t>
      </w:r>
    </w:p>
    <w:p>
      <w:pPr>
        <w:spacing w:line="360" w:lineRule="auto"/>
        <w:ind w:firstLine="420" w:firstLineChars="200"/>
        <w:rPr>
          <w:rStyle w:val="58"/>
          <w:rFonts w:ascii="宋体" w:hAnsi="宋体"/>
        </w:rPr>
      </w:pPr>
      <w:r>
        <w:rPr>
          <w:rStyle w:val="58"/>
          <w:rFonts w:ascii="宋体" w:hAnsi="宋体"/>
        </w:rPr>
        <w:t>除投标人须知前附表另有规定外，投标人不得递交备选投标方案。</w:t>
      </w:r>
    </w:p>
    <w:p>
      <w:pPr>
        <w:pStyle w:val="62"/>
        <w:spacing w:before="0" w:after="0"/>
        <w:rPr>
          <w:rStyle w:val="58"/>
          <w:rFonts w:ascii="宋体" w:hAnsi="宋体"/>
          <w:sz w:val="24"/>
        </w:rPr>
      </w:pPr>
      <w:r>
        <w:rPr>
          <w:rStyle w:val="58"/>
          <w:rFonts w:ascii="宋体" w:hAnsi="宋体"/>
          <w:sz w:val="24"/>
        </w:rPr>
        <w:t>3.6 投标文件的编制</w:t>
      </w:r>
    </w:p>
    <w:p>
      <w:pPr>
        <w:spacing w:line="360" w:lineRule="auto"/>
        <w:ind w:firstLine="420" w:firstLineChars="200"/>
        <w:rPr>
          <w:rStyle w:val="58"/>
          <w:rFonts w:ascii="宋体" w:hAnsi="宋体"/>
        </w:rPr>
      </w:pPr>
      <w:r>
        <w:rPr>
          <w:rStyle w:val="58"/>
          <w:rFonts w:ascii="宋体" w:hAnsi="宋体"/>
        </w:rPr>
        <w:t>3.6.1投标文件应按</w:t>
      </w:r>
      <w:r>
        <w:rPr>
          <w:rStyle w:val="45"/>
          <w:rFonts w:ascii="宋体" w:hAnsi="宋体"/>
          <w:color w:val="auto"/>
          <w:sz w:val="21"/>
        </w:rPr>
        <w:t>第八章“投标文件格式”</w:t>
      </w:r>
      <w:r>
        <w:rPr>
          <w:rStyle w:val="58"/>
          <w:rFonts w:ascii="宋体" w:hAnsi="宋体"/>
        </w:rPr>
        <w:t>进行编写，如有必要，可以增加附页，作为投标文件的组成部分。其中，投标函附录在满足招标文件实质性要求的基础上，可以提出比招标文件要求更有利于招标人的承诺。</w:t>
      </w:r>
    </w:p>
    <w:p>
      <w:pPr>
        <w:spacing w:line="360" w:lineRule="auto"/>
        <w:ind w:firstLine="420" w:firstLineChars="200"/>
        <w:rPr>
          <w:rStyle w:val="58"/>
          <w:rFonts w:ascii="宋体" w:hAnsi="宋体"/>
          <w:szCs w:val="21"/>
        </w:rPr>
      </w:pPr>
      <w:r>
        <w:rPr>
          <w:rStyle w:val="58"/>
          <w:rFonts w:ascii="宋体" w:hAnsi="宋体"/>
        </w:rPr>
        <w:t>3.6.2 投标文件应当对招标文件有关</w:t>
      </w:r>
      <w:r>
        <w:rPr>
          <w:rStyle w:val="58"/>
          <w:rFonts w:ascii="宋体" w:hAnsi="宋体"/>
          <w:szCs w:val="21"/>
        </w:rPr>
        <w:t>工期、投标有效期、质量要求、技术标准和要求、招标范围等实质性内容作出响应。</w:t>
      </w:r>
    </w:p>
    <w:p>
      <w:pPr>
        <w:spacing w:line="360" w:lineRule="auto"/>
        <w:ind w:firstLine="420" w:firstLineChars="200"/>
        <w:rPr>
          <w:rStyle w:val="58"/>
          <w:rFonts w:ascii="宋体" w:hAnsi="宋体"/>
        </w:rPr>
      </w:pPr>
      <w:r>
        <w:rPr>
          <w:rStyle w:val="58"/>
          <w:rFonts w:ascii="宋体" w:hAnsi="宋体"/>
        </w:rPr>
        <w:t>3.6.3投标文件应用不褪色的材料书写或打印，并由投标人的法定代表人（或其委托代理人）签字（或盖单位公章）。委托代理人签字的，投标文件应附法定代表人签署的授权委托书。投标文件应尽量避免涂改、行间插字或删除。如果出现上述情况，改动之处应加盖单位公章或由投标人的法定代表人或其授权的代理人签字确认。签字或盖章的具体要求见投标人须知前附表。</w:t>
      </w:r>
    </w:p>
    <w:p>
      <w:pPr>
        <w:spacing w:line="400" w:lineRule="exact"/>
        <w:ind w:firstLine="420" w:firstLineChars="200"/>
        <w:rPr>
          <w:rStyle w:val="58"/>
          <w:rFonts w:ascii="宋体" w:hAnsi="宋体"/>
        </w:rPr>
      </w:pPr>
      <w:r>
        <w:rPr>
          <w:rStyle w:val="58"/>
          <w:rFonts w:ascii="宋体" w:hAnsi="宋体"/>
        </w:rPr>
        <w:t>3.6.4投标文件正本一份,副本份数详见投标须知前附表，资格审查文件一份（不分正、副本，单独成册）。正本和副本的封面上应清楚地标记“正本”或“副本”的字样。当副本和正本不一致时，以正本为准。</w:t>
      </w:r>
    </w:p>
    <w:p>
      <w:pPr>
        <w:spacing w:line="400" w:lineRule="exact"/>
        <w:ind w:firstLine="420" w:firstLineChars="200"/>
        <w:rPr>
          <w:rStyle w:val="58"/>
          <w:rFonts w:ascii="宋体" w:hAnsi="宋体"/>
        </w:rPr>
      </w:pPr>
      <w:r>
        <w:rPr>
          <w:rStyle w:val="58"/>
          <w:rFonts w:ascii="宋体" w:hAnsi="宋体"/>
        </w:rPr>
        <w:t>3.6.5投标文件的正本与副本及资格审查文件应分别装订成册，并编制目录，具体装订要求见投标人须知前附表规定。</w:t>
      </w:r>
    </w:p>
    <w:p>
      <w:pPr>
        <w:pStyle w:val="7"/>
        <w:spacing w:before="0" w:after="0"/>
        <w:jc w:val="center"/>
        <w:rPr>
          <w:sz w:val="30"/>
          <w:szCs w:val="30"/>
        </w:rPr>
      </w:pPr>
      <w:bookmarkStart w:id="48" w:name="_Toc23160"/>
      <w:bookmarkStart w:id="49" w:name="_Toc16063896"/>
      <w:bookmarkStart w:id="50" w:name="_Toc17817326"/>
      <w:bookmarkStart w:id="51" w:name="_Toc220505564"/>
      <w:r>
        <w:rPr>
          <w:sz w:val="30"/>
          <w:szCs w:val="30"/>
        </w:rPr>
        <w:t>4. 投标</w:t>
      </w:r>
      <w:bookmarkEnd w:id="48"/>
      <w:bookmarkEnd w:id="49"/>
      <w:bookmarkEnd w:id="50"/>
      <w:bookmarkEnd w:id="51"/>
    </w:p>
    <w:p>
      <w:pPr>
        <w:pStyle w:val="62"/>
        <w:spacing w:before="0" w:after="0"/>
        <w:rPr>
          <w:rStyle w:val="58"/>
          <w:rFonts w:ascii="宋体" w:hAnsi="宋体"/>
        </w:rPr>
      </w:pPr>
      <w:r>
        <w:rPr>
          <w:rStyle w:val="58"/>
          <w:rFonts w:ascii="宋体" w:hAnsi="宋体"/>
          <w:sz w:val="24"/>
        </w:rPr>
        <w:t>4.1 投标文件的密封和标记</w:t>
      </w:r>
    </w:p>
    <w:p>
      <w:pPr>
        <w:spacing w:line="360" w:lineRule="auto"/>
        <w:ind w:firstLine="420" w:firstLineChars="200"/>
        <w:rPr>
          <w:rStyle w:val="58"/>
          <w:rFonts w:ascii="宋体" w:hAnsi="宋体"/>
        </w:rPr>
      </w:pPr>
      <w:r>
        <w:rPr>
          <w:rStyle w:val="58"/>
          <w:rFonts w:ascii="宋体" w:hAnsi="宋体"/>
        </w:rPr>
        <w:t>4.1.1除资格审查文件单独密封包装外，投标文件</w:t>
      </w:r>
      <w:r>
        <w:rPr>
          <w:rStyle w:val="58"/>
          <w:rFonts w:hint="eastAsia" w:ascii="宋体" w:hAnsi="宋体"/>
        </w:rPr>
        <w:t>商务标（正本+副本</w:t>
      </w:r>
      <w:r>
        <w:rPr>
          <w:rStyle w:val="58"/>
          <w:rFonts w:ascii="宋体" w:hAnsi="宋体"/>
        </w:rPr>
        <w:t>）、</w:t>
      </w:r>
      <w:r>
        <w:rPr>
          <w:rStyle w:val="58"/>
          <w:rFonts w:hint="eastAsia" w:ascii="宋体" w:hAnsi="宋体"/>
        </w:rPr>
        <w:t>技术标（正本+副本）</w:t>
      </w:r>
      <w:r>
        <w:rPr>
          <w:rStyle w:val="58"/>
          <w:rFonts w:ascii="宋体" w:hAnsi="宋体"/>
        </w:rPr>
        <w:t>分开密封包装，电子文档（内容包含全部投标文件）单独密封包装，唱标单单独密封包装。所有封套的每个封口处均应加盖投标人单位公章。</w:t>
      </w:r>
    </w:p>
    <w:p>
      <w:pPr>
        <w:spacing w:line="360" w:lineRule="auto"/>
        <w:ind w:firstLine="422" w:firstLineChars="200"/>
        <w:rPr>
          <w:b/>
          <w:bCs/>
        </w:rPr>
      </w:pPr>
      <w:r>
        <w:rPr>
          <w:rFonts w:hint="eastAsia"/>
          <w:b/>
          <w:bCs/>
        </w:rPr>
        <w:t>纸版投标文件和电子版投标文件必须保证内容一致，如确实存在不一致的，总报价以重汽</w:t>
      </w:r>
      <w:r>
        <w:rPr>
          <w:b/>
          <w:bCs/>
        </w:rPr>
        <w:t>E</w:t>
      </w:r>
      <w:r>
        <w:rPr>
          <w:rFonts w:hint="eastAsia"/>
          <w:b/>
          <w:bCs/>
        </w:rPr>
        <w:t>采通系统报出金额为准。同时要求投标方对纸版商务标书的错误一并做出修正（修正原则详见商务标评分细则），结算时按修正后的纸质商务标书为准。</w:t>
      </w:r>
    </w:p>
    <w:p>
      <w:pPr>
        <w:spacing w:line="360" w:lineRule="auto"/>
        <w:ind w:firstLine="420" w:firstLineChars="200"/>
        <w:rPr>
          <w:rStyle w:val="58"/>
          <w:rFonts w:ascii="宋体" w:hAnsi="宋体"/>
        </w:rPr>
      </w:pPr>
      <w:r>
        <w:rPr>
          <w:rStyle w:val="58"/>
          <w:rFonts w:ascii="宋体" w:hAnsi="宋体"/>
        </w:rPr>
        <w:t>4.1.2投标文件的封套上应清楚地标记“</w:t>
      </w:r>
      <w:r>
        <w:rPr>
          <w:rStyle w:val="58"/>
          <w:rFonts w:hint="eastAsia" w:ascii="宋体" w:hAnsi="宋体"/>
        </w:rPr>
        <w:t>商务标</w:t>
      </w:r>
      <w:r>
        <w:rPr>
          <w:rStyle w:val="58"/>
          <w:rFonts w:ascii="宋体" w:hAnsi="宋体"/>
        </w:rPr>
        <w:t>”或“</w:t>
      </w:r>
      <w:r>
        <w:rPr>
          <w:rStyle w:val="58"/>
          <w:rFonts w:hint="eastAsia" w:ascii="宋体" w:hAnsi="宋体"/>
        </w:rPr>
        <w:t>技术标</w:t>
      </w:r>
      <w:r>
        <w:rPr>
          <w:rStyle w:val="58"/>
          <w:rFonts w:ascii="宋体" w:hAnsi="宋体"/>
        </w:rPr>
        <w:t>”或“资格审查文件”或“唱标单”或“电子文档”等字样，封套上应写明的其他内容见投标人须知前附表。</w:t>
      </w:r>
    </w:p>
    <w:p>
      <w:pPr>
        <w:spacing w:line="360" w:lineRule="auto"/>
        <w:ind w:firstLine="422" w:firstLineChars="200"/>
        <w:rPr>
          <w:rStyle w:val="58"/>
          <w:rFonts w:ascii="宋体" w:hAnsi="宋体"/>
          <w:b/>
          <w:bCs/>
        </w:rPr>
      </w:pPr>
      <w:r>
        <w:rPr>
          <w:rStyle w:val="58"/>
          <w:rFonts w:ascii="宋体" w:hAnsi="宋体"/>
          <w:b/>
          <w:bCs/>
        </w:rPr>
        <w:t>4.1.3 未按本章第4.1.1项或第4.1.2项要求密封和加写标记的投标文件，招标人不予受理。</w:t>
      </w:r>
    </w:p>
    <w:p>
      <w:pPr>
        <w:pStyle w:val="62"/>
        <w:spacing w:before="0" w:after="0"/>
        <w:rPr>
          <w:rStyle w:val="58"/>
          <w:rFonts w:ascii="宋体" w:hAnsi="宋体"/>
          <w:sz w:val="24"/>
        </w:rPr>
      </w:pPr>
      <w:r>
        <w:rPr>
          <w:rStyle w:val="58"/>
          <w:rFonts w:ascii="宋体" w:hAnsi="宋体"/>
          <w:sz w:val="24"/>
        </w:rPr>
        <w:t>4.2 投标文件的递交</w:t>
      </w:r>
    </w:p>
    <w:p>
      <w:pPr>
        <w:spacing w:line="360" w:lineRule="auto"/>
        <w:ind w:firstLine="420" w:firstLineChars="200"/>
        <w:rPr>
          <w:rStyle w:val="58"/>
          <w:rFonts w:ascii="宋体" w:hAnsi="宋体"/>
        </w:rPr>
      </w:pPr>
      <w:r>
        <w:rPr>
          <w:rStyle w:val="58"/>
          <w:rFonts w:ascii="宋体" w:hAnsi="宋体"/>
        </w:rPr>
        <w:t>4.2.1 投标人应在本章</w:t>
      </w:r>
      <w:r>
        <w:rPr>
          <w:rStyle w:val="45"/>
          <w:rFonts w:ascii="宋体" w:hAnsi="宋体"/>
          <w:color w:val="auto"/>
          <w:sz w:val="21"/>
        </w:rPr>
        <w:t>第2.2.2项</w:t>
      </w:r>
      <w:r>
        <w:rPr>
          <w:rStyle w:val="58"/>
          <w:rFonts w:ascii="宋体" w:hAnsi="宋体"/>
        </w:rPr>
        <w:t>规定的投标截止时间前递交投标文件。</w:t>
      </w:r>
    </w:p>
    <w:p>
      <w:pPr>
        <w:spacing w:line="360" w:lineRule="auto"/>
        <w:ind w:firstLine="420" w:firstLineChars="200"/>
        <w:rPr>
          <w:rStyle w:val="58"/>
          <w:rFonts w:ascii="宋体" w:hAnsi="宋体"/>
        </w:rPr>
      </w:pPr>
      <w:r>
        <w:rPr>
          <w:rStyle w:val="58"/>
          <w:rFonts w:ascii="宋体" w:hAnsi="宋体"/>
        </w:rPr>
        <w:t>4.2.2 投标人递交投标文件的地点：见投标人须知前附表。</w:t>
      </w:r>
    </w:p>
    <w:p>
      <w:pPr>
        <w:spacing w:line="360" w:lineRule="auto"/>
        <w:ind w:firstLine="420" w:firstLineChars="200"/>
        <w:rPr>
          <w:rStyle w:val="58"/>
          <w:rFonts w:ascii="宋体" w:hAnsi="宋体"/>
        </w:rPr>
      </w:pPr>
      <w:r>
        <w:rPr>
          <w:rStyle w:val="58"/>
          <w:rFonts w:ascii="宋体" w:hAnsi="宋体"/>
        </w:rPr>
        <w:t>4.2.3 除投标人须知前附表另有规定外，投标人所递交的投标文件不予退还。</w:t>
      </w:r>
    </w:p>
    <w:p>
      <w:pPr>
        <w:spacing w:line="360" w:lineRule="auto"/>
        <w:ind w:firstLine="420" w:firstLineChars="200"/>
        <w:rPr>
          <w:rStyle w:val="58"/>
          <w:rFonts w:ascii="宋体" w:hAnsi="宋体"/>
        </w:rPr>
      </w:pPr>
      <w:r>
        <w:rPr>
          <w:rStyle w:val="58"/>
          <w:rFonts w:ascii="宋体" w:hAnsi="宋体"/>
        </w:rPr>
        <w:t>4.2.4 逾期送达的或者未送达指定地点的投标文件，招标人不予受理。</w:t>
      </w:r>
    </w:p>
    <w:p>
      <w:pPr>
        <w:pStyle w:val="62"/>
        <w:spacing w:before="0" w:after="0"/>
        <w:rPr>
          <w:rStyle w:val="58"/>
          <w:rFonts w:ascii="宋体" w:hAnsi="宋体"/>
          <w:sz w:val="24"/>
        </w:rPr>
      </w:pPr>
      <w:r>
        <w:rPr>
          <w:rStyle w:val="58"/>
          <w:rFonts w:ascii="宋体" w:hAnsi="宋体"/>
          <w:sz w:val="24"/>
        </w:rPr>
        <w:t>4.3 投标文件的修改与撤回</w:t>
      </w:r>
    </w:p>
    <w:p>
      <w:pPr>
        <w:spacing w:line="360" w:lineRule="auto"/>
        <w:ind w:firstLine="420" w:firstLineChars="200"/>
        <w:rPr>
          <w:rStyle w:val="58"/>
          <w:rFonts w:ascii="宋体" w:hAnsi="宋体"/>
        </w:rPr>
      </w:pPr>
      <w:r>
        <w:rPr>
          <w:rStyle w:val="58"/>
          <w:rFonts w:ascii="宋体" w:hAnsi="宋体"/>
        </w:rPr>
        <w:t>4.3.1 在本章</w:t>
      </w:r>
      <w:r>
        <w:rPr>
          <w:rStyle w:val="45"/>
          <w:rFonts w:ascii="宋体" w:hAnsi="宋体"/>
          <w:color w:val="auto"/>
          <w:sz w:val="21"/>
        </w:rPr>
        <w:t>第2.2.2项</w:t>
      </w:r>
      <w:r>
        <w:rPr>
          <w:rStyle w:val="58"/>
          <w:rFonts w:ascii="宋体" w:hAnsi="宋体"/>
        </w:rPr>
        <w:t>规定的投标截止时间前，投标人可以修改或撤回已递交的投标文件，但应以书面形式通知招标人。</w:t>
      </w:r>
    </w:p>
    <w:p>
      <w:pPr>
        <w:spacing w:line="360" w:lineRule="auto"/>
        <w:ind w:firstLine="420" w:firstLineChars="200"/>
        <w:rPr>
          <w:rStyle w:val="58"/>
          <w:rFonts w:ascii="宋体" w:hAnsi="宋体"/>
        </w:rPr>
      </w:pPr>
      <w:r>
        <w:rPr>
          <w:rStyle w:val="58"/>
          <w:rFonts w:ascii="宋体" w:hAnsi="宋体"/>
        </w:rPr>
        <w:t>4.3.2 投标人修改或撤回已递交投标文件的书面通知应按照本章</w:t>
      </w:r>
      <w:r>
        <w:rPr>
          <w:rStyle w:val="45"/>
          <w:rFonts w:ascii="宋体" w:hAnsi="宋体"/>
          <w:color w:val="auto"/>
          <w:sz w:val="21"/>
        </w:rPr>
        <w:t>第3.6.3项</w:t>
      </w:r>
      <w:r>
        <w:rPr>
          <w:rStyle w:val="58"/>
          <w:rFonts w:ascii="宋体" w:hAnsi="宋体"/>
        </w:rPr>
        <w:t>的要求签字或盖章。招标人收到书面通知后，向投标人出具签收凭证。</w:t>
      </w:r>
    </w:p>
    <w:p>
      <w:pPr>
        <w:spacing w:line="360" w:lineRule="auto"/>
        <w:ind w:firstLine="420" w:firstLineChars="200"/>
        <w:rPr>
          <w:rStyle w:val="58"/>
          <w:rFonts w:ascii="宋体" w:hAnsi="宋体"/>
        </w:rPr>
      </w:pPr>
      <w:r>
        <w:rPr>
          <w:rStyle w:val="58"/>
          <w:rFonts w:ascii="宋体" w:hAnsi="宋体"/>
        </w:rPr>
        <w:t>4.3.3 修改的内容为投标文件的组成部分。修改的投标文件应按照本章</w:t>
      </w:r>
      <w:r>
        <w:rPr>
          <w:rStyle w:val="45"/>
          <w:rFonts w:ascii="宋体" w:hAnsi="宋体"/>
          <w:color w:val="auto"/>
          <w:sz w:val="21"/>
        </w:rPr>
        <w:t>第3条</w:t>
      </w:r>
      <w:r>
        <w:rPr>
          <w:rStyle w:val="58"/>
          <w:rFonts w:ascii="宋体" w:hAnsi="宋体"/>
        </w:rPr>
        <w:t>、</w:t>
      </w:r>
      <w:r>
        <w:rPr>
          <w:rStyle w:val="45"/>
          <w:rFonts w:ascii="宋体" w:hAnsi="宋体"/>
          <w:color w:val="auto"/>
          <w:sz w:val="21"/>
        </w:rPr>
        <w:t>第4条</w:t>
      </w:r>
      <w:r>
        <w:rPr>
          <w:rStyle w:val="58"/>
          <w:rFonts w:ascii="宋体" w:hAnsi="宋体"/>
        </w:rPr>
        <w:t>规定进行编制、密封、标记和递交，并标明“修改”字样。</w:t>
      </w:r>
    </w:p>
    <w:p>
      <w:pPr>
        <w:pStyle w:val="7"/>
        <w:spacing w:before="0" w:after="0"/>
        <w:jc w:val="center"/>
        <w:rPr>
          <w:sz w:val="30"/>
          <w:szCs w:val="30"/>
        </w:rPr>
      </w:pPr>
      <w:bookmarkStart w:id="52" w:name="_Toc9815"/>
      <w:bookmarkStart w:id="53" w:name="_Toc220505565"/>
      <w:bookmarkStart w:id="54" w:name="_Toc17817327"/>
      <w:bookmarkStart w:id="55" w:name="_Toc16063897"/>
      <w:r>
        <w:rPr>
          <w:sz w:val="30"/>
          <w:szCs w:val="30"/>
        </w:rPr>
        <w:t>5. 开标</w:t>
      </w:r>
      <w:bookmarkEnd w:id="52"/>
      <w:bookmarkEnd w:id="53"/>
      <w:bookmarkEnd w:id="54"/>
      <w:bookmarkEnd w:id="55"/>
    </w:p>
    <w:p>
      <w:pPr>
        <w:pStyle w:val="62"/>
        <w:spacing w:before="0" w:after="0" w:line="360" w:lineRule="auto"/>
        <w:rPr>
          <w:rStyle w:val="58"/>
          <w:rFonts w:ascii="宋体" w:hAnsi="宋体"/>
          <w:sz w:val="24"/>
          <w:szCs w:val="24"/>
        </w:rPr>
      </w:pPr>
      <w:bookmarkStart w:id="56" w:name="_Toc630"/>
      <w:bookmarkStart w:id="57" w:name="_Toc16063898"/>
      <w:bookmarkStart w:id="58" w:name="_Toc17817328"/>
      <w:r>
        <w:rPr>
          <w:rStyle w:val="58"/>
          <w:rFonts w:ascii="宋体" w:hAnsi="宋体"/>
          <w:sz w:val="24"/>
          <w:szCs w:val="24"/>
        </w:rPr>
        <w:t>5.1 开标时间和地点</w:t>
      </w:r>
    </w:p>
    <w:p>
      <w:pPr>
        <w:spacing w:line="400" w:lineRule="exact"/>
        <w:ind w:firstLine="420" w:firstLineChars="200"/>
        <w:rPr>
          <w:rStyle w:val="58"/>
          <w:rFonts w:ascii="宋体" w:hAnsi="宋体"/>
        </w:rPr>
      </w:pPr>
      <w:r>
        <w:rPr>
          <w:rStyle w:val="58"/>
          <w:rFonts w:ascii="宋体" w:hAnsi="宋体"/>
        </w:rPr>
        <w:t>招标人在本章</w:t>
      </w:r>
      <w:r>
        <w:rPr>
          <w:rStyle w:val="45"/>
          <w:rFonts w:ascii="宋体" w:hAnsi="宋体"/>
          <w:color w:val="auto"/>
          <w:sz w:val="21"/>
        </w:rPr>
        <w:t>第2.2.2项</w:t>
      </w:r>
      <w:r>
        <w:rPr>
          <w:rStyle w:val="58"/>
          <w:rFonts w:ascii="宋体" w:hAnsi="宋体"/>
        </w:rPr>
        <w:t>规定的投标截止时间（开标时间）和投标人须知前附表规定的地点公开开标，并邀请所有投标人的法定代表人或其委托代理人准时参加。</w:t>
      </w:r>
    </w:p>
    <w:p>
      <w:pPr>
        <w:pStyle w:val="19"/>
        <w:adjustRightInd w:val="0"/>
        <w:snapToGrid w:val="0"/>
        <w:spacing w:before="72" w:after="50" w:line="460" w:lineRule="exact"/>
        <w:ind w:firstLine="420" w:firstLineChars="200"/>
        <w:rPr>
          <w:rStyle w:val="58"/>
          <w:rFonts w:ascii="宋体" w:hAnsi="宋体" w:eastAsia="宋体"/>
          <w:sz w:val="21"/>
          <w:szCs w:val="24"/>
        </w:rPr>
      </w:pPr>
      <w:r>
        <w:rPr>
          <w:rStyle w:val="58"/>
          <w:rFonts w:hint="eastAsia" w:ascii="宋体" w:hAnsi="宋体" w:eastAsia="宋体"/>
          <w:sz w:val="21"/>
          <w:szCs w:val="24"/>
        </w:rPr>
        <w:t>本次招标的开标、评标由招标人依法组织实施，通过资格审查后，采用技术标和商务标同时开标、分阶段评标的模式。</w:t>
      </w:r>
    </w:p>
    <w:p>
      <w:pPr>
        <w:pStyle w:val="19"/>
        <w:adjustRightInd w:val="0"/>
        <w:snapToGrid w:val="0"/>
        <w:spacing w:before="72" w:after="50" w:line="460" w:lineRule="exact"/>
        <w:ind w:firstLine="420" w:firstLineChars="200"/>
        <w:rPr>
          <w:rStyle w:val="58"/>
          <w:rFonts w:ascii="宋体" w:hAnsi="宋体" w:eastAsia="宋体"/>
          <w:sz w:val="21"/>
          <w:szCs w:val="24"/>
        </w:rPr>
      </w:pPr>
      <w:r>
        <w:rPr>
          <w:rStyle w:val="58"/>
          <w:rFonts w:hint="eastAsia" w:ascii="宋体" w:hAnsi="宋体" w:eastAsia="宋体"/>
          <w:sz w:val="21"/>
          <w:szCs w:val="24"/>
        </w:rPr>
        <w:t>首先进行技术标评审，由评标专家组对所有投标方的技术标部分综合评定和打分，确定进入商务标评比资格的投标方。然后对所有入围商务标的单位进行综合评审，招标人有权根据项目情况，商务标采取多轮报价模式，最终根据综合得分确定各投标人排序，原则上按照综合得分最高分确定推荐中标人，对未中标单位不做任何解释。</w:t>
      </w:r>
    </w:p>
    <w:p>
      <w:pPr>
        <w:pStyle w:val="19"/>
        <w:adjustRightInd w:val="0"/>
        <w:snapToGrid w:val="0"/>
        <w:spacing w:before="72" w:after="50" w:line="460" w:lineRule="exact"/>
        <w:ind w:firstLine="420" w:firstLineChars="200"/>
        <w:rPr>
          <w:rStyle w:val="58"/>
          <w:rFonts w:ascii="宋体" w:hAnsi="宋体" w:eastAsia="宋体"/>
          <w:i/>
          <w:iCs/>
          <w:color w:val="FF0000"/>
          <w:sz w:val="21"/>
          <w:szCs w:val="24"/>
          <w:u w:val="single"/>
        </w:rPr>
      </w:pPr>
      <w:r>
        <w:rPr>
          <w:rStyle w:val="58"/>
          <w:rFonts w:hint="eastAsia" w:ascii="宋体" w:hAnsi="宋体" w:eastAsia="宋体"/>
          <w:sz w:val="21"/>
          <w:szCs w:val="24"/>
        </w:rPr>
        <w:t>根据最终有效综合得分由高到低进行排序，综合得分最高者排名第一，综合得分次高者排名第二，以此类推，综合得分最低者排名最后。最终综合得分第一的推荐为拟中标人，但是报价明显低于成本的除外。</w:t>
      </w:r>
    </w:p>
    <w:p>
      <w:pPr>
        <w:spacing w:line="360" w:lineRule="auto"/>
        <w:ind w:firstLine="422" w:firstLineChars="200"/>
      </w:pPr>
      <w:r>
        <w:rPr>
          <w:rStyle w:val="58"/>
          <w:rFonts w:hint="eastAsia" w:ascii="宋体" w:hAnsi="宋体"/>
          <w:b/>
          <w:bCs/>
        </w:rPr>
        <w:t>开标形式：现场和重汽e采通同时开标。</w:t>
      </w:r>
      <w:r>
        <w:rPr>
          <w:rStyle w:val="58"/>
          <w:rFonts w:hint="eastAsia" w:hAnsi="宋体"/>
          <w:b/>
          <w:bCs/>
          <w:szCs w:val="22"/>
          <w:highlight w:val="yellow"/>
          <w:u w:val="single"/>
        </w:rPr>
        <w:t>（所有澄清及报价均需要在线上操作，请自行准备电脑等设备）</w:t>
      </w:r>
    </w:p>
    <w:p>
      <w:pPr>
        <w:pStyle w:val="62"/>
        <w:spacing w:before="0" w:after="0"/>
        <w:rPr>
          <w:rStyle w:val="58"/>
          <w:rFonts w:ascii="宋体" w:hAnsi="宋体"/>
          <w:sz w:val="24"/>
        </w:rPr>
      </w:pPr>
      <w:r>
        <w:rPr>
          <w:rStyle w:val="58"/>
          <w:rFonts w:ascii="宋体" w:hAnsi="宋体"/>
          <w:sz w:val="24"/>
        </w:rPr>
        <w:t>5.2 开</w:t>
      </w:r>
      <w:r>
        <w:rPr>
          <w:rStyle w:val="58"/>
          <w:rFonts w:hint="eastAsia" w:ascii="宋体" w:hAnsi="宋体"/>
          <w:sz w:val="24"/>
        </w:rPr>
        <w:t>、评</w:t>
      </w:r>
      <w:r>
        <w:rPr>
          <w:rStyle w:val="58"/>
          <w:rFonts w:ascii="宋体" w:hAnsi="宋体"/>
          <w:sz w:val="24"/>
        </w:rPr>
        <w:t>标程序</w:t>
      </w:r>
    </w:p>
    <w:p>
      <w:pPr>
        <w:spacing w:line="400" w:lineRule="exact"/>
        <w:ind w:firstLine="420" w:firstLineChars="200"/>
        <w:rPr>
          <w:rStyle w:val="58"/>
          <w:rFonts w:ascii="宋体" w:hAnsi="宋体"/>
          <w:szCs w:val="22"/>
        </w:rPr>
      </w:pPr>
      <w:r>
        <w:rPr>
          <w:rStyle w:val="58"/>
          <w:rFonts w:hint="eastAsia" w:ascii="宋体" w:hAnsi="宋体"/>
          <w:szCs w:val="22"/>
        </w:rPr>
        <w:t>（1）投标截止时间前准时进入开标现场，登录重汽e采通按最新版《SRM-系统用户手册-非生产招投标（供应商使用）》，并按顺序进行操作，迟到按弃标处理。</w:t>
      </w:r>
    </w:p>
    <w:p>
      <w:pPr>
        <w:spacing w:line="400" w:lineRule="exact"/>
        <w:ind w:firstLine="420" w:firstLineChars="200"/>
        <w:rPr>
          <w:rStyle w:val="58"/>
          <w:rFonts w:ascii="宋体" w:hAnsi="宋体"/>
          <w:szCs w:val="22"/>
        </w:rPr>
      </w:pPr>
      <w:r>
        <w:rPr>
          <w:rStyle w:val="58"/>
          <w:rFonts w:hint="eastAsia" w:ascii="宋体" w:hAnsi="宋体"/>
          <w:szCs w:val="22"/>
        </w:rPr>
        <w:t>（2）宣读开标纪律；</w:t>
      </w:r>
    </w:p>
    <w:p>
      <w:pPr>
        <w:spacing w:line="400" w:lineRule="exact"/>
        <w:ind w:firstLine="420" w:firstLineChars="200"/>
        <w:rPr>
          <w:rStyle w:val="58"/>
          <w:rFonts w:ascii="宋体" w:hAnsi="宋体"/>
          <w:szCs w:val="22"/>
        </w:rPr>
      </w:pPr>
      <w:r>
        <w:rPr>
          <w:rStyle w:val="58"/>
          <w:rFonts w:hint="eastAsia" w:ascii="宋体" w:hAnsi="宋体"/>
          <w:szCs w:val="22"/>
        </w:rPr>
        <w:t>（3）公布在投标截止时间前递交投标文件的投标人名称，并点名确认投标人的法定代表人或其委托代理人是否到场；</w:t>
      </w:r>
    </w:p>
    <w:p>
      <w:pPr>
        <w:spacing w:line="400" w:lineRule="exact"/>
        <w:ind w:firstLine="420" w:firstLineChars="200"/>
        <w:rPr>
          <w:rStyle w:val="58"/>
          <w:rFonts w:ascii="宋体" w:hAnsi="宋体"/>
          <w:szCs w:val="22"/>
        </w:rPr>
      </w:pPr>
      <w:r>
        <w:rPr>
          <w:rStyle w:val="58"/>
          <w:rFonts w:hint="eastAsia" w:ascii="宋体" w:hAnsi="宋体"/>
          <w:szCs w:val="22"/>
        </w:rPr>
        <w:t>（4）宣布招标人、唱标人等有关单位；</w:t>
      </w:r>
    </w:p>
    <w:p>
      <w:pPr>
        <w:spacing w:line="400" w:lineRule="exact"/>
        <w:ind w:firstLine="420" w:firstLineChars="200"/>
        <w:rPr>
          <w:rStyle w:val="58"/>
          <w:rFonts w:ascii="宋体" w:hAnsi="宋体"/>
          <w:szCs w:val="22"/>
        </w:rPr>
      </w:pPr>
      <w:r>
        <w:rPr>
          <w:rStyle w:val="58"/>
          <w:rFonts w:hint="eastAsia" w:ascii="宋体" w:hAnsi="宋体"/>
          <w:szCs w:val="22"/>
        </w:rPr>
        <w:t>（5）由招标人核验投标单位的相关证件，并宣布核验结果；</w:t>
      </w:r>
    </w:p>
    <w:p>
      <w:pPr>
        <w:spacing w:line="400" w:lineRule="exact"/>
        <w:ind w:firstLine="420" w:firstLineChars="200"/>
        <w:rPr>
          <w:rStyle w:val="58"/>
          <w:rFonts w:ascii="宋体" w:hAnsi="宋体"/>
          <w:szCs w:val="22"/>
        </w:rPr>
      </w:pPr>
      <w:r>
        <w:rPr>
          <w:rStyle w:val="58"/>
          <w:rFonts w:hint="eastAsia" w:ascii="宋体" w:hAnsi="宋体"/>
          <w:szCs w:val="22"/>
        </w:rPr>
        <w:t>（6）由招标人代表或投标人推选的代表检查投标文件的密封情况并予以确认；</w:t>
      </w:r>
    </w:p>
    <w:p>
      <w:pPr>
        <w:spacing w:line="400" w:lineRule="exact"/>
        <w:ind w:firstLine="420" w:firstLineChars="200"/>
        <w:rPr>
          <w:rStyle w:val="58"/>
          <w:rFonts w:ascii="宋体" w:hAnsi="宋体"/>
          <w:szCs w:val="22"/>
        </w:rPr>
      </w:pPr>
      <w:r>
        <w:rPr>
          <w:rStyle w:val="58"/>
          <w:rFonts w:hint="eastAsia" w:ascii="宋体" w:hAnsi="宋体"/>
          <w:szCs w:val="22"/>
        </w:rPr>
        <w:t>（7）按照宣布的开标顺序当众开标，公布投标人名称、项目名称、投标报价、质量目标、工期及其他内容，并记录在案；</w:t>
      </w:r>
    </w:p>
    <w:p>
      <w:pPr>
        <w:spacing w:line="400" w:lineRule="exact"/>
        <w:ind w:firstLine="420" w:firstLineChars="200"/>
        <w:rPr>
          <w:rStyle w:val="58"/>
          <w:rFonts w:ascii="宋体" w:hAnsi="宋体"/>
          <w:szCs w:val="22"/>
        </w:rPr>
      </w:pPr>
      <w:r>
        <w:rPr>
          <w:rStyle w:val="58"/>
          <w:rFonts w:hint="eastAsia" w:ascii="宋体" w:hAnsi="宋体"/>
          <w:szCs w:val="22"/>
        </w:rPr>
        <w:t>（8）对本次开标存在异议的投标单位，请现场提出，否则事后不予受理；</w:t>
      </w:r>
    </w:p>
    <w:p>
      <w:pPr>
        <w:spacing w:line="400" w:lineRule="exact"/>
        <w:ind w:firstLine="420" w:firstLineChars="200"/>
        <w:rPr>
          <w:rStyle w:val="58"/>
          <w:rFonts w:ascii="宋体" w:hAnsi="宋体"/>
          <w:szCs w:val="22"/>
        </w:rPr>
      </w:pPr>
      <w:r>
        <w:rPr>
          <w:rStyle w:val="58"/>
          <w:rFonts w:hint="eastAsia" w:ascii="宋体" w:hAnsi="宋体"/>
          <w:szCs w:val="22"/>
        </w:rPr>
        <w:t>（9）招标人、唱标人、监督人、投标人授权代表应对《开标记录》全部内容进行签字确认；</w:t>
      </w:r>
    </w:p>
    <w:p>
      <w:pPr>
        <w:spacing w:line="400" w:lineRule="exact"/>
        <w:ind w:firstLine="420" w:firstLineChars="200"/>
        <w:rPr>
          <w:rStyle w:val="58"/>
          <w:rFonts w:ascii="宋体" w:hAnsi="宋体"/>
          <w:szCs w:val="22"/>
        </w:rPr>
      </w:pPr>
      <w:r>
        <w:rPr>
          <w:rStyle w:val="58"/>
          <w:rFonts w:hint="eastAsia" w:ascii="宋体" w:hAnsi="宋体"/>
          <w:szCs w:val="22"/>
        </w:rPr>
        <w:t>（10）开标会结束，投标人退场，进入评审阶段。</w:t>
      </w:r>
    </w:p>
    <w:p>
      <w:pPr>
        <w:spacing w:line="400" w:lineRule="exact"/>
        <w:ind w:firstLine="420" w:firstLineChars="200"/>
        <w:rPr>
          <w:rStyle w:val="58"/>
          <w:rFonts w:ascii="宋体" w:hAnsi="宋体"/>
          <w:szCs w:val="22"/>
        </w:rPr>
      </w:pPr>
      <w:r>
        <w:rPr>
          <w:rStyle w:val="58"/>
          <w:rFonts w:hint="eastAsia" w:ascii="宋体" w:hAnsi="宋体"/>
          <w:szCs w:val="22"/>
        </w:rPr>
        <w:t>（11）进入技术标评审环节，专家组根据评标办法对技术标进行评分，需要技术澄清的，通过重汽e采通递交澄清材料；同时，</w:t>
      </w:r>
      <w:r>
        <w:rPr>
          <w:rStyle w:val="58"/>
          <w:rFonts w:hint="eastAsia" w:ascii="宋体" w:hAnsi="宋体"/>
          <w:b/>
          <w:bCs/>
          <w:szCs w:val="22"/>
          <w:u w:val="single"/>
        </w:rPr>
        <w:t>招标人将在技术标评审环节组织商务标清标工作，识别出各投标单位的不平衡报价及其他不合理项，投标单位据之纠正澄清，并同步修正开标总价；修正完成后需经经招标人审核确认；修正后的总价不得突破投标价、并作为开标后第一轮报价及后续调价基准。</w:t>
      </w:r>
      <w:r>
        <w:rPr>
          <w:rStyle w:val="58"/>
          <w:rFonts w:hint="eastAsia" w:ascii="宋体" w:hAnsi="宋体"/>
          <w:szCs w:val="22"/>
          <w:u w:val="single"/>
        </w:rPr>
        <w:t>技术标评审结束后，专家组推荐入围商务标厂家，通过技术标评审的投标单位进入商务标评审。</w:t>
      </w:r>
    </w:p>
    <w:p>
      <w:pPr>
        <w:spacing w:line="400" w:lineRule="exact"/>
        <w:ind w:firstLine="420" w:firstLineChars="200"/>
        <w:rPr>
          <w:rStyle w:val="58"/>
          <w:rFonts w:ascii="宋体" w:hAnsi="宋体"/>
          <w:szCs w:val="22"/>
        </w:rPr>
      </w:pPr>
      <w:r>
        <w:rPr>
          <w:rStyle w:val="58"/>
          <w:rFonts w:hint="eastAsia" w:ascii="宋体" w:hAnsi="宋体"/>
          <w:szCs w:val="22"/>
        </w:rPr>
        <w:t>（12）商务标评审采用多轮报价，除开标唱标为公开报价方式外，后续多轮澄清报价均为非公开的方式，在重汽e采通进行提报。</w:t>
      </w:r>
      <w:r>
        <w:rPr>
          <w:rStyle w:val="58"/>
          <w:rFonts w:hint="eastAsia" w:ascii="宋体" w:hAnsi="宋体"/>
          <w:b/>
          <w:bCs/>
          <w:szCs w:val="22"/>
          <w:u w:val="single"/>
        </w:rPr>
        <w:t>商务标开标后，投标单位需在第一轮报价时，将修正后的报价清单上传至重汽e采通，并与开标后第一轮报价金额一致；</w:t>
      </w:r>
      <w:bookmarkStart w:id="59" w:name="_Hlk182473828"/>
      <w:r>
        <w:rPr>
          <w:rStyle w:val="58"/>
          <w:rFonts w:hint="eastAsia" w:ascii="宋体" w:hAnsi="宋体"/>
          <w:b/>
          <w:bCs/>
          <w:szCs w:val="22"/>
          <w:u w:val="single"/>
        </w:rPr>
        <w:t>后续报价只上传每轮报价总金额，合同清单部分的价格结算时按照承包人开标修正后的已标价工程量清单价格乘下浮系数（商务标最后一轮澄清含税总报价/开标清标修正后的含税总报价）执行。单独澄清的清单项除外。</w:t>
      </w:r>
      <w:bookmarkEnd w:id="59"/>
    </w:p>
    <w:p>
      <w:pPr>
        <w:spacing w:line="400" w:lineRule="exact"/>
        <w:ind w:firstLine="422" w:firstLineChars="200"/>
        <w:rPr>
          <w:rStyle w:val="58"/>
          <w:rFonts w:ascii="宋体" w:hAnsi="宋体"/>
          <w:b/>
          <w:bCs/>
          <w:szCs w:val="22"/>
          <w:em w:val="dot"/>
        </w:rPr>
      </w:pPr>
      <w:r>
        <w:rPr>
          <w:rStyle w:val="58"/>
          <w:rFonts w:hint="eastAsia" w:ascii="宋体" w:hAnsi="宋体"/>
          <w:b/>
          <w:bCs/>
          <w:szCs w:val="22"/>
          <w:em w:val="dot"/>
        </w:rPr>
        <w:t>注意：每一轮在重汽e采通提供澄清报价均有时间限制，未能在规定时间内提交澄清函及报价的视为放弃本次投标。</w:t>
      </w:r>
    </w:p>
    <w:p>
      <w:pPr>
        <w:spacing w:line="400" w:lineRule="exact"/>
        <w:ind w:firstLine="420" w:firstLineChars="200"/>
        <w:rPr>
          <w:rStyle w:val="58"/>
          <w:rFonts w:ascii="宋体" w:hAnsi="宋体"/>
          <w:szCs w:val="22"/>
        </w:rPr>
      </w:pPr>
      <w:r>
        <w:rPr>
          <w:rStyle w:val="58"/>
          <w:rFonts w:hint="eastAsia" w:ascii="宋体" w:hAnsi="宋体"/>
          <w:szCs w:val="22"/>
        </w:rPr>
        <w:t>（13）原则上按照综合得分最高分确定推荐中标人，对未中标单位不做任何解释。</w:t>
      </w:r>
    </w:p>
    <w:p>
      <w:pPr>
        <w:spacing w:line="400" w:lineRule="exact"/>
        <w:ind w:firstLine="420" w:firstLineChars="200"/>
      </w:pPr>
      <w:r>
        <w:rPr>
          <w:rStyle w:val="58"/>
          <w:rFonts w:hint="eastAsia" w:ascii="宋体" w:hAnsi="宋体"/>
          <w:szCs w:val="22"/>
        </w:rPr>
        <w:t>以上步骤全部结束后，本次招标过程全部结束。</w:t>
      </w:r>
    </w:p>
    <w:p>
      <w:pPr>
        <w:spacing w:line="400" w:lineRule="exact"/>
        <w:ind w:firstLine="420" w:firstLineChars="200"/>
        <w:rPr>
          <w:rStyle w:val="58"/>
          <w:rFonts w:ascii="宋体" w:hAnsi="宋体"/>
          <w:szCs w:val="22"/>
        </w:rPr>
      </w:pPr>
      <w:r>
        <w:rPr>
          <w:rStyle w:val="58"/>
          <w:rFonts w:hint="eastAsia" w:ascii="宋体" w:hAnsi="宋体"/>
          <w:szCs w:val="22"/>
        </w:rPr>
        <w:t>投标前请各投标方按照招标文件要求对项目方案进行充分准备，投标单位已默认认可上述开标、评标过程，无异议。招标人无义务对未入围投标方及未中标方做任何解释。</w:t>
      </w:r>
    </w:p>
    <w:p>
      <w:pPr>
        <w:pStyle w:val="62"/>
        <w:spacing w:before="0" w:after="0"/>
        <w:rPr>
          <w:rStyle w:val="58"/>
          <w:rFonts w:ascii="宋体" w:hAnsi="宋体"/>
          <w:sz w:val="24"/>
        </w:rPr>
      </w:pPr>
      <w:r>
        <w:rPr>
          <w:rStyle w:val="58"/>
          <w:rFonts w:hint="eastAsia" w:ascii="宋体" w:hAnsi="宋体"/>
          <w:sz w:val="24"/>
        </w:rPr>
        <w:t>5</w:t>
      </w:r>
      <w:r>
        <w:rPr>
          <w:rStyle w:val="58"/>
          <w:rFonts w:ascii="宋体" w:hAnsi="宋体"/>
          <w:sz w:val="24"/>
        </w:rPr>
        <w:t xml:space="preserve">.3 </w:t>
      </w:r>
      <w:r>
        <w:rPr>
          <w:rStyle w:val="58"/>
          <w:rFonts w:hint="eastAsia" w:ascii="宋体" w:hAnsi="宋体"/>
          <w:sz w:val="24"/>
        </w:rPr>
        <w:t>其他说明</w:t>
      </w:r>
    </w:p>
    <w:p>
      <w:pPr>
        <w:spacing w:line="400" w:lineRule="exact"/>
        <w:ind w:firstLine="420" w:firstLineChars="200"/>
        <w:rPr>
          <w:rStyle w:val="58"/>
          <w:szCs w:val="22"/>
        </w:rPr>
      </w:pPr>
      <w:r>
        <w:rPr>
          <w:rStyle w:val="58"/>
          <w:rFonts w:hint="eastAsia" w:ascii="宋体" w:hAnsi="宋体"/>
          <w:szCs w:val="22"/>
        </w:rPr>
        <w:t>1.</w:t>
      </w:r>
      <w:r>
        <w:rPr>
          <w:rStyle w:val="58"/>
          <w:rFonts w:hint="eastAsia" w:ascii="宋体" w:hAnsi="宋体"/>
          <w:b/>
          <w:bCs/>
          <w:szCs w:val="22"/>
          <w:em w:val="dot"/>
        </w:rPr>
        <w:t>技术标根据评分办法进行打分，技术标评标小组推荐至少</w:t>
      </w:r>
      <w:r>
        <w:rPr>
          <w:rStyle w:val="58"/>
          <w:rFonts w:ascii="宋体" w:hAnsi="宋体"/>
          <w:b/>
          <w:bCs/>
          <w:szCs w:val="22"/>
          <w:em w:val="dot"/>
        </w:rPr>
        <w:t>3家技术得分70</w:t>
      </w:r>
      <w:r>
        <w:rPr>
          <w:rStyle w:val="58"/>
          <w:rFonts w:hint="eastAsia" w:ascii="宋体" w:hAnsi="宋体"/>
          <w:b/>
          <w:bCs/>
          <w:szCs w:val="22"/>
          <w:em w:val="dot"/>
        </w:rPr>
        <w:t>分（含）以上的投标人入围。</w:t>
      </w:r>
      <w:r>
        <w:rPr>
          <w:rStyle w:val="58"/>
          <w:rFonts w:hint="eastAsia"/>
          <w:szCs w:val="22"/>
        </w:rPr>
        <w:t>技术入围投标人不足三家时，本次按废标处理，招标人有权根据招标采购管理流程重新组织招标。</w:t>
      </w:r>
    </w:p>
    <w:p>
      <w:pPr>
        <w:spacing w:line="400" w:lineRule="exact"/>
        <w:ind w:firstLine="420" w:firstLineChars="200"/>
        <w:rPr>
          <w:rStyle w:val="58"/>
          <w:szCs w:val="22"/>
        </w:rPr>
      </w:pPr>
      <w:r>
        <w:rPr>
          <w:rStyle w:val="58"/>
          <w:rFonts w:hint="eastAsia"/>
          <w:szCs w:val="22"/>
        </w:rPr>
        <w:t>2.技术标完成后须统一入围供方技术标准水平、明确重要技术参数、同水平品牌（不得指定）。如因变更、完善技术配置，需更改商务报价，技术标专家组同入围供方统一确定商务标开标时间。</w:t>
      </w:r>
    </w:p>
    <w:p>
      <w:pPr>
        <w:spacing w:line="400" w:lineRule="exact"/>
        <w:ind w:firstLine="422" w:firstLineChars="200"/>
        <w:rPr>
          <w:b/>
          <w:bCs/>
        </w:rPr>
      </w:pPr>
      <w:r>
        <w:rPr>
          <w:rFonts w:hint="eastAsia"/>
          <w:b/>
          <w:bCs/>
        </w:rPr>
        <w:t>3</w:t>
      </w:r>
      <w:r>
        <w:rPr>
          <w:b/>
          <w:bCs/>
        </w:rPr>
        <w:t>.</w:t>
      </w:r>
      <w:r>
        <w:rPr>
          <w:rFonts w:hint="eastAsia"/>
          <w:b/>
          <w:bCs/>
        </w:rPr>
        <w:t>商务标专家组与技术入围的有效投标人在其开标报价及清标修正总价的基础上进行两级谈判，招标人有权根据项目特点及投标人报价情况每级开展多轮竞价，最终确定推荐中标人。原则上按照最终综合得分最高确定推荐中标人，但是明显低于成本的除外。</w:t>
      </w:r>
    </w:p>
    <w:p>
      <w:pPr>
        <w:spacing w:line="400" w:lineRule="exact"/>
        <w:ind w:firstLine="422" w:firstLineChars="200"/>
        <w:rPr>
          <w:b/>
          <w:bCs/>
        </w:rPr>
      </w:pPr>
      <w:r>
        <w:rPr>
          <w:rFonts w:hint="eastAsia"/>
          <w:b/>
          <w:bCs/>
        </w:rPr>
        <w:t>4.投标人开标清标修正后的已标价工程量清单随开标后第一轮报价上传到e采通附件中，并与开标后第一轮报价金额一致，后续报价只上传每轮报价总金额。合同清单部分的价格结算时按照承包人开标修正后的已标价工程量清单价格乘下浮系数（商务标最后一轮澄清含税总报价/开标清标修正后的含税总报价）执行，单独澄清的清单项除外。</w:t>
      </w:r>
    </w:p>
    <w:p>
      <w:pPr>
        <w:pStyle w:val="7"/>
        <w:spacing w:before="0" w:after="0"/>
        <w:jc w:val="center"/>
        <w:rPr>
          <w:sz w:val="30"/>
          <w:szCs w:val="30"/>
        </w:rPr>
      </w:pPr>
      <w:bookmarkStart w:id="60" w:name="_Toc220505566"/>
      <w:r>
        <w:rPr>
          <w:sz w:val="30"/>
          <w:szCs w:val="30"/>
        </w:rPr>
        <w:t>6. 评标</w:t>
      </w:r>
      <w:bookmarkEnd w:id="56"/>
      <w:bookmarkEnd w:id="57"/>
      <w:bookmarkEnd w:id="58"/>
      <w:bookmarkEnd w:id="60"/>
    </w:p>
    <w:p>
      <w:pPr>
        <w:pStyle w:val="62"/>
        <w:spacing w:before="0" w:after="0"/>
        <w:rPr>
          <w:rStyle w:val="58"/>
          <w:rFonts w:ascii="宋体" w:hAnsi="宋体"/>
          <w:sz w:val="24"/>
        </w:rPr>
      </w:pPr>
      <w:r>
        <w:rPr>
          <w:rStyle w:val="58"/>
          <w:rFonts w:ascii="宋体" w:hAnsi="宋体"/>
          <w:sz w:val="24"/>
        </w:rPr>
        <w:t>6.1 评标委员会</w:t>
      </w:r>
    </w:p>
    <w:p>
      <w:pPr>
        <w:spacing w:line="360" w:lineRule="auto"/>
        <w:ind w:firstLine="420" w:firstLineChars="200"/>
        <w:rPr>
          <w:rStyle w:val="58"/>
          <w:rFonts w:ascii="宋体" w:hAnsi="宋体"/>
        </w:rPr>
      </w:pPr>
      <w:r>
        <w:rPr>
          <w:rStyle w:val="58"/>
          <w:rFonts w:ascii="宋体" w:hAnsi="宋体"/>
        </w:rPr>
        <w:t>6.1.1 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pPr>
        <w:spacing w:line="360" w:lineRule="auto"/>
        <w:ind w:firstLine="420" w:firstLineChars="200"/>
        <w:rPr>
          <w:rStyle w:val="58"/>
          <w:rFonts w:ascii="宋体" w:hAnsi="宋体"/>
        </w:rPr>
      </w:pPr>
      <w:r>
        <w:rPr>
          <w:rStyle w:val="58"/>
          <w:rFonts w:ascii="宋体" w:hAnsi="宋体"/>
        </w:rPr>
        <w:t>6.1.2 评标委员会成员有下列情形之一的，应当回避：</w:t>
      </w:r>
    </w:p>
    <w:p>
      <w:pPr>
        <w:spacing w:line="360" w:lineRule="auto"/>
        <w:ind w:firstLine="718" w:firstLineChars="342"/>
        <w:rPr>
          <w:rStyle w:val="58"/>
          <w:rFonts w:ascii="宋体" w:hAnsi="宋体"/>
        </w:rPr>
      </w:pPr>
      <w:r>
        <w:rPr>
          <w:rStyle w:val="58"/>
          <w:rFonts w:ascii="宋体" w:hAnsi="宋体"/>
        </w:rPr>
        <w:t>（1）招标人或投标人的主要负责人的近亲属；</w:t>
      </w:r>
    </w:p>
    <w:p>
      <w:pPr>
        <w:spacing w:line="360" w:lineRule="auto"/>
        <w:ind w:firstLine="718" w:firstLineChars="342"/>
        <w:rPr>
          <w:rStyle w:val="58"/>
          <w:rFonts w:ascii="宋体" w:hAnsi="宋体"/>
        </w:rPr>
      </w:pPr>
      <w:r>
        <w:rPr>
          <w:rStyle w:val="58"/>
          <w:rFonts w:ascii="宋体" w:hAnsi="宋体"/>
        </w:rPr>
        <w:t>（2）项目主管部门或者行政监督部门的人员；</w:t>
      </w:r>
    </w:p>
    <w:p>
      <w:pPr>
        <w:spacing w:line="360" w:lineRule="auto"/>
        <w:ind w:firstLine="718" w:firstLineChars="342"/>
        <w:rPr>
          <w:rStyle w:val="58"/>
          <w:rFonts w:ascii="宋体" w:hAnsi="宋体"/>
        </w:rPr>
      </w:pPr>
      <w:r>
        <w:rPr>
          <w:rStyle w:val="58"/>
          <w:rFonts w:ascii="宋体" w:hAnsi="宋体"/>
        </w:rPr>
        <w:t>（3）与投标人有经济利益关系，可能影响对投标公正评审的；</w:t>
      </w:r>
    </w:p>
    <w:p>
      <w:pPr>
        <w:spacing w:line="360" w:lineRule="auto"/>
        <w:ind w:firstLine="718" w:firstLineChars="342"/>
        <w:rPr>
          <w:rStyle w:val="58"/>
          <w:rFonts w:ascii="宋体" w:hAnsi="宋体"/>
        </w:rPr>
      </w:pPr>
      <w:r>
        <w:rPr>
          <w:rStyle w:val="58"/>
          <w:rFonts w:ascii="宋体" w:hAnsi="宋体"/>
        </w:rPr>
        <w:t>（4）曾因在招标、评标及其他与招标投标有关活动中从事违法行为而受过行政处罚或刑事处罚的。</w:t>
      </w:r>
    </w:p>
    <w:p>
      <w:pPr>
        <w:pStyle w:val="62"/>
        <w:spacing w:before="0" w:after="0"/>
        <w:rPr>
          <w:rStyle w:val="58"/>
          <w:rFonts w:ascii="宋体" w:hAnsi="宋体"/>
        </w:rPr>
      </w:pPr>
      <w:r>
        <w:rPr>
          <w:rStyle w:val="58"/>
          <w:rFonts w:ascii="宋体" w:hAnsi="宋体"/>
          <w:sz w:val="24"/>
        </w:rPr>
        <w:t>6.2 评标原则</w:t>
      </w:r>
      <w:r>
        <w:rPr>
          <w:rStyle w:val="58"/>
          <w:rFonts w:ascii="宋体" w:hAnsi="宋体"/>
        </w:rPr>
        <w:tab/>
      </w:r>
    </w:p>
    <w:p>
      <w:pPr>
        <w:spacing w:line="360" w:lineRule="auto"/>
        <w:ind w:firstLine="420" w:firstLineChars="200"/>
        <w:rPr>
          <w:rStyle w:val="58"/>
          <w:rFonts w:ascii="宋体" w:hAnsi="宋体"/>
        </w:rPr>
      </w:pPr>
      <w:r>
        <w:rPr>
          <w:rStyle w:val="58"/>
          <w:rFonts w:ascii="宋体" w:hAnsi="宋体"/>
        </w:rPr>
        <w:t>评标活动遵循公平、公正、科学和择优的原则。</w:t>
      </w:r>
    </w:p>
    <w:p>
      <w:pPr>
        <w:pStyle w:val="62"/>
        <w:spacing w:before="0" w:after="0"/>
        <w:rPr>
          <w:rStyle w:val="58"/>
          <w:rFonts w:ascii="宋体" w:hAnsi="宋体"/>
          <w:sz w:val="24"/>
        </w:rPr>
      </w:pPr>
      <w:r>
        <w:rPr>
          <w:rStyle w:val="58"/>
          <w:rFonts w:ascii="宋体" w:hAnsi="宋体"/>
          <w:sz w:val="24"/>
        </w:rPr>
        <w:t>6.3 评标</w:t>
      </w:r>
    </w:p>
    <w:p>
      <w:pPr>
        <w:spacing w:line="360" w:lineRule="auto"/>
        <w:ind w:firstLine="420" w:firstLineChars="200"/>
        <w:rPr>
          <w:rStyle w:val="58"/>
          <w:rFonts w:ascii="宋体" w:hAnsi="宋体"/>
        </w:rPr>
      </w:pPr>
      <w:r>
        <w:rPr>
          <w:rStyle w:val="58"/>
          <w:rFonts w:ascii="宋体" w:hAnsi="宋体"/>
        </w:rPr>
        <w:t>评标委员会按照第三章“评标办法”规定的方法、评审因素、标准和程序对投标文件进行评审。第三章“评标办法”没有规定的方法、评审因素和标准，不作为评标依据。</w:t>
      </w:r>
    </w:p>
    <w:p>
      <w:pPr>
        <w:pStyle w:val="7"/>
        <w:spacing w:before="0" w:after="0"/>
        <w:jc w:val="center"/>
        <w:rPr>
          <w:sz w:val="30"/>
          <w:szCs w:val="30"/>
        </w:rPr>
      </w:pPr>
      <w:bookmarkStart w:id="61" w:name="_Toc220505567"/>
      <w:bookmarkStart w:id="62" w:name="_Toc17817329"/>
      <w:bookmarkStart w:id="63" w:name="_Toc31317"/>
      <w:bookmarkStart w:id="64" w:name="_Toc16063899"/>
      <w:r>
        <w:rPr>
          <w:sz w:val="30"/>
          <w:szCs w:val="30"/>
        </w:rPr>
        <w:t>7. 合同授予</w:t>
      </w:r>
      <w:bookmarkEnd w:id="61"/>
      <w:bookmarkEnd w:id="62"/>
      <w:bookmarkEnd w:id="63"/>
      <w:bookmarkEnd w:id="64"/>
    </w:p>
    <w:p>
      <w:pPr>
        <w:pStyle w:val="62"/>
        <w:spacing w:before="0" w:after="0"/>
        <w:rPr>
          <w:rStyle w:val="58"/>
          <w:rFonts w:ascii="宋体" w:hAnsi="宋体"/>
          <w:sz w:val="24"/>
        </w:rPr>
      </w:pPr>
      <w:r>
        <w:rPr>
          <w:rStyle w:val="58"/>
          <w:rFonts w:ascii="宋体" w:hAnsi="宋体"/>
          <w:sz w:val="24"/>
        </w:rPr>
        <w:t>7.1 定标方式</w:t>
      </w:r>
    </w:p>
    <w:p>
      <w:pPr>
        <w:spacing w:line="360" w:lineRule="auto"/>
        <w:ind w:firstLine="420" w:firstLineChars="200"/>
        <w:rPr>
          <w:rFonts w:ascii="宋体" w:hAnsi="宋体"/>
        </w:rPr>
      </w:pPr>
      <w:r>
        <w:rPr>
          <w:rFonts w:hint="eastAsia" w:ascii="宋体" w:hAnsi="宋体"/>
        </w:rPr>
        <w:t>除投标人须知前附表规定评标委员会直接确定中标人外，招标人依据评标委员会提供的评标资料择优确定中标人，评标委员会推荐中标候选人的人数见投标人须知前附表。</w:t>
      </w:r>
    </w:p>
    <w:p>
      <w:pPr>
        <w:pStyle w:val="62"/>
        <w:spacing w:before="0" w:after="0"/>
        <w:rPr>
          <w:rStyle w:val="58"/>
          <w:rFonts w:ascii="宋体" w:hAnsi="宋体"/>
          <w:sz w:val="24"/>
        </w:rPr>
      </w:pPr>
      <w:r>
        <w:rPr>
          <w:rStyle w:val="58"/>
          <w:rFonts w:ascii="宋体" w:hAnsi="宋体"/>
          <w:sz w:val="24"/>
        </w:rPr>
        <w:t>7.2 中标通知</w:t>
      </w:r>
    </w:p>
    <w:p>
      <w:pPr>
        <w:spacing w:line="360" w:lineRule="auto"/>
        <w:ind w:firstLine="420" w:firstLineChars="200"/>
        <w:rPr>
          <w:rStyle w:val="58"/>
          <w:rFonts w:ascii="宋体" w:hAnsi="宋体"/>
        </w:rPr>
      </w:pPr>
      <w:r>
        <w:rPr>
          <w:rStyle w:val="58"/>
          <w:rFonts w:ascii="宋体" w:hAnsi="宋体"/>
        </w:rPr>
        <w:t>在本章</w:t>
      </w:r>
      <w:r>
        <w:rPr>
          <w:rStyle w:val="45"/>
          <w:rFonts w:ascii="宋体" w:hAnsi="宋体"/>
          <w:color w:val="auto"/>
          <w:sz w:val="21"/>
        </w:rPr>
        <w:t>第3.3款</w:t>
      </w:r>
      <w:r>
        <w:rPr>
          <w:rStyle w:val="58"/>
          <w:rFonts w:ascii="宋体" w:hAnsi="宋体"/>
        </w:rPr>
        <w:t>规定的投标有效期内，招标人以书面形式向中标人发出中标通知书，同时将中标结果通知未中标的投标人。</w:t>
      </w:r>
      <w:r>
        <w:rPr>
          <w:rStyle w:val="58"/>
          <w:rFonts w:hint="eastAsia" w:ascii="宋体" w:hAnsi="宋体"/>
          <w:b/>
          <w:bCs/>
        </w:rPr>
        <w:t>中标通知包括但不限于电话、微信、邮件、书面通知等形式，中标人应在收到中标通知后立即对接进场事宜，不得以未收到纸质中标通知书做为延期的条件拒绝招标人的进场要求。</w:t>
      </w:r>
    </w:p>
    <w:p>
      <w:pPr>
        <w:pStyle w:val="62"/>
        <w:spacing w:before="0" w:after="0"/>
        <w:rPr>
          <w:rStyle w:val="58"/>
          <w:rFonts w:ascii="宋体" w:hAnsi="宋体"/>
          <w:sz w:val="24"/>
        </w:rPr>
      </w:pPr>
      <w:r>
        <w:rPr>
          <w:rStyle w:val="58"/>
          <w:rFonts w:ascii="宋体" w:hAnsi="宋体"/>
          <w:sz w:val="24"/>
        </w:rPr>
        <w:t>7.3 签订合同</w:t>
      </w:r>
    </w:p>
    <w:p>
      <w:pPr>
        <w:spacing w:line="360" w:lineRule="auto"/>
        <w:ind w:firstLine="420" w:firstLineChars="200"/>
        <w:rPr>
          <w:rStyle w:val="58"/>
          <w:rFonts w:ascii="宋体" w:hAnsi="宋体"/>
        </w:rPr>
      </w:pPr>
      <w:r>
        <w:rPr>
          <w:rStyle w:val="58"/>
          <w:rFonts w:ascii="宋体" w:hAnsi="宋体"/>
        </w:rPr>
        <w:t xml:space="preserve">7.3.1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pPr>
        <w:spacing w:line="360" w:lineRule="auto"/>
        <w:ind w:firstLine="420" w:firstLineChars="200"/>
        <w:rPr>
          <w:rStyle w:val="58"/>
          <w:rFonts w:ascii="宋体" w:hAnsi="宋体"/>
        </w:rPr>
      </w:pPr>
      <w:r>
        <w:rPr>
          <w:rStyle w:val="58"/>
          <w:rFonts w:ascii="宋体" w:hAnsi="宋体"/>
        </w:rPr>
        <w:t xml:space="preserve">7.3.2发出中标通知书后，招标人无正当理由拒签合同的，招标人向中标人退还投标保证金；给中标人造成损失的，还应当赔偿损失。 </w:t>
      </w:r>
    </w:p>
    <w:p>
      <w:pPr>
        <w:pStyle w:val="7"/>
        <w:spacing w:before="0" w:after="0"/>
        <w:jc w:val="center"/>
        <w:rPr>
          <w:sz w:val="30"/>
          <w:szCs w:val="30"/>
        </w:rPr>
      </w:pPr>
      <w:bookmarkStart w:id="65" w:name="_Toc220505568"/>
      <w:bookmarkStart w:id="66" w:name="_Toc19379"/>
      <w:bookmarkStart w:id="67" w:name="_Toc17817330"/>
      <w:bookmarkStart w:id="68" w:name="_Toc16063900"/>
      <w:r>
        <w:rPr>
          <w:sz w:val="30"/>
          <w:szCs w:val="30"/>
        </w:rPr>
        <w:t>8. 重新招标和不再招标</w:t>
      </w:r>
      <w:bookmarkEnd w:id="65"/>
      <w:bookmarkEnd w:id="66"/>
      <w:bookmarkEnd w:id="67"/>
      <w:bookmarkEnd w:id="68"/>
    </w:p>
    <w:p>
      <w:pPr>
        <w:pStyle w:val="62"/>
        <w:spacing w:before="0" w:after="0"/>
        <w:rPr>
          <w:rStyle w:val="58"/>
          <w:rFonts w:ascii="宋体" w:hAnsi="宋体"/>
          <w:sz w:val="24"/>
        </w:rPr>
      </w:pPr>
      <w:r>
        <w:rPr>
          <w:rStyle w:val="58"/>
          <w:rFonts w:ascii="宋体" w:hAnsi="宋体"/>
          <w:sz w:val="24"/>
        </w:rPr>
        <w:t>8.1 重新招标</w:t>
      </w:r>
    </w:p>
    <w:p>
      <w:pPr>
        <w:spacing w:line="360" w:lineRule="auto"/>
        <w:ind w:firstLine="420" w:firstLineChars="200"/>
        <w:rPr>
          <w:rStyle w:val="58"/>
          <w:rFonts w:ascii="宋体" w:hAnsi="宋体"/>
        </w:rPr>
      </w:pPr>
      <w:r>
        <w:rPr>
          <w:rStyle w:val="58"/>
          <w:rFonts w:ascii="宋体" w:hAnsi="宋体"/>
        </w:rPr>
        <w:t>有下列情形之一的，招标人将重新招标：</w:t>
      </w:r>
    </w:p>
    <w:p>
      <w:pPr>
        <w:spacing w:line="360" w:lineRule="auto"/>
        <w:ind w:firstLine="359" w:firstLineChars="171"/>
        <w:rPr>
          <w:rStyle w:val="58"/>
          <w:rFonts w:ascii="宋体" w:hAnsi="宋体"/>
        </w:rPr>
      </w:pPr>
      <w:r>
        <w:rPr>
          <w:rStyle w:val="58"/>
          <w:rFonts w:ascii="宋体" w:hAnsi="宋体"/>
        </w:rPr>
        <w:t>（1）投标截止时间止，投标人少于3个的；</w:t>
      </w:r>
    </w:p>
    <w:p>
      <w:pPr>
        <w:spacing w:line="360" w:lineRule="auto"/>
        <w:ind w:firstLine="359" w:firstLineChars="171"/>
        <w:rPr>
          <w:rStyle w:val="58"/>
          <w:rFonts w:ascii="宋体" w:hAnsi="宋体"/>
        </w:rPr>
      </w:pPr>
      <w:r>
        <w:rPr>
          <w:rStyle w:val="58"/>
          <w:rFonts w:ascii="宋体" w:hAnsi="宋体"/>
        </w:rPr>
        <w:t>（2）经评标委员会评审后否决所有投标的。</w:t>
      </w:r>
    </w:p>
    <w:p>
      <w:pPr>
        <w:pStyle w:val="62"/>
        <w:spacing w:before="0" w:after="0"/>
        <w:rPr>
          <w:rStyle w:val="58"/>
          <w:rFonts w:ascii="宋体" w:hAnsi="宋体"/>
          <w:sz w:val="24"/>
        </w:rPr>
      </w:pPr>
      <w:r>
        <w:rPr>
          <w:rStyle w:val="58"/>
          <w:rFonts w:ascii="宋体" w:hAnsi="宋体"/>
          <w:sz w:val="24"/>
        </w:rPr>
        <w:t>8.2 不再招标</w:t>
      </w:r>
    </w:p>
    <w:p>
      <w:pPr>
        <w:spacing w:line="360" w:lineRule="auto"/>
        <w:ind w:firstLine="420" w:firstLineChars="200"/>
        <w:rPr>
          <w:rStyle w:val="58"/>
          <w:rFonts w:ascii="宋体" w:hAnsi="宋体"/>
        </w:rPr>
      </w:pPr>
      <w:r>
        <w:rPr>
          <w:rStyle w:val="58"/>
          <w:rFonts w:ascii="宋体" w:hAnsi="宋体"/>
        </w:rPr>
        <w:t>重新招标后投标人仍少于3个或者所有投标被否决的，属于必须审批或核准的工程建设项目，经原审批或核准部门批准后不再进行招标。</w:t>
      </w:r>
    </w:p>
    <w:p>
      <w:pPr>
        <w:pStyle w:val="7"/>
        <w:spacing w:before="0" w:after="0"/>
        <w:jc w:val="center"/>
        <w:rPr>
          <w:sz w:val="30"/>
          <w:szCs w:val="30"/>
        </w:rPr>
      </w:pPr>
      <w:bookmarkStart w:id="69" w:name="_Toc17817331"/>
      <w:bookmarkStart w:id="70" w:name="_Toc16063901"/>
      <w:bookmarkStart w:id="71" w:name="_Toc21395"/>
      <w:bookmarkStart w:id="72" w:name="_Toc220505569"/>
      <w:r>
        <w:rPr>
          <w:sz w:val="30"/>
          <w:szCs w:val="30"/>
        </w:rPr>
        <w:t>9. 纪律和监督</w:t>
      </w:r>
      <w:bookmarkEnd w:id="69"/>
      <w:bookmarkEnd w:id="70"/>
      <w:bookmarkEnd w:id="71"/>
      <w:bookmarkEnd w:id="72"/>
    </w:p>
    <w:p>
      <w:pPr>
        <w:pStyle w:val="62"/>
        <w:spacing w:before="0" w:after="0"/>
        <w:rPr>
          <w:rStyle w:val="58"/>
          <w:rFonts w:ascii="宋体" w:hAnsi="宋体"/>
          <w:sz w:val="24"/>
        </w:rPr>
      </w:pPr>
      <w:r>
        <w:rPr>
          <w:rStyle w:val="58"/>
          <w:rFonts w:ascii="宋体" w:hAnsi="宋体"/>
          <w:sz w:val="24"/>
        </w:rPr>
        <w:t>9.1 对招标人的纪律要求</w:t>
      </w:r>
    </w:p>
    <w:p>
      <w:pPr>
        <w:spacing w:line="360" w:lineRule="auto"/>
        <w:ind w:firstLine="420" w:firstLineChars="200"/>
        <w:rPr>
          <w:rStyle w:val="58"/>
          <w:rFonts w:ascii="宋体" w:hAnsi="宋体"/>
        </w:rPr>
      </w:pPr>
      <w:r>
        <w:rPr>
          <w:rStyle w:val="58"/>
          <w:rFonts w:ascii="宋体" w:hAnsi="宋体"/>
        </w:rPr>
        <w:t>招标人不得泄漏招标投标活动中应当保密的情况和资料，不得与投标人串通损害国家利益、社会公共利益或者他人合法权益。</w:t>
      </w:r>
    </w:p>
    <w:p>
      <w:pPr>
        <w:pStyle w:val="62"/>
        <w:spacing w:before="0" w:after="0"/>
        <w:rPr>
          <w:rStyle w:val="58"/>
          <w:rFonts w:ascii="宋体" w:hAnsi="宋体"/>
          <w:sz w:val="24"/>
        </w:rPr>
      </w:pPr>
      <w:r>
        <w:rPr>
          <w:rStyle w:val="58"/>
          <w:rFonts w:ascii="宋体" w:hAnsi="宋体"/>
          <w:sz w:val="24"/>
        </w:rPr>
        <w:t>9.2 对投标人的纪律要求</w:t>
      </w:r>
    </w:p>
    <w:p>
      <w:pPr>
        <w:spacing w:line="360" w:lineRule="auto"/>
        <w:ind w:firstLine="420" w:firstLineChars="200"/>
        <w:rPr>
          <w:rStyle w:val="58"/>
          <w:rFonts w:ascii="宋体" w:hAnsi="宋体"/>
        </w:rPr>
      </w:pPr>
      <w:r>
        <w:rPr>
          <w:rStyle w:val="58"/>
          <w:rFonts w:ascii="宋体" w:hAnsi="宋体"/>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62"/>
        <w:spacing w:before="0" w:after="0"/>
        <w:rPr>
          <w:rStyle w:val="58"/>
          <w:rFonts w:ascii="宋体" w:hAnsi="宋体"/>
          <w:sz w:val="24"/>
        </w:rPr>
      </w:pPr>
      <w:r>
        <w:rPr>
          <w:rStyle w:val="58"/>
          <w:rFonts w:ascii="宋体" w:hAnsi="宋体"/>
          <w:sz w:val="24"/>
        </w:rPr>
        <w:t>9.3 对评标委员会成员的纪律要求</w:t>
      </w:r>
    </w:p>
    <w:p>
      <w:pPr>
        <w:spacing w:line="360" w:lineRule="auto"/>
        <w:ind w:firstLine="420" w:firstLineChars="200"/>
        <w:rPr>
          <w:rStyle w:val="58"/>
          <w:rFonts w:ascii="宋体" w:hAnsi="宋体"/>
        </w:rPr>
      </w:pPr>
      <w:r>
        <w:rPr>
          <w:rStyle w:val="58"/>
          <w:rFonts w:ascii="宋体" w:hAnsi="宋体"/>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pPr>
        <w:pStyle w:val="62"/>
        <w:spacing w:before="0" w:after="0"/>
        <w:rPr>
          <w:rStyle w:val="58"/>
          <w:rFonts w:ascii="宋体" w:hAnsi="宋体"/>
          <w:sz w:val="24"/>
        </w:rPr>
      </w:pPr>
      <w:r>
        <w:rPr>
          <w:rStyle w:val="58"/>
          <w:rFonts w:ascii="宋体" w:hAnsi="宋体"/>
          <w:sz w:val="24"/>
        </w:rPr>
        <w:t>9.4 对与评标活动有关的工作人员的纪律要求</w:t>
      </w:r>
    </w:p>
    <w:p>
      <w:pPr>
        <w:spacing w:line="360" w:lineRule="auto"/>
        <w:ind w:firstLine="420" w:firstLineChars="200"/>
        <w:rPr>
          <w:rStyle w:val="58"/>
          <w:rFonts w:ascii="宋体" w:hAnsi="宋体"/>
        </w:rPr>
      </w:pPr>
      <w:r>
        <w:rPr>
          <w:rStyle w:val="58"/>
          <w:rFonts w:ascii="宋体" w:hAnsi="宋体"/>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pPr>
        <w:pStyle w:val="62"/>
        <w:spacing w:before="0" w:after="0"/>
        <w:rPr>
          <w:rStyle w:val="58"/>
          <w:rFonts w:ascii="宋体" w:hAnsi="宋体"/>
          <w:sz w:val="24"/>
        </w:rPr>
      </w:pPr>
      <w:r>
        <w:rPr>
          <w:rStyle w:val="58"/>
          <w:rFonts w:ascii="宋体" w:hAnsi="宋体"/>
          <w:sz w:val="24"/>
        </w:rPr>
        <w:t>9.5 投诉</w:t>
      </w:r>
    </w:p>
    <w:p>
      <w:pPr>
        <w:spacing w:line="360" w:lineRule="auto"/>
        <w:ind w:firstLine="420" w:firstLineChars="200"/>
        <w:rPr>
          <w:rStyle w:val="58"/>
          <w:rFonts w:ascii="宋体" w:hAnsi="宋体"/>
        </w:rPr>
      </w:pPr>
      <w:r>
        <w:rPr>
          <w:rStyle w:val="58"/>
          <w:rFonts w:ascii="宋体" w:hAnsi="宋体"/>
        </w:rPr>
        <w:t>投标人和其他利害关系人认为本次招标活动违反法律、法规和规章规定的，有权向有关行政监督部门投诉。</w:t>
      </w:r>
    </w:p>
    <w:p>
      <w:pPr>
        <w:spacing w:line="360" w:lineRule="auto"/>
        <w:ind w:firstLine="420" w:firstLineChars="200"/>
        <w:rPr>
          <w:rStyle w:val="58"/>
          <w:rFonts w:ascii="宋体" w:hAnsi="宋体"/>
        </w:rPr>
      </w:pPr>
      <w:r>
        <w:rPr>
          <w:rStyle w:val="58"/>
          <w:rFonts w:ascii="宋体" w:hAnsi="宋体"/>
        </w:rPr>
        <w:t>9.5.1潜在投标人或其他利害关系人对招标文件有异议的，应当在投标截止时间10日前向招标人提出。</w:t>
      </w:r>
    </w:p>
    <w:p>
      <w:pPr>
        <w:spacing w:line="360" w:lineRule="auto"/>
        <w:ind w:firstLine="420" w:firstLineChars="200"/>
        <w:rPr>
          <w:rStyle w:val="58"/>
          <w:rFonts w:ascii="宋体" w:hAnsi="宋体"/>
        </w:rPr>
      </w:pPr>
      <w:r>
        <w:rPr>
          <w:rStyle w:val="58"/>
          <w:rFonts w:ascii="宋体" w:hAnsi="宋体"/>
        </w:rPr>
        <w:t>9.5.2投标人对开标有异议，应在开标现场向招标人提出。</w:t>
      </w:r>
    </w:p>
    <w:p>
      <w:pPr>
        <w:spacing w:line="360" w:lineRule="auto"/>
        <w:ind w:firstLine="420" w:firstLineChars="200"/>
        <w:rPr>
          <w:rStyle w:val="58"/>
          <w:rFonts w:ascii="宋体" w:hAnsi="宋体"/>
        </w:rPr>
      </w:pPr>
      <w:r>
        <w:rPr>
          <w:rStyle w:val="58"/>
          <w:rFonts w:ascii="宋体" w:hAnsi="宋体"/>
        </w:rPr>
        <w:t>9.5.3投标人或者其他利害关系人对依法必须进行招标的项目的评标结果有异议的，应当在中标候选人公示期间向招标人提出。</w:t>
      </w:r>
    </w:p>
    <w:p>
      <w:pPr>
        <w:spacing w:line="360" w:lineRule="auto"/>
        <w:ind w:firstLine="420" w:firstLineChars="200"/>
        <w:rPr>
          <w:rStyle w:val="58"/>
          <w:rFonts w:ascii="宋体" w:hAnsi="宋体"/>
        </w:rPr>
      </w:pPr>
      <w:r>
        <w:rPr>
          <w:rStyle w:val="58"/>
          <w:rFonts w:ascii="宋体" w:hAnsi="宋体"/>
        </w:rPr>
        <w:t>投标人或者其他利害关系人认为招标投标活动不符合法律、行政法规规定的，可以自知道或者应当知道之日起10日内向有关行政监督部门投诉。投诉应当有明确的请求和必要的证明材料。就9.5.1、9.5.2、9.5.3规定事项投诉的，应当先向招标人提出异议。</w:t>
      </w:r>
    </w:p>
    <w:p>
      <w:pPr>
        <w:pStyle w:val="7"/>
        <w:spacing w:before="0" w:after="0"/>
        <w:jc w:val="center"/>
        <w:rPr>
          <w:sz w:val="30"/>
          <w:szCs w:val="30"/>
        </w:rPr>
      </w:pPr>
      <w:bookmarkStart w:id="73" w:name="_Toc220505570"/>
      <w:bookmarkStart w:id="74" w:name="_Toc44666935"/>
      <w:bookmarkStart w:id="75" w:name="_Toc11499"/>
      <w:bookmarkStart w:id="76" w:name="_Toc17817332"/>
      <w:bookmarkStart w:id="77" w:name="_Toc16063902"/>
      <w:r>
        <w:rPr>
          <w:rFonts w:hint="eastAsia"/>
          <w:sz w:val="30"/>
          <w:szCs w:val="30"/>
        </w:rPr>
        <w:t>1</w:t>
      </w:r>
      <w:r>
        <w:rPr>
          <w:sz w:val="30"/>
          <w:szCs w:val="30"/>
        </w:rPr>
        <w:t>0.</w:t>
      </w:r>
      <w:r>
        <w:rPr>
          <w:rFonts w:hint="eastAsia"/>
          <w:sz w:val="30"/>
          <w:szCs w:val="30"/>
        </w:rPr>
        <w:t>中标人瑕疵滞后发现的处理原则</w:t>
      </w:r>
      <w:bookmarkEnd w:id="73"/>
      <w:bookmarkEnd w:id="74"/>
    </w:p>
    <w:p>
      <w:pPr>
        <w:pStyle w:val="19"/>
        <w:spacing w:line="360" w:lineRule="auto"/>
        <w:ind w:firstLine="420" w:firstLineChars="200"/>
        <w:jc w:val="left"/>
        <w:rPr>
          <w:rStyle w:val="58"/>
          <w:rFonts w:ascii="宋体" w:hAnsi="宋体" w:eastAsia="宋体"/>
          <w:sz w:val="21"/>
          <w:szCs w:val="24"/>
        </w:rPr>
      </w:pPr>
      <w:r>
        <w:rPr>
          <w:rStyle w:val="58"/>
          <w:rFonts w:hint="eastAsia" w:ascii="宋体" w:hAnsi="宋体" w:eastAsia="宋体"/>
          <w:sz w:val="21"/>
          <w:szCs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pPr>
        <w:pStyle w:val="7"/>
        <w:spacing w:before="0" w:after="0"/>
        <w:jc w:val="center"/>
        <w:rPr>
          <w:sz w:val="30"/>
          <w:szCs w:val="30"/>
        </w:rPr>
      </w:pPr>
      <w:bookmarkStart w:id="78" w:name="_Toc220505571"/>
      <w:r>
        <w:rPr>
          <w:sz w:val="30"/>
          <w:szCs w:val="30"/>
        </w:rPr>
        <w:t>1</w:t>
      </w:r>
      <w:r>
        <w:rPr>
          <w:rFonts w:hint="eastAsia"/>
          <w:sz w:val="30"/>
          <w:szCs w:val="30"/>
        </w:rPr>
        <w:t>1</w:t>
      </w:r>
      <w:r>
        <w:rPr>
          <w:sz w:val="30"/>
          <w:szCs w:val="30"/>
        </w:rPr>
        <w:t>. 需要补充的其他内容</w:t>
      </w:r>
      <w:bookmarkEnd w:id="75"/>
      <w:bookmarkEnd w:id="76"/>
      <w:bookmarkEnd w:id="77"/>
      <w:bookmarkEnd w:id="78"/>
    </w:p>
    <w:p>
      <w:pPr>
        <w:spacing w:line="360" w:lineRule="auto"/>
        <w:ind w:firstLine="420" w:firstLineChars="200"/>
        <w:rPr>
          <w:rStyle w:val="58"/>
          <w:rFonts w:ascii="宋体" w:hAnsi="宋体"/>
          <w:i/>
          <w:iCs/>
        </w:rPr>
      </w:pPr>
      <w:r>
        <w:rPr>
          <w:rStyle w:val="58"/>
          <w:rFonts w:ascii="宋体" w:hAnsi="宋体"/>
        </w:rPr>
        <w:t>需要补充的其他内容：见投标人须知前附表。</w:t>
      </w:r>
      <w:r>
        <w:rPr>
          <w:rStyle w:val="58"/>
          <w:rFonts w:ascii="宋体" w:hAnsi="宋体"/>
        </w:rPr>
        <w:br w:type="page"/>
      </w:r>
    </w:p>
    <w:p>
      <w:pPr>
        <w:pStyle w:val="6"/>
        <w:jc w:val="center"/>
        <w:rPr>
          <w:i w:val="0"/>
          <w:iCs w:val="0"/>
          <w:sz w:val="32"/>
          <w:szCs w:val="32"/>
        </w:rPr>
      </w:pPr>
      <w:bookmarkStart w:id="79" w:name="_Toc220505572"/>
      <w:bookmarkStart w:id="80" w:name="_Toc17817333"/>
      <w:bookmarkStart w:id="81" w:name="_Toc31391"/>
      <w:r>
        <w:rPr>
          <w:i w:val="0"/>
          <w:iCs w:val="0"/>
          <w:sz w:val="32"/>
          <w:szCs w:val="32"/>
        </w:rPr>
        <w:t>第三章 评标办法</w:t>
      </w:r>
      <w:bookmarkEnd w:id="79"/>
      <w:bookmarkEnd w:id="80"/>
      <w:bookmarkEnd w:id="81"/>
    </w:p>
    <w:p>
      <w:pPr>
        <w:pStyle w:val="7"/>
        <w:spacing w:before="0" w:after="0"/>
        <w:jc w:val="center"/>
        <w:rPr>
          <w:sz w:val="30"/>
          <w:szCs w:val="30"/>
        </w:rPr>
      </w:pPr>
      <w:bookmarkStart w:id="82" w:name="_Toc151132049"/>
      <w:bookmarkStart w:id="83" w:name="_Toc220505573"/>
      <w:bookmarkStart w:id="84" w:name="_Hlk161833660"/>
      <w:r>
        <w:rPr>
          <w:rFonts w:hint="eastAsia"/>
          <w:sz w:val="30"/>
          <w:szCs w:val="30"/>
        </w:rPr>
        <w:t>一、评分细则</w:t>
      </w:r>
      <w:bookmarkEnd w:id="82"/>
      <w:bookmarkEnd w:id="83"/>
    </w:p>
    <w:bookmarkEnd w:id="84"/>
    <w:p>
      <w:pPr>
        <w:spacing w:line="360" w:lineRule="auto"/>
        <w:ind w:firstLine="569" w:firstLineChars="236"/>
        <w:rPr>
          <w:rFonts w:ascii="宋体" w:hAnsi="宋体" w:cs="宋体"/>
          <w:b/>
          <w:bCs/>
          <w:sz w:val="24"/>
        </w:rPr>
      </w:pPr>
      <w:r>
        <w:rPr>
          <w:rFonts w:hint="eastAsia" w:ascii="宋体" w:hAnsi="宋体" w:cs="宋体"/>
          <w:b/>
          <w:bCs/>
          <w:sz w:val="24"/>
        </w:rPr>
        <w:t>本次评标采用技术标和商务标同时开标、分阶段评标的模式。</w:t>
      </w:r>
    </w:p>
    <w:p>
      <w:pPr>
        <w:spacing w:line="360" w:lineRule="auto"/>
        <w:ind w:firstLine="569" w:firstLineChars="236"/>
        <w:rPr>
          <w:rFonts w:ascii="宋体" w:hAnsi="宋体" w:cs="宋体"/>
          <w:b/>
          <w:bCs/>
          <w:sz w:val="24"/>
        </w:rPr>
      </w:pPr>
      <w:r>
        <w:rPr>
          <w:rFonts w:hint="eastAsia" w:ascii="宋体" w:hAnsi="宋体" w:cs="宋体"/>
          <w:b/>
          <w:bCs/>
          <w:sz w:val="24"/>
        </w:rPr>
        <w:t>首先进行技术标评审，由评标专家组对所有投标方的技术标部分综合评定和打分，确定进入商务标评比资格的投标方。然后对所有入围商务标的单位进行综合评审，招标人有权根据项目情况，商务标采取多轮报价模式，最终根据综合得分确定各投标人排序，原则上按照综合得分最高分确定推荐中标人，对未中标单位不做任何解释。</w:t>
      </w:r>
    </w:p>
    <w:p>
      <w:pPr>
        <w:spacing w:line="360" w:lineRule="auto"/>
        <w:ind w:firstLine="569" w:firstLineChars="236"/>
        <w:rPr>
          <w:rFonts w:ascii="宋体" w:hAnsi="宋体" w:cs="宋体"/>
          <w:b/>
          <w:bCs/>
          <w:sz w:val="24"/>
        </w:rPr>
      </w:pPr>
      <w:r>
        <w:rPr>
          <w:rFonts w:hint="eastAsia" w:ascii="宋体" w:hAnsi="宋体" w:cs="宋体"/>
          <w:b/>
          <w:bCs/>
          <w:sz w:val="24"/>
        </w:rPr>
        <w:t>根据最终有效综合得分由高到低进行排序，综合得分最高者排名第一，综合得分次高者排名第二，以此类推，综合得分最低者排名最后。最终综合得分第一的推荐为拟中标人，但是报价明显低于成本的除外。</w:t>
      </w:r>
    </w:p>
    <w:p>
      <w:pPr>
        <w:spacing w:line="360" w:lineRule="auto"/>
        <w:ind w:firstLine="569" w:firstLineChars="236"/>
        <w:rPr>
          <w:rFonts w:ascii="宋体" w:hAnsi="宋体" w:cs="宋体"/>
          <w:b/>
          <w:bCs/>
          <w:sz w:val="24"/>
        </w:rPr>
      </w:pPr>
      <w:r>
        <w:rPr>
          <w:rFonts w:hint="eastAsia" w:ascii="宋体" w:hAnsi="宋体" w:cs="宋体"/>
          <w:b/>
          <w:bCs/>
          <w:sz w:val="24"/>
        </w:rPr>
        <w:t>综合得分=技术标得分*0.</w:t>
      </w:r>
      <w:r>
        <w:rPr>
          <w:rFonts w:ascii="宋体" w:hAnsi="宋体" w:cs="宋体"/>
          <w:b/>
          <w:bCs/>
          <w:sz w:val="24"/>
        </w:rPr>
        <w:t>3</w:t>
      </w:r>
      <w:r>
        <w:rPr>
          <w:rFonts w:hint="eastAsia" w:ascii="宋体" w:hAnsi="宋体" w:cs="宋体"/>
          <w:b/>
          <w:bCs/>
          <w:sz w:val="24"/>
        </w:rPr>
        <w:t>+商务标得分*0.</w:t>
      </w:r>
      <w:r>
        <w:rPr>
          <w:rFonts w:ascii="宋体" w:hAnsi="宋体" w:cs="宋体"/>
          <w:b/>
          <w:bCs/>
          <w:sz w:val="24"/>
        </w:rPr>
        <w:t>7</w:t>
      </w:r>
    </w:p>
    <w:p>
      <w:pPr>
        <w:spacing w:line="360" w:lineRule="auto"/>
        <w:ind w:firstLine="566" w:firstLineChars="236"/>
        <w:rPr>
          <w:rFonts w:ascii="宋体" w:cs="宋体"/>
          <w:kern w:val="0"/>
          <w:sz w:val="24"/>
        </w:rPr>
      </w:pPr>
      <w:r>
        <w:rPr>
          <w:rFonts w:hint="eastAsia" w:ascii="宋体" w:hAnsi="宋体" w:cs="宋体"/>
          <w:sz w:val="24"/>
        </w:rPr>
        <w:t>评分细则如下：</w:t>
      </w:r>
    </w:p>
    <w:p>
      <w:pPr>
        <w:pStyle w:val="62"/>
        <w:spacing w:before="0" w:after="0"/>
        <w:jc w:val="center"/>
        <w:rPr>
          <w:rStyle w:val="58"/>
          <w:rFonts w:ascii="宋体" w:hAnsi="宋体"/>
          <w:sz w:val="24"/>
        </w:rPr>
      </w:pPr>
      <w:r>
        <w:rPr>
          <w:rStyle w:val="58"/>
          <w:rFonts w:ascii="宋体" w:hAnsi="宋体"/>
          <w:sz w:val="24"/>
        </w:rPr>
        <w:t>技术标评分细则（满分</w:t>
      </w:r>
      <w:r>
        <w:rPr>
          <w:rStyle w:val="58"/>
          <w:rFonts w:hint="eastAsia" w:ascii="宋体" w:hAnsi="宋体"/>
          <w:sz w:val="24"/>
        </w:rPr>
        <w:t>100</w:t>
      </w:r>
      <w:r>
        <w:rPr>
          <w:rStyle w:val="58"/>
          <w:rFonts w:ascii="宋体" w:hAnsi="宋体"/>
          <w:sz w:val="24"/>
        </w:rPr>
        <w:t>分）</w:t>
      </w:r>
    </w:p>
    <w:p>
      <w:pPr>
        <w:pStyle w:val="62"/>
        <w:spacing w:before="0" w:after="0"/>
        <w:jc w:val="center"/>
        <w:rPr>
          <w:rStyle w:val="58"/>
          <w:rFonts w:ascii="宋体" w:hAnsi="宋体"/>
          <w:sz w:val="24"/>
        </w:rPr>
      </w:pPr>
    </w:p>
    <w:tbl>
      <w:tblPr>
        <w:tblStyle w:val="37"/>
        <w:tblW w:w="9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084"/>
        <w:gridCol w:w="887"/>
        <w:gridCol w:w="7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spacing w:val="-20"/>
              </w:rPr>
            </w:pPr>
            <w:bookmarkStart w:id="85" w:name="_Toc3914"/>
            <w:bookmarkStart w:id="86" w:name="_Toc17817335"/>
            <w:r>
              <w:rPr>
                <w:rFonts w:hint="eastAsia" w:ascii="宋体" w:cs="宋体"/>
                <w:spacing w:val="-20"/>
                <w:kern w:val="0"/>
                <w:szCs w:val="21"/>
                <w:lang w:bidi="ar"/>
              </w:rPr>
              <w:t>序号</w:t>
            </w:r>
          </w:p>
        </w:tc>
        <w:tc>
          <w:tcPr>
            <w:tcW w:w="108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hint="eastAsia" w:ascii="宋体" w:cs="宋体"/>
                <w:kern w:val="0"/>
                <w:szCs w:val="21"/>
                <w:lang w:bidi="ar"/>
              </w:rPr>
              <w:t>类别</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hint="eastAsia" w:ascii="宋体" w:cs="宋体"/>
                <w:kern w:val="0"/>
                <w:szCs w:val="21"/>
                <w:lang w:bidi="ar"/>
              </w:rPr>
              <w:t>满分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hint="eastAsia" w:ascii="宋体" w:cs="宋体"/>
                <w:kern w:val="0"/>
                <w:szCs w:val="21"/>
                <w:lang w:bidi="ar"/>
              </w:rPr>
              <w:t>得  分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hint="eastAsia" w:ascii="宋体" w:cs="宋体"/>
                <w:kern w:val="0"/>
                <w:szCs w:val="21"/>
                <w:lang w:bidi="ar"/>
              </w:rPr>
              <w:t>1</w:t>
            </w:r>
          </w:p>
        </w:tc>
        <w:tc>
          <w:tcPr>
            <w:tcW w:w="1084"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rPr>
                <w:rFonts w:ascii="宋体" w:cs="宋体"/>
              </w:rPr>
            </w:pPr>
            <w:r>
              <w:rPr>
                <w:rFonts w:hint="eastAsia" w:ascii="宋体" w:cs="宋体"/>
                <w:kern w:val="0"/>
                <w:szCs w:val="21"/>
                <w:lang w:bidi="ar"/>
              </w:rPr>
              <w:t>施工</w:t>
            </w:r>
          </w:p>
          <w:p>
            <w:pPr>
              <w:widowControl/>
              <w:spacing w:line="360" w:lineRule="auto"/>
              <w:rPr>
                <w:rFonts w:ascii="宋体" w:cs="宋体"/>
              </w:rPr>
            </w:pPr>
            <w:r>
              <w:rPr>
                <w:rFonts w:hint="eastAsia" w:ascii="宋体" w:cs="宋体"/>
                <w:kern w:val="0"/>
                <w:szCs w:val="21"/>
                <w:lang w:bidi="ar"/>
              </w:rPr>
              <w:t>组织设计（</w:t>
            </w:r>
            <w:r>
              <w:rPr>
                <w:rFonts w:ascii="宋体" w:cs="宋体"/>
                <w:kern w:val="0"/>
                <w:szCs w:val="21"/>
                <w:lang w:bidi="ar"/>
              </w:rPr>
              <w:t>100</w:t>
            </w:r>
            <w:r>
              <w:rPr>
                <w:rFonts w:hint="eastAsia" w:ascii="宋体" w:cs="宋体"/>
                <w:kern w:val="0"/>
                <w:szCs w:val="21"/>
                <w:lang w:bidi="ar"/>
              </w:rPr>
              <w:t>分）</w:t>
            </w: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pPr>
              <w:pStyle w:val="18"/>
              <w:widowControl/>
              <w:spacing w:line="360" w:lineRule="auto"/>
              <w:rPr>
                <w:rFonts w:ascii="宋体" w:hAnsi="Calibri" w:cs="宋体"/>
              </w:rPr>
            </w:pPr>
            <w:r>
              <w:rPr>
                <w:rFonts w:hint="eastAsia" w:ascii="宋体" w:hAnsi="Calibri" w:cs="宋体"/>
              </w:rPr>
              <w:t>施工组织总体方案（</w:t>
            </w:r>
            <w:r>
              <w:rPr>
                <w:rFonts w:hint="eastAsia" w:ascii="宋体" w:cs="宋体"/>
              </w:rPr>
              <w:t>对项目特点认知、项目管理机构组建、施工准备、施工总平面布置、施工组织等）等进行阐述，</w:t>
            </w:r>
            <w:r>
              <w:rPr>
                <w:rFonts w:hint="eastAsia" w:ascii="宋体" w:hAnsi="Calibri" w:cs="宋体"/>
              </w:rPr>
              <w:t>力求简洁。评委根据投标文件情况</w:t>
            </w:r>
            <w:r>
              <w:rPr>
                <w:rFonts w:hint="eastAsia" w:ascii="宋体" w:hAnsi="Calibri" w:cs="宋体"/>
                <w:highlight w:val="yellow"/>
              </w:rPr>
              <w:t>及项目经理现场答辩情况</w:t>
            </w:r>
            <w:r>
              <w:rPr>
                <w:rFonts w:hint="eastAsia" w:ascii="宋体" w:hAnsi="Calibri" w:cs="宋体"/>
              </w:rPr>
              <w:t>分为一般、良、优，</w:t>
            </w:r>
            <w:r>
              <w:rPr>
                <w:rFonts w:hint="eastAsia" w:ascii="宋体" w:hAnsi="Times New Roman" w:cs="宋体"/>
                <w:kern w:val="0"/>
                <w:szCs w:val="21"/>
                <w:lang w:bidi="ar"/>
              </w:rPr>
              <w:t>分别酌情得</w:t>
            </w:r>
            <w:r>
              <w:rPr>
                <w:rFonts w:hint="eastAsia" w:ascii="宋体" w:cs="宋体"/>
                <w:kern w:val="0"/>
                <w:szCs w:val="21"/>
                <w:lang w:bidi="ar"/>
              </w:rPr>
              <w:t>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hAnsi="Calibri" w:cs="宋体"/>
              </w:rPr>
              <w:t>内容不全酌情扣分，若此条缺项不得分。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pPr>
              <w:widowControl/>
              <w:spacing w:line="360" w:lineRule="auto"/>
              <w:rPr>
                <w:rFonts w:ascii="宋体" w:cs="宋体"/>
              </w:rPr>
            </w:pPr>
            <w:r>
              <w:rPr>
                <w:rFonts w:hint="eastAsia" w:ascii="宋体" w:cs="宋体"/>
                <w:kern w:val="0"/>
                <w:szCs w:val="21"/>
                <w:lang w:bidi="ar"/>
              </w:rPr>
              <w:t>施工进度计划及保证措施（1、要求根据建设单位提供的关键节点，提供施工总进度横道图或网络图计划，施工内容要切合实际、全面；2、列举分析本工程的工期风险点及应对保证措施）。评委根据投标文件情况分为一般、良、优，分别酌情得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cs="宋体"/>
                <w:kern w:val="0"/>
                <w:szCs w:val="21"/>
                <w:lang w:bidi="ar"/>
              </w:rPr>
              <w:t>，内容不全酌情扣分，若此条缺项不得分。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pPr>
              <w:widowControl/>
              <w:spacing w:line="360" w:lineRule="auto"/>
              <w:rPr>
                <w:rFonts w:ascii="宋体" w:cs="宋体"/>
              </w:rPr>
            </w:pPr>
            <w:r>
              <w:rPr>
                <w:rFonts w:hint="eastAsia" w:ascii="宋体" w:cs="宋体"/>
                <w:kern w:val="0"/>
                <w:szCs w:val="21"/>
                <w:lang w:bidi="ar"/>
              </w:rPr>
              <w:t>关键施工技术、工艺及工程实施的重点、难点分析。要求提炼出招标项目的关键施工工艺、施工重难点、危险性较大的专项工程等。评委根据投标文件情况分为一般、良、优，分别酌情得0-5分,5-10分,10-15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cs="宋体"/>
                <w:kern w:val="0"/>
                <w:szCs w:val="21"/>
                <w:lang w:bidi="ar"/>
              </w:rPr>
              <w:t>，内容不全酌情扣分，若此条缺项不得分。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pPr>
              <w:widowControl/>
              <w:spacing w:line="360" w:lineRule="auto"/>
              <w:rPr>
                <w:rFonts w:ascii="宋体" w:cs="宋体"/>
              </w:rPr>
            </w:pPr>
            <w:r>
              <w:rPr>
                <w:rFonts w:hint="eastAsia" w:ascii="宋体" w:cs="宋体"/>
                <w:kern w:val="0"/>
                <w:szCs w:val="21"/>
                <w:lang w:bidi="ar"/>
              </w:rPr>
              <w:t>质量保证措施。（要求针对性分析本工程容易出现的质量通病、质量控制重点和保证措施）评委根据投标文件情况分为一般、良、优，</w:t>
            </w:r>
            <w:r>
              <w:rPr>
                <w:rFonts w:hint="eastAsia" w:ascii="宋体" w:hAnsi="Calibri" w:cs="宋体"/>
              </w:rPr>
              <w:t>分别酌情得</w:t>
            </w:r>
            <w:r>
              <w:rPr>
                <w:rFonts w:hint="eastAsia" w:ascii="宋体" w:cs="宋体"/>
                <w:kern w:val="0"/>
                <w:szCs w:val="21"/>
                <w:lang w:bidi="ar"/>
              </w:rPr>
              <w:t>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cs="宋体"/>
                <w:kern w:val="0"/>
                <w:szCs w:val="21"/>
                <w:lang w:bidi="ar"/>
              </w:rPr>
              <w:t>，内容不全酌情扣分，若此条缺项不得分。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3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1084"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rPr>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宋体" w:cs="宋体"/>
              </w:rPr>
            </w:pPr>
            <w:r>
              <w:rPr>
                <w:rFonts w:ascii="宋体" w:cs="宋体"/>
                <w:kern w:val="0"/>
                <w:szCs w:val="21"/>
                <w:lang w:bidi="ar"/>
              </w:rPr>
              <w:t>20</w:t>
            </w:r>
            <w:r>
              <w:rPr>
                <w:rFonts w:hint="eastAsia" w:ascii="宋体" w:cs="宋体"/>
                <w:kern w:val="0"/>
                <w:szCs w:val="21"/>
                <w:lang w:bidi="ar"/>
              </w:rPr>
              <w:t>分</w:t>
            </w:r>
          </w:p>
        </w:tc>
        <w:tc>
          <w:tcPr>
            <w:tcW w:w="7458" w:type="dxa"/>
            <w:tcBorders>
              <w:top w:val="single" w:color="auto" w:sz="4" w:space="0"/>
              <w:left w:val="single" w:color="auto" w:sz="4" w:space="0"/>
              <w:bottom w:val="single" w:color="auto" w:sz="4" w:space="0"/>
              <w:right w:val="single" w:color="auto" w:sz="4" w:space="0"/>
            </w:tcBorders>
            <w:shd w:val="clear" w:color="auto" w:fill="auto"/>
            <w:noWrap/>
          </w:tcPr>
          <w:p>
            <w:pPr>
              <w:widowControl/>
              <w:spacing w:line="360" w:lineRule="auto"/>
              <w:rPr>
                <w:rFonts w:ascii="宋体" w:cs="宋体"/>
              </w:rPr>
            </w:pPr>
            <w:r>
              <w:rPr>
                <w:rFonts w:hint="eastAsia" w:ascii="宋体" w:cs="宋体"/>
                <w:kern w:val="0"/>
                <w:szCs w:val="21"/>
                <w:lang w:bidi="ar"/>
              </w:rPr>
              <w:t>安全文明施工措施。（要求对安全生产、文明施工、环境保护</w:t>
            </w:r>
            <w:r>
              <w:rPr>
                <w:rFonts w:hint="eastAsia" w:ascii="宋体" w:cs="宋体"/>
                <w:kern w:val="0"/>
                <w:szCs w:val="21"/>
              </w:rPr>
              <w:t>及防尘施工措施</w:t>
            </w:r>
            <w:r>
              <w:rPr>
                <w:rFonts w:hint="eastAsia" w:ascii="宋体" w:cs="宋体"/>
                <w:kern w:val="0"/>
                <w:szCs w:val="21"/>
                <w:lang w:bidi="ar"/>
              </w:rPr>
              <w:t>，制定保证措施和承诺）。评委根据投标文件情况分为一般、良、优，</w:t>
            </w:r>
            <w:r>
              <w:rPr>
                <w:rFonts w:hint="eastAsia" w:ascii="宋体" w:hAnsi="Calibri" w:cs="宋体"/>
              </w:rPr>
              <w:t>分别酌情</w:t>
            </w:r>
            <w:r>
              <w:rPr>
                <w:rFonts w:hint="eastAsia" w:ascii="宋体" w:cs="宋体"/>
                <w:kern w:val="0"/>
                <w:szCs w:val="21"/>
                <w:lang w:bidi="ar"/>
              </w:rPr>
              <w:t>得0-5分,5-10分,10-15</w:t>
            </w:r>
            <w:r>
              <w:rPr>
                <w:rFonts w:hint="eastAsia" w:ascii="宋体" w:cs="宋体"/>
              </w:rPr>
              <w:t>分</w:t>
            </w:r>
            <w:r>
              <w:rPr>
                <w:rFonts w:hint="eastAsia" w:ascii="宋体" w:cs="宋体"/>
                <w:kern w:val="0"/>
                <w:szCs w:val="21"/>
                <w:lang w:bidi="ar"/>
              </w:rPr>
              <w:t>，</w:t>
            </w:r>
            <w:r>
              <w:rPr>
                <w:rFonts w:hint="eastAsia" w:ascii="宋体" w:cs="宋体"/>
                <w:kern w:val="0"/>
                <w:szCs w:val="21"/>
              </w:rPr>
              <w:t>15-20</w:t>
            </w:r>
            <w:r>
              <w:rPr>
                <w:rFonts w:hint="eastAsia" w:ascii="宋体" w:cs="宋体"/>
              </w:rPr>
              <w:t>分</w:t>
            </w:r>
            <w:r>
              <w:rPr>
                <w:rFonts w:hint="eastAsia" w:ascii="宋体" w:cs="宋体"/>
                <w:kern w:val="0"/>
                <w:szCs w:val="21"/>
                <w:lang w:bidi="ar"/>
              </w:rPr>
              <w:t>，内容不全酌情扣分，若此条缺项不得分。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53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pPr>
              <w:widowControl/>
              <w:spacing w:line="360" w:lineRule="auto"/>
              <w:jc w:val="center"/>
              <w:rPr>
                <w:rFonts w:ascii="宋体" w:cs="宋体"/>
              </w:rPr>
            </w:pPr>
            <w:r>
              <w:rPr>
                <w:rFonts w:ascii="宋体" w:cs="宋体"/>
                <w:kern w:val="0"/>
                <w:szCs w:val="21"/>
                <w:lang w:bidi="ar"/>
              </w:rPr>
              <w:t>2</w:t>
            </w:r>
          </w:p>
        </w:tc>
        <w:tc>
          <w:tcPr>
            <w:tcW w:w="1084"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pPr>
              <w:widowControl/>
              <w:spacing w:line="360" w:lineRule="auto"/>
              <w:jc w:val="center"/>
              <w:rPr>
                <w:rFonts w:ascii="宋体" w:cs="宋体"/>
              </w:rPr>
            </w:pPr>
            <w:r>
              <w:rPr>
                <w:rFonts w:hint="eastAsia" w:ascii="宋体" w:cs="宋体"/>
                <w:kern w:val="0"/>
                <w:szCs w:val="21"/>
                <w:lang w:bidi="ar"/>
              </w:rPr>
              <w:t>合计</w:t>
            </w:r>
          </w:p>
        </w:tc>
        <w:tc>
          <w:tcPr>
            <w:tcW w:w="887"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pPr>
              <w:widowControl/>
              <w:spacing w:line="360" w:lineRule="auto"/>
              <w:jc w:val="center"/>
              <w:rPr>
                <w:rFonts w:ascii="宋体" w:cs="宋体"/>
              </w:rPr>
            </w:pPr>
            <w:r>
              <w:rPr>
                <w:rFonts w:hint="eastAsia" w:ascii="宋体" w:cs="宋体"/>
                <w:kern w:val="0"/>
                <w:szCs w:val="21"/>
                <w:lang w:bidi="ar"/>
              </w:rPr>
              <w:t>100分</w:t>
            </w:r>
          </w:p>
        </w:tc>
        <w:tc>
          <w:tcPr>
            <w:tcW w:w="7458" w:type="dxa"/>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pPr>
              <w:widowControl/>
              <w:spacing w:line="360" w:lineRule="auto"/>
              <w:rPr>
                <w:rFonts w:ascii="宋体" w:cs="宋体"/>
              </w:rPr>
            </w:pPr>
            <w:r>
              <w:rPr>
                <w:rFonts w:hint="eastAsia" w:ascii="宋体" w:cs="宋体"/>
                <w:kern w:val="0"/>
                <w:szCs w:val="21"/>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9967" w:type="dxa"/>
            <w:gridSpan w:val="4"/>
            <w:tcBorders>
              <w:top w:val="single" w:color="auto" w:sz="2" w:space="0"/>
              <w:left w:val="single" w:color="auto" w:sz="2" w:space="0"/>
              <w:bottom w:val="single" w:color="auto" w:sz="2" w:space="0"/>
              <w:right w:val="single" w:color="auto" w:sz="2" w:space="0"/>
            </w:tcBorders>
            <w:shd w:val="clear" w:color="auto" w:fill="auto"/>
            <w:noWrap/>
            <w:tcMar>
              <w:left w:w="91" w:type="dxa"/>
            </w:tcMar>
            <w:vAlign w:val="center"/>
          </w:tcPr>
          <w:p>
            <w:pPr>
              <w:widowControl/>
              <w:spacing w:line="360" w:lineRule="auto"/>
              <w:rPr>
                <w:rFonts w:ascii="宋体" w:cs="宋体"/>
                <w:b/>
                <w:kern w:val="0"/>
                <w:szCs w:val="21"/>
                <w:lang w:bidi="ar"/>
              </w:rPr>
            </w:pPr>
            <w:r>
              <w:rPr>
                <w:rFonts w:hint="eastAsia" w:ascii="宋体" w:cs="宋体"/>
                <w:b/>
                <w:kern w:val="0"/>
                <w:szCs w:val="21"/>
                <w:lang w:bidi="ar"/>
              </w:rPr>
              <w:t>1、投标人技术标的最终得分为所有评委打分汇总后的算术平均值。</w:t>
            </w:r>
          </w:p>
          <w:p>
            <w:pPr>
              <w:pStyle w:val="2"/>
              <w:ind w:left="0" w:leftChars="0" w:firstLine="0" w:firstLineChars="0"/>
              <w:rPr>
                <w:lang w:bidi="ar"/>
              </w:rPr>
            </w:pPr>
            <w:r>
              <w:rPr>
                <w:rFonts w:hint="eastAsia" w:ascii="宋体" w:cs="宋体"/>
                <w:b/>
                <w:kern w:val="0"/>
                <w:szCs w:val="21"/>
              </w:rPr>
              <w:t>2、技术标根据评分办法进行打分，技术标评标小组推荐至少3家技术得分</w:t>
            </w:r>
            <w:r>
              <w:rPr>
                <w:rFonts w:ascii="宋体" w:cs="宋体"/>
                <w:b/>
                <w:kern w:val="0"/>
                <w:szCs w:val="21"/>
                <w:u w:val="single"/>
              </w:rPr>
              <w:t>70</w:t>
            </w:r>
            <w:r>
              <w:rPr>
                <w:rFonts w:hint="eastAsia" w:ascii="宋体" w:cs="宋体"/>
                <w:b/>
                <w:kern w:val="0"/>
                <w:szCs w:val="21"/>
                <w:u w:val="single"/>
              </w:rPr>
              <w:t>分</w:t>
            </w:r>
            <w:r>
              <w:rPr>
                <w:rFonts w:hint="eastAsia" w:ascii="宋体" w:cs="宋体"/>
                <w:b/>
                <w:kern w:val="0"/>
                <w:szCs w:val="21"/>
              </w:rPr>
              <w:t>（含）以上的投标人入围。技术入围投标人不足三家时，本次按废标处理，招标人有权根据招标采购管理流程重新组织招标。</w:t>
            </w:r>
          </w:p>
        </w:tc>
      </w:tr>
    </w:tbl>
    <w:p>
      <w:pPr>
        <w:pStyle w:val="62"/>
        <w:spacing w:before="0" w:after="0"/>
        <w:rPr>
          <w:rStyle w:val="58"/>
          <w:rFonts w:ascii="宋体" w:hAnsi="宋体"/>
          <w:sz w:val="24"/>
        </w:rPr>
      </w:pPr>
    </w:p>
    <w:p>
      <w:pPr>
        <w:pStyle w:val="62"/>
        <w:spacing w:before="0" w:after="0"/>
        <w:jc w:val="center"/>
        <w:rPr>
          <w:rStyle w:val="58"/>
          <w:rFonts w:ascii="宋体" w:hAnsi="宋体"/>
          <w:sz w:val="24"/>
        </w:rPr>
      </w:pPr>
    </w:p>
    <w:p>
      <w:pPr>
        <w:pStyle w:val="62"/>
        <w:spacing w:before="0" w:after="0"/>
        <w:jc w:val="center"/>
        <w:rPr>
          <w:rStyle w:val="58"/>
          <w:rFonts w:ascii="宋体" w:hAnsi="宋体"/>
          <w:sz w:val="24"/>
        </w:rPr>
      </w:pPr>
      <w:r>
        <w:rPr>
          <w:rStyle w:val="58"/>
          <w:rFonts w:ascii="宋体" w:hAnsi="宋体"/>
          <w:sz w:val="24"/>
        </w:rPr>
        <w:t>商务标评分细则</w:t>
      </w:r>
    </w:p>
    <w:tbl>
      <w:tblPr>
        <w:tblStyle w:val="37"/>
        <w:tblW w:w="98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676"/>
        <w:gridCol w:w="699"/>
        <w:gridCol w:w="6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rPr>
            </w:pPr>
            <w:r>
              <w:rPr>
                <w:rStyle w:val="58"/>
                <w:rFonts w:ascii="宋体" w:hAnsi="宋体"/>
                <w:bCs/>
              </w:rPr>
              <w:t>序号</w:t>
            </w: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rPr>
            </w:pPr>
            <w:r>
              <w:rPr>
                <w:rStyle w:val="58"/>
                <w:rFonts w:ascii="宋体" w:hAnsi="宋体"/>
                <w:bCs/>
              </w:rPr>
              <w:t>类别</w:t>
            </w: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rPr>
            </w:pPr>
            <w:r>
              <w:rPr>
                <w:rStyle w:val="58"/>
                <w:rFonts w:ascii="宋体" w:hAnsi="宋体"/>
                <w:bCs/>
              </w:rPr>
              <w:t>满分</w:t>
            </w:r>
          </w:p>
        </w:tc>
        <w:tc>
          <w:tcPr>
            <w:tcW w:w="676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 w:val="20"/>
                <w:szCs w:val="22"/>
              </w:rPr>
            </w:pPr>
            <w:r>
              <w:rPr>
                <w:rFonts w:hint="eastAsia" w:ascii="宋体" w:hAnsi="宋体" w:cs="宋体"/>
              </w:rPr>
              <w:t>得   分   标   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 w:hRule="atLeast"/>
          <w:jc w:val="center"/>
        </w:trPr>
        <w:tc>
          <w:tcPr>
            <w:tcW w:w="71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rPr>
            </w:pPr>
            <w:r>
              <w:rPr>
                <w:rStyle w:val="58"/>
                <w:rFonts w:ascii="宋体" w:hAnsi="宋体"/>
                <w:bCs/>
              </w:rPr>
              <w:t>1</w:t>
            </w: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rPr>
            </w:pPr>
            <w:r>
              <w:rPr>
                <w:rStyle w:val="58"/>
                <w:rFonts w:ascii="宋体" w:hAnsi="宋体"/>
                <w:bCs/>
              </w:rPr>
              <w:t>工程总报价</w:t>
            </w:r>
          </w:p>
        </w:tc>
        <w:tc>
          <w:tcPr>
            <w:tcW w:w="69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rPr>
            </w:pPr>
            <w:r>
              <w:rPr>
                <w:rStyle w:val="58"/>
                <w:rFonts w:ascii="宋体" w:hAnsi="宋体"/>
                <w:bCs/>
              </w:rPr>
              <w:t>100</w:t>
            </w:r>
            <w:r>
              <w:rPr>
                <w:rStyle w:val="58"/>
                <w:rFonts w:hint="eastAsia" w:ascii="宋体" w:hAnsi="宋体"/>
                <w:bCs/>
              </w:rPr>
              <w:t>分</w:t>
            </w:r>
          </w:p>
        </w:tc>
        <w:tc>
          <w:tcPr>
            <w:tcW w:w="6764" w:type="dxa"/>
            <w:tcBorders>
              <w:top w:val="single" w:color="000000" w:sz="4" w:space="0"/>
              <w:left w:val="single" w:color="000000" w:sz="4" w:space="0"/>
              <w:bottom w:val="single" w:color="000000" w:sz="4" w:space="0"/>
              <w:right w:val="single" w:color="000000" w:sz="4" w:space="0"/>
            </w:tcBorders>
            <w:vAlign w:val="center"/>
          </w:tcPr>
          <w:p>
            <w:pPr>
              <w:spacing w:line="360" w:lineRule="auto"/>
              <w:ind w:firstLine="420" w:firstLineChars="200"/>
              <w:jc w:val="left"/>
              <w:rPr>
                <w:rFonts w:ascii="宋体" w:hAnsi="宋体" w:cs="宋体"/>
                <w:bCs/>
                <w:szCs w:val="21"/>
                <w:lang w:bidi="ar"/>
              </w:rPr>
            </w:pPr>
            <w:r>
              <w:rPr>
                <w:rFonts w:hint="eastAsia" w:ascii="宋体" w:hAnsi="宋体" w:cs="宋体"/>
                <w:bCs/>
                <w:szCs w:val="21"/>
                <w:lang w:bidi="ar"/>
              </w:rPr>
              <w:t>入围商务标的进行商务评审。</w:t>
            </w:r>
          </w:p>
          <w:p>
            <w:pPr>
              <w:spacing w:line="360" w:lineRule="auto"/>
              <w:ind w:firstLine="422" w:firstLineChars="200"/>
              <w:jc w:val="left"/>
              <w:rPr>
                <w:rFonts w:ascii="宋体" w:hAnsi="宋体" w:cs="宋体"/>
                <w:b/>
                <w:szCs w:val="21"/>
                <w:lang w:bidi="ar"/>
              </w:rPr>
            </w:pPr>
            <w:r>
              <w:rPr>
                <w:rFonts w:hint="eastAsia" w:ascii="宋体" w:hAnsi="宋体" w:cs="宋体"/>
                <w:b/>
                <w:szCs w:val="21"/>
                <w:lang w:bidi="ar"/>
              </w:rPr>
              <w:t>商务标得分=当前轮次最低价/供方投标价×商务标总分</w:t>
            </w:r>
          </w:p>
          <w:p>
            <w:pPr>
              <w:spacing w:line="360" w:lineRule="auto"/>
              <w:ind w:firstLine="420" w:firstLineChars="200"/>
              <w:jc w:val="left"/>
              <w:rPr>
                <w:rFonts w:ascii="宋体" w:hAnsi="宋体" w:cs="宋体"/>
                <w:bCs/>
                <w:szCs w:val="21"/>
                <w:lang w:bidi="ar"/>
              </w:rPr>
            </w:pPr>
          </w:p>
          <w:p>
            <w:pPr>
              <w:spacing w:line="360" w:lineRule="auto"/>
              <w:ind w:firstLine="422" w:firstLineChars="200"/>
              <w:jc w:val="left"/>
              <w:rPr>
                <w:rFonts w:ascii="宋体" w:hAnsi="宋体" w:cs="宋体"/>
                <w:b/>
                <w:szCs w:val="21"/>
                <w:lang w:bidi="ar"/>
              </w:rPr>
            </w:pPr>
            <w:r>
              <w:rPr>
                <w:rFonts w:hint="eastAsia" w:ascii="宋体" w:hAnsi="宋体" w:cs="宋体"/>
                <w:b/>
                <w:szCs w:val="21"/>
                <w:lang w:bidi="ar"/>
              </w:rPr>
              <w:t>特别提醒：</w:t>
            </w:r>
          </w:p>
          <w:p>
            <w:pPr>
              <w:spacing w:line="360" w:lineRule="auto"/>
              <w:ind w:firstLine="422" w:firstLineChars="200"/>
              <w:jc w:val="left"/>
              <w:rPr>
                <w:rFonts w:ascii="宋体" w:hAnsi="宋体" w:cs="宋体"/>
                <w:b/>
                <w:szCs w:val="21"/>
              </w:rPr>
            </w:pPr>
            <w:r>
              <w:rPr>
                <w:rFonts w:hint="eastAsia" w:ascii="宋体" w:hAnsi="宋体" w:cs="宋体"/>
                <w:b/>
                <w:szCs w:val="21"/>
              </w:rPr>
              <w:t>不允许采用不平衡报价。</w:t>
            </w:r>
          </w:p>
          <w:p>
            <w:pPr>
              <w:spacing w:line="360" w:lineRule="auto"/>
              <w:ind w:firstLine="422" w:firstLineChars="200"/>
              <w:jc w:val="left"/>
              <w:rPr>
                <w:rFonts w:ascii="宋体" w:cs="宋体"/>
                <w:b/>
                <w:kern w:val="0"/>
                <w:szCs w:val="21"/>
                <w:lang w:bidi="ar"/>
              </w:rPr>
            </w:pPr>
            <w:r>
              <w:rPr>
                <w:rFonts w:hint="eastAsia" w:ascii="宋体" w:cs="宋体"/>
                <w:b/>
                <w:kern w:val="0"/>
                <w:szCs w:val="21"/>
                <w:lang w:bidi="ar"/>
              </w:rPr>
              <w:t>开标清标后按照招标人清标发现的问题进行纠偏调整，形成修正版工程量清单并同步修正开标报价（但不得高于开标唱标价），推荐拟中标价格以此修正版清单进行同比例下浮，下浮系数=商务标最后一轮澄清总报价/开标清标修正后的总报价。单独澄清的清单项除外。</w:t>
            </w:r>
          </w:p>
          <w:p>
            <w:pPr>
              <w:spacing w:line="360" w:lineRule="auto"/>
              <w:ind w:firstLine="422" w:firstLineChars="200"/>
              <w:jc w:val="left"/>
              <w:rPr>
                <w:rFonts w:ascii="宋体" w:cs="宋体"/>
                <w:b/>
                <w:kern w:val="0"/>
                <w:szCs w:val="21"/>
                <w:lang w:bidi="ar"/>
              </w:rPr>
            </w:pPr>
            <w:r>
              <w:rPr>
                <w:rFonts w:hint="eastAsia" w:ascii="宋体" w:cs="宋体"/>
                <w:b/>
                <w:kern w:val="0"/>
                <w:szCs w:val="21"/>
                <w:lang w:bidi="ar"/>
              </w:rPr>
              <w:t>投标人开标清标修正后的已标价工程量清单随开标后第一轮报价上传到e采通附件中，并与开标后第一轮报价金额一致，后续报价只上传每轮报价总金额。</w:t>
            </w:r>
          </w:p>
          <w:p>
            <w:pPr>
              <w:spacing w:line="360" w:lineRule="auto"/>
              <w:ind w:firstLine="422" w:firstLineChars="200"/>
              <w:jc w:val="left"/>
            </w:pPr>
            <w:r>
              <w:rPr>
                <w:rFonts w:hint="eastAsia" w:ascii="宋体" w:cs="宋体"/>
                <w:b/>
                <w:kern w:val="0"/>
                <w:szCs w:val="21"/>
                <w:lang w:bidi="ar"/>
              </w:rPr>
              <w:t>招标人对下浮后的工程量清单价格进一步价格审核，如发现不平衡报价，招标人有权对其高报价部分予以调低，同时降低拟中标总价。</w:t>
            </w:r>
          </w:p>
        </w:tc>
      </w:tr>
    </w:tbl>
    <w:p>
      <w:pPr>
        <w:pStyle w:val="19"/>
        <w:rPr>
          <w:lang w:bidi="en-US"/>
        </w:rPr>
      </w:pPr>
    </w:p>
    <w:p>
      <w:pPr>
        <w:pStyle w:val="7"/>
        <w:spacing w:before="0" w:after="0"/>
        <w:jc w:val="center"/>
        <w:rPr>
          <w:sz w:val="30"/>
          <w:szCs w:val="30"/>
        </w:rPr>
      </w:pPr>
      <w:bookmarkStart w:id="87" w:name="_Toc29153"/>
      <w:bookmarkStart w:id="88" w:name="_Toc32749"/>
      <w:bookmarkStart w:id="89" w:name="_Toc220505574"/>
      <w:r>
        <w:rPr>
          <w:sz w:val="30"/>
          <w:szCs w:val="30"/>
        </w:rPr>
        <w:t>二、评标办法</w:t>
      </w:r>
      <w:bookmarkEnd w:id="85"/>
      <w:bookmarkEnd w:id="86"/>
      <w:bookmarkEnd w:id="87"/>
      <w:bookmarkEnd w:id="88"/>
      <w:bookmarkEnd w:id="89"/>
    </w:p>
    <w:p>
      <w:pPr>
        <w:pStyle w:val="62"/>
        <w:spacing w:before="0" w:after="0"/>
        <w:rPr>
          <w:rStyle w:val="58"/>
          <w:rFonts w:ascii="宋体" w:hAnsi="宋体"/>
          <w:sz w:val="24"/>
        </w:rPr>
      </w:pPr>
      <w:r>
        <w:rPr>
          <w:rStyle w:val="58"/>
          <w:rFonts w:ascii="宋体" w:hAnsi="宋体"/>
          <w:sz w:val="24"/>
        </w:rPr>
        <w:t>1. 评标方法</w:t>
      </w:r>
    </w:p>
    <w:p>
      <w:pPr>
        <w:spacing w:line="360" w:lineRule="auto"/>
        <w:rPr>
          <w:rStyle w:val="58"/>
          <w:rFonts w:ascii="宋体" w:hAnsi="宋体"/>
          <w:b/>
        </w:rPr>
      </w:pPr>
      <w:r>
        <w:rPr>
          <w:rStyle w:val="58"/>
          <w:rFonts w:ascii="宋体" w:hAnsi="宋体"/>
          <w:b/>
        </w:rPr>
        <w:t>1.1评标方法</w:t>
      </w:r>
    </w:p>
    <w:p>
      <w:pPr>
        <w:spacing w:line="360" w:lineRule="auto"/>
        <w:rPr>
          <w:rStyle w:val="58"/>
          <w:rFonts w:ascii="宋体" w:hAnsi="宋体"/>
          <w:b/>
        </w:rPr>
      </w:pPr>
      <w:r>
        <w:rPr>
          <w:rStyle w:val="58"/>
          <w:rFonts w:ascii="宋体" w:hAnsi="宋体"/>
          <w:b/>
          <w:highlight w:val="yellow"/>
        </w:rPr>
        <w:t>1.2评分及排序</w:t>
      </w:r>
    </w:p>
    <w:p>
      <w:pPr>
        <w:spacing w:line="360" w:lineRule="auto"/>
        <w:ind w:firstLine="422" w:firstLineChars="200"/>
        <w:rPr>
          <w:rStyle w:val="58"/>
          <w:rFonts w:ascii="宋体" w:hAnsi="宋体"/>
          <w:b/>
          <w:bCs/>
        </w:rPr>
      </w:pPr>
      <w:r>
        <w:rPr>
          <w:rStyle w:val="58"/>
          <w:rFonts w:hint="eastAsia" w:ascii="宋体" w:hAnsi="宋体"/>
          <w:b/>
          <w:bCs/>
        </w:rPr>
        <w:t>技术标和商务标同时开标、分阶段评标的模式</w:t>
      </w:r>
      <w:r>
        <w:rPr>
          <w:rStyle w:val="58"/>
          <w:rFonts w:ascii="宋体" w:hAnsi="宋体"/>
          <w:b/>
          <w:bCs/>
        </w:rPr>
        <w:t>。</w:t>
      </w:r>
    </w:p>
    <w:p>
      <w:pPr>
        <w:spacing w:line="360" w:lineRule="auto"/>
        <w:ind w:firstLine="422" w:firstLineChars="200"/>
        <w:rPr>
          <w:rStyle w:val="58"/>
          <w:b/>
          <w:bCs/>
        </w:rPr>
      </w:pPr>
      <w:r>
        <w:rPr>
          <w:rStyle w:val="58"/>
          <w:rFonts w:hint="eastAsia"/>
          <w:b/>
          <w:bCs/>
        </w:rPr>
        <w:t>由评标专家组对所有投标方的技术标和商务标进行综合评定和打分，招标人有权根据项目情况，采取多轮谈判模式，最终根据综合得分确定各投标人排序。原则上按照综合得分最高分确定推荐中标人，对未中标单位不做任何解释。</w:t>
      </w:r>
    </w:p>
    <w:p>
      <w:pPr>
        <w:spacing w:line="360" w:lineRule="auto"/>
        <w:ind w:firstLine="422" w:firstLineChars="200"/>
        <w:rPr>
          <w:rStyle w:val="58"/>
          <w:b/>
          <w:bCs/>
        </w:rPr>
      </w:pPr>
      <w:r>
        <w:rPr>
          <w:rStyle w:val="58"/>
          <w:rFonts w:hint="eastAsia"/>
          <w:b/>
          <w:bCs/>
        </w:rPr>
        <w:t>综合得分=技术标得分*0.</w:t>
      </w:r>
      <w:r>
        <w:rPr>
          <w:rStyle w:val="58"/>
          <w:b/>
          <w:bCs/>
        </w:rPr>
        <w:t>3</w:t>
      </w:r>
      <w:r>
        <w:rPr>
          <w:rStyle w:val="58"/>
          <w:rFonts w:hint="eastAsia"/>
          <w:b/>
          <w:bCs/>
        </w:rPr>
        <w:t>+商务标得分*0.</w:t>
      </w:r>
      <w:r>
        <w:rPr>
          <w:rStyle w:val="58"/>
          <w:b/>
          <w:bCs/>
        </w:rPr>
        <w:t>7</w:t>
      </w:r>
    </w:p>
    <w:p>
      <w:pPr>
        <w:spacing w:line="360" w:lineRule="auto"/>
        <w:ind w:firstLine="422" w:firstLineChars="200"/>
        <w:rPr>
          <w:rStyle w:val="58"/>
          <w:b/>
          <w:bCs/>
        </w:rPr>
      </w:pPr>
      <w:r>
        <w:rPr>
          <w:rStyle w:val="58"/>
          <w:rFonts w:hint="eastAsia"/>
          <w:b/>
          <w:bCs/>
        </w:rPr>
        <w:t>评标委员会对满足招标文件实质性要求的投标文件，按照本章第2.2款规定的评分标准进行打分，评标委员会按照最终综合得分由高到低的次序排列，但投标报价低于其成本的除外。评分相等时由招标人自行确定排序。</w:t>
      </w:r>
    </w:p>
    <w:p>
      <w:pPr>
        <w:spacing w:line="360" w:lineRule="auto"/>
        <w:rPr>
          <w:b/>
          <w:bCs/>
        </w:rPr>
      </w:pPr>
      <w:r>
        <w:rPr>
          <w:rStyle w:val="58"/>
          <w:rFonts w:hint="eastAsia" w:ascii="宋体" w:hAnsi="宋体"/>
          <w:b/>
          <w:bCs/>
          <w:szCs w:val="22"/>
        </w:rPr>
        <w:t>1.3招标人有权根据项目情况，采取多轮报价模式。</w:t>
      </w:r>
      <w:r>
        <w:rPr>
          <w:rStyle w:val="58"/>
          <w:rFonts w:hint="eastAsia" w:hAnsi="宋体"/>
          <w:b/>
          <w:bCs/>
          <w:szCs w:val="22"/>
        </w:rPr>
        <w:t>除开标唱标为公开报价方式外，后续多轮澄清报价均为非公开的方式，投标人在重汽</w:t>
      </w:r>
      <w:r>
        <w:rPr>
          <w:rStyle w:val="58"/>
          <w:rFonts w:hAnsi="宋体"/>
          <w:b/>
          <w:bCs/>
          <w:szCs w:val="22"/>
        </w:rPr>
        <w:t>e</w:t>
      </w:r>
      <w:r>
        <w:rPr>
          <w:rStyle w:val="58"/>
          <w:rFonts w:hint="eastAsia" w:hAnsi="宋体"/>
          <w:b/>
          <w:bCs/>
          <w:szCs w:val="22"/>
        </w:rPr>
        <w:t>采通进行提报报价。</w:t>
      </w:r>
    </w:p>
    <w:p>
      <w:pPr>
        <w:pStyle w:val="62"/>
        <w:spacing w:before="0" w:after="0"/>
        <w:rPr>
          <w:rStyle w:val="58"/>
          <w:rFonts w:ascii="宋体" w:hAnsi="宋体"/>
          <w:sz w:val="24"/>
        </w:rPr>
      </w:pPr>
      <w:r>
        <w:rPr>
          <w:rStyle w:val="58"/>
          <w:rFonts w:ascii="宋体" w:hAnsi="宋体"/>
          <w:sz w:val="24"/>
        </w:rPr>
        <w:t>2. 评标程序</w:t>
      </w:r>
    </w:p>
    <w:p>
      <w:pPr>
        <w:spacing w:line="360" w:lineRule="auto"/>
        <w:rPr>
          <w:rStyle w:val="58"/>
          <w:rFonts w:ascii="宋体" w:hAnsi="宋体"/>
          <w:b/>
        </w:rPr>
      </w:pPr>
      <w:r>
        <w:rPr>
          <w:rStyle w:val="58"/>
          <w:rFonts w:ascii="宋体" w:hAnsi="宋体"/>
          <w:b/>
        </w:rPr>
        <w:t>2.1 初步评审</w:t>
      </w:r>
    </w:p>
    <w:p>
      <w:pPr>
        <w:spacing w:line="360" w:lineRule="auto"/>
        <w:rPr>
          <w:rStyle w:val="58"/>
          <w:rFonts w:ascii="宋体" w:hAnsi="宋体"/>
        </w:rPr>
      </w:pPr>
      <w:r>
        <w:rPr>
          <w:rStyle w:val="58"/>
          <w:rFonts w:ascii="宋体" w:hAnsi="宋体"/>
        </w:rPr>
        <w:t>2.1.1 评标委员会可以要求投标人提交第九章资格审查文件规定的有关证明和证件的原件，以便核验。评标委员会对投标文件进行初步评审。有一项不符合</w:t>
      </w:r>
      <w:r>
        <w:rPr>
          <w:rStyle w:val="58"/>
          <w:rFonts w:hint="eastAsia" w:ascii="宋体" w:hAnsi="宋体"/>
        </w:rPr>
        <w:t>资格要求</w:t>
      </w:r>
      <w:r>
        <w:rPr>
          <w:rStyle w:val="58"/>
          <w:rFonts w:ascii="宋体" w:hAnsi="宋体"/>
        </w:rPr>
        <w:t>的，作</w:t>
      </w:r>
      <w:r>
        <w:rPr>
          <w:rStyle w:val="58"/>
          <w:rFonts w:hint="eastAsia" w:ascii="宋体" w:hAnsi="宋体"/>
        </w:rPr>
        <w:t>无效标</w:t>
      </w:r>
      <w:r>
        <w:rPr>
          <w:rStyle w:val="58"/>
          <w:rFonts w:ascii="宋体" w:hAnsi="宋体"/>
        </w:rPr>
        <w:t>处理。</w:t>
      </w:r>
    </w:p>
    <w:p>
      <w:pPr>
        <w:spacing w:line="360" w:lineRule="auto"/>
        <w:rPr>
          <w:rStyle w:val="58"/>
          <w:rFonts w:ascii="宋体" w:hAnsi="宋体"/>
          <w:b/>
        </w:rPr>
      </w:pPr>
      <w:r>
        <w:rPr>
          <w:rStyle w:val="58"/>
          <w:rFonts w:ascii="宋体" w:hAnsi="宋体"/>
        </w:rPr>
        <w:t>2.1.2 投标人有以下情形之一的，其投标作废标处理：</w:t>
      </w:r>
      <w:r>
        <w:rPr>
          <w:rStyle w:val="58"/>
          <w:rFonts w:ascii="宋体" w:hAnsi="宋体"/>
          <w:b/>
        </w:rPr>
        <w:t>详</w:t>
      </w:r>
      <w:r>
        <w:rPr>
          <w:rStyle w:val="45"/>
          <w:rFonts w:ascii="宋体" w:hAnsi="宋体"/>
          <w:b/>
          <w:color w:val="auto"/>
        </w:rPr>
        <w:t>附件B</w:t>
      </w:r>
      <w:r>
        <w:rPr>
          <w:rStyle w:val="58"/>
          <w:rFonts w:ascii="宋体" w:hAnsi="宋体"/>
          <w:b/>
        </w:rPr>
        <w:t>：废标条件</w:t>
      </w:r>
    </w:p>
    <w:p>
      <w:pPr>
        <w:spacing w:line="360" w:lineRule="auto"/>
        <w:rPr>
          <w:rStyle w:val="58"/>
          <w:rFonts w:ascii="宋体" w:hAnsi="宋体"/>
        </w:rPr>
      </w:pPr>
      <w:r>
        <w:rPr>
          <w:rStyle w:val="58"/>
          <w:rFonts w:ascii="宋体" w:hAnsi="宋体"/>
        </w:rPr>
        <w:t>2.1.3投标报价有算术错误的，评标委员会按以下原则对投标报价进行修正，修正的价格经投标人书面确认后具有约束力。投标人不接受修正价格的，其投标作</w:t>
      </w:r>
      <w:r>
        <w:rPr>
          <w:rStyle w:val="58"/>
          <w:rFonts w:hint="eastAsia" w:ascii="宋体" w:hAnsi="宋体"/>
        </w:rPr>
        <w:t>无效</w:t>
      </w:r>
      <w:r>
        <w:rPr>
          <w:rStyle w:val="58"/>
          <w:rFonts w:ascii="宋体" w:hAnsi="宋体"/>
        </w:rPr>
        <w:t>标处理。</w:t>
      </w:r>
    </w:p>
    <w:p>
      <w:pPr>
        <w:spacing w:line="360" w:lineRule="auto"/>
        <w:rPr>
          <w:rStyle w:val="58"/>
          <w:rFonts w:ascii="宋体" w:hAnsi="宋体"/>
        </w:rPr>
      </w:pPr>
      <w:r>
        <w:rPr>
          <w:rStyle w:val="58"/>
          <w:rFonts w:ascii="宋体" w:hAnsi="宋体"/>
        </w:rPr>
        <w:t>（1）投标文件中的大写金额与小写金额不一致的，以大写金额为准；</w:t>
      </w:r>
    </w:p>
    <w:p>
      <w:pPr>
        <w:spacing w:line="360" w:lineRule="auto"/>
        <w:rPr>
          <w:rStyle w:val="58"/>
          <w:rFonts w:ascii="宋体" w:hAnsi="宋体"/>
        </w:rPr>
      </w:pPr>
      <w:r>
        <w:rPr>
          <w:rStyle w:val="58"/>
          <w:rFonts w:ascii="宋体" w:hAnsi="宋体"/>
        </w:rPr>
        <w:t>（2）总价金额与依据单价计算出的结果不一致的，以</w:t>
      </w:r>
      <w:r>
        <w:rPr>
          <w:rStyle w:val="58"/>
          <w:rFonts w:hint="eastAsia" w:ascii="宋体" w:hAnsi="宋体"/>
        </w:rPr>
        <w:t>总</w:t>
      </w:r>
      <w:r>
        <w:rPr>
          <w:rStyle w:val="58"/>
          <w:rFonts w:ascii="宋体" w:hAnsi="宋体"/>
        </w:rPr>
        <w:t>价金额为准修正</w:t>
      </w:r>
      <w:r>
        <w:rPr>
          <w:rStyle w:val="58"/>
          <w:rFonts w:hint="eastAsia" w:ascii="宋体" w:hAnsi="宋体"/>
        </w:rPr>
        <w:t>单</w:t>
      </w:r>
      <w:r>
        <w:rPr>
          <w:rStyle w:val="58"/>
          <w:rFonts w:ascii="宋体" w:hAnsi="宋体"/>
        </w:rPr>
        <w:t>价。</w:t>
      </w:r>
    </w:p>
    <w:p>
      <w:pPr>
        <w:spacing w:line="360" w:lineRule="auto"/>
        <w:rPr>
          <w:rStyle w:val="58"/>
          <w:rFonts w:ascii="宋体" w:hAnsi="宋体"/>
        </w:rPr>
      </w:pPr>
      <w:r>
        <w:rPr>
          <w:rStyle w:val="58"/>
          <w:rFonts w:ascii="宋体" w:hAnsi="宋体"/>
        </w:rPr>
        <w:t>（3）唱标单报价与投标报价文件中价格不一致的，评标过程中，评定内容的具体数据以单独递交的唱标单报价为准，签订合同及后期结算时，以价格低的为准，价格根据下浮率同比例下调。</w:t>
      </w:r>
    </w:p>
    <w:p>
      <w:pPr>
        <w:spacing w:line="480" w:lineRule="exact"/>
        <w:rPr>
          <w:rStyle w:val="58"/>
          <w:rFonts w:ascii="宋体" w:hAnsi="宋体"/>
          <w:b/>
        </w:rPr>
      </w:pPr>
      <w:r>
        <w:rPr>
          <w:rStyle w:val="58"/>
          <w:rFonts w:ascii="宋体" w:hAnsi="宋体"/>
          <w:b/>
        </w:rPr>
        <w:t>2.1.4投标人有下列情形之一的视为无效投标：</w:t>
      </w:r>
    </w:p>
    <w:p>
      <w:pPr>
        <w:spacing w:line="480" w:lineRule="exact"/>
        <w:rPr>
          <w:rStyle w:val="58"/>
          <w:rFonts w:ascii="宋体" w:hAnsi="宋体"/>
        </w:rPr>
      </w:pPr>
      <w:r>
        <w:rPr>
          <w:rStyle w:val="58"/>
          <w:rFonts w:ascii="宋体" w:hAnsi="宋体"/>
        </w:rPr>
        <w:t>（1）参加开标会议的投标人的法定代表人或其委托代理人未携带本人身份证，委托代理人未携带参加开标会议的法定代表人授权委托书，法定代表人未携带法定代表人证书，无法证明其身份的；</w:t>
      </w:r>
    </w:p>
    <w:p>
      <w:pPr>
        <w:spacing w:line="480" w:lineRule="exact"/>
        <w:rPr>
          <w:rStyle w:val="58"/>
          <w:rFonts w:ascii="宋体" w:hAnsi="宋体"/>
        </w:rPr>
      </w:pPr>
      <w:r>
        <w:rPr>
          <w:rStyle w:val="58"/>
          <w:rFonts w:ascii="宋体" w:hAnsi="宋体"/>
        </w:rPr>
        <w:t>（2）无单位盖章并无法定代表人或法定代表人授权的代理人签字或盖章的；</w:t>
      </w:r>
    </w:p>
    <w:p>
      <w:pPr>
        <w:spacing w:line="480" w:lineRule="exact"/>
        <w:rPr>
          <w:rStyle w:val="58"/>
          <w:rFonts w:ascii="宋体" w:hAnsi="宋体"/>
        </w:rPr>
      </w:pPr>
      <w:r>
        <w:rPr>
          <w:rStyle w:val="58"/>
          <w:rFonts w:ascii="宋体" w:hAnsi="宋体"/>
        </w:rPr>
        <w:t>（3）未按规定格式填写，内容不全或关键字迹模糊、无法辨认的；</w:t>
      </w:r>
    </w:p>
    <w:p>
      <w:pPr>
        <w:spacing w:line="480" w:lineRule="exact"/>
        <w:rPr>
          <w:rStyle w:val="58"/>
          <w:rFonts w:ascii="宋体" w:hAnsi="宋体"/>
        </w:rPr>
      </w:pPr>
      <w:r>
        <w:rPr>
          <w:rStyle w:val="58"/>
          <w:rFonts w:ascii="宋体" w:hAnsi="宋体"/>
        </w:rPr>
        <w:t>（4）投标人递交两份或多份内容不同的投标文件，或在一份投标文件中对同一招标项目抱有两个或多个报价，且未声明哪一个有效，按招标文件规定提交备选投标方案的除外；</w:t>
      </w:r>
    </w:p>
    <w:p>
      <w:pPr>
        <w:spacing w:line="480" w:lineRule="exact"/>
        <w:rPr>
          <w:rStyle w:val="58"/>
          <w:rFonts w:ascii="宋体" w:hAnsi="宋体"/>
        </w:rPr>
      </w:pPr>
      <w:r>
        <w:rPr>
          <w:rStyle w:val="58"/>
          <w:rFonts w:ascii="宋体" w:hAnsi="宋体"/>
        </w:rPr>
        <w:t>（5）投标人名称或组织结构与资格预审时不一致（资格预审的）；</w:t>
      </w:r>
    </w:p>
    <w:p>
      <w:pPr>
        <w:spacing w:line="480" w:lineRule="exact"/>
        <w:rPr>
          <w:rStyle w:val="58"/>
          <w:rFonts w:ascii="宋体" w:hAnsi="宋体"/>
        </w:rPr>
      </w:pPr>
      <w:r>
        <w:rPr>
          <w:rStyle w:val="58"/>
          <w:rFonts w:ascii="宋体" w:hAnsi="宋体"/>
        </w:rPr>
        <w:t>（6）投标人未按投标文件的要求提交投标保证金的；</w:t>
      </w:r>
    </w:p>
    <w:p>
      <w:pPr>
        <w:spacing w:line="480" w:lineRule="exact"/>
        <w:rPr>
          <w:rStyle w:val="58"/>
          <w:rFonts w:ascii="宋体" w:hAnsi="宋体"/>
        </w:rPr>
      </w:pPr>
      <w:r>
        <w:rPr>
          <w:rStyle w:val="58"/>
          <w:rFonts w:ascii="宋体" w:hAnsi="宋体"/>
        </w:rPr>
        <w:t>（7）联合体投标未附联合体各方共同投标协议的（允许联合体投标的）；</w:t>
      </w:r>
    </w:p>
    <w:p>
      <w:pPr>
        <w:spacing w:line="480" w:lineRule="exact"/>
        <w:rPr>
          <w:rStyle w:val="58"/>
          <w:rFonts w:ascii="宋体" w:hAnsi="宋体"/>
        </w:rPr>
      </w:pPr>
      <w:bookmarkStart w:id="90" w:name="_Toc16063905"/>
      <w:r>
        <w:rPr>
          <w:rStyle w:val="58"/>
          <w:rFonts w:ascii="宋体" w:hAnsi="宋体"/>
        </w:rPr>
        <w:t>（8）投标文件未按照招标文件的要求予以密封的；</w:t>
      </w:r>
      <w:bookmarkEnd w:id="90"/>
    </w:p>
    <w:p>
      <w:pPr>
        <w:spacing w:line="480" w:lineRule="exact"/>
        <w:rPr>
          <w:rStyle w:val="58"/>
          <w:rFonts w:ascii="宋体" w:hAnsi="宋体"/>
        </w:rPr>
      </w:pPr>
      <w:r>
        <w:rPr>
          <w:rStyle w:val="58"/>
          <w:rFonts w:ascii="宋体" w:hAnsi="宋体"/>
        </w:rPr>
        <w:t>（9）投标文件中的投标函未加盖投标人的企业及企业法定代表人印章的，或者企业法定代表人委托代理人没有合法、有效的委托书（原件）及委托代理人印章的；</w:t>
      </w:r>
    </w:p>
    <w:p>
      <w:pPr>
        <w:spacing w:line="480" w:lineRule="exact"/>
        <w:rPr>
          <w:rStyle w:val="58"/>
          <w:rFonts w:ascii="宋体" w:hAnsi="宋体"/>
        </w:rPr>
      </w:pPr>
      <w:r>
        <w:rPr>
          <w:rStyle w:val="58"/>
          <w:rFonts w:ascii="宋体" w:hAnsi="宋体"/>
        </w:rPr>
        <w:t>（10）资格审查未通过的</w:t>
      </w:r>
      <w:r>
        <w:rPr>
          <w:rStyle w:val="58"/>
          <w:rFonts w:hint="eastAsia" w:ascii="宋体" w:hAnsi="宋体"/>
        </w:rPr>
        <w:t>；</w:t>
      </w:r>
    </w:p>
    <w:p>
      <w:pPr>
        <w:spacing w:line="480" w:lineRule="exact"/>
        <w:rPr>
          <w:rStyle w:val="58"/>
          <w:rFonts w:ascii="宋体" w:hAnsi="宋体"/>
        </w:rPr>
      </w:pPr>
      <w:r>
        <w:rPr>
          <w:rStyle w:val="58"/>
          <w:rFonts w:hint="eastAsia" w:ascii="宋体" w:hAnsi="宋体"/>
        </w:rPr>
        <w:t>（11）未实质性响应招标文件内容的；</w:t>
      </w:r>
    </w:p>
    <w:p>
      <w:pPr>
        <w:spacing w:line="480" w:lineRule="exact"/>
        <w:rPr>
          <w:rStyle w:val="58"/>
          <w:rFonts w:ascii="宋体" w:hAnsi="宋体"/>
        </w:rPr>
      </w:pPr>
      <w:r>
        <w:rPr>
          <w:rStyle w:val="58"/>
          <w:rFonts w:hint="eastAsia" w:ascii="宋体" w:hAnsi="宋体"/>
        </w:rPr>
        <w:t>（12）投标单位负责人为同一人或存在管理关系的。</w:t>
      </w:r>
    </w:p>
    <w:p>
      <w:pPr>
        <w:spacing w:line="480" w:lineRule="exact"/>
        <w:rPr>
          <w:rStyle w:val="58"/>
          <w:rFonts w:ascii="宋体" w:hAnsi="宋体"/>
        </w:rPr>
      </w:pPr>
      <w:r>
        <w:rPr>
          <w:rStyle w:val="58"/>
          <w:rFonts w:hint="eastAsia" w:ascii="宋体" w:hAnsi="宋体"/>
        </w:rPr>
        <w:t>（13）投标人被举报、检举，并经招标方查实无误的。</w:t>
      </w:r>
    </w:p>
    <w:p>
      <w:pPr>
        <w:spacing w:line="360" w:lineRule="auto"/>
        <w:rPr>
          <w:rStyle w:val="58"/>
          <w:rFonts w:ascii="宋体" w:hAnsi="宋体"/>
          <w:b/>
        </w:rPr>
      </w:pPr>
      <w:r>
        <w:rPr>
          <w:rStyle w:val="58"/>
          <w:rFonts w:ascii="宋体" w:hAnsi="宋体"/>
          <w:b/>
        </w:rPr>
        <w:t>2.2 详细评审</w:t>
      </w:r>
    </w:p>
    <w:p>
      <w:pPr>
        <w:spacing w:line="360" w:lineRule="auto"/>
        <w:rPr>
          <w:rStyle w:val="58"/>
          <w:rFonts w:ascii="宋体" w:hAnsi="宋体"/>
        </w:rPr>
      </w:pPr>
      <w:r>
        <w:rPr>
          <w:rStyle w:val="58"/>
          <w:rFonts w:ascii="宋体" w:hAnsi="宋体"/>
        </w:rPr>
        <w:t xml:space="preserve">2.2.1 </w:t>
      </w:r>
      <w:r>
        <w:rPr>
          <w:rStyle w:val="58"/>
          <w:rFonts w:hint="eastAsia" w:ascii="宋体" w:hAnsi="宋体"/>
        </w:rPr>
        <w:t>技术标：评标委员会按本章评分细则进行打分，并计算出平均得分；</w:t>
      </w:r>
    </w:p>
    <w:p>
      <w:pPr>
        <w:spacing w:line="360" w:lineRule="auto"/>
        <w:rPr>
          <w:rStyle w:val="58"/>
          <w:rFonts w:ascii="宋体" w:hAnsi="宋体"/>
          <w:i/>
          <w:iCs/>
          <w:color w:val="FF0000"/>
        </w:rPr>
      </w:pPr>
      <w:r>
        <w:rPr>
          <w:rStyle w:val="58"/>
          <w:rFonts w:hint="eastAsia" w:ascii="宋体" w:hAnsi="宋体"/>
        </w:rPr>
        <w:t>商务标：按照本章评分细则进行打分，并计算出综合评估得分</w:t>
      </w:r>
      <w:r>
        <w:rPr>
          <w:rStyle w:val="58"/>
          <w:rFonts w:ascii="宋体" w:hAnsi="宋体"/>
        </w:rPr>
        <w:t>。</w:t>
      </w:r>
    </w:p>
    <w:p>
      <w:pPr>
        <w:spacing w:line="360" w:lineRule="auto"/>
        <w:rPr>
          <w:rStyle w:val="58"/>
          <w:rFonts w:ascii="宋体" w:hAnsi="宋体"/>
        </w:rPr>
      </w:pPr>
      <w:r>
        <w:rPr>
          <w:rStyle w:val="58"/>
          <w:rFonts w:ascii="宋体" w:hAnsi="宋体"/>
        </w:rPr>
        <w:t>2.2.2 评分分值计算保留小数点后两位，小数点后第三位“四舍五入”。</w:t>
      </w:r>
    </w:p>
    <w:p>
      <w:pPr>
        <w:spacing w:line="360" w:lineRule="auto"/>
        <w:rPr>
          <w:rStyle w:val="58"/>
          <w:rFonts w:ascii="宋体" w:hAnsi="宋体"/>
        </w:rPr>
      </w:pPr>
      <w:r>
        <w:rPr>
          <w:rStyle w:val="58"/>
          <w:rFonts w:ascii="宋体" w:hAnsi="宋体"/>
        </w:rPr>
        <w:t>2.2.3 投标人得分=评标委员会按照本章评分细则评审的得分。</w:t>
      </w:r>
    </w:p>
    <w:p>
      <w:pPr>
        <w:spacing w:line="360" w:lineRule="auto"/>
        <w:rPr>
          <w:rStyle w:val="58"/>
          <w:rFonts w:ascii="宋体" w:hAnsi="宋体"/>
        </w:rPr>
      </w:pPr>
      <w:r>
        <w:rPr>
          <w:rStyle w:val="58"/>
          <w:rFonts w:ascii="宋体" w:hAnsi="宋体"/>
        </w:rPr>
        <w:t>2.2.4 评标委员会发现投标人的报价明显低于其他投标报价，使得其投标报价可能低于其个别成本的，应当要求该投标人作出书面说明并提供相应的证明材料。投标人不能合理说明或者不能提供相应证明材料的，由评标委员会认定该投标人以低于成本报价竞标，其投标作废标处理。</w:t>
      </w:r>
    </w:p>
    <w:p>
      <w:pPr>
        <w:spacing w:line="360" w:lineRule="auto"/>
        <w:rPr>
          <w:rStyle w:val="58"/>
          <w:rFonts w:ascii="宋体" w:hAnsi="宋体"/>
          <w:b/>
        </w:rPr>
      </w:pPr>
      <w:r>
        <w:rPr>
          <w:rStyle w:val="58"/>
          <w:rFonts w:ascii="宋体" w:hAnsi="宋体"/>
          <w:b/>
        </w:rPr>
        <w:t>2.3 投标文件的澄清和补正</w:t>
      </w:r>
    </w:p>
    <w:p>
      <w:pPr>
        <w:spacing w:line="360" w:lineRule="auto"/>
        <w:rPr>
          <w:rStyle w:val="58"/>
          <w:rFonts w:ascii="宋体" w:hAnsi="宋体"/>
        </w:rPr>
      </w:pPr>
      <w:r>
        <w:rPr>
          <w:rStyle w:val="58"/>
          <w:rFonts w:ascii="宋体" w:hAnsi="宋体"/>
        </w:rPr>
        <w:t>2.3.1在评标过程中，评标委员会可以书面形式要求投标人对所提交投标文件中不明确的内容进行书面澄清或说明，或者对细微偏差进行补正。评标委员会不接受投标人主动提出的澄清、说明或补正。</w:t>
      </w:r>
    </w:p>
    <w:p>
      <w:pPr>
        <w:spacing w:line="360" w:lineRule="auto"/>
        <w:rPr>
          <w:rStyle w:val="58"/>
          <w:rFonts w:ascii="宋体" w:hAnsi="宋体"/>
        </w:rPr>
      </w:pPr>
      <w:r>
        <w:rPr>
          <w:rStyle w:val="58"/>
          <w:rFonts w:ascii="宋体" w:hAnsi="宋体"/>
        </w:rPr>
        <w:t>2.3.2 投标人的书面澄清、说明和补正属于投标文件的组成部分。</w:t>
      </w:r>
    </w:p>
    <w:p>
      <w:pPr>
        <w:spacing w:line="360" w:lineRule="auto"/>
        <w:rPr>
          <w:rStyle w:val="58"/>
          <w:rFonts w:ascii="宋体" w:hAnsi="宋体"/>
        </w:rPr>
      </w:pPr>
      <w:r>
        <w:rPr>
          <w:rStyle w:val="58"/>
          <w:rFonts w:ascii="宋体" w:hAnsi="宋体"/>
        </w:rPr>
        <w:t>2.3.3 评标委员会对投标人提交的澄清、说明或补正有疑问的，可以要求投标人进一步澄清、说明或补正，直至满足评标委员会的要求。</w:t>
      </w:r>
    </w:p>
    <w:p>
      <w:pPr>
        <w:spacing w:line="360" w:lineRule="auto"/>
        <w:rPr>
          <w:rStyle w:val="58"/>
          <w:rFonts w:ascii="宋体" w:hAnsi="宋体"/>
          <w:b/>
        </w:rPr>
      </w:pPr>
      <w:r>
        <w:rPr>
          <w:rStyle w:val="58"/>
          <w:rFonts w:ascii="宋体" w:hAnsi="宋体"/>
          <w:b/>
        </w:rPr>
        <w:t>2.4 评标结果</w:t>
      </w:r>
    </w:p>
    <w:p>
      <w:pPr>
        <w:spacing w:line="360" w:lineRule="auto"/>
        <w:rPr>
          <w:rFonts w:ascii="宋体" w:hAnsi="宋体"/>
        </w:rPr>
      </w:pPr>
      <w:r>
        <w:rPr>
          <w:rStyle w:val="58"/>
          <w:rFonts w:hint="eastAsia" w:ascii="宋体" w:hAnsi="宋体"/>
        </w:rPr>
        <w:t>2</w:t>
      </w:r>
      <w:r>
        <w:rPr>
          <w:rStyle w:val="58"/>
          <w:rFonts w:ascii="宋体" w:hAnsi="宋体"/>
        </w:rPr>
        <w:t>.4.1除第二章“投标人须知”前附表</w:t>
      </w:r>
      <w:r>
        <w:rPr>
          <w:rStyle w:val="58"/>
          <w:u w:val="single"/>
        </w:rPr>
        <w:t>第7.1款</w:t>
      </w:r>
      <w:r>
        <w:rPr>
          <w:rStyle w:val="58"/>
          <w:rFonts w:ascii="宋体" w:hAnsi="宋体"/>
        </w:rPr>
        <w:t>授权直接确定中标人外，</w:t>
      </w:r>
      <w:r>
        <w:rPr>
          <w:rStyle w:val="58"/>
          <w:rFonts w:hint="eastAsia"/>
        </w:rPr>
        <w:t>评标委员会按照最终报价</w:t>
      </w:r>
      <w:r>
        <w:rPr>
          <w:rFonts w:hint="eastAsia" w:ascii="宋体" w:hAnsi="宋体"/>
          <w:szCs w:val="21"/>
        </w:rPr>
        <w:t>由高到低的次序排列</w:t>
      </w:r>
      <w:r>
        <w:rPr>
          <w:rFonts w:hint="eastAsia" w:ascii="宋体" w:hAnsi="宋体"/>
        </w:rPr>
        <w:t>。</w:t>
      </w:r>
    </w:p>
    <w:p>
      <w:pPr>
        <w:spacing w:line="360" w:lineRule="auto"/>
        <w:rPr>
          <w:rStyle w:val="58"/>
          <w:rFonts w:ascii="宋体" w:hAnsi="宋体"/>
        </w:rPr>
      </w:pPr>
      <w:r>
        <w:rPr>
          <w:rStyle w:val="58"/>
          <w:rFonts w:ascii="宋体" w:hAnsi="宋体"/>
        </w:rPr>
        <w:t>2.4.2 评标委员会完成评标后，应当向招标人提交书面评标报告。</w:t>
      </w:r>
    </w:p>
    <w:p>
      <w:pPr>
        <w:pStyle w:val="62"/>
        <w:spacing w:before="0" w:after="0"/>
        <w:rPr>
          <w:rStyle w:val="58"/>
          <w:rFonts w:ascii="宋体" w:hAnsi="宋体"/>
          <w:sz w:val="24"/>
        </w:rPr>
      </w:pPr>
      <w:r>
        <w:rPr>
          <w:rStyle w:val="58"/>
          <w:rFonts w:ascii="宋体" w:hAnsi="宋体"/>
          <w:sz w:val="24"/>
        </w:rPr>
        <w:t>附件B：废标条件</w:t>
      </w:r>
    </w:p>
    <w:p>
      <w:pPr>
        <w:pStyle w:val="62"/>
        <w:spacing w:before="0" w:after="0"/>
        <w:rPr>
          <w:rStyle w:val="58"/>
          <w:rFonts w:ascii="宋体" w:hAnsi="宋体"/>
          <w:sz w:val="24"/>
        </w:rPr>
      </w:pPr>
      <w:bookmarkStart w:id="91" w:name="_Toc16063939"/>
      <w:r>
        <w:rPr>
          <w:rStyle w:val="58"/>
          <w:rFonts w:ascii="宋体" w:hAnsi="宋体"/>
          <w:sz w:val="24"/>
        </w:rPr>
        <w:t>B0、总则</w:t>
      </w:r>
      <w:bookmarkEnd w:id="91"/>
    </w:p>
    <w:p>
      <w:pPr>
        <w:spacing w:line="360" w:lineRule="auto"/>
        <w:ind w:firstLine="420" w:firstLineChars="200"/>
        <w:rPr>
          <w:rStyle w:val="58"/>
          <w:rFonts w:ascii="宋体" w:hAnsi="宋体"/>
        </w:rPr>
      </w:pPr>
      <w:r>
        <w:rPr>
          <w:rStyle w:val="58"/>
          <w:rFonts w:ascii="宋体" w:hAnsi="宋体"/>
        </w:rPr>
        <w:t>本附件所集中列示的废标条件，是本章“评标办法”的组成部分，是对第二章“投标人须知”和本章正文部分所规定的废标条件的总结和补充，如果出现相互矛盾的情况，以第二章“投标人须知”和本章正文部分的规定为准。</w:t>
      </w:r>
    </w:p>
    <w:p>
      <w:pPr>
        <w:pStyle w:val="62"/>
        <w:spacing w:before="0" w:after="0"/>
        <w:rPr>
          <w:rStyle w:val="58"/>
          <w:rFonts w:ascii="宋体" w:hAnsi="宋体"/>
          <w:sz w:val="24"/>
        </w:rPr>
      </w:pPr>
      <w:bookmarkStart w:id="92" w:name="_Toc16063940"/>
      <w:r>
        <w:rPr>
          <w:rStyle w:val="58"/>
          <w:rFonts w:ascii="宋体" w:hAnsi="宋体"/>
          <w:sz w:val="24"/>
        </w:rPr>
        <w:t>B1 废标条件</w:t>
      </w:r>
      <w:bookmarkEnd w:id="92"/>
    </w:p>
    <w:p>
      <w:pPr>
        <w:spacing w:line="360" w:lineRule="auto"/>
        <w:rPr>
          <w:rStyle w:val="58"/>
          <w:rFonts w:ascii="宋体" w:hAnsi="宋体"/>
        </w:rPr>
      </w:pPr>
      <w:r>
        <w:rPr>
          <w:rStyle w:val="58"/>
          <w:rFonts w:ascii="宋体" w:hAnsi="宋体"/>
        </w:rPr>
        <w:t xml:space="preserve">    投标人或其投标文件有下列情形之一的，其投标作废标处理：</w:t>
      </w:r>
    </w:p>
    <w:p>
      <w:pPr>
        <w:spacing w:line="360" w:lineRule="auto"/>
        <w:ind w:firstLine="420" w:firstLineChars="200"/>
        <w:rPr>
          <w:rStyle w:val="58"/>
          <w:rFonts w:ascii="宋体" w:hAnsi="宋体"/>
        </w:rPr>
      </w:pPr>
      <w:r>
        <w:rPr>
          <w:rStyle w:val="58"/>
          <w:rFonts w:ascii="宋体" w:hAnsi="宋体"/>
        </w:rPr>
        <w:t>B1.1有第二章“投标人须知”</w:t>
      </w:r>
      <w:r>
        <w:rPr>
          <w:rStyle w:val="45"/>
          <w:rFonts w:ascii="宋体" w:hAnsi="宋体"/>
          <w:color w:val="auto"/>
        </w:rPr>
        <w:t>第1.4.3</w:t>
      </w:r>
      <w:r>
        <w:rPr>
          <w:rStyle w:val="58"/>
          <w:rFonts w:ascii="宋体" w:hAnsi="宋体"/>
        </w:rPr>
        <w:t>项规定的任何一种情形的。</w:t>
      </w:r>
    </w:p>
    <w:p>
      <w:pPr>
        <w:spacing w:line="360" w:lineRule="auto"/>
        <w:ind w:firstLine="420" w:firstLineChars="200"/>
        <w:rPr>
          <w:rStyle w:val="58"/>
          <w:rFonts w:ascii="宋体" w:hAnsi="宋体"/>
          <w:shd w:val="clear" w:color="auto" w:fill="D9D9D9"/>
        </w:rPr>
      </w:pPr>
      <w:r>
        <w:rPr>
          <w:rStyle w:val="58"/>
          <w:rFonts w:ascii="宋体" w:hAnsi="宋体"/>
          <w:shd w:val="clear" w:color="auto" w:fill="D9D9D9"/>
        </w:rPr>
        <w:t>B1.2 有串通投标或弄虚作假或其他违法行为的，详下：</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B1.2.1投标人之间协商投标报价等投标文件的实质性内容；</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B1.2.2投标人之间约定中标人；</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B1.2.3投标人之间约定部分投标人放弃投标或者中标；</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B1.2.4属于同一集团、协会、商会等组织成员的投标人按照该组织要求协同投标；</w:t>
      </w:r>
    </w:p>
    <w:p>
      <w:pPr>
        <w:spacing w:line="360" w:lineRule="auto"/>
        <w:ind w:left="216" w:leftChars="103" w:firstLine="621" w:firstLineChars="296"/>
        <w:rPr>
          <w:rStyle w:val="58"/>
          <w:rFonts w:ascii="宋体" w:hAnsi="宋体"/>
          <w:shd w:val="clear" w:color="auto" w:fill="D9D9D9"/>
        </w:rPr>
      </w:pPr>
      <w:bookmarkStart w:id="93" w:name="_Toc16063941"/>
      <w:r>
        <w:rPr>
          <w:rStyle w:val="58"/>
          <w:rFonts w:ascii="宋体" w:hAnsi="宋体"/>
          <w:shd w:val="clear" w:color="auto" w:fill="D9D9D9"/>
        </w:rPr>
        <w:t>B1.2.5投标人之间为谋取中标或者排斥特定投标人而采取的其他联合行动；</w:t>
      </w:r>
      <w:bookmarkEnd w:id="93"/>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B1.2.6不同投标人的投标文件由同一单位或者个人编制；</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B1.2.7不同投标人委托同一单位或者个人办理投标事宜；</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B1.2.8不同投标人的投标文件载明的项目管理成员为同一人；</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B1.2.9 不同投标人聘请同一个人为其投标提供技术或者经济咨询服务的，但招标工程本身要求采用专有技术的除外；</w:t>
      </w:r>
    </w:p>
    <w:p>
      <w:pPr>
        <w:spacing w:line="360" w:lineRule="auto"/>
        <w:ind w:left="216" w:leftChars="103" w:firstLine="621" w:firstLineChars="296"/>
        <w:rPr>
          <w:rStyle w:val="58"/>
          <w:rFonts w:ascii="宋体" w:hAnsi="宋体"/>
          <w:shd w:val="clear" w:color="auto" w:fill="D9D9D9"/>
        </w:rPr>
      </w:pPr>
      <w:bookmarkStart w:id="94" w:name="_Toc16063942"/>
      <w:r>
        <w:rPr>
          <w:rStyle w:val="58"/>
          <w:rFonts w:ascii="宋体" w:hAnsi="宋体"/>
          <w:shd w:val="clear" w:color="auto" w:fill="D9D9D9"/>
        </w:rPr>
        <w:t>B1.2.10不同投标人的投标文件异常一致或者投标报价呈规律性差异；</w:t>
      </w:r>
      <w:bookmarkEnd w:id="94"/>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B1.2.11不同投标人的投标文件错漏之处一致的；</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B1.2.12不同投标人的投标文件相互混装；</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B1.2.13不同投标人的投标文件由同一台电脑编制或者同一台附属设备打印；</w:t>
      </w:r>
    </w:p>
    <w:p>
      <w:pPr>
        <w:spacing w:line="360" w:lineRule="auto"/>
        <w:ind w:left="216" w:leftChars="103" w:firstLine="621" w:firstLineChars="296"/>
        <w:rPr>
          <w:rStyle w:val="58"/>
          <w:rFonts w:ascii="宋体" w:hAnsi="宋体"/>
          <w:shd w:val="clear" w:color="auto" w:fill="D9D9D9"/>
        </w:rPr>
      </w:pPr>
      <w:bookmarkStart w:id="95" w:name="_Toc16063943"/>
      <w:r>
        <w:rPr>
          <w:rStyle w:val="58"/>
          <w:rFonts w:ascii="宋体" w:hAnsi="宋体"/>
          <w:shd w:val="clear" w:color="auto" w:fill="D9D9D9"/>
        </w:rPr>
        <w:t>B1.2.14不同投标人的投标保证金从同一单位或者个人的账户转出；</w:t>
      </w:r>
      <w:bookmarkEnd w:id="95"/>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B1.2.15不同投标人使用同一个人或者企业资金交纳投标保证金或者投标保函的反担保的；</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B1.2.16使用伪造、变造的许可证件；</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B1.2.17提供虚假的财务状况或者业绩；</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B1.2.18提供虚假的项目负责人或者主要技术人员简历、劳动关系证明；</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B1.2.19提供虚假的信用状况；</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B1.2.20其他弄虚作假的行为；</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B1.2.21招标人在开标前开启投标文件并将有关信息泄露给其他投标人;</w:t>
      </w:r>
    </w:p>
    <w:p>
      <w:pPr>
        <w:spacing w:line="360" w:lineRule="auto"/>
        <w:ind w:left="216" w:leftChars="103" w:firstLine="621" w:firstLineChars="296"/>
        <w:rPr>
          <w:rStyle w:val="58"/>
          <w:rFonts w:ascii="宋体" w:hAnsi="宋体"/>
          <w:shd w:val="clear" w:color="auto" w:fill="D9D9D9"/>
        </w:rPr>
      </w:pPr>
      <w:bookmarkStart w:id="96" w:name="_Toc16063944"/>
      <w:r>
        <w:rPr>
          <w:rStyle w:val="58"/>
          <w:rFonts w:ascii="宋体" w:hAnsi="宋体"/>
          <w:shd w:val="clear" w:color="auto" w:fill="D9D9D9"/>
        </w:rPr>
        <w:t>B1.2.22招标人直接或者间接向投标人泄露标底、评标委员会成员等信息；</w:t>
      </w:r>
      <w:bookmarkEnd w:id="96"/>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B1.2.23招标人明示或者暗示投标人压低或者抬高投标报价；</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B1.2.24招标人授意投标人撤换、修改投标文件；</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B1.2.25招标人明示或者暗示投标人为特定投标人中标提供方便；</w:t>
      </w:r>
    </w:p>
    <w:p>
      <w:pPr>
        <w:spacing w:line="360" w:lineRule="auto"/>
        <w:ind w:left="216" w:leftChars="103" w:firstLine="621" w:firstLineChars="296"/>
        <w:rPr>
          <w:rStyle w:val="58"/>
          <w:rFonts w:ascii="宋体" w:hAnsi="宋体"/>
          <w:shd w:val="clear" w:color="auto" w:fill="D9D9D9"/>
        </w:rPr>
      </w:pPr>
      <w:r>
        <w:rPr>
          <w:rStyle w:val="58"/>
          <w:rFonts w:ascii="宋体" w:hAnsi="宋体"/>
          <w:shd w:val="clear" w:color="auto" w:fill="D9D9D9"/>
        </w:rPr>
        <w:t>B1.2.26招标人与投标人为谋求特定投标人中标而采取的其他串通行为；</w:t>
      </w:r>
    </w:p>
    <w:p>
      <w:pPr>
        <w:spacing w:line="360" w:lineRule="auto"/>
        <w:ind w:left="216" w:leftChars="103" w:firstLine="621" w:firstLineChars="296"/>
        <w:rPr>
          <w:rStyle w:val="58"/>
          <w:rFonts w:ascii="宋体" w:hAnsi="宋体"/>
          <w:shd w:val="clear" w:color="auto" w:fill="D9D9D9"/>
        </w:rPr>
      </w:pPr>
      <w:bookmarkStart w:id="97" w:name="_Toc16063945"/>
      <w:r>
        <w:rPr>
          <w:rStyle w:val="58"/>
          <w:rFonts w:ascii="宋体" w:hAnsi="宋体"/>
          <w:shd w:val="clear" w:color="auto" w:fill="D9D9D9"/>
        </w:rPr>
        <w:t>B1.2.27评标委员会认定的其他串通投标情形；</w:t>
      </w:r>
      <w:bookmarkEnd w:id="97"/>
    </w:p>
    <w:p>
      <w:pPr>
        <w:spacing w:line="360" w:lineRule="auto"/>
        <w:ind w:firstLine="420" w:firstLineChars="200"/>
        <w:rPr>
          <w:rStyle w:val="58"/>
          <w:rFonts w:ascii="宋体" w:hAnsi="宋体"/>
        </w:rPr>
      </w:pPr>
      <w:r>
        <w:rPr>
          <w:rStyle w:val="58"/>
          <w:rFonts w:ascii="宋体" w:hAnsi="宋体"/>
        </w:rPr>
        <w:t>B1.3不按评标委员会要求澄清、说明或补正的。</w:t>
      </w:r>
    </w:p>
    <w:p>
      <w:pPr>
        <w:spacing w:line="360" w:lineRule="auto"/>
        <w:ind w:firstLine="422" w:firstLineChars="200"/>
        <w:rPr>
          <w:rStyle w:val="58"/>
          <w:rFonts w:ascii="宋体" w:hAnsi="宋体"/>
          <w:b/>
        </w:rPr>
      </w:pPr>
      <w:r>
        <w:rPr>
          <w:rStyle w:val="58"/>
          <w:rFonts w:ascii="宋体" w:hAnsi="宋体"/>
          <w:b/>
        </w:rPr>
        <w:t>B1.</w:t>
      </w:r>
      <w:r>
        <w:rPr>
          <w:rStyle w:val="58"/>
          <w:rFonts w:hint="eastAsia" w:ascii="宋体" w:hAnsi="宋体"/>
          <w:b/>
        </w:rPr>
        <w:t>4</w:t>
      </w:r>
      <w:r>
        <w:rPr>
          <w:rStyle w:val="58"/>
          <w:rFonts w:ascii="宋体" w:hAnsi="宋体"/>
          <w:b/>
        </w:rPr>
        <w:t>投标报价文件（投标函除外）未经有资格的工程造价专业人员签字并加盖执业专用章的。</w:t>
      </w:r>
    </w:p>
    <w:p>
      <w:pPr>
        <w:spacing w:line="360" w:lineRule="auto"/>
        <w:ind w:firstLine="420" w:firstLineChars="200"/>
        <w:rPr>
          <w:rStyle w:val="58"/>
          <w:rFonts w:ascii="宋体" w:hAnsi="宋体"/>
        </w:rPr>
      </w:pPr>
      <w:r>
        <w:rPr>
          <w:rStyle w:val="58"/>
          <w:rFonts w:ascii="宋体" w:hAnsi="宋体"/>
        </w:rPr>
        <w:t>B1.</w:t>
      </w:r>
      <w:r>
        <w:rPr>
          <w:rStyle w:val="58"/>
          <w:rFonts w:hint="eastAsia" w:ascii="宋体" w:hAnsi="宋体"/>
        </w:rPr>
        <w:t>5</w:t>
      </w:r>
      <w:r>
        <w:rPr>
          <w:rStyle w:val="58"/>
          <w:rFonts w:ascii="宋体" w:hAnsi="宋体"/>
        </w:rPr>
        <w:t>在施工组织设计和项目管理机构评审中，评标委员会认定投标人的投标未能通过此项评审的。</w:t>
      </w:r>
    </w:p>
    <w:p>
      <w:pPr>
        <w:spacing w:line="360" w:lineRule="auto"/>
        <w:ind w:firstLine="420" w:firstLineChars="200"/>
        <w:rPr>
          <w:rStyle w:val="58"/>
          <w:rFonts w:ascii="宋体" w:hAnsi="宋体"/>
        </w:rPr>
      </w:pPr>
      <w:r>
        <w:rPr>
          <w:rStyle w:val="58"/>
          <w:rFonts w:ascii="宋体" w:hAnsi="宋体"/>
        </w:rPr>
        <w:t>B1.</w:t>
      </w:r>
      <w:r>
        <w:rPr>
          <w:rStyle w:val="58"/>
          <w:rFonts w:hint="eastAsia" w:ascii="宋体" w:hAnsi="宋体"/>
        </w:rPr>
        <w:t>6</w:t>
      </w:r>
      <w:r>
        <w:rPr>
          <w:rStyle w:val="58"/>
          <w:rFonts w:ascii="宋体" w:hAnsi="宋体"/>
        </w:rPr>
        <w:t>评标委员会认定投标人以低于成本报价竞标的。</w:t>
      </w:r>
    </w:p>
    <w:p>
      <w:pPr>
        <w:spacing w:line="360" w:lineRule="auto"/>
        <w:ind w:firstLine="420" w:firstLineChars="200"/>
        <w:rPr>
          <w:rStyle w:val="58"/>
          <w:rFonts w:ascii="宋体" w:hAnsi="宋体"/>
        </w:rPr>
      </w:pPr>
      <w:r>
        <w:rPr>
          <w:rStyle w:val="58"/>
          <w:rFonts w:ascii="宋体" w:hAnsi="宋体"/>
        </w:rPr>
        <w:t>B1.</w:t>
      </w:r>
      <w:r>
        <w:rPr>
          <w:rStyle w:val="58"/>
          <w:rFonts w:hint="eastAsia" w:ascii="宋体" w:hAnsi="宋体"/>
        </w:rPr>
        <w:t>7</w:t>
      </w:r>
      <w:r>
        <w:rPr>
          <w:rStyle w:val="58"/>
          <w:rFonts w:ascii="宋体" w:hAnsi="宋体"/>
        </w:rPr>
        <w:t xml:space="preserve">投标人未按第二章 </w:t>
      </w:r>
      <w:r>
        <w:rPr>
          <w:rStyle w:val="45"/>
          <w:rFonts w:ascii="宋体" w:hAnsi="宋体"/>
          <w:color w:val="auto"/>
        </w:rPr>
        <w:t>投标人须知前附表第11.5款</w:t>
      </w:r>
      <w:r>
        <w:rPr>
          <w:rStyle w:val="58"/>
          <w:rFonts w:ascii="宋体" w:hAnsi="宋体"/>
        </w:rPr>
        <w:t>规定出席开标会的。</w:t>
      </w:r>
    </w:p>
    <w:p>
      <w:pPr>
        <w:spacing w:line="360" w:lineRule="auto"/>
        <w:ind w:left="420" w:leftChars="200"/>
        <w:rPr>
          <w:rStyle w:val="58"/>
          <w:rFonts w:ascii="宋体" w:hAnsi="宋体"/>
          <w:szCs w:val="22"/>
        </w:rPr>
      </w:pPr>
      <w:r>
        <w:rPr>
          <w:rStyle w:val="58"/>
          <w:rFonts w:hint="eastAsia" w:ascii="宋体" w:hAnsi="宋体"/>
          <w:szCs w:val="22"/>
        </w:rPr>
        <w:t>B1.8</w:t>
      </w:r>
      <w:r>
        <w:rPr>
          <w:rStyle w:val="58"/>
          <w:rFonts w:ascii="宋体" w:hAnsi="宋体"/>
          <w:szCs w:val="22"/>
        </w:rPr>
        <w:t>符合条件、或对招标文件做实质响应的供应商不足3家的</w:t>
      </w:r>
      <w:r>
        <w:rPr>
          <w:rStyle w:val="58"/>
          <w:rFonts w:hint="eastAsia" w:ascii="宋体" w:hAnsi="宋体"/>
          <w:szCs w:val="22"/>
        </w:rPr>
        <w:t>。</w:t>
      </w:r>
    </w:p>
    <w:p>
      <w:pPr>
        <w:spacing w:line="360" w:lineRule="auto"/>
        <w:ind w:left="420" w:leftChars="200"/>
        <w:rPr>
          <w:rStyle w:val="58"/>
          <w:rFonts w:ascii="宋体" w:hAnsi="宋体"/>
        </w:rPr>
      </w:pPr>
      <w:r>
        <w:rPr>
          <w:rStyle w:val="58"/>
          <w:rFonts w:hint="eastAsia" w:ascii="宋体" w:hAnsi="宋体"/>
          <w:szCs w:val="22"/>
        </w:rPr>
        <w:t>B1.9</w:t>
      </w:r>
      <w:r>
        <w:rPr>
          <w:rStyle w:val="58"/>
          <w:rFonts w:ascii="宋体" w:hAnsi="宋体"/>
          <w:szCs w:val="22"/>
        </w:rPr>
        <w:t>出现影响采购公正的违法违规行为的、投标人报价均超过采购预算的、因重大变故、采购任务取消的等</w:t>
      </w:r>
      <w:r>
        <w:rPr>
          <w:rStyle w:val="58"/>
          <w:rFonts w:hint="eastAsia" w:ascii="宋体" w:hAnsi="宋体"/>
          <w:szCs w:val="22"/>
        </w:rPr>
        <w:t>。</w:t>
      </w:r>
      <w:r>
        <w:rPr>
          <w:rStyle w:val="58"/>
          <w:rFonts w:ascii="宋体" w:hAnsi="宋体"/>
        </w:rPr>
        <w:br w:type="page"/>
      </w:r>
    </w:p>
    <w:p>
      <w:pPr>
        <w:pStyle w:val="6"/>
        <w:jc w:val="center"/>
        <w:rPr>
          <w:i w:val="0"/>
          <w:iCs w:val="0"/>
          <w:sz w:val="32"/>
          <w:szCs w:val="32"/>
        </w:rPr>
      </w:pPr>
      <w:bookmarkStart w:id="98" w:name="_Toc11114"/>
      <w:bookmarkStart w:id="99" w:name="_Toc220505575"/>
      <w:bookmarkStart w:id="100" w:name="_Toc17817336"/>
      <w:r>
        <w:rPr>
          <w:i w:val="0"/>
          <w:iCs w:val="0"/>
          <w:sz w:val="32"/>
          <w:szCs w:val="32"/>
        </w:rPr>
        <w:t>第四章</w:t>
      </w:r>
      <w:r>
        <w:rPr>
          <w:rFonts w:hint="eastAsia"/>
          <w:i w:val="0"/>
          <w:iCs w:val="0"/>
          <w:sz w:val="32"/>
          <w:szCs w:val="32"/>
        </w:rPr>
        <w:t xml:space="preserve"> </w:t>
      </w:r>
      <w:r>
        <w:rPr>
          <w:i w:val="0"/>
          <w:iCs w:val="0"/>
          <w:sz w:val="32"/>
          <w:szCs w:val="32"/>
        </w:rPr>
        <w:t>合同条款及格式</w:t>
      </w:r>
      <w:bookmarkEnd w:id="98"/>
      <w:bookmarkEnd w:id="99"/>
      <w:bookmarkEnd w:id="100"/>
    </w:p>
    <w:p>
      <w:pPr>
        <w:jc w:val="center"/>
        <w:rPr>
          <w:rStyle w:val="58"/>
        </w:rPr>
      </w:pPr>
      <w:r>
        <w:rPr>
          <w:rStyle w:val="58"/>
          <w:rFonts w:hint="eastAsia" w:ascii="宋体" w:hAnsi="宋体"/>
          <w:b/>
          <w:bCs/>
        </w:rPr>
        <w:t>（</w:t>
      </w:r>
      <w:r>
        <w:rPr>
          <w:rStyle w:val="58"/>
          <w:rFonts w:ascii="宋体" w:hAnsi="宋体"/>
          <w:b/>
          <w:bCs/>
        </w:rPr>
        <w:t>以最终签署合同文本为准）</w:t>
      </w:r>
    </w:p>
    <w:p>
      <w:bookmarkStart w:id="101" w:name="_Toc363561426"/>
      <w:bookmarkStart w:id="102" w:name="_Toc294124220"/>
    </w:p>
    <w:p>
      <w:pPr>
        <w:wordWrap w:val="0"/>
        <w:adjustRightInd w:val="0"/>
        <w:snapToGrid w:val="0"/>
        <w:spacing w:line="360" w:lineRule="auto"/>
        <w:ind w:firstLine="562"/>
        <w:jc w:val="right"/>
        <w:rPr>
          <w:rFonts w:ascii="宋体" w:hAnsi="宋体"/>
          <w:b/>
          <w:sz w:val="28"/>
          <w:szCs w:val="28"/>
        </w:rPr>
      </w:pPr>
      <w:bookmarkStart w:id="103" w:name="_Hlk202963756"/>
      <w:r>
        <w:rPr>
          <w:rFonts w:hint="eastAsia" w:ascii="宋体" w:hAnsi="宋体"/>
          <w:b/>
          <w:sz w:val="28"/>
          <w:szCs w:val="28"/>
        </w:rPr>
        <w:t>合同编号：</w:t>
      </w:r>
      <w:r>
        <w:rPr>
          <w:rFonts w:ascii="宋体" w:hAnsi="宋体"/>
          <w:b/>
          <w:sz w:val="28"/>
          <w:szCs w:val="36"/>
          <w:u w:val="thick"/>
        </w:rPr>
        <w:t xml:space="preserve">            </w:t>
      </w:r>
    </w:p>
    <w:p>
      <w:pPr>
        <w:adjustRightInd w:val="0"/>
        <w:snapToGrid w:val="0"/>
        <w:spacing w:line="360" w:lineRule="auto"/>
        <w:ind w:firstLine="400"/>
        <w:jc w:val="left"/>
        <w:rPr>
          <w:rFonts w:ascii="宋体" w:hAnsi="宋体"/>
          <w:sz w:val="20"/>
          <w:szCs w:val="20"/>
        </w:rPr>
      </w:pPr>
    </w:p>
    <w:p>
      <w:pPr>
        <w:adjustRightInd w:val="0"/>
        <w:snapToGrid w:val="0"/>
        <w:spacing w:line="360" w:lineRule="auto"/>
        <w:ind w:firstLine="400"/>
        <w:jc w:val="left"/>
        <w:rPr>
          <w:rFonts w:ascii="宋体" w:hAnsi="宋体"/>
          <w:sz w:val="20"/>
          <w:szCs w:val="20"/>
        </w:rPr>
      </w:pPr>
    </w:p>
    <w:p>
      <w:pPr>
        <w:adjustRightInd w:val="0"/>
        <w:snapToGrid w:val="0"/>
        <w:spacing w:line="360" w:lineRule="auto"/>
        <w:ind w:firstLine="400"/>
        <w:jc w:val="left"/>
        <w:rPr>
          <w:rFonts w:ascii="宋体" w:hAnsi="宋体"/>
          <w:sz w:val="20"/>
          <w:szCs w:val="20"/>
        </w:rPr>
      </w:pPr>
    </w:p>
    <w:p>
      <w:pPr>
        <w:adjustRightInd w:val="0"/>
        <w:snapToGrid w:val="0"/>
        <w:spacing w:line="360" w:lineRule="auto"/>
        <w:ind w:firstLine="400"/>
        <w:jc w:val="left"/>
        <w:rPr>
          <w:rFonts w:ascii="宋体" w:hAnsi="宋体"/>
          <w:sz w:val="20"/>
          <w:szCs w:val="20"/>
        </w:rPr>
      </w:pPr>
    </w:p>
    <w:p>
      <w:pPr>
        <w:adjustRightInd w:val="0"/>
        <w:snapToGrid w:val="0"/>
        <w:spacing w:line="360" w:lineRule="auto"/>
        <w:jc w:val="center"/>
        <w:rPr>
          <w:rFonts w:ascii="宋体" w:hAnsi="宋体"/>
          <w:b/>
          <w:bCs/>
          <w:sz w:val="52"/>
          <w:szCs w:val="36"/>
        </w:rPr>
      </w:pPr>
      <w:r>
        <w:rPr>
          <w:rFonts w:hint="eastAsia" w:ascii="宋体" w:hAnsi="宋体"/>
          <w:b/>
          <w:bCs/>
          <w:sz w:val="52"/>
          <w:szCs w:val="36"/>
        </w:rPr>
        <w:t>建设工程施工合同</w:t>
      </w:r>
    </w:p>
    <w:p>
      <w:pPr>
        <w:adjustRightInd w:val="0"/>
        <w:snapToGrid w:val="0"/>
        <w:spacing w:line="360" w:lineRule="auto"/>
        <w:ind w:firstLine="723"/>
        <w:jc w:val="left"/>
        <w:rPr>
          <w:rFonts w:ascii="宋体" w:hAnsi="宋体"/>
          <w:b/>
          <w:sz w:val="36"/>
          <w:szCs w:val="36"/>
        </w:rPr>
      </w:pPr>
    </w:p>
    <w:p>
      <w:pPr>
        <w:adjustRightInd w:val="0"/>
        <w:snapToGrid w:val="0"/>
        <w:spacing w:line="360" w:lineRule="auto"/>
        <w:ind w:firstLine="723"/>
        <w:jc w:val="left"/>
        <w:rPr>
          <w:rFonts w:ascii="宋体" w:hAnsi="宋体"/>
          <w:b/>
          <w:sz w:val="36"/>
          <w:szCs w:val="36"/>
        </w:rPr>
      </w:pPr>
    </w:p>
    <w:p>
      <w:pPr>
        <w:adjustRightInd w:val="0"/>
        <w:snapToGrid w:val="0"/>
        <w:spacing w:line="360" w:lineRule="auto"/>
        <w:ind w:firstLine="723"/>
        <w:jc w:val="left"/>
        <w:rPr>
          <w:rFonts w:ascii="宋体" w:hAnsi="宋体"/>
          <w:b/>
          <w:sz w:val="36"/>
          <w:szCs w:val="36"/>
        </w:rPr>
      </w:pPr>
    </w:p>
    <w:p>
      <w:pPr>
        <w:adjustRightInd w:val="0"/>
        <w:snapToGrid w:val="0"/>
        <w:spacing w:line="360" w:lineRule="auto"/>
        <w:ind w:firstLine="723"/>
        <w:jc w:val="left"/>
        <w:rPr>
          <w:rFonts w:ascii="宋体" w:hAnsi="宋体"/>
          <w:b/>
          <w:sz w:val="36"/>
          <w:szCs w:val="36"/>
        </w:rPr>
      </w:pPr>
    </w:p>
    <w:p>
      <w:pPr>
        <w:pStyle w:val="19"/>
        <w:ind w:left="420" w:firstLine="560"/>
      </w:pPr>
    </w:p>
    <w:p>
      <w:pPr>
        <w:adjustRightInd w:val="0"/>
        <w:snapToGrid w:val="0"/>
        <w:spacing w:line="360" w:lineRule="auto"/>
        <w:ind w:firstLine="2327" w:firstLineChars="644"/>
        <w:jc w:val="left"/>
        <w:rPr>
          <w:rFonts w:ascii="宋体" w:hAnsi="宋体"/>
          <w:b/>
          <w:sz w:val="36"/>
          <w:szCs w:val="36"/>
        </w:rPr>
      </w:pPr>
    </w:p>
    <w:p>
      <w:pPr>
        <w:adjustRightInd w:val="0"/>
        <w:snapToGrid w:val="0"/>
        <w:spacing w:line="360" w:lineRule="auto"/>
        <w:ind w:firstLine="2530" w:firstLineChars="900"/>
        <w:jc w:val="left"/>
        <w:rPr>
          <w:rFonts w:ascii="宋体" w:hAnsi="宋体"/>
          <w:b/>
          <w:sz w:val="28"/>
          <w:szCs w:val="36"/>
          <w:u w:val="thick"/>
        </w:rPr>
      </w:pPr>
      <w:r>
        <w:rPr>
          <w:rFonts w:hint="eastAsia" w:ascii="宋体" w:hAnsi="宋体"/>
          <w:b/>
          <w:sz w:val="28"/>
          <w:szCs w:val="36"/>
        </w:rPr>
        <w:t>项目名称：</w:t>
      </w:r>
      <w:r>
        <w:rPr>
          <w:rFonts w:ascii="宋体" w:hAnsi="宋体"/>
          <w:b/>
          <w:sz w:val="28"/>
          <w:szCs w:val="36"/>
          <w:u w:val="thick"/>
        </w:rPr>
        <w:t xml:space="preserve">                           </w:t>
      </w:r>
    </w:p>
    <w:p>
      <w:pPr>
        <w:pStyle w:val="19"/>
        <w:ind w:left="420" w:firstLine="2520" w:firstLineChars="900"/>
      </w:pPr>
    </w:p>
    <w:p>
      <w:pPr>
        <w:adjustRightInd w:val="0"/>
        <w:snapToGrid w:val="0"/>
        <w:spacing w:line="360" w:lineRule="auto"/>
        <w:ind w:firstLine="2530" w:firstLineChars="900"/>
        <w:jc w:val="left"/>
        <w:rPr>
          <w:rFonts w:ascii="宋体" w:hAnsi="宋体"/>
          <w:b/>
          <w:sz w:val="28"/>
          <w:szCs w:val="36"/>
        </w:rPr>
      </w:pPr>
      <w:r>
        <w:rPr>
          <w:rFonts w:hint="eastAsia" w:ascii="宋体" w:hAnsi="宋体"/>
          <w:b/>
          <w:sz w:val="28"/>
          <w:szCs w:val="36"/>
        </w:rPr>
        <w:t>发 包 人：</w:t>
      </w:r>
      <w:r>
        <w:rPr>
          <w:rFonts w:hint="eastAsia" w:ascii="宋体" w:hAnsi="宋体"/>
          <w:b/>
          <w:sz w:val="28"/>
          <w:szCs w:val="36"/>
          <w:u w:val="thick"/>
        </w:rPr>
        <w:t>中国重汽集团济南动力有限公司</w:t>
      </w:r>
    </w:p>
    <w:p>
      <w:pPr>
        <w:adjustRightInd w:val="0"/>
        <w:snapToGrid w:val="0"/>
        <w:spacing w:line="360" w:lineRule="auto"/>
        <w:ind w:firstLine="2530" w:firstLineChars="900"/>
        <w:jc w:val="left"/>
        <w:rPr>
          <w:rFonts w:ascii="宋体" w:hAnsi="宋体"/>
          <w:b/>
          <w:sz w:val="28"/>
          <w:szCs w:val="36"/>
        </w:rPr>
      </w:pPr>
    </w:p>
    <w:p>
      <w:pPr>
        <w:adjustRightInd w:val="0"/>
        <w:snapToGrid w:val="0"/>
        <w:spacing w:line="360" w:lineRule="auto"/>
        <w:ind w:firstLine="2530" w:firstLineChars="900"/>
        <w:jc w:val="left"/>
        <w:rPr>
          <w:rFonts w:ascii="宋体" w:hAnsi="宋体"/>
          <w:b/>
          <w:sz w:val="28"/>
          <w:szCs w:val="36"/>
        </w:rPr>
      </w:pPr>
      <w:r>
        <w:rPr>
          <w:rFonts w:hint="eastAsia" w:ascii="宋体" w:hAnsi="宋体"/>
          <w:b/>
          <w:sz w:val="28"/>
          <w:szCs w:val="36"/>
        </w:rPr>
        <w:t>承 包 人：</w:t>
      </w:r>
      <w:r>
        <w:rPr>
          <w:rFonts w:ascii="宋体" w:hAnsi="宋体"/>
          <w:b/>
          <w:sz w:val="28"/>
          <w:szCs w:val="36"/>
          <w:u w:val="thick"/>
        </w:rPr>
        <w:t xml:space="preserve">                           </w:t>
      </w:r>
    </w:p>
    <w:p>
      <w:pPr>
        <w:adjustRightInd w:val="0"/>
        <w:snapToGrid w:val="0"/>
        <w:spacing w:line="360" w:lineRule="auto"/>
        <w:ind w:firstLine="2530" w:firstLineChars="900"/>
        <w:jc w:val="left"/>
        <w:rPr>
          <w:rFonts w:ascii="宋体" w:hAnsi="宋体"/>
          <w:b/>
          <w:sz w:val="28"/>
          <w:szCs w:val="36"/>
        </w:rPr>
      </w:pPr>
    </w:p>
    <w:p>
      <w:pPr>
        <w:pStyle w:val="80"/>
        <w:adjustRightInd w:val="0"/>
        <w:snapToGrid w:val="0"/>
        <w:spacing w:before="0" w:after="0" w:line="520" w:lineRule="exact"/>
        <w:ind w:firstLine="562"/>
        <w:rPr>
          <w:rFonts w:ascii="宋体" w:hAnsi="宋体"/>
          <w:sz w:val="28"/>
          <w:szCs w:val="36"/>
        </w:rPr>
        <w:sectPr>
          <w:headerReference r:id="rId7" w:type="default"/>
          <w:pgSz w:w="11907" w:h="16840"/>
          <w:pgMar w:top="1213" w:right="1134" w:bottom="907" w:left="1134" w:header="794" w:footer="907" w:gutter="0"/>
          <w:cols w:space="720" w:num="1"/>
          <w:titlePg/>
        </w:sectPr>
      </w:pPr>
    </w:p>
    <w:p>
      <w:pPr>
        <w:adjustRightInd w:val="0"/>
        <w:snapToGrid w:val="0"/>
        <w:spacing w:line="520" w:lineRule="exact"/>
        <w:ind w:firstLine="482"/>
        <w:rPr>
          <w:rFonts w:ascii="仿宋" w:hAnsi="仿宋" w:eastAsia="仿宋" w:cs="仿宋"/>
          <w:b/>
          <w:sz w:val="24"/>
          <w:u w:val="single"/>
        </w:rPr>
      </w:pPr>
      <w:r>
        <w:rPr>
          <w:rFonts w:hint="eastAsia" w:ascii="仿宋" w:hAnsi="仿宋" w:eastAsia="仿宋" w:cs="仿宋"/>
          <w:b/>
          <w:sz w:val="24"/>
        </w:rPr>
        <w:t>发包人（全称）：</w:t>
      </w:r>
      <w:r>
        <w:rPr>
          <w:rFonts w:hint="eastAsia" w:ascii="仿宋" w:hAnsi="仿宋" w:eastAsia="仿宋" w:cs="仿宋"/>
          <w:b/>
          <w:sz w:val="24"/>
          <w:u w:val="single"/>
        </w:rPr>
        <w:t>中国重汽集团济南动力有限公司</w:t>
      </w:r>
    </w:p>
    <w:p>
      <w:pPr>
        <w:pStyle w:val="19"/>
        <w:ind w:left="420" w:firstLine="482"/>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章丘市圣井唐王山路北潘王路西</w:t>
      </w:r>
    </w:p>
    <w:p>
      <w:pPr>
        <w:pStyle w:val="19"/>
        <w:ind w:left="420" w:firstLine="482"/>
        <w:rPr>
          <w:rFonts w:ascii="仿宋" w:hAnsi="仿宋" w:eastAsia="仿宋" w:cs="仿宋"/>
          <w:b/>
          <w:sz w:val="24"/>
          <w:szCs w:val="24"/>
          <w:u w:val="single"/>
        </w:rPr>
      </w:pPr>
    </w:p>
    <w:p>
      <w:pPr>
        <w:adjustRightInd w:val="0"/>
        <w:snapToGrid w:val="0"/>
        <w:spacing w:line="520" w:lineRule="exact"/>
        <w:ind w:firstLine="482"/>
        <w:rPr>
          <w:rFonts w:ascii="仿宋" w:hAnsi="仿宋" w:eastAsia="仿宋" w:cs="仿宋"/>
          <w:b/>
          <w:sz w:val="24"/>
          <w:u w:val="single"/>
        </w:rPr>
      </w:pPr>
      <w:r>
        <w:rPr>
          <w:rFonts w:hint="eastAsia" w:ascii="仿宋" w:hAnsi="仿宋" w:eastAsia="仿宋" w:cs="仿宋"/>
          <w:b/>
          <w:sz w:val="24"/>
        </w:rPr>
        <w:t>承包人（全称）：</w:t>
      </w:r>
      <w:r>
        <w:rPr>
          <w:rFonts w:hint="eastAsia" w:ascii="仿宋" w:hAnsi="仿宋" w:eastAsia="仿宋" w:cs="仿宋"/>
          <w:b/>
          <w:sz w:val="24"/>
          <w:u w:val="single"/>
        </w:rPr>
        <w:t>     </w:t>
      </w:r>
    </w:p>
    <w:p>
      <w:pPr>
        <w:pStyle w:val="19"/>
        <w:ind w:left="420" w:firstLine="482"/>
        <w:rPr>
          <w:rFonts w:ascii="仿宋" w:hAnsi="仿宋" w:eastAsia="仿宋" w:cs="仿宋"/>
          <w:b/>
          <w:sz w:val="24"/>
          <w:szCs w:val="24"/>
          <w:u w:val="single"/>
        </w:rPr>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pPr>
        <w:adjustRightInd w:val="0"/>
        <w:snapToGrid w:val="0"/>
        <w:spacing w:line="520" w:lineRule="exact"/>
        <w:ind w:firstLine="480" w:firstLineChars="200"/>
        <w:rPr>
          <w:rFonts w:ascii="仿宋" w:hAnsi="仿宋" w:eastAsia="仿宋" w:cs="仿宋"/>
          <w:sz w:val="24"/>
        </w:rPr>
      </w:pPr>
      <w:r>
        <w:rPr>
          <w:rFonts w:hint="eastAsia" w:ascii="仿宋" w:hAnsi="仿宋" w:eastAsia="仿宋" w:cs="仿宋"/>
          <w:sz w:val="24"/>
        </w:rPr>
        <w:t>根据《中华人民共和国民法典》《中华人民共和国建筑法》及有关法律规定，遵循平等、自愿、公平和诚实信用的原则，双方就</w:t>
      </w:r>
      <w:r>
        <w:rPr>
          <w:rFonts w:hint="eastAsia" w:ascii="仿宋" w:hAnsi="仿宋" w:eastAsia="仿宋" w:cs="仿宋"/>
          <w:sz w:val="24"/>
          <w:u w:val="single"/>
        </w:rPr>
        <w:t xml:space="preserve"> </w:t>
      </w:r>
      <w:r>
        <w:rPr>
          <w:rFonts w:ascii="仿宋" w:hAnsi="仿宋" w:eastAsia="仿宋" w:cs="仿宋"/>
          <w:sz w:val="24"/>
          <w:u w:val="single"/>
        </w:rPr>
        <w:t xml:space="preserve">         </w:t>
      </w:r>
      <w:r>
        <w:rPr>
          <w:rFonts w:hint="eastAsia" w:ascii="仿宋" w:hAnsi="仿宋" w:eastAsia="仿宋" w:cs="仿宋"/>
          <w:sz w:val="24"/>
        </w:rPr>
        <w:t>工程施工及有关事项协商一致，共同达成如下协议：</w:t>
      </w:r>
    </w:p>
    <w:p>
      <w:pPr>
        <w:pStyle w:val="8"/>
        <w:adjustRightInd w:val="0"/>
        <w:snapToGrid w:val="0"/>
        <w:spacing w:before="120" w:after="120" w:line="520" w:lineRule="exact"/>
        <w:rPr>
          <w:rFonts w:ascii="仿宋" w:hAnsi="仿宋" w:eastAsia="仿宋" w:cs="仿宋"/>
          <w:sz w:val="24"/>
          <w:szCs w:val="24"/>
        </w:rPr>
      </w:pPr>
      <w:bookmarkStart w:id="104" w:name="_Toc351203481"/>
      <w:r>
        <w:rPr>
          <w:rFonts w:hint="eastAsia" w:ascii="仿宋" w:hAnsi="仿宋" w:eastAsia="仿宋" w:cs="仿宋"/>
          <w:sz w:val="24"/>
          <w:szCs w:val="24"/>
        </w:rPr>
        <w:t>一、工程概况</w:t>
      </w:r>
      <w:bookmarkEnd w:id="104"/>
    </w:p>
    <w:p>
      <w:pPr>
        <w:adjustRightInd w:val="0"/>
        <w:snapToGrid w:val="0"/>
        <w:spacing w:line="520" w:lineRule="exact"/>
        <w:ind w:firstLine="470" w:firstLineChars="196"/>
        <w:rPr>
          <w:rFonts w:ascii="仿宋" w:hAnsi="仿宋" w:eastAsia="仿宋" w:cs="仿宋"/>
          <w:sz w:val="24"/>
          <w:u w:val="single"/>
        </w:rPr>
      </w:pPr>
      <w:r>
        <w:rPr>
          <w:rFonts w:hint="eastAsia" w:ascii="仿宋" w:hAnsi="仿宋" w:eastAsia="仿宋" w:cs="仿宋"/>
          <w:bCs/>
          <w:sz w:val="24"/>
        </w:rPr>
        <w:t>1.1工程名称</w:t>
      </w:r>
      <w:r>
        <w:rPr>
          <w:rFonts w:hint="eastAsia" w:ascii="仿宋" w:hAnsi="仿宋" w:eastAsia="仿宋" w:cs="仿宋"/>
          <w:sz w:val="24"/>
        </w:rPr>
        <w:t>：</w:t>
      </w:r>
      <w:r>
        <w:rPr>
          <w:rFonts w:hint="eastAsia" w:ascii="仿宋" w:hAnsi="仿宋" w:eastAsia="仿宋" w:cs="仿宋"/>
          <w:sz w:val="24"/>
          <w:u w:val="single"/>
        </w:rPr>
        <w:t xml:space="preserve"> </w:t>
      </w:r>
      <w:r>
        <w:rPr>
          <w:rFonts w:ascii="仿宋" w:hAnsi="仿宋" w:eastAsia="仿宋" w:cs="仿宋"/>
          <w:sz w:val="24"/>
          <w:u w:val="single"/>
        </w:rPr>
        <w:t xml:space="preserve">                  </w:t>
      </w:r>
      <w:r>
        <w:rPr>
          <w:rFonts w:hint="eastAsia" w:ascii="仿宋" w:hAnsi="仿宋" w:eastAsia="仿宋" w:cs="仿宋"/>
          <w:sz w:val="24"/>
        </w:rPr>
        <w:t>。</w:t>
      </w:r>
    </w:p>
    <w:p>
      <w:pPr>
        <w:adjustRightInd w:val="0"/>
        <w:snapToGrid w:val="0"/>
        <w:spacing w:line="520" w:lineRule="exact"/>
        <w:ind w:firstLine="470" w:firstLineChars="196"/>
        <w:rPr>
          <w:rFonts w:ascii="仿宋" w:hAnsi="仿宋" w:eastAsia="仿宋" w:cs="仿宋"/>
          <w:bCs/>
          <w:sz w:val="24"/>
        </w:rPr>
      </w:pPr>
      <w:r>
        <w:rPr>
          <w:rFonts w:hint="eastAsia" w:ascii="仿宋" w:hAnsi="仿宋" w:eastAsia="仿宋" w:cs="仿宋"/>
          <w:bCs/>
          <w:sz w:val="24"/>
        </w:rPr>
        <w:t>1.2工程地点：</w:t>
      </w:r>
      <w:r>
        <w:rPr>
          <w:rFonts w:hint="eastAsia" w:ascii="仿宋" w:hAnsi="仿宋" w:eastAsia="仿宋" w:cs="仿宋"/>
          <w:sz w:val="24"/>
          <w:u w:val="single"/>
        </w:rPr>
        <w:t>山东省济南市章丘区</w:t>
      </w:r>
      <w:r>
        <w:rPr>
          <w:rFonts w:hint="eastAsia" w:ascii="仿宋" w:hAnsi="仿宋" w:eastAsia="仿宋" w:cs="仿宋"/>
          <w:sz w:val="24"/>
        </w:rPr>
        <w:t>。</w:t>
      </w:r>
    </w:p>
    <w:p>
      <w:pPr>
        <w:adjustRightInd w:val="0"/>
        <w:snapToGrid w:val="0"/>
        <w:spacing w:line="520" w:lineRule="exact"/>
        <w:ind w:firstLine="470" w:firstLineChars="196"/>
        <w:rPr>
          <w:rFonts w:ascii="仿宋" w:hAnsi="仿宋" w:eastAsia="仿宋" w:cs="仿宋"/>
          <w:bCs/>
          <w:sz w:val="24"/>
        </w:rPr>
      </w:pPr>
      <w:r>
        <w:rPr>
          <w:rFonts w:hint="eastAsia" w:ascii="仿宋" w:hAnsi="仿宋" w:eastAsia="仿宋" w:cs="仿宋"/>
          <w:bCs/>
          <w:sz w:val="24"/>
        </w:rPr>
        <w:t>1.3资金来源：</w:t>
      </w:r>
      <w:r>
        <w:rPr>
          <w:rFonts w:hint="eastAsia" w:ascii="仿宋" w:hAnsi="仿宋" w:eastAsia="仿宋" w:cs="仿宋"/>
          <w:sz w:val="24"/>
          <w:u w:val="single"/>
        </w:rPr>
        <w:t>企业自筹</w:t>
      </w:r>
      <w:r>
        <w:rPr>
          <w:rFonts w:hint="eastAsia" w:ascii="仿宋" w:hAnsi="仿宋" w:eastAsia="仿宋" w:cs="仿宋"/>
          <w:bCs/>
          <w:sz w:val="24"/>
        </w:rPr>
        <w:t>。</w:t>
      </w:r>
    </w:p>
    <w:p>
      <w:pPr>
        <w:adjustRightInd w:val="0"/>
        <w:snapToGrid w:val="0"/>
        <w:spacing w:line="520" w:lineRule="exact"/>
        <w:ind w:firstLine="470" w:firstLineChars="196"/>
        <w:rPr>
          <w:rFonts w:ascii="仿宋" w:hAnsi="仿宋" w:eastAsia="仿宋" w:cs="仿宋"/>
          <w:bCs/>
          <w:sz w:val="24"/>
        </w:rPr>
      </w:pPr>
      <w:r>
        <w:rPr>
          <w:rFonts w:hint="eastAsia" w:ascii="仿宋" w:hAnsi="仿宋" w:eastAsia="仿宋" w:cs="仿宋"/>
          <w:bCs/>
          <w:sz w:val="24"/>
        </w:rPr>
        <w:t>1.4工程承包范围：</w:t>
      </w:r>
    </w:p>
    <w:p>
      <w:pPr>
        <w:adjustRightInd w:val="0"/>
        <w:snapToGrid w:val="0"/>
        <w:spacing w:line="520" w:lineRule="exact"/>
        <w:ind w:firstLine="470" w:firstLineChars="196"/>
        <w:rPr>
          <w:rFonts w:ascii="仿宋" w:hAnsi="仿宋" w:eastAsia="仿宋" w:cs="仿宋"/>
          <w:sz w:val="24"/>
          <w:u w:val="single"/>
        </w:rPr>
      </w:pPr>
      <w:r>
        <w:rPr>
          <w:rFonts w:hint="eastAsia" w:ascii="仿宋" w:hAnsi="仿宋" w:eastAsia="仿宋" w:cs="仿宋"/>
          <w:sz w:val="24"/>
          <w:u w:val="single"/>
        </w:rPr>
        <w:t>本工程承包范围为除发包人专业分包工程及发包人供货的材料及设备外，本工程设计图纸内所包含的土建、钢结构、装饰、安装工程，以及质量保修期内的质保服务，包括发包人设计变更、工作联系单涉及补充、完善和变更施工内容以及生产工艺设备的水、电、气等公用管线的连接以及配合调试。</w:t>
      </w:r>
    </w:p>
    <w:p>
      <w:pPr>
        <w:pStyle w:val="8"/>
        <w:adjustRightInd w:val="0"/>
        <w:snapToGrid w:val="0"/>
        <w:spacing w:before="120" w:after="120" w:line="520" w:lineRule="exact"/>
        <w:rPr>
          <w:rFonts w:ascii="仿宋" w:hAnsi="仿宋" w:eastAsia="仿宋" w:cs="仿宋"/>
          <w:sz w:val="24"/>
          <w:szCs w:val="24"/>
        </w:rPr>
      </w:pPr>
      <w:bookmarkStart w:id="105" w:name="_Toc351203482"/>
      <w:r>
        <w:rPr>
          <w:rFonts w:hint="eastAsia" w:ascii="仿宋" w:hAnsi="仿宋" w:eastAsia="仿宋" w:cs="仿宋"/>
          <w:sz w:val="24"/>
          <w:szCs w:val="24"/>
        </w:rPr>
        <w:t>二、合同工期</w:t>
      </w:r>
      <w:bookmarkEnd w:id="105"/>
    </w:p>
    <w:p>
      <w:pPr>
        <w:adjustRightInd w:val="0"/>
        <w:snapToGrid w:val="0"/>
        <w:spacing w:line="520" w:lineRule="exact"/>
        <w:ind w:firstLine="480"/>
        <w:rPr>
          <w:rFonts w:ascii="仿宋" w:hAnsi="仿宋" w:eastAsia="仿宋" w:cs="仿宋"/>
          <w:sz w:val="24"/>
        </w:rPr>
      </w:pPr>
      <w:r>
        <w:rPr>
          <w:rFonts w:hint="eastAsia" w:ascii="仿宋" w:hAnsi="仿宋" w:eastAsia="仿宋" w:cs="仿宋"/>
          <w:sz w:val="24"/>
        </w:rPr>
        <w:t>2.1计划开工日期：</w:t>
      </w:r>
      <w:r>
        <w:rPr>
          <w:rFonts w:hint="eastAsia" w:ascii="仿宋" w:hAnsi="仿宋" w:eastAsia="仿宋" w:cs="仿宋"/>
          <w:sz w:val="24"/>
          <w:u w:val="single"/>
        </w:rPr>
        <w:t></w:t>
      </w:r>
      <w:r>
        <w:rPr>
          <w:rFonts w:hint="eastAsia" w:ascii="仿宋" w:hAnsi="仿宋" w:eastAsia="仿宋" w:cs="仿宋"/>
          <w:sz w:val="24"/>
        </w:rPr>
        <w:t>年</w:t>
      </w:r>
      <w:r>
        <w:rPr>
          <w:rFonts w:hint="eastAsia" w:ascii="仿宋" w:hAnsi="仿宋" w:eastAsia="仿宋" w:cs="仿宋"/>
          <w:sz w:val="24"/>
          <w:u w:val="single"/>
        </w:rPr>
        <w:t></w:t>
      </w:r>
      <w:r>
        <w:rPr>
          <w:rFonts w:hint="eastAsia" w:ascii="仿宋" w:hAnsi="仿宋" w:eastAsia="仿宋" w:cs="仿宋"/>
          <w:sz w:val="24"/>
        </w:rPr>
        <w:t>月</w:t>
      </w:r>
      <w:r>
        <w:rPr>
          <w:rFonts w:hint="eastAsia" w:ascii="仿宋" w:hAnsi="仿宋" w:eastAsia="仿宋" w:cs="仿宋"/>
          <w:sz w:val="24"/>
          <w:u w:val="single"/>
        </w:rPr>
        <w:t></w:t>
      </w:r>
      <w:r>
        <w:rPr>
          <w:rFonts w:hint="eastAsia" w:ascii="仿宋" w:hAnsi="仿宋" w:eastAsia="仿宋" w:cs="仿宋"/>
          <w:sz w:val="24"/>
        </w:rPr>
        <w:t>日。</w:t>
      </w:r>
    </w:p>
    <w:p>
      <w:pPr>
        <w:adjustRightInd w:val="0"/>
        <w:snapToGrid w:val="0"/>
        <w:spacing w:line="520" w:lineRule="exact"/>
        <w:ind w:firstLine="480"/>
        <w:rPr>
          <w:rFonts w:ascii="仿宋" w:hAnsi="仿宋" w:eastAsia="仿宋" w:cs="仿宋"/>
          <w:sz w:val="24"/>
        </w:rPr>
      </w:pPr>
      <w:r>
        <w:rPr>
          <w:rFonts w:hint="eastAsia" w:ascii="仿宋" w:hAnsi="仿宋" w:eastAsia="仿宋" w:cs="仿宋"/>
          <w:sz w:val="24"/>
        </w:rPr>
        <w:t>计划竣工日期：</w:t>
      </w:r>
      <w:r>
        <w:rPr>
          <w:rFonts w:hint="eastAsia" w:ascii="仿宋" w:hAnsi="仿宋" w:eastAsia="仿宋" w:cs="仿宋"/>
          <w:sz w:val="24"/>
          <w:u w:val="single"/>
        </w:rPr>
        <w:t></w:t>
      </w:r>
      <w:r>
        <w:rPr>
          <w:rFonts w:hint="eastAsia" w:ascii="仿宋" w:hAnsi="仿宋" w:eastAsia="仿宋" w:cs="仿宋"/>
          <w:sz w:val="24"/>
        </w:rPr>
        <w:t>年</w:t>
      </w:r>
      <w:r>
        <w:rPr>
          <w:rFonts w:hint="eastAsia" w:ascii="仿宋" w:hAnsi="仿宋" w:eastAsia="仿宋" w:cs="仿宋"/>
          <w:sz w:val="24"/>
          <w:u w:val="single"/>
        </w:rPr>
        <w:t></w:t>
      </w:r>
      <w:r>
        <w:rPr>
          <w:rFonts w:hint="eastAsia" w:ascii="仿宋" w:hAnsi="仿宋" w:eastAsia="仿宋" w:cs="仿宋"/>
          <w:sz w:val="24"/>
        </w:rPr>
        <w:t>月</w:t>
      </w:r>
      <w:r>
        <w:rPr>
          <w:rFonts w:hint="eastAsia" w:ascii="仿宋" w:hAnsi="仿宋" w:eastAsia="仿宋" w:cs="仿宋"/>
          <w:sz w:val="24"/>
          <w:u w:val="single"/>
        </w:rPr>
        <w:t></w:t>
      </w:r>
      <w:r>
        <w:rPr>
          <w:rFonts w:hint="eastAsia" w:ascii="仿宋" w:hAnsi="仿宋" w:eastAsia="仿宋" w:cs="仿宋"/>
          <w:sz w:val="24"/>
        </w:rPr>
        <w:t>日。</w:t>
      </w:r>
    </w:p>
    <w:p>
      <w:pPr>
        <w:adjustRightInd w:val="0"/>
        <w:snapToGrid w:val="0"/>
        <w:spacing w:line="520" w:lineRule="exact"/>
        <w:ind w:firstLine="480"/>
        <w:rPr>
          <w:rFonts w:ascii="仿宋" w:hAnsi="仿宋" w:eastAsia="仿宋" w:cs="仿宋"/>
          <w:sz w:val="24"/>
        </w:rPr>
      </w:pPr>
      <w:r>
        <w:rPr>
          <w:rFonts w:hint="eastAsia" w:ascii="仿宋" w:hAnsi="仿宋" w:eastAsia="仿宋" w:cs="仿宋"/>
          <w:sz w:val="24"/>
        </w:rPr>
        <w:t>工期总日历天数：</w:t>
      </w:r>
      <w:r>
        <w:rPr>
          <w:rFonts w:hint="eastAsia" w:ascii="仿宋" w:hAnsi="仿宋" w:eastAsia="仿宋" w:cs="仿宋"/>
          <w:sz w:val="24"/>
          <w:u w:val="single"/>
        </w:rPr>
        <w:t></w:t>
      </w:r>
      <w:r>
        <w:rPr>
          <w:rFonts w:hint="eastAsia" w:ascii="仿宋" w:hAnsi="仿宋" w:eastAsia="仿宋" w:cs="仿宋"/>
          <w:sz w:val="24"/>
        </w:rPr>
        <w:t>天。工期总日历天数与根据前述计划开竣工日期计算的工期天数不一致的，以工期总日历天数为准。</w:t>
      </w:r>
    </w:p>
    <w:p>
      <w:pPr>
        <w:adjustRightInd w:val="0"/>
        <w:snapToGrid w:val="0"/>
        <w:spacing w:line="520" w:lineRule="exact"/>
        <w:ind w:firstLine="420" w:firstLineChars="175"/>
        <w:rPr>
          <w:rFonts w:ascii="仿宋" w:hAnsi="仿宋" w:eastAsia="仿宋" w:cs="仿宋"/>
          <w:sz w:val="24"/>
        </w:rPr>
      </w:pPr>
      <w:r>
        <w:rPr>
          <w:rFonts w:hint="eastAsia" w:ascii="仿宋" w:hAnsi="仿宋" w:eastAsia="仿宋" w:cs="仿宋"/>
          <w:sz w:val="24"/>
        </w:rPr>
        <w:t>2.2承包人应在</w:t>
      </w:r>
      <w:r>
        <w:rPr>
          <w:rFonts w:hint="eastAsia" w:ascii="仿宋" w:hAnsi="仿宋" w:eastAsia="仿宋" w:cs="仿宋"/>
          <w:sz w:val="24"/>
          <w:u w:val="single"/>
        </w:rPr>
        <w:t>进场后3日内或工地第一次例会前</w:t>
      </w:r>
      <w:r>
        <w:rPr>
          <w:rFonts w:hint="eastAsia" w:ascii="仿宋" w:hAnsi="仿宋" w:eastAsia="仿宋" w:cs="仿宋"/>
          <w:sz w:val="24"/>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adjustRightInd w:val="0"/>
        <w:snapToGrid w:val="0"/>
        <w:spacing w:line="520" w:lineRule="exact"/>
        <w:ind w:firstLine="420" w:firstLineChars="175"/>
        <w:rPr>
          <w:rFonts w:ascii="仿宋" w:hAnsi="仿宋" w:eastAsia="仿宋" w:cs="仿宋"/>
          <w:sz w:val="24"/>
        </w:rPr>
      </w:pPr>
      <w:r>
        <w:rPr>
          <w:rFonts w:hint="eastAsia" w:ascii="仿宋" w:hAnsi="仿宋" w:eastAsia="仿宋" w:cs="仿宋"/>
          <w:sz w:val="24"/>
        </w:rPr>
        <w:t>2.3因承包人原因造成不能按期开工或中途无故停工的，工期不能顺延，由此引起的赶工等费用由承包人自行承担。</w:t>
      </w:r>
    </w:p>
    <w:p>
      <w:pPr>
        <w:adjustRightInd w:val="0"/>
        <w:snapToGrid w:val="0"/>
        <w:spacing w:line="520" w:lineRule="exact"/>
        <w:ind w:firstLine="420" w:firstLineChars="175"/>
        <w:rPr>
          <w:rFonts w:ascii="仿宋" w:hAnsi="仿宋" w:eastAsia="仿宋" w:cs="仿宋"/>
          <w:sz w:val="24"/>
        </w:rPr>
      </w:pPr>
      <w:r>
        <w:rPr>
          <w:rFonts w:hint="eastAsia" w:ascii="仿宋" w:hAnsi="仿宋" w:eastAsia="仿宋" w:cs="仿宋"/>
          <w:sz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rPr>
        <w:t>0.5</w:t>
      </w:r>
      <w:r>
        <w:rPr>
          <w:rFonts w:hint="eastAsia" w:ascii="仿宋" w:hAnsi="仿宋" w:eastAsia="仿宋" w:cs="仿宋"/>
          <w:sz w:val="24"/>
        </w:rPr>
        <w:t>‰的金额向发包人支付违约金，没有最终结算价的，按合同签约暂定价的</w:t>
      </w:r>
      <w:r>
        <w:rPr>
          <w:rFonts w:ascii="仿宋" w:hAnsi="仿宋" w:eastAsia="仿宋" w:cs="仿宋"/>
          <w:sz w:val="24"/>
        </w:rPr>
        <w:t>0.5</w:t>
      </w:r>
      <w:r>
        <w:rPr>
          <w:rFonts w:hint="eastAsia" w:ascii="仿宋" w:hAnsi="仿宋" w:eastAsia="仿宋" w:cs="仿宋"/>
          <w:sz w:val="24"/>
        </w:rPr>
        <w:t>‰计算；各里程碑节点逾期超过</w:t>
      </w:r>
      <w:r>
        <w:rPr>
          <w:rFonts w:ascii="仿宋" w:hAnsi="仿宋" w:eastAsia="仿宋" w:cs="仿宋"/>
          <w:sz w:val="24"/>
        </w:rPr>
        <w:t>90</w:t>
      </w:r>
      <w:r>
        <w:rPr>
          <w:rFonts w:hint="eastAsia" w:ascii="仿宋" w:hAnsi="仿宋" w:eastAsia="仿宋" w:cs="仿宋"/>
          <w:sz w:val="24"/>
        </w:rPr>
        <w:t>天，每逾期一天按合同最终结算价款</w:t>
      </w:r>
      <w:r>
        <w:rPr>
          <w:rFonts w:ascii="仿宋" w:hAnsi="仿宋" w:eastAsia="仿宋" w:cs="仿宋"/>
          <w:sz w:val="24"/>
        </w:rPr>
        <w:t>1</w:t>
      </w:r>
      <w:r>
        <w:rPr>
          <w:rFonts w:hint="eastAsia" w:ascii="仿宋" w:hAnsi="仿宋" w:eastAsia="仿宋" w:cs="仿宋"/>
          <w:sz w:val="24"/>
        </w:rPr>
        <w:t>‰的金额向发包人支付违约金，没有最终结算价的，按合同签约暂定价的</w:t>
      </w:r>
      <w:r>
        <w:rPr>
          <w:rFonts w:ascii="仿宋" w:hAnsi="仿宋" w:eastAsia="仿宋" w:cs="仿宋"/>
          <w:sz w:val="24"/>
        </w:rPr>
        <w:t>1</w:t>
      </w:r>
      <w:r>
        <w:rPr>
          <w:rFonts w:hint="eastAsia" w:ascii="仿宋" w:hAnsi="仿宋" w:eastAsia="仿宋" w:cs="仿宋"/>
          <w:sz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rPr>
        <w:t xml:space="preserve"> </w:t>
      </w:r>
      <w:r>
        <w:rPr>
          <w:rFonts w:hint="eastAsia" w:ascii="仿宋" w:hAnsi="仿宋" w:eastAsia="仿宋" w:cs="仿宋"/>
          <w:sz w:val="24"/>
        </w:rPr>
        <w:t>，但造成发包人的损失部分不予免除。</w:t>
      </w:r>
    </w:p>
    <w:p>
      <w:pPr>
        <w:pStyle w:val="8"/>
        <w:adjustRightInd w:val="0"/>
        <w:snapToGrid w:val="0"/>
        <w:spacing w:before="120" w:after="120" w:line="520" w:lineRule="exact"/>
        <w:rPr>
          <w:rFonts w:ascii="仿宋" w:hAnsi="仿宋" w:eastAsia="仿宋" w:cs="仿宋"/>
          <w:sz w:val="24"/>
          <w:szCs w:val="24"/>
        </w:rPr>
      </w:pPr>
      <w:bookmarkStart w:id="106" w:name="_Toc351203483"/>
      <w:r>
        <w:rPr>
          <w:rFonts w:hint="eastAsia" w:ascii="仿宋" w:hAnsi="仿宋" w:eastAsia="仿宋" w:cs="仿宋"/>
          <w:sz w:val="24"/>
          <w:szCs w:val="24"/>
        </w:rPr>
        <w:t>三、质量标准</w:t>
      </w:r>
      <w:bookmarkEnd w:id="106"/>
    </w:p>
    <w:p>
      <w:pPr>
        <w:adjustRightInd w:val="0"/>
        <w:snapToGrid w:val="0"/>
        <w:spacing w:line="520" w:lineRule="exact"/>
        <w:ind w:firstLine="480"/>
        <w:rPr>
          <w:rFonts w:ascii="仿宋" w:hAnsi="仿宋" w:eastAsia="仿宋" w:cs="仿宋"/>
          <w:sz w:val="24"/>
        </w:rPr>
      </w:pPr>
      <w:r>
        <w:rPr>
          <w:rFonts w:hint="eastAsia" w:ascii="仿宋" w:hAnsi="仿宋" w:eastAsia="仿宋" w:cs="仿宋"/>
          <w:sz w:val="24"/>
        </w:rPr>
        <w:t>3.1工程质量要求：</w:t>
      </w:r>
      <w:r>
        <w:rPr>
          <w:rFonts w:hint="eastAsia" w:ascii="仿宋" w:hAnsi="仿宋" w:eastAsia="仿宋" w:cs="仿宋"/>
          <w:sz w:val="24"/>
          <w:u w:val="single"/>
        </w:rPr>
        <w:t>工程质量达到合格等级标准</w:t>
      </w:r>
      <w:r>
        <w:rPr>
          <w:rFonts w:hint="eastAsia" w:ascii="仿宋" w:hAnsi="仿宋" w:eastAsia="仿宋" w:cs="仿宋"/>
          <w:sz w:val="24"/>
        </w:rPr>
        <w:t>。质量标准的评定以现行国家、地方政府以及行业的质量检验评定标准为依据。</w:t>
      </w:r>
    </w:p>
    <w:p>
      <w:pPr>
        <w:adjustRightInd w:val="0"/>
        <w:snapToGrid w:val="0"/>
        <w:spacing w:line="520" w:lineRule="exact"/>
        <w:ind w:firstLine="480"/>
        <w:rPr>
          <w:rFonts w:ascii="仿宋" w:hAnsi="仿宋" w:eastAsia="仿宋" w:cs="仿宋"/>
          <w:sz w:val="24"/>
        </w:rPr>
      </w:pPr>
      <w:r>
        <w:rPr>
          <w:rFonts w:hint="eastAsia" w:ascii="仿宋" w:hAnsi="仿宋" w:eastAsia="仿宋" w:cs="仿宋"/>
          <w:sz w:val="24"/>
        </w:rPr>
        <w:t>3.2经检查对于出现质量不符合要求的部位，发包人有权向承包人发出整改通知，承包人必须无条件返工，直至达到合同约定的质量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不超过 5000元/次的罚款，该款项从承包人工程款结算中扣除。</w:t>
      </w:r>
    </w:p>
    <w:p>
      <w:pPr>
        <w:adjustRightInd w:val="0"/>
        <w:snapToGrid w:val="0"/>
        <w:spacing w:line="520" w:lineRule="exact"/>
        <w:ind w:firstLine="480"/>
        <w:rPr>
          <w:rFonts w:ascii="仿宋" w:hAnsi="仿宋" w:eastAsia="仿宋" w:cs="仿宋"/>
          <w:sz w:val="24"/>
        </w:rPr>
      </w:pPr>
      <w:r>
        <w:rPr>
          <w:rFonts w:hint="eastAsia" w:ascii="仿宋" w:hAnsi="仿宋" w:eastAsia="仿宋" w:cs="仿宋"/>
          <w:sz w:val="24"/>
        </w:rPr>
        <w:t>3.3若承包人的工程质量不符合合同约定的质量标准或工程质量经验收不合格或达不到竣工验收条件的，承包人须负责返工、修理、重做；情况严重或导致发包人被政府相关部门责令通报、处罚的或造成重大工程质量事故的，发包人有权视情况解除合同，或/并要求承包人除停工整改、补交罚款外，还应按工程结算价款或合同约定总价款的5%-10%向发包人支付违约金。</w:t>
      </w:r>
    </w:p>
    <w:p>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四、合同价款与支付方式</w:t>
      </w:r>
    </w:p>
    <w:p>
      <w:pPr>
        <w:adjustRightInd w:val="0"/>
        <w:snapToGrid w:val="0"/>
        <w:spacing w:line="520" w:lineRule="exact"/>
        <w:ind w:firstLine="482" w:firstLineChars="200"/>
        <w:rPr>
          <w:rFonts w:ascii="仿宋" w:hAnsi="仿宋" w:eastAsia="仿宋" w:cs="仿宋"/>
          <w:b/>
          <w:bCs/>
          <w:sz w:val="24"/>
        </w:rPr>
      </w:pPr>
      <w:r>
        <w:rPr>
          <w:rFonts w:hint="eastAsia" w:ascii="仿宋" w:hAnsi="仿宋" w:eastAsia="仿宋" w:cs="仿宋"/>
          <w:b/>
          <w:bCs/>
          <w:sz w:val="24"/>
        </w:rPr>
        <w:sym w:font="Wingdings 2" w:char="F052"/>
      </w:r>
      <w:r>
        <w:rPr>
          <w:rFonts w:hint="eastAsia" w:ascii="仿宋" w:hAnsi="仿宋" w:eastAsia="仿宋" w:cs="仿宋"/>
          <w:b/>
          <w:bCs/>
          <w:sz w:val="24"/>
        </w:rPr>
        <w:t>固定单价合同</w:t>
      </w:r>
    </w:p>
    <w:p>
      <w:pPr>
        <w:adjustRightInd w:val="0"/>
        <w:snapToGrid w:val="0"/>
        <w:spacing w:line="520" w:lineRule="exact"/>
        <w:ind w:firstLine="480" w:firstLineChars="200"/>
        <w:rPr>
          <w:rFonts w:ascii="仿宋" w:hAnsi="仿宋" w:eastAsia="仿宋" w:cs="仿宋"/>
          <w:sz w:val="24"/>
        </w:rPr>
      </w:pPr>
      <w:r>
        <w:rPr>
          <w:rFonts w:hint="eastAsia" w:ascii="仿宋" w:hAnsi="仿宋" w:eastAsia="仿宋" w:cs="仿宋"/>
          <w:sz w:val="24"/>
        </w:rPr>
        <w:t>4.1合同价款：</w:t>
      </w:r>
    </w:p>
    <w:p>
      <w:pPr>
        <w:adjustRightInd w:val="0"/>
        <w:snapToGrid w:val="0"/>
        <w:spacing w:line="520" w:lineRule="exact"/>
        <w:ind w:firstLine="480" w:firstLineChars="200"/>
        <w:rPr>
          <w:rFonts w:ascii="仿宋" w:hAnsi="仿宋" w:eastAsia="仿宋" w:cs="仿宋"/>
          <w:sz w:val="24"/>
        </w:rPr>
      </w:pPr>
      <w:r>
        <w:rPr>
          <w:rFonts w:hint="eastAsia" w:ascii="仿宋" w:hAnsi="仿宋" w:eastAsia="仿宋" w:cs="仿宋"/>
          <w:sz w:val="24"/>
        </w:rPr>
        <w:t>本工程合同签约暂定价格不含税价为</w:t>
      </w:r>
      <w:r>
        <w:rPr>
          <w:rFonts w:ascii="Calibri" w:hAnsi="Calibri" w:eastAsia="仿宋" w:cs="Calibri"/>
          <w:sz w:val="24"/>
        </w:rPr>
        <w:t>¥</w:t>
      </w:r>
      <w:r>
        <w:rPr>
          <w:rFonts w:ascii="仿宋" w:hAnsi="仿宋" w:eastAsia="仿宋" w:cs="仿宋"/>
          <w:sz w:val="24"/>
          <w:u w:val="single"/>
        </w:rPr>
        <w:t xml:space="preserve">          </w:t>
      </w:r>
      <w:r>
        <w:rPr>
          <w:rFonts w:hint="eastAsia" w:ascii="仿宋" w:hAnsi="仿宋" w:eastAsia="仿宋" w:cs="仿宋"/>
          <w:sz w:val="24"/>
        </w:rPr>
        <w:t>元（大写：人民币</w:t>
      </w:r>
      <w:r>
        <w:rPr>
          <w:rFonts w:ascii="仿宋" w:hAnsi="仿宋" w:eastAsia="仿宋" w:cs="仿宋"/>
          <w:sz w:val="24"/>
          <w:u w:val="single"/>
        </w:rPr>
        <w:t xml:space="preserve">        </w:t>
      </w:r>
      <w:r>
        <w:rPr>
          <w:rFonts w:hint="eastAsia" w:ascii="仿宋" w:hAnsi="仿宋" w:eastAsia="仿宋" w:cs="仿宋"/>
          <w:sz w:val="24"/>
        </w:rPr>
        <w:t>），增值税税率</w:t>
      </w:r>
      <w:r>
        <w:rPr>
          <w:rFonts w:hint="eastAsia" w:ascii="仿宋" w:hAnsi="仿宋" w:eastAsia="仿宋" w:cs="仿宋"/>
          <w:sz w:val="24"/>
          <w:u w:val="single"/>
        </w:rPr>
        <w:t>【9】</w:t>
      </w:r>
      <w:r>
        <w:rPr>
          <w:rFonts w:hint="eastAsia" w:ascii="仿宋" w:hAnsi="仿宋" w:eastAsia="仿宋" w:cs="仿宋"/>
          <w:sz w:val="24"/>
        </w:rPr>
        <w:t>%，税额</w:t>
      </w:r>
      <w:r>
        <w:rPr>
          <w:rFonts w:ascii="Calibri" w:hAnsi="Calibri" w:eastAsia="仿宋" w:cs="Calibri"/>
          <w:sz w:val="24"/>
        </w:rPr>
        <w:t>¥</w:t>
      </w:r>
      <w:r>
        <w:rPr>
          <w:rFonts w:ascii="仿宋" w:hAnsi="仿宋" w:eastAsia="仿宋" w:cs="仿宋"/>
          <w:sz w:val="24"/>
          <w:u w:val="single"/>
        </w:rPr>
        <w:t xml:space="preserve">       </w:t>
      </w:r>
      <w:r>
        <w:rPr>
          <w:rFonts w:hint="eastAsia" w:ascii="仿宋" w:hAnsi="仿宋" w:eastAsia="仿宋" w:cs="仿宋"/>
          <w:sz w:val="24"/>
        </w:rPr>
        <w:t>元，含税价</w:t>
      </w:r>
      <w:r>
        <w:rPr>
          <w:rFonts w:ascii="Calibri" w:hAnsi="Calibri" w:eastAsia="仿宋" w:cs="Calibri"/>
          <w:sz w:val="24"/>
        </w:rPr>
        <w:t>¥</w:t>
      </w:r>
      <w:r>
        <w:rPr>
          <w:rFonts w:ascii="仿宋" w:hAnsi="仿宋" w:eastAsia="仿宋" w:cs="仿宋"/>
          <w:sz w:val="24"/>
          <w:u w:val="single"/>
        </w:rPr>
        <w:t xml:space="preserve">       </w:t>
      </w:r>
      <w:r>
        <w:rPr>
          <w:rFonts w:hint="eastAsia" w:ascii="仿宋" w:hAnsi="仿宋" w:eastAsia="仿宋" w:cs="仿宋"/>
          <w:sz w:val="24"/>
        </w:rPr>
        <w:t>元（大写：人民币</w:t>
      </w:r>
      <w:r>
        <w:rPr>
          <w:rFonts w:ascii="仿宋" w:hAnsi="仿宋" w:eastAsia="仿宋" w:cs="仿宋"/>
          <w:sz w:val="24"/>
          <w:u w:val="single"/>
        </w:rPr>
        <w:t xml:space="preserve">              </w:t>
      </w:r>
      <w:r>
        <w:rPr>
          <w:rFonts w:hint="eastAsia" w:ascii="仿宋" w:hAnsi="仿宋" w:eastAsia="仿宋" w:cs="仿宋"/>
          <w:sz w:val="24"/>
        </w:rPr>
        <w:t>），如国家出台新政策对增值税率进行了调整，则不含税价款不变，本合同含税总价在不含税价基础上根据国家最新税法进行相应的调整。</w:t>
      </w:r>
    </w:p>
    <w:p>
      <w:pPr>
        <w:adjustRightInd w:val="0"/>
        <w:snapToGrid w:val="0"/>
        <w:spacing w:line="520" w:lineRule="exact"/>
        <w:ind w:firstLine="480" w:firstLineChars="200"/>
        <w:rPr>
          <w:rFonts w:ascii="仿宋" w:hAnsi="仿宋" w:eastAsia="仿宋" w:cs="仿宋"/>
          <w:sz w:val="24"/>
        </w:rPr>
      </w:pPr>
      <w:r>
        <w:rPr>
          <w:rFonts w:hint="eastAsia" w:ascii="仿宋" w:hAnsi="仿宋" w:eastAsia="仿宋" w:cs="仿宋"/>
          <w:sz w:val="24"/>
        </w:rPr>
        <w:sym w:font="Wingdings 2" w:char="F052"/>
      </w:r>
      <w:r>
        <w:rPr>
          <w:rFonts w:hint="eastAsia" w:ascii="仿宋" w:hAnsi="仿宋" w:eastAsia="仿宋" w:cs="仿宋"/>
          <w:sz w:val="24"/>
        </w:rPr>
        <w:t>合同清单部分的价格结算时按照承包人开标修正后的已标价工程量清单价格乘下浮系数（商务标最后一轮澄清含税总报价扣除固定费用/开标清标修正后的含税总报价扣除固定费用）执行，单独澄清的清单项除外。</w:t>
      </w:r>
    </w:p>
    <w:p>
      <w:pPr>
        <w:adjustRightInd w:val="0"/>
        <w:snapToGrid w:val="0"/>
        <w:spacing w:line="520" w:lineRule="exact"/>
        <w:ind w:firstLine="480" w:firstLineChars="200"/>
        <w:rPr>
          <w:rFonts w:ascii="仿宋" w:hAnsi="仿宋" w:eastAsia="仿宋" w:cs="仿宋"/>
          <w:sz w:val="24"/>
        </w:rPr>
      </w:pPr>
      <w:r>
        <w:rPr>
          <w:rFonts w:hint="eastAsia" w:ascii="仿宋" w:hAnsi="仿宋" w:eastAsia="仿宋" w:cs="仿宋"/>
          <w:sz w:val="24"/>
        </w:rPr>
        <w:t>4.2本工程合同价格形式为：</w:t>
      </w:r>
      <w:r>
        <w:rPr>
          <w:rFonts w:hint="eastAsia" w:ascii="仿宋" w:hAnsi="仿宋" w:eastAsia="仿宋" w:cs="仿宋"/>
          <w:sz w:val="24"/>
          <w:u w:val="single"/>
        </w:rPr>
        <w:t>固定综合单价</w:t>
      </w:r>
    </w:p>
    <w:p>
      <w:pPr>
        <w:adjustRightInd w:val="0"/>
        <w:snapToGrid w:val="0"/>
        <w:spacing w:line="520" w:lineRule="exact"/>
        <w:ind w:firstLine="480" w:firstLineChars="200"/>
        <w:rPr>
          <w:rFonts w:ascii="仿宋" w:hAnsi="仿宋" w:eastAsia="仿宋" w:cs="仿宋"/>
          <w:sz w:val="24"/>
        </w:rPr>
      </w:pPr>
      <w:r>
        <w:rPr>
          <w:rFonts w:hint="eastAsia" w:ascii="仿宋" w:hAnsi="仿宋" w:eastAsia="仿宋" w:cs="仿宋"/>
          <w:sz w:val="24"/>
        </w:rPr>
        <w:t>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tabs>
          <w:tab w:val="left" w:pos="5565"/>
        </w:tabs>
        <w:adjustRightInd w:val="0"/>
        <w:snapToGrid w:val="0"/>
        <w:spacing w:line="520" w:lineRule="exact"/>
        <w:ind w:left="540"/>
        <w:rPr>
          <w:rStyle w:val="47"/>
          <w:rFonts w:ascii="仿宋" w:hAnsi="仿宋" w:eastAsia="仿宋" w:cs="仿宋"/>
          <w:sz w:val="24"/>
        </w:rPr>
      </w:pPr>
      <w:bookmarkStart w:id="107" w:name="OLE_LINK1"/>
      <w:r>
        <w:rPr>
          <w:rFonts w:hint="eastAsia" w:ascii="仿宋" w:hAnsi="仿宋" w:eastAsia="仿宋" w:cs="仿宋"/>
          <w:sz w:val="24"/>
        </w:rPr>
        <w:t>4.3工程款支付</w:t>
      </w:r>
    </w:p>
    <w:p>
      <w:pPr>
        <w:numPr>
          <w:ilvl w:val="3"/>
          <w:numId w:val="8"/>
        </w:numPr>
        <w:tabs>
          <w:tab w:val="left" w:pos="5565"/>
        </w:tabs>
        <w:adjustRightInd w:val="0"/>
        <w:snapToGrid w:val="0"/>
        <w:spacing w:line="520" w:lineRule="exact"/>
        <w:ind w:firstLine="480"/>
        <w:rPr>
          <w:rFonts w:ascii="仿宋" w:hAnsi="仿宋" w:eastAsia="仿宋" w:cs="仿宋"/>
          <w:sz w:val="24"/>
          <w:u w:val="single"/>
        </w:rPr>
      </w:pPr>
      <w:r>
        <w:rPr>
          <w:rFonts w:hint="eastAsia" w:ascii="仿宋" w:hAnsi="仿宋" w:eastAsia="仿宋" w:cs="仿宋"/>
          <w:sz w:val="24"/>
        </w:rPr>
        <w:t>双方约定的工程款支付的方式：</w:t>
      </w:r>
      <w:r>
        <w:rPr>
          <w:rFonts w:hint="eastAsia" w:ascii="仿宋" w:hAnsi="仿宋" w:eastAsia="仿宋" w:cs="仿宋"/>
          <w:sz w:val="24"/>
          <w:u w:val="single"/>
        </w:rPr>
        <w:t>半年期商业汇票（包括银行承兑汇票和商业承兑汇票）；</w:t>
      </w:r>
    </w:p>
    <w:p>
      <w:pPr>
        <w:numPr>
          <w:ilvl w:val="3"/>
          <w:numId w:val="8"/>
        </w:numPr>
        <w:tabs>
          <w:tab w:val="left" w:pos="5565"/>
        </w:tabs>
        <w:adjustRightInd w:val="0"/>
        <w:snapToGrid w:val="0"/>
        <w:spacing w:line="520" w:lineRule="exact"/>
        <w:ind w:firstLine="480"/>
        <w:rPr>
          <w:rFonts w:ascii="仿宋" w:hAnsi="仿宋" w:eastAsia="仿宋" w:cs="仿宋"/>
          <w:sz w:val="24"/>
        </w:rPr>
      </w:pPr>
      <w:r>
        <w:rPr>
          <w:rFonts w:hint="eastAsia" w:ascii="仿宋" w:hAnsi="仿宋" w:eastAsia="仿宋" w:cs="仿宋"/>
          <w:sz w:val="24"/>
        </w:rPr>
        <w:t>本合同预付款：</w:t>
      </w:r>
      <w:r>
        <w:rPr>
          <w:rFonts w:hint="eastAsia" w:ascii="仿宋" w:hAnsi="仿宋" w:eastAsia="仿宋" w:cs="仿宋"/>
          <w:sz w:val="24"/>
          <w:u w:val="single"/>
        </w:rPr>
        <w:t>无预付款</w:t>
      </w:r>
      <w:r>
        <w:rPr>
          <w:rFonts w:hint="eastAsia" w:ascii="仿宋" w:hAnsi="仿宋" w:eastAsia="仿宋" w:cs="仿宋"/>
          <w:sz w:val="24"/>
        </w:rPr>
        <w:t>；</w:t>
      </w:r>
    </w:p>
    <w:p>
      <w:pPr>
        <w:spacing w:line="520" w:lineRule="exact"/>
        <w:ind w:firstLine="480" w:firstLineChars="200"/>
        <w:rPr>
          <w:rFonts w:ascii="仿宋" w:hAnsi="仿宋" w:eastAsia="仿宋" w:cs="仿宋"/>
          <w:sz w:val="24"/>
        </w:rPr>
      </w:pPr>
      <w:r>
        <w:rPr>
          <w:rFonts w:hint="eastAsia" w:ascii="仿宋" w:hAnsi="仿宋" w:eastAsia="仿宋" w:cs="仿宋"/>
          <w:sz w:val="24"/>
        </w:rPr>
        <w:t>每月工程款支付按月形象进度报表，经监理工程师、发包人审核后于次月内付至月形象进度造价的</w:t>
      </w:r>
      <w:r>
        <w:rPr>
          <w:rFonts w:ascii="仿宋" w:hAnsi="仿宋" w:eastAsia="仿宋" w:cs="仿宋"/>
          <w:sz w:val="24"/>
        </w:rPr>
        <w:t>75</w:t>
      </w:r>
      <w:r>
        <w:rPr>
          <w:rFonts w:hint="eastAsia" w:ascii="仿宋" w:hAnsi="仿宋" w:eastAsia="仿宋" w:cs="仿宋"/>
          <w:sz w:val="24"/>
        </w:rPr>
        <w:t>%，累计进度款最高付至合同金额的</w:t>
      </w:r>
      <w:r>
        <w:rPr>
          <w:rFonts w:ascii="仿宋" w:hAnsi="仿宋" w:eastAsia="仿宋" w:cs="仿宋"/>
          <w:sz w:val="24"/>
        </w:rPr>
        <w:t>75</w:t>
      </w:r>
      <w:r>
        <w:rPr>
          <w:rFonts w:hint="eastAsia" w:ascii="仿宋" w:hAnsi="仿宋" w:eastAsia="仿宋" w:cs="仿宋"/>
          <w:sz w:val="24"/>
        </w:rPr>
        <w:t>%；完成工程竣工资料移交、竣工结算申报且竣工验收合格后付至已完成形象进度产值的</w:t>
      </w:r>
      <w:r>
        <w:rPr>
          <w:rFonts w:ascii="仿宋" w:hAnsi="仿宋" w:eastAsia="仿宋" w:cs="仿宋"/>
          <w:sz w:val="24"/>
        </w:rPr>
        <w:t>80</w:t>
      </w:r>
      <w:r>
        <w:rPr>
          <w:rFonts w:hint="eastAsia" w:ascii="仿宋" w:hAnsi="仿宋" w:eastAsia="仿宋" w:cs="仿宋"/>
          <w:sz w:val="24"/>
        </w:rPr>
        <w:t>%，且最高付至合同金额的</w:t>
      </w:r>
      <w:r>
        <w:rPr>
          <w:rFonts w:ascii="仿宋" w:hAnsi="仿宋" w:eastAsia="仿宋" w:cs="仿宋"/>
          <w:sz w:val="24"/>
        </w:rPr>
        <w:t>80</w:t>
      </w:r>
      <w:r>
        <w:rPr>
          <w:rFonts w:hint="eastAsia" w:ascii="仿宋" w:hAnsi="仿宋" w:eastAsia="仿宋" w:cs="仿宋"/>
          <w:sz w:val="24"/>
        </w:rPr>
        <w:t>%；竣工结算审计完毕且完成内部验收经双方签字认可后付款至工程结算款的9</w:t>
      </w:r>
      <w:r>
        <w:rPr>
          <w:rFonts w:ascii="仿宋" w:hAnsi="仿宋" w:eastAsia="仿宋" w:cs="仿宋"/>
          <w:sz w:val="24"/>
        </w:rPr>
        <w:t>7</w:t>
      </w:r>
      <w:r>
        <w:rPr>
          <w:rFonts w:hint="eastAsia" w:ascii="仿宋" w:hAnsi="仿宋" w:eastAsia="仿宋" w:cs="仿宋"/>
          <w:sz w:val="24"/>
        </w:rPr>
        <w:t>%，结算款的</w:t>
      </w:r>
      <w:r>
        <w:rPr>
          <w:rFonts w:ascii="仿宋" w:hAnsi="仿宋" w:eastAsia="仿宋" w:cs="仿宋"/>
          <w:sz w:val="24"/>
        </w:rPr>
        <w:t>3</w:t>
      </w:r>
      <w:r>
        <w:rPr>
          <w:rFonts w:hint="eastAsia" w:ascii="仿宋" w:hAnsi="仿宋" w:eastAsia="仿宋" w:cs="仿宋"/>
          <w:sz w:val="24"/>
        </w:rPr>
        <w:t>%作为质量保修金。质量保修金的支付按照本合同附件1《工程质量保修书》中的规定执行。</w:t>
      </w:r>
      <w:bookmarkEnd w:id="107"/>
    </w:p>
    <w:p>
      <w:pPr>
        <w:spacing w:line="520" w:lineRule="exact"/>
        <w:ind w:firstLine="480" w:firstLineChars="200"/>
        <w:rPr>
          <w:rFonts w:ascii="仿宋" w:hAnsi="仿宋" w:eastAsia="仿宋" w:cs="仿宋"/>
          <w:sz w:val="24"/>
        </w:rPr>
      </w:pPr>
      <w:r>
        <w:rPr>
          <w:rFonts w:hint="eastAsia" w:ascii="仿宋" w:hAnsi="仿宋" w:eastAsia="仿宋" w:cs="仿宋"/>
          <w:sz w:val="24"/>
        </w:rPr>
        <w:t>（3）发包人所有款项的支付均需承包人持当批付款金额一致的符合国家要求的增值税专用发票、授权委托书、经办人身份证明原件及复印件等其他发包人财务制度要求的资料办理。因发票违规给发包人造成的增值税、所得税等损失，由承包人承担相关责任，包括但不限于税款、滞纳金、罚款及其它相关损失。</w:t>
      </w:r>
    </w:p>
    <w:p>
      <w:pPr>
        <w:spacing w:line="520" w:lineRule="exact"/>
        <w:ind w:firstLine="480" w:firstLineChars="200"/>
        <w:rPr>
          <w:rFonts w:ascii="仿宋" w:hAnsi="仿宋" w:eastAsia="仿宋" w:cs="仿宋"/>
          <w:sz w:val="24"/>
          <w:u w:val="single"/>
        </w:rPr>
      </w:pPr>
      <w:r>
        <w:rPr>
          <w:rFonts w:hint="eastAsia" w:ascii="仿宋" w:hAnsi="仿宋" w:eastAsia="仿宋" w:cs="仿宋"/>
          <w:sz w:val="24"/>
        </w:rPr>
        <w:t>4.4合同价款及调整</w:t>
      </w:r>
    </w:p>
    <w:p>
      <w:pPr>
        <w:spacing w:line="520" w:lineRule="exact"/>
        <w:ind w:firstLine="480" w:firstLineChars="200"/>
        <w:rPr>
          <w:rFonts w:ascii="仿宋" w:hAnsi="仿宋" w:eastAsia="仿宋" w:cs="仿宋"/>
          <w:sz w:val="24"/>
        </w:rPr>
      </w:pPr>
      <w:r>
        <w:rPr>
          <w:rFonts w:hint="eastAsia" w:ascii="仿宋" w:hAnsi="仿宋" w:eastAsia="仿宋" w:cs="仿宋"/>
          <w:sz w:val="24"/>
        </w:rPr>
        <w:t>4.4.1在施工过程中由于非</w:t>
      </w:r>
      <w:r>
        <w:rPr>
          <w:rFonts w:hint="eastAsia" w:ascii="仿宋" w:hAnsi="仿宋" w:eastAsia="仿宋" w:cs="仿宋"/>
          <w:sz w:val="24"/>
          <w:u w:val="single"/>
        </w:rPr>
        <w:t>承包人</w:t>
      </w:r>
      <w:r>
        <w:rPr>
          <w:rFonts w:hint="eastAsia" w:ascii="仿宋" w:hAnsi="仿宋" w:eastAsia="仿宋" w:cs="仿宋"/>
          <w:sz w:val="24"/>
        </w:rPr>
        <w:t>原因导致工程签证、设计变更引起的工程价款调整的项目，承包人在收到发包人下发的联系单、变更通知单或设计变更后，承包人应在</w:t>
      </w:r>
      <w:r>
        <w:rPr>
          <w:rFonts w:hint="eastAsia" w:ascii="仿宋" w:hAnsi="仿宋" w:eastAsia="仿宋" w:cs="仿宋"/>
          <w:sz w:val="24"/>
          <w:u w:val="single"/>
        </w:rPr>
        <w:t>3</w:t>
      </w:r>
      <w:r>
        <w:rPr>
          <w:rFonts w:hint="eastAsia" w:ascii="仿宋" w:hAnsi="仿宋" w:eastAsia="仿宋" w:cs="仿宋"/>
          <w:sz w:val="24"/>
        </w:rPr>
        <w:t>天内将索赔资料（变更原因、材料价格、变更金额）书面报发包人审核，索赔事件结束后</w:t>
      </w:r>
      <w:r>
        <w:rPr>
          <w:rFonts w:hint="eastAsia" w:ascii="仿宋" w:hAnsi="仿宋" w:eastAsia="仿宋" w:cs="仿宋"/>
          <w:sz w:val="24"/>
          <w:u w:val="single"/>
        </w:rPr>
        <w:t>14天内</w:t>
      </w:r>
      <w:r>
        <w:rPr>
          <w:rFonts w:hint="eastAsia" w:ascii="仿宋" w:hAnsi="仿宋" w:eastAsia="仿宋" w:cs="仿宋"/>
          <w:sz w:val="24"/>
        </w:rPr>
        <w:t>形成签章齐全的经济技术资料。</w:t>
      </w:r>
    </w:p>
    <w:p>
      <w:pPr>
        <w:spacing w:line="520" w:lineRule="exact"/>
        <w:ind w:firstLine="480" w:firstLineChars="200"/>
        <w:rPr>
          <w:rFonts w:ascii="仿宋" w:hAnsi="仿宋" w:eastAsia="仿宋" w:cs="仿宋"/>
          <w:sz w:val="24"/>
        </w:rPr>
      </w:pPr>
      <w:r>
        <w:rPr>
          <w:rFonts w:hint="eastAsia" w:ascii="仿宋" w:hAnsi="仿宋" w:eastAsia="仿宋" w:cs="仿宋"/>
          <w:sz w:val="24"/>
        </w:rPr>
        <w:t>变更合同价款按下列方法进行：</w:t>
      </w:r>
    </w:p>
    <w:p>
      <w:pPr>
        <w:spacing w:line="520" w:lineRule="exact"/>
        <w:ind w:firstLine="480" w:firstLineChars="200"/>
        <w:rPr>
          <w:rFonts w:ascii="仿宋" w:hAnsi="仿宋" w:eastAsia="仿宋" w:cs="仿宋"/>
          <w:sz w:val="24"/>
        </w:rPr>
      </w:pPr>
      <w:r>
        <w:rPr>
          <w:rFonts w:hint="eastAsia" w:ascii="仿宋" w:hAnsi="仿宋" w:eastAsia="仿宋" w:cs="仿宋"/>
          <w:sz w:val="24"/>
        </w:rPr>
        <w:t>（1）如发生与原子项相同的清单项，以承包人开标修正后的已标价工程量清单中已有综合单价（按合同协议书约定同比例下浮后）乘以工程量进行结算。</w:t>
      </w:r>
    </w:p>
    <w:p>
      <w:pPr>
        <w:spacing w:line="520" w:lineRule="exact"/>
        <w:ind w:firstLine="480" w:firstLineChars="200"/>
        <w:rPr>
          <w:rFonts w:ascii="仿宋" w:hAnsi="仿宋" w:eastAsia="仿宋" w:cs="仿宋"/>
          <w:sz w:val="24"/>
        </w:rPr>
      </w:pPr>
      <w:r>
        <w:rPr>
          <w:rFonts w:hint="eastAsia" w:ascii="仿宋" w:hAnsi="仿宋" w:eastAsia="仿宋" w:cs="仿宋"/>
          <w:sz w:val="24"/>
        </w:rPr>
        <w:t>（2）如发生与原子项相类似的清单项，新增清单项的消耗量按原子项执行（高于定额含量的按定额含量执行、低于定额含量的按原投标含量执行）；新增清单项的人工、机械单价执行原子项单价（下浮后），开标修正后的已标价工程量清单中已有价格的材料执行已有清单价格（下浮后），开标修正后的已标价工程量清单中没有价格的主要材料按照发包人、监理人确认的价格执行；管理费、利润等组成综合单价的其他因素均不作调整。按以上原则生成新综合单价，以实际工程量据实结算。清单已有价格的材料（如电线电缆、管材等）设备，仅规格型号发生变更的，变更后仅调整不同规格型号的材料设备市场价差。</w:t>
      </w:r>
    </w:p>
    <w:p>
      <w:pPr>
        <w:spacing w:line="520" w:lineRule="exact"/>
        <w:ind w:firstLine="480" w:firstLineChars="200"/>
        <w:rPr>
          <w:rFonts w:ascii="仿宋" w:hAnsi="仿宋" w:eastAsia="仿宋" w:cs="仿宋"/>
          <w:sz w:val="24"/>
        </w:rPr>
      </w:pPr>
      <w:r>
        <w:rPr>
          <w:rFonts w:hint="eastAsia" w:ascii="仿宋" w:hAnsi="仿宋" w:eastAsia="仿宋" w:cs="仿宋"/>
          <w:sz w:val="24"/>
        </w:rPr>
        <w:t>（3）非以上（1）、（2）两种情况，按照以下原则据实结算：</w:t>
      </w:r>
    </w:p>
    <w:p>
      <w:pPr>
        <w:spacing w:line="52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1 \* GB3 \* MERGEFORMAT </w:instrText>
      </w:r>
      <w:r>
        <w:rPr>
          <w:rFonts w:hint="eastAsia" w:ascii="仿宋" w:hAnsi="仿宋" w:eastAsia="仿宋" w:cs="仿宋"/>
          <w:sz w:val="24"/>
        </w:rPr>
        <w:fldChar w:fldCharType="separate"/>
      </w:r>
      <w:r>
        <w:rPr>
          <w:rFonts w:hint="eastAsia" w:ascii="仿宋" w:hAnsi="仿宋" w:eastAsia="仿宋" w:cs="仿宋"/>
          <w:sz w:val="24"/>
        </w:rPr>
        <w:t>①</w:t>
      </w:r>
      <w:r>
        <w:rPr>
          <w:rFonts w:hint="eastAsia" w:ascii="仿宋" w:hAnsi="仿宋" w:eastAsia="仿宋" w:cs="仿宋"/>
          <w:sz w:val="24"/>
        </w:rPr>
        <w:fldChar w:fldCharType="end"/>
      </w:r>
      <w:r>
        <w:rPr>
          <w:rFonts w:hint="eastAsia" w:ascii="仿宋" w:hAnsi="仿宋" w:eastAsia="仿宋" w:cs="仿宋"/>
          <w:sz w:val="24"/>
        </w:rPr>
        <w:t>计价依据：</w:t>
      </w:r>
    </w:p>
    <w:p>
      <w:pPr>
        <w:spacing w:line="520" w:lineRule="exact"/>
        <w:ind w:firstLine="480" w:firstLineChars="200"/>
        <w:rPr>
          <w:rFonts w:ascii="仿宋" w:hAnsi="仿宋" w:eastAsia="仿宋" w:cs="仿宋"/>
          <w:sz w:val="24"/>
        </w:rPr>
      </w:pPr>
      <w:r>
        <w:rPr>
          <w:rFonts w:hint="eastAsia" w:ascii="仿宋" w:hAnsi="仿宋" w:eastAsia="仿宋" w:cs="仿宋"/>
          <w:sz w:val="24"/>
        </w:rPr>
        <w:t>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pPr>
        <w:spacing w:line="52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2 \* GB3 \* MERGEFORMAT </w:instrText>
      </w:r>
      <w:r>
        <w:rPr>
          <w:rFonts w:hint="eastAsia" w:ascii="仿宋" w:hAnsi="仿宋" w:eastAsia="仿宋" w:cs="仿宋"/>
          <w:sz w:val="24"/>
        </w:rPr>
        <w:fldChar w:fldCharType="separate"/>
      </w:r>
      <w:r>
        <w:rPr>
          <w:rFonts w:hint="eastAsia" w:ascii="仿宋" w:hAnsi="仿宋" w:eastAsia="仿宋" w:cs="仿宋"/>
          <w:sz w:val="24"/>
        </w:rPr>
        <w:t>②</w:t>
      </w:r>
      <w:r>
        <w:rPr>
          <w:rFonts w:hint="eastAsia" w:ascii="仿宋" w:hAnsi="仿宋" w:eastAsia="仿宋" w:cs="仿宋"/>
          <w:sz w:val="24"/>
        </w:rPr>
        <w:fldChar w:fldCharType="end"/>
      </w:r>
      <w:r>
        <w:rPr>
          <w:rFonts w:hint="eastAsia" w:ascii="仿宋" w:hAnsi="仿宋" w:eastAsia="仿宋" w:cs="仿宋"/>
          <w:sz w:val="24"/>
        </w:rPr>
        <w:t>工程类别：建筑执行Ⅲ类取费，安装执行工业安装取费，装饰执行Ⅲ类取费，市政执行Ⅲ类取费；</w:t>
      </w:r>
    </w:p>
    <w:p>
      <w:pPr>
        <w:spacing w:line="52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3 \* GB3 \* MERGEFORMAT </w:instrText>
      </w:r>
      <w:r>
        <w:rPr>
          <w:rFonts w:hint="eastAsia" w:ascii="仿宋" w:hAnsi="仿宋" w:eastAsia="仿宋" w:cs="仿宋"/>
          <w:sz w:val="24"/>
        </w:rPr>
        <w:fldChar w:fldCharType="separate"/>
      </w:r>
      <w:r>
        <w:rPr>
          <w:rFonts w:hint="eastAsia" w:ascii="仿宋" w:hAnsi="仿宋" w:eastAsia="仿宋" w:cs="仿宋"/>
          <w:sz w:val="24"/>
        </w:rPr>
        <w:t>③</w:t>
      </w:r>
      <w:r>
        <w:rPr>
          <w:rFonts w:hint="eastAsia" w:ascii="仿宋" w:hAnsi="仿宋" w:eastAsia="仿宋" w:cs="仿宋"/>
          <w:sz w:val="24"/>
        </w:rPr>
        <w:fldChar w:fldCharType="end"/>
      </w:r>
      <w:r>
        <w:rPr>
          <w:rFonts w:hint="eastAsia" w:ascii="仿宋" w:hAnsi="仿宋" w:eastAsia="仿宋" w:cs="仿宋"/>
          <w:sz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设备，仅规格型号发生变更的，变更后仅调整不同规格型号的材料设备市场价差。</w:t>
      </w:r>
    </w:p>
    <w:p>
      <w:pPr>
        <w:spacing w:line="520" w:lineRule="exact"/>
        <w:ind w:firstLine="480" w:firstLineChars="200"/>
        <w:rPr>
          <w:rFonts w:ascii="仿宋" w:hAnsi="仿宋" w:eastAsia="仿宋" w:cs="仿宋"/>
          <w:sz w:val="24"/>
        </w:rPr>
      </w:pPr>
      <w:r>
        <w:rPr>
          <w:rFonts w:hint="eastAsia" w:ascii="仿宋" w:hAnsi="仿宋" w:eastAsia="仿宋" w:cs="仿宋"/>
          <w:sz w:val="24"/>
        </w:rPr>
        <w:fldChar w:fldCharType="begin"/>
      </w:r>
      <w:r>
        <w:rPr>
          <w:rFonts w:hint="eastAsia" w:ascii="仿宋" w:hAnsi="仿宋" w:eastAsia="仿宋" w:cs="仿宋"/>
          <w:sz w:val="24"/>
        </w:rPr>
        <w:instrText xml:space="preserve"> = 4 \* GB3 \* MERGEFORMAT </w:instrText>
      </w:r>
      <w:r>
        <w:rPr>
          <w:rFonts w:hint="eastAsia" w:ascii="仿宋" w:hAnsi="仿宋" w:eastAsia="仿宋" w:cs="仿宋"/>
          <w:sz w:val="24"/>
        </w:rPr>
        <w:fldChar w:fldCharType="separate"/>
      </w:r>
      <w:r>
        <w:rPr>
          <w:rFonts w:hint="eastAsia" w:ascii="仿宋" w:hAnsi="仿宋" w:eastAsia="仿宋" w:cs="仿宋"/>
          <w:sz w:val="24"/>
        </w:rPr>
        <w:t>④</w:t>
      </w:r>
      <w:r>
        <w:rPr>
          <w:rFonts w:hint="eastAsia" w:ascii="仿宋" w:hAnsi="仿宋" w:eastAsia="仿宋" w:cs="仿宋"/>
          <w:sz w:val="24"/>
        </w:rPr>
        <w:fldChar w:fldCharType="end"/>
      </w:r>
      <w:r>
        <w:rPr>
          <w:rFonts w:hint="eastAsia" w:ascii="仿宋" w:hAnsi="仿宋" w:eastAsia="仿宋" w:cs="仿宋"/>
          <w:sz w:val="24"/>
        </w:rPr>
        <w:t>承包人按上述原则就清单外工作内容按总造价最终优惠率（即让利【5】%）；但经发包人审核签认的计入设备费的设备价格不参与让利，（材料和设备划分标准执行《建筑工程计价设备材料划分标准》GB/T50531-2009）。</w:t>
      </w:r>
    </w:p>
    <w:p>
      <w:pPr>
        <w:spacing w:line="520" w:lineRule="exact"/>
        <w:ind w:firstLine="480" w:firstLineChars="200"/>
        <w:rPr>
          <w:rFonts w:ascii="仿宋" w:hAnsi="仿宋" w:eastAsia="仿宋" w:cs="仿宋"/>
          <w:sz w:val="24"/>
        </w:rPr>
      </w:pPr>
      <w:r>
        <w:rPr>
          <w:rFonts w:hint="eastAsia" w:ascii="仿宋" w:hAnsi="仿宋" w:eastAsia="仿宋" w:cs="仿宋"/>
          <w:sz w:val="24"/>
        </w:rPr>
        <w:t>（4）非以上（1）、（2）、（3）三种情况，由承包人事前提出书面报价，由发包人按照规定程序审批后确定单价，以实际工程量结算。</w:t>
      </w:r>
    </w:p>
    <w:p>
      <w:pPr>
        <w:spacing w:line="520" w:lineRule="exact"/>
        <w:ind w:firstLine="480" w:firstLineChars="200"/>
        <w:rPr>
          <w:rFonts w:ascii="仿宋" w:hAnsi="仿宋" w:eastAsia="仿宋" w:cs="仿宋"/>
          <w:sz w:val="24"/>
        </w:rPr>
      </w:pPr>
      <w:r>
        <w:rPr>
          <w:rFonts w:hint="eastAsia" w:ascii="仿宋" w:hAnsi="仿宋" w:eastAsia="仿宋" w:cs="仿宋"/>
          <w:sz w:val="24"/>
        </w:rPr>
        <w:t>（5）按上述原则组成的新综合单价，明显偏离市场价时，发包人有权利对其价格进行调整。</w:t>
      </w:r>
    </w:p>
    <w:p>
      <w:pPr>
        <w:spacing w:line="520" w:lineRule="exact"/>
        <w:ind w:firstLine="480" w:firstLineChars="200"/>
        <w:rPr>
          <w:rFonts w:ascii="仿宋" w:hAnsi="仿宋" w:eastAsia="仿宋" w:cs="仿宋"/>
          <w:sz w:val="24"/>
        </w:rPr>
      </w:pPr>
      <w:r>
        <w:rPr>
          <w:rFonts w:hint="eastAsia" w:ascii="仿宋" w:hAnsi="仿宋" w:eastAsia="仿宋" w:cs="仿宋"/>
          <w:sz w:val="24"/>
        </w:rPr>
        <w:t>（6）招标文件或其他有关文件中所列材料暂定价按照发包人书面确定的价格进行调整。</w:t>
      </w:r>
    </w:p>
    <w:p>
      <w:pPr>
        <w:spacing w:line="520" w:lineRule="exact"/>
        <w:ind w:firstLine="480" w:firstLineChars="200"/>
        <w:rPr>
          <w:rFonts w:ascii="仿宋" w:hAnsi="仿宋" w:eastAsia="仿宋" w:cs="仿宋"/>
          <w:sz w:val="24"/>
        </w:rPr>
      </w:pPr>
      <w:r>
        <w:rPr>
          <w:rFonts w:hint="eastAsia" w:ascii="仿宋" w:hAnsi="仿宋" w:eastAsia="仿宋" w:cs="仿宋"/>
          <w:sz w:val="24"/>
        </w:rPr>
        <w:t>（7）因变更或其它情况（除本条后面另行约定外）导致实际完成的工程量与预算书或工程量清单中有变化时，综合单价不予调整。但当实际完成的工程量比已标价工程量清单载明的工程量增加超过15%，且发包人发现承包人的已标价工程量清单相关清单子目中存在异常偏高的，超出已标价工程量清单载明的工程量15%的部分，发包人有权对异常偏高的综合单价进行修正，并按修正后的综合单价进行竣工结算。异常偏高是指清单综合单价（下浮后）与发包人按照</w:t>
      </w:r>
      <w:r>
        <w:rPr>
          <w:rFonts w:ascii="仿宋" w:hAnsi="仿宋" w:eastAsia="仿宋" w:cs="仿宋"/>
          <w:sz w:val="24"/>
        </w:rPr>
        <w:t>4.4.1</w:t>
      </w:r>
      <w:r>
        <w:rPr>
          <w:rFonts w:hint="eastAsia" w:ascii="仿宋" w:hAnsi="仿宋" w:eastAsia="仿宋" w:cs="仿宋"/>
          <w:sz w:val="24"/>
        </w:rPr>
        <w:t>第（3）条约定而确定的综合单价高出50%及以上，发包人有权对异常偏高的综合单价按照4.4.1第（3）条进行修正。</w:t>
      </w:r>
    </w:p>
    <w:p>
      <w:pPr>
        <w:spacing w:line="520" w:lineRule="exact"/>
        <w:ind w:firstLine="480" w:firstLineChars="200"/>
        <w:rPr>
          <w:rFonts w:ascii="仿宋" w:hAnsi="仿宋" w:eastAsia="仿宋" w:cs="仿宋"/>
          <w:i/>
          <w:iCs/>
          <w:sz w:val="24"/>
        </w:rPr>
      </w:pPr>
      <w:r>
        <w:rPr>
          <w:rFonts w:hint="eastAsia" w:ascii="仿宋" w:hAnsi="仿宋" w:eastAsia="仿宋" w:cs="仿宋"/>
          <w:sz w:val="24"/>
        </w:rPr>
        <w:t>（8）承包人已对拟建工程（含设计变更及工程量变化）可能发生的措施项目和措施费用作通盘考虑，清单计价一经报出即被认为是包括了所有应该发生的措施项目的全部费用。如果报出的清单中没有列项，而施工中又必须发生的项目，发包人有权认为，其已经综合在分部分项工程量清单的综合单价中。将来措施项目发生时承包人不得以任何借口提出索赔与调整，中标清单措施费包干使用，均不作任何调整。</w:t>
      </w:r>
    </w:p>
    <w:p>
      <w:pPr>
        <w:spacing w:line="520" w:lineRule="exact"/>
        <w:ind w:firstLine="480" w:firstLineChars="200"/>
        <w:rPr>
          <w:rFonts w:ascii="仿宋" w:hAnsi="仿宋" w:eastAsia="仿宋" w:cs="仿宋"/>
          <w:sz w:val="24"/>
        </w:rPr>
      </w:pPr>
      <w:r>
        <w:rPr>
          <w:rFonts w:hint="eastAsia" w:ascii="仿宋" w:hAnsi="仿宋" w:eastAsia="仿宋" w:cs="仿宋"/>
          <w:sz w:val="24"/>
        </w:rPr>
        <w:t>（9）本项目总承包服务费及甲供材料（设备）采保费：</w:t>
      </w:r>
      <w:r>
        <w:rPr>
          <w:rFonts w:hint="eastAsia" w:ascii="仿宋" w:hAnsi="仿宋" w:eastAsia="仿宋" w:cs="仿宋"/>
          <w:sz w:val="24"/>
        </w:rPr>
        <w:sym w:font="Wingdings 2" w:char="F052"/>
      </w:r>
      <w:r>
        <w:rPr>
          <w:rFonts w:hint="eastAsia" w:ascii="仿宋" w:hAnsi="仿宋" w:eastAsia="仿宋" w:cs="仿宋"/>
          <w:sz w:val="24"/>
        </w:rPr>
        <w:t>无。</w:t>
      </w:r>
    </w:p>
    <w:p>
      <w:pPr>
        <w:spacing w:line="520" w:lineRule="exact"/>
        <w:ind w:firstLine="480" w:firstLineChars="200"/>
        <w:rPr>
          <w:rFonts w:ascii="仿宋" w:hAnsi="仿宋" w:eastAsia="仿宋" w:cs="仿宋"/>
          <w:sz w:val="24"/>
        </w:rPr>
      </w:pPr>
      <w:r>
        <w:rPr>
          <w:rFonts w:hint="eastAsia" w:ascii="仿宋" w:hAnsi="仿宋" w:eastAsia="仿宋" w:cs="仿宋"/>
          <w:sz w:val="24"/>
        </w:rPr>
        <w:t>（10）税金：本工程增值税税率为9%。</w:t>
      </w:r>
    </w:p>
    <w:p>
      <w:pPr>
        <w:spacing w:line="520" w:lineRule="exact"/>
        <w:ind w:firstLine="480" w:firstLineChars="200"/>
        <w:rPr>
          <w:rFonts w:ascii="仿宋" w:hAnsi="仿宋" w:eastAsia="仿宋" w:cs="仿宋"/>
          <w:sz w:val="24"/>
        </w:rPr>
      </w:pPr>
      <w:r>
        <w:rPr>
          <w:rFonts w:hint="eastAsia" w:ascii="仿宋" w:hAnsi="仿宋" w:eastAsia="仿宋" w:cs="仿宋"/>
          <w:sz w:val="24"/>
        </w:rPr>
        <w:t>（11）计日工</w:t>
      </w:r>
      <w:r>
        <w:rPr>
          <w:rFonts w:ascii="仿宋" w:hAnsi="仿宋" w:eastAsia="仿宋" w:cs="仿宋"/>
          <w:sz w:val="24"/>
        </w:rPr>
        <w:t>220</w:t>
      </w:r>
      <w:r>
        <w:rPr>
          <w:rFonts w:hint="eastAsia" w:ascii="仿宋" w:hAnsi="仿宋" w:eastAsia="仿宋" w:cs="仿宋"/>
          <w:sz w:val="24"/>
        </w:rPr>
        <w:t>元/工日（全费用）。</w:t>
      </w:r>
    </w:p>
    <w:p>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五、材料设备的供应和采购</w:t>
      </w:r>
    </w:p>
    <w:p>
      <w:pPr>
        <w:adjustRightInd w:val="0"/>
        <w:snapToGrid w:val="0"/>
        <w:spacing w:line="520" w:lineRule="exact"/>
        <w:ind w:firstLine="480" w:firstLineChars="200"/>
        <w:rPr>
          <w:rFonts w:ascii="仿宋" w:hAnsi="仿宋" w:eastAsia="仿宋" w:cs="仿宋"/>
          <w:kern w:val="0"/>
          <w:sz w:val="24"/>
        </w:rPr>
      </w:pPr>
      <w:r>
        <w:rPr>
          <w:rFonts w:hint="eastAsia" w:ascii="仿宋" w:hAnsi="仿宋" w:eastAsia="仿宋" w:cs="仿宋"/>
          <w:kern w:val="0"/>
          <w:sz w:val="24"/>
        </w:rPr>
        <w:t>5.1本工程的材料、设备由承包人采购。</w:t>
      </w:r>
    </w:p>
    <w:p>
      <w:pPr>
        <w:adjustRightInd w:val="0"/>
        <w:snapToGrid w:val="0"/>
        <w:spacing w:line="520" w:lineRule="exact"/>
        <w:ind w:firstLine="480" w:firstLineChars="200"/>
        <w:rPr>
          <w:rFonts w:ascii="仿宋" w:hAnsi="仿宋" w:eastAsia="仿宋" w:cs="仿宋"/>
          <w:kern w:val="0"/>
          <w:sz w:val="24"/>
        </w:rPr>
      </w:pPr>
      <w:r>
        <w:rPr>
          <w:rFonts w:hint="eastAsia" w:ascii="仿宋" w:hAnsi="仿宋" w:eastAsia="仿宋" w:cs="仿宋"/>
          <w:kern w:val="0"/>
          <w:sz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w:t>
      </w:r>
    </w:p>
    <w:p>
      <w:pPr>
        <w:adjustRightInd w:val="0"/>
        <w:snapToGrid w:val="0"/>
        <w:spacing w:line="520" w:lineRule="exact"/>
        <w:ind w:firstLine="480" w:firstLineChars="200"/>
        <w:rPr>
          <w:rFonts w:ascii="仿宋" w:hAnsi="仿宋" w:eastAsia="仿宋" w:cs="仿宋"/>
          <w:kern w:val="0"/>
          <w:sz w:val="24"/>
        </w:rPr>
      </w:pPr>
      <w:r>
        <w:rPr>
          <w:rFonts w:hint="eastAsia" w:ascii="仿宋" w:hAnsi="仿宋" w:eastAsia="仿宋" w:cs="仿宋"/>
          <w:kern w:val="0"/>
          <w:sz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pPr>
        <w:adjustRightInd w:val="0"/>
        <w:snapToGrid w:val="0"/>
        <w:spacing w:line="520" w:lineRule="exact"/>
        <w:ind w:firstLine="480" w:firstLineChars="200"/>
        <w:rPr>
          <w:rFonts w:ascii="仿宋" w:hAnsi="仿宋" w:eastAsia="仿宋" w:cs="仿宋"/>
          <w:kern w:val="0"/>
          <w:sz w:val="24"/>
        </w:rPr>
      </w:pPr>
      <w:r>
        <w:rPr>
          <w:rFonts w:hint="eastAsia" w:ascii="仿宋" w:hAnsi="仿宋" w:eastAsia="仿宋" w:cs="仿宋"/>
          <w:kern w:val="0"/>
          <w:sz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pPr>
        <w:adjustRightInd w:val="0"/>
        <w:snapToGrid w:val="0"/>
        <w:spacing w:line="520" w:lineRule="exact"/>
        <w:ind w:firstLine="480" w:firstLineChars="200"/>
        <w:rPr>
          <w:rFonts w:ascii="仿宋" w:hAnsi="仿宋" w:eastAsia="仿宋" w:cs="仿宋"/>
          <w:kern w:val="0"/>
          <w:sz w:val="24"/>
        </w:rPr>
      </w:pPr>
      <w:r>
        <w:rPr>
          <w:rFonts w:hint="eastAsia" w:ascii="仿宋" w:hAnsi="仿宋" w:eastAsia="仿宋" w:cs="仿宋"/>
          <w:kern w:val="0"/>
          <w:sz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pPr>
        <w:adjustRightInd w:val="0"/>
        <w:snapToGrid w:val="0"/>
        <w:spacing w:line="520" w:lineRule="exact"/>
        <w:ind w:firstLine="480" w:firstLineChars="200"/>
        <w:rPr>
          <w:rFonts w:ascii="仿宋" w:hAnsi="仿宋" w:eastAsia="仿宋" w:cs="仿宋"/>
          <w:kern w:val="0"/>
          <w:sz w:val="24"/>
        </w:rPr>
      </w:pPr>
      <w:r>
        <w:rPr>
          <w:rFonts w:hint="eastAsia" w:ascii="仿宋" w:hAnsi="仿宋" w:eastAsia="仿宋" w:cs="仿宋"/>
          <w:kern w:val="0"/>
          <w:sz w:val="24"/>
        </w:rPr>
        <w:t>项目施工所有（不含甲供材料设备、甲分包部分）试验检测费用（包括但不限于见证取样复试、地基基础检测、主体结构检测、钢结构检测、空气质量检测、弱电检测、外墙保温系统型式检测、防雷检测、消防检测、沉降观测、焊缝检测、配电平台高低压设备的相关试验、各类流量计、能量计、温度压力传感器的校验（项目内部验收完移交时，计量装置必须在有效期内）等）均已综合考虑并包含在承包人投标总价中。根据《建设工程质量检测管理办法》第二十一条及《山东省住房和城乡建设厅关于压实建设单位工程质量首要责任的实施办法》，非建设单位委托的检测机构出具的检测报告不得作为工程质量验收资料。乙购材料设备的见证取样送检及施工专项检测（如焊缝探伤等），由发包人委托具有相应资质的第三方检测单位进行检测。若所发生的检测费用由发包人按检测委托合同支付的，在竣工结算时按实际发生检测总费用予以扣除。若所发生的检测费由发包人委托人直接垫付的，由承包人支付给发包人委托人。</w:t>
      </w:r>
    </w:p>
    <w:p>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六、竣工验收</w:t>
      </w:r>
    </w:p>
    <w:p>
      <w:pPr>
        <w:spacing w:line="360" w:lineRule="auto"/>
        <w:ind w:firstLine="480" w:firstLineChars="200"/>
        <w:rPr>
          <w:rFonts w:ascii="仿宋" w:hAnsi="仿宋" w:eastAsia="仿宋" w:cs="仿宋"/>
          <w:sz w:val="24"/>
        </w:rPr>
      </w:pPr>
      <w:r>
        <w:rPr>
          <w:rFonts w:hint="eastAsia" w:ascii="仿宋" w:hAnsi="仿宋" w:eastAsia="仿宋" w:cs="仿宋"/>
          <w:sz w:val="24"/>
        </w:rPr>
        <w:t>6.1工程完成后，在组织竣工验收前，承包人应向发包人移交</w:t>
      </w:r>
      <w:r>
        <w:rPr>
          <w:rFonts w:hint="eastAsia" w:ascii="仿宋" w:hAnsi="仿宋" w:eastAsia="仿宋" w:cs="仿宋"/>
          <w:sz w:val="24"/>
          <w:u w:val="single"/>
        </w:rPr>
        <w:t>三</w:t>
      </w:r>
      <w:r>
        <w:rPr>
          <w:rFonts w:hint="eastAsia" w:ascii="仿宋" w:hAnsi="仿宋" w:eastAsia="仿宋" w:cs="仿宋"/>
          <w:sz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spacing w:line="360" w:lineRule="auto"/>
        <w:ind w:firstLine="480" w:firstLineChars="200"/>
        <w:rPr>
          <w:rFonts w:ascii="仿宋" w:hAnsi="仿宋" w:eastAsia="仿宋" w:cs="仿宋"/>
          <w:sz w:val="24"/>
        </w:rPr>
      </w:pPr>
      <w:r>
        <w:rPr>
          <w:rFonts w:hint="eastAsia" w:ascii="仿宋" w:hAnsi="仿宋" w:eastAsia="仿宋" w:cs="仿宋"/>
          <w:sz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adjustRightInd w:val="0"/>
        <w:snapToGrid w:val="0"/>
        <w:spacing w:line="520" w:lineRule="exact"/>
        <w:ind w:right="-74" w:firstLine="420" w:firstLineChars="175"/>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w:t>
      </w:r>
      <w:r>
        <w:rPr>
          <w:rFonts w:hint="eastAsia" w:ascii="仿宋" w:hAnsi="仿宋" w:eastAsia="仿宋" w:cs="仿宋"/>
          <w:sz w:val="24"/>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adjustRightInd w:val="0"/>
        <w:snapToGrid w:val="0"/>
        <w:spacing w:line="520" w:lineRule="exact"/>
        <w:ind w:right="-74" w:firstLine="420" w:firstLineChars="175"/>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3</w:t>
      </w:r>
      <w:r>
        <w:rPr>
          <w:rFonts w:hint="eastAsia" w:ascii="仿宋" w:hAnsi="仿宋" w:eastAsia="仿宋" w:cs="仿宋"/>
          <w:sz w:val="24"/>
        </w:rPr>
        <w:t>承包人应在竣工验收合格后</w:t>
      </w:r>
      <w:r>
        <w:rPr>
          <w:rFonts w:hint="eastAsia" w:ascii="仿宋" w:hAnsi="仿宋" w:eastAsia="仿宋" w:cs="仿宋"/>
          <w:sz w:val="24"/>
          <w:u w:val="single"/>
        </w:rPr>
        <w:t xml:space="preserve"> 7 </w:t>
      </w:r>
      <w:r>
        <w:rPr>
          <w:rFonts w:hint="eastAsia" w:ascii="仿宋" w:hAnsi="仿宋" w:eastAsia="仿宋" w:cs="仿宋"/>
          <w:sz w:val="24"/>
        </w:rPr>
        <w:t>日内完成以下工作：</w:t>
      </w:r>
    </w:p>
    <w:p>
      <w:pPr>
        <w:tabs>
          <w:tab w:val="left" w:pos="720"/>
          <w:tab w:val="left" w:pos="1260"/>
        </w:tabs>
        <w:adjustRightInd w:val="0"/>
        <w:snapToGrid w:val="0"/>
        <w:spacing w:line="520" w:lineRule="exact"/>
        <w:ind w:right="-74" w:firstLine="420" w:firstLineChars="175"/>
        <w:rPr>
          <w:rFonts w:ascii="仿宋" w:hAnsi="仿宋" w:eastAsia="仿宋" w:cs="仿宋"/>
          <w:sz w:val="24"/>
        </w:rPr>
      </w:pPr>
      <w:r>
        <w:rPr>
          <w:rFonts w:hint="eastAsia" w:ascii="仿宋" w:hAnsi="仿宋" w:eastAsia="仿宋" w:cs="仿宋"/>
          <w:sz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rPr>
        <w:t>0.5</w:t>
      </w:r>
      <w:r>
        <w:rPr>
          <w:rFonts w:hint="eastAsia" w:ascii="仿宋" w:hAnsi="仿宋" w:eastAsia="仿宋" w:cs="仿宋"/>
          <w:sz w:val="24"/>
        </w:rPr>
        <w:t>‰的金额向发包人支付违约金。</w:t>
      </w:r>
    </w:p>
    <w:p>
      <w:pPr>
        <w:adjustRightInd w:val="0"/>
        <w:snapToGrid w:val="0"/>
        <w:spacing w:line="520" w:lineRule="exact"/>
        <w:ind w:right="-74" w:firstLine="420" w:firstLineChars="175"/>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4</w:t>
      </w:r>
      <w:r>
        <w:rPr>
          <w:rFonts w:hint="eastAsia" w:ascii="仿宋" w:hAnsi="仿宋" w:eastAsia="仿宋" w:cs="仿宋"/>
          <w:sz w:val="24"/>
        </w:rPr>
        <w:t>工程在未移交发包人之前，承包人应负责已完工程的成品保护工作，保护期间发生损坏、失窃，承包人自费予以修复。如发包人提前使用，因使用损坏发生的修理费用由发包人承担。</w:t>
      </w:r>
    </w:p>
    <w:p>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七、质量保修</w:t>
      </w:r>
    </w:p>
    <w:p>
      <w:pPr>
        <w:adjustRightInd w:val="0"/>
        <w:snapToGrid w:val="0"/>
        <w:spacing w:line="520" w:lineRule="exact"/>
        <w:ind w:right="-74" w:firstLine="420" w:firstLineChars="175"/>
        <w:rPr>
          <w:rFonts w:ascii="仿宋" w:hAnsi="仿宋" w:eastAsia="仿宋" w:cs="仿宋"/>
          <w:sz w:val="24"/>
        </w:rPr>
      </w:pPr>
      <w:r>
        <w:rPr>
          <w:rFonts w:hint="eastAsia" w:ascii="仿宋" w:hAnsi="仿宋" w:eastAsia="仿宋" w:cs="仿宋"/>
          <w:sz w:val="24"/>
        </w:rPr>
        <w:t>7.1本合同工程质量保修期：建设工程的保修期</w:t>
      </w:r>
      <w:r>
        <w:rPr>
          <w:rFonts w:hint="eastAsia" w:ascii="仿宋" w:hAnsi="仿宋" w:eastAsia="仿宋" w:cs="仿宋"/>
          <w:sz w:val="24"/>
          <w:u w:val="single"/>
        </w:rPr>
        <w:t>自工程竣工验收合格之日起计算</w:t>
      </w:r>
      <w:r>
        <w:rPr>
          <w:rFonts w:hint="eastAsia" w:ascii="仿宋" w:hAnsi="仿宋" w:eastAsia="仿宋" w:cs="仿宋"/>
          <w:sz w:val="24"/>
        </w:rPr>
        <w:t>，详见本合同附件1《工程质量保修书》。</w:t>
      </w:r>
    </w:p>
    <w:p>
      <w:pPr>
        <w:adjustRightInd w:val="0"/>
        <w:snapToGrid w:val="0"/>
        <w:spacing w:line="520" w:lineRule="exact"/>
        <w:ind w:right="-74" w:firstLine="420" w:firstLineChars="175"/>
        <w:rPr>
          <w:rFonts w:ascii="仿宋" w:hAnsi="仿宋" w:eastAsia="仿宋" w:cs="仿宋"/>
          <w:sz w:val="24"/>
        </w:rPr>
      </w:pPr>
      <w:r>
        <w:rPr>
          <w:rFonts w:hint="eastAsia" w:ascii="仿宋" w:hAnsi="仿宋" w:eastAsia="仿宋" w:cs="仿宋"/>
          <w:sz w:val="24"/>
        </w:rPr>
        <w:t>7.2在保修期内出现</w:t>
      </w:r>
      <w:r>
        <w:rPr>
          <w:rFonts w:hint="eastAsia" w:ascii="仿宋" w:hAnsi="仿宋" w:eastAsia="仿宋" w:cs="仿宋"/>
          <w:sz w:val="24"/>
          <w:u w:val="single"/>
        </w:rPr>
        <w:t xml:space="preserve"> 防水 </w:t>
      </w:r>
      <w:r>
        <w:rPr>
          <w:rFonts w:hint="eastAsia" w:ascii="仿宋" w:hAnsi="仿宋" w:eastAsia="仿宋" w:cs="仿宋"/>
          <w:sz w:val="24"/>
        </w:rPr>
        <w:t>质量问题经修复完成后，相应保修期重新计算。</w:t>
      </w:r>
    </w:p>
    <w:p>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八、违约责任</w:t>
      </w:r>
    </w:p>
    <w:p>
      <w:pPr>
        <w:adjustRightInd w:val="0"/>
        <w:snapToGrid w:val="0"/>
        <w:spacing w:line="520" w:lineRule="exact"/>
        <w:ind w:right="-74" w:firstLine="420" w:firstLineChars="175"/>
        <w:rPr>
          <w:rFonts w:ascii="仿宋" w:hAnsi="仿宋" w:eastAsia="仿宋" w:cs="仿宋"/>
          <w:sz w:val="24"/>
        </w:rPr>
      </w:pPr>
      <w:r>
        <w:rPr>
          <w:rFonts w:hint="eastAsia" w:ascii="仿宋" w:hAnsi="仿宋" w:eastAsia="仿宋" w:cs="仿宋"/>
          <w:sz w:val="24"/>
        </w:rPr>
        <w:t>8</w:t>
      </w:r>
      <w:r>
        <w:rPr>
          <w:rFonts w:ascii="仿宋" w:hAnsi="仿宋" w:eastAsia="仿宋" w:cs="仿宋"/>
          <w:sz w:val="24"/>
        </w:rPr>
        <w:t>.1</w:t>
      </w:r>
      <w:r>
        <w:rPr>
          <w:rFonts w:hint="eastAsia" w:ascii="仿宋" w:hAnsi="仿宋" w:eastAsia="仿宋" w:cs="仿宋"/>
          <w:sz w:val="24"/>
        </w:rPr>
        <w:t>承包人在履行合同过程中，不能满足发包人施工进度和质量、安全文明要求的以及承包人项目经理、主要管理人员不能现场履职的，承包人应向发包人支付5000-100000元/次作为赔偿金；如发生承包人及/或实际施工人存在无相关许可资质、借用或冒用他人的资质、印章等严重情节（具体以发包人认定为准）的，发包人有权解除合同，同时承包人按合同最终结算价的10％支付违约金，没有合同最终结算价的，按合同暂定价的10％计算，发包人有权保留进一步索赔的权利。</w:t>
      </w:r>
    </w:p>
    <w:p>
      <w:pPr>
        <w:adjustRightInd w:val="0"/>
        <w:snapToGrid w:val="0"/>
        <w:spacing w:line="520" w:lineRule="exact"/>
        <w:ind w:right="-74" w:firstLine="420" w:firstLineChars="175"/>
        <w:rPr>
          <w:rFonts w:ascii="仿宋" w:hAnsi="仿宋" w:eastAsia="仿宋" w:cs="仿宋"/>
          <w:sz w:val="24"/>
        </w:rPr>
      </w:pPr>
      <w:r>
        <w:rPr>
          <w:rFonts w:hint="eastAsia" w:ascii="仿宋" w:hAnsi="仿宋" w:eastAsia="仿宋" w:cs="仿宋"/>
          <w:sz w:val="24"/>
        </w:rPr>
        <w:t>8.2工程量签证现场草签结束后3日内，施工单位汇总统计草签单中的工程量或发生的人工、机械设备台班数量，填写《现场签证单》。签证签批办理最长不超过28日。若超出28日，每超期一天施工单位承担签证单工程量5‰/天/项的折损，直至全部折损完毕。在竣工结算审计时，按正式签证日期与草签单日期的间隔日历天数予以扣除。</w:t>
      </w:r>
    </w:p>
    <w:p>
      <w:pPr>
        <w:adjustRightInd w:val="0"/>
        <w:snapToGrid w:val="0"/>
        <w:spacing w:line="520" w:lineRule="exact"/>
        <w:ind w:right="-74" w:firstLine="420" w:firstLineChars="175"/>
        <w:rPr>
          <w:rFonts w:ascii="仿宋" w:hAnsi="仿宋" w:eastAsia="仿宋" w:cs="仿宋"/>
          <w:sz w:val="24"/>
        </w:rPr>
      </w:pPr>
      <w:r>
        <w:rPr>
          <w:rFonts w:hint="eastAsia" w:ascii="仿宋" w:hAnsi="仿宋" w:eastAsia="仿宋" w:cs="仿宋"/>
          <w:sz w:val="24"/>
        </w:rPr>
        <w:t>8.3当发生新增工作内容，合同中没有价格的，承包人应最迟在28天内提报批价申请以及依据资料，承包人逾期未提报批价申请，承包人丧失主张权利，经发包人同意事后补办的，视为承包人无条件认可发包人最终审批价格，发包人亦不再受理异议。结算时批价资料无需施工方签字认可即为有效。</w:t>
      </w:r>
    </w:p>
    <w:p>
      <w:pPr>
        <w:adjustRightInd w:val="0"/>
        <w:snapToGrid w:val="0"/>
        <w:spacing w:line="520" w:lineRule="exact"/>
        <w:ind w:right="-74" w:firstLine="420" w:firstLineChars="175"/>
        <w:rPr>
          <w:rFonts w:ascii="仿宋" w:hAnsi="仿宋" w:eastAsia="仿宋" w:cs="仿宋"/>
          <w:sz w:val="24"/>
        </w:rPr>
      </w:pPr>
      <w:r>
        <w:rPr>
          <w:rFonts w:hint="eastAsia" w:ascii="仿宋" w:hAnsi="仿宋" w:eastAsia="仿宋" w:cs="仿宋"/>
          <w:kern w:val="0"/>
          <w:sz w:val="24"/>
        </w:rPr>
        <w:t>8.4如果承包人</w:t>
      </w:r>
      <w:r>
        <w:rPr>
          <w:rFonts w:hint="eastAsia" w:ascii="仿宋" w:hAnsi="仿宋" w:eastAsia="仿宋" w:cs="仿宋"/>
          <w:sz w:val="24"/>
        </w:rPr>
        <w:t>违反</w:t>
      </w:r>
      <w:r>
        <w:rPr>
          <w:rFonts w:hint="eastAsia" w:ascii="仿宋" w:hAnsi="仿宋" w:eastAsia="仿宋" w:cs="仿宋"/>
          <w:kern w:val="0"/>
          <w:sz w:val="24"/>
        </w:rPr>
        <w:t>本合同约定（含附件，如有）的，除应按本合同约定赔偿损失及违约金外，还应赔偿包括但不限于发包人因此支出的或预计支付的诉讼费、保全申请费、保全保险费、鉴定费、评估费、司法审计费、拍卖费、律师费等一切费用。</w:t>
      </w:r>
    </w:p>
    <w:p>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九、争议解决</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kern w:val="0"/>
          <w:sz w:val="24"/>
        </w:rPr>
        <w:t>9.1本合同有效期内发生纠纷，由双方协商解决。如协商不成，</w:t>
      </w:r>
      <w:r>
        <w:rPr>
          <w:rFonts w:hint="eastAsia" w:ascii="仿宋" w:hAnsi="仿宋" w:eastAsia="仿宋" w:cs="仿宋"/>
          <w:sz w:val="24"/>
        </w:rPr>
        <w:t>双方同意依法向</w:t>
      </w:r>
      <w:r>
        <w:rPr>
          <w:rFonts w:hint="eastAsia" w:ascii="仿宋" w:hAnsi="仿宋" w:eastAsia="仿宋" w:cs="仿宋"/>
          <w:sz w:val="24"/>
          <w:u w:val="single"/>
        </w:rPr>
        <w:t>建设工程所在地有管辖权的人民法院起诉</w:t>
      </w:r>
      <w:r>
        <w:rPr>
          <w:rFonts w:hint="eastAsia" w:ascii="仿宋" w:hAnsi="仿宋" w:eastAsia="仿宋" w:cs="仿宋"/>
          <w:sz w:val="24"/>
        </w:rPr>
        <w:t>解决。</w:t>
      </w:r>
    </w:p>
    <w:p>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十、附则</w:t>
      </w:r>
    </w:p>
    <w:p>
      <w:pPr>
        <w:adjustRightInd w:val="0"/>
        <w:snapToGrid w:val="0"/>
        <w:spacing w:line="360" w:lineRule="auto"/>
        <w:ind w:firstLine="480" w:firstLineChars="200"/>
        <w:rPr>
          <w:rFonts w:ascii="仿宋" w:hAnsi="仿宋" w:eastAsia="仿宋" w:cs="仿宋"/>
          <w:sz w:val="24"/>
          <w:u w:val="single"/>
        </w:rPr>
      </w:pPr>
      <w:r>
        <w:rPr>
          <w:rFonts w:hint="eastAsia" w:ascii="仿宋" w:hAnsi="仿宋" w:eastAsia="仿宋" w:cs="仿宋"/>
          <w:sz w:val="24"/>
        </w:rPr>
        <w:t>10.1发包人代表为</w:t>
      </w:r>
      <w:r>
        <w:rPr>
          <w:rFonts w:hint="eastAsia" w:ascii="仿宋" w:hAnsi="仿宋" w:eastAsia="仿宋" w:cs="仿宋"/>
          <w:sz w:val="24"/>
          <w:u w:val="single"/>
        </w:rPr>
        <w:t xml:space="preserve">     </w:t>
      </w:r>
      <w:r>
        <w:rPr>
          <w:rFonts w:ascii="仿宋" w:hAnsi="仿宋" w:eastAsia="仿宋" w:cs="仿宋"/>
          <w:sz w:val="24"/>
          <w:u w:val="single"/>
        </w:rPr>
        <w:t xml:space="preserve"> </w:t>
      </w:r>
      <w:r>
        <w:rPr>
          <w:rFonts w:hint="eastAsia" w:ascii="仿宋" w:hAnsi="仿宋" w:eastAsia="仿宋" w:cs="仿宋"/>
          <w:sz w:val="24"/>
          <w:u w:val="single"/>
        </w:rPr>
        <w:t>；</w:t>
      </w:r>
    </w:p>
    <w:p>
      <w:pPr>
        <w:adjustRightInd w:val="0"/>
        <w:snapToGrid w:val="0"/>
        <w:spacing w:line="360" w:lineRule="auto"/>
        <w:ind w:firstLine="960" w:firstLineChars="400"/>
        <w:rPr>
          <w:rFonts w:ascii="仿宋" w:hAnsi="仿宋" w:eastAsia="仿宋" w:cs="仿宋"/>
          <w:sz w:val="24"/>
          <w:u w:val="single"/>
        </w:rPr>
      </w:pPr>
      <w:r>
        <w:rPr>
          <w:rFonts w:hint="eastAsia" w:ascii="仿宋" w:hAnsi="仿宋" w:eastAsia="仿宋" w:cs="仿宋"/>
          <w:sz w:val="24"/>
        </w:rPr>
        <w:t>承包人代表为</w:t>
      </w:r>
      <w:r>
        <w:rPr>
          <w:rFonts w:hint="eastAsia" w:ascii="仿宋" w:hAnsi="仿宋" w:eastAsia="仿宋" w:cs="仿宋"/>
          <w:sz w:val="24"/>
          <w:u w:val="single"/>
        </w:rPr>
        <w:t xml:space="preserve">       ，</w:t>
      </w:r>
      <w:r>
        <w:rPr>
          <w:rFonts w:hint="eastAsia" w:ascii="仿宋" w:hAnsi="仿宋" w:eastAsia="仿宋" w:cs="仿宋"/>
          <w:sz w:val="24"/>
        </w:rPr>
        <w:t>身份证号</w:t>
      </w:r>
      <w:r>
        <w:rPr>
          <w:rFonts w:hint="eastAsia" w:ascii="仿宋" w:hAnsi="仿宋" w:eastAsia="仿宋" w:cs="仿宋"/>
          <w:sz w:val="24"/>
          <w:u w:val="single"/>
        </w:rPr>
        <w:t>：         ；</w:t>
      </w:r>
      <w:r>
        <w:rPr>
          <w:rFonts w:hint="eastAsia" w:ascii="仿宋" w:hAnsi="仿宋" w:eastAsia="仿宋" w:cs="仿宋"/>
          <w:sz w:val="24"/>
        </w:rPr>
        <w:t>执业证书号：</w:t>
      </w:r>
      <w:r>
        <w:rPr>
          <w:rFonts w:hint="eastAsia" w:ascii="仿宋" w:hAnsi="仿宋" w:eastAsia="仿宋" w:cs="仿宋"/>
          <w:sz w:val="24"/>
          <w:u w:val="single"/>
        </w:rPr>
        <w:t xml:space="preserve">        。</w:t>
      </w:r>
    </w:p>
    <w:p>
      <w:pPr>
        <w:adjustRightInd w:val="0"/>
        <w:snapToGrid w:val="0"/>
        <w:spacing w:line="360" w:lineRule="auto"/>
        <w:ind w:firstLine="960" w:firstLineChars="400"/>
        <w:rPr>
          <w:rFonts w:ascii="仿宋" w:hAnsi="仿宋" w:eastAsia="仿宋" w:cs="仿宋"/>
          <w:sz w:val="24"/>
        </w:rPr>
      </w:pPr>
      <w:r>
        <w:rPr>
          <w:rFonts w:hint="eastAsia" w:ascii="仿宋" w:hAnsi="仿宋" w:eastAsia="仿宋" w:cs="仿宋"/>
          <w:sz w:val="24"/>
        </w:rPr>
        <w:t>监理人代表为</w:t>
      </w:r>
      <w:r>
        <w:rPr>
          <w:rFonts w:hint="eastAsia" w:ascii="仿宋" w:hAnsi="仿宋" w:eastAsia="仿宋" w:cs="仿宋"/>
          <w:sz w:val="24"/>
          <w:u w:val="single"/>
        </w:rPr>
        <w:t xml:space="preserve"> </w:t>
      </w:r>
      <w:r>
        <w:rPr>
          <w:rFonts w:ascii="仿宋" w:hAnsi="仿宋" w:eastAsia="仿宋" w:cs="仿宋"/>
          <w:sz w:val="24"/>
          <w:u w:val="single"/>
        </w:rPr>
        <w:t xml:space="preserve">       </w:t>
      </w:r>
      <w:r>
        <w:rPr>
          <w:rFonts w:hint="eastAsia" w:ascii="仿宋" w:hAnsi="仿宋" w:eastAsia="仿宋" w:cs="仿宋"/>
          <w:sz w:val="24"/>
        </w:rPr>
        <w:t>。</w:t>
      </w:r>
    </w:p>
    <w:p>
      <w:pPr>
        <w:pStyle w:val="19"/>
        <w:spacing w:line="360" w:lineRule="auto"/>
        <w:ind w:left="420" w:firstLine="480" w:firstLineChars="200"/>
        <w:rPr>
          <w:rFonts w:ascii="仿宋" w:hAnsi="仿宋" w:eastAsia="仿宋" w:cs="仿宋"/>
          <w:sz w:val="24"/>
          <w:szCs w:val="24"/>
        </w:rPr>
      </w:pPr>
      <w:r>
        <w:rPr>
          <w:rFonts w:hint="eastAsia" w:ascii="仿宋" w:hAnsi="仿宋" w:eastAsia="仿宋" w:cs="仿宋"/>
          <w:sz w:val="24"/>
          <w:szCs w:val="24"/>
        </w:rPr>
        <w:t>10.2其他补充说明</w:t>
      </w:r>
      <w:r>
        <w:rPr>
          <w:rFonts w:hint="eastAsia" w:ascii="仿宋" w:hAnsi="仿宋" w:eastAsia="仿宋" w:cs="仿宋"/>
          <w:i/>
          <w:iCs/>
          <w:sz w:val="24"/>
          <w:szCs w:val="24"/>
          <w:u w:val="single"/>
        </w:rPr>
        <w:t>（说明：根据招标文件要求补充）</w:t>
      </w:r>
    </w:p>
    <w:p>
      <w:pPr>
        <w:pStyle w:val="19"/>
        <w:numPr>
          <w:ilvl w:val="0"/>
          <w:numId w:val="9"/>
        </w:numPr>
        <w:spacing w:line="360" w:lineRule="auto"/>
        <w:ind w:left="420" w:firstLine="480" w:firstLineChars="200"/>
        <w:rPr>
          <w:rFonts w:ascii="仿宋" w:hAnsi="仿宋" w:eastAsia="仿宋" w:cs="仿宋"/>
          <w:sz w:val="24"/>
          <w:szCs w:val="24"/>
        </w:rPr>
      </w:pPr>
      <w:r>
        <w:rPr>
          <w:rFonts w:hint="eastAsia" w:ascii="仿宋" w:hAnsi="仿宋" w:eastAsia="仿宋" w:cs="仿宋"/>
          <w:sz w:val="24"/>
          <w:szCs w:val="24"/>
        </w:rPr>
        <w:t>施工区、生活区水电费按表计量缴费，发生费用由承包人承担。</w:t>
      </w:r>
    </w:p>
    <w:p>
      <w:pPr>
        <w:pStyle w:val="19"/>
        <w:numPr>
          <w:ilvl w:val="0"/>
          <w:numId w:val="9"/>
        </w:numPr>
        <w:spacing w:line="360" w:lineRule="auto"/>
        <w:ind w:left="420" w:firstLine="480" w:firstLineChars="200"/>
        <w:rPr>
          <w:rFonts w:ascii="仿宋" w:hAnsi="仿宋" w:eastAsia="仿宋" w:cs="仿宋"/>
          <w:sz w:val="24"/>
          <w:szCs w:val="24"/>
        </w:rPr>
      </w:pP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pPr>
        <w:pStyle w:val="19"/>
        <w:numPr>
          <w:ilvl w:val="0"/>
          <w:numId w:val="9"/>
        </w:numPr>
        <w:spacing w:line="360" w:lineRule="auto"/>
        <w:ind w:left="420" w:firstLine="480" w:firstLineChars="200"/>
        <w:rPr>
          <w:rFonts w:ascii="仿宋" w:hAnsi="仿宋" w:eastAsia="仿宋" w:cs="仿宋"/>
          <w:sz w:val="24"/>
          <w:szCs w:val="24"/>
        </w:rPr>
      </w:pP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pPr>
        <w:pStyle w:val="19"/>
        <w:numPr>
          <w:ilvl w:val="0"/>
          <w:numId w:val="9"/>
        </w:numPr>
        <w:spacing w:line="360" w:lineRule="auto"/>
        <w:ind w:left="420" w:firstLine="480" w:firstLineChars="200"/>
        <w:rPr>
          <w:rFonts w:ascii="仿宋" w:hAnsi="仿宋" w:eastAsia="仿宋" w:cs="仿宋"/>
          <w:color w:val="000000" w:themeColor="text1"/>
          <w:sz w:val="30"/>
          <w:szCs w:val="32"/>
          <w14:textFill>
            <w14:solidFill>
              <w14:schemeClr w14:val="tx1"/>
            </w14:solidFill>
          </w14:textFill>
        </w:rPr>
      </w:pPr>
      <w:r>
        <w:rPr>
          <w:rFonts w:hint="eastAsia" w:ascii="仿宋" w:hAnsi="仿宋" w:eastAsia="仿宋" w:cs="仿宋"/>
          <w:sz w:val="24"/>
          <w:szCs w:val="24"/>
        </w:rPr>
        <w:t>工程结算审计，由发包人委托造价咨询单位审计或自行审计。（4</w:t>
      </w:r>
      <w:r>
        <w:rPr>
          <w:rFonts w:ascii="仿宋" w:hAnsi="仿宋" w:eastAsia="仿宋" w:cs="仿宋"/>
          <w:sz w:val="24"/>
          <w:szCs w:val="24"/>
        </w:rPr>
        <w:t>.1</w:t>
      </w:r>
      <w:r>
        <w:rPr>
          <w:rFonts w:hint="eastAsia" w:ascii="仿宋" w:hAnsi="仿宋" w:eastAsia="仿宋" w:cs="仿宋"/>
          <w:sz w:val="24"/>
          <w:szCs w:val="24"/>
        </w:rPr>
        <w:t>）初审审计：结算审计费=基本审计费+效益审计费，其中：基本审计费1000元，效益审计费根据工程项目审减额参考鲁价费发【2007】205号文收费标准执行，对结算审减额超过5%部分，按5%计取审计费，以上费用均由承包人支付。审计费由承包人直接缴纳或者由发包人在工程款中代扣代缴。（</w:t>
      </w:r>
      <w:r>
        <w:rPr>
          <w:rFonts w:ascii="仿宋" w:hAnsi="仿宋" w:eastAsia="仿宋" w:cs="仿宋"/>
          <w:sz w:val="24"/>
          <w:szCs w:val="24"/>
        </w:rPr>
        <w:t>4</w:t>
      </w:r>
      <w:r>
        <w:rPr>
          <w:rFonts w:hint="eastAsia" w:ascii="仿宋" w:hAnsi="仿宋" w:eastAsia="仿宋" w:cs="仿宋"/>
          <w:sz w:val="24"/>
          <w:szCs w:val="24"/>
        </w:rPr>
        <w:t>.2）复审审计：结算审计费根据工程项目审减额参考鲁价费发【2007】205号文收费标准执行，结算审减额按5%计取审计费，由承包人支付。审计费由承包人直接缴纳或者由发包人在工程款中代扣代缴。</w:t>
      </w:r>
    </w:p>
    <w:p>
      <w:pPr>
        <w:pStyle w:val="19"/>
        <w:numPr>
          <w:ilvl w:val="0"/>
          <w:numId w:val="9"/>
        </w:numPr>
        <w:spacing w:line="360" w:lineRule="auto"/>
        <w:ind w:left="420" w:firstLine="480" w:firstLineChars="200"/>
        <w:rPr>
          <w:rFonts w:ascii="仿宋" w:hAnsi="仿宋" w:eastAsia="仿宋" w:cs="仿宋"/>
          <w:sz w:val="24"/>
          <w:szCs w:val="24"/>
        </w:rPr>
      </w:pPr>
      <w:r>
        <w:rPr>
          <w:rFonts w:hint="eastAsia" w:ascii="仿宋" w:hAnsi="仿宋" w:eastAsia="仿宋" w:cs="仿宋"/>
          <w:sz w:val="24"/>
          <w:szCs w:val="24"/>
        </w:rPr>
        <w:t>项目描述及工作内容相同的清单子项综合单价必须相同，若有不同报价，结算时发包人有权按照较低报价确定该子项的综合单价。</w:t>
      </w:r>
    </w:p>
    <w:p>
      <w:pPr>
        <w:pStyle w:val="8"/>
        <w:adjustRightInd w:val="0"/>
        <w:snapToGrid w:val="0"/>
        <w:spacing w:before="120" w:after="120" w:line="520" w:lineRule="exact"/>
        <w:rPr>
          <w:rFonts w:ascii="仿宋" w:hAnsi="仿宋" w:eastAsia="仿宋" w:cs="仿宋"/>
          <w:sz w:val="24"/>
          <w:szCs w:val="24"/>
        </w:rPr>
      </w:pPr>
      <w:r>
        <w:rPr>
          <w:rFonts w:hint="eastAsia" w:ascii="仿宋" w:hAnsi="仿宋" w:eastAsia="仿宋" w:cs="仿宋"/>
          <w:sz w:val="24"/>
          <w:szCs w:val="24"/>
        </w:rPr>
        <w:t>十一、合同生效</w:t>
      </w:r>
    </w:p>
    <w:p>
      <w:pPr>
        <w:adjustRightInd w:val="0"/>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11.1本合同签订地点：</w:t>
      </w:r>
      <w:r>
        <w:rPr>
          <w:rFonts w:hint="eastAsia" w:ascii="仿宋" w:hAnsi="仿宋" w:eastAsia="仿宋" w:cs="仿宋"/>
          <w:bCs/>
          <w:sz w:val="24"/>
          <w:u w:val="single"/>
        </w:rPr>
        <w:t>山东省济南市</w:t>
      </w:r>
      <w:r>
        <w:rPr>
          <w:rFonts w:hint="eastAsia" w:ascii="仿宋" w:hAnsi="仿宋" w:eastAsia="仿宋" w:cs="仿宋"/>
          <w:bCs/>
          <w:sz w:val="24"/>
        </w:rPr>
        <w:t>。</w:t>
      </w:r>
    </w:p>
    <w:p>
      <w:pPr>
        <w:adjustRightInd w:val="0"/>
        <w:snapToGrid w:val="0"/>
        <w:spacing w:line="360" w:lineRule="auto"/>
        <w:ind w:firstLine="480" w:firstLineChars="200"/>
        <w:rPr>
          <w:rFonts w:ascii="仿宋" w:hAnsi="仿宋" w:eastAsia="仿宋" w:cs="仿宋"/>
          <w:bCs/>
          <w:sz w:val="24"/>
          <w:u w:val="single"/>
        </w:rPr>
      </w:pPr>
      <w:r>
        <w:rPr>
          <w:rFonts w:hint="eastAsia" w:ascii="仿宋" w:hAnsi="仿宋" w:eastAsia="仿宋" w:cs="仿宋"/>
          <w:bCs/>
          <w:sz w:val="24"/>
        </w:rPr>
        <w:t>11.2本合同一式</w:t>
      </w:r>
      <w:r>
        <w:rPr>
          <w:rFonts w:hint="eastAsia" w:ascii="仿宋" w:hAnsi="仿宋" w:eastAsia="仿宋" w:cs="仿宋"/>
          <w:bCs/>
          <w:sz w:val="24"/>
          <w:u w:val="single"/>
        </w:rPr>
        <w:t xml:space="preserve"> 陆 </w:t>
      </w:r>
      <w:r>
        <w:rPr>
          <w:rFonts w:hint="eastAsia" w:ascii="仿宋" w:hAnsi="仿宋" w:eastAsia="仿宋" w:cs="仿宋"/>
          <w:bCs/>
          <w:sz w:val="24"/>
        </w:rPr>
        <w:t>份，均具有同等法律效力，发包人</w:t>
      </w:r>
      <w:r>
        <w:rPr>
          <w:rFonts w:hint="eastAsia" w:ascii="仿宋" w:hAnsi="仿宋" w:eastAsia="仿宋" w:cs="仿宋"/>
          <w:bCs/>
          <w:sz w:val="24"/>
          <w:u w:val="single"/>
        </w:rPr>
        <w:t xml:space="preserve"> 肆 </w:t>
      </w:r>
      <w:r>
        <w:rPr>
          <w:rFonts w:hint="eastAsia" w:ascii="仿宋" w:hAnsi="仿宋" w:eastAsia="仿宋" w:cs="仿宋"/>
          <w:bCs/>
          <w:sz w:val="24"/>
        </w:rPr>
        <w:t>份，承包人</w:t>
      </w:r>
      <w:r>
        <w:rPr>
          <w:rFonts w:hint="eastAsia" w:ascii="仿宋" w:hAnsi="仿宋" w:eastAsia="仿宋" w:cs="仿宋"/>
          <w:bCs/>
          <w:sz w:val="24"/>
          <w:u w:val="single"/>
        </w:rPr>
        <w:t xml:space="preserve"> 贰 </w:t>
      </w:r>
      <w:r>
        <w:rPr>
          <w:rFonts w:hint="eastAsia" w:ascii="仿宋" w:hAnsi="仿宋" w:eastAsia="仿宋" w:cs="仿宋"/>
          <w:bCs/>
          <w:sz w:val="24"/>
        </w:rPr>
        <w:t>份。</w:t>
      </w:r>
    </w:p>
    <w:p>
      <w:pPr>
        <w:adjustRightInd w:val="0"/>
        <w:snapToGrid w:val="0"/>
        <w:spacing w:line="360" w:lineRule="auto"/>
        <w:ind w:firstLine="480" w:firstLineChars="200"/>
        <w:rPr>
          <w:rFonts w:ascii="仿宋" w:hAnsi="仿宋" w:eastAsia="仿宋" w:cs="仿宋"/>
          <w:bCs/>
          <w:sz w:val="24"/>
        </w:rPr>
      </w:pPr>
      <w:r>
        <w:rPr>
          <w:rFonts w:hint="eastAsia" w:ascii="仿宋" w:hAnsi="仿宋" w:eastAsia="仿宋" w:cs="仿宋"/>
          <w:bCs/>
          <w:sz w:val="24"/>
        </w:rPr>
        <w:t>11.3本合同自</w:t>
      </w:r>
      <w:r>
        <w:rPr>
          <w:rFonts w:ascii="仿宋" w:hAnsi="仿宋" w:eastAsia="仿宋" w:cs="仿宋"/>
          <w:bCs/>
          <w:sz w:val="24"/>
        </w:rPr>
        <w:t>双方授权代表签署并加盖公章</w:t>
      </w:r>
      <w:r>
        <w:rPr>
          <w:rFonts w:hint="eastAsia" w:ascii="仿宋" w:hAnsi="仿宋" w:eastAsia="仿宋" w:cs="仿宋"/>
          <w:bCs/>
          <w:sz w:val="24"/>
        </w:rPr>
        <w:t>或者合同专用章之日起生效。合同附件作为合同不可分割的一部分，具有同等法律效力。</w:t>
      </w:r>
    </w:p>
    <w:p>
      <w:pPr>
        <w:adjustRightInd w:val="0"/>
        <w:snapToGrid w:val="0"/>
        <w:spacing w:line="520" w:lineRule="exact"/>
        <w:ind w:firstLine="482" w:firstLineChars="200"/>
        <w:rPr>
          <w:rFonts w:ascii="仿宋" w:hAnsi="仿宋" w:eastAsia="仿宋" w:cs="仿宋"/>
          <w:b/>
          <w:bCs/>
          <w:kern w:val="0"/>
          <w:sz w:val="24"/>
        </w:rPr>
      </w:pPr>
      <w:r>
        <w:rPr>
          <w:rFonts w:ascii="仿宋" w:hAnsi="仿宋" w:eastAsia="仿宋" w:cs="仿宋"/>
          <w:b/>
          <w:bCs/>
          <w:kern w:val="0"/>
          <w:sz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 w:hAnsi="仿宋" w:eastAsia="仿宋" w:cs="仿宋"/>
          <w:b/>
          <w:bCs/>
          <w:kern w:val="0"/>
          <w:sz w:val="24"/>
        </w:rPr>
        <w:t>个人手写</w:t>
      </w:r>
      <w:r>
        <w:rPr>
          <w:rFonts w:ascii="仿宋" w:hAnsi="仿宋" w:eastAsia="仿宋" w:cs="仿宋"/>
          <w:b/>
          <w:bCs/>
          <w:kern w:val="0"/>
          <w:sz w:val="24"/>
        </w:rPr>
        <w:t>签名除外）</w:t>
      </w:r>
      <w:r>
        <w:rPr>
          <w:rFonts w:hint="eastAsia" w:ascii="仿宋" w:hAnsi="仿宋" w:eastAsia="仿宋" w:cs="仿宋"/>
          <w:b/>
          <w:bCs/>
          <w:kern w:val="0"/>
          <w:sz w:val="24"/>
        </w:rPr>
        <w:t>。</w:t>
      </w:r>
    </w:p>
    <w:p>
      <w:pPr>
        <w:adjustRightInd w:val="0"/>
        <w:snapToGrid w:val="0"/>
        <w:spacing w:line="520" w:lineRule="exact"/>
        <w:ind w:firstLine="482" w:firstLineChars="200"/>
        <w:rPr>
          <w:rFonts w:ascii="仿宋" w:hAnsi="仿宋" w:eastAsia="仿宋" w:cs="仿宋"/>
          <w:b/>
          <w:bCs/>
          <w:kern w:val="0"/>
          <w:sz w:val="24"/>
        </w:rPr>
      </w:pPr>
      <w:r>
        <w:rPr>
          <w:rFonts w:ascii="仿宋" w:hAnsi="仿宋" w:eastAsia="仿宋" w:cs="仿宋"/>
          <w:b/>
          <w:bCs/>
          <w:kern w:val="0"/>
          <w:sz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仿宋"/>
          <w:b/>
          <w:bCs/>
          <w:kern w:val="0"/>
          <w:sz w:val="24"/>
        </w:rPr>
        <w:t>各</w:t>
      </w:r>
      <w:r>
        <w:rPr>
          <w:rFonts w:ascii="仿宋" w:hAnsi="仿宋" w:eastAsia="仿宋" w:cs="仿宋"/>
          <w:b/>
          <w:bCs/>
          <w:kern w:val="0"/>
          <w:sz w:val="24"/>
        </w:rPr>
        <w:t>方已签署完毕。</w:t>
      </w:r>
    </w:p>
    <w:p>
      <w:pPr>
        <w:adjustRightInd w:val="0"/>
        <w:snapToGrid w:val="0"/>
        <w:spacing w:line="520" w:lineRule="exact"/>
        <w:rPr>
          <w:rFonts w:ascii="仿宋" w:hAnsi="仿宋" w:eastAsia="仿宋" w:cs="仿宋"/>
          <w:sz w:val="24"/>
        </w:rPr>
      </w:pPr>
    </w:p>
    <w:tbl>
      <w:tblPr>
        <w:tblStyle w:val="37"/>
        <w:tblW w:w="9179" w:type="dxa"/>
        <w:jc w:val="center"/>
        <w:tblLayout w:type="fixed"/>
        <w:tblCellMar>
          <w:top w:w="0" w:type="dxa"/>
          <w:left w:w="108" w:type="dxa"/>
          <w:bottom w:w="0" w:type="dxa"/>
          <w:right w:w="108" w:type="dxa"/>
        </w:tblCellMar>
      </w:tblPr>
      <w:tblGrid>
        <w:gridCol w:w="4498"/>
        <w:gridCol w:w="4681"/>
      </w:tblGrid>
      <w:tr>
        <w:tblPrEx>
          <w:tblCellMar>
            <w:top w:w="0" w:type="dxa"/>
            <w:left w:w="108" w:type="dxa"/>
            <w:bottom w:w="0" w:type="dxa"/>
            <w:right w:w="108" w:type="dxa"/>
          </w:tblCellMar>
        </w:tblPrEx>
        <w:trPr>
          <w:trHeight w:val="1245" w:hRule="exact"/>
          <w:jc w:val="center"/>
        </w:trPr>
        <w:tc>
          <w:tcPr>
            <w:tcW w:w="4498" w:type="dxa"/>
            <w:tcBorders>
              <w:top w:val="single" w:color="auto" w:sz="4" w:space="0"/>
              <w:left w:val="single" w:color="auto" w:sz="4" w:space="0"/>
              <w:bottom w:val="single" w:color="auto" w:sz="4" w:space="0"/>
              <w:right w:val="single" w:color="auto" w:sz="4" w:space="0"/>
            </w:tcBorders>
          </w:tcPr>
          <w:p>
            <w:pPr>
              <w:spacing w:line="540" w:lineRule="exact"/>
              <w:rPr>
                <w:rFonts w:ascii="仿宋" w:hAnsi="仿宋" w:eastAsia="仿宋" w:cs="仿宋"/>
                <w:bCs/>
                <w:sz w:val="24"/>
              </w:rPr>
            </w:pPr>
            <w:r>
              <w:rPr>
                <w:rFonts w:hint="eastAsia" w:ascii="仿宋" w:hAnsi="仿宋" w:eastAsia="仿宋" w:cs="仿宋"/>
                <w:sz w:val="24"/>
              </w:rPr>
              <w:t>发包人</w:t>
            </w:r>
            <w:r>
              <w:rPr>
                <w:rFonts w:hint="eastAsia" w:ascii="仿宋" w:hAnsi="仿宋" w:eastAsia="仿宋" w:cs="仿宋"/>
                <w:bCs/>
                <w:sz w:val="24"/>
              </w:rPr>
              <w:t>：（签章）</w:t>
            </w:r>
          </w:p>
          <w:p>
            <w:pPr>
              <w:spacing w:line="540" w:lineRule="exact"/>
              <w:rPr>
                <w:rFonts w:ascii="仿宋" w:hAnsi="仿宋" w:eastAsia="仿宋" w:cs="仿宋"/>
                <w:sz w:val="24"/>
              </w:rPr>
            </w:pPr>
          </w:p>
        </w:tc>
        <w:tc>
          <w:tcPr>
            <w:tcW w:w="4681" w:type="dxa"/>
            <w:tcBorders>
              <w:top w:val="single" w:color="auto" w:sz="4" w:space="0"/>
              <w:left w:val="single" w:color="auto" w:sz="4" w:space="0"/>
              <w:bottom w:val="single" w:color="auto" w:sz="4" w:space="0"/>
              <w:right w:val="single" w:color="auto" w:sz="4" w:space="0"/>
            </w:tcBorders>
          </w:tcPr>
          <w:p>
            <w:pPr>
              <w:spacing w:line="540" w:lineRule="exact"/>
              <w:rPr>
                <w:rFonts w:ascii="仿宋" w:hAnsi="仿宋" w:eastAsia="仿宋" w:cs="仿宋"/>
                <w:bCs/>
                <w:sz w:val="24"/>
              </w:rPr>
            </w:pPr>
            <w:r>
              <w:rPr>
                <w:rFonts w:hint="eastAsia" w:ascii="仿宋" w:hAnsi="仿宋" w:eastAsia="仿宋" w:cs="仿宋"/>
                <w:bCs/>
                <w:sz w:val="24"/>
              </w:rPr>
              <w:t>承包人：（签章）</w:t>
            </w:r>
          </w:p>
          <w:p>
            <w:pPr>
              <w:spacing w:line="540" w:lineRule="exact"/>
              <w:rPr>
                <w:rFonts w:ascii="仿宋" w:hAnsi="仿宋" w:eastAsia="仿宋" w:cs="仿宋"/>
                <w:bCs/>
                <w:sz w:val="24"/>
                <w:lang w:bidi="en-US"/>
              </w:rPr>
            </w:pPr>
          </w:p>
        </w:tc>
      </w:tr>
      <w:tr>
        <w:tblPrEx>
          <w:tblCellMar>
            <w:top w:w="0" w:type="dxa"/>
            <w:left w:w="108" w:type="dxa"/>
            <w:bottom w:w="0" w:type="dxa"/>
            <w:right w:w="108" w:type="dxa"/>
          </w:tblCellMar>
        </w:tblPrEx>
        <w:trPr>
          <w:trHeight w:val="786" w:hRule="atLeast"/>
          <w:jc w:val="center"/>
        </w:trPr>
        <w:tc>
          <w:tcPr>
            <w:tcW w:w="4498"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ascii="仿宋" w:hAnsi="仿宋" w:eastAsia="仿宋" w:cs="仿宋"/>
                <w:sz w:val="24"/>
              </w:rPr>
            </w:pPr>
            <w:r>
              <w:rPr>
                <w:rFonts w:hint="eastAsia" w:ascii="仿宋" w:hAnsi="仿宋" w:eastAsia="仿宋" w:cs="仿宋"/>
                <w:bCs/>
                <w:sz w:val="24"/>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ascii="仿宋" w:hAnsi="仿宋" w:eastAsia="仿宋" w:cs="仿宋"/>
                <w:bCs/>
                <w:sz w:val="24"/>
                <w:lang w:bidi="en-US"/>
              </w:rPr>
            </w:pPr>
            <w:r>
              <w:rPr>
                <w:rFonts w:hint="eastAsia" w:ascii="仿宋" w:hAnsi="仿宋" w:eastAsia="仿宋" w:cs="仿宋"/>
                <w:bCs/>
                <w:sz w:val="24"/>
              </w:rPr>
              <w:t>法定代表人/委托人（签字）：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4498" w:type="dxa"/>
            <w:vAlign w:val="center"/>
          </w:tcPr>
          <w:p>
            <w:pPr>
              <w:rPr>
                <w:rFonts w:ascii="仿宋" w:hAnsi="仿宋" w:eastAsia="仿宋" w:cs="仿宋"/>
                <w:sz w:val="24"/>
              </w:rPr>
            </w:pPr>
            <w:r>
              <w:rPr>
                <w:rFonts w:hint="eastAsia" w:ascii="仿宋" w:hAnsi="仿宋" w:eastAsia="仿宋" w:cs="仿宋"/>
                <w:bCs/>
                <w:sz w:val="24"/>
              </w:rPr>
              <w:t>开户银行：</w:t>
            </w:r>
          </w:p>
        </w:tc>
        <w:tc>
          <w:tcPr>
            <w:tcW w:w="4681" w:type="dxa"/>
            <w:vAlign w:val="center"/>
          </w:tcPr>
          <w:p>
            <w:pPr>
              <w:rPr>
                <w:rFonts w:ascii="仿宋" w:hAnsi="仿宋" w:eastAsia="仿宋" w:cs="仿宋"/>
                <w:sz w:val="24"/>
              </w:rPr>
            </w:pPr>
            <w:r>
              <w:rPr>
                <w:rFonts w:hint="eastAsia" w:ascii="仿宋" w:hAnsi="仿宋" w:eastAsia="仿宋" w:cs="仿宋"/>
                <w:sz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rPr>
            </w:pPr>
            <w:r>
              <w:rPr>
                <w:rFonts w:hint="eastAsia" w:ascii="仿宋" w:hAnsi="仿宋" w:eastAsia="仿宋" w:cs="仿宋"/>
                <w:bCs/>
                <w:sz w:val="24"/>
              </w:rPr>
              <w:t>户名：</w:t>
            </w:r>
          </w:p>
        </w:tc>
        <w:tc>
          <w:tcPr>
            <w:tcW w:w="4681" w:type="dxa"/>
            <w:vAlign w:val="center"/>
          </w:tcPr>
          <w:p>
            <w:pPr>
              <w:rPr>
                <w:rFonts w:ascii="仿宋" w:hAnsi="仿宋" w:eastAsia="仿宋" w:cs="仿宋"/>
                <w:bCs/>
                <w:sz w:val="24"/>
                <w:lang w:bidi="en-US"/>
              </w:rPr>
            </w:pPr>
            <w:r>
              <w:rPr>
                <w:rFonts w:hint="eastAsia" w:ascii="仿宋" w:hAnsi="仿宋" w:eastAsia="仿宋" w:cs="仿宋"/>
                <w:bCs/>
                <w:sz w:val="24"/>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rPr>
            </w:pPr>
            <w:r>
              <w:rPr>
                <w:rFonts w:hint="eastAsia" w:ascii="仿宋" w:hAnsi="仿宋" w:eastAsia="仿宋" w:cs="仿宋"/>
                <w:bCs/>
                <w:sz w:val="24"/>
              </w:rPr>
              <w:t>账号：</w:t>
            </w:r>
          </w:p>
        </w:tc>
        <w:tc>
          <w:tcPr>
            <w:tcW w:w="4681" w:type="dxa"/>
            <w:vAlign w:val="center"/>
          </w:tcPr>
          <w:p>
            <w:pPr>
              <w:rPr>
                <w:rFonts w:ascii="仿宋" w:hAnsi="仿宋" w:eastAsia="仿宋" w:cs="仿宋"/>
                <w:bCs/>
                <w:sz w:val="24"/>
                <w:lang w:eastAsia="en-US" w:bidi="en-US"/>
              </w:rPr>
            </w:pPr>
            <w:r>
              <w:rPr>
                <w:rFonts w:hint="eastAsia" w:ascii="仿宋" w:hAnsi="仿宋" w:eastAsia="仿宋" w:cs="仿宋"/>
                <w:bCs/>
                <w:sz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rPr>
            </w:pPr>
            <w:r>
              <w:rPr>
                <w:rFonts w:hint="eastAsia" w:ascii="仿宋" w:hAnsi="仿宋" w:eastAsia="仿宋" w:cs="仿宋"/>
                <w:bCs/>
                <w:sz w:val="24"/>
              </w:rPr>
              <w:t>纳税人识别号：</w:t>
            </w:r>
          </w:p>
        </w:tc>
        <w:tc>
          <w:tcPr>
            <w:tcW w:w="4681" w:type="dxa"/>
            <w:vAlign w:val="center"/>
          </w:tcPr>
          <w:p>
            <w:pPr>
              <w:rPr>
                <w:rFonts w:ascii="仿宋" w:hAnsi="仿宋" w:eastAsia="仿宋" w:cs="仿宋"/>
                <w:bCs/>
                <w:sz w:val="24"/>
                <w:lang w:eastAsia="en-US" w:bidi="en-US"/>
              </w:rPr>
            </w:pPr>
            <w:r>
              <w:rPr>
                <w:rFonts w:hint="eastAsia" w:ascii="仿宋" w:hAnsi="仿宋" w:eastAsia="仿宋" w:cs="仿宋"/>
                <w:bCs/>
                <w:sz w:val="24"/>
              </w:rPr>
              <w:t>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rPr>
            </w:pPr>
            <w:r>
              <w:rPr>
                <w:rFonts w:hint="eastAsia" w:ascii="仿宋" w:hAnsi="仿宋" w:eastAsia="仿宋" w:cs="仿宋"/>
                <w:bCs/>
                <w:sz w:val="24"/>
              </w:rPr>
              <w:t>邮编：</w:t>
            </w:r>
          </w:p>
        </w:tc>
        <w:tc>
          <w:tcPr>
            <w:tcW w:w="4681" w:type="dxa"/>
            <w:vAlign w:val="center"/>
          </w:tcPr>
          <w:p>
            <w:pPr>
              <w:rPr>
                <w:rFonts w:ascii="仿宋" w:hAnsi="仿宋" w:eastAsia="仿宋" w:cs="仿宋"/>
                <w:bCs/>
                <w:sz w:val="24"/>
                <w:lang w:eastAsia="en-US" w:bidi="en-US"/>
              </w:rPr>
            </w:pPr>
            <w:r>
              <w:rPr>
                <w:rFonts w:hint="eastAsia" w:ascii="仿宋" w:hAnsi="仿宋" w:eastAsia="仿宋" w:cs="仿宋"/>
                <w:bCs/>
                <w:sz w:val="24"/>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rPr>
            </w:pPr>
            <w:r>
              <w:rPr>
                <w:rFonts w:hint="eastAsia" w:ascii="仿宋" w:hAnsi="仿宋" w:eastAsia="仿宋" w:cs="仿宋"/>
                <w:bCs/>
                <w:sz w:val="24"/>
              </w:rPr>
              <w:t>电话：</w:t>
            </w:r>
          </w:p>
        </w:tc>
        <w:tc>
          <w:tcPr>
            <w:tcW w:w="4681" w:type="dxa"/>
            <w:vAlign w:val="center"/>
          </w:tcPr>
          <w:p>
            <w:pPr>
              <w:rPr>
                <w:rFonts w:ascii="仿宋" w:hAnsi="仿宋" w:eastAsia="仿宋" w:cs="仿宋"/>
                <w:bCs/>
                <w:sz w:val="24"/>
                <w:lang w:eastAsia="en-US"/>
              </w:rPr>
            </w:pPr>
            <w:r>
              <w:rPr>
                <w:rFonts w:hint="eastAsia" w:ascii="仿宋" w:hAnsi="仿宋" w:eastAsia="仿宋" w:cs="仿宋"/>
                <w:bCs/>
                <w:sz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rPr>
            </w:pPr>
            <w:r>
              <w:rPr>
                <w:rFonts w:hint="eastAsia" w:ascii="仿宋" w:hAnsi="仿宋" w:eastAsia="仿宋" w:cs="仿宋"/>
                <w:bCs/>
                <w:sz w:val="24"/>
              </w:rPr>
              <w:t>传真：</w:t>
            </w:r>
          </w:p>
        </w:tc>
        <w:tc>
          <w:tcPr>
            <w:tcW w:w="4681" w:type="dxa"/>
            <w:vAlign w:val="center"/>
          </w:tcPr>
          <w:p>
            <w:pPr>
              <w:rPr>
                <w:rFonts w:ascii="仿宋" w:hAnsi="仿宋" w:eastAsia="仿宋" w:cs="仿宋"/>
                <w:bCs/>
                <w:sz w:val="24"/>
                <w:lang w:eastAsia="en-US" w:bidi="en-US"/>
              </w:rPr>
            </w:pPr>
            <w:r>
              <w:rPr>
                <w:rFonts w:hint="eastAsia" w:ascii="仿宋" w:hAnsi="仿宋" w:eastAsia="仿宋" w:cs="仿宋"/>
                <w:bCs/>
                <w:sz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rPr>
            </w:pPr>
            <w:r>
              <w:rPr>
                <w:rFonts w:hint="eastAsia" w:ascii="仿宋" w:hAnsi="仿宋" w:eastAsia="仿宋" w:cs="仿宋"/>
                <w:bCs/>
                <w:sz w:val="24"/>
              </w:rPr>
              <w:t>邮箱：</w:t>
            </w:r>
          </w:p>
        </w:tc>
        <w:tc>
          <w:tcPr>
            <w:tcW w:w="4681" w:type="dxa"/>
            <w:vAlign w:val="center"/>
          </w:tcPr>
          <w:p>
            <w:pPr>
              <w:rPr>
                <w:rFonts w:ascii="仿宋" w:hAnsi="仿宋" w:eastAsia="仿宋" w:cs="仿宋"/>
                <w:bCs/>
                <w:sz w:val="24"/>
                <w:lang w:eastAsia="en-US" w:bidi="en-US"/>
              </w:rPr>
            </w:pPr>
            <w:r>
              <w:rPr>
                <w:rFonts w:hint="eastAsia" w:ascii="仿宋" w:hAnsi="仿宋" w:eastAsia="仿宋" w:cs="仿宋"/>
                <w:bCs/>
                <w:sz w:val="24"/>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pPr>
              <w:rPr>
                <w:rFonts w:ascii="仿宋" w:hAnsi="仿宋" w:eastAsia="仿宋" w:cs="仿宋"/>
                <w:sz w:val="24"/>
              </w:rPr>
            </w:pPr>
            <w:r>
              <w:rPr>
                <w:rFonts w:hint="eastAsia" w:ascii="仿宋" w:hAnsi="仿宋" w:eastAsia="仿宋" w:cs="仿宋"/>
                <w:bCs/>
                <w:sz w:val="24"/>
              </w:rPr>
              <w:t>联系人：</w:t>
            </w:r>
          </w:p>
        </w:tc>
        <w:tc>
          <w:tcPr>
            <w:tcW w:w="4681" w:type="dxa"/>
            <w:vAlign w:val="center"/>
          </w:tcPr>
          <w:p>
            <w:pPr>
              <w:rPr>
                <w:rFonts w:ascii="仿宋" w:hAnsi="仿宋" w:eastAsia="仿宋" w:cs="仿宋"/>
                <w:bCs/>
                <w:sz w:val="24"/>
                <w:lang w:bidi="en-US"/>
              </w:rPr>
            </w:pPr>
            <w:r>
              <w:rPr>
                <w:rFonts w:hint="eastAsia" w:ascii="仿宋" w:hAnsi="仿宋" w:eastAsia="仿宋" w:cs="仿宋"/>
                <w:bCs/>
                <w:sz w:val="24"/>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pPr>
              <w:rPr>
                <w:rFonts w:ascii="仿宋" w:hAnsi="仿宋" w:eastAsia="仿宋" w:cs="仿宋"/>
                <w:sz w:val="24"/>
              </w:rPr>
            </w:pPr>
            <w:r>
              <w:rPr>
                <w:rFonts w:hint="eastAsia" w:ascii="仿宋" w:hAnsi="仿宋" w:eastAsia="仿宋" w:cs="仿宋"/>
                <w:bCs/>
                <w:sz w:val="24"/>
              </w:rPr>
              <w:t xml:space="preserve">地址： </w:t>
            </w:r>
          </w:p>
        </w:tc>
        <w:tc>
          <w:tcPr>
            <w:tcW w:w="4681" w:type="dxa"/>
            <w:vAlign w:val="center"/>
          </w:tcPr>
          <w:p>
            <w:pPr>
              <w:rPr>
                <w:rFonts w:ascii="仿宋" w:hAnsi="仿宋" w:eastAsia="仿宋" w:cs="仿宋"/>
                <w:bCs/>
                <w:sz w:val="24"/>
                <w:lang w:bidi="en-US"/>
              </w:rPr>
            </w:pPr>
            <w:r>
              <w:rPr>
                <w:rFonts w:hint="eastAsia" w:ascii="仿宋" w:hAnsi="仿宋" w:eastAsia="仿宋" w:cs="仿宋"/>
                <w:bCs/>
                <w:sz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498" w:type="dxa"/>
            <w:vAlign w:val="center"/>
          </w:tcPr>
          <w:p>
            <w:pPr>
              <w:rPr>
                <w:rFonts w:ascii="仿宋" w:hAnsi="仿宋" w:eastAsia="仿宋" w:cs="仿宋"/>
                <w:bCs/>
                <w:sz w:val="24"/>
              </w:rPr>
            </w:pPr>
            <w:r>
              <w:rPr>
                <w:rFonts w:hint="eastAsia" w:ascii="仿宋" w:hAnsi="仿宋" w:eastAsia="仿宋" w:cs="仿宋"/>
                <w:bCs/>
                <w:sz w:val="24"/>
              </w:rPr>
              <w:t>日期：</w:t>
            </w:r>
          </w:p>
        </w:tc>
        <w:tc>
          <w:tcPr>
            <w:tcW w:w="4681" w:type="dxa"/>
            <w:vAlign w:val="center"/>
          </w:tcPr>
          <w:p>
            <w:pPr>
              <w:rPr>
                <w:rFonts w:ascii="仿宋" w:hAnsi="仿宋" w:eastAsia="仿宋" w:cs="仿宋"/>
                <w:bCs/>
                <w:sz w:val="24"/>
              </w:rPr>
            </w:pPr>
            <w:r>
              <w:rPr>
                <w:rFonts w:hint="eastAsia" w:ascii="仿宋" w:hAnsi="仿宋" w:eastAsia="仿宋" w:cs="仿宋"/>
                <w:bCs/>
                <w:sz w:val="24"/>
              </w:rPr>
              <w:t>日期：</w:t>
            </w:r>
          </w:p>
        </w:tc>
      </w:tr>
    </w:tbl>
    <w:p>
      <w:pPr>
        <w:spacing w:line="440" w:lineRule="exact"/>
        <w:rPr>
          <w:rFonts w:ascii="仿宋" w:hAnsi="仿宋" w:eastAsia="仿宋" w:cs="仿宋"/>
          <w:sz w:val="24"/>
        </w:rPr>
      </w:pPr>
      <w:r>
        <w:rPr>
          <w:rFonts w:ascii="仿宋" w:hAnsi="仿宋" w:eastAsia="仿宋" w:cs="仿宋"/>
          <w:sz w:val="24"/>
        </w:rPr>
        <w:br w:type="page"/>
      </w:r>
    </w:p>
    <w:p>
      <w:pPr>
        <w:spacing w:line="440" w:lineRule="exact"/>
        <w:rPr>
          <w:rFonts w:ascii="仿宋" w:hAnsi="仿宋" w:eastAsia="仿宋" w:cs="仿宋"/>
          <w:sz w:val="24"/>
        </w:rPr>
      </w:pPr>
      <w:r>
        <w:rPr>
          <w:rFonts w:hint="eastAsia" w:ascii="仿宋" w:hAnsi="仿宋" w:eastAsia="仿宋" w:cs="仿宋"/>
          <w:sz w:val="24"/>
        </w:rPr>
        <w:t>附</w:t>
      </w:r>
      <w:bookmarkStart w:id="108" w:name="_Toc296891266"/>
      <w:bookmarkStart w:id="109" w:name="_Toc296944565"/>
      <w:bookmarkStart w:id="110" w:name="_Toc296891054"/>
      <w:bookmarkStart w:id="111" w:name="_Toc296346727"/>
      <w:bookmarkStart w:id="112" w:name="_Toc296503226"/>
      <w:bookmarkStart w:id="113" w:name="_Toc296347225"/>
      <w:bookmarkStart w:id="114" w:name="_Toc267261693"/>
      <w:r>
        <w:rPr>
          <w:rFonts w:hint="eastAsia" w:ascii="仿宋" w:hAnsi="仿宋" w:eastAsia="仿宋" w:cs="仿宋"/>
          <w:sz w:val="24"/>
        </w:rPr>
        <w:t>件1：</w:t>
      </w:r>
      <w:bookmarkEnd w:id="108"/>
      <w:bookmarkEnd w:id="109"/>
      <w:bookmarkEnd w:id="110"/>
      <w:bookmarkEnd w:id="111"/>
      <w:bookmarkEnd w:id="112"/>
      <w:bookmarkEnd w:id="113"/>
      <w:bookmarkEnd w:id="114"/>
    </w:p>
    <w:p>
      <w:pPr>
        <w:spacing w:before="156" w:beforeLines="50" w:after="156" w:afterLines="50" w:line="440" w:lineRule="exact"/>
        <w:jc w:val="center"/>
        <w:rPr>
          <w:rFonts w:ascii="黑体" w:hAnsi="黑体" w:eastAsia="黑体"/>
          <w:color w:val="000000" w:themeColor="text1"/>
          <w:sz w:val="28"/>
          <w14:textFill>
            <w14:solidFill>
              <w14:schemeClr w14:val="tx1"/>
            </w14:solidFill>
          </w14:textFill>
        </w:rPr>
      </w:pPr>
      <w:r>
        <w:rPr>
          <w:rFonts w:hint="eastAsia" w:ascii="黑体" w:hAnsi="黑体" w:eastAsia="黑体"/>
          <w:color w:val="000000" w:themeColor="text1"/>
          <w:sz w:val="28"/>
          <w14:textFill>
            <w14:solidFill>
              <w14:schemeClr w14:val="tx1"/>
            </w14:solidFill>
          </w14:textFill>
        </w:rPr>
        <w:t>工程质量保修书</w:t>
      </w:r>
    </w:p>
    <w:p>
      <w:pPr>
        <w:spacing w:line="44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发包人（全称）：</w:t>
      </w:r>
      <w:r>
        <w:rPr>
          <w:rFonts w:hint="eastAsia" w:ascii="仿宋_GB2312" w:eastAsia="仿宋_GB2312"/>
          <w:color w:val="000000" w:themeColor="text1"/>
          <w:sz w:val="24"/>
          <w:u w:val="single"/>
          <w14:textFill>
            <w14:solidFill>
              <w14:schemeClr w14:val="tx1"/>
            </w14:solidFill>
          </w14:textFill>
        </w:rPr>
        <w:t xml:space="preserve">                                </w:t>
      </w:r>
      <w:r>
        <w:rPr>
          <w:rFonts w:hint="eastAsia" w:ascii="仿宋_GB2312" w:eastAsia="仿宋_GB2312"/>
          <w:color w:val="000000" w:themeColor="text1"/>
          <w:sz w:val="24"/>
          <w14:textFill>
            <w14:solidFill>
              <w14:schemeClr w14:val="tx1"/>
            </w14:solidFill>
          </w14:textFill>
        </w:rPr>
        <w:t xml:space="preserve"> </w:t>
      </w:r>
    </w:p>
    <w:p>
      <w:pPr>
        <w:spacing w:line="440" w:lineRule="exact"/>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承包人（全称）：</w:t>
      </w:r>
      <w:r>
        <w:rPr>
          <w:rFonts w:hint="eastAsia" w:ascii="仿宋_GB2312" w:eastAsia="仿宋_GB2312"/>
          <w:color w:val="000000" w:themeColor="text1"/>
          <w:sz w:val="24"/>
          <w:u w:val="single"/>
          <w14:textFill>
            <w14:solidFill>
              <w14:schemeClr w14:val="tx1"/>
            </w14:solidFill>
          </w14:textFill>
        </w:rPr>
        <w:t xml:space="preserve">                                </w:t>
      </w:r>
      <w:r>
        <w:rPr>
          <w:rFonts w:hint="eastAsia" w:ascii="仿宋_GB2312" w:eastAsia="仿宋_GB2312"/>
          <w:color w:val="000000" w:themeColor="text1"/>
          <w:sz w:val="24"/>
          <w14:textFill>
            <w14:solidFill>
              <w14:schemeClr w14:val="tx1"/>
            </w14:solidFill>
          </w14:textFill>
        </w:rPr>
        <w:t xml:space="preserve"> </w:t>
      </w:r>
    </w:p>
    <w:p>
      <w:pPr>
        <w:spacing w:line="440" w:lineRule="exact"/>
        <w:rPr>
          <w:rFonts w:ascii="仿宋_GB2312" w:eastAsia="仿宋_GB2312"/>
          <w:color w:val="000000" w:themeColor="text1"/>
          <w:sz w:val="24"/>
          <w14:textFill>
            <w14:solidFill>
              <w14:schemeClr w14:val="tx1"/>
            </w14:solidFill>
          </w14:textFill>
        </w:rPr>
      </w:pP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发包人和承包人根据《中华人民共和国建筑法》和《建设工程质量管理条例》，经协商一致就</w:t>
      </w:r>
      <w:r>
        <w:rPr>
          <w:rFonts w:hint="eastAsia" w:ascii="仿宋_GB2312" w:eastAsia="仿宋_GB2312"/>
          <w:color w:val="000000" w:themeColor="text1"/>
          <w:sz w:val="24"/>
          <w:u w:val="single"/>
          <w14:textFill>
            <w14:solidFill>
              <w14:schemeClr w14:val="tx1"/>
            </w14:solidFill>
          </w14:textFill>
        </w:rPr>
        <w:t xml:space="preserve">                </w:t>
      </w:r>
      <w:r>
        <w:rPr>
          <w:rFonts w:hint="eastAsia" w:ascii="仿宋_GB2312" w:eastAsia="仿宋_GB2312"/>
          <w:color w:val="000000" w:themeColor="text1"/>
          <w:sz w:val="24"/>
          <w14:textFill>
            <w14:solidFill>
              <w14:schemeClr w14:val="tx1"/>
            </w14:solidFill>
          </w14:textFill>
        </w:rPr>
        <w:t>（工程全称）签订工程质量保修书。</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一、工程质量保修范围和内容</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承包人在质量保修期内，按照有关法律规定和合同约定，承担工程质量保修责任。</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_GB2312" w:eastAsia="仿宋_GB2312"/>
          <w:color w:val="000000" w:themeColor="text1"/>
          <w:sz w:val="24"/>
          <w:u w:val="single"/>
          <w14:textFill>
            <w14:solidFill>
              <w14:schemeClr w14:val="tx1"/>
            </w14:solidFill>
          </w14:textFill>
        </w:rPr>
        <w:t xml:space="preserve"> 承包人承包范围以内的全部工程内容。若施工合同中有其它保修约定的按约定执行 </w:t>
      </w:r>
      <w:r>
        <w:rPr>
          <w:rFonts w:hint="eastAsia" w:ascii="仿宋_GB2312" w:eastAsia="仿宋_GB2312"/>
          <w:color w:val="000000" w:themeColor="text1"/>
          <w:sz w:val="24"/>
          <w14:textFill>
            <w14:solidFill>
              <w14:schemeClr w14:val="tx1"/>
            </w14:solidFill>
          </w14:textFill>
        </w:rPr>
        <w:t>。</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二、质量保修期</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根据《建设工程质量管理条例》及有关规定，工程的质量保修期如下：</w:t>
      </w:r>
    </w:p>
    <w:p>
      <w:pPr>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1．地基基础工程和主体结构工程为设计文件规定的工程合理使用年限；</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2．屋面防水工程、有防水要求的卫生间、房间和外墙面的防渗为</w:t>
      </w:r>
      <w:r>
        <w:rPr>
          <w:rFonts w:hint="eastAsia" w:ascii="仿宋_GB2312" w:eastAsia="仿宋_GB2312"/>
          <w:color w:val="000000" w:themeColor="text1"/>
          <w:sz w:val="24"/>
          <w:u w:val="single"/>
          <w14:textFill>
            <w14:solidFill>
              <w14:schemeClr w14:val="tx1"/>
            </w14:solidFill>
          </w14:textFill>
        </w:rPr>
        <w:t xml:space="preserve"> 5 </w:t>
      </w:r>
      <w:r>
        <w:rPr>
          <w:rFonts w:hint="eastAsia" w:ascii="仿宋_GB2312" w:eastAsia="仿宋_GB2312"/>
          <w:color w:val="000000" w:themeColor="text1"/>
          <w:sz w:val="24"/>
          <w14:textFill>
            <w14:solidFill>
              <w14:schemeClr w14:val="tx1"/>
            </w14:solidFill>
          </w14:textFill>
        </w:rPr>
        <w:t>年；</w:t>
      </w:r>
    </w:p>
    <w:p>
      <w:pPr>
        <w:spacing w:line="360" w:lineRule="auto"/>
        <w:ind w:left="420" w:leftChars="200" w:firstLine="120" w:firstLineChars="5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3．装修工程为</w:t>
      </w:r>
      <w:r>
        <w:rPr>
          <w:rFonts w:hint="eastAsia" w:ascii="仿宋_GB2312" w:eastAsia="仿宋_GB2312"/>
          <w:color w:val="000000" w:themeColor="text1"/>
          <w:sz w:val="24"/>
          <w:u w:val="single"/>
          <w14:textFill>
            <w14:solidFill>
              <w14:schemeClr w14:val="tx1"/>
            </w14:solidFill>
          </w14:textFill>
        </w:rPr>
        <w:t xml:space="preserve">  2  </w:t>
      </w:r>
      <w:r>
        <w:rPr>
          <w:rFonts w:hint="eastAsia" w:ascii="仿宋_GB2312" w:eastAsia="仿宋_GB2312"/>
          <w:color w:val="000000" w:themeColor="text1"/>
          <w:sz w:val="24"/>
          <w14:textFill>
            <w14:solidFill>
              <w14:schemeClr w14:val="tx1"/>
            </w14:solidFill>
          </w14:textFill>
        </w:rPr>
        <w:t>年；</w:t>
      </w:r>
    </w:p>
    <w:p>
      <w:pPr>
        <w:spacing w:line="360" w:lineRule="auto"/>
        <w:ind w:left="420" w:leftChars="200" w:firstLine="120" w:firstLineChars="5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4．电气管线、给排水管道、设备安装工程为</w:t>
      </w:r>
      <w:r>
        <w:rPr>
          <w:rFonts w:hint="eastAsia" w:ascii="仿宋_GB2312" w:eastAsia="仿宋_GB2312"/>
          <w:color w:val="000000" w:themeColor="text1"/>
          <w:sz w:val="24"/>
          <w:u w:val="single"/>
          <w14:textFill>
            <w14:solidFill>
              <w14:schemeClr w14:val="tx1"/>
            </w14:solidFill>
          </w14:textFill>
        </w:rPr>
        <w:t xml:space="preserve">  2  </w:t>
      </w:r>
      <w:r>
        <w:rPr>
          <w:rFonts w:hint="eastAsia" w:ascii="仿宋_GB2312" w:eastAsia="仿宋_GB2312"/>
          <w:color w:val="000000" w:themeColor="text1"/>
          <w:sz w:val="24"/>
          <w14:textFill>
            <w14:solidFill>
              <w14:schemeClr w14:val="tx1"/>
            </w14:solidFill>
          </w14:textFill>
        </w:rPr>
        <w:t>年；</w:t>
      </w:r>
    </w:p>
    <w:p>
      <w:pPr>
        <w:spacing w:line="360" w:lineRule="auto"/>
        <w:ind w:left="420" w:leftChars="200" w:firstLine="120" w:firstLineChars="5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5．供热与供冷系统为</w:t>
      </w:r>
      <w:r>
        <w:rPr>
          <w:rFonts w:hint="eastAsia" w:ascii="仿宋_GB2312" w:eastAsia="仿宋_GB2312"/>
          <w:color w:val="000000" w:themeColor="text1"/>
          <w:sz w:val="24"/>
          <w:u w:val="single"/>
          <w14:textFill>
            <w14:solidFill>
              <w14:schemeClr w14:val="tx1"/>
            </w14:solidFill>
          </w14:textFill>
        </w:rPr>
        <w:t xml:space="preserve">  2  </w:t>
      </w:r>
      <w:r>
        <w:rPr>
          <w:rFonts w:hint="eastAsia" w:ascii="仿宋_GB2312" w:eastAsia="仿宋_GB2312"/>
          <w:color w:val="000000" w:themeColor="text1"/>
          <w:sz w:val="24"/>
          <w14:textFill>
            <w14:solidFill>
              <w14:schemeClr w14:val="tx1"/>
            </w14:solidFill>
          </w14:textFill>
        </w:rPr>
        <w:t>个采暖期、供冷期；</w:t>
      </w:r>
    </w:p>
    <w:p>
      <w:pPr>
        <w:spacing w:line="360" w:lineRule="auto"/>
        <w:ind w:left="420" w:leftChars="200" w:firstLine="120" w:firstLineChars="5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6．给排水设施、道路等配套工程为</w:t>
      </w:r>
      <w:r>
        <w:rPr>
          <w:rFonts w:hint="eastAsia" w:ascii="仿宋_GB2312" w:eastAsia="仿宋_GB2312"/>
          <w:color w:val="000000" w:themeColor="text1"/>
          <w:sz w:val="24"/>
          <w:u w:val="single"/>
          <w14:textFill>
            <w14:solidFill>
              <w14:schemeClr w14:val="tx1"/>
            </w14:solidFill>
          </w14:textFill>
        </w:rPr>
        <w:t xml:space="preserve">  2  </w:t>
      </w:r>
      <w:r>
        <w:rPr>
          <w:rFonts w:hint="eastAsia" w:ascii="仿宋_GB2312" w:eastAsia="仿宋_GB2312"/>
          <w:color w:val="000000" w:themeColor="text1"/>
          <w:sz w:val="24"/>
          <w14:textFill>
            <w14:solidFill>
              <w14:schemeClr w14:val="tx1"/>
            </w14:solidFill>
          </w14:textFill>
        </w:rPr>
        <w:t>年；</w:t>
      </w:r>
    </w:p>
    <w:p>
      <w:pPr>
        <w:spacing w:line="360" w:lineRule="auto"/>
        <w:ind w:left="420" w:leftChars="200" w:firstLine="120" w:firstLineChars="5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7．其他项目保修期限约定如下：</w:t>
      </w:r>
      <w:r>
        <w:rPr>
          <w:rFonts w:hint="eastAsia" w:ascii="仿宋_GB2312" w:eastAsia="仿宋_GB2312"/>
          <w:color w:val="000000" w:themeColor="text1"/>
          <w:sz w:val="24"/>
          <w:u w:val="single"/>
          <w14:textFill>
            <w14:solidFill>
              <w14:schemeClr w14:val="tx1"/>
            </w14:solidFill>
          </w14:textFill>
        </w:rPr>
        <w:t xml:space="preserve"> </w:t>
      </w:r>
      <w:r>
        <w:rPr>
          <w:rFonts w:hint="eastAsia" w:ascii="仿宋_GB2312" w:eastAsia="仿宋_GB2312"/>
          <w:i/>
          <w:color w:val="000000" w:themeColor="text1"/>
          <w:sz w:val="24"/>
          <w:u w:val="single"/>
          <w14:textFill>
            <w14:solidFill>
              <w14:schemeClr w14:val="tx1"/>
            </w14:solidFill>
          </w14:textFill>
        </w:rPr>
        <w:t xml:space="preserve">依据工程具体情况而定 </w:t>
      </w:r>
      <w:r>
        <w:rPr>
          <w:rFonts w:hint="eastAsia" w:ascii="仿宋_GB2312" w:eastAsia="仿宋_GB2312"/>
          <w:color w:val="000000" w:themeColor="text1"/>
          <w:sz w:val="24"/>
          <w14:textFill>
            <w14:solidFill>
              <w14:schemeClr w14:val="tx1"/>
            </w14:solidFill>
          </w14:textFill>
        </w:rPr>
        <w:t>。</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质量保修期自工程竣工验收合格之日起计算。在保修期内出现</w:t>
      </w:r>
      <w:r>
        <w:rPr>
          <w:rFonts w:hint="eastAsia" w:ascii="仿宋_GB2312" w:eastAsia="仿宋_GB2312"/>
          <w:i/>
          <w:color w:val="000000" w:themeColor="text1"/>
          <w:sz w:val="24"/>
          <w:u w:val="single"/>
          <w14:textFill>
            <w14:solidFill>
              <w14:schemeClr w14:val="tx1"/>
            </w14:solidFill>
          </w14:textFill>
        </w:rPr>
        <w:t xml:space="preserve"> 防水 </w:t>
      </w:r>
      <w:r>
        <w:rPr>
          <w:rFonts w:hint="eastAsia" w:ascii="仿宋_GB2312" w:eastAsia="仿宋_GB2312"/>
          <w:color w:val="000000" w:themeColor="text1"/>
          <w:sz w:val="24"/>
          <w14:textFill>
            <w14:solidFill>
              <w14:schemeClr w14:val="tx1"/>
            </w14:solidFill>
          </w14:textFill>
        </w:rPr>
        <w:t>质量问题经修复完成后，相应保修期重新计算。</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三、质量保修责任</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2．发生紧急事故需抢修的，承包人在接到事故通知后，应当立即到达事故现场抢修。非承包人施工质量引起的事故，抢修费用由发包人承担。</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r>
        <w:rPr>
          <w:rFonts w:hint="eastAsia" w:ascii="仿宋_GB2312" w:hAnsi="仿宋_GB2312" w:eastAsia="仿宋_GB2312"/>
          <w:color w:val="000000" w:themeColor="text1"/>
          <w:sz w:val="24"/>
          <w14:textFill>
            <w14:solidFill>
              <w14:schemeClr w14:val="tx1"/>
            </w14:solidFill>
          </w14:textFill>
        </w:rPr>
        <w:t>。</w:t>
      </w:r>
    </w:p>
    <w:p>
      <w:pPr>
        <w:spacing w:line="520" w:lineRule="exact"/>
        <w:ind w:firstLine="470" w:firstLineChars="196"/>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4．质量保修完成后，由发包人组织验收。</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四、质量保修金的支付</w:t>
      </w:r>
    </w:p>
    <w:p>
      <w:pPr>
        <w:spacing w:line="360" w:lineRule="auto"/>
        <w:ind w:left="105" w:leftChars="50" w:firstLine="491" w:firstLineChars="205"/>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本工程双方约定承包人向发包人支付工程质量保修金金额为工程结算款的</w:t>
      </w:r>
      <w:r>
        <w:rPr>
          <w:rFonts w:hint="eastAsia" w:ascii="仿宋_GB2312" w:eastAsia="仿宋_GB2312"/>
          <w:color w:val="000000" w:themeColor="text1"/>
          <w:sz w:val="24"/>
          <w:u w:val="single"/>
          <w14:textFill>
            <w14:solidFill>
              <w14:schemeClr w14:val="tx1"/>
            </w14:solidFill>
          </w14:textFill>
        </w:rPr>
        <w:t>百分之叁（大写）</w:t>
      </w:r>
      <w:r>
        <w:rPr>
          <w:rFonts w:hint="eastAsia" w:ascii="仿宋_GB2312" w:eastAsia="仿宋_GB2312"/>
          <w:color w:val="000000" w:themeColor="text1"/>
          <w:sz w:val="24"/>
          <w14:textFill>
            <w14:solidFill>
              <w14:schemeClr w14:val="tx1"/>
            </w14:solidFill>
          </w14:textFill>
        </w:rPr>
        <w:t xml:space="preserve">。质量保修金银行利率为 </w:t>
      </w:r>
      <w:r>
        <w:rPr>
          <w:rFonts w:hint="eastAsia" w:ascii="仿宋_GB2312" w:eastAsia="仿宋_GB2312"/>
          <w:color w:val="000000" w:themeColor="text1"/>
          <w:sz w:val="24"/>
          <w:u w:val="single"/>
          <w14:textFill>
            <w14:solidFill>
              <w14:schemeClr w14:val="tx1"/>
            </w14:solidFill>
          </w14:textFill>
        </w:rPr>
        <w:t xml:space="preserve"> 无</w:t>
      </w:r>
      <w:r>
        <w:rPr>
          <w:rFonts w:hint="eastAsia" w:ascii="仿宋_GB2312" w:eastAsia="仿宋_GB2312"/>
          <w:color w:val="000000" w:themeColor="text1"/>
          <w:sz w:val="24"/>
          <w14:textFill>
            <w14:solidFill>
              <w14:schemeClr w14:val="tx1"/>
            </w14:solidFill>
          </w14:textFill>
        </w:rPr>
        <w:t>。</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五、质量保修金的返还</w:t>
      </w:r>
    </w:p>
    <w:p>
      <w:pPr>
        <w:pStyle w:val="19"/>
        <w:spacing w:line="360" w:lineRule="auto"/>
        <w:ind w:left="420" w:firstLine="480" w:firstLineChars="200"/>
        <w:jc w:val="left"/>
        <w:rPr>
          <w:rFonts w:ascii="仿宋_GB2312" w:hAnsi="仿宋" w:eastAsia="仿宋_GB2312" w:cs="仿宋"/>
          <w:sz w:val="24"/>
          <w:szCs w:val="24"/>
        </w:rPr>
      </w:pPr>
      <w:r>
        <w:rPr>
          <w:rFonts w:hint="eastAsia" w:ascii="仿宋_GB2312" w:hAnsi="仿宋" w:eastAsia="仿宋_GB2312" w:cs="仿宋"/>
          <w:sz w:val="24"/>
          <w:szCs w:val="24"/>
        </w:rPr>
        <w:sym w:font="Wingdings 2" w:char="F052"/>
      </w:r>
      <w:r>
        <w:rPr>
          <w:rFonts w:hint="eastAsia" w:ascii="仿宋_GB2312" w:hAnsi="仿宋" w:eastAsia="仿宋_GB2312" w:cs="仿宋"/>
          <w:sz w:val="24"/>
          <w:szCs w:val="24"/>
        </w:rPr>
        <w:t>工程竣工验收合格之日起两年且无质量问题，且经工程使用单位或发包人签署质量保修金支付证明后，无息返还质量保修金的100%。</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质量保修期延长的，最后一笔返还质量保修金的期限同时顺延。</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六、其它</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1、本保修书作为施工工程合同的附件，与施工工程合同具有同等法律效力。</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2、双方约定的其它工程质量保修事项：</w:t>
      </w:r>
    </w:p>
    <w:p>
      <w:pPr>
        <w:spacing w:line="360" w:lineRule="auto"/>
        <w:ind w:firstLine="480" w:firstLineChars="20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1）对于属于质量问题及保修范围、内容的项目，承包人应当在接到发包人的《质量维修通知单》（书面形式通过顺丰或EMS向施工单位发送，均为有效）之日起按照通知单载明的限期内派人维修。承包人不在约定期限内派人维修的，发包人可以另委托第三方维修；发生的维修费用，按第三方维修单位向发包人主张的结算报审金额计取，从本合同尾款内双倍扣除。本合同尾款不足部分，仍由承包人承担。从合同尾款中扣除的，承包人承诺配合发包人签订合同补充协议，调整合同额。逾期维修造成的的损失亦由承包人承担。</w:t>
      </w:r>
    </w:p>
    <w:p>
      <w:pPr>
        <w:spacing w:line="360" w:lineRule="auto"/>
        <w:ind w:left="105" w:leftChars="50" w:firstLine="491" w:firstLineChars="205"/>
        <w:rPr>
          <w:rFonts w:ascii="仿宋_GB2312" w:eastAsia="仿宋_GB2312"/>
          <w:color w:val="000000" w:themeColor="text1"/>
          <w:sz w:val="24"/>
          <w14:textFill>
            <w14:solidFill>
              <w14:schemeClr w14:val="tx1"/>
            </w14:solidFill>
          </w14:textFill>
        </w:rPr>
      </w:pPr>
    </w:p>
    <w:p>
      <w:pPr>
        <w:spacing w:line="360" w:lineRule="auto"/>
        <w:ind w:firstLine="456" w:firstLineChars="190"/>
        <w:rPr>
          <w:rFonts w:ascii="仿宋_GB2312" w:eastAsia="仿宋_GB2312"/>
          <w:color w:val="000000" w:themeColor="text1"/>
          <w:sz w:val="24"/>
          <w14:textFill>
            <w14:solidFill>
              <w14:schemeClr w14:val="tx1"/>
            </w14:solidFill>
          </w14:textFill>
        </w:rPr>
      </w:pPr>
      <w:r>
        <w:rPr>
          <w:rFonts w:hint="eastAsia" w:ascii="仿宋_GB2312" w:eastAsia="仿宋_GB2312"/>
          <w:color w:val="000000" w:themeColor="text1"/>
          <w:sz w:val="24"/>
          <w14:textFill>
            <w14:solidFill>
              <w14:schemeClr w14:val="tx1"/>
            </w14:solidFill>
          </w14:textFill>
        </w:rPr>
        <w:t>工程质量保修书由发包人、承包人在工程竣工验收前共同签署，作为施工合同附件，其有效期限至保修期满。</w:t>
      </w:r>
    </w:p>
    <w:p>
      <w:pPr>
        <w:spacing w:line="360" w:lineRule="auto"/>
        <w:ind w:firstLine="456" w:firstLineChars="190"/>
        <w:rPr>
          <w:rFonts w:ascii="仿宋" w:hAnsi="仿宋" w:eastAsia="仿宋" w:cs="仿宋"/>
          <w:sz w:val="24"/>
        </w:rPr>
      </w:pPr>
      <w:r>
        <w:rPr>
          <w:rFonts w:hint="eastAsia" w:ascii="仿宋" w:hAnsi="仿宋" w:eastAsia="仿宋" w:cs="仿宋"/>
          <w:sz w:val="24"/>
        </w:rPr>
        <w:br w:type="page"/>
      </w:r>
    </w:p>
    <w:p>
      <w:pPr>
        <w:spacing w:line="440" w:lineRule="exact"/>
        <w:rPr>
          <w:rFonts w:ascii="仿宋" w:hAnsi="仿宋" w:eastAsia="仿宋" w:cs="仿宋"/>
          <w:sz w:val="24"/>
        </w:rPr>
      </w:pPr>
      <w:r>
        <w:rPr>
          <w:rFonts w:hint="eastAsia" w:ascii="仿宋" w:hAnsi="仿宋" w:eastAsia="仿宋" w:cs="仿宋"/>
          <w:sz w:val="24"/>
        </w:rPr>
        <w:t xml:space="preserve">附件2：           </w:t>
      </w:r>
    </w:p>
    <w:p>
      <w:pPr>
        <w:spacing w:before="156" w:beforeLines="50" w:after="156"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相关方安全协议</w:t>
      </w:r>
    </w:p>
    <w:p>
      <w:pPr>
        <w:pStyle w:val="67"/>
        <w:spacing w:line="300" w:lineRule="auto"/>
        <w:ind w:firstLine="480"/>
        <w:rPr>
          <w:rFonts w:ascii="仿宋_GB2312" w:hAnsi="仿宋_GB2312" w:eastAsia="仿宋_GB2312" w:cs="仿宋_GB2312"/>
          <w:sz w:val="24"/>
        </w:rPr>
      </w:pPr>
      <w:r>
        <w:rPr>
          <w:rFonts w:ascii="仿宋_GB2312" w:hAnsi="仿宋_GB2312" w:eastAsia="仿宋_GB2312" w:cs="仿宋_GB2312"/>
          <w:sz w:val="24"/>
        </w:rPr>
        <w:t>甲方：</w:t>
      </w:r>
    </w:p>
    <w:p>
      <w:pPr>
        <w:pStyle w:val="67"/>
        <w:spacing w:line="300" w:lineRule="auto"/>
        <w:ind w:firstLine="480"/>
        <w:rPr>
          <w:rFonts w:ascii="仿宋_GB2312" w:hAnsi="仿宋_GB2312" w:eastAsia="仿宋_GB2312" w:cs="仿宋_GB2312"/>
          <w:sz w:val="24"/>
        </w:rPr>
      </w:pPr>
      <w:r>
        <w:rPr>
          <w:rFonts w:ascii="仿宋_GB2312" w:hAnsi="仿宋_GB2312" w:eastAsia="仿宋_GB2312" w:cs="仿宋_GB2312"/>
          <w:sz w:val="24"/>
        </w:rPr>
        <w:t>乙方：</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乙方在甲方厂区（含园区）开展</w:t>
      </w:r>
      <w:r>
        <w:rPr>
          <w:rFonts w:hint="eastAsia" w:ascii="仿宋_GB2312" w:hAnsi="仿宋_GB2312" w:eastAsia="仿宋_GB2312" w:cs="仿宋_GB2312"/>
          <w:sz w:val="24"/>
          <w:u w:val="single"/>
        </w:rPr>
        <w:t xml:space="preserve">           </w:t>
      </w:r>
      <w:r>
        <w:rPr>
          <w:rFonts w:ascii="仿宋_GB2312" w:hAnsi="仿宋_GB2312" w:eastAsia="仿宋_GB2312" w:cs="仿宋_GB2312"/>
          <w:sz w:val="24"/>
        </w:rPr>
        <w:t>项目</w:t>
      </w:r>
      <w:r>
        <w:rPr>
          <w:rFonts w:hint="eastAsia" w:ascii="仿宋_GB2312" w:hAnsi="仿宋_GB2312" w:eastAsia="仿宋_GB2312" w:cs="仿宋_GB2312"/>
          <w:sz w:val="24"/>
        </w:rPr>
        <w:t>，</w:t>
      </w:r>
      <w:r>
        <w:rPr>
          <w:rFonts w:ascii="仿宋_GB2312" w:hAnsi="仿宋_GB2312" w:eastAsia="仿宋_GB2312" w:cs="仿宋_GB2312"/>
          <w:sz w:val="24"/>
        </w:rPr>
        <w:t>根据国</w:t>
      </w:r>
      <w:r>
        <w:rPr>
          <w:rFonts w:hint="eastAsia" w:ascii="仿宋_GB2312" w:hAnsi="仿宋_GB2312" w:eastAsia="仿宋_GB2312" w:cs="仿宋_GB2312"/>
          <w:sz w:val="24"/>
        </w:rPr>
        <w:t>家、地方</w:t>
      </w:r>
      <w:r>
        <w:rPr>
          <w:rFonts w:ascii="仿宋_GB2312" w:hAnsi="仿宋_GB2312" w:eastAsia="仿宋_GB2312" w:cs="仿宋_GB2312"/>
          <w:sz w:val="24"/>
        </w:rPr>
        <w:t>有关安全生产的法律、法规、条例</w:t>
      </w:r>
      <w:r>
        <w:rPr>
          <w:rFonts w:hint="eastAsia" w:ascii="仿宋_GB2312" w:hAnsi="仿宋_GB2312" w:eastAsia="仿宋_GB2312" w:cs="仿宋_GB2312"/>
          <w:sz w:val="24"/>
        </w:rPr>
        <w:t>、规章、政策等规范性文件的要求</w:t>
      </w:r>
      <w:r>
        <w:rPr>
          <w:rFonts w:ascii="仿宋_GB2312" w:hAnsi="仿宋_GB2312" w:eastAsia="仿宋_GB2312" w:cs="仿宋_GB2312"/>
          <w:sz w:val="24"/>
        </w:rPr>
        <w:t>，为明确甲乙双方安全管理职责与权利，预防各类事故的发生，经甲乙双方协商一致，同意签订本协议，并</w:t>
      </w:r>
      <w:r>
        <w:rPr>
          <w:rFonts w:hint="eastAsia" w:ascii="仿宋_GB2312" w:hAnsi="仿宋_GB2312" w:eastAsia="仿宋_GB2312" w:cs="仿宋_GB2312"/>
          <w:sz w:val="24"/>
        </w:rPr>
        <w:t>共同</w:t>
      </w:r>
      <w:r>
        <w:rPr>
          <w:rFonts w:ascii="仿宋_GB2312" w:hAnsi="仿宋_GB2312" w:eastAsia="仿宋_GB2312" w:cs="仿宋_GB2312"/>
          <w:sz w:val="24"/>
        </w:rPr>
        <w:t>遵守。</w:t>
      </w:r>
    </w:p>
    <w:p>
      <w:pPr>
        <w:pStyle w:val="67"/>
        <w:spacing w:line="300" w:lineRule="auto"/>
        <w:ind w:firstLine="480"/>
        <w:rPr>
          <w:rFonts w:ascii="黑体" w:hAnsi="黑体" w:eastAsia="黑体" w:cs="黑体"/>
          <w:sz w:val="24"/>
        </w:rPr>
      </w:pPr>
      <w:r>
        <w:rPr>
          <w:rFonts w:hint="eastAsia" w:ascii="黑体" w:hAnsi="黑体" w:eastAsia="黑体" w:cs="黑体"/>
          <w:sz w:val="24"/>
        </w:rPr>
        <w:t>一、甲乙双方安全管理职责与权利：</w:t>
      </w:r>
    </w:p>
    <w:p>
      <w:pPr>
        <w:pStyle w:val="67"/>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rPr>
        <w:t>（一）甲方职责与权利</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1.甲方根据协作需求，负责为乙方提供作业场地及必要的风、水、电、气等能源。</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4.甲方对乙方不得违章指挥、强令冒险作业，因甲方人员人为原因造成乙方人员发生事故的，由乙方负责处理，甲方予以协助并赔偿乙方的合理损失。</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5.甲方对乙方在甲方发生安全事故时，将尽量协助救护、保护事故现场，并有权开展或参加对事故的调查处理。因乙方原因导致的生产安全事故，由乙方承担相应责任。</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7.对于提供生活物质、食品的乙方，甲方有权要求乙方提供乙方工作人员的健康证明。在甲方服务时，乙方要严格遵守甲方的相关安全管理制度和卫生、健康管理制度。</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8、甲方有权要求乙方提供作业人员的工伤保险及意外保险缴纳证明。</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9、甲方指定专人</w:t>
      </w:r>
      <w:r>
        <w:rPr>
          <w:rFonts w:hint="eastAsia" w:ascii="仿宋_GB2312" w:hAnsi="仿宋_GB2312"/>
          <w:sz w:val="24"/>
        </w:rPr>
        <w:t>（联系人、安全员：</w:t>
      </w:r>
      <w:r>
        <w:rPr>
          <w:rFonts w:ascii="仿宋_GB2312" w:hAnsi="仿宋_GB2312"/>
          <w:sz w:val="24"/>
        </w:rPr>
        <w:t xml:space="preserve">    </w:t>
      </w:r>
      <w:r>
        <w:rPr>
          <w:rFonts w:hint="eastAsia" w:ascii="仿宋_GB2312" w:hAnsi="仿宋_GB2312" w:eastAsia="仿宋_GB2312" w:cs="仿宋_GB2312"/>
          <w:sz w:val="24"/>
        </w:rPr>
        <w:t xml:space="preserve">    </w:t>
      </w:r>
      <w:r>
        <w:rPr>
          <w:rFonts w:hint="eastAsia" w:ascii="仿宋_GB2312" w:hAnsi="仿宋_GB2312"/>
          <w:sz w:val="24"/>
        </w:rPr>
        <w:t>；联系方式：</w:t>
      </w:r>
      <w:r>
        <w:rPr>
          <w:rFonts w:hint="eastAsia" w:ascii="仿宋_GB2312" w:hAnsi="仿宋_GB2312" w:eastAsia="仿宋_GB2312" w:cs="仿宋_GB2312"/>
          <w:sz w:val="24"/>
        </w:rPr>
        <w:t xml:space="preserve">     </w:t>
      </w:r>
      <w:r>
        <w:rPr>
          <w:rFonts w:ascii="仿宋_GB2312" w:hAnsi="仿宋_GB2312"/>
          <w:sz w:val="24"/>
        </w:rPr>
        <w:t xml:space="preserve">   </w:t>
      </w:r>
      <w:r>
        <w:rPr>
          <w:rFonts w:hint="eastAsia" w:ascii="仿宋_GB2312" w:hAnsi="仿宋_GB2312"/>
          <w:sz w:val="24"/>
        </w:rPr>
        <w:t>）</w:t>
      </w:r>
      <w:r>
        <w:rPr>
          <w:rFonts w:hint="eastAsia" w:ascii="仿宋_GB2312" w:hAnsi="仿宋_GB2312" w:eastAsia="仿宋_GB2312" w:cs="仿宋_GB2312"/>
          <w:sz w:val="24"/>
        </w:rPr>
        <w:t>负责乙方业务和安全管理，乙方出现各类问题都应及时与甲方联系人、安全员联系。</w:t>
      </w:r>
    </w:p>
    <w:p>
      <w:pPr>
        <w:pStyle w:val="67"/>
        <w:numPr>
          <w:ilvl w:val="255"/>
          <w:numId w:val="0"/>
        </w:numPr>
        <w:spacing w:line="300" w:lineRule="auto"/>
        <w:ind w:firstLine="482" w:firstLineChars="200"/>
        <w:rPr>
          <w:rFonts w:ascii="楷体_GB2312" w:hAnsi="楷体_GB2312" w:eastAsia="楷体_GB2312" w:cs="楷体_GB2312"/>
          <w:b/>
          <w:bCs/>
          <w:sz w:val="24"/>
        </w:rPr>
      </w:pPr>
      <w:r>
        <w:rPr>
          <w:rFonts w:hint="eastAsia" w:ascii="楷体_GB2312" w:hAnsi="楷体_GB2312" w:eastAsia="楷体_GB2312" w:cs="楷体_GB2312"/>
          <w:b/>
          <w:bCs/>
          <w:sz w:val="24"/>
        </w:rPr>
        <w:t>（二）乙方职责与权利</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1.乙方进入甲方生产现场的车辆、人员必须执行甲方的各项安全管理规定，接受甲方安全管理人员的监督和管理。乙方应在进入现场前充分了解并知悉甲方的各项安全管理规定。</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乙方在甲方现场作业应指定安全负责人，佩戴安全管理标识负责本方的安全管理工作，乙方安全管理人员要定期开展隐患排查，并将检查及处理情况如实记录存档”。乙方应于本协议签订前，将该负责人姓名及其相关资料送至甲方审核、备案，当负责人发生变动时，乙方应在变动后5个工作日内书面通知甲方并将变动后的人员姓名及相关资料送至甲方备案。</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9.因乙方人员不遵守相关安全法律法规及甲方的规章制度造成安全生产事故的，乙方应负责处理相关事宜，并承担相应责任和损失，甲方予以协助。</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10.乙方负责处理其工作人员在甲方现场工作期间发生的工伤事故，并承担相应费用及责任，甲方予以积极配合。</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11.乙方人员在甲方现场造成甲方工作人员或第三方人员人身伤害、财产损失或甲方产品、设备等财产损失的，由乙方承担相应费用及责任。</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14.乙方所使用的机械设施、各类机器等设备，必须是经过检测且合格可靠的，各类设备设施的合格证、检测证和安全防护装置等必须齐全、完好。严禁使用不安全的设备设施进行作业。</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15.乙方负责按照相关要求为作业现场配备所需的安全防护设施、消防设施，负责为乙方作业人员配备合格、可靠的安全防护用品（特殊劳动防护用品需提供采购单位相应资质）。</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16.乙方作业完成后，负责清理现场并恢复作业前的正常环境。对于作业过程中产生的废水、废料、废渣、建筑垃圾等（不包含危险废物），由乙方负责按照环保法律法规要求合法处理，因乙方违规处置产生的后果由乙方承担。</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17.乙方承诺，不将承租的项目部分或全部转包给其他单位，因违规转包而导致的一切后果由乙方自行承担。</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18.积极支持配合和参加甲方组织的消防安全防范活动，自觉培养消防意识宣传消防重要性。进行经常性的防火安全检查，对发现的火险隐患必须采取应急措施。</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20.乙方应遵守装修工程消防安全管理规定和工程施工安全技术规范，在作业范围内消防灭火器材的配备及日常的维护由乙方负责，应确保消防器材及设施完好有效。</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21.乙方作业区域发生火灾事故时能冷静准确向119报警，并能灭火、指引和协助他人逃生。必须立即采取有效措施防止事故扩大，组织人员抢救并保护现场，并立即向甲方报告。</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23.乙方承诺指定专人</w:t>
      </w:r>
      <w:r>
        <w:rPr>
          <w:rFonts w:hint="eastAsia" w:ascii="仿宋_GB2312" w:hAnsi="仿宋_GB2312"/>
          <w:sz w:val="24"/>
        </w:rPr>
        <w:t>（联系人、安全员：</w:t>
      </w:r>
      <w:r>
        <w:rPr>
          <w:rFonts w:ascii="仿宋_GB2312" w:hAnsi="仿宋_GB2312"/>
          <w:sz w:val="24"/>
        </w:rPr>
        <w:t xml:space="preserve">     </w:t>
      </w:r>
      <w:r>
        <w:rPr>
          <w:rFonts w:hint="eastAsia" w:ascii="仿宋_GB2312" w:hAnsi="仿宋_GB2312" w:eastAsia="仿宋_GB2312" w:cs="仿宋_GB2312"/>
          <w:sz w:val="24"/>
        </w:rPr>
        <w:t xml:space="preserve">   </w:t>
      </w:r>
      <w:r>
        <w:rPr>
          <w:rFonts w:hint="eastAsia" w:ascii="仿宋_GB2312" w:hAnsi="仿宋_GB2312"/>
          <w:sz w:val="24"/>
        </w:rPr>
        <w:t>；联系方式：</w:t>
      </w:r>
      <w:r>
        <w:rPr>
          <w:rFonts w:hint="eastAsia" w:ascii="仿宋_GB2312" w:hAnsi="仿宋_GB2312" w:eastAsia="仿宋_GB2312" w:cs="仿宋_GB2312"/>
          <w:sz w:val="24"/>
        </w:rPr>
        <w:t xml:space="preserve">    </w:t>
      </w:r>
      <w:r>
        <w:rPr>
          <w:rFonts w:ascii="仿宋_GB2312" w:hAnsi="仿宋_GB2312"/>
          <w:sz w:val="24"/>
        </w:rPr>
        <w:t xml:space="preserve">    </w:t>
      </w:r>
      <w:r>
        <w:rPr>
          <w:rFonts w:hint="eastAsia" w:ascii="仿宋_GB2312" w:hAnsi="仿宋_GB2312"/>
          <w:sz w:val="24"/>
        </w:rPr>
        <w:t>）</w:t>
      </w:r>
      <w:r>
        <w:rPr>
          <w:rFonts w:hint="eastAsia" w:ascii="仿宋_GB2312" w:hAnsi="仿宋_GB2312" w:eastAsia="仿宋_GB2312" w:cs="仿宋_GB2312"/>
          <w:sz w:val="24"/>
        </w:rPr>
        <w:t>负责作业过程中的安全管理，负责与甲方进行安全管理工作的对接，配合甲方统一协调管理。</w:t>
      </w:r>
    </w:p>
    <w:p>
      <w:pPr>
        <w:pStyle w:val="67"/>
        <w:spacing w:line="300" w:lineRule="auto"/>
        <w:ind w:firstLine="480"/>
        <w:rPr>
          <w:rFonts w:ascii="黑体" w:hAnsi="黑体" w:eastAsia="黑体" w:cs="黑体"/>
          <w:sz w:val="24"/>
        </w:rPr>
      </w:pPr>
      <w:r>
        <w:rPr>
          <w:rFonts w:hint="eastAsia" w:ascii="黑体" w:hAnsi="黑体" w:eastAsia="黑体" w:cs="黑体"/>
          <w:sz w:val="24"/>
        </w:rPr>
        <w:t>二、其他相关手续办理</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乙方进入甲方厂区进行施工，办理其他相关手续，应遵守以下约定：</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1.进厂手续：甲方与乙方的施工合同签订后，乙方单位持相关的资质材料，按照甲方管理制度办理施工手续后 ,方可进行作业。</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3.入厂安全教育：乙方进入甲方厂区前应对其施工人员进行安全教育并提供教育培训的相关资料，到甲方办理《施工许可证》。</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67"/>
        <w:spacing w:line="300" w:lineRule="auto"/>
        <w:ind w:firstLine="480"/>
        <w:rPr>
          <w:rFonts w:ascii="黑体" w:hAnsi="黑体" w:eastAsia="黑体" w:cs="黑体"/>
          <w:sz w:val="24"/>
        </w:rPr>
      </w:pPr>
      <w:r>
        <w:rPr>
          <w:rFonts w:hint="eastAsia" w:ascii="黑体" w:hAnsi="黑体" w:eastAsia="黑体" w:cs="黑体"/>
          <w:sz w:val="24"/>
        </w:rPr>
        <w:t>三、违约责任</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因乙方人员或车辆违反有关法律、法规、规章、规范性文件、甲方有关管理规定以及本协议约定，造成的一切后果和损失，由乙方承担全部责任并赔偿甲方之损失。</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如果乙方违反本合同约定（含附件，如有）的，除应按本合同约定赔偿损失及违约金外，还应赔偿包括但不限于甲方因此支出的或预计支付的诉讼费、保全申请费、保全保险费、鉴定费、评估费、司法审计费、拍卖费、律师费等一切费用。</w:t>
      </w:r>
    </w:p>
    <w:p>
      <w:pPr>
        <w:pStyle w:val="67"/>
        <w:spacing w:line="300" w:lineRule="auto"/>
        <w:ind w:firstLine="480"/>
        <w:rPr>
          <w:rFonts w:ascii="黑体" w:hAnsi="黑体" w:eastAsia="黑体" w:cs="黑体"/>
          <w:sz w:val="24"/>
        </w:rPr>
      </w:pPr>
      <w:r>
        <w:rPr>
          <w:rFonts w:hint="eastAsia" w:ascii="黑体" w:hAnsi="黑体" w:eastAsia="黑体" w:cs="黑体"/>
          <w:sz w:val="24"/>
        </w:rPr>
        <w:t>四、争议解决</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本协议履行过程中产生的争议，双方协商解决，协商不成的提交甲方所在地法院诉讼解决。</w:t>
      </w:r>
    </w:p>
    <w:p>
      <w:pPr>
        <w:pStyle w:val="67"/>
        <w:spacing w:line="300" w:lineRule="auto"/>
        <w:ind w:firstLine="480"/>
        <w:rPr>
          <w:rFonts w:ascii="黑体" w:hAnsi="黑体" w:eastAsia="黑体" w:cs="黑体"/>
          <w:sz w:val="24"/>
        </w:rPr>
      </w:pPr>
      <w:r>
        <w:rPr>
          <w:rFonts w:hint="eastAsia" w:ascii="黑体" w:hAnsi="黑体" w:eastAsia="黑体" w:cs="黑体"/>
          <w:sz w:val="24"/>
        </w:rPr>
        <w:t>五、附则</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2.本协议附件与主协议具有相同的法律效力。在本协议有效期内，双方就未尽事宜达成补充协议的，补充协议与本协议具有同等法律效力。</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3.甲方与乙方签订本协议时，已向乙方告知甲方的各项安全管理规定。乙方已充分了解并知悉甲方的各项安全管理规定及内容，并承诺严格遵守。</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4.按照《安全生产法》规定，乙方如有不签订本协议和未执行协议擅自在甲方厂区内施工的情况，乙方均属违章作业。</w:t>
      </w: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5.</w:t>
      </w:r>
      <w:bookmarkStart w:id="115" w:name="_Hlk201301915"/>
      <w:r>
        <w:rPr>
          <w:rFonts w:ascii="仿宋_GB2312" w:hAnsi="仿宋_GB2312" w:eastAsia="仿宋_GB2312" w:cs="仿宋_GB2312"/>
          <w:sz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w:t>
      </w:r>
      <w:r>
        <w:rPr>
          <w:rFonts w:hint="eastAsia" w:ascii="仿宋_GB2312" w:hAnsi="仿宋_GB2312" w:eastAsia="仿宋_GB2312" w:cs="仿宋_GB2312"/>
          <w:sz w:val="24"/>
        </w:rPr>
        <w:t>个人手写</w:t>
      </w:r>
      <w:r>
        <w:rPr>
          <w:rFonts w:ascii="仿宋_GB2312" w:hAnsi="仿宋_GB2312" w:eastAsia="仿宋_GB2312" w:cs="仿宋_GB2312"/>
          <w:sz w:val="24"/>
        </w:rPr>
        <w:t>签名除外）</w:t>
      </w:r>
      <w:r>
        <w:rPr>
          <w:rFonts w:hint="eastAsia" w:ascii="仿宋_GB2312" w:hAnsi="仿宋_GB2312" w:eastAsia="仿宋_GB2312" w:cs="仿宋_GB2312"/>
          <w:sz w:val="24"/>
        </w:rPr>
        <w:t>。</w:t>
      </w:r>
    </w:p>
    <w:p>
      <w:pPr>
        <w:pStyle w:val="67"/>
        <w:spacing w:line="300" w:lineRule="auto"/>
        <w:ind w:firstLine="480"/>
        <w:rPr>
          <w:rFonts w:ascii="仿宋_GB2312" w:hAnsi="仿宋_GB2312" w:eastAsia="仿宋_GB2312" w:cs="仿宋_GB2312"/>
          <w:sz w:val="24"/>
        </w:rPr>
      </w:pPr>
      <w:r>
        <w:rPr>
          <w:rFonts w:ascii="仿宋_GB2312" w:hAnsi="仿宋_GB2312" w:eastAsia="仿宋_GB2312" w:cs="仿宋_GB2312"/>
          <w:sz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_GB2312" w:hAnsi="仿宋_GB2312" w:eastAsia="仿宋_GB2312" w:cs="仿宋_GB2312"/>
          <w:sz w:val="24"/>
        </w:rPr>
        <w:t>各</w:t>
      </w:r>
      <w:r>
        <w:rPr>
          <w:rFonts w:ascii="仿宋_GB2312" w:hAnsi="仿宋_GB2312" w:eastAsia="仿宋_GB2312" w:cs="仿宋_GB2312"/>
          <w:sz w:val="24"/>
        </w:rPr>
        <w:t>方已签署完毕。</w:t>
      </w:r>
      <w:bookmarkEnd w:id="115"/>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6.本协议应与具体项目合同同时签订。一式四份，甲乙双方各两份。</w:t>
      </w:r>
    </w:p>
    <w:p>
      <w:pPr>
        <w:pStyle w:val="67"/>
        <w:spacing w:line="300" w:lineRule="auto"/>
        <w:ind w:firstLine="480"/>
        <w:rPr>
          <w:rFonts w:ascii="仿宋_GB2312" w:hAnsi="仿宋_GB2312" w:eastAsia="仿宋_GB2312" w:cs="仿宋_GB2312"/>
          <w:sz w:val="24"/>
        </w:rPr>
      </w:pP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甲方（盖章）：                    乙方（盖章）：</w:t>
      </w:r>
    </w:p>
    <w:p>
      <w:pPr>
        <w:pStyle w:val="67"/>
        <w:spacing w:line="300" w:lineRule="auto"/>
        <w:ind w:firstLine="480"/>
        <w:rPr>
          <w:rFonts w:ascii="仿宋_GB2312" w:hAnsi="仿宋_GB2312" w:eastAsia="仿宋_GB2312" w:cs="仿宋_GB2312"/>
          <w:sz w:val="24"/>
        </w:rPr>
      </w:pPr>
    </w:p>
    <w:p>
      <w:pPr>
        <w:pStyle w:val="67"/>
        <w:spacing w:line="300" w:lineRule="auto"/>
        <w:ind w:firstLine="480"/>
        <w:rPr>
          <w:rFonts w:ascii="仿宋_GB2312" w:hAnsi="仿宋_GB2312" w:eastAsia="仿宋_GB2312" w:cs="仿宋_GB2312"/>
          <w:sz w:val="24"/>
        </w:rPr>
      </w:pPr>
      <w:r>
        <w:rPr>
          <w:rFonts w:hint="eastAsia" w:ascii="仿宋_GB2312" w:hAnsi="仿宋_GB2312" w:eastAsia="仿宋_GB2312" w:cs="仿宋_GB2312"/>
          <w:sz w:val="24"/>
        </w:rPr>
        <w:t>授权代表（签字）：                授权代表（签字）：</w:t>
      </w:r>
    </w:p>
    <w:p>
      <w:pPr>
        <w:pStyle w:val="67"/>
        <w:spacing w:line="300" w:lineRule="auto"/>
        <w:ind w:firstLine="480"/>
        <w:rPr>
          <w:rFonts w:ascii="仿宋_GB2312" w:hAnsi="仿宋_GB2312" w:eastAsia="仿宋_GB2312" w:cs="仿宋_GB2312"/>
          <w:sz w:val="24"/>
        </w:rPr>
      </w:pPr>
    </w:p>
    <w:p>
      <w:pPr>
        <w:pStyle w:val="67"/>
        <w:spacing w:line="300" w:lineRule="auto"/>
        <w:ind w:firstLine="480"/>
        <w:rPr>
          <w:rFonts w:ascii="仿宋_GB2312" w:hAnsi="仿宋_GB2312" w:eastAsia="仿宋_GB2312" w:cs="仿宋_GB2312"/>
          <w:sz w:val="24"/>
        </w:rPr>
      </w:pPr>
    </w:p>
    <w:p>
      <w:pPr>
        <w:pStyle w:val="67"/>
        <w:spacing w:line="360" w:lineRule="auto"/>
        <w:ind w:firstLine="480"/>
        <w:rPr>
          <w:rFonts w:ascii="仿宋_GB2312" w:hAnsi="仿宋_GB2312" w:eastAsia="仿宋_GB2312" w:cs="仿宋_GB2312"/>
          <w:sz w:val="24"/>
        </w:rPr>
      </w:pPr>
      <w:r>
        <w:rPr>
          <w:rFonts w:ascii="仿宋" w:hAnsi="仿宋" w:eastAsia="仿宋" w:cs="仿宋"/>
          <w:sz w:val="24"/>
        </w:rPr>
        <w:br w:type="page"/>
      </w:r>
    </w:p>
    <w:p>
      <w:pPr>
        <w:rPr>
          <w:rFonts w:ascii="仿宋" w:hAnsi="仿宋" w:eastAsia="仿宋" w:cs="仿宋"/>
          <w:b/>
          <w:bCs/>
          <w:sz w:val="28"/>
          <w:szCs w:val="28"/>
        </w:rPr>
      </w:pPr>
      <w:r>
        <w:rPr>
          <w:rFonts w:hint="eastAsia" w:ascii="仿宋" w:hAnsi="仿宋" w:eastAsia="仿宋" w:cs="仿宋"/>
          <w:sz w:val="24"/>
        </w:rPr>
        <w:t xml:space="preserve">附件3：                  </w:t>
      </w:r>
      <w:r>
        <w:rPr>
          <w:rFonts w:hint="eastAsia" w:ascii="仿宋" w:hAnsi="仿宋" w:eastAsia="仿宋" w:cs="仿宋"/>
          <w:b/>
          <w:bCs/>
          <w:sz w:val="28"/>
          <w:szCs w:val="28"/>
        </w:rPr>
        <w:t xml:space="preserve"> </w:t>
      </w:r>
      <w:r>
        <w:rPr>
          <w:rFonts w:hint="eastAsia" w:ascii="黑体" w:hAnsi="黑体" w:eastAsia="黑体" w:cs="仿宋"/>
          <w:sz w:val="28"/>
          <w:szCs w:val="28"/>
        </w:rPr>
        <w:t>主要材料及设备品牌表</w:t>
      </w:r>
    </w:p>
    <w:p>
      <w:pPr>
        <w:spacing w:before="156" w:beforeLines="50" w:after="156" w:afterLines="50" w:line="440" w:lineRule="exact"/>
        <w:jc w:val="center"/>
        <w:rPr>
          <w:rFonts w:eastAsia="黑体"/>
          <w:color w:val="000000" w:themeColor="text1"/>
          <w:sz w:val="28"/>
          <w:szCs w:val="28"/>
          <w14:textFill>
            <w14:solidFill>
              <w14:schemeClr w14:val="tx1"/>
            </w14:solidFill>
          </w14:textFill>
        </w:rPr>
      </w:pPr>
      <w:r>
        <w:rPr>
          <w:rFonts w:hint="eastAsia" w:eastAsia="黑体"/>
          <w:color w:val="000000" w:themeColor="text1"/>
          <w:sz w:val="28"/>
          <w:szCs w:val="28"/>
          <w14:textFill>
            <w14:solidFill>
              <w14:schemeClr w14:val="tx1"/>
            </w14:solidFill>
          </w14:textFill>
        </w:rPr>
        <w:t>甲限乙购材料品牌表</w:t>
      </w:r>
    </w:p>
    <w:tbl>
      <w:tblPr>
        <w:tblStyle w:val="37"/>
        <w:tblW w:w="5000" w:type="pct"/>
        <w:tblInd w:w="0" w:type="dxa"/>
        <w:tblLayout w:type="autofit"/>
        <w:tblCellMar>
          <w:top w:w="0" w:type="dxa"/>
          <w:left w:w="0" w:type="dxa"/>
          <w:bottom w:w="0" w:type="dxa"/>
          <w:right w:w="0" w:type="dxa"/>
        </w:tblCellMar>
      </w:tblPr>
      <w:tblGrid>
        <w:gridCol w:w="742"/>
        <w:gridCol w:w="2871"/>
        <w:gridCol w:w="5237"/>
      </w:tblGrid>
      <w:tr>
        <w:tblPrEx>
          <w:tblCellMar>
            <w:top w:w="0" w:type="dxa"/>
            <w:left w:w="0" w:type="dxa"/>
            <w:bottom w:w="0" w:type="dxa"/>
            <w:right w:w="0" w:type="dxa"/>
          </w:tblCellMar>
        </w:tblPrEx>
        <w:trPr>
          <w:trHeight w:val="600" w:hRule="atLeast"/>
        </w:trPr>
        <w:tc>
          <w:tcPr>
            <w:tcW w:w="4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序号</w:t>
            </w:r>
          </w:p>
        </w:tc>
        <w:tc>
          <w:tcPr>
            <w:tcW w:w="1622"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主材及设备名称</w:t>
            </w:r>
          </w:p>
        </w:tc>
        <w:tc>
          <w:tcPr>
            <w:tcW w:w="295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甲限品牌范围</w:t>
            </w:r>
          </w:p>
        </w:tc>
      </w:tr>
      <w:tr>
        <w:tblPrEx>
          <w:tblCellMar>
            <w:top w:w="0" w:type="dxa"/>
            <w:left w:w="0" w:type="dxa"/>
            <w:bottom w:w="0" w:type="dxa"/>
            <w:right w:w="0" w:type="dxa"/>
          </w:tblCellMar>
        </w:tblPrEx>
        <w:trPr>
          <w:trHeight w:val="600" w:hRule="atLeast"/>
        </w:trPr>
        <w:tc>
          <w:tcPr>
            <w:tcW w:w="4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w:t>
            </w:r>
          </w:p>
        </w:tc>
        <w:tc>
          <w:tcPr>
            <w:tcW w:w="16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p>
        </w:tc>
        <w:tc>
          <w:tcPr>
            <w:tcW w:w="295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p>
        </w:tc>
      </w:tr>
      <w:tr>
        <w:tblPrEx>
          <w:tblCellMar>
            <w:top w:w="0" w:type="dxa"/>
            <w:left w:w="0" w:type="dxa"/>
            <w:bottom w:w="0" w:type="dxa"/>
            <w:right w:w="0" w:type="dxa"/>
          </w:tblCellMar>
        </w:tblPrEx>
        <w:trPr>
          <w:trHeight w:val="600" w:hRule="atLeast"/>
        </w:trPr>
        <w:tc>
          <w:tcPr>
            <w:tcW w:w="4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w:t>
            </w:r>
          </w:p>
        </w:tc>
        <w:tc>
          <w:tcPr>
            <w:tcW w:w="1622" w:type="pc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p>
        </w:tc>
        <w:tc>
          <w:tcPr>
            <w:tcW w:w="2959" w:type="pc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p>
        </w:tc>
      </w:tr>
      <w:tr>
        <w:tblPrEx>
          <w:tblCellMar>
            <w:top w:w="0" w:type="dxa"/>
            <w:left w:w="0" w:type="dxa"/>
            <w:bottom w:w="0" w:type="dxa"/>
            <w:right w:w="0" w:type="dxa"/>
          </w:tblCellMar>
        </w:tblPrEx>
        <w:trPr>
          <w:trHeight w:val="600" w:hRule="atLeast"/>
        </w:trPr>
        <w:tc>
          <w:tcPr>
            <w:tcW w:w="41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cs="仿宋"/>
                <w:b/>
                <w:color w:val="000000" w:themeColor="text1"/>
                <w:sz w:val="28"/>
                <w:szCs w:val="28"/>
                <w:lang w:bidi="ar"/>
                <w14:textFill>
                  <w14:solidFill>
                    <w14:schemeClr w14:val="tx1"/>
                  </w14:solidFill>
                </w14:textFill>
              </w:rPr>
            </w:pPr>
            <w:r>
              <w:rPr>
                <w:rFonts w:hint="eastAsia" w:ascii="仿宋" w:hAnsi="仿宋" w:eastAsia="仿宋" w:cs="仿宋"/>
                <w:b/>
                <w:color w:val="000000" w:themeColor="text1"/>
                <w:sz w:val="28"/>
                <w:szCs w:val="28"/>
                <w:lang w:bidi="ar"/>
                <w14:textFill>
                  <w14:solidFill>
                    <w14:schemeClr w14:val="tx1"/>
                  </w14:solidFill>
                </w14:textFill>
              </w:rPr>
              <w:t>/</w:t>
            </w:r>
          </w:p>
        </w:tc>
        <w:tc>
          <w:tcPr>
            <w:tcW w:w="1622" w:type="pc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p>
        </w:tc>
        <w:tc>
          <w:tcPr>
            <w:tcW w:w="2959" w:type="pct"/>
            <w:tcBorders>
              <w:top w:val="nil"/>
              <w:left w:val="nil"/>
              <w:bottom w:val="single" w:color="auto" w:sz="4" w:space="0"/>
              <w:right w:val="single" w:color="auto" w:sz="4" w:space="0"/>
            </w:tcBorders>
            <w:shd w:val="clear" w:color="auto" w:fill="auto"/>
            <w:tcMar>
              <w:top w:w="15" w:type="dxa"/>
              <w:left w:w="15" w:type="dxa"/>
              <w:right w:w="15" w:type="dxa"/>
            </w:tcMar>
            <w:vAlign w:val="center"/>
          </w:tcPr>
          <w:p>
            <w:pPr>
              <w:jc w:val="center"/>
              <w:textAlignment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w:t>
            </w:r>
          </w:p>
        </w:tc>
      </w:tr>
    </w:tbl>
    <w:p>
      <w:pPr>
        <w:jc w:val="center"/>
        <w:rPr>
          <w:rFonts w:ascii="仿宋" w:hAnsi="仿宋" w:eastAsia="仿宋" w:cs="仿宋"/>
          <w:color w:val="000000" w:themeColor="text1"/>
          <w:sz w:val="32"/>
          <w:szCs w:val="32"/>
          <w14:textFill>
            <w14:solidFill>
              <w14:schemeClr w14:val="tx1"/>
            </w14:solidFill>
          </w14:textFill>
        </w:rPr>
      </w:pPr>
    </w:p>
    <w:p>
      <w:pPr>
        <w:adjustRightInd w:val="0"/>
        <w:snapToGrid w:val="0"/>
        <w:spacing w:line="520" w:lineRule="exact"/>
        <w:rPr>
          <w:rFonts w:ascii="仿宋" w:hAnsi="仿宋" w:eastAsia="仿宋" w:cs="仿宋"/>
          <w:sz w:val="24"/>
          <w:u w:val="single"/>
        </w:rPr>
      </w:pPr>
      <w:r>
        <w:rPr>
          <w:rFonts w:ascii="仿宋" w:hAnsi="仿宋" w:eastAsia="仿宋" w:cs="仿宋"/>
          <w:sz w:val="24"/>
          <w:u w:val="single"/>
        </w:rPr>
        <w:br w:type="page"/>
      </w:r>
    </w:p>
    <w:p>
      <w:pPr>
        <w:adjustRightInd w:val="0"/>
        <w:snapToGrid w:val="0"/>
        <w:spacing w:line="300" w:lineRule="auto"/>
        <w:jc w:val="left"/>
        <w:rPr>
          <w:rFonts w:ascii="黑体" w:hAnsi="黑体" w:eastAsia="黑体"/>
          <w:sz w:val="32"/>
          <w:szCs w:val="32"/>
        </w:rPr>
      </w:pPr>
      <w:r>
        <w:rPr>
          <w:rFonts w:hint="eastAsia" w:ascii="仿宋" w:hAnsi="仿宋" w:eastAsia="仿宋" w:cs="仿宋"/>
          <w:sz w:val="24"/>
        </w:rPr>
        <w:t>附件</w:t>
      </w:r>
      <w:r>
        <w:rPr>
          <w:rFonts w:ascii="仿宋" w:hAnsi="仿宋" w:eastAsia="仿宋" w:cs="仿宋"/>
          <w:sz w:val="24"/>
        </w:rPr>
        <w:t>4：</w:t>
      </w:r>
      <w:r>
        <w:rPr>
          <w:rFonts w:ascii="黑体" w:hAnsi="黑体" w:eastAsia="黑体"/>
          <w:sz w:val="32"/>
          <w:szCs w:val="32"/>
        </w:rPr>
        <w:t xml:space="preserve">   </w:t>
      </w:r>
    </w:p>
    <w:p>
      <w:pPr>
        <w:adjustRightInd w:val="0"/>
        <w:snapToGrid w:val="0"/>
        <w:spacing w:line="300" w:lineRule="auto"/>
        <w:ind w:firstLine="640"/>
        <w:jc w:val="center"/>
        <w:rPr>
          <w:rFonts w:ascii="黑体" w:hAnsi="黑体" w:eastAsia="黑体"/>
          <w:sz w:val="32"/>
          <w:szCs w:val="32"/>
        </w:rPr>
      </w:pPr>
      <w:r>
        <w:rPr>
          <w:rFonts w:hint="eastAsia" w:ascii="黑体" w:hAnsi="黑体" w:eastAsia="黑体"/>
          <w:sz w:val="28"/>
          <w:szCs w:val="28"/>
        </w:rPr>
        <w:t>施工现场管理协议</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 xml:space="preserve">发包人：                         </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 xml:space="preserve">承包人：                         </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为了切实加强施工现场管理，依照双方签订的施工承包合同，本着平等、自愿的原则，签订本协议书。甲、乙双方均须严格遵守本协议书规定的权利、责任和义务，确保现场安全文明施工。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一、管理要求</w:t>
      </w:r>
    </w:p>
    <w:p>
      <w:pPr>
        <w:widowControl/>
        <w:spacing w:line="360" w:lineRule="auto"/>
        <w:ind w:firstLine="480" w:firstLineChars="200"/>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、在施工现场禁烟区设立禁烟标志，禁烟区内严禁吸烟，保证地面无烟头。</w:t>
      </w:r>
    </w:p>
    <w:p>
      <w:pPr>
        <w:widowControl/>
        <w:spacing w:line="360" w:lineRule="auto"/>
        <w:ind w:firstLine="480" w:firstLineChars="200"/>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、办公区、生活区、材料堆放场、加工场、仓库区地面、工地内外通道必须作混凝土硬化处理。</w:t>
      </w:r>
    </w:p>
    <w:p>
      <w:pPr>
        <w:widowControl/>
        <w:spacing w:line="360" w:lineRule="auto"/>
        <w:ind w:firstLine="480" w:firstLineChars="200"/>
        <w:rPr>
          <w:rFonts w:ascii="仿宋" w:hAnsi="仿宋" w:eastAsia="仿宋" w:cs="仿宋"/>
          <w:sz w:val="24"/>
        </w:rPr>
      </w:pPr>
      <w:r>
        <w:rPr>
          <w:rFonts w:ascii="仿宋" w:hAnsi="仿宋" w:eastAsia="仿宋" w:cs="仿宋"/>
          <w:sz w:val="24"/>
        </w:rPr>
        <w:t>7</w:t>
      </w:r>
      <w:r>
        <w:rPr>
          <w:rFonts w:hint="eastAsia" w:ascii="仿宋" w:hAnsi="仿宋" w:eastAsia="仿宋" w:cs="仿宋"/>
          <w:sz w:val="24"/>
        </w:rPr>
        <w:t>、施工现场应按照施工总平面布置图搭设各项临时设施，定位堆放各种材料、成品、半成品和机械设备并进行标识，并码放整齐、限宽限高、上架入箱、分类挂牌标识，不得侵占场内道路及安全防护等设施。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rPr>
      </w:pPr>
      <w:r>
        <w:rPr>
          <w:rFonts w:ascii="仿宋" w:hAnsi="仿宋" w:eastAsia="仿宋" w:cs="仿宋"/>
          <w:sz w:val="24"/>
        </w:rPr>
        <w:t>8</w:t>
      </w:r>
      <w:r>
        <w:rPr>
          <w:rFonts w:hint="eastAsia" w:ascii="仿宋" w:hAnsi="仿宋" w:eastAsia="仿宋" w:cs="仿宋"/>
          <w:sz w:val="24"/>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rPr>
      </w:pPr>
      <w:r>
        <w:rPr>
          <w:rFonts w:ascii="仿宋" w:hAnsi="仿宋" w:eastAsia="仿宋" w:cs="仿宋"/>
          <w:sz w:val="24"/>
        </w:rPr>
        <w:t>9</w:t>
      </w:r>
      <w:r>
        <w:rPr>
          <w:rFonts w:hint="eastAsia" w:ascii="仿宋" w:hAnsi="仿宋" w:eastAsia="仿宋" w:cs="仿宋"/>
          <w:sz w:val="24"/>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rPr>
      </w:pPr>
      <w:r>
        <w:rPr>
          <w:rFonts w:ascii="仿宋" w:hAnsi="仿宋" w:eastAsia="仿宋" w:cs="仿宋"/>
          <w:sz w:val="24"/>
        </w:rPr>
        <w:t>10</w:t>
      </w:r>
      <w:r>
        <w:rPr>
          <w:rFonts w:hint="eastAsia" w:ascii="仿宋" w:hAnsi="仿宋" w:eastAsia="仿宋" w:cs="仿宋"/>
          <w:sz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rPr>
      </w:pPr>
      <w:r>
        <w:rPr>
          <w:rFonts w:ascii="仿宋" w:hAnsi="仿宋" w:eastAsia="仿宋" w:cs="仿宋"/>
          <w:sz w:val="24"/>
        </w:rPr>
        <w:t>11</w:t>
      </w:r>
      <w:r>
        <w:rPr>
          <w:rFonts w:hint="eastAsia" w:ascii="仿宋" w:hAnsi="仿宋" w:eastAsia="仿宋" w:cs="仿宋"/>
          <w:sz w:val="24"/>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rPr>
      </w:pPr>
      <w:r>
        <w:rPr>
          <w:rFonts w:ascii="仿宋" w:hAnsi="仿宋" w:eastAsia="仿宋" w:cs="仿宋"/>
          <w:sz w:val="24"/>
        </w:rPr>
        <w:t>12</w:t>
      </w:r>
      <w:r>
        <w:rPr>
          <w:rFonts w:hint="eastAsia" w:ascii="仿宋" w:hAnsi="仿宋" w:eastAsia="仿宋" w:cs="仿宋"/>
          <w:sz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widowControl/>
        <w:spacing w:line="360" w:lineRule="auto"/>
        <w:ind w:firstLine="480" w:firstLineChars="200"/>
        <w:rPr>
          <w:rFonts w:ascii="仿宋" w:hAnsi="仿宋" w:eastAsia="仿宋" w:cs="仿宋"/>
          <w:sz w:val="24"/>
        </w:rPr>
      </w:pPr>
      <w:r>
        <w:rPr>
          <w:rFonts w:ascii="仿宋" w:hAnsi="仿宋" w:eastAsia="仿宋" w:cs="仿宋"/>
          <w:sz w:val="24"/>
        </w:rPr>
        <w:t>13</w:t>
      </w:r>
      <w:r>
        <w:rPr>
          <w:rFonts w:hint="eastAsia" w:ascii="仿宋" w:hAnsi="仿宋" w:eastAsia="仿宋" w:cs="仿宋"/>
          <w:sz w:val="24"/>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ascii="仿宋" w:hAnsi="仿宋" w:eastAsia="仿宋" w:cs="仿宋"/>
          <w:sz w:val="24"/>
        </w:rPr>
      </w:pPr>
      <w:r>
        <w:rPr>
          <w:rFonts w:ascii="仿宋" w:hAnsi="仿宋" w:eastAsia="仿宋" w:cs="仿宋"/>
          <w:sz w:val="24"/>
        </w:rPr>
        <w:t>14</w:t>
      </w:r>
      <w:r>
        <w:rPr>
          <w:rFonts w:hint="eastAsia" w:ascii="仿宋" w:hAnsi="仿宋" w:eastAsia="仿宋" w:cs="仿宋"/>
          <w:sz w:val="24"/>
        </w:rPr>
        <w:t>、工程竣工后，施工单位应当在一周内拆除围挡及临时设施，恢复场地原状，做到“工完料净、场地清”</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二、责任考核</w:t>
      </w:r>
    </w:p>
    <w:p>
      <w:pPr>
        <w:widowControl/>
        <w:spacing w:line="360" w:lineRule="auto"/>
        <w:ind w:firstLine="480" w:firstLineChars="200"/>
        <w:rPr>
          <w:rFonts w:ascii="仿宋" w:hAnsi="仿宋" w:eastAsia="仿宋" w:cs="仿宋"/>
          <w:sz w:val="24"/>
        </w:rPr>
      </w:pPr>
      <w:r>
        <w:rPr>
          <w:rFonts w:hint="eastAsia" w:ascii="仿宋" w:hAnsi="仿宋" w:eastAsia="仿宋" w:cs="仿宋"/>
          <w:sz w:val="24"/>
        </w:rPr>
        <w:t>对于违反上述施工现场管理标准的，发包人将视情节严重情况，依据双方承包合同和《基建项目考核管理办法》，给予承包人</w:t>
      </w:r>
      <w:r>
        <w:rPr>
          <w:rFonts w:ascii="仿宋" w:hAnsi="仿宋" w:eastAsia="仿宋" w:cs="仿宋"/>
          <w:sz w:val="24"/>
        </w:rPr>
        <w:t>1000</w:t>
      </w:r>
      <w:r>
        <w:rPr>
          <w:rFonts w:hint="eastAsia" w:ascii="仿宋" w:hAnsi="仿宋" w:eastAsia="仿宋" w:cs="仿宋"/>
          <w:sz w:val="24"/>
        </w:rPr>
        <w:t>-</w:t>
      </w:r>
      <w:r>
        <w:rPr>
          <w:rFonts w:ascii="仿宋" w:hAnsi="仿宋" w:eastAsia="仿宋" w:cs="仿宋"/>
          <w:sz w:val="24"/>
        </w:rPr>
        <w:t>20000</w:t>
      </w:r>
      <w:r>
        <w:rPr>
          <w:rFonts w:hint="eastAsia" w:ascii="仿宋" w:hAnsi="仿宋" w:eastAsia="仿宋" w:cs="仿宋"/>
          <w:sz w:val="24"/>
        </w:rPr>
        <w:t>元/项考核。</w:t>
      </w:r>
    </w:p>
    <w:p>
      <w:pPr>
        <w:widowControl/>
        <w:spacing w:line="360" w:lineRule="auto"/>
        <w:ind w:firstLine="480" w:firstLineChars="200"/>
        <w:rPr>
          <w:rFonts w:ascii="仿宋" w:hAnsi="仿宋" w:eastAsia="仿宋" w:cs="仿宋"/>
          <w:sz w:val="24"/>
        </w:rPr>
      </w:pPr>
    </w:p>
    <w:p>
      <w:pPr>
        <w:adjustRightInd w:val="0"/>
        <w:snapToGrid w:val="0"/>
        <w:spacing w:line="440" w:lineRule="exact"/>
        <w:ind w:firstLine="360" w:firstLineChars="150"/>
        <w:jc w:val="left"/>
        <w:rPr>
          <w:rFonts w:ascii="仿宋" w:hAnsi="仿宋" w:eastAsia="仿宋" w:cs="仿宋"/>
          <w:sz w:val="24"/>
        </w:rPr>
      </w:pPr>
      <w:r>
        <w:rPr>
          <w:rFonts w:ascii="仿宋" w:hAnsi="仿宋" w:eastAsia="仿宋" w:cs="仿宋"/>
          <w:sz w:val="24"/>
        </w:rPr>
        <w:br w:type="page"/>
      </w:r>
    </w:p>
    <w:p>
      <w:pPr>
        <w:adjustRightInd w:val="0"/>
        <w:snapToGrid w:val="0"/>
        <w:spacing w:line="440" w:lineRule="exact"/>
        <w:jc w:val="left"/>
        <w:rPr>
          <w:rFonts w:ascii="仿宋" w:hAnsi="仿宋" w:eastAsia="仿宋" w:cs="仿宋"/>
          <w:sz w:val="28"/>
          <w:szCs w:val="28"/>
        </w:rPr>
      </w:pPr>
      <w:r>
        <w:rPr>
          <w:rFonts w:hint="eastAsia" w:ascii="仿宋" w:hAnsi="仿宋" w:eastAsia="仿宋" w:cs="仿宋"/>
          <w:sz w:val="28"/>
          <w:szCs w:val="28"/>
        </w:rPr>
        <w:t>附件</w:t>
      </w:r>
      <w:r>
        <w:rPr>
          <w:rFonts w:ascii="仿宋" w:hAnsi="仿宋" w:eastAsia="仿宋" w:cs="仿宋"/>
          <w:sz w:val="28"/>
          <w:szCs w:val="28"/>
        </w:rPr>
        <w:t>5</w:t>
      </w:r>
    </w:p>
    <w:p>
      <w:pPr>
        <w:adjustRightInd w:val="0"/>
        <w:snapToGrid w:val="0"/>
        <w:spacing w:line="440" w:lineRule="exact"/>
        <w:jc w:val="center"/>
        <w:rPr>
          <w:rFonts w:ascii="黑体" w:hAnsi="黑体" w:eastAsia="黑体" w:cs="仿宋"/>
          <w:sz w:val="28"/>
          <w:szCs w:val="28"/>
        </w:rPr>
      </w:pPr>
      <w:r>
        <w:rPr>
          <w:rFonts w:hint="eastAsia" w:ascii="黑体" w:hAnsi="黑体" w:eastAsia="黑体" w:cs="仿宋"/>
          <w:sz w:val="28"/>
          <w:szCs w:val="28"/>
        </w:rPr>
        <w:t>项目考核管理（细则）协议</w:t>
      </w:r>
    </w:p>
    <w:p>
      <w:pPr>
        <w:adjustRightInd w:val="0"/>
        <w:snapToGrid w:val="0"/>
        <w:spacing w:line="360" w:lineRule="auto"/>
        <w:rPr>
          <w:rFonts w:ascii="仿宋" w:hAnsi="仿宋" w:eastAsia="仿宋" w:cs="仿宋"/>
          <w:sz w:val="24"/>
        </w:rPr>
      </w:pPr>
      <w:r>
        <w:rPr>
          <w:rFonts w:hint="eastAsia" w:ascii="仿宋" w:hAnsi="仿宋" w:eastAsia="仿宋" w:cs="仿宋"/>
          <w:sz w:val="24"/>
        </w:rPr>
        <w:t xml:space="preserve">发包人：                         </w:t>
      </w:r>
    </w:p>
    <w:p>
      <w:pPr>
        <w:adjustRightInd w:val="0"/>
        <w:snapToGrid w:val="0"/>
        <w:spacing w:line="360" w:lineRule="auto"/>
        <w:rPr>
          <w:rFonts w:ascii="仿宋" w:hAnsi="仿宋" w:eastAsia="仿宋" w:cs="仿宋"/>
          <w:sz w:val="24"/>
        </w:rPr>
      </w:pPr>
      <w:r>
        <w:rPr>
          <w:rFonts w:hint="eastAsia" w:ascii="仿宋" w:hAnsi="仿宋" w:eastAsia="仿宋" w:cs="仿宋"/>
          <w:sz w:val="24"/>
        </w:rPr>
        <w:t xml:space="preserve">承包人：                         </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双方同意执行以下考核细则</w:t>
      </w:r>
      <w:r>
        <w:rPr>
          <w:rFonts w:hint="eastAsia" w:ascii="仿宋" w:hAnsi="仿宋" w:eastAsia="仿宋" w:cs="仿宋_GB2312"/>
          <w:color w:val="000000" w:themeColor="text1"/>
          <w:sz w:val="24"/>
          <w14:textFill>
            <w14:solidFill>
              <w14:schemeClr w14:val="tx1"/>
            </w14:solidFill>
          </w14:textFill>
        </w:rPr>
        <w:t>，承包人同意按照下述约定由发包人扣除相应费用作为考核</w:t>
      </w:r>
      <w:r>
        <w:rPr>
          <w:rFonts w:hint="eastAsia" w:ascii="仿宋" w:hAnsi="仿宋" w:eastAsia="仿宋"/>
          <w:color w:val="000000" w:themeColor="text1"/>
          <w:sz w:val="24"/>
          <w14:textFill>
            <w14:solidFill>
              <w14:schemeClr w14:val="tx1"/>
            </w14:solidFill>
          </w14:textFill>
        </w:rPr>
        <w:t>，具体如下：</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一、施工进度考核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1.1施工单位须向监理、项目指挥部按时提交总进度计划、周计划、专项计划以及各节点的控制计划，提交的计划必须经项目经理签字加盖项目章，否则视为无效提交。对未按要求时间提交的，每拖延一天</w:t>
      </w:r>
      <w:r>
        <w:rPr>
          <w:rFonts w:hint="eastAsia" w:ascii="仿宋" w:hAnsi="仿宋" w:eastAsia="仿宋" w:cs="仿宋_GB2312"/>
          <w:color w:val="000000" w:themeColor="text1"/>
          <w:sz w:val="24"/>
          <w14:textFill>
            <w14:solidFill>
              <w14:schemeClr w14:val="tx1"/>
            </w14:solidFill>
          </w14:textFill>
        </w:rPr>
        <w:t>处以</w:t>
      </w:r>
      <w:r>
        <w:rPr>
          <w:rFonts w:hint="eastAsia" w:ascii="仿宋" w:hAnsi="仿宋" w:eastAsia="仿宋"/>
          <w:color w:val="000000" w:themeColor="text1"/>
          <w:sz w:val="24"/>
          <w14:textFill>
            <w14:solidFill>
              <w14:schemeClr w14:val="tx1"/>
            </w14:solidFill>
          </w14:textFill>
        </w:rPr>
        <w:t>2000-10000元</w:t>
      </w:r>
      <w:r>
        <w:rPr>
          <w:rFonts w:hint="eastAsia" w:ascii="仿宋" w:hAnsi="仿宋" w:eastAsia="仿宋" w:cs="仿宋_GB2312"/>
          <w:color w:val="000000" w:themeColor="text1"/>
          <w:sz w:val="24"/>
          <w14:textFill>
            <w14:solidFill>
              <w14:schemeClr w14:val="tx1"/>
            </w14:solidFill>
          </w14:textFill>
        </w:rPr>
        <w:t>考核</w:t>
      </w:r>
      <w:r>
        <w:rPr>
          <w:rFonts w:hint="eastAsia" w:ascii="仿宋" w:hAnsi="仿宋" w:eastAsia="仿宋"/>
          <w:color w:val="000000" w:themeColor="text1"/>
          <w:sz w:val="24"/>
          <w14:textFill>
            <w14:solidFill>
              <w14:schemeClr w14:val="tx1"/>
            </w14:solidFill>
          </w14:textFill>
        </w:rPr>
        <w:t>。</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1.2施工计划编制质量差，屡次整改达不到要求的，处以2000-5000元/次考核。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1.3周计划进度、专项计划进度、各控制点进度的子项任务未按计划完成，且无正当理由延期的，每一项拖延一天，处以2000-10000元/天/项考核。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1.4里程碑节点滞后的，按照合同约定的违约条款，处以不低于合同额的万分之三/天且不低于1万元/天考核。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1.5施工单位为完成进度计划应制定有效的保证措施，包括人、料、机等资源投入，作业时间调整等，对人、料、机投入不能满足施工进度计划要求并对工程进度造成潜在影响的，处以5000-10000元考核。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1.6工程进度滞后，现场项目部安排加班抢工，对施工单位不响应抢工要求的，不组织工人机械加班抢工的，处以20000-50000元/天考核。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1.7对于临时工作任务，经现场项目部以书面工作联系单的形式向施工单位发出工作指令，要求限期完成，施工单位无正当理由未按期完成的，每拖延一天处以5000-20000元/天考核。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1.8在周例会或专题会议上，现场项目部要求限期完成的工作任务，施工单位无正当理由未按时完成的，每拖延一天处以5000-20000元/天/项考核。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1.9施工进度滞后，对组织抢工措施不力，消极应对、采取考核措施仍不见效的施工单位，将采取公司发函、约谈责任单位企业负责人，情节严重的将列入黑名单，取消今后项目招标入围资格。</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二、施工安全文明考核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2.1项目部或监理单位下达的书面整改文件（包括各类通知单、联系单、会议要求等）未按要求时间整改完毕的，每拖延一天处以5000-20000元/天考核。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2.2对不按时参加现场组织的安全周、月及专项检查的，处以2000-5000元/次考核。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2.3“三宝四口”措施不到位，对不正确使用或不使用安全帽、安全带的，予以500元/人·次考核。对“四口”存在的安全隐患，督促后仍未整改的，予以5000元/处考核，并每拖延一天处以10000元考核。        </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2.4特种作业未能持证上岗、未办理动火审批手续、消防器材未配备到位、施工人员未佩戴安全帽、安全绳、高空作业防护不到位、施工现场吸烟等违规行为，每发现一处，处以2000-5000元考核。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2.5施工单位应每日工完料净，施工垃圾集中清运，道路遗撒污染、施工垃圾及包装物乱堆乱弃等现象，每发现一处，处以2000-10000元考核。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2.6对抑尘措施不到位，发生扬尘现象的，处以2000-10000元/次考核；对被环保、渣土办部门处罚的，除相关处罚所有费用均由施工单位承担外，建设单位对施工单位予以加倍处罚。</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三、施工质量考核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3.1未按要求执行样品样板开路的或擅自更换材料品牌的，处以5000-50000元/次</w:t>
      </w:r>
      <w:r>
        <w:rPr>
          <w:rFonts w:hint="eastAsia" w:ascii="仿宋" w:hAnsi="仿宋" w:eastAsia="仿宋" w:cs="仿宋_GB2312"/>
          <w:color w:val="000000" w:themeColor="text1"/>
          <w:sz w:val="24"/>
          <w14:textFill>
            <w14:solidFill>
              <w14:schemeClr w14:val="tx1"/>
            </w14:solidFill>
          </w14:textFill>
        </w:rPr>
        <w:t>考核</w:t>
      </w:r>
      <w:r>
        <w:rPr>
          <w:rFonts w:hint="eastAsia" w:ascii="仿宋" w:hAnsi="仿宋" w:eastAsia="仿宋"/>
          <w:color w:val="000000" w:themeColor="text1"/>
          <w:sz w:val="24"/>
          <w14:textFill>
            <w14:solidFill>
              <w14:schemeClr w14:val="tx1"/>
            </w14:solidFill>
          </w14:textFill>
        </w:rPr>
        <w:t>。</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3.2进场材料不合格，进行退场处理并予以警告，重新进场后经检查仍不合格的或材料进场发生两次及以上不合格的，处以5000-20000元/次考核。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3.3未经验收，擅自进入下道工序施工的，处以5000～20000元/次考核。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3.4对于质量问题不按监理工程师通知单要求整改，擅自进行下一步施工的处以5000～10000元/项考核。在接到监理通知后未在通知时间内完成整改的，处以2000～10000元/项考核。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3.5隐蔽工程未经监理单位检查验收擅自隐蔽的，须打开或拆除后重新检查，并处以5000～20000元/次考核。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3.6同一部位、同一施工质量问题，签发第二份整改通知单的，予以加倍处罚，处以20000～50000元/项考核。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3.7对于发生较大、重大质量事故的造成严重影响的，除限期整改、返工并承担损失责任外，另处以10万-20万元/项考核。     </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四、施工成本及结算考核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批价申请价格高于最终审批价格50%以上的，按最终审批价格乘以0.9系数进入结算审计，作为对施工方的考核；批价申请价格高于最终审批价格100%以上的，按最终审批价格乘以0.8系数进行结算审计，作为对施工方的考核。批价申请资料存在伪造、虚假材料的，视情节另对施工单位进行1000-10000元/项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承包人未按照发包人要求的《工程项目结算审计报审资料编制规范》报审竣工结算资料的，发包人每发现一次视影响程度处罚承包人500-3000元；承包人结算资料有重复报审的，发包人每发现一次视影响程度处罚承包人3000-10000 元；承包人报审竣工结算时提供虚假材料的，发包人每发现一次视影响程度处罚承包人10000-50000 元。</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4.3凡项目竣工验收合格后承包人超期未报审竣工结算资料的，每拖期一天发包人视影响程度处罚承包人 1000-5000 元/天。</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4.4工程项目结算的报审金额100万元及以下，综合审减率超出10%的；结算的报审金额100万元以上且1000万元及以下，综合审减率超出8%的；结算的报审金额1000万元以上，综合审减率超出5%的工程项目，均按超出部分的2%对施工单位进行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4.5分部及分项清单单项审定金额与结算报审金额相比，分项审减率30%及以下不予处罚；分项审减率30%以上且50%及以下的，按超出30%部分的15%对施工单位进行考核；分项审减率大于等于50%且小于100%的，按超出30%部分的30%对施工单位进行考核；分项审减率等于100%的，按审减金额的50%对施工单位进行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4.6除审计部或委托审计机构要求补充的资料外，施工单位初次报审后再次以漏报为由报增的，按报增部分审定金额的10%进行考核。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4.7按上述考核规则，当考核金额合计不超过5000元或不超过(审减金额-报审金额*10%)*25%时，按5000元与(审减金额-报审金额*10%)*25%中较大值进行考核；当考核金额合计大于5000元且大于(审减金额-报审金额*10%)*25%时，按实际金额进行考核，由施工单位承担。</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4.8承包人未及时配合工程审计单位开展工作的，发包人每发现一次视影响程度处罚承包人3000-10000 元。</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4.9施工合同的结算报审值与结算审定值偏离≥30%的，存在弄虚作假、恶意虚报瞒报等行为或者累计发生三次及以上结算报审值与结算审定值偏离≥20%的，发包人将采取列入供方黑名单。</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4.10结算报审时考核条款发生变化的，按发包人最新规定执行。</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五、其他事项</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.1对未按时参加会议、工作执行不力、工作质量不达要求的，视情节严重程度，对责任单位处以1000-5000元/次考核。</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.2现场施工的质量、进度、安全等发生的考核，由监理单位（如有）出具，经总监理工程师签字盖章后报送现场项目部负责人签字盖章后即为生效</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.3监理单位或技改项目部应于每月20日汇总当月累计考核单，并在各单位当月形象进度款中扣除或从合同履约保函（保证金）中扣除。</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.4对已经发生的考核，若经积极采取措施，最终完成进度节点或整改结果满足合同及项目部要求的，可视情况予以减免、取消。</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.5若经采取考核措施后责任单位仍然消极应对、效果不明显，发包人项目部将采取约谈企业负责人、书面发函等措施，情节严重的将列入发包人供方黑名单。</w:t>
      </w:r>
    </w:p>
    <w:p>
      <w:pPr>
        <w:snapToGrid w:val="0"/>
        <w:spacing w:line="360" w:lineRule="auto"/>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.6各单位按本规定受处罚后并不免除按法律法规和合同应承担的有关责任。</w:t>
      </w:r>
    </w:p>
    <w:p>
      <w:pPr>
        <w:autoSpaceDE w:val="0"/>
        <w:autoSpaceDN w:val="0"/>
        <w:adjustRightInd w:val="0"/>
        <w:spacing w:line="520" w:lineRule="exact"/>
        <w:rPr>
          <w:rFonts w:ascii="仿宋" w:hAnsi="仿宋" w:eastAsia="仿宋" w:cs="仿宋"/>
          <w:sz w:val="24"/>
        </w:rPr>
      </w:pPr>
    </w:p>
    <w:p>
      <w:pPr>
        <w:rPr>
          <w:rFonts w:ascii="仿宋" w:hAnsi="仿宋" w:eastAsia="仿宋" w:cs="仿宋"/>
          <w:sz w:val="24"/>
        </w:rPr>
      </w:pPr>
    </w:p>
    <w:p>
      <w:pPr>
        <w:ind w:firstLine="420"/>
        <w:rPr>
          <w:rFonts w:ascii="仿宋" w:hAnsi="仿宋" w:eastAsia="仿宋" w:cs="仿宋"/>
          <w:sz w:val="32"/>
          <w:szCs w:val="32"/>
        </w:rPr>
      </w:pPr>
      <w:r>
        <w:rPr>
          <w:rFonts w:ascii="仿宋" w:hAnsi="仿宋" w:eastAsia="仿宋" w:cs="仿宋"/>
          <w:sz w:val="32"/>
          <w:szCs w:val="32"/>
        </w:rPr>
        <w:br w:type="page"/>
      </w:r>
    </w:p>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附件6</w:t>
      </w:r>
    </w:p>
    <w:p>
      <w:pPr>
        <w:spacing w:before="156" w:beforeLines="50" w:after="156" w:afterLines="50" w:line="440" w:lineRule="exact"/>
        <w:jc w:val="center"/>
        <w:rPr>
          <w:rFonts w:ascii="黑体" w:hAnsi="黑体" w:eastAsia="黑体"/>
          <w:color w:val="000000" w:themeColor="text1"/>
          <w:sz w:val="28"/>
          <w14:textFill>
            <w14:solidFill>
              <w14:schemeClr w14:val="tx1"/>
            </w14:solidFill>
          </w14:textFill>
        </w:rPr>
      </w:pPr>
      <w:r>
        <w:rPr>
          <w:rFonts w:hint="eastAsia" w:ascii="黑体" w:hAnsi="黑体" w:eastAsia="黑体"/>
          <w:color w:val="000000" w:themeColor="text1"/>
          <w:sz w:val="28"/>
          <w14:textFill>
            <w14:solidFill>
              <w14:schemeClr w14:val="tx1"/>
            </w14:solidFill>
          </w14:textFill>
        </w:rPr>
        <w:t>廉洁诚信协议</w:t>
      </w:r>
    </w:p>
    <w:p>
      <w:pPr>
        <w:spacing w:line="384" w:lineRule="auto"/>
        <w:ind w:left="119" w:right="3771"/>
        <w:rPr>
          <w:rFonts w:ascii="仿宋" w:hAnsi="仿宋" w:eastAsia="仿宋"/>
          <w:b/>
          <w:sz w:val="24"/>
        </w:rPr>
      </w:pPr>
      <w:r>
        <w:rPr>
          <w:rFonts w:hint="eastAsia" w:ascii="仿宋" w:hAnsi="仿宋" w:eastAsia="仿宋"/>
          <w:b/>
          <w:sz w:val="24"/>
        </w:rPr>
        <w:t>甲方：</w:t>
      </w:r>
    </w:p>
    <w:p>
      <w:pPr>
        <w:spacing w:line="384" w:lineRule="auto"/>
        <w:ind w:left="119" w:right="3771"/>
        <w:rPr>
          <w:rFonts w:ascii="仿宋" w:hAnsi="仿宋" w:eastAsia="仿宋"/>
          <w:b/>
          <w:sz w:val="24"/>
        </w:rPr>
      </w:pPr>
      <w:r>
        <w:rPr>
          <w:rFonts w:hint="eastAsia" w:ascii="仿宋" w:hAnsi="仿宋" w:eastAsia="仿宋"/>
          <w:b/>
          <w:sz w:val="24"/>
        </w:rPr>
        <w:t>乙方：</w:t>
      </w:r>
    </w:p>
    <w:p>
      <w:pPr>
        <w:pStyle w:val="67"/>
        <w:tabs>
          <w:tab w:val="left" w:pos="1244"/>
        </w:tabs>
        <w:adjustRightInd w:val="0"/>
        <w:spacing w:line="384" w:lineRule="auto"/>
        <w:ind w:firstLine="472"/>
        <w:rPr>
          <w:rFonts w:ascii="仿宋" w:hAnsi="仿宋" w:eastAsia="仿宋"/>
          <w:spacing w:val="-2"/>
          <w:sz w:val="24"/>
        </w:rPr>
      </w:pPr>
      <w:r>
        <w:rPr>
          <w:rFonts w:hint="eastAsia" w:ascii="仿宋" w:hAnsi="仿宋" w:eastAsia="仿宋"/>
          <w:spacing w:val="-2"/>
          <w:sz w:val="24"/>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仿宋" w:hAnsi="仿宋" w:eastAsia="仿宋"/>
          <w:spacing w:val="-2"/>
          <w:sz w:val="24"/>
        </w:rPr>
        <w:t>,共同加强廉洁自律建设，甲乙双方在平等、自愿、协商一致的原则下，签订本协议。</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1.甲乙双方应当共同遵守国家、地方法律法规以及本协议的约定，在合同的订立、履行过程中廉洁自律，绝不弄虚作假、以次充好，虚结虚算。</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2.乙方声明并承诺甲方人员或其</w:t>
      </w:r>
      <w:r>
        <w:rPr>
          <w:rFonts w:hint="eastAsia" w:ascii="仿宋" w:hAnsi="仿宋" w:eastAsia="仿宋"/>
          <w:spacing w:val="-2"/>
          <w:sz w:val="24"/>
        </w:rPr>
        <w:t>配偶、子女及其配偶等</w:t>
      </w:r>
      <w:r>
        <w:rPr>
          <w:rFonts w:ascii="仿宋" w:hAnsi="仿宋" w:eastAsia="仿宋"/>
          <w:spacing w:val="-2"/>
          <w:sz w:val="24"/>
        </w:rPr>
        <w:t>亲属</w:t>
      </w:r>
      <w:r>
        <w:rPr>
          <w:rFonts w:hint="eastAsia" w:ascii="仿宋" w:hAnsi="仿宋" w:eastAsia="仿宋"/>
          <w:spacing w:val="-2"/>
          <w:sz w:val="24"/>
        </w:rPr>
        <w:t>和其他特定关系人（甲方人员为领导干部的，其他特定关系人包含身边工作人员）</w:t>
      </w:r>
      <w:r>
        <w:rPr>
          <w:rFonts w:ascii="仿宋" w:hAnsi="仿宋" w:eastAsia="仿宋"/>
          <w:spacing w:val="-2"/>
          <w:sz w:val="24"/>
        </w:rPr>
        <w:t>没有直接或间接投资乙方或持有乙方股权，没有直接或间接投资乙方关联企业或持有乙方关联企业股权。</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3.乙方承诺乙方或乙方关联企业股东、实际出资人或持股人、高管、主要业务人员不得与甲方人员或其</w:t>
      </w:r>
      <w:r>
        <w:rPr>
          <w:rFonts w:hint="eastAsia" w:ascii="仿宋" w:hAnsi="仿宋" w:eastAsia="仿宋"/>
          <w:spacing w:val="-2"/>
          <w:sz w:val="24"/>
        </w:rPr>
        <w:t>配偶、子女及其配偶等</w:t>
      </w:r>
      <w:r>
        <w:rPr>
          <w:rFonts w:ascii="仿宋" w:hAnsi="仿宋" w:eastAsia="仿宋"/>
          <w:spacing w:val="-2"/>
          <w:sz w:val="24"/>
        </w:rPr>
        <w:t>亲属</w:t>
      </w:r>
      <w:r>
        <w:rPr>
          <w:rFonts w:hint="eastAsia" w:ascii="仿宋" w:hAnsi="仿宋" w:eastAsia="仿宋"/>
          <w:spacing w:val="-2"/>
          <w:sz w:val="24"/>
        </w:rPr>
        <w:t>和其他特定关系人</w:t>
      </w:r>
      <w:r>
        <w:rPr>
          <w:rFonts w:ascii="仿宋" w:hAnsi="仿宋" w:eastAsia="仿宋"/>
          <w:spacing w:val="-2"/>
          <w:sz w:val="24"/>
        </w:rPr>
        <w:t>共同成立公司，不得聘请甲方人员或其</w:t>
      </w:r>
      <w:r>
        <w:rPr>
          <w:rFonts w:hint="eastAsia" w:ascii="仿宋" w:hAnsi="仿宋" w:eastAsia="仿宋"/>
          <w:spacing w:val="-2"/>
          <w:sz w:val="24"/>
        </w:rPr>
        <w:t>配偶、子女及其配偶等</w:t>
      </w:r>
      <w:r>
        <w:rPr>
          <w:rFonts w:ascii="仿宋" w:hAnsi="仿宋" w:eastAsia="仿宋"/>
          <w:spacing w:val="-2"/>
          <w:sz w:val="24"/>
        </w:rPr>
        <w:t>亲属</w:t>
      </w:r>
      <w:r>
        <w:rPr>
          <w:rFonts w:hint="eastAsia" w:ascii="仿宋" w:hAnsi="仿宋" w:eastAsia="仿宋"/>
          <w:spacing w:val="-2"/>
          <w:sz w:val="24"/>
        </w:rPr>
        <w:t>和其他特定关系人</w:t>
      </w:r>
      <w:r>
        <w:rPr>
          <w:rFonts w:ascii="仿宋" w:hAnsi="仿宋" w:eastAsia="仿宋"/>
          <w:spacing w:val="-2"/>
          <w:sz w:val="24"/>
        </w:rPr>
        <w:t>在乙方或乙方关联企业股东或实际出资人或高管或主要业务人员成立的企业中担任高管或为其</w:t>
      </w:r>
      <w:r>
        <w:rPr>
          <w:rFonts w:hint="eastAsia" w:ascii="仿宋" w:hAnsi="仿宋" w:eastAsia="仿宋"/>
          <w:spacing w:val="-2"/>
          <w:sz w:val="24"/>
        </w:rPr>
        <w:t>违规</w:t>
      </w:r>
      <w:r>
        <w:rPr>
          <w:rFonts w:ascii="仿宋" w:hAnsi="仿宋" w:eastAsia="仿宋"/>
          <w:spacing w:val="-2"/>
          <w:sz w:val="24"/>
        </w:rPr>
        <w:t>发放薪酬。</w:t>
      </w:r>
      <w:r>
        <w:rPr>
          <w:rFonts w:hint="eastAsia" w:ascii="仿宋" w:hAnsi="仿宋" w:eastAsia="仿宋"/>
          <w:spacing w:val="-2"/>
          <w:sz w:val="24"/>
        </w:rPr>
        <w:t>违规发放薪酬包括不实际工作而获取薪酬或者虽实际工作但领取明显超出同职级标准薪酬。</w:t>
      </w:r>
      <w:r>
        <w:rPr>
          <w:rFonts w:ascii="仿宋" w:hAnsi="仿宋" w:eastAsia="仿宋"/>
          <w:spacing w:val="-2"/>
          <w:sz w:val="24"/>
        </w:rPr>
        <w:t>（</w:t>
      </w:r>
      <w:r>
        <w:rPr>
          <w:rFonts w:hint="eastAsia" w:ascii="仿宋" w:hAnsi="仿宋" w:eastAsia="仿宋"/>
          <w:spacing w:val="-2"/>
          <w:sz w:val="24"/>
        </w:rPr>
        <w:t>若乙方为甲方</w:t>
      </w:r>
      <w:r>
        <w:rPr>
          <w:rFonts w:ascii="仿宋" w:hAnsi="仿宋" w:eastAsia="仿宋"/>
          <w:spacing w:val="-2"/>
          <w:sz w:val="24"/>
        </w:rPr>
        <w:t>新</w:t>
      </w:r>
      <w:r>
        <w:rPr>
          <w:rFonts w:hint="eastAsia" w:ascii="仿宋" w:hAnsi="仿宋" w:eastAsia="仿宋"/>
          <w:spacing w:val="-2"/>
          <w:sz w:val="24"/>
        </w:rPr>
        <w:t>合作伙伴</w:t>
      </w:r>
      <w:r>
        <w:rPr>
          <w:rFonts w:ascii="仿宋" w:hAnsi="仿宋" w:eastAsia="仿宋"/>
          <w:spacing w:val="-2"/>
          <w:sz w:val="24"/>
        </w:rPr>
        <w:t>，如在本协议签订前乙方存在本条规定情形的，需在本协议签订后30日内，将相关情况报</w:t>
      </w:r>
      <w:r>
        <w:rPr>
          <w:rFonts w:hint="eastAsia" w:ascii="仿宋" w:hAnsi="仿宋" w:eastAsia="仿宋"/>
          <w:spacing w:val="-2"/>
          <w:sz w:val="24"/>
        </w:rPr>
        <w:t>甲方所属</w:t>
      </w:r>
      <w:r>
        <w:rPr>
          <w:rFonts w:ascii="仿宋" w:hAnsi="仿宋" w:eastAsia="仿宋"/>
          <w:spacing w:val="-2"/>
          <w:sz w:val="24"/>
        </w:rPr>
        <w:t>重汽集团</w:t>
      </w:r>
      <w:r>
        <w:rPr>
          <w:rFonts w:hint="eastAsia" w:ascii="仿宋" w:hAnsi="仿宋" w:eastAsia="仿宋"/>
          <w:spacing w:val="-2"/>
          <w:sz w:val="24"/>
        </w:rPr>
        <w:t>的</w:t>
      </w:r>
      <w:r>
        <w:rPr>
          <w:rFonts w:ascii="仿宋" w:hAnsi="仿宋" w:eastAsia="仿宋"/>
          <w:spacing w:val="-2"/>
          <w:sz w:val="24"/>
        </w:rPr>
        <w:t>纪</w:t>
      </w:r>
      <w:r>
        <w:rPr>
          <w:rFonts w:hint="eastAsia" w:ascii="仿宋" w:hAnsi="仿宋" w:eastAsia="仿宋"/>
          <w:spacing w:val="-2"/>
          <w:sz w:val="24"/>
        </w:rPr>
        <w:t>检</w:t>
      </w:r>
      <w:r>
        <w:rPr>
          <w:rFonts w:ascii="仿宋" w:hAnsi="仿宋" w:eastAsia="仿宋"/>
          <w:spacing w:val="-2"/>
          <w:sz w:val="24"/>
        </w:rPr>
        <w:t>监察部</w:t>
      </w:r>
      <w:r>
        <w:rPr>
          <w:rFonts w:hint="eastAsia" w:ascii="仿宋" w:hAnsi="仿宋" w:eastAsia="仿宋"/>
          <w:spacing w:val="-2"/>
          <w:sz w:val="24"/>
        </w:rPr>
        <w:t>门</w:t>
      </w:r>
      <w:r>
        <w:rPr>
          <w:rFonts w:ascii="仿宋" w:hAnsi="仿宋" w:eastAsia="仿宋"/>
          <w:spacing w:val="-2"/>
          <w:sz w:val="24"/>
        </w:rPr>
        <w:t>备案）。</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4.乙方承诺依法开展经营活动，不得有任何形式的商业贿赂行为。乙方一经发现其员工或其</w:t>
      </w:r>
      <w:r>
        <w:rPr>
          <w:rFonts w:hint="eastAsia" w:ascii="仿宋" w:hAnsi="仿宋" w:eastAsia="仿宋"/>
          <w:spacing w:val="-2"/>
          <w:sz w:val="24"/>
        </w:rPr>
        <w:t>配偶、子女及其配偶等亲属和其他特定关系人</w:t>
      </w:r>
      <w:r>
        <w:rPr>
          <w:rFonts w:ascii="仿宋" w:hAnsi="仿宋" w:eastAsia="仿宋"/>
          <w:spacing w:val="-2"/>
          <w:sz w:val="24"/>
        </w:rPr>
        <w:t>存在任何商业贿赂行为，应立即通知甲方并自行进行查处和整改。若甲方认为上述行为严重影响到甲方的利益，则甲方有权单方解除双方</w:t>
      </w:r>
      <w:r>
        <w:rPr>
          <w:rFonts w:hint="eastAsia" w:ascii="仿宋" w:hAnsi="仿宋" w:eastAsia="仿宋"/>
          <w:spacing w:val="-2"/>
          <w:sz w:val="24"/>
        </w:rPr>
        <w:t>已</w:t>
      </w:r>
      <w:r>
        <w:rPr>
          <w:rFonts w:ascii="仿宋" w:hAnsi="仿宋" w:eastAsia="仿宋"/>
          <w:spacing w:val="-2"/>
          <w:sz w:val="24"/>
        </w:rPr>
        <w:t>签订的</w:t>
      </w:r>
      <w:r>
        <w:rPr>
          <w:rFonts w:hint="eastAsia" w:ascii="仿宋" w:hAnsi="仿宋" w:eastAsia="仿宋"/>
          <w:spacing w:val="-2"/>
          <w:sz w:val="24"/>
        </w:rPr>
        <w:t>所有合同</w:t>
      </w:r>
      <w:r>
        <w:rPr>
          <w:rFonts w:ascii="仿宋" w:hAnsi="仿宋" w:eastAsia="仿宋"/>
          <w:spacing w:val="-2"/>
          <w:sz w:val="24"/>
        </w:rPr>
        <w:t>协议，并要求乙方赔偿。</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5.乙方承诺不以任何理由为甲方人员及其</w:t>
      </w:r>
      <w:r>
        <w:rPr>
          <w:rFonts w:hint="eastAsia" w:ascii="仿宋" w:hAnsi="仿宋" w:eastAsia="仿宋"/>
          <w:spacing w:val="-2"/>
          <w:sz w:val="24"/>
        </w:rPr>
        <w:t>配偶、子女及其配偶等亲属和其他特定关系人提供如下：</w:t>
      </w:r>
    </w:p>
    <w:p>
      <w:pPr>
        <w:pStyle w:val="67"/>
        <w:tabs>
          <w:tab w:val="left" w:pos="1244"/>
        </w:tabs>
        <w:adjustRightInd w:val="0"/>
        <w:spacing w:line="384" w:lineRule="auto"/>
        <w:ind w:firstLine="472"/>
        <w:rPr>
          <w:rFonts w:ascii="仿宋" w:hAnsi="仿宋" w:eastAsia="仿宋"/>
          <w:spacing w:val="-2"/>
          <w:sz w:val="24"/>
        </w:rPr>
      </w:pPr>
      <w:r>
        <w:rPr>
          <w:rFonts w:hint="eastAsia" w:ascii="仿宋" w:hAnsi="仿宋" w:eastAsia="仿宋"/>
          <w:spacing w:val="-2"/>
          <w:sz w:val="24"/>
        </w:rPr>
        <w:t>a)</w:t>
      </w:r>
      <w:r>
        <w:rPr>
          <w:rFonts w:ascii="仿宋" w:hAnsi="仿宋" w:eastAsia="仿宋"/>
          <w:spacing w:val="-2"/>
          <w:sz w:val="24"/>
        </w:rPr>
        <w:t>赠送</w:t>
      </w:r>
      <w:r>
        <w:rPr>
          <w:rFonts w:hint="eastAsia" w:ascii="仿宋" w:hAnsi="仿宋" w:eastAsia="仿宋"/>
          <w:spacing w:val="-2"/>
          <w:sz w:val="24"/>
        </w:rPr>
        <w:t>礼品、</w:t>
      </w:r>
      <w:r>
        <w:rPr>
          <w:rFonts w:ascii="仿宋" w:hAnsi="仿宋" w:eastAsia="仿宋"/>
          <w:spacing w:val="-2"/>
          <w:sz w:val="24"/>
        </w:rPr>
        <w:t>礼金、</w:t>
      </w:r>
      <w:r>
        <w:rPr>
          <w:rFonts w:hint="eastAsia" w:ascii="仿宋" w:hAnsi="仿宋" w:eastAsia="仿宋"/>
          <w:spacing w:val="-2"/>
          <w:sz w:val="24"/>
        </w:rPr>
        <w:t>消费卡（券）、</w:t>
      </w:r>
      <w:r>
        <w:rPr>
          <w:rFonts w:ascii="仿宋" w:hAnsi="仿宋" w:eastAsia="仿宋"/>
          <w:spacing w:val="-2"/>
          <w:sz w:val="24"/>
        </w:rPr>
        <w:t>购物卡、充值卡、信用卡</w:t>
      </w:r>
      <w:r>
        <w:rPr>
          <w:rFonts w:hint="eastAsia" w:ascii="仿宋" w:hAnsi="仿宋" w:eastAsia="仿宋"/>
          <w:spacing w:val="-2"/>
          <w:sz w:val="24"/>
        </w:rPr>
        <w:t>和</w:t>
      </w:r>
      <w:r>
        <w:rPr>
          <w:rFonts w:ascii="仿宋" w:hAnsi="仿宋" w:eastAsia="仿宋"/>
          <w:spacing w:val="-2"/>
          <w:sz w:val="24"/>
        </w:rPr>
        <w:t>有价证券</w:t>
      </w:r>
      <w:r>
        <w:rPr>
          <w:rFonts w:hint="eastAsia" w:ascii="仿宋" w:hAnsi="仿宋" w:eastAsia="仿宋"/>
          <w:spacing w:val="-2"/>
          <w:sz w:val="24"/>
        </w:rPr>
        <w:t>、股权、其他金融产品等财物</w:t>
      </w:r>
      <w:r>
        <w:rPr>
          <w:rFonts w:ascii="仿宋" w:hAnsi="仿宋" w:eastAsia="仿宋"/>
          <w:spacing w:val="-2"/>
          <w:sz w:val="24"/>
        </w:rPr>
        <w:t>和其他贵重物品；</w:t>
      </w:r>
    </w:p>
    <w:p>
      <w:pPr>
        <w:pStyle w:val="67"/>
        <w:tabs>
          <w:tab w:val="left" w:pos="1244"/>
        </w:tabs>
        <w:adjustRightInd w:val="0"/>
        <w:spacing w:line="384" w:lineRule="auto"/>
        <w:ind w:firstLine="472"/>
        <w:rPr>
          <w:rFonts w:ascii="仿宋" w:hAnsi="仿宋" w:eastAsia="仿宋"/>
          <w:spacing w:val="-2"/>
          <w:sz w:val="24"/>
        </w:rPr>
      </w:pPr>
      <w:r>
        <w:rPr>
          <w:rFonts w:hint="eastAsia" w:ascii="仿宋" w:hAnsi="仿宋" w:eastAsia="仿宋"/>
          <w:spacing w:val="-2"/>
          <w:sz w:val="24"/>
        </w:rPr>
        <w:t>b)</w:t>
      </w:r>
      <w:r>
        <w:rPr>
          <w:rFonts w:ascii="仿宋" w:hAnsi="仿宋" w:eastAsia="仿宋"/>
          <w:spacing w:val="-2"/>
          <w:sz w:val="24"/>
        </w:rPr>
        <w:t>报销个人费用</w:t>
      </w:r>
      <w:r>
        <w:rPr>
          <w:rFonts w:hint="eastAsia" w:ascii="仿宋" w:hAnsi="仿宋" w:eastAsia="仿宋"/>
          <w:spacing w:val="-2"/>
          <w:sz w:val="24"/>
        </w:rPr>
        <w:t>或以讲课费、课题费、咨询费等名义支付费用</w:t>
      </w:r>
      <w:r>
        <w:rPr>
          <w:rFonts w:ascii="仿宋" w:hAnsi="仿宋" w:eastAsia="仿宋"/>
          <w:spacing w:val="-2"/>
          <w:sz w:val="24"/>
        </w:rPr>
        <w:t>；</w:t>
      </w:r>
    </w:p>
    <w:p>
      <w:pPr>
        <w:pStyle w:val="67"/>
        <w:tabs>
          <w:tab w:val="left" w:pos="1244"/>
        </w:tabs>
        <w:adjustRightInd w:val="0"/>
        <w:spacing w:line="384" w:lineRule="auto"/>
        <w:ind w:firstLine="472"/>
        <w:rPr>
          <w:rFonts w:ascii="仿宋" w:hAnsi="仿宋" w:eastAsia="仿宋"/>
          <w:spacing w:val="-2"/>
          <w:sz w:val="24"/>
        </w:rPr>
      </w:pPr>
      <w:r>
        <w:rPr>
          <w:rFonts w:hint="eastAsia" w:ascii="仿宋" w:hAnsi="仿宋" w:eastAsia="仿宋"/>
          <w:spacing w:val="-2"/>
          <w:sz w:val="24"/>
        </w:rPr>
        <w:t>c)</w:t>
      </w:r>
      <w:r>
        <w:rPr>
          <w:rFonts w:ascii="仿宋" w:hAnsi="仿宋" w:eastAsia="仿宋"/>
          <w:spacing w:val="-2"/>
          <w:sz w:val="24"/>
        </w:rPr>
        <w:t>以洽谈业务、签订合同等为借口宴请或邀请外出旅游</w:t>
      </w:r>
      <w:r>
        <w:rPr>
          <w:rFonts w:hint="eastAsia" w:ascii="仿宋" w:hAnsi="仿宋" w:eastAsia="仿宋"/>
          <w:spacing w:val="-2"/>
          <w:sz w:val="24"/>
        </w:rPr>
        <w:t>、健身、娱乐</w:t>
      </w:r>
      <w:r>
        <w:rPr>
          <w:rFonts w:ascii="仿宋" w:hAnsi="仿宋" w:eastAsia="仿宋"/>
          <w:spacing w:val="-2"/>
          <w:sz w:val="24"/>
        </w:rPr>
        <w:t>和进入营业性娱乐场所；</w:t>
      </w:r>
    </w:p>
    <w:p>
      <w:pPr>
        <w:pStyle w:val="67"/>
        <w:tabs>
          <w:tab w:val="left" w:pos="1244"/>
        </w:tabs>
        <w:adjustRightInd w:val="0"/>
        <w:spacing w:line="384" w:lineRule="auto"/>
        <w:ind w:firstLine="472"/>
        <w:rPr>
          <w:rFonts w:ascii="仿宋" w:hAnsi="仿宋" w:eastAsia="仿宋"/>
          <w:spacing w:val="-2"/>
          <w:sz w:val="24"/>
        </w:rPr>
      </w:pPr>
      <w:r>
        <w:rPr>
          <w:rFonts w:hint="eastAsia" w:ascii="仿宋" w:hAnsi="仿宋" w:eastAsia="仿宋"/>
          <w:spacing w:val="-2"/>
          <w:sz w:val="24"/>
        </w:rPr>
        <w:t>d)</w:t>
      </w:r>
      <w:r>
        <w:rPr>
          <w:rFonts w:ascii="仿宋" w:hAnsi="仿宋" w:eastAsia="仿宋"/>
          <w:spacing w:val="-2"/>
          <w:sz w:val="24"/>
        </w:rPr>
        <w:t>购置或提供通讯、交通工具</w:t>
      </w:r>
      <w:r>
        <w:rPr>
          <w:rFonts w:hint="eastAsia" w:ascii="仿宋" w:hAnsi="仿宋" w:eastAsia="仿宋"/>
          <w:spacing w:val="-2"/>
          <w:sz w:val="24"/>
        </w:rPr>
        <w:t>、钱款、住房、车辆等或提供通过民间借贷等金融助其获得大额回报</w:t>
      </w:r>
      <w:r>
        <w:rPr>
          <w:rFonts w:ascii="仿宋" w:hAnsi="仿宋" w:eastAsia="仿宋"/>
          <w:spacing w:val="-2"/>
          <w:sz w:val="24"/>
        </w:rPr>
        <w:t>；</w:t>
      </w:r>
    </w:p>
    <w:p>
      <w:pPr>
        <w:pStyle w:val="67"/>
        <w:tabs>
          <w:tab w:val="left" w:pos="1244"/>
        </w:tabs>
        <w:adjustRightInd w:val="0"/>
        <w:spacing w:line="384" w:lineRule="auto"/>
        <w:ind w:firstLine="472"/>
        <w:rPr>
          <w:rFonts w:ascii="仿宋" w:hAnsi="仿宋" w:eastAsia="仿宋"/>
          <w:spacing w:val="-2"/>
          <w:sz w:val="24"/>
        </w:rPr>
      </w:pPr>
      <w:r>
        <w:rPr>
          <w:rFonts w:hint="eastAsia" w:ascii="仿宋" w:hAnsi="仿宋" w:eastAsia="仿宋"/>
          <w:spacing w:val="-2"/>
          <w:sz w:val="24"/>
        </w:rPr>
        <w:t>e)</w:t>
      </w:r>
      <w:r>
        <w:rPr>
          <w:rFonts w:ascii="仿宋" w:hAnsi="仿宋" w:eastAsia="仿宋"/>
          <w:spacing w:val="-2"/>
          <w:sz w:val="24"/>
        </w:rPr>
        <w:t>住房装修、婚丧嫁娶、家属和子女的工作安排以及出国等提供任何金钱或非金钱方式的资助或帮助</w:t>
      </w:r>
      <w:r>
        <w:rPr>
          <w:rFonts w:hint="eastAsia" w:ascii="仿宋" w:hAnsi="仿宋" w:eastAsia="仿宋"/>
          <w:spacing w:val="-2"/>
          <w:sz w:val="24"/>
        </w:rPr>
        <w:t>；</w:t>
      </w:r>
    </w:p>
    <w:p>
      <w:pPr>
        <w:pStyle w:val="67"/>
        <w:tabs>
          <w:tab w:val="left" w:pos="1244"/>
        </w:tabs>
        <w:adjustRightInd w:val="0"/>
        <w:spacing w:line="384" w:lineRule="auto"/>
        <w:ind w:firstLine="472"/>
        <w:rPr>
          <w:rFonts w:ascii="仿宋" w:hAnsi="仿宋" w:eastAsia="仿宋"/>
          <w:spacing w:val="-2"/>
          <w:sz w:val="24"/>
        </w:rPr>
      </w:pPr>
      <w:r>
        <w:rPr>
          <w:rFonts w:hint="eastAsia" w:ascii="仿宋" w:hAnsi="仿宋" w:eastAsia="仿宋"/>
          <w:spacing w:val="-2"/>
          <w:sz w:val="24"/>
        </w:rPr>
        <w:t>f)吸收存款、推销金融产品、经营名贵特产类资源等提供帮助谋取利益；</w:t>
      </w:r>
    </w:p>
    <w:p>
      <w:pPr>
        <w:pStyle w:val="67"/>
        <w:tabs>
          <w:tab w:val="left" w:pos="1244"/>
        </w:tabs>
        <w:adjustRightInd w:val="0"/>
        <w:spacing w:line="384" w:lineRule="auto"/>
        <w:ind w:firstLine="472"/>
        <w:rPr>
          <w:rFonts w:ascii="仿宋" w:hAnsi="仿宋" w:eastAsia="仿宋"/>
          <w:spacing w:val="-2"/>
          <w:sz w:val="24"/>
        </w:rPr>
      </w:pPr>
      <w:r>
        <w:rPr>
          <w:rFonts w:hint="eastAsia" w:ascii="仿宋" w:hAnsi="仿宋" w:eastAsia="仿宋"/>
          <w:spacing w:val="-2"/>
          <w:sz w:val="24"/>
        </w:rPr>
        <w:t>g)其他可能影响甲方人员公平、公正的履行职权或者履行职责的情形</w:t>
      </w:r>
      <w:r>
        <w:rPr>
          <w:rFonts w:ascii="仿宋" w:hAnsi="仿宋" w:eastAsia="仿宋"/>
          <w:spacing w:val="-2"/>
          <w:sz w:val="24"/>
        </w:rPr>
        <w:t>。</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6.乙方应当通过正常途径开展相关业务，决不为谋取不正当利益诱使甲方人员就</w:t>
      </w:r>
      <w:r>
        <w:rPr>
          <w:rFonts w:hint="eastAsia" w:ascii="仿宋" w:hAnsi="仿宋" w:eastAsia="仿宋"/>
          <w:spacing w:val="-2"/>
          <w:sz w:val="24"/>
        </w:rPr>
        <w:t>采购、服务或销售、经销的物项种类</w:t>
      </w:r>
      <w:r>
        <w:rPr>
          <w:rFonts w:ascii="仿宋" w:hAnsi="仿宋" w:eastAsia="仿宋"/>
          <w:spacing w:val="-2"/>
          <w:sz w:val="24"/>
        </w:rPr>
        <w:t>、</w:t>
      </w:r>
      <w:r>
        <w:rPr>
          <w:rFonts w:hint="eastAsia" w:ascii="仿宋" w:hAnsi="仿宋" w:eastAsia="仿宋"/>
          <w:spacing w:val="-2"/>
          <w:sz w:val="24"/>
        </w:rPr>
        <w:t>物项</w:t>
      </w:r>
      <w:r>
        <w:rPr>
          <w:rFonts w:ascii="仿宋" w:hAnsi="仿宋" w:eastAsia="仿宋"/>
          <w:spacing w:val="-2"/>
          <w:sz w:val="24"/>
        </w:rPr>
        <w:t>数量、价格</w:t>
      </w:r>
      <w:r>
        <w:rPr>
          <w:rFonts w:hint="eastAsia" w:ascii="仿宋" w:hAnsi="仿宋" w:eastAsia="仿宋"/>
          <w:spacing w:val="-2"/>
          <w:sz w:val="24"/>
        </w:rPr>
        <w:t>条件</w:t>
      </w:r>
      <w:r>
        <w:rPr>
          <w:rFonts w:ascii="仿宋" w:hAnsi="仿宋" w:eastAsia="仿宋"/>
          <w:spacing w:val="-2"/>
          <w:sz w:val="24"/>
        </w:rPr>
        <w:t>、</w:t>
      </w:r>
      <w:r>
        <w:rPr>
          <w:rFonts w:hint="eastAsia" w:ascii="仿宋" w:hAnsi="仿宋" w:eastAsia="仿宋"/>
          <w:spacing w:val="-2"/>
          <w:sz w:val="24"/>
        </w:rPr>
        <w:t>付款条件、</w:t>
      </w:r>
      <w:r>
        <w:rPr>
          <w:rFonts w:ascii="仿宋" w:hAnsi="仿宋" w:eastAsia="仿宋"/>
          <w:spacing w:val="-2"/>
          <w:sz w:val="24"/>
        </w:rPr>
        <w:t>质量问题处理等方面私下商谈或达成默契</w:t>
      </w:r>
      <w:r>
        <w:rPr>
          <w:rFonts w:hint="eastAsia" w:ascii="仿宋" w:hAnsi="仿宋" w:eastAsia="仿宋"/>
          <w:spacing w:val="-2"/>
          <w:sz w:val="24"/>
        </w:rPr>
        <w:t>；</w:t>
      </w:r>
      <w:r>
        <w:rPr>
          <w:rFonts w:ascii="仿宋" w:hAnsi="仿宋" w:eastAsia="仿宋"/>
          <w:spacing w:val="-2"/>
          <w:sz w:val="24"/>
        </w:rPr>
        <w:t>决不以任何方式诱使甲方人员接受或共同编造虚假议价及质量资料、影响交易价格或交易之达成、违背职务、将合同权利义务转让给第三方及其它损害甲方利益的行为。</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7.若乙方发现甲方人员或其</w:t>
      </w:r>
      <w:r>
        <w:rPr>
          <w:rFonts w:hint="eastAsia" w:ascii="仿宋" w:hAnsi="仿宋" w:eastAsia="仿宋"/>
          <w:spacing w:val="-2"/>
          <w:sz w:val="24"/>
        </w:rPr>
        <w:t>配偶、子女及其配偶等亲属和其他特定关系人</w:t>
      </w:r>
      <w:r>
        <w:rPr>
          <w:rFonts w:ascii="仿宋" w:hAnsi="仿宋" w:eastAsia="仿宋"/>
          <w:spacing w:val="-2"/>
          <w:sz w:val="24"/>
        </w:rPr>
        <w:t>有任何形式的索贿受贿行为，乙方有责任向甲方</w:t>
      </w:r>
      <w:r>
        <w:rPr>
          <w:rFonts w:hint="eastAsia" w:ascii="仿宋" w:hAnsi="仿宋" w:eastAsia="仿宋"/>
          <w:spacing w:val="-2"/>
          <w:sz w:val="24"/>
        </w:rPr>
        <w:t>所属</w:t>
      </w:r>
      <w:r>
        <w:rPr>
          <w:rFonts w:ascii="仿宋" w:hAnsi="仿宋" w:eastAsia="仿宋"/>
          <w:spacing w:val="-2"/>
          <w:sz w:val="24"/>
        </w:rPr>
        <w:t>重汽集团</w:t>
      </w:r>
      <w:r>
        <w:rPr>
          <w:rFonts w:hint="eastAsia" w:ascii="仿宋" w:hAnsi="仿宋" w:eastAsia="仿宋"/>
          <w:spacing w:val="-2"/>
          <w:sz w:val="24"/>
        </w:rPr>
        <w:t>的</w:t>
      </w:r>
      <w:r>
        <w:rPr>
          <w:rFonts w:ascii="仿宋" w:hAnsi="仿宋" w:eastAsia="仿宋"/>
          <w:spacing w:val="-2"/>
          <w:sz w:val="24"/>
        </w:rPr>
        <w:t>纪</w:t>
      </w:r>
      <w:r>
        <w:rPr>
          <w:rFonts w:hint="eastAsia" w:ascii="仿宋" w:hAnsi="仿宋" w:eastAsia="仿宋"/>
          <w:spacing w:val="-2"/>
          <w:sz w:val="24"/>
        </w:rPr>
        <w:t>检</w:t>
      </w:r>
      <w:r>
        <w:rPr>
          <w:rFonts w:ascii="仿宋" w:hAnsi="仿宋" w:eastAsia="仿宋"/>
          <w:spacing w:val="-2"/>
          <w:sz w:val="24"/>
        </w:rPr>
        <w:t>监察部门举报（举报电话：0531-58062233，举报邮箱：zgzqjw@sinotruk.com）。甲方不得</w:t>
      </w:r>
      <w:r>
        <w:rPr>
          <w:rFonts w:hint="eastAsia" w:ascii="仿宋" w:hAnsi="仿宋" w:eastAsia="仿宋"/>
          <w:spacing w:val="-2"/>
          <w:sz w:val="24"/>
        </w:rPr>
        <w:t>以</w:t>
      </w:r>
      <w:r>
        <w:rPr>
          <w:rFonts w:ascii="仿宋" w:hAnsi="仿宋" w:eastAsia="仿宋"/>
          <w:spacing w:val="-2"/>
          <w:sz w:val="24"/>
        </w:rPr>
        <w:t>任何借口对乙方进行报复。对举报属实和严格遵守廉洁协议的乙方，在同等条件下甲方优先考虑与乙方继续合作并给予更优惠的商务合作条件。</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8.若乙方知悉其它与甲方合作的供应商</w:t>
      </w:r>
      <w:r>
        <w:rPr>
          <w:rFonts w:hint="eastAsia" w:ascii="仿宋" w:hAnsi="仿宋" w:eastAsia="仿宋"/>
          <w:spacing w:val="-2"/>
          <w:sz w:val="24"/>
        </w:rPr>
        <w:t>、服务商或采购商、经销商等合作伙伴</w:t>
      </w:r>
      <w:r>
        <w:rPr>
          <w:rFonts w:ascii="仿宋" w:hAnsi="仿宋" w:eastAsia="仿宋"/>
          <w:spacing w:val="-2"/>
          <w:sz w:val="24"/>
        </w:rPr>
        <w:t>存在违反本协议规定之行为，乙方应向甲方</w:t>
      </w:r>
      <w:r>
        <w:rPr>
          <w:rFonts w:hint="eastAsia" w:ascii="仿宋" w:hAnsi="仿宋" w:eastAsia="仿宋"/>
          <w:spacing w:val="-2"/>
          <w:sz w:val="24"/>
        </w:rPr>
        <w:t>或</w:t>
      </w:r>
      <w:r>
        <w:rPr>
          <w:rFonts w:ascii="仿宋" w:hAnsi="仿宋" w:eastAsia="仿宋"/>
          <w:spacing w:val="-2"/>
          <w:sz w:val="24"/>
        </w:rPr>
        <w:t>甲方</w:t>
      </w:r>
      <w:r>
        <w:rPr>
          <w:rFonts w:hint="eastAsia" w:ascii="仿宋" w:hAnsi="仿宋" w:eastAsia="仿宋"/>
          <w:spacing w:val="-2"/>
          <w:sz w:val="24"/>
        </w:rPr>
        <w:t>所属</w:t>
      </w:r>
      <w:r>
        <w:rPr>
          <w:rFonts w:ascii="仿宋" w:hAnsi="仿宋" w:eastAsia="仿宋"/>
          <w:spacing w:val="-2"/>
          <w:sz w:val="24"/>
        </w:rPr>
        <w:t>重汽集团</w:t>
      </w:r>
      <w:r>
        <w:rPr>
          <w:rFonts w:hint="eastAsia" w:ascii="仿宋" w:hAnsi="仿宋" w:eastAsia="仿宋"/>
          <w:spacing w:val="-2"/>
          <w:sz w:val="24"/>
        </w:rPr>
        <w:t>的</w:t>
      </w:r>
      <w:r>
        <w:rPr>
          <w:rFonts w:ascii="仿宋" w:hAnsi="仿宋" w:eastAsia="仿宋"/>
          <w:spacing w:val="-2"/>
          <w:sz w:val="24"/>
        </w:rPr>
        <w:t>纪</w:t>
      </w:r>
      <w:r>
        <w:rPr>
          <w:rFonts w:hint="eastAsia" w:ascii="仿宋" w:hAnsi="仿宋" w:eastAsia="仿宋"/>
          <w:spacing w:val="-2"/>
          <w:sz w:val="24"/>
        </w:rPr>
        <w:t>检</w:t>
      </w:r>
      <w:r>
        <w:rPr>
          <w:rFonts w:ascii="仿宋" w:hAnsi="仿宋" w:eastAsia="仿宋"/>
          <w:spacing w:val="-2"/>
          <w:sz w:val="24"/>
        </w:rPr>
        <w:t>监察部门检举并提供证据。</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9.乙方承诺在双方业务往来期间，不得对甲方人员采取任何手段使其离开甲方到乙方或乙方关联企业任职，若出现上述情况，则属于乙方违约，应承担给甲方造成的一切损失。</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10.乙方承诺不聘任甲方内退领导干部或其他人员在乙方或乙方关联企业工作；乙方承诺不聘任甲方离职或退休三年内的领导干部或其他人员在乙方或乙方关联企业工作。</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仿宋" w:hAnsi="仿宋" w:eastAsia="仿宋"/>
          <w:spacing w:val="-2"/>
          <w:sz w:val="24"/>
        </w:rPr>
        <w:t>等</w:t>
      </w:r>
      <w:r>
        <w:rPr>
          <w:rFonts w:ascii="仿宋" w:hAnsi="仿宋" w:eastAsia="仿宋"/>
          <w:spacing w:val="-2"/>
          <w:sz w:val="24"/>
        </w:rPr>
        <w:t>能够对其实际支配的企业或单位。</w:t>
      </w:r>
    </w:p>
    <w:p>
      <w:pPr>
        <w:pStyle w:val="67"/>
        <w:tabs>
          <w:tab w:val="left" w:pos="1244"/>
        </w:tabs>
        <w:adjustRightInd w:val="0"/>
        <w:spacing w:line="384" w:lineRule="auto"/>
        <w:ind w:firstLine="472"/>
        <w:rPr>
          <w:rFonts w:ascii="仿宋" w:hAnsi="仿宋" w:eastAsia="仿宋"/>
          <w:spacing w:val="-2"/>
          <w:sz w:val="24"/>
        </w:rPr>
      </w:pPr>
      <w:r>
        <w:rPr>
          <w:rFonts w:hint="eastAsia" w:ascii="仿宋" w:hAnsi="仿宋" w:eastAsia="仿宋"/>
          <w:spacing w:val="-2"/>
          <w:sz w:val="24"/>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w:t>
      </w:r>
      <w:r>
        <w:rPr>
          <w:rFonts w:hint="eastAsia" w:ascii="仿宋" w:hAnsi="仿宋" w:eastAsia="仿宋" w:cs="楷体"/>
          <w:spacing w:val="-2"/>
          <w:sz w:val="24"/>
        </w:rPr>
        <w:t>、一方擅自增加、删改、篡改</w:t>
      </w:r>
      <w:r>
        <w:rPr>
          <w:rFonts w:ascii="仿宋" w:hAnsi="仿宋" w:eastAsia="仿宋"/>
          <w:spacing w:val="-2"/>
          <w:sz w:val="24"/>
        </w:rPr>
        <w:t>部分无效（个人手写签名除外）。</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w:t>
      </w:r>
      <w:r>
        <w:rPr>
          <w:rFonts w:hint="eastAsia" w:ascii="仿宋" w:hAnsi="仿宋" w:eastAsia="仿宋" w:cs="楷体"/>
          <w:spacing w:val="-2"/>
          <w:sz w:val="24"/>
        </w:rPr>
        <w:t>各方</w:t>
      </w:r>
      <w:r>
        <w:rPr>
          <w:rFonts w:ascii="仿宋" w:hAnsi="仿宋" w:eastAsia="仿宋"/>
          <w:spacing w:val="-2"/>
          <w:sz w:val="24"/>
        </w:rPr>
        <w:t>已签署完毕。</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14.本协议作为执行</w:t>
      </w:r>
      <w:r>
        <w:rPr>
          <w:rFonts w:hint="eastAsia" w:ascii="仿宋" w:hAnsi="仿宋" w:eastAsia="仿宋"/>
          <w:spacing w:val="-2"/>
          <w:sz w:val="24"/>
        </w:rPr>
        <w:t>甲乙双方</w:t>
      </w:r>
      <w:r>
        <w:rPr>
          <w:rFonts w:ascii="仿宋" w:hAnsi="仿宋" w:eastAsia="仿宋"/>
          <w:spacing w:val="-2"/>
          <w:sz w:val="24"/>
        </w:rPr>
        <w:t>采购协议</w:t>
      </w:r>
      <w:r>
        <w:rPr>
          <w:rFonts w:hint="eastAsia" w:ascii="仿宋" w:hAnsi="仿宋" w:eastAsia="仿宋"/>
          <w:spacing w:val="-2"/>
          <w:sz w:val="24"/>
        </w:rPr>
        <w:t>或其他合作合同、协议</w:t>
      </w:r>
      <w:r>
        <w:rPr>
          <w:rFonts w:ascii="仿宋" w:hAnsi="仿宋" w:eastAsia="仿宋"/>
          <w:spacing w:val="-2"/>
          <w:sz w:val="24"/>
        </w:rPr>
        <w:t>的附件，自双方签署之日起生效，此协议在</w:t>
      </w:r>
      <w:r>
        <w:rPr>
          <w:rFonts w:hint="eastAsia" w:ascii="仿宋" w:hAnsi="仿宋" w:eastAsia="仿宋"/>
          <w:spacing w:val="-2"/>
          <w:sz w:val="24"/>
        </w:rPr>
        <w:t>甲乙</w:t>
      </w:r>
      <w:r>
        <w:rPr>
          <w:rFonts w:ascii="仿宋" w:hAnsi="仿宋" w:eastAsia="仿宋"/>
          <w:spacing w:val="-2"/>
          <w:sz w:val="24"/>
        </w:rPr>
        <w:t>双方</w:t>
      </w:r>
      <w:r>
        <w:rPr>
          <w:rFonts w:hint="eastAsia" w:ascii="仿宋" w:hAnsi="仿宋" w:eastAsia="仿宋"/>
          <w:spacing w:val="-2"/>
          <w:sz w:val="24"/>
        </w:rPr>
        <w:t>业务</w:t>
      </w:r>
      <w:r>
        <w:rPr>
          <w:rFonts w:ascii="仿宋" w:hAnsi="仿宋" w:eastAsia="仿宋"/>
          <w:spacing w:val="-2"/>
          <w:sz w:val="24"/>
        </w:rPr>
        <w:t>合作期间有效</w:t>
      </w:r>
      <w:r>
        <w:rPr>
          <w:rFonts w:hint="eastAsia" w:ascii="仿宋" w:hAnsi="仿宋" w:eastAsia="仿宋"/>
          <w:spacing w:val="-2"/>
          <w:sz w:val="24"/>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67"/>
        <w:tabs>
          <w:tab w:val="left" w:pos="1244"/>
        </w:tabs>
        <w:adjustRightInd w:val="0"/>
        <w:spacing w:line="384" w:lineRule="auto"/>
        <w:ind w:firstLine="472"/>
        <w:rPr>
          <w:rFonts w:ascii="仿宋" w:hAnsi="仿宋" w:eastAsia="仿宋"/>
          <w:spacing w:val="-2"/>
          <w:sz w:val="24"/>
        </w:rPr>
      </w:pPr>
      <w:r>
        <w:rPr>
          <w:rFonts w:ascii="仿宋" w:hAnsi="仿宋" w:eastAsia="仿宋"/>
          <w:spacing w:val="-2"/>
          <w:sz w:val="24"/>
        </w:rPr>
        <w:t>1</w:t>
      </w:r>
      <w:r>
        <w:rPr>
          <w:rFonts w:hint="eastAsia" w:ascii="仿宋" w:hAnsi="仿宋" w:eastAsia="仿宋"/>
          <w:spacing w:val="-2"/>
          <w:sz w:val="24"/>
        </w:rPr>
        <w:t>5</w:t>
      </w:r>
      <w:r>
        <w:rPr>
          <w:rFonts w:ascii="仿宋" w:hAnsi="仿宋" w:eastAsia="仿宋"/>
          <w:spacing w:val="-2"/>
          <w:sz w:val="24"/>
        </w:rPr>
        <w:t>.本协议一式二份，双方各执一份，具有同等法律效力。若产生争议，双方协商解决，协商不成的在甲方所在地有管辖权的法院诉讼解决。</w:t>
      </w:r>
    </w:p>
    <w:p>
      <w:pPr>
        <w:pStyle w:val="67"/>
        <w:tabs>
          <w:tab w:val="left" w:pos="1244"/>
        </w:tabs>
        <w:adjustRightInd w:val="0"/>
        <w:spacing w:line="305" w:lineRule="auto"/>
        <w:ind w:firstLine="480"/>
        <w:rPr>
          <w:rFonts w:ascii="仿宋_GB2312" w:hAnsi="楷体"/>
          <w:sz w:val="24"/>
        </w:rPr>
      </w:pPr>
    </w:p>
    <w:p>
      <w:pPr>
        <w:tabs>
          <w:tab w:val="left" w:pos="5457"/>
        </w:tabs>
        <w:spacing w:before="1"/>
        <w:ind w:left="117"/>
        <w:rPr>
          <w:rFonts w:ascii="仿宋_GB2312" w:hAnsi="楷体" w:eastAsia="仿宋_GB2312" w:cs="楷体"/>
          <w:b/>
          <w:sz w:val="24"/>
        </w:rPr>
      </w:pPr>
      <w:r>
        <w:rPr>
          <w:rFonts w:hint="eastAsia" w:ascii="仿宋_GB2312" w:hAnsi="楷体" w:eastAsia="仿宋_GB2312" w:cs="楷体"/>
          <w:b/>
          <w:spacing w:val="-1"/>
          <w:w w:val="99"/>
          <w:sz w:val="24"/>
        </w:rPr>
        <w:t>甲方（盖章</w:t>
      </w:r>
      <w:r>
        <w:rPr>
          <w:rFonts w:hint="eastAsia" w:ascii="仿宋_GB2312" w:hAnsi="楷体" w:eastAsia="仿宋_GB2312" w:cs="楷体"/>
          <w:b/>
          <w:spacing w:val="-140"/>
          <w:w w:val="99"/>
          <w:sz w:val="24"/>
        </w:rPr>
        <w:t>）</w:t>
      </w:r>
      <w:r>
        <w:rPr>
          <w:rFonts w:hint="eastAsia" w:ascii="仿宋_GB2312" w:hAnsi="楷体" w:eastAsia="仿宋_GB2312" w:cs="楷体"/>
          <w:b/>
          <w:w w:val="99"/>
          <w:sz w:val="24"/>
        </w:rPr>
        <w:t>：</w:t>
      </w:r>
      <w:r>
        <w:rPr>
          <w:rFonts w:hint="eastAsia" w:ascii="仿宋_GB2312" w:hAnsi="楷体" w:eastAsia="仿宋_GB2312" w:cs="楷体"/>
          <w:b/>
          <w:sz w:val="24"/>
        </w:rPr>
        <w:tab/>
      </w:r>
      <w:r>
        <w:rPr>
          <w:rFonts w:hint="eastAsia" w:ascii="仿宋_GB2312" w:hAnsi="楷体" w:eastAsia="仿宋_GB2312" w:cs="楷体"/>
          <w:b/>
          <w:spacing w:val="-1"/>
          <w:w w:val="99"/>
          <w:sz w:val="24"/>
        </w:rPr>
        <w:t>乙方（盖</w:t>
      </w:r>
      <w:r>
        <w:rPr>
          <w:rFonts w:hint="eastAsia" w:ascii="仿宋_GB2312" w:hAnsi="楷体" w:eastAsia="仿宋_GB2312" w:cs="楷体"/>
          <w:b/>
          <w:spacing w:val="2"/>
          <w:w w:val="99"/>
          <w:sz w:val="24"/>
        </w:rPr>
        <w:t>章</w:t>
      </w:r>
      <w:r>
        <w:rPr>
          <w:rFonts w:hint="eastAsia" w:ascii="仿宋_GB2312" w:hAnsi="楷体" w:eastAsia="仿宋_GB2312" w:cs="楷体"/>
          <w:b/>
          <w:spacing w:val="-142"/>
          <w:w w:val="99"/>
          <w:sz w:val="24"/>
        </w:rPr>
        <w:t>）</w:t>
      </w:r>
      <w:r>
        <w:rPr>
          <w:rFonts w:hint="eastAsia" w:ascii="仿宋_GB2312" w:hAnsi="楷体" w:eastAsia="仿宋_GB2312" w:cs="楷体"/>
          <w:b/>
          <w:w w:val="99"/>
          <w:sz w:val="24"/>
        </w:rPr>
        <w:t>：</w:t>
      </w:r>
    </w:p>
    <w:p>
      <w:pPr>
        <w:pStyle w:val="19"/>
        <w:ind w:left="420" w:firstLine="482"/>
        <w:rPr>
          <w:rFonts w:ascii="仿宋_GB2312" w:hAnsi="楷体" w:eastAsia="仿宋_GB2312" w:cs="楷体"/>
          <w:b/>
          <w:sz w:val="24"/>
          <w:szCs w:val="24"/>
        </w:rPr>
      </w:pPr>
    </w:p>
    <w:p>
      <w:pPr>
        <w:pStyle w:val="19"/>
        <w:spacing w:before="1"/>
        <w:ind w:left="420" w:firstLine="482"/>
        <w:rPr>
          <w:rFonts w:ascii="仿宋_GB2312" w:hAnsi="楷体" w:eastAsia="仿宋_GB2312" w:cs="楷体"/>
          <w:b/>
          <w:sz w:val="24"/>
          <w:szCs w:val="24"/>
        </w:rPr>
      </w:pPr>
    </w:p>
    <w:p>
      <w:pPr>
        <w:tabs>
          <w:tab w:val="left" w:pos="5457"/>
        </w:tabs>
        <w:ind w:left="117"/>
        <w:rPr>
          <w:rFonts w:ascii="仿宋_GB2312" w:hAnsi="楷体" w:eastAsia="仿宋_GB2312" w:cs="楷体"/>
          <w:b/>
          <w:sz w:val="24"/>
        </w:rPr>
      </w:pPr>
      <w:r>
        <w:rPr>
          <w:rFonts w:hint="eastAsia" w:ascii="仿宋_GB2312" w:hAnsi="楷体" w:eastAsia="仿宋_GB2312" w:cs="楷体"/>
          <w:b/>
          <w:sz w:val="24"/>
        </w:rPr>
        <w:t>法定代表/授权代表</w:t>
      </w:r>
      <w:r>
        <w:rPr>
          <w:rFonts w:hint="eastAsia" w:ascii="仿宋_GB2312" w:hAnsi="楷体" w:eastAsia="仿宋_GB2312" w:cs="楷体"/>
          <w:b/>
          <w:sz w:val="24"/>
        </w:rPr>
        <w:tab/>
      </w:r>
      <w:r>
        <w:rPr>
          <w:rFonts w:hint="eastAsia" w:ascii="仿宋_GB2312" w:hAnsi="楷体" w:eastAsia="仿宋_GB2312" w:cs="楷体"/>
          <w:b/>
          <w:sz w:val="24"/>
        </w:rPr>
        <w:t>法定代表/授权代表</w:t>
      </w:r>
    </w:p>
    <w:p>
      <w:pPr>
        <w:tabs>
          <w:tab w:val="left" w:pos="5457"/>
        </w:tabs>
        <w:ind w:left="117"/>
        <w:rPr>
          <w:rFonts w:ascii="仿宋_GB2312" w:hAnsi="楷体" w:eastAsia="仿宋_GB2312" w:cs="楷体"/>
          <w:b/>
          <w:sz w:val="24"/>
        </w:rPr>
      </w:pPr>
    </w:p>
    <w:p>
      <w:pPr>
        <w:pStyle w:val="2"/>
        <w:ind w:left="420" w:firstLine="480"/>
        <w:rPr>
          <w:rFonts w:ascii="仿宋_GB2312" w:eastAsia="仿宋_GB2312"/>
          <w:sz w:val="24"/>
        </w:rPr>
      </w:pPr>
    </w:p>
    <w:p>
      <w:pPr>
        <w:tabs>
          <w:tab w:val="left" w:pos="5457"/>
        </w:tabs>
        <w:ind w:left="117"/>
        <w:rPr>
          <w:rFonts w:ascii="仿宋_GB2312" w:hAnsi="楷体" w:eastAsia="仿宋_GB2312" w:cs="楷体"/>
          <w:b/>
          <w:sz w:val="24"/>
        </w:rPr>
      </w:pPr>
      <w:r>
        <w:rPr>
          <w:rFonts w:hint="eastAsia" w:ascii="仿宋_GB2312" w:hAnsi="楷体" w:eastAsia="仿宋_GB2312" w:cs="楷体"/>
          <w:b/>
          <w:sz w:val="24"/>
        </w:rPr>
        <w:t>日</w:t>
      </w:r>
      <w:r>
        <w:rPr>
          <w:rFonts w:hint="eastAsia" w:ascii="仿宋_GB2312" w:hAnsi="楷体" w:eastAsia="仿宋_GB2312" w:cs="楷体"/>
          <w:b/>
          <w:spacing w:val="-4"/>
          <w:sz w:val="24"/>
        </w:rPr>
        <w:t xml:space="preserve"> </w:t>
      </w:r>
      <w:r>
        <w:rPr>
          <w:rFonts w:hint="eastAsia" w:ascii="仿宋_GB2312" w:hAnsi="楷体" w:eastAsia="仿宋_GB2312" w:cs="楷体"/>
          <w:b/>
          <w:sz w:val="24"/>
        </w:rPr>
        <w:t>期:</w:t>
      </w:r>
      <w:r>
        <w:rPr>
          <w:rFonts w:hint="eastAsia" w:ascii="仿宋_GB2312" w:hAnsi="楷体" w:eastAsia="仿宋_GB2312" w:cs="楷体"/>
          <w:b/>
          <w:sz w:val="24"/>
        </w:rPr>
        <w:tab/>
      </w:r>
      <w:r>
        <w:rPr>
          <w:rFonts w:hint="eastAsia" w:ascii="仿宋_GB2312" w:hAnsi="楷体" w:eastAsia="仿宋_GB2312" w:cs="楷体"/>
          <w:b/>
          <w:sz w:val="24"/>
        </w:rPr>
        <w:t>日 期:</w:t>
      </w:r>
    </w:p>
    <w:p>
      <w:pPr>
        <w:pStyle w:val="67"/>
        <w:tabs>
          <w:tab w:val="left" w:pos="1244"/>
        </w:tabs>
        <w:adjustRightInd w:val="0"/>
        <w:spacing w:line="305" w:lineRule="auto"/>
        <w:ind w:firstLine="592"/>
        <w:rPr>
          <w:rFonts w:ascii="仿宋_GB2312" w:hAnsi="楷体" w:eastAsia="仿宋_GB2312" w:cs="楷体"/>
          <w:spacing w:val="-2"/>
          <w:sz w:val="30"/>
          <w:szCs w:val="30"/>
        </w:rPr>
      </w:pPr>
    </w:p>
    <w:p>
      <w:pPr>
        <w:spacing w:before="156" w:beforeLines="50" w:after="156" w:afterLines="50" w:line="440" w:lineRule="exact"/>
        <w:jc w:val="left"/>
        <w:outlineLvl w:val="3"/>
        <w:rPr>
          <w:rFonts w:ascii="仿宋" w:hAnsi="仿宋" w:eastAsia="仿宋" w:cs="仿宋"/>
          <w:sz w:val="24"/>
        </w:rPr>
      </w:pPr>
      <w:r>
        <w:rPr>
          <w:rFonts w:ascii="仿宋" w:hAnsi="仿宋" w:eastAsia="仿宋" w:cs="仿宋"/>
          <w:sz w:val="24"/>
        </w:rPr>
        <w:br w:type="page"/>
      </w:r>
    </w:p>
    <w:p>
      <w:pPr>
        <w:rPr>
          <w:rFonts w:ascii="仿宋" w:hAnsi="仿宋"/>
          <w:color w:val="000000" w:themeColor="text1"/>
          <w:sz w:val="24"/>
          <w14:textFill>
            <w14:solidFill>
              <w14:schemeClr w14:val="tx1"/>
            </w14:solidFill>
          </w14:textFill>
        </w:rPr>
      </w:pPr>
      <w:r>
        <w:rPr>
          <w:rFonts w:hint="eastAsia" w:ascii="仿宋" w:hAnsi="仿宋"/>
          <w:color w:val="000000" w:themeColor="text1"/>
          <w:sz w:val="24"/>
          <w14:textFill>
            <w14:solidFill>
              <w14:schemeClr w14:val="tx1"/>
            </w14:solidFill>
          </w14:textFill>
        </w:rPr>
        <w:t>附件</w:t>
      </w:r>
      <w:r>
        <w:rPr>
          <w:rFonts w:ascii="仿宋" w:hAnsi="仿宋"/>
          <w:color w:val="000000" w:themeColor="text1"/>
          <w:sz w:val="24"/>
          <w14:textFill>
            <w14:solidFill>
              <w14:schemeClr w14:val="tx1"/>
            </w14:solidFill>
          </w14:textFill>
        </w:rPr>
        <w:t>7</w:t>
      </w:r>
      <w:r>
        <w:rPr>
          <w:rFonts w:hint="eastAsia" w:ascii="仿宋" w:hAnsi="仿宋"/>
          <w:color w:val="000000" w:themeColor="text1"/>
          <w:sz w:val="24"/>
          <w14:textFill>
            <w14:solidFill>
              <w14:schemeClr w14:val="tx1"/>
            </w14:solidFill>
          </w14:textFill>
        </w:rPr>
        <w:t>：</w:t>
      </w:r>
    </w:p>
    <w:p>
      <w:pPr>
        <w:spacing w:before="156" w:beforeLines="50" w:after="156" w:afterLines="50" w:line="440" w:lineRule="exact"/>
        <w:jc w:val="center"/>
        <w:rPr>
          <w:rFonts w:ascii="仿宋_GB2312" w:eastAsia="仿宋_GB2312"/>
          <w:color w:val="000000" w:themeColor="text1"/>
          <w:sz w:val="28"/>
          <w14:textFill>
            <w14:solidFill>
              <w14:schemeClr w14:val="tx1"/>
            </w14:solidFill>
          </w14:textFill>
        </w:rPr>
      </w:pPr>
      <w:r>
        <w:rPr>
          <w:rFonts w:hint="eastAsia" w:ascii="仿宋_GB2312" w:eastAsia="仿宋_GB2312"/>
          <w:color w:val="000000" w:themeColor="text1"/>
          <w:sz w:val="28"/>
          <w14:textFill>
            <w14:solidFill>
              <w14:schemeClr w14:val="tx1"/>
            </w14:solidFill>
          </w14:textFill>
        </w:rPr>
        <w:t>保密协议</w:t>
      </w:r>
    </w:p>
    <w:p>
      <w:pPr>
        <w:spacing w:line="360" w:lineRule="auto"/>
        <w:rPr>
          <w:rFonts w:ascii="仿宋_GB2312" w:eastAsia="仿宋_GB2312" w:hAnsiTheme="minorEastAsia"/>
          <w:sz w:val="24"/>
        </w:rPr>
      </w:pPr>
      <w:r>
        <w:rPr>
          <w:rFonts w:hint="eastAsia" w:ascii="仿宋_GB2312" w:eastAsia="仿宋_GB2312" w:hAnsiTheme="minorEastAsia"/>
          <w:sz w:val="24"/>
        </w:rPr>
        <w:t>本协议由以下双方于</w:t>
      </w:r>
      <w:r>
        <w:rPr>
          <w:rFonts w:hint="eastAsia" w:ascii="仿宋_GB2312" w:eastAsia="仿宋_GB2312" w:hAnsiTheme="minorEastAsia" w:cstheme="minorEastAsia"/>
          <w:sz w:val="24"/>
          <w:u w:val="single"/>
        </w:rPr>
        <w:t>山东省济南市</w:t>
      </w:r>
      <w:r>
        <w:rPr>
          <w:rFonts w:hint="eastAsia" w:ascii="仿宋_GB2312" w:eastAsia="仿宋_GB2312" w:hAnsiTheme="minorEastAsia"/>
          <w:sz w:val="24"/>
        </w:rPr>
        <w:t>共同签署：</w:t>
      </w:r>
    </w:p>
    <w:p>
      <w:pPr>
        <w:spacing w:line="360" w:lineRule="auto"/>
        <w:rPr>
          <w:rFonts w:ascii="仿宋_GB2312" w:hAnsi="宋体" w:eastAsia="仿宋_GB2312"/>
          <w:sz w:val="24"/>
        </w:rPr>
      </w:pPr>
      <w:r>
        <w:rPr>
          <w:rFonts w:hint="eastAsia" w:ascii="仿宋_GB2312" w:hAnsi="宋体" w:eastAsia="仿宋_GB2312"/>
          <w:sz w:val="24"/>
        </w:rPr>
        <w:t>甲方：</w:t>
      </w:r>
      <w:r>
        <w:rPr>
          <w:rFonts w:hint="eastAsia" w:ascii="仿宋_GB2312" w:hAnsi="宋体" w:eastAsia="仿宋_GB2312" w:cs="宋体"/>
          <w:sz w:val="24"/>
        </w:rPr>
        <w:t>中国重汽集团</w:t>
      </w:r>
      <w:r>
        <w:rPr>
          <w:rFonts w:hint="eastAsia" w:ascii="仿宋_GB2312" w:hAnsi="宋体" w:eastAsia="仿宋_GB2312" w:cs="宋体"/>
          <w:sz w:val="24"/>
          <w:u w:val="single"/>
        </w:rPr>
        <w:t>济南动力</w:t>
      </w:r>
      <w:r>
        <w:rPr>
          <w:rFonts w:hint="eastAsia" w:ascii="仿宋_GB2312" w:hAnsi="宋体" w:eastAsia="仿宋_GB2312" w:cs="宋体"/>
          <w:sz w:val="24"/>
        </w:rPr>
        <w:t>有限公司</w:t>
      </w:r>
    </w:p>
    <w:p>
      <w:pPr>
        <w:spacing w:line="360" w:lineRule="auto"/>
        <w:rPr>
          <w:rFonts w:ascii="仿宋_GB2312" w:hAnsi="宋体" w:eastAsia="仿宋_GB2312"/>
          <w:sz w:val="24"/>
        </w:rPr>
      </w:pPr>
      <w:r>
        <w:rPr>
          <w:rFonts w:hint="eastAsia" w:ascii="仿宋_GB2312" w:hAnsi="宋体" w:eastAsia="仿宋_GB2312"/>
          <w:sz w:val="24"/>
        </w:rPr>
        <w:t>公司住所：章丘市圣井唐王山路北潘王路西</w:t>
      </w:r>
    </w:p>
    <w:p>
      <w:pPr>
        <w:spacing w:line="360" w:lineRule="auto"/>
        <w:rPr>
          <w:rFonts w:ascii="仿宋_GB2312" w:hAnsi="宋体" w:eastAsia="仿宋_GB2312"/>
          <w:sz w:val="24"/>
        </w:rPr>
      </w:pPr>
      <w:r>
        <w:rPr>
          <w:rFonts w:hint="eastAsia" w:ascii="仿宋_GB2312" w:hAnsi="宋体" w:eastAsia="仿宋_GB2312"/>
          <w:sz w:val="24"/>
        </w:rPr>
        <w:t>法定代表人：张燕</w:t>
      </w:r>
    </w:p>
    <w:p>
      <w:pPr>
        <w:spacing w:line="360" w:lineRule="auto"/>
        <w:rPr>
          <w:rFonts w:ascii="仿宋_GB2312" w:hAnsi="宋体" w:eastAsia="仿宋_GB2312"/>
          <w:sz w:val="24"/>
        </w:rPr>
      </w:pPr>
    </w:p>
    <w:p>
      <w:pPr>
        <w:spacing w:line="360" w:lineRule="auto"/>
        <w:rPr>
          <w:rFonts w:ascii="仿宋_GB2312" w:hAnsi="宋体" w:eastAsia="仿宋_GB2312"/>
          <w:sz w:val="24"/>
        </w:rPr>
      </w:pPr>
      <w:r>
        <w:rPr>
          <w:rFonts w:hint="eastAsia" w:ascii="仿宋_GB2312" w:hAnsi="宋体" w:eastAsia="仿宋_GB2312"/>
          <w:sz w:val="24"/>
        </w:rPr>
        <w:t xml:space="preserve">乙方： </w:t>
      </w:r>
    </w:p>
    <w:p>
      <w:pPr>
        <w:spacing w:line="360" w:lineRule="auto"/>
        <w:rPr>
          <w:rFonts w:ascii="仿宋_GB2312" w:hAnsi="宋体" w:eastAsia="仿宋_GB2312"/>
          <w:sz w:val="24"/>
        </w:rPr>
      </w:pPr>
      <w:r>
        <w:rPr>
          <w:rFonts w:hint="eastAsia" w:ascii="仿宋_GB2312" w:hAnsi="宋体" w:eastAsia="仿宋_GB2312"/>
          <w:sz w:val="24"/>
        </w:rPr>
        <w:t>公司住所：</w:t>
      </w:r>
    </w:p>
    <w:p>
      <w:pPr>
        <w:spacing w:line="360" w:lineRule="auto"/>
        <w:rPr>
          <w:rFonts w:ascii="仿宋_GB2312" w:hAnsi="宋体" w:eastAsia="仿宋_GB2312"/>
          <w:sz w:val="24"/>
        </w:rPr>
      </w:pPr>
      <w:r>
        <w:rPr>
          <w:rFonts w:hint="eastAsia" w:ascii="仿宋_GB2312" w:hAnsi="宋体" w:eastAsia="仿宋_GB2312"/>
          <w:sz w:val="24"/>
        </w:rPr>
        <w:t>法定代表人：</w:t>
      </w:r>
    </w:p>
    <w:p>
      <w:pPr>
        <w:spacing w:line="360" w:lineRule="auto"/>
        <w:rPr>
          <w:rFonts w:ascii="仿宋_GB2312" w:hAnsi="宋体" w:eastAsia="仿宋_GB2312"/>
          <w:sz w:val="24"/>
          <w:lang w:val="en-GB"/>
        </w:rPr>
      </w:pP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甲乙双方需开展</w:t>
      </w:r>
      <w:r>
        <w:rPr>
          <w:rFonts w:hint="eastAsia" w:ascii="仿宋_GB2312" w:eastAsia="仿宋_GB2312" w:hAnsiTheme="minorEastAsia" w:cstheme="minorEastAsia"/>
          <w:sz w:val="24"/>
          <w:u w:val="single"/>
        </w:rPr>
        <w:t xml:space="preserve">        </w:t>
      </w:r>
      <w:r>
        <w:rPr>
          <w:rFonts w:hint="eastAsia" w:ascii="仿宋_GB2312" w:eastAsia="仿宋_GB2312" w:hAnsiTheme="minorEastAsia"/>
          <w:sz w:val="24"/>
        </w:rPr>
        <w:t>项目合作。出于该合作目的，甲方已经或将要向乙方提供有关项目的保密信息。经平等协商，双方自愿签订协议如下：</w:t>
      </w:r>
    </w:p>
    <w:p>
      <w:pPr>
        <w:spacing w:line="360" w:lineRule="auto"/>
        <w:ind w:firstLine="480" w:firstLineChars="200"/>
        <w:rPr>
          <w:rFonts w:ascii="仿宋_GB2312" w:hAnsi="黑体" w:eastAsia="仿宋_GB2312"/>
          <w:sz w:val="24"/>
        </w:rPr>
      </w:pPr>
      <w:r>
        <w:rPr>
          <w:rFonts w:hint="eastAsia" w:ascii="仿宋_GB2312" w:hAnsi="黑体" w:eastAsia="仿宋_GB2312"/>
          <w:sz w:val="24"/>
        </w:rPr>
        <w:t>第一条 定义</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1、“保密信息”指甲方现在或将来向乙方提供的</w:t>
      </w:r>
      <w:r>
        <w:rPr>
          <w:rFonts w:hint="eastAsia" w:ascii="仿宋_GB2312" w:eastAsia="仿宋_GB2312" w:hAnsiTheme="minorEastAsia"/>
          <w:sz w:val="24"/>
          <w:lang w:val="en-GB"/>
        </w:rPr>
        <w:t>与本协议有关的任何信息和数据，包括但不限于任何类型的</w:t>
      </w:r>
      <w:r>
        <w:rPr>
          <w:rFonts w:hint="eastAsia" w:ascii="仿宋_GB2312" w:eastAsia="仿宋_GB2312" w:hAnsiTheme="minorEastAsia"/>
          <w:sz w:val="24"/>
        </w:rPr>
        <w:t>经营信息、技术信息</w:t>
      </w:r>
      <w:r>
        <w:rPr>
          <w:rFonts w:hint="eastAsia" w:ascii="仿宋_GB2312" w:eastAsia="仿宋_GB2312" w:hAnsiTheme="minorEastAsia"/>
          <w:sz w:val="24"/>
          <w:lang w:val="en-GB"/>
        </w:rPr>
        <w:t>、</w:t>
      </w:r>
      <w:r>
        <w:rPr>
          <w:rFonts w:hint="eastAsia" w:ascii="仿宋_GB2312" w:eastAsia="仿宋_GB2312" w:hAnsiTheme="minorEastAsia"/>
          <w:sz w:val="24"/>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2、信息提供方：甲方</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3、信息接受方：乙方</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4、第三方：指本协议双方之外的任何第三方。</w:t>
      </w:r>
    </w:p>
    <w:p>
      <w:pPr>
        <w:spacing w:line="360" w:lineRule="auto"/>
        <w:ind w:firstLine="480" w:firstLineChars="200"/>
        <w:rPr>
          <w:rFonts w:ascii="仿宋_GB2312" w:eastAsia="仿宋_GB2312" w:hAnsiTheme="minorEastAsia"/>
          <w:sz w:val="24"/>
        </w:rPr>
      </w:pPr>
      <w:r>
        <w:rPr>
          <w:rFonts w:hint="eastAsia" w:ascii="仿宋_GB2312" w:hAnsi="宋体" w:eastAsia="仿宋_GB2312"/>
          <w:sz w:val="24"/>
        </w:rPr>
        <w:t>5、</w:t>
      </w:r>
      <w:r>
        <w:rPr>
          <w:rFonts w:hint="eastAsia" w:ascii="仿宋_GB2312" w:hAnsi="宋体" w:eastAsia="仿宋_GB2312"/>
          <w:sz w:val="24"/>
          <w:lang w:val="en-GB"/>
        </w:rPr>
        <w:t>关联</w:t>
      </w:r>
      <w:r>
        <w:rPr>
          <w:rFonts w:hint="eastAsia" w:ascii="仿宋_GB2312" w:hAnsi="宋体" w:eastAsia="仿宋_GB2312"/>
          <w:sz w:val="24"/>
        </w:rPr>
        <w:t>公司</w:t>
      </w:r>
      <w:r>
        <w:rPr>
          <w:rFonts w:hint="eastAsia" w:ascii="仿宋_GB2312" w:hAnsi="宋体" w:eastAsia="仿宋_GB2312"/>
          <w:sz w:val="24"/>
          <w:lang w:val="en-GB"/>
        </w:rPr>
        <w:t>：直接或间接控制</w:t>
      </w:r>
      <w:r>
        <w:rPr>
          <w:rFonts w:hint="eastAsia" w:ascii="仿宋_GB2312" w:hAnsi="宋体" w:eastAsia="仿宋_GB2312"/>
          <w:sz w:val="24"/>
        </w:rPr>
        <w:t>一</w:t>
      </w:r>
      <w:r>
        <w:rPr>
          <w:rFonts w:hint="eastAsia" w:ascii="仿宋_GB2312" w:hAnsi="宋体" w:eastAsia="仿宋_GB2312"/>
          <w:sz w:val="24"/>
          <w:lang w:val="en-GB"/>
        </w:rPr>
        <w:t>方，或者受控于</w:t>
      </w:r>
      <w:r>
        <w:rPr>
          <w:rFonts w:hint="eastAsia" w:ascii="仿宋_GB2312" w:hAnsi="宋体" w:eastAsia="仿宋_GB2312"/>
          <w:sz w:val="24"/>
        </w:rPr>
        <w:t>该</w:t>
      </w:r>
      <w:r>
        <w:rPr>
          <w:rFonts w:hint="eastAsia" w:ascii="仿宋_GB2312" w:hAnsi="宋体" w:eastAsia="仿宋_GB2312"/>
          <w:sz w:val="24"/>
          <w:lang w:val="en-GB"/>
        </w:rPr>
        <w:t>方，或者与</w:t>
      </w:r>
      <w:r>
        <w:rPr>
          <w:rFonts w:hint="eastAsia" w:ascii="仿宋_GB2312" w:hAnsi="宋体" w:eastAsia="仿宋_GB2312"/>
          <w:sz w:val="24"/>
        </w:rPr>
        <w:t>该</w:t>
      </w:r>
      <w:r>
        <w:rPr>
          <w:rFonts w:hint="eastAsia" w:ascii="仿宋_GB2312" w:hAnsi="宋体" w:eastAsia="仿宋_GB2312"/>
          <w:sz w:val="24"/>
          <w:lang w:val="en-GB"/>
        </w:rPr>
        <w:t>方共同处于控制之下的任何</w:t>
      </w:r>
      <w:r>
        <w:rPr>
          <w:rFonts w:hint="eastAsia" w:ascii="仿宋_GB2312" w:eastAsia="仿宋_GB2312" w:hAnsiTheme="minorEastAsia"/>
          <w:sz w:val="24"/>
        </w:rPr>
        <w:t>第三方。</w:t>
      </w:r>
    </w:p>
    <w:p>
      <w:pPr>
        <w:spacing w:line="360" w:lineRule="auto"/>
        <w:ind w:firstLine="480" w:firstLineChars="200"/>
        <w:rPr>
          <w:rFonts w:ascii="仿宋_GB2312" w:hAnsi="黑体" w:eastAsia="仿宋_GB2312"/>
          <w:sz w:val="24"/>
        </w:rPr>
      </w:pPr>
      <w:r>
        <w:rPr>
          <w:rFonts w:hint="eastAsia" w:ascii="仿宋_GB2312" w:hAnsi="黑体" w:eastAsia="仿宋_GB2312"/>
          <w:sz w:val="24"/>
        </w:rPr>
        <w:t>第二条 保密信息的提供</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1、本协议所述之保密信息均由协议双方为洽谈合作事项之目的而提供。</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2、保密信息的所有权及知识产权归属于甲方或甲方具有合法来源。</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3、本协议任何条款均不视为将保密信息的所有权和其他权利转让给乙方。</w:t>
      </w:r>
    </w:p>
    <w:p>
      <w:pPr>
        <w:spacing w:line="360" w:lineRule="auto"/>
        <w:ind w:firstLine="480" w:firstLineChars="200"/>
        <w:rPr>
          <w:rFonts w:ascii="仿宋_GB2312" w:hAnsi="黑体" w:eastAsia="仿宋_GB2312"/>
          <w:sz w:val="24"/>
        </w:rPr>
      </w:pPr>
      <w:r>
        <w:rPr>
          <w:rFonts w:hint="eastAsia" w:ascii="仿宋_GB2312" w:hAnsi="黑体" w:eastAsia="仿宋_GB2312"/>
          <w:sz w:val="24"/>
        </w:rPr>
        <w:t>第三条 保密义务</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1、乙方仅能将甲方提供的保密信息用于本协议所约定的项目并承担保密义务。</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 xml:space="preserve">6、乙方应遵从甲方不时发出的有关使用、处理和保管保密信息的任何指令或政策，并按照甲方的要求将本协议项下保密信息的使用情况向甲方汇报。 </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7、乙方不得为第三方利益使用保密信息，不得非为实现双方合作目的使用保密信息，不得对保密信息采取任何反向工程、反向编译或反向分解等行为。</w:t>
      </w:r>
    </w:p>
    <w:p>
      <w:pPr>
        <w:spacing w:line="360" w:lineRule="auto"/>
        <w:ind w:firstLine="480" w:firstLineChars="200"/>
        <w:rPr>
          <w:rFonts w:ascii="仿宋_GB2312" w:eastAsia="仿宋_GB2312" w:hAnsiTheme="minorEastAsia"/>
          <w:sz w:val="24"/>
          <w:highlight w:val="yellow"/>
        </w:rPr>
      </w:pPr>
      <w:r>
        <w:rPr>
          <w:rFonts w:hint="eastAsia" w:ascii="仿宋_GB2312" w:eastAsia="仿宋_GB2312" w:hAnsiTheme="minorEastAsia"/>
          <w:sz w:val="24"/>
        </w:rPr>
        <w:t>8、双方合作期间形成的与本协议有关的任何信息和数据受本协议约束。</w:t>
      </w:r>
    </w:p>
    <w:p>
      <w:pPr>
        <w:tabs>
          <w:tab w:val="left" w:pos="567"/>
        </w:tabs>
        <w:spacing w:line="360" w:lineRule="auto"/>
        <w:ind w:firstLine="480" w:firstLineChars="200"/>
        <w:rPr>
          <w:rFonts w:ascii="仿宋_GB2312" w:hAnsi="宋体" w:eastAsia="仿宋_GB2312"/>
          <w:sz w:val="24"/>
          <w:lang w:val="en-GB"/>
        </w:rPr>
      </w:pPr>
      <w:r>
        <w:rPr>
          <w:rFonts w:hint="eastAsia" w:ascii="仿宋_GB2312" w:hAnsi="宋体" w:eastAsia="仿宋_GB2312"/>
          <w:sz w:val="24"/>
          <w:lang w:val="en-GB"/>
        </w:rPr>
        <w:t>在本协议签订后，</w:t>
      </w:r>
      <w:r>
        <w:rPr>
          <w:rFonts w:hint="eastAsia" w:ascii="仿宋_GB2312" w:hAnsi="宋体" w:eastAsia="仿宋_GB2312"/>
          <w:sz w:val="24"/>
        </w:rPr>
        <w:t>甲方仅将保密信息向乙</w:t>
      </w:r>
      <w:r>
        <w:rPr>
          <w:rFonts w:hint="eastAsia" w:ascii="仿宋_GB2312" w:hAnsi="宋体" w:eastAsia="仿宋_GB2312"/>
          <w:sz w:val="24"/>
          <w:lang w:val="en-GB"/>
        </w:rPr>
        <w:t>方</w:t>
      </w:r>
      <w:r>
        <w:rPr>
          <w:rFonts w:hint="eastAsia" w:ascii="仿宋_GB2312" w:hAnsi="宋体" w:eastAsia="仿宋_GB2312"/>
          <w:sz w:val="24"/>
        </w:rPr>
        <w:t>指定联系人</w:t>
      </w:r>
      <w:bookmarkStart w:id="116" w:name="OLE_LINK3"/>
      <w:bookmarkStart w:id="117" w:name="OLE_LINK2"/>
      <w:r>
        <w:rPr>
          <w:rFonts w:hint="eastAsia" w:ascii="仿宋_GB2312" w:hAnsi="宋体" w:eastAsia="仿宋_GB2312"/>
          <w:sz w:val="24"/>
        </w:rPr>
        <w:t>：</w:t>
      </w:r>
      <w:bookmarkEnd w:id="116"/>
      <w:bookmarkEnd w:id="117"/>
      <w:r>
        <w:rPr>
          <w:rFonts w:hint="eastAsia" w:ascii="仿宋_GB2312" w:hAnsi="宋体" w:eastAsia="仿宋_GB2312" w:cs="宋体"/>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进行披露，如乙方联系人发生变更，应立即书面通知甲方并做出新的授权。</w:t>
      </w:r>
    </w:p>
    <w:p>
      <w:pPr>
        <w:spacing w:line="360" w:lineRule="auto"/>
        <w:ind w:firstLine="480" w:firstLineChars="200"/>
        <w:rPr>
          <w:rFonts w:ascii="仿宋_GB2312" w:hAnsi="黑体" w:eastAsia="仿宋_GB2312"/>
          <w:sz w:val="24"/>
        </w:rPr>
      </w:pPr>
      <w:r>
        <w:rPr>
          <w:rFonts w:hint="eastAsia" w:ascii="仿宋_GB2312" w:hAnsi="黑体" w:eastAsia="仿宋_GB2312"/>
          <w:sz w:val="24"/>
        </w:rPr>
        <w:t>第四条 保密义务的例外</w:t>
      </w:r>
    </w:p>
    <w:p>
      <w:pPr>
        <w:spacing w:line="360" w:lineRule="auto"/>
        <w:ind w:firstLine="480" w:firstLineChars="200"/>
        <w:rPr>
          <w:rFonts w:ascii="仿宋_GB2312" w:eastAsia="仿宋_GB2312" w:hAnsiTheme="minorEastAsia"/>
          <w:sz w:val="24"/>
          <w:lang w:val="en-GB"/>
        </w:rPr>
      </w:pPr>
      <w:r>
        <w:rPr>
          <w:rFonts w:hint="eastAsia" w:ascii="仿宋_GB2312" w:eastAsia="仿宋_GB2312" w:hAnsiTheme="minorEastAsia"/>
          <w:sz w:val="24"/>
        </w:rPr>
        <w:t>1、</w:t>
      </w:r>
      <w:r>
        <w:rPr>
          <w:rFonts w:hint="eastAsia" w:ascii="仿宋_GB2312" w:eastAsia="仿宋_GB2312" w:hAnsiTheme="minorEastAsia"/>
          <w:sz w:val="24"/>
          <w:lang w:val="en-GB"/>
        </w:rPr>
        <w:t>根据有关法律或有管辖权的法院、仲裁机构、交易所或政府机构</w:t>
      </w:r>
      <w:r>
        <w:rPr>
          <w:rFonts w:hint="eastAsia" w:ascii="仿宋_GB2312" w:eastAsia="仿宋_GB2312" w:hAnsiTheme="minorEastAsia"/>
          <w:sz w:val="24"/>
        </w:rPr>
        <w:t>的</w:t>
      </w:r>
      <w:r>
        <w:rPr>
          <w:rFonts w:hint="eastAsia" w:ascii="仿宋_GB2312" w:eastAsia="仿宋_GB2312" w:hAnsiTheme="minorEastAsia"/>
          <w:sz w:val="24"/>
          <w:lang w:val="en-GB"/>
        </w:rPr>
        <w:t>要求而披露保密信息。</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2、事先取得甲方书面同意而公开的信息。</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披露该等保密信息之前，乙方应当立即通知甲方，并提供有关该等命令的通知，协同甲方采取有效措施防范风险。</w:t>
      </w:r>
    </w:p>
    <w:p>
      <w:pPr>
        <w:spacing w:line="360" w:lineRule="auto"/>
        <w:ind w:firstLine="480" w:firstLineChars="200"/>
        <w:rPr>
          <w:rFonts w:ascii="仿宋_GB2312" w:hAnsi="黑体" w:eastAsia="仿宋_GB2312"/>
          <w:sz w:val="24"/>
        </w:rPr>
      </w:pPr>
      <w:r>
        <w:rPr>
          <w:rFonts w:hint="eastAsia" w:ascii="仿宋_GB2312" w:hAnsi="黑体" w:eastAsia="仿宋_GB2312"/>
          <w:sz w:val="24"/>
        </w:rPr>
        <w:t>第五条 保密信息的返还</w:t>
      </w:r>
    </w:p>
    <w:p>
      <w:pPr>
        <w:tabs>
          <w:tab w:val="left" w:pos="990"/>
        </w:tabs>
        <w:spacing w:line="360" w:lineRule="auto"/>
        <w:ind w:firstLine="480" w:firstLineChars="200"/>
        <w:rPr>
          <w:rFonts w:ascii="仿宋_GB2312" w:hAnsi="宋体" w:eastAsia="仿宋_GB2312"/>
          <w:sz w:val="24"/>
        </w:rPr>
      </w:pPr>
      <w:r>
        <w:rPr>
          <w:rFonts w:hint="eastAsia" w:ascii="仿宋_GB2312" w:eastAsia="仿宋_GB2312" w:hAnsiTheme="minorEastAsia"/>
          <w:sz w:val="24"/>
        </w:rPr>
        <w:t>根据</w:t>
      </w:r>
      <w:r>
        <w:rPr>
          <w:rFonts w:hint="eastAsia" w:ascii="仿宋_GB2312" w:hAnsi="宋体" w:eastAsia="仿宋_GB2312"/>
          <w:sz w:val="24"/>
        </w:rPr>
        <w:t>甲方要求或乙方违约时</w:t>
      </w:r>
      <w:r>
        <w:rPr>
          <w:rFonts w:hint="eastAsia" w:ascii="仿宋_GB2312" w:hAnsi="宋体" w:eastAsia="仿宋_GB2312"/>
          <w:sz w:val="24"/>
          <w:lang w:val="en-GB"/>
        </w:rPr>
        <w:t>，</w:t>
      </w:r>
      <w:r>
        <w:rPr>
          <w:rFonts w:hint="eastAsia" w:ascii="仿宋_GB2312" w:hAnsi="宋体" w:eastAsia="仿宋_GB2312"/>
          <w:sz w:val="24"/>
        </w:rPr>
        <w:t>乙方应</w:t>
      </w:r>
      <w:r>
        <w:rPr>
          <w:rFonts w:hint="eastAsia" w:ascii="仿宋_GB2312" w:hAnsi="宋体" w:eastAsia="仿宋_GB2312"/>
          <w:sz w:val="24"/>
          <w:lang w:val="en-GB"/>
        </w:rPr>
        <w:t>立即</w:t>
      </w:r>
      <w:r>
        <w:rPr>
          <w:rFonts w:hint="eastAsia" w:ascii="仿宋_GB2312" w:hAnsi="宋体" w:eastAsia="仿宋_GB2312"/>
          <w:sz w:val="24"/>
        </w:rPr>
        <w:t>在甲方要求的时间内</w:t>
      </w:r>
      <w:r>
        <w:rPr>
          <w:rFonts w:hint="eastAsia" w:ascii="仿宋_GB2312" w:hAnsi="宋体" w:eastAsia="仿宋_GB2312"/>
          <w:sz w:val="24"/>
          <w:lang w:val="en-GB"/>
        </w:rPr>
        <w:t>向甲方返还所有保密信息并不得保存副本，</w:t>
      </w:r>
      <w:r>
        <w:rPr>
          <w:rFonts w:hint="eastAsia" w:ascii="仿宋_GB2312" w:hAnsi="宋体" w:eastAsia="仿宋_GB2312"/>
          <w:sz w:val="24"/>
        </w:rPr>
        <w:t>包括但不限于储存于</w:t>
      </w:r>
      <w:r>
        <w:rPr>
          <w:rFonts w:hint="eastAsia" w:ascii="仿宋_GB2312" w:hAnsi="宋体" w:eastAsia="仿宋_GB2312"/>
          <w:sz w:val="24"/>
          <w:lang w:val="en-GB"/>
        </w:rPr>
        <w:t>计算机磁盘、CD-ROM驱动、CD-ROM、硬盘、软件或任何纸质媒介的材料</w:t>
      </w:r>
      <w:r>
        <w:rPr>
          <w:rFonts w:hint="eastAsia" w:ascii="仿宋_GB2312" w:hAnsi="宋体" w:eastAsia="仿宋_GB2312"/>
          <w:sz w:val="24"/>
        </w:rPr>
        <w:t>及其</w:t>
      </w:r>
      <w:r>
        <w:rPr>
          <w:rFonts w:hint="eastAsia" w:ascii="仿宋_GB2312" w:hAnsi="宋体" w:eastAsia="仿宋_GB2312"/>
          <w:sz w:val="24"/>
          <w:lang w:val="en-GB"/>
        </w:rPr>
        <w:t>备份。</w:t>
      </w:r>
      <w:r>
        <w:rPr>
          <w:rFonts w:hint="eastAsia" w:ascii="仿宋_GB2312" w:hAnsi="宋体" w:eastAsia="仿宋_GB2312"/>
          <w:sz w:val="24"/>
        </w:rPr>
        <w:t>因</w:t>
      </w:r>
      <w:r>
        <w:rPr>
          <w:rFonts w:hint="eastAsia" w:ascii="仿宋_GB2312" w:hAnsi="宋体" w:eastAsia="仿宋_GB2312"/>
          <w:sz w:val="24"/>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hint="eastAsia" w:ascii="仿宋_GB2312" w:hAnsi="宋体" w:eastAsia="仿宋_GB2312"/>
          <w:sz w:val="24"/>
        </w:rPr>
        <w:t>同时乙方应</w:t>
      </w:r>
      <w:r>
        <w:rPr>
          <w:rFonts w:hint="eastAsia" w:ascii="仿宋_GB2312" w:hAnsi="宋体" w:eastAsia="仿宋_GB2312"/>
          <w:sz w:val="24"/>
          <w:lang w:val="en-GB"/>
        </w:rPr>
        <w:t>向</w:t>
      </w:r>
      <w:r>
        <w:rPr>
          <w:rFonts w:hint="eastAsia" w:ascii="仿宋_GB2312" w:hAnsi="宋体" w:eastAsia="仿宋_GB2312"/>
          <w:sz w:val="24"/>
        </w:rPr>
        <w:t>甲</w:t>
      </w:r>
      <w:r>
        <w:rPr>
          <w:rFonts w:hint="eastAsia" w:ascii="仿宋_GB2312" w:hAnsi="宋体" w:eastAsia="仿宋_GB2312"/>
          <w:sz w:val="24"/>
          <w:lang w:val="en-GB"/>
        </w:rPr>
        <w:t>方出具已经归还或销毁</w:t>
      </w:r>
      <w:r>
        <w:rPr>
          <w:rFonts w:hint="eastAsia" w:ascii="仿宋_GB2312" w:hAnsi="宋体" w:eastAsia="仿宋_GB2312"/>
          <w:sz w:val="24"/>
        </w:rPr>
        <w:t>全部</w:t>
      </w:r>
      <w:r>
        <w:rPr>
          <w:rFonts w:hint="eastAsia" w:ascii="仿宋_GB2312" w:hAnsi="宋体" w:eastAsia="仿宋_GB2312"/>
          <w:sz w:val="24"/>
          <w:lang w:val="en-GB"/>
        </w:rPr>
        <w:t>材料的书面</w:t>
      </w:r>
      <w:r>
        <w:rPr>
          <w:rFonts w:hint="eastAsia" w:ascii="仿宋_GB2312" w:hAnsi="宋体" w:eastAsia="仿宋_GB2312"/>
          <w:sz w:val="24"/>
        </w:rPr>
        <w:t>承诺。</w:t>
      </w:r>
    </w:p>
    <w:p>
      <w:pPr>
        <w:spacing w:line="360" w:lineRule="auto"/>
        <w:ind w:firstLine="480" w:firstLineChars="200"/>
        <w:rPr>
          <w:rFonts w:ascii="仿宋_GB2312" w:hAnsi="黑体" w:eastAsia="仿宋_GB2312"/>
          <w:sz w:val="24"/>
        </w:rPr>
      </w:pPr>
      <w:r>
        <w:rPr>
          <w:rFonts w:hint="eastAsia" w:ascii="仿宋_GB2312" w:hAnsi="黑体" w:eastAsia="仿宋_GB2312"/>
          <w:sz w:val="24"/>
        </w:rPr>
        <w:t>第六条 保密期限</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除本协议双方另有约定外，本协议的保密期限自甲方提供保密信息之日起至本协议所述保密信息向公众披露或为公众所知悉之日止。</w:t>
      </w:r>
    </w:p>
    <w:p>
      <w:pPr>
        <w:spacing w:line="360" w:lineRule="auto"/>
        <w:ind w:firstLine="480" w:firstLineChars="200"/>
        <w:rPr>
          <w:rFonts w:ascii="仿宋_GB2312" w:hAnsi="黑体" w:eastAsia="仿宋_GB2312"/>
          <w:sz w:val="24"/>
        </w:rPr>
      </w:pPr>
      <w:r>
        <w:rPr>
          <w:rFonts w:hint="eastAsia" w:ascii="仿宋_GB2312" w:hAnsi="黑体" w:eastAsia="仿宋_GB2312"/>
          <w:sz w:val="24"/>
        </w:rPr>
        <w:t>第七条 违约责任</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3、在各种情况下，双方一致认为甲方的损失均应被视为最少不低于</w:t>
      </w:r>
      <w:r>
        <w:rPr>
          <w:rFonts w:hint="eastAsia" w:ascii="仿宋_GB2312" w:eastAsia="仿宋_GB2312" w:hAnsiTheme="minorEastAsia" w:cstheme="minorEastAsia"/>
          <w:sz w:val="24"/>
          <w:u w:val="single"/>
        </w:rPr>
        <w:t xml:space="preserve"> 1 </w:t>
      </w:r>
      <w:r>
        <w:rPr>
          <w:rFonts w:hint="eastAsia" w:ascii="仿宋_GB2312" w:eastAsia="仿宋_GB2312" w:hAnsiTheme="minorEastAsia"/>
          <w:sz w:val="24"/>
        </w:rPr>
        <w:t xml:space="preserve">万元。 </w:t>
      </w:r>
    </w:p>
    <w:p>
      <w:pPr>
        <w:spacing w:line="360" w:lineRule="auto"/>
        <w:ind w:firstLine="480" w:firstLineChars="200"/>
        <w:rPr>
          <w:rFonts w:ascii="仿宋_GB2312" w:eastAsia="仿宋_GB2312"/>
          <w:sz w:val="24"/>
        </w:rPr>
      </w:pPr>
      <w:r>
        <w:rPr>
          <w:rFonts w:hint="eastAsia" w:ascii="仿宋_GB2312" w:eastAsia="仿宋_GB2312" w:hAnsiTheme="minorEastAsia"/>
          <w:sz w:val="24"/>
        </w:rPr>
        <w:t>4、</w:t>
      </w:r>
      <w:r>
        <w:rPr>
          <w:rFonts w:hint="eastAsia" w:ascii="仿宋_GB2312" w:eastAsia="仿宋_GB2312"/>
          <w:sz w:val="24"/>
        </w:rPr>
        <w:t xml:space="preserve">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pPr>
        <w:spacing w:line="360" w:lineRule="auto"/>
        <w:ind w:firstLine="480" w:firstLineChars="200"/>
        <w:rPr>
          <w:rFonts w:ascii="仿宋_GB2312" w:hAnsi="黑体" w:eastAsia="仿宋_GB2312"/>
          <w:sz w:val="24"/>
        </w:rPr>
      </w:pPr>
      <w:r>
        <w:rPr>
          <w:rFonts w:hint="eastAsia" w:ascii="仿宋_GB2312" w:hAnsi="黑体" w:eastAsia="仿宋_GB2312"/>
          <w:sz w:val="24"/>
        </w:rPr>
        <w:t>第八条 适用法律及争议的解决</w:t>
      </w:r>
    </w:p>
    <w:p>
      <w:pPr>
        <w:tabs>
          <w:tab w:val="left" w:pos="567"/>
        </w:tabs>
        <w:spacing w:line="360" w:lineRule="auto"/>
        <w:ind w:firstLine="480" w:firstLineChars="200"/>
        <w:rPr>
          <w:rFonts w:ascii="仿宋_GB2312" w:hAnsi="宋体" w:eastAsia="仿宋_GB2312"/>
          <w:sz w:val="24"/>
          <w:lang w:val="en-GB"/>
        </w:rPr>
      </w:pPr>
      <w:r>
        <w:rPr>
          <w:rFonts w:hint="eastAsia" w:ascii="仿宋_GB2312" w:hAnsi="宋体" w:eastAsia="仿宋_GB2312"/>
          <w:sz w:val="24"/>
          <w:lang w:val="en-GB"/>
        </w:rPr>
        <w:t>本协议受中国现行</w:t>
      </w:r>
      <w:r>
        <w:rPr>
          <w:rFonts w:hint="eastAsia" w:ascii="仿宋_GB2312" w:hAnsi="宋体" w:eastAsia="仿宋_GB2312"/>
          <w:sz w:val="24"/>
        </w:rPr>
        <w:t>有效的法律</w:t>
      </w:r>
      <w:r>
        <w:rPr>
          <w:rFonts w:hint="eastAsia" w:ascii="仿宋_GB2312" w:hAnsi="宋体" w:eastAsia="仿宋_GB2312"/>
          <w:sz w:val="24"/>
          <w:lang w:val="en-GB"/>
        </w:rPr>
        <w:t>管辖，因本协议引起的或与本协议有关的任何争议，应由双方先行协商解决，协商不成的，由甲方所在地法院诉讼解决。</w:t>
      </w:r>
    </w:p>
    <w:p>
      <w:pPr>
        <w:spacing w:line="360" w:lineRule="auto"/>
        <w:ind w:firstLine="480" w:firstLineChars="200"/>
        <w:rPr>
          <w:rFonts w:ascii="仿宋_GB2312" w:hAnsi="黑体" w:eastAsia="仿宋_GB2312"/>
          <w:sz w:val="24"/>
        </w:rPr>
      </w:pPr>
      <w:r>
        <w:rPr>
          <w:rFonts w:hint="eastAsia" w:ascii="仿宋_GB2312" w:hAnsi="黑体" w:eastAsia="仿宋_GB2312"/>
          <w:sz w:val="24"/>
        </w:rPr>
        <w:t xml:space="preserve">第九条 继续有效 </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如果本协议有任何条款或部分因任何原因被判定为无效或不可执行，本协议其他条款不应受到影响，在法律允许的范围内继续具有完全效力。</w:t>
      </w:r>
    </w:p>
    <w:p>
      <w:pPr>
        <w:spacing w:line="360" w:lineRule="auto"/>
        <w:ind w:firstLine="480" w:firstLineChars="200"/>
        <w:rPr>
          <w:rFonts w:ascii="仿宋_GB2312" w:eastAsia="仿宋_GB2312" w:hAnsiTheme="minorEastAsia"/>
          <w:sz w:val="24"/>
        </w:rPr>
      </w:pPr>
      <w:r>
        <w:rPr>
          <w:rFonts w:hint="eastAsia" w:ascii="仿宋_GB2312" w:hAnsi="黑体" w:eastAsia="仿宋_GB2312"/>
          <w:sz w:val="24"/>
        </w:rPr>
        <w:t>第十条 协议生效</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 xml:space="preserve">1、协议双方同意，本协议于双方签署之日起生效。但是如果本协议签订前存在甲方向乙方提供保密信息的，也适用本协议。 </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2、协议双方对本协议内容的修改或补充，应采用书面形式订立补充协议，补充协议经双方签署生效，成为本协议的有效组成部份、与本协议具有同等法律效力。</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3、本协议正本一式三份，甲方执两份，乙方执一份，具有同等法律效力。</w:t>
      </w:r>
    </w:p>
    <w:p>
      <w:pPr>
        <w:spacing w:line="360" w:lineRule="auto"/>
        <w:ind w:firstLine="480" w:firstLineChars="200"/>
        <w:rPr>
          <w:rFonts w:ascii="仿宋_GB2312" w:eastAsia="仿宋_GB2312" w:hAnsiTheme="minorEastAsia"/>
          <w:sz w:val="24"/>
        </w:rPr>
      </w:pPr>
      <w:r>
        <w:rPr>
          <w:rFonts w:hint="eastAsia" w:ascii="仿宋_GB2312" w:eastAsia="仿宋_GB2312" w:hAnsiTheme="minorEastAsia"/>
          <w:sz w:val="24"/>
        </w:rPr>
        <w:t>兹此，双方已促使本协议由各自正式授权代表签署或加盖双方公章或合同专用章。</w:t>
      </w:r>
    </w:p>
    <w:p>
      <w:pPr>
        <w:spacing w:line="360" w:lineRule="auto"/>
        <w:ind w:firstLine="480" w:firstLineChars="200"/>
        <w:rPr>
          <w:rFonts w:ascii="仿宋_GB2312" w:eastAsia="仿宋_GB2312" w:hAnsiTheme="minorEastAsia" w:cstheme="minorEastAsia"/>
          <w:sz w:val="24"/>
        </w:rPr>
      </w:pPr>
    </w:p>
    <w:p>
      <w:pPr>
        <w:ind w:firstLine="482" w:firstLineChars="200"/>
        <w:rPr>
          <w:rFonts w:ascii="仿宋_GB2312" w:hAnsi="宋体" w:eastAsia="仿宋_GB2312"/>
          <w:b/>
          <w:sz w:val="24"/>
        </w:rPr>
      </w:pPr>
      <w:r>
        <w:rPr>
          <w:rFonts w:hint="eastAsia" w:ascii="仿宋_GB2312" w:hAnsi="宋体" w:eastAsia="仿宋_GB2312"/>
          <w:b/>
          <w:sz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pPr>
        <w:ind w:firstLine="482" w:firstLineChars="200"/>
        <w:rPr>
          <w:rFonts w:ascii="仿宋_GB2312" w:hAnsi="宋体" w:eastAsia="仿宋_GB2312"/>
          <w:b/>
          <w:sz w:val="24"/>
        </w:rPr>
      </w:pPr>
      <w:r>
        <w:rPr>
          <w:rFonts w:hint="eastAsia" w:ascii="仿宋_GB2312" w:hAnsi="宋体" w:eastAsia="仿宋_GB2312"/>
          <w:b/>
          <w:sz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pPr>
        <w:spacing w:line="360" w:lineRule="auto"/>
        <w:ind w:firstLine="480" w:firstLineChars="200"/>
        <w:rPr>
          <w:rFonts w:ascii="仿宋_GB2312" w:eastAsia="仿宋_GB2312" w:hAnsiTheme="minorEastAsia"/>
          <w:sz w:val="24"/>
        </w:rPr>
      </w:pPr>
    </w:p>
    <w:p>
      <w:pPr>
        <w:spacing w:line="360" w:lineRule="auto"/>
        <w:ind w:firstLine="480" w:firstLineChars="200"/>
        <w:rPr>
          <w:rFonts w:ascii="仿宋_GB2312" w:hAnsiTheme="minorEastAsia"/>
          <w:sz w:val="24"/>
        </w:rPr>
      </w:pPr>
    </w:p>
    <w:p>
      <w:pPr>
        <w:spacing w:line="360" w:lineRule="auto"/>
        <w:rPr>
          <w:rFonts w:ascii="仿宋_GB2312" w:eastAsia="仿宋_GB2312" w:hAnsiTheme="minorEastAsia" w:cstheme="minorEastAsia"/>
          <w:sz w:val="24"/>
        </w:rPr>
      </w:pPr>
      <w:r>
        <w:rPr>
          <w:rFonts w:hint="eastAsia" w:ascii="仿宋_GB2312" w:eastAsia="仿宋_GB2312" w:hAnsiTheme="minorEastAsia" w:cstheme="minorEastAsia"/>
          <w:sz w:val="24"/>
        </w:rPr>
        <w:t>甲方：中国重汽集团</w:t>
      </w:r>
      <w:r>
        <w:rPr>
          <w:rFonts w:hint="eastAsia" w:ascii="仿宋_GB2312" w:eastAsia="仿宋_GB2312" w:hAnsiTheme="minorEastAsia" w:cstheme="minorEastAsia"/>
          <w:sz w:val="24"/>
          <w:u w:val="single"/>
        </w:rPr>
        <w:t>济南动力</w:t>
      </w:r>
      <w:r>
        <w:rPr>
          <w:rFonts w:hint="eastAsia" w:ascii="仿宋_GB2312" w:eastAsia="仿宋_GB2312" w:hAnsiTheme="minorEastAsia" w:cstheme="minorEastAsia"/>
          <w:sz w:val="24"/>
        </w:rPr>
        <w:t>有限公司（盖章）</w:t>
      </w:r>
    </w:p>
    <w:p>
      <w:pPr>
        <w:spacing w:line="360" w:lineRule="auto"/>
        <w:rPr>
          <w:rFonts w:ascii="仿宋_GB2312" w:eastAsia="仿宋_GB2312" w:hAnsiTheme="minorEastAsia" w:cstheme="minorEastAsia"/>
          <w:sz w:val="24"/>
        </w:rPr>
      </w:pPr>
      <w:r>
        <w:rPr>
          <w:rFonts w:hint="eastAsia" w:ascii="仿宋_GB2312" w:eastAsia="仿宋_GB2312" w:hAnsiTheme="minorEastAsia" w:cstheme="minorEastAsia"/>
          <w:sz w:val="24"/>
        </w:rPr>
        <w:t>法定代表人或授权代表：</w:t>
      </w:r>
      <w:r>
        <w:rPr>
          <w:rFonts w:hint="eastAsia" w:ascii="仿宋_GB2312" w:eastAsia="仿宋_GB2312" w:hAnsiTheme="minorEastAsia" w:cstheme="minorEastAsia"/>
          <w:sz w:val="24"/>
          <w:u w:val="single"/>
        </w:rPr>
        <w:t xml:space="preserve">                </w:t>
      </w:r>
      <w:r>
        <w:rPr>
          <w:rFonts w:hint="eastAsia" w:ascii="仿宋_GB2312" w:eastAsia="仿宋_GB2312" w:hAnsiTheme="minorEastAsia" w:cstheme="minorEastAsia"/>
          <w:sz w:val="24"/>
        </w:rPr>
        <w:t>（签字）</w:t>
      </w:r>
    </w:p>
    <w:p>
      <w:pPr>
        <w:spacing w:line="360" w:lineRule="auto"/>
        <w:rPr>
          <w:rFonts w:ascii="仿宋_GB2312" w:eastAsia="仿宋_GB2312" w:hAnsiTheme="minorEastAsia" w:cstheme="minorEastAsia"/>
          <w:sz w:val="24"/>
        </w:rPr>
      </w:pPr>
    </w:p>
    <w:p>
      <w:pPr>
        <w:spacing w:line="360" w:lineRule="auto"/>
        <w:rPr>
          <w:rFonts w:ascii="仿宋_GB2312" w:eastAsia="仿宋_GB2312" w:hAnsiTheme="minorEastAsia" w:cstheme="minorEastAsia"/>
          <w:sz w:val="24"/>
        </w:rPr>
      </w:pPr>
    </w:p>
    <w:p>
      <w:pPr>
        <w:spacing w:line="360" w:lineRule="auto"/>
        <w:rPr>
          <w:rFonts w:ascii="仿宋_GB2312" w:eastAsia="仿宋_GB2312" w:hAnsiTheme="minorEastAsia" w:cstheme="minorEastAsia"/>
          <w:sz w:val="24"/>
        </w:rPr>
      </w:pPr>
    </w:p>
    <w:p>
      <w:pPr>
        <w:spacing w:line="360" w:lineRule="auto"/>
        <w:rPr>
          <w:rFonts w:ascii="仿宋_GB2312" w:eastAsia="仿宋_GB2312" w:hAnsiTheme="minorEastAsia" w:cstheme="minorEastAsia"/>
          <w:sz w:val="24"/>
        </w:rPr>
      </w:pPr>
      <w:r>
        <w:rPr>
          <w:rFonts w:hint="eastAsia" w:ascii="仿宋_GB2312" w:eastAsia="仿宋_GB2312" w:hAnsiTheme="minorEastAsia" w:cstheme="minorEastAsia"/>
          <w:sz w:val="24"/>
        </w:rPr>
        <w:t xml:space="preserve">乙方： </w:t>
      </w:r>
    </w:p>
    <w:p>
      <w:pPr>
        <w:spacing w:line="360" w:lineRule="auto"/>
        <w:rPr>
          <w:rFonts w:ascii="仿宋_GB2312" w:eastAsia="仿宋_GB2312" w:hAnsiTheme="minorEastAsia" w:cstheme="minorEastAsia"/>
          <w:sz w:val="24"/>
        </w:rPr>
      </w:pPr>
      <w:r>
        <w:rPr>
          <w:rFonts w:hint="eastAsia" w:ascii="仿宋_GB2312" w:eastAsia="仿宋_GB2312" w:hAnsiTheme="minorEastAsia" w:cstheme="minorEastAsia"/>
          <w:sz w:val="24"/>
        </w:rPr>
        <w:t>法定代表人或授权代表：</w:t>
      </w:r>
      <w:r>
        <w:rPr>
          <w:rFonts w:hint="eastAsia" w:ascii="仿宋_GB2312" w:eastAsia="仿宋_GB2312" w:hAnsiTheme="minorEastAsia" w:cstheme="minorEastAsia"/>
          <w:sz w:val="24"/>
          <w:u w:val="single"/>
        </w:rPr>
        <w:t xml:space="preserve">                </w:t>
      </w:r>
      <w:r>
        <w:rPr>
          <w:rFonts w:hint="eastAsia" w:ascii="仿宋_GB2312" w:eastAsia="仿宋_GB2312" w:hAnsiTheme="minorEastAsia" w:cstheme="minorEastAsia"/>
          <w:sz w:val="24"/>
        </w:rPr>
        <w:t>（签字）</w:t>
      </w:r>
    </w:p>
    <w:p>
      <w:pPr>
        <w:spacing w:line="360" w:lineRule="auto"/>
        <w:ind w:firstLine="5520" w:firstLineChars="2300"/>
        <w:rPr>
          <w:rFonts w:ascii="仿宋_GB2312" w:hAnsiTheme="minorEastAsia"/>
          <w:sz w:val="24"/>
        </w:rPr>
      </w:pPr>
      <w:r>
        <w:rPr>
          <w:rFonts w:ascii="仿宋_GB2312" w:eastAsia="仿宋_GB2312" w:hAnsiTheme="minorEastAsia" w:cstheme="minorEastAsia"/>
          <w:sz w:val="24"/>
        </w:rPr>
        <w:br w:type="page"/>
      </w:r>
    </w:p>
    <w:p>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附件8</w:t>
      </w:r>
    </w:p>
    <w:p>
      <w:pPr>
        <w:spacing w:before="156" w:beforeLines="50" w:after="156" w:afterLines="50" w:line="440" w:lineRule="exact"/>
        <w:jc w:val="center"/>
        <w:rPr>
          <w:rFonts w:eastAsia="黑体"/>
          <w:sz w:val="28"/>
          <w:szCs w:val="28"/>
        </w:rPr>
      </w:pPr>
      <w:r>
        <w:rPr>
          <w:rFonts w:hint="eastAsia" w:eastAsia="黑体"/>
          <w:sz w:val="28"/>
          <w:szCs w:val="28"/>
        </w:rPr>
        <w:t>已标价工程量清单</w:t>
      </w:r>
    </w:p>
    <w:bookmarkEnd w:id="103"/>
    <w:p>
      <w:pPr>
        <w:pStyle w:val="4"/>
        <w:ind w:left="420"/>
      </w:pPr>
    </w:p>
    <w:p>
      <w:pPr>
        <w:pStyle w:val="4"/>
        <w:ind w:left="420"/>
      </w:pPr>
    </w:p>
    <w:p>
      <w:pPr>
        <w:pStyle w:val="80"/>
        <w:spacing w:before="156" w:after="156" w:line="240" w:lineRule="auto"/>
        <w:jc w:val="center"/>
        <w:rPr>
          <w:rFonts w:eastAsia="华文中宋"/>
          <w:color w:val="000000" w:themeColor="text1"/>
          <w14:textFill>
            <w14:solidFill>
              <w14:schemeClr w14:val="tx1"/>
            </w14:solidFill>
          </w14:textFill>
        </w:rPr>
        <w:sectPr>
          <w:headerReference r:id="rId10" w:type="first"/>
          <w:headerReference r:id="rId8" w:type="default"/>
          <w:headerReference r:id="rId9" w:type="even"/>
          <w:footerReference r:id="rId11" w:type="even"/>
          <w:pgSz w:w="11906" w:h="16838"/>
          <w:pgMar w:top="1418" w:right="1555" w:bottom="567" w:left="1531" w:header="851" w:footer="992" w:gutter="0"/>
          <w:cols w:space="720" w:num="1"/>
          <w:titlePg/>
          <w:docGrid w:type="lines" w:linePitch="312" w:charSpace="0"/>
        </w:sectPr>
      </w:pPr>
      <w:bookmarkStart w:id="118" w:name="_Toc296890982"/>
      <w:bookmarkStart w:id="119" w:name="_Toc296503025"/>
    </w:p>
    <w:bookmarkEnd w:id="101"/>
    <w:bookmarkEnd w:id="102"/>
    <w:bookmarkEnd w:id="118"/>
    <w:bookmarkEnd w:id="119"/>
    <w:p>
      <w:pPr>
        <w:pStyle w:val="6"/>
        <w:spacing w:before="0" w:after="0" w:line="360" w:lineRule="auto"/>
        <w:jc w:val="center"/>
        <w:rPr>
          <w:rFonts w:ascii="宋体" w:hAnsi="宋体"/>
          <w:i w:val="0"/>
          <w:iCs w:val="0"/>
        </w:rPr>
      </w:pPr>
      <w:bookmarkStart w:id="120" w:name="_Toc294124224"/>
      <w:bookmarkStart w:id="121" w:name="_Toc363561430"/>
      <w:bookmarkStart w:id="122" w:name="_Toc17162"/>
      <w:bookmarkStart w:id="123" w:name="_Toc19628"/>
      <w:bookmarkStart w:id="124" w:name="_Toc24390"/>
      <w:bookmarkStart w:id="125" w:name="_Toc19722"/>
      <w:bookmarkStart w:id="126" w:name="_Toc372"/>
      <w:bookmarkStart w:id="127" w:name="_Toc22187"/>
      <w:bookmarkStart w:id="128" w:name="_Toc3675"/>
      <w:bookmarkStart w:id="129" w:name="_Toc220505576"/>
      <w:bookmarkStart w:id="130" w:name="_Toc20700"/>
      <w:bookmarkStart w:id="131" w:name="_Toc1254"/>
      <w:bookmarkStart w:id="132" w:name="_Toc28547"/>
      <w:bookmarkStart w:id="133" w:name="_Toc17817340"/>
      <w:bookmarkStart w:id="134" w:name="_Toc15775"/>
      <w:r>
        <w:rPr>
          <w:rFonts w:hint="eastAsia" w:ascii="宋体" w:hAnsi="宋体"/>
          <w:i w:val="0"/>
          <w:iCs w:val="0"/>
        </w:rPr>
        <w:t xml:space="preserve">第五章 </w:t>
      </w:r>
      <w:bookmarkEnd w:id="120"/>
      <w:bookmarkEnd w:id="121"/>
      <w:r>
        <w:rPr>
          <w:rFonts w:hint="eastAsia" w:ascii="宋体" w:hAnsi="宋体"/>
          <w:i w:val="0"/>
          <w:iCs w:val="0"/>
        </w:rPr>
        <w:t>投标报价要求</w:t>
      </w:r>
      <w:bookmarkEnd w:id="122"/>
      <w:bookmarkEnd w:id="123"/>
      <w:bookmarkEnd w:id="124"/>
      <w:bookmarkEnd w:id="125"/>
      <w:bookmarkEnd w:id="126"/>
      <w:bookmarkEnd w:id="127"/>
      <w:bookmarkEnd w:id="128"/>
      <w:bookmarkEnd w:id="129"/>
      <w:bookmarkEnd w:id="130"/>
      <w:bookmarkEnd w:id="131"/>
      <w:bookmarkEnd w:id="132"/>
    </w:p>
    <w:p>
      <w:pPr>
        <w:pStyle w:val="7"/>
        <w:rPr>
          <w:rFonts w:ascii="宋体" w:hAnsi="宋体" w:cs="TimesNewRomanPSMT"/>
          <w:bCs w:val="0"/>
          <w:i/>
          <w:iCs/>
          <w:sz w:val="24"/>
          <w:szCs w:val="24"/>
        </w:rPr>
      </w:pPr>
      <w:bookmarkStart w:id="135" w:name="_Toc31115"/>
      <w:bookmarkStart w:id="136" w:name="_Toc10292"/>
      <w:bookmarkStart w:id="137" w:name="_Toc29049"/>
      <w:bookmarkStart w:id="138" w:name="_Toc13043"/>
      <w:bookmarkStart w:id="139" w:name="_Toc32090"/>
      <w:bookmarkStart w:id="140" w:name="_Toc30645"/>
      <w:bookmarkStart w:id="141" w:name="_Toc13478"/>
      <w:bookmarkStart w:id="142" w:name="_Toc12962"/>
      <w:bookmarkStart w:id="143" w:name="_Toc15712"/>
      <w:bookmarkStart w:id="144" w:name="_Toc220505577"/>
      <w:bookmarkStart w:id="145" w:name="_Toc13861"/>
      <w:bookmarkStart w:id="146" w:name="_Toc446768885"/>
      <w:bookmarkStart w:id="147" w:name="_Toc179632791"/>
      <w:bookmarkStart w:id="148" w:name="_Toc483482271"/>
      <w:bookmarkStart w:id="149" w:name="_Toc246997085"/>
      <w:bookmarkStart w:id="150" w:name="_Toc247085857"/>
      <w:bookmarkStart w:id="151" w:name="_Toc152045774"/>
      <w:bookmarkStart w:id="152" w:name="_Toc246996342"/>
      <w:bookmarkStart w:id="153" w:name="_Toc460268094"/>
      <w:bookmarkStart w:id="154" w:name="_Toc144974836"/>
      <w:bookmarkStart w:id="155" w:name="_Toc152042556"/>
      <w:bookmarkStart w:id="156" w:name="_Toc485293292"/>
      <w:bookmarkStart w:id="157" w:name="_Toc294124225"/>
      <w:r>
        <w:rPr>
          <w:rFonts w:hint="eastAsia" w:ascii="宋体" w:hAnsi="宋体" w:cs="TimesNewRomanPSMT"/>
          <w:bCs w:val="0"/>
          <w:sz w:val="24"/>
          <w:szCs w:val="24"/>
        </w:rPr>
        <w:t>1 工程量清单部分</w:t>
      </w:r>
      <w:bookmarkEnd w:id="135"/>
      <w:bookmarkEnd w:id="136"/>
      <w:bookmarkEnd w:id="137"/>
      <w:bookmarkEnd w:id="138"/>
      <w:bookmarkEnd w:id="139"/>
      <w:bookmarkEnd w:id="140"/>
      <w:bookmarkEnd w:id="141"/>
      <w:bookmarkEnd w:id="142"/>
      <w:bookmarkEnd w:id="143"/>
      <w:bookmarkEnd w:id="144"/>
      <w:bookmarkEnd w:id="145"/>
    </w:p>
    <w:p/>
    <w:p>
      <w:pPr>
        <w:spacing w:after="120" w:line="360" w:lineRule="auto"/>
        <w:ind w:firstLine="422" w:firstLineChars="200"/>
        <w:rPr>
          <w:b/>
          <w:bCs/>
        </w:rPr>
      </w:pPr>
      <w:r>
        <w:rPr>
          <w:rFonts w:hint="eastAsia"/>
          <w:b/>
          <w:bCs/>
        </w:rPr>
        <w:t>1.1工程量清单说明</w:t>
      </w:r>
    </w:p>
    <w:p>
      <w:pPr>
        <w:snapToGrid w:val="0"/>
        <w:spacing w:line="440" w:lineRule="exact"/>
        <w:ind w:firstLine="525" w:firstLineChars="250"/>
        <w:rPr>
          <w:rFonts w:ascii="宋体" w:hAnsi="宋体"/>
          <w:szCs w:val="21"/>
        </w:rPr>
      </w:pPr>
      <w:r>
        <w:rPr>
          <w:rFonts w:hint="eastAsia" w:ascii="宋体" w:hAnsi="宋体"/>
          <w:szCs w:val="21"/>
        </w:rPr>
        <w:t>1.1.1本工程量清单是依据中华人民共和国国家标准《建设工程工程量清单计价规范》（GB50500-2013）(以下简称“计价规范”)、中华人民共和国国家标准《房屋建筑与装饰工程工程量计算规范》（GB50854-2013）、中华人民共和国国家标准《通用安装工程工程量计算规范》（GB50856-2013）、2016版《山东省建设工程费用项目组成及计算规则》、《山东省建筑工程消耗量定额》（SD 01-31-2016）、《山东省安装工程消耗量定额》（SD 02-31-2016）以及招标文件中包括的设计施工图纸及施工现场情况等编制计价规范中规定的工程量计算规则中没有的子目，应在本章第1.4款约定；计价规范中规定的工程量计算规则中没有且本章第1.4款也未约定的，双方协商确定；协商不成的，可向省级或行业工程造价管理机构申请裁定或按照有合同约束力的图纸所标示尺寸的理论净量计算。计量采用中华人民共和国法定的基本计量单位。</w:t>
      </w:r>
    </w:p>
    <w:p>
      <w:pPr>
        <w:snapToGrid w:val="0"/>
        <w:spacing w:line="440" w:lineRule="exact"/>
        <w:ind w:firstLine="525" w:firstLineChars="250"/>
        <w:rPr>
          <w:rFonts w:ascii="宋体" w:hAnsi="宋体"/>
          <w:szCs w:val="21"/>
        </w:rPr>
      </w:pPr>
      <w:r>
        <w:rPr>
          <w:rFonts w:hint="eastAsia" w:ascii="宋体" w:hAnsi="宋体"/>
          <w:szCs w:val="21"/>
        </w:rPr>
        <w:t>1.1.2本工程量清单应与招标文件中的投标人须知、通用合同条款、专用合同条款、技术标准和要求及图纸等章节内容一起阅读和理解。</w:t>
      </w:r>
    </w:p>
    <w:p>
      <w:pPr>
        <w:snapToGrid w:val="0"/>
        <w:spacing w:line="440" w:lineRule="exact"/>
        <w:ind w:firstLine="525" w:firstLineChars="250"/>
        <w:rPr>
          <w:rFonts w:ascii="宋体" w:hAnsi="宋体"/>
          <w:szCs w:val="21"/>
        </w:rPr>
      </w:pPr>
      <w:r>
        <w:rPr>
          <w:rFonts w:hint="eastAsia" w:ascii="宋体" w:hAnsi="宋体"/>
          <w:szCs w:val="21"/>
        </w:rPr>
        <w:t>1.1.3本工程量清单仅是投标报价的共同基础，竣工结算的工程量按合同约定确定。合同价格的确定以及价款支付应遵循合同条款(包括通用合同条款和专用合同条款)、技术标准和要求以及本章的有关约定。</w:t>
      </w:r>
    </w:p>
    <w:p>
      <w:pPr>
        <w:snapToGrid w:val="0"/>
        <w:spacing w:line="440" w:lineRule="exact"/>
        <w:ind w:firstLine="525" w:firstLineChars="250"/>
        <w:rPr>
          <w:rFonts w:ascii="宋体" w:hAnsi="宋体"/>
          <w:szCs w:val="21"/>
        </w:rPr>
      </w:pPr>
      <w:r>
        <w:rPr>
          <w:rFonts w:hint="eastAsia" w:ascii="宋体" w:hAnsi="宋体"/>
          <w:szCs w:val="21"/>
        </w:rPr>
        <w:t>1.1.4补充子目的子目特征、计量单位、工程量计算规则及工作内容说明如下：</w:t>
      </w:r>
    </w:p>
    <w:p>
      <w:pPr>
        <w:snapToGrid w:val="0"/>
        <w:spacing w:line="440" w:lineRule="exact"/>
        <w:ind w:firstLine="525" w:firstLineChars="250"/>
        <w:rPr>
          <w:rFonts w:ascii="宋体" w:hAnsi="宋体"/>
          <w:szCs w:val="21"/>
        </w:rPr>
      </w:pPr>
      <w:r>
        <w:rPr>
          <w:rFonts w:hint="eastAsia" w:ascii="宋体" w:hAnsi="宋体"/>
          <w:szCs w:val="21"/>
          <w:u w:val="single"/>
        </w:rPr>
        <w:t xml:space="preserve">                     详见招标工程量清单                      </w:t>
      </w:r>
      <w:r>
        <w:rPr>
          <w:rFonts w:hint="eastAsia" w:ascii="宋体" w:hAnsi="宋体"/>
          <w:szCs w:val="21"/>
        </w:rPr>
        <w:t>。</w:t>
      </w:r>
    </w:p>
    <w:p>
      <w:pPr>
        <w:snapToGrid w:val="0"/>
        <w:spacing w:line="440" w:lineRule="exact"/>
        <w:ind w:firstLine="525" w:firstLineChars="250"/>
        <w:rPr>
          <w:rFonts w:ascii="宋体" w:hAnsi="宋体"/>
          <w:szCs w:val="21"/>
        </w:rPr>
      </w:pPr>
      <w:r>
        <w:rPr>
          <w:rFonts w:hint="eastAsia" w:ascii="宋体" w:hAnsi="宋体"/>
          <w:szCs w:val="21"/>
        </w:rPr>
        <w:t>1.1.5本条第1.1款中约定的计量和计价规则适用于合同履约过程中工程量计量与价款支付、工程变更、索赔和工程结算。</w:t>
      </w:r>
    </w:p>
    <w:p>
      <w:pPr>
        <w:snapToGrid w:val="0"/>
        <w:spacing w:line="440" w:lineRule="exact"/>
        <w:ind w:firstLine="525" w:firstLineChars="250"/>
        <w:rPr>
          <w:rFonts w:ascii="宋体" w:hAnsi="宋体"/>
          <w:szCs w:val="21"/>
        </w:rPr>
      </w:pPr>
      <w:r>
        <w:rPr>
          <w:rFonts w:hint="eastAsia" w:ascii="宋体" w:hAnsi="宋体"/>
          <w:szCs w:val="21"/>
        </w:rPr>
        <w:t>1.1.6本条与下述第2条、第3条和第4条的说明内容是构成合同文件的已标价工程量清单的组成部分。</w:t>
      </w:r>
    </w:p>
    <w:p>
      <w:pPr>
        <w:pStyle w:val="19"/>
      </w:pPr>
    </w:p>
    <w:p>
      <w:pPr>
        <w:spacing w:after="120" w:line="360" w:lineRule="auto"/>
        <w:ind w:firstLine="422" w:firstLineChars="200"/>
        <w:rPr>
          <w:b/>
          <w:bCs/>
        </w:rPr>
      </w:pPr>
      <w:bookmarkStart w:id="158" w:name="_Toc483482272"/>
      <w:r>
        <w:rPr>
          <w:rFonts w:hint="eastAsia"/>
          <w:b/>
          <w:bCs/>
        </w:rPr>
        <w:t>1.2投标报价说明</w:t>
      </w:r>
      <w:bookmarkEnd w:id="158"/>
    </w:p>
    <w:p>
      <w:pPr>
        <w:snapToGrid w:val="0"/>
        <w:spacing w:line="440" w:lineRule="exact"/>
        <w:ind w:firstLine="527" w:firstLineChars="250"/>
        <w:rPr>
          <w:rFonts w:ascii="宋体" w:hAnsi="宋体"/>
          <w:szCs w:val="21"/>
        </w:rPr>
      </w:pPr>
      <w:r>
        <w:rPr>
          <w:rFonts w:hint="eastAsia" w:ascii="宋体" w:hAnsi="宋体"/>
          <w:b/>
          <w:bCs/>
          <w:szCs w:val="21"/>
        </w:rPr>
        <w:t>1.2.1投标报价应根据招标文件中的有关计价要求，并按照下列依据自主报价。</w:t>
      </w:r>
    </w:p>
    <w:p>
      <w:pPr>
        <w:numPr>
          <w:ilvl w:val="0"/>
          <w:numId w:val="10"/>
        </w:numPr>
        <w:snapToGrid w:val="0"/>
        <w:spacing w:line="440" w:lineRule="exact"/>
        <w:ind w:firstLine="525" w:firstLineChars="250"/>
        <w:rPr>
          <w:rFonts w:ascii="宋体" w:hAnsi="宋体"/>
          <w:szCs w:val="21"/>
        </w:rPr>
      </w:pPr>
      <w:r>
        <w:rPr>
          <w:rFonts w:hint="eastAsia" w:ascii="宋体" w:hAnsi="宋体"/>
          <w:szCs w:val="21"/>
        </w:rPr>
        <w:t>本招标文件；</w:t>
      </w:r>
    </w:p>
    <w:p>
      <w:pPr>
        <w:snapToGrid w:val="0"/>
        <w:spacing w:line="440" w:lineRule="exact"/>
        <w:ind w:firstLine="525" w:firstLineChars="250"/>
        <w:rPr>
          <w:rFonts w:ascii="宋体" w:hAnsi="宋体"/>
          <w:szCs w:val="21"/>
        </w:rPr>
      </w:pPr>
      <w:r>
        <w:rPr>
          <w:rFonts w:hint="eastAsia" w:ascii="宋体" w:hAnsi="宋体"/>
          <w:szCs w:val="21"/>
        </w:rPr>
        <w:t>(2)《建设工程工程量清单计价规范》（GB50500-2013）；</w:t>
      </w:r>
    </w:p>
    <w:p>
      <w:pPr>
        <w:snapToGrid w:val="0"/>
        <w:spacing w:line="440" w:lineRule="exact"/>
        <w:ind w:firstLine="525" w:firstLineChars="250"/>
        <w:rPr>
          <w:rFonts w:ascii="宋体" w:hAnsi="宋体"/>
          <w:szCs w:val="21"/>
        </w:rPr>
      </w:pPr>
      <w:r>
        <w:rPr>
          <w:rFonts w:ascii="宋体" w:hAnsi="宋体"/>
          <w:szCs w:val="21"/>
        </w:rPr>
        <w:t>(3)</w:t>
      </w:r>
      <w:r>
        <w:rPr>
          <w:rFonts w:hint="eastAsia" w:ascii="宋体" w:hAnsi="宋体"/>
          <w:szCs w:val="21"/>
        </w:rPr>
        <w:t xml:space="preserve"> 2016版《山东省建设工程费用项目组成及计算规则》；</w:t>
      </w:r>
    </w:p>
    <w:p>
      <w:pPr>
        <w:snapToGrid w:val="0"/>
        <w:spacing w:line="440" w:lineRule="exact"/>
        <w:ind w:firstLine="525" w:firstLineChars="250"/>
        <w:rPr>
          <w:rFonts w:ascii="宋体" w:hAnsi="宋体"/>
          <w:szCs w:val="21"/>
        </w:rPr>
      </w:pPr>
      <w:r>
        <w:rPr>
          <w:rFonts w:hint="eastAsia" w:ascii="宋体" w:hAnsi="宋体"/>
          <w:szCs w:val="21"/>
        </w:rPr>
        <w:t>(4)招标文件(包括工程量清单)的澄清、补充和修改文件；</w:t>
      </w:r>
    </w:p>
    <w:p>
      <w:pPr>
        <w:snapToGrid w:val="0"/>
        <w:spacing w:line="440" w:lineRule="exact"/>
        <w:ind w:firstLine="525" w:firstLineChars="250"/>
        <w:rPr>
          <w:rFonts w:ascii="宋体" w:hAnsi="宋体"/>
          <w:szCs w:val="21"/>
        </w:rPr>
      </w:pPr>
      <w:r>
        <w:rPr>
          <w:rFonts w:hint="eastAsia" w:ascii="宋体" w:hAnsi="宋体"/>
          <w:szCs w:val="21"/>
        </w:rPr>
        <w:t>(5)施工现场情况、工程特点及拟定的投标施工组织设计或施工方案；</w:t>
      </w:r>
    </w:p>
    <w:p>
      <w:pPr>
        <w:snapToGrid w:val="0"/>
        <w:spacing w:line="440" w:lineRule="exact"/>
        <w:ind w:firstLine="525" w:firstLineChars="250"/>
        <w:rPr>
          <w:rFonts w:ascii="宋体" w:hAnsi="宋体"/>
          <w:szCs w:val="21"/>
        </w:rPr>
      </w:pPr>
      <w:r>
        <w:rPr>
          <w:rFonts w:hint="eastAsia" w:ascii="宋体" w:hAnsi="宋体"/>
          <w:szCs w:val="21"/>
        </w:rPr>
        <w:t>(6)市场价格信息或工程造价管理机构发布的工程造价信息；</w:t>
      </w:r>
    </w:p>
    <w:p>
      <w:pPr>
        <w:snapToGrid w:val="0"/>
        <w:spacing w:line="440" w:lineRule="exact"/>
        <w:ind w:firstLine="525" w:firstLineChars="250"/>
        <w:rPr>
          <w:rFonts w:ascii="宋体" w:hAnsi="宋体"/>
          <w:szCs w:val="21"/>
        </w:rPr>
      </w:pPr>
      <w:r>
        <w:rPr>
          <w:rFonts w:hint="eastAsia" w:ascii="宋体" w:hAnsi="宋体"/>
          <w:szCs w:val="21"/>
        </w:rPr>
        <w:t>(7)济南市现行有关规定。</w:t>
      </w:r>
    </w:p>
    <w:p>
      <w:pPr>
        <w:snapToGrid w:val="0"/>
        <w:spacing w:line="440" w:lineRule="exact"/>
        <w:ind w:firstLine="525" w:firstLineChars="250"/>
        <w:rPr>
          <w:rFonts w:ascii="宋体" w:hAnsi="宋体"/>
          <w:szCs w:val="21"/>
        </w:rPr>
      </w:pPr>
      <w:r>
        <w:rPr>
          <w:rFonts w:hint="eastAsia" w:ascii="宋体" w:hAnsi="宋体"/>
          <w:szCs w:val="21"/>
        </w:rPr>
        <w:t>(8)其他注意事项：</w:t>
      </w:r>
    </w:p>
    <w:p>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pPr>
        <w:snapToGrid w:val="0"/>
        <w:spacing w:line="440" w:lineRule="exact"/>
        <w:ind w:firstLine="525" w:firstLineChars="250"/>
        <w:rPr>
          <w:rFonts w:ascii="宋体" w:hAnsi="宋体"/>
          <w:szCs w:val="21"/>
        </w:rPr>
      </w:pPr>
      <w:r>
        <w:rPr>
          <w:rFonts w:hint="eastAsia" w:ascii="宋体" w:hAnsi="宋体"/>
          <w:szCs w:val="21"/>
        </w:rPr>
        <w:t>2）</w:t>
      </w:r>
      <w:r>
        <w:rPr>
          <w:rFonts w:hint="eastAsia" w:ascii="宋体" w:hAnsi="宋体"/>
          <w:b/>
          <w:bCs/>
          <w:szCs w:val="21"/>
        </w:rPr>
        <w:t>在工程建设过程中发生一切安全及质量责任事故均由中标单位承担，并支付所发生的一切费用。</w:t>
      </w:r>
    </w:p>
    <w:p>
      <w:pPr>
        <w:snapToGrid w:val="0"/>
        <w:spacing w:line="440" w:lineRule="exact"/>
        <w:ind w:firstLine="525" w:firstLineChars="250"/>
        <w:rPr>
          <w:rFonts w:ascii="宋体" w:hAnsi="宋体"/>
          <w:szCs w:val="21"/>
        </w:rPr>
      </w:pPr>
      <w:r>
        <w:rPr>
          <w:rFonts w:hint="eastAsia" w:ascii="宋体" w:hAnsi="宋体"/>
          <w:szCs w:val="21"/>
        </w:rPr>
        <w:t>(9)投标人在投标报价时应综合考虑以下费用：</w:t>
      </w:r>
    </w:p>
    <w:p>
      <w:pPr>
        <w:snapToGrid w:val="0"/>
        <w:spacing w:line="440" w:lineRule="exact"/>
        <w:ind w:firstLine="525" w:firstLineChars="250"/>
        <w:rPr>
          <w:rFonts w:ascii="宋体" w:hAnsi="宋体"/>
          <w:szCs w:val="21"/>
        </w:rPr>
      </w:pPr>
      <w:r>
        <w:rPr>
          <w:rFonts w:hint="eastAsia" w:ascii="宋体" w:hAnsi="宋体"/>
          <w:szCs w:val="21"/>
        </w:rPr>
        <w:t>1）因招标文件及合同特殊要求而发生的费用；</w:t>
      </w:r>
    </w:p>
    <w:p>
      <w:pPr>
        <w:snapToGrid w:val="0"/>
        <w:spacing w:line="440" w:lineRule="exact"/>
        <w:ind w:firstLine="525" w:firstLineChars="250"/>
        <w:rPr>
          <w:rFonts w:ascii="宋体" w:hAnsi="宋体"/>
          <w:szCs w:val="21"/>
        </w:rPr>
      </w:pPr>
      <w:r>
        <w:rPr>
          <w:rFonts w:hint="eastAsia" w:ascii="宋体" w:hAnsi="宋体"/>
          <w:szCs w:val="21"/>
        </w:rPr>
        <w:t>2）工程量清单没有体现而施工中又必然发生的费用；</w:t>
      </w:r>
    </w:p>
    <w:p>
      <w:pPr>
        <w:snapToGrid w:val="0"/>
        <w:spacing w:line="440" w:lineRule="exact"/>
        <w:ind w:firstLine="525" w:firstLineChars="250"/>
        <w:rPr>
          <w:rFonts w:ascii="宋体" w:hAnsi="宋体"/>
          <w:szCs w:val="21"/>
        </w:rPr>
      </w:pPr>
      <w:r>
        <w:rPr>
          <w:rFonts w:hint="eastAsia" w:ascii="宋体" w:hAnsi="宋体"/>
          <w:szCs w:val="21"/>
        </w:rPr>
        <w:t>3）投标人投标报价时应充分考虑招标文件\第四章 合同主要条款中相关约定；</w:t>
      </w:r>
    </w:p>
    <w:p>
      <w:pPr>
        <w:snapToGrid w:val="0"/>
        <w:spacing w:line="440" w:lineRule="exact"/>
        <w:ind w:firstLine="525" w:firstLineChars="250"/>
        <w:rPr>
          <w:rFonts w:ascii="宋体" w:hAnsi="宋体"/>
          <w:szCs w:val="21"/>
        </w:rPr>
      </w:pPr>
      <w:r>
        <w:rPr>
          <w:rFonts w:hint="eastAsia" w:ascii="宋体" w:hAnsi="宋体"/>
          <w:szCs w:val="21"/>
        </w:rPr>
        <w:t>4）施工过程中政府部门向承包人收取的相应费用和保证金等，以及政府部门要求的工地周边道路扬尘治理、环境卫生、城市美化等费用；</w:t>
      </w:r>
    </w:p>
    <w:p>
      <w:pPr>
        <w:snapToGrid w:val="0"/>
        <w:spacing w:line="440" w:lineRule="exact"/>
        <w:ind w:firstLine="525" w:firstLineChars="250"/>
        <w:rPr>
          <w:rFonts w:ascii="宋体" w:hAnsi="宋体"/>
          <w:szCs w:val="21"/>
        </w:rPr>
      </w:pPr>
      <w:r>
        <w:rPr>
          <w:rFonts w:hint="eastAsia" w:ascii="宋体" w:hAnsi="宋体"/>
          <w:szCs w:val="21"/>
        </w:rPr>
        <w:t>5）考虑合同明示和暗示的所有责任、义务及不可抗力以外的一切风险因素等所发生的所有费用；</w:t>
      </w:r>
    </w:p>
    <w:p>
      <w:pPr>
        <w:snapToGrid w:val="0"/>
        <w:spacing w:line="440" w:lineRule="exact"/>
        <w:ind w:firstLine="525" w:firstLineChars="250"/>
        <w:rPr>
          <w:rFonts w:ascii="宋体" w:hAnsi="宋体"/>
          <w:szCs w:val="21"/>
        </w:rPr>
      </w:pPr>
      <w:r>
        <w:rPr>
          <w:rFonts w:hint="eastAsia" w:ascii="宋体" w:hAnsi="宋体"/>
          <w:szCs w:val="21"/>
        </w:rPr>
        <w:t>6）投标单位应自行考虑临时停水、停电的应急预案，并在投标报价中综合考虑；</w:t>
      </w:r>
    </w:p>
    <w:p>
      <w:pPr>
        <w:snapToGrid w:val="0"/>
        <w:spacing w:line="440" w:lineRule="exact"/>
        <w:ind w:firstLine="527" w:firstLineChars="250"/>
        <w:rPr>
          <w:rFonts w:ascii="宋体" w:hAnsi="宋体"/>
          <w:b/>
          <w:bCs/>
          <w:szCs w:val="21"/>
        </w:rPr>
      </w:pPr>
      <w:bookmarkStart w:id="159" w:name="_Toc483482273"/>
      <w:bookmarkStart w:id="160" w:name="_Toc32311"/>
      <w:bookmarkStart w:id="161" w:name="_Toc2530"/>
      <w:r>
        <w:rPr>
          <w:rFonts w:hint="eastAsia" w:ascii="宋体" w:hAnsi="宋体"/>
          <w:b/>
          <w:bCs/>
          <w:szCs w:val="21"/>
        </w:rPr>
        <w:t>1.2.2投标人报价须知</w:t>
      </w:r>
      <w:bookmarkEnd w:id="159"/>
    </w:p>
    <w:p>
      <w:pPr>
        <w:snapToGrid w:val="0"/>
        <w:spacing w:line="440" w:lineRule="exact"/>
        <w:ind w:firstLine="525" w:firstLineChars="250"/>
        <w:rPr>
          <w:rFonts w:ascii="宋体" w:hAnsi="宋体"/>
          <w:szCs w:val="21"/>
        </w:rPr>
      </w:pPr>
      <w:r>
        <w:rPr>
          <w:rFonts w:hint="eastAsia" w:ascii="宋体" w:hAnsi="宋体"/>
          <w:szCs w:val="21"/>
        </w:rPr>
        <w:t>（1）应按工程量清单报价格式规定的内容进行编制、填写、签字、盖章。</w:t>
      </w:r>
    </w:p>
    <w:p>
      <w:pPr>
        <w:snapToGrid w:val="0"/>
        <w:spacing w:line="440" w:lineRule="exact"/>
        <w:ind w:firstLine="525" w:firstLineChars="250"/>
        <w:rPr>
          <w:rFonts w:ascii="宋体" w:hAnsi="宋体"/>
          <w:szCs w:val="21"/>
        </w:rPr>
      </w:pPr>
      <w:r>
        <w:rPr>
          <w:rFonts w:hint="eastAsia" w:ascii="宋体" w:hAnsi="宋体"/>
          <w:szCs w:val="21"/>
        </w:rPr>
        <w:t>（2）工程量清单及其报价格式中的任何内容不得随意删除或修改。</w:t>
      </w:r>
    </w:p>
    <w:p>
      <w:pPr>
        <w:snapToGrid w:val="0"/>
        <w:spacing w:line="440" w:lineRule="exact"/>
        <w:ind w:firstLine="525" w:firstLineChars="250"/>
        <w:rPr>
          <w:rFonts w:ascii="宋体" w:hAnsi="宋体"/>
          <w:b/>
          <w:bCs/>
          <w:szCs w:val="21"/>
        </w:rPr>
      </w:pPr>
      <w:r>
        <w:rPr>
          <w:rFonts w:hint="eastAsia" w:ascii="宋体" w:hAnsi="宋体"/>
          <w:szCs w:val="21"/>
        </w:rPr>
        <w:t>（3）工程量清单报价格式中所有需要填报的单价和合价，投标人均应填报，每一项目只允许有一个报价，</w:t>
      </w:r>
      <w:r>
        <w:rPr>
          <w:rFonts w:hint="eastAsia" w:ascii="宋体" w:hAnsi="宋体"/>
          <w:b/>
          <w:bCs/>
          <w:szCs w:val="21"/>
        </w:rPr>
        <w:t>未填报的单价和合价视为此项费用已包含在工程量清单的其他单价或合价中。</w:t>
      </w:r>
    </w:p>
    <w:p>
      <w:pPr>
        <w:snapToGrid w:val="0"/>
        <w:spacing w:line="440" w:lineRule="exact"/>
        <w:ind w:firstLine="525" w:firstLineChars="250"/>
        <w:rPr>
          <w:rFonts w:ascii="宋体" w:hAnsi="宋体"/>
          <w:szCs w:val="21"/>
        </w:rPr>
      </w:pPr>
      <w:r>
        <w:rPr>
          <w:rFonts w:hint="eastAsia" w:ascii="宋体" w:hAnsi="宋体"/>
          <w:szCs w:val="21"/>
        </w:rPr>
        <w:t>（4）金额（价格）均应以人民币表示。</w:t>
      </w:r>
    </w:p>
    <w:p>
      <w:pPr>
        <w:snapToGrid w:val="0"/>
        <w:spacing w:line="440" w:lineRule="exact"/>
        <w:ind w:firstLine="525" w:firstLineChars="250"/>
        <w:rPr>
          <w:rFonts w:ascii="宋体" w:hAnsi="宋体"/>
          <w:szCs w:val="21"/>
        </w:rPr>
      </w:pPr>
      <w:r>
        <w:rPr>
          <w:rFonts w:hint="eastAsia" w:ascii="宋体" w:hAnsi="宋体"/>
          <w:szCs w:val="21"/>
        </w:rPr>
        <w:t>（5）各分项工程量清单的编制详见各分项专业的编制说明。</w:t>
      </w:r>
    </w:p>
    <w:p>
      <w:pPr>
        <w:snapToGrid w:val="0"/>
        <w:spacing w:line="440" w:lineRule="exact"/>
        <w:ind w:firstLine="525" w:firstLineChars="250"/>
        <w:rPr>
          <w:rFonts w:ascii="宋体" w:hAnsi="宋体"/>
          <w:szCs w:val="21"/>
        </w:rPr>
      </w:pPr>
      <w:r>
        <w:rPr>
          <w:rFonts w:hint="eastAsia" w:ascii="宋体" w:hAnsi="宋体"/>
          <w:szCs w:val="21"/>
        </w:rPr>
        <w:t>（6）工程质量：合格标准。</w:t>
      </w:r>
    </w:p>
    <w:p>
      <w:pPr>
        <w:snapToGrid w:val="0"/>
        <w:spacing w:line="440" w:lineRule="exact"/>
        <w:ind w:firstLine="527" w:firstLineChars="250"/>
        <w:rPr>
          <w:rFonts w:ascii="宋体" w:hAnsi="宋体"/>
          <w:b/>
          <w:szCs w:val="21"/>
        </w:rPr>
      </w:pPr>
      <w:r>
        <w:rPr>
          <w:rFonts w:hint="eastAsia" w:ascii="宋体" w:hAnsi="宋体"/>
          <w:b/>
          <w:szCs w:val="21"/>
        </w:rPr>
        <w:t>（7）投标人的报价不得改变工程量清单中的“序号、项目编码、项目名称、项目特征描述、计量单位、工程量”等内容，且不得有缺漏报价表的情况，否则按评分细则相关约定处理。</w:t>
      </w:r>
    </w:p>
    <w:p>
      <w:pPr>
        <w:snapToGrid w:val="0"/>
        <w:spacing w:line="440" w:lineRule="exact"/>
        <w:ind w:firstLine="527" w:firstLineChars="250"/>
        <w:rPr>
          <w:rFonts w:ascii="宋体" w:hAnsi="宋体"/>
          <w:b/>
          <w:bCs/>
          <w:szCs w:val="21"/>
        </w:rPr>
      </w:pPr>
      <w:bookmarkStart w:id="162" w:name="_Toc483482274"/>
      <w:r>
        <w:rPr>
          <w:rFonts w:hint="eastAsia" w:ascii="宋体" w:hAnsi="宋体"/>
          <w:b/>
          <w:bCs/>
          <w:szCs w:val="21"/>
        </w:rPr>
        <w:t>1.2.3投标报价的一般规定（报价要求包括但不限于）：</w:t>
      </w:r>
      <w:bookmarkEnd w:id="162"/>
    </w:p>
    <w:p>
      <w:pPr>
        <w:snapToGrid w:val="0"/>
        <w:spacing w:line="440" w:lineRule="exact"/>
        <w:ind w:firstLine="525" w:firstLineChars="250"/>
        <w:rPr>
          <w:rFonts w:ascii="宋体" w:hAnsi="宋体"/>
          <w:szCs w:val="21"/>
        </w:rPr>
      </w:pPr>
      <w:r>
        <w:rPr>
          <w:rFonts w:hint="eastAsia" w:ascii="宋体" w:hAnsi="宋体"/>
          <w:szCs w:val="21"/>
        </w:rPr>
        <w:t>（1）投标报价为投标人在投标文件中提出的各项支付金额的总和。</w:t>
      </w:r>
    </w:p>
    <w:p>
      <w:pPr>
        <w:snapToGrid w:val="0"/>
        <w:spacing w:line="440" w:lineRule="exact"/>
        <w:ind w:firstLine="525" w:firstLineChars="250"/>
        <w:rPr>
          <w:rFonts w:ascii="宋体" w:hAnsi="宋体"/>
          <w:szCs w:val="21"/>
        </w:rPr>
      </w:pPr>
      <w:r>
        <w:rPr>
          <w:rFonts w:hint="eastAsia" w:ascii="宋体" w:hAnsi="宋体"/>
          <w:szCs w:val="21"/>
        </w:rPr>
        <w:t>（2）投标人的投标报价，应是完成本投标须知和合同条款上所列招标工程范围及要求工期（含质保期）的全部工作所需费用总和，各种费用不得以任何理由予以重复，作为投标人计算单价或总价的依据。</w:t>
      </w:r>
    </w:p>
    <w:p>
      <w:pPr>
        <w:snapToGrid w:val="0"/>
        <w:spacing w:line="440" w:lineRule="exact"/>
        <w:ind w:firstLine="525" w:firstLineChars="250"/>
        <w:rPr>
          <w:rFonts w:ascii="宋体" w:hAnsi="宋体"/>
          <w:szCs w:val="21"/>
        </w:rPr>
      </w:pPr>
      <w:r>
        <w:rPr>
          <w:rFonts w:hint="eastAsia" w:ascii="宋体" w:hAnsi="宋体"/>
          <w:szCs w:val="21"/>
        </w:rPr>
        <w:t>（3）各投标人须根据下发的图纸，依据招标文件中提供的技术要求、工程量清单，进行自主市场报价，投标人任何漏项、漏报、少报、错报所产生的后果，投标人承担全部责任。</w:t>
      </w:r>
    </w:p>
    <w:p>
      <w:pPr>
        <w:snapToGrid w:val="0"/>
        <w:spacing w:line="440" w:lineRule="exact"/>
        <w:ind w:firstLine="525" w:firstLineChars="250"/>
        <w:rPr>
          <w:rFonts w:ascii="宋体" w:hAnsi="宋体"/>
          <w:szCs w:val="21"/>
        </w:rPr>
      </w:pPr>
      <w:r>
        <w:rPr>
          <w:rFonts w:hint="eastAsia" w:ascii="宋体" w:hAnsi="宋体"/>
          <w:szCs w:val="21"/>
        </w:rPr>
        <w:t>工程量清单应按综合单价报价。综合单价应包括为</w:t>
      </w:r>
      <w:r>
        <w:t>完成一个规定清单项目所需的人工费</w:t>
      </w:r>
      <w:r>
        <w:rPr>
          <w:rFonts w:hint="eastAsia"/>
        </w:rPr>
        <w:t>、</w:t>
      </w:r>
      <w:r>
        <w:t>材料</w:t>
      </w:r>
      <w:r>
        <w:rPr>
          <w:rFonts w:hint="eastAsia"/>
        </w:rPr>
        <w:t>、</w:t>
      </w:r>
      <w:r>
        <w:t>施工机具使用费和企业管理费</w:t>
      </w:r>
      <w:r>
        <w:rPr>
          <w:rFonts w:hint="eastAsia"/>
        </w:rPr>
        <w:t>、</w:t>
      </w:r>
      <w:r>
        <w:t>利润以及一定范围的风险费用</w:t>
      </w:r>
      <w:r>
        <w:rPr>
          <w:rFonts w:hint="eastAsia"/>
        </w:rPr>
        <w:t>等</w:t>
      </w:r>
      <w:r>
        <w:rPr>
          <w:rFonts w:hint="eastAsia" w:ascii="宋体" w:hAnsi="宋体"/>
          <w:szCs w:val="21"/>
        </w:rPr>
        <w:t>，招标人的特殊要求等而增加的费用</w:t>
      </w:r>
      <w:r>
        <w:rPr>
          <w:rFonts w:hint="eastAsia" w:ascii="宋体" w:hAnsi="宋体"/>
        </w:rPr>
        <w:t>（中标的综合单价在合同期内不得调整）</w:t>
      </w:r>
      <w:r>
        <w:rPr>
          <w:rFonts w:hint="eastAsia" w:ascii="宋体" w:hAnsi="宋体"/>
          <w:szCs w:val="21"/>
        </w:rPr>
        <w:t>。</w:t>
      </w:r>
    </w:p>
    <w:p>
      <w:pPr>
        <w:snapToGrid w:val="0"/>
        <w:spacing w:line="440" w:lineRule="exact"/>
        <w:ind w:firstLine="525" w:firstLineChars="250"/>
        <w:rPr>
          <w:rFonts w:ascii="宋体" w:hAnsi="宋体"/>
          <w:i/>
          <w:iCs/>
          <w:color w:val="FF0000"/>
          <w:szCs w:val="21"/>
          <w:u w:val="single"/>
        </w:rPr>
      </w:pPr>
      <w:r>
        <w:rPr>
          <w:rFonts w:hint="eastAsia" w:ascii="宋体" w:hAnsi="宋体"/>
          <w:szCs w:val="21"/>
        </w:rPr>
        <w:t>（4）投标人所报综合单价在合同有效期内，不随</w:t>
      </w:r>
      <w:r>
        <w:rPr>
          <w:rFonts w:hint="eastAsia" w:ascii="宋体" w:hAnsi="宋体"/>
          <w:szCs w:val="21"/>
          <w:u w:val="single"/>
        </w:rPr>
        <w:t>市场价格及除合同条款约定之外的政策调整而变化，且不随量的调整而变化</w:t>
      </w:r>
      <w:r>
        <w:rPr>
          <w:rFonts w:hint="eastAsia" w:ascii="宋体" w:hAnsi="宋体"/>
          <w:szCs w:val="21"/>
        </w:rPr>
        <w:t>，并作为结算的依据，除双方另有约定外结算时不得调整，投标人报价时综合考虑。投标人不得以报价时对现场实际情况了解不充分、报价时设计不完善、按主管部门要求必须进行设计修改或方案变更</w:t>
      </w:r>
      <w:r>
        <w:rPr>
          <w:rFonts w:hint="eastAsia" w:ascii="宋体" w:hAnsi="宋体"/>
          <w:szCs w:val="21"/>
          <w:u w:val="single"/>
        </w:rPr>
        <w:t>、市场价格浮动因素</w:t>
      </w:r>
      <w:r>
        <w:rPr>
          <w:rFonts w:hint="eastAsia" w:ascii="宋体" w:hAnsi="宋体"/>
          <w:szCs w:val="21"/>
        </w:rPr>
        <w:t>或其他政策性因素等情况为由，要求招标人调整合同单价。</w:t>
      </w:r>
    </w:p>
    <w:p>
      <w:pPr>
        <w:snapToGrid w:val="0"/>
        <w:spacing w:line="440" w:lineRule="exact"/>
        <w:ind w:firstLine="525" w:firstLineChars="250"/>
        <w:rPr>
          <w:rFonts w:ascii="宋体" w:hAnsi="宋体"/>
          <w:color w:val="FF0000"/>
          <w:szCs w:val="21"/>
          <w:u w:val="single"/>
        </w:rPr>
      </w:pPr>
      <w:r>
        <w:rPr>
          <w:rFonts w:hint="eastAsia" w:ascii="宋体" w:hAnsi="宋体"/>
          <w:szCs w:val="21"/>
        </w:rPr>
        <w:t>（5）本工程承包范围内的材料设备，按图纸设计要求和招标文件要求竞报。未做要求的其它材料设备由投标单位竞报,均必须标明相应产地、品牌、规格、型号、质量等级等，未填报质量层次的，现场以国标优等品验收（送检的时间在工期范围内）。</w:t>
      </w:r>
    </w:p>
    <w:p>
      <w:pPr>
        <w:snapToGrid w:val="0"/>
        <w:spacing w:line="440" w:lineRule="exact"/>
        <w:ind w:firstLine="525" w:firstLineChars="250"/>
        <w:rPr>
          <w:rFonts w:ascii="宋体" w:hAnsi="宋体"/>
          <w:szCs w:val="21"/>
        </w:rPr>
      </w:pPr>
      <w:r>
        <w:rPr>
          <w:rFonts w:hint="eastAsia" w:ascii="宋体" w:hAnsi="宋体"/>
          <w:szCs w:val="21"/>
        </w:rPr>
        <w:t>（6）工程量清单与招标文件一起发至投标人。</w:t>
      </w:r>
    </w:p>
    <w:p>
      <w:pPr>
        <w:snapToGrid w:val="0"/>
        <w:spacing w:line="440" w:lineRule="exact"/>
        <w:ind w:firstLine="525" w:firstLineChars="250"/>
        <w:rPr>
          <w:rFonts w:ascii="宋体" w:hAnsi="宋体"/>
          <w:szCs w:val="21"/>
        </w:rPr>
      </w:pPr>
      <w:r>
        <w:rPr>
          <w:rFonts w:hint="eastAsia" w:ascii="宋体" w:hAnsi="宋体"/>
          <w:szCs w:val="21"/>
        </w:rPr>
        <w:t>（7）投标人可应先到工地踏勘以充分理解工地位置、情况、道路、储存空间、装卸限制及任何其他足以影响承包价的情况，任何因忽视或误解工地情况而导致的索赔或工期延长申请将不被批准。</w:t>
      </w:r>
    </w:p>
    <w:p>
      <w:pPr>
        <w:snapToGrid w:val="0"/>
        <w:spacing w:line="440" w:lineRule="exact"/>
        <w:ind w:firstLine="525" w:firstLineChars="250"/>
        <w:rPr>
          <w:rFonts w:ascii="宋体" w:hAnsi="宋体"/>
          <w:szCs w:val="21"/>
        </w:rPr>
      </w:pPr>
      <w:r>
        <w:rPr>
          <w:rFonts w:hint="eastAsia" w:ascii="宋体" w:hAnsi="宋体"/>
          <w:szCs w:val="21"/>
        </w:rPr>
        <w:t>（8）其他注意事项：</w:t>
      </w:r>
    </w:p>
    <w:p>
      <w:pPr>
        <w:snapToGrid w:val="0"/>
        <w:spacing w:line="440" w:lineRule="exact"/>
        <w:ind w:firstLine="525" w:firstLineChars="250"/>
        <w:rPr>
          <w:rFonts w:ascii="宋体" w:hAnsi="宋体"/>
          <w:szCs w:val="21"/>
        </w:rPr>
      </w:pPr>
      <w:r>
        <w:rPr>
          <w:rFonts w:hint="eastAsia" w:ascii="宋体" w:hAnsi="宋体"/>
          <w:szCs w:val="21"/>
        </w:rPr>
        <w:t>1）投标人一旦参加投标，就意味着已承认招标文件中所有条款及要求，并受其约束。</w:t>
      </w:r>
    </w:p>
    <w:p>
      <w:pPr>
        <w:snapToGrid w:val="0"/>
        <w:spacing w:line="440" w:lineRule="exact"/>
        <w:ind w:firstLine="525" w:firstLineChars="250"/>
        <w:rPr>
          <w:rFonts w:ascii="宋体" w:hAnsi="宋体"/>
          <w:szCs w:val="21"/>
        </w:rPr>
      </w:pPr>
      <w:r>
        <w:rPr>
          <w:rFonts w:hint="eastAsia" w:ascii="宋体" w:hAnsi="宋体"/>
          <w:szCs w:val="21"/>
        </w:rPr>
        <w:t>2）在工程建设过程中发生一切安全及质量责任事故均由中标单位承担，并支付所发生的一切费用。</w:t>
      </w:r>
    </w:p>
    <w:p>
      <w:pPr>
        <w:snapToGrid w:val="0"/>
        <w:spacing w:line="440" w:lineRule="exact"/>
        <w:ind w:firstLine="525" w:firstLineChars="250"/>
        <w:rPr>
          <w:rFonts w:ascii="宋体" w:hAnsi="宋体"/>
          <w:szCs w:val="21"/>
        </w:rPr>
      </w:pPr>
      <w:r>
        <w:rPr>
          <w:rFonts w:hint="eastAsia" w:ascii="宋体" w:hAnsi="宋体"/>
          <w:szCs w:val="21"/>
        </w:rPr>
        <w:t>（9）投标人在投标报价时应综合考虑以下费用：</w:t>
      </w:r>
    </w:p>
    <w:p>
      <w:pPr>
        <w:snapToGrid w:val="0"/>
        <w:spacing w:line="440" w:lineRule="exact"/>
        <w:ind w:firstLine="525" w:firstLineChars="250"/>
        <w:rPr>
          <w:rFonts w:ascii="宋体" w:hAnsi="宋体"/>
          <w:szCs w:val="21"/>
        </w:rPr>
      </w:pPr>
      <w:r>
        <w:rPr>
          <w:rFonts w:hint="eastAsia" w:ascii="宋体" w:hAnsi="宋体"/>
          <w:szCs w:val="21"/>
        </w:rPr>
        <w:t>1）因招标文件及合同特殊要求而发生的费用；</w:t>
      </w:r>
    </w:p>
    <w:p>
      <w:pPr>
        <w:snapToGrid w:val="0"/>
        <w:spacing w:line="440" w:lineRule="exact"/>
        <w:ind w:firstLine="525" w:firstLineChars="250"/>
        <w:rPr>
          <w:rFonts w:ascii="宋体" w:hAnsi="宋体"/>
          <w:szCs w:val="21"/>
        </w:rPr>
      </w:pPr>
      <w:r>
        <w:rPr>
          <w:rFonts w:hint="eastAsia" w:ascii="宋体" w:hAnsi="宋体"/>
          <w:szCs w:val="21"/>
        </w:rPr>
        <w:t>2）工程量清单没有体现而施工中又必然发生的费用；</w:t>
      </w:r>
    </w:p>
    <w:p>
      <w:pPr>
        <w:snapToGrid w:val="0"/>
        <w:spacing w:line="440" w:lineRule="exact"/>
        <w:ind w:firstLine="525" w:firstLineChars="250"/>
        <w:rPr>
          <w:rFonts w:ascii="宋体" w:hAnsi="宋体"/>
          <w:szCs w:val="21"/>
        </w:rPr>
      </w:pPr>
      <w:r>
        <w:rPr>
          <w:rFonts w:hint="eastAsia" w:ascii="宋体" w:hAnsi="宋体"/>
          <w:szCs w:val="21"/>
        </w:rPr>
        <w:t>3）投标人投标报价时应充分考虑招标文件</w:t>
      </w:r>
      <w:r>
        <w:rPr>
          <w:rFonts w:ascii="宋体" w:hAnsi="宋体"/>
          <w:szCs w:val="21"/>
        </w:rPr>
        <w:t>/</w:t>
      </w:r>
      <w:r>
        <w:rPr>
          <w:rFonts w:hint="eastAsia" w:ascii="宋体" w:hAnsi="宋体"/>
          <w:szCs w:val="21"/>
        </w:rPr>
        <w:t>第四章 合同主要条款中相关约定；</w:t>
      </w:r>
    </w:p>
    <w:p>
      <w:pPr>
        <w:snapToGrid w:val="0"/>
        <w:spacing w:line="440" w:lineRule="exact"/>
        <w:ind w:firstLine="525" w:firstLineChars="250"/>
        <w:rPr>
          <w:rFonts w:ascii="宋体" w:hAnsi="宋体"/>
          <w:szCs w:val="21"/>
        </w:rPr>
      </w:pPr>
      <w:r>
        <w:rPr>
          <w:rFonts w:hint="eastAsia" w:ascii="宋体" w:hAnsi="宋体"/>
          <w:szCs w:val="21"/>
        </w:rPr>
        <w:t>4）施工过程中政府部门向承包人收取的相应费用和保证金等，以及政府部门要求的工地周边道路扬尘治理、环境卫生、城市美化等费用；</w:t>
      </w:r>
    </w:p>
    <w:p>
      <w:pPr>
        <w:snapToGrid w:val="0"/>
        <w:spacing w:line="440" w:lineRule="exact"/>
        <w:ind w:firstLine="525" w:firstLineChars="250"/>
        <w:rPr>
          <w:rFonts w:ascii="宋体" w:hAnsi="宋体"/>
          <w:szCs w:val="21"/>
        </w:rPr>
      </w:pPr>
      <w:r>
        <w:rPr>
          <w:rFonts w:hint="eastAsia" w:ascii="宋体" w:hAnsi="宋体"/>
          <w:szCs w:val="21"/>
        </w:rPr>
        <w:t>5）考虑合同明示和暗示的所有责任、义务及不可抗力以外的一切风险因素等所发生的所有费用；</w:t>
      </w:r>
    </w:p>
    <w:p>
      <w:pPr>
        <w:snapToGrid w:val="0"/>
        <w:spacing w:line="440" w:lineRule="exact"/>
        <w:ind w:firstLine="525" w:firstLineChars="250"/>
        <w:rPr>
          <w:rFonts w:ascii="宋体" w:hAnsi="宋体"/>
          <w:szCs w:val="21"/>
        </w:rPr>
      </w:pPr>
      <w:r>
        <w:rPr>
          <w:rFonts w:hint="eastAsia" w:ascii="宋体" w:hAnsi="宋体"/>
          <w:szCs w:val="21"/>
        </w:rPr>
        <w:t>6）投标单位应自行考虑临时停水、停电的应急预案，并在投标报价中综合考虑；</w:t>
      </w:r>
    </w:p>
    <w:p>
      <w:pPr>
        <w:snapToGrid w:val="0"/>
        <w:spacing w:line="440" w:lineRule="exact"/>
        <w:ind w:firstLine="527" w:firstLineChars="250"/>
        <w:rPr>
          <w:rFonts w:ascii="宋体" w:hAnsi="宋体"/>
          <w:b/>
          <w:bCs/>
          <w:szCs w:val="21"/>
        </w:rPr>
      </w:pPr>
      <w:r>
        <w:rPr>
          <w:rFonts w:hint="eastAsia" w:ascii="宋体" w:hAnsi="宋体"/>
          <w:b/>
          <w:bCs/>
          <w:szCs w:val="21"/>
        </w:rPr>
        <w:t>7）不允许投标单位采用不平衡报价，如发现非客观因素不平衡报价，招标人有权对其高报价部分予以调低价格</w:t>
      </w:r>
      <w:r>
        <w:rPr>
          <w:rFonts w:hint="eastAsia"/>
          <w:b/>
          <w:bCs/>
        </w:rPr>
        <w:t>，结算时按不利于投标人的方式结算</w:t>
      </w:r>
      <w:r>
        <w:rPr>
          <w:rFonts w:hint="eastAsia" w:ascii="宋体" w:hAnsi="宋体"/>
          <w:b/>
          <w:bCs/>
          <w:szCs w:val="21"/>
        </w:rPr>
        <w:t>。</w:t>
      </w:r>
    </w:p>
    <w:p>
      <w:pPr>
        <w:snapToGrid w:val="0"/>
        <w:spacing w:line="440" w:lineRule="exact"/>
        <w:ind w:firstLine="527" w:firstLineChars="250"/>
        <w:rPr>
          <w:rFonts w:ascii="宋体" w:hAnsi="宋体"/>
          <w:b/>
          <w:bCs/>
          <w:szCs w:val="21"/>
        </w:rPr>
      </w:pPr>
      <w:bookmarkStart w:id="163" w:name="_Toc483482275"/>
      <w:r>
        <w:rPr>
          <w:rFonts w:hint="eastAsia" w:ascii="宋体" w:hAnsi="宋体"/>
          <w:b/>
          <w:bCs/>
          <w:szCs w:val="21"/>
        </w:rPr>
        <w:t>1.2.4工程量清单报价格式：（详见最终发出的工程量清单及报价格式）</w:t>
      </w:r>
      <w:bookmarkEnd w:id="163"/>
    </w:p>
    <w:p>
      <w:pPr>
        <w:snapToGrid w:val="0"/>
        <w:spacing w:line="440" w:lineRule="exact"/>
        <w:ind w:firstLine="527" w:firstLineChars="250"/>
        <w:rPr>
          <w:rFonts w:ascii="宋体" w:hAnsi="宋体"/>
          <w:b/>
          <w:bCs/>
          <w:szCs w:val="21"/>
        </w:rPr>
      </w:pPr>
      <w:bookmarkStart w:id="164" w:name="_Toc483482276"/>
      <w:r>
        <w:rPr>
          <w:rFonts w:hint="eastAsia" w:ascii="宋体" w:hAnsi="宋体"/>
          <w:b/>
          <w:bCs/>
          <w:szCs w:val="21"/>
        </w:rPr>
        <w:t>1.2.5工程量清单报价须知：</w:t>
      </w:r>
      <w:bookmarkEnd w:id="164"/>
    </w:p>
    <w:p>
      <w:pPr>
        <w:snapToGrid w:val="0"/>
        <w:spacing w:line="440" w:lineRule="exact"/>
        <w:ind w:firstLine="525" w:firstLineChars="250"/>
        <w:rPr>
          <w:rFonts w:ascii="宋体" w:hAnsi="宋体"/>
          <w:szCs w:val="21"/>
        </w:rPr>
      </w:pPr>
      <w:r>
        <w:rPr>
          <w:rFonts w:hint="eastAsia" w:ascii="宋体" w:hAnsi="宋体"/>
          <w:szCs w:val="21"/>
        </w:rPr>
        <w:t>1）招标人对本次招标工程量清单准确性负责，工程量清单给各投标人价格竞争提供了统一的平台，投标人应按照守法、诚信、合理原则报价，并且承担报价的风险。本次招标投标人应特别注意：投标单位应依据山东省住房和城乡建设厅关于调整建设工程计价依据增值税税率的通知(鲁建标字〔2019〕10号文)、社会保障费按照鲁政办发〔2017〕57号执行。规费和税金为不可竞争费用，应计入投标报价中（规费取费标准详见最终发出的工程量清单；税金按“一般计税”法），工程价款结算执行财政部建设部关于印发《建设工程价款结算暂行办法》的通知</w:t>
      </w:r>
      <w:r>
        <w:rPr>
          <w:rFonts w:ascii="宋体" w:hAnsi="宋体"/>
          <w:szCs w:val="21"/>
        </w:rPr>
        <w:t>(</w:t>
      </w:r>
      <w:r>
        <w:rPr>
          <w:rFonts w:hint="eastAsia" w:ascii="宋体" w:hAnsi="宋体"/>
          <w:szCs w:val="21"/>
        </w:rPr>
        <w:t>财建</w:t>
      </w:r>
      <w:r>
        <w:rPr>
          <w:rFonts w:ascii="宋体" w:hAnsi="宋体"/>
          <w:szCs w:val="21"/>
        </w:rPr>
        <w:t>[2004]369</w:t>
      </w:r>
      <w:r>
        <w:rPr>
          <w:rFonts w:hint="eastAsia" w:ascii="宋体" w:hAnsi="宋体"/>
          <w:szCs w:val="21"/>
        </w:rPr>
        <w:t>号文件</w:t>
      </w:r>
      <w:r>
        <w:rPr>
          <w:rFonts w:ascii="宋体" w:hAnsi="宋体"/>
          <w:szCs w:val="21"/>
        </w:rPr>
        <w:t>)</w:t>
      </w:r>
      <w:r>
        <w:rPr>
          <w:rFonts w:hint="eastAsia" w:ascii="宋体" w:hAnsi="宋体"/>
          <w:szCs w:val="21"/>
        </w:rPr>
        <w:t>规定。</w:t>
      </w:r>
    </w:p>
    <w:p>
      <w:pPr>
        <w:tabs>
          <w:tab w:val="left" w:pos="2310"/>
        </w:tabs>
        <w:spacing w:line="440" w:lineRule="exact"/>
        <w:ind w:left="1" w:firstLine="413" w:firstLineChars="196"/>
        <w:rPr>
          <w:rFonts w:ascii="宋体" w:hAnsi="宋体" w:cs="TimesNewRomanPSMT"/>
          <w:b/>
          <w:szCs w:val="21"/>
          <w:u w:val="single"/>
        </w:rPr>
      </w:pPr>
      <w:r>
        <w:rPr>
          <w:rFonts w:hint="eastAsia" w:ascii="宋体" w:hAnsi="宋体" w:cs="TimesNewRomanPSMT"/>
          <w:b/>
          <w:szCs w:val="21"/>
          <w:u w:val="single"/>
        </w:rPr>
        <w:t>2）本项目无暂估价材料、设备。</w:t>
      </w:r>
    </w:p>
    <w:p>
      <w:pPr>
        <w:tabs>
          <w:tab w:val="left" w:pos="2310"/>
        </w:tabs>
        <w:spacing w:line="440" w:lineRule="exact"/>
        <w:ind w:left="1" w:firstLine="413" w:firstLineChars="196"/>
        <w:rPr>
          <w:rFonts w:ascii="宋体" w:hAnsi="宋体"/>
          <w:b/>
          <w:szCs w:val="21"/>
          <w:u w:val="single"/>
        </w:rPr>
      </w:pPr>
      <w:r>
        <w:rPr>
          <w:rFonts w:hint="eastAsia" w:ascii="宋体" w:hAnsi="宋体" w:cs="TimesNewRomanPSMT"/>
          <w:b/>
          <w:szCs w:val="21"/>
          <w:u w:val="single"/>
        </w:rPr>
        <w:t>3）投标人自购</w:t>
      </w:r>
      <w:r>
        <w:rPr>
          <w:rFonts w:hint="eastAsia" w:ascii="宋体" w:hAnsi="宋体"/>
          <w:b/>
          <w:szCs w:val="21"/>
          <w:u w:val="single"/>
        </w:rPr>
        <w:t>工程设备费计入设备费，不计入清单综合单价（材料和设备划分标准执行《建筑工程计价设备材料划分标准》GB/T50531-2009）。</w:t>
      </w:r>
    </w:p>
    <w:p>
      <w:pPr>
        <w:snapToGrid w:val="0"/>
        <w:spacing w:line="440" w:lineRule="exact"/>
        <w:ind w:firstLine="420" w:firstLineChars="200"/>
        <w:rPr>
          <w:rFonts w:ascii="宋体" w:hAnsi="宋体"/>
          <w:b/>
          <w:szCs w:val="28"/>
          <w:u w:val="single"/>
        </w:rPr>
      </w:pPr>
      <w:r>
        <w:rPr>
          <w:rFonts w:hint="eastAsia" w:ascii="宋体" w:hAnsi="宋体"/>
          <w:bCs/>
          <w:szCs w:val="21"/>
        </w:rPr>
        <w:t>4）</w:t>
      </w:r>
      <w:r>
        <w:rPr>
          <w:rFonts w:hint="eastAsia" w:ascii="宋体" w:hAnsi="宋体"/>
          <w:bCs/>
          <w:szCs w:val="28"/>
        </w:rPr>
        <w:t>按照2016版《山东省建设工程费用项目组成及计算规则》规定，</w:t>
      </w:r>
      <w:r>
        <w:rPr>
          <w:rFonts w:hint="eastAsia" w:ascii="宋体" w:hAnsi="宋体"/>
          <w:b/>
          <w:szCs w:val="28"/>
          <w:u w:val="single"/>
        </w:rPr>
        <w:t>专业工程暂估价仅作为计取总包管理费的基数，不计入投标总报价。</w:t>
      </w:r>
    </w:p>
    <w:p>
      <w:pPr>
        <w:tabs>
          <w:tab w:val="left" w:pos="2310"/>
        </w:tabs>
        <w:spacing w:line="440" w:lineRule="exact"/>
        <w:ind w:left="1" w:firstLine="422" w:firstLineChars="200"/>
        <w:rPr>
          <w:rFonts w:ascii="宋体" w:hAnsi="宋体" w:cs="TimesNewRomanPSMT"/>
          <w:b/>
          <w:color w:val="FF0000"/>
          <w:szCs w:val="21"/>
          <w:u w:val="single"/>
        </w:rPr>
      </w:pPr>
      <w:r>
        <w:rPr>
          <w:rFonts w:hint="eastAsia" w:ascii="宋体" w:hAnsi="宋体" w:cs="TimesNewRomanPSMT"/>
          <w:b/>
          <w:szCs w:val="21"/>
        </w:rPr>
        <w:t>5）</w:t>
      </w:r>
      <w:r>
        <w:rPr>
          <w:rFonts w:hint="eastAsia" w:ascii="宋体" w:hAnsi="宋体" w:cs="TimesNewRomanPSMT"/>
          <w:bCs/>
          <w:szCs w:val="21"/>
        </w:rPr>
        <w:t>本工程无暂列金。</w:t>
      </w:r>
    </w:p>
    <w:p>
      <w:pPr>
        <w:snapToGrid w:val="0"/>
        <w:spacing w:line="440" w:lineRule="exact"/>
        <w:ind w:firstLine="420" w:firstLineChars="200"/>
        <w:rPr>
          <w:rFonts w:ascii="宋体" w:hAnsi="宋体"/>
          <w:b/>
          <w:szCs w:val="21"/>
        </w:rPr>
      </w:pPr>
      <w:r>
        <w:rPr>
          <w:rFonts w:hint="eastAsia" w:ascii="宋体" w:hAnsi="宋体"/>
          <w:bCs/>
          <w:szCs w:val="21"/>
        </w:rPr>
        <w:t>6）税金</w:t>
      </w:r>
      <w:r>
        <w:rPr>
          <w:rFonts w:hint="eastAsia" w:ascii="宋体" w:hAnsi="宋体"/>
          <w:bCs/>
        </w:rPr>
        <w:t>：本工程增值税税率为</w:t>
      </w:r>
      <w:r>
        <w:rPr>
          <w:rFonts w:ascii="宋体" w:hAnsi="宋体"/>
          <w:bCs/>
        </w:rPr>
        <w:t>9</w:t>
      </w:r>
      <w:r>
        <w:rPr>
          <w:rFonts w:hint="eastAsia" w:ascii="宋体" w:hAnsi="宋体"/>
          <w:bCs/>
        </w:rPr>
        <w:t>%</w:t>
      </w:r>
      <w:r>
        <w:rPr>
          <w:rFonts w:hint="eastAsia" w:ascii="宋体" w:hAnsi="宋体"/>
          <w:bCs/>
          <w:szCs w:val="21"/>
        </w:rPr>
        <w:t>。</w:t>
      </w:r>
      <w:r>
        <w:rPr>
          <w:rFonts w:hint="eastAsia" w:ascii="宋体" w:hAnsi="宋体" w:cs="TimesNewRomanPSMT"/>
          <w:b/>
          <w:szCs w:val="21"/>
        </w:rPr>
        <w:t xml:space="preserve"> </w:t>
      </w:r>
    </w:p>
    <w:p>
      <w:pPr>
        <w:pStyle w:val="7"/>
        <w:rPr>
          <w:rFonts w:ascii="宋体" w:hAnsi="宋体" w:cs="TimesNewRomanPSMT"/>
          <w:bCs w:val="0"/>
          <w:i/>
          <w:iCs/>
          <w:sz w:val="24"/>
          <w:szCs w:val="24"/>
        </w:rPr>
      </w:pPr>
      <w:bookmarkStart w:id="165" w:name="_Toc5747"/>
      <w:bookmarkStart w:id="166" w:name="_Toc15878"/>
      <w:bookmarkStart w:id="167" w:name="_Toc357"/>
      <w:bookmarkStart w:id="168" w:name="_Toc7120"/>
      <w:bookmarkStart w:id="169" w:name="_Toc11150"/>
      <w:bookmarkStart w:id="170" w:name="_Toc11051"/>
      <w:bookmarkStart w:id="171" w:name="_Toc220505578"/>
      <w:bookmarkStart w:id="172" w:name="_Toc16763"/>
      <w:bookmarkStart w:id="173" w:name="_Toc28390"/>
      <w:bookmarkStart w:id="174" w:name="_Toc15995"/>
      <w:bookmarkStart w:id="175" w:name="_Toc21712"/>
      <w:bookmarkStart w:id="176" w:name="_Toc483482277"/>
      <w:r>
        <w:rPr>
          <w:rFonts w:hint="eastAsia" w:ascii="宋体" w:hAnsi="宋体" w:cs="TimesNewRomanPSMT"/>
          <w:bCs w:val="0"/>
          <w:sz w:val="24"/>
          <w:szCs w:val="24"/>
        </w:rPr>
        <w:t>2 清单以外项目</w:t>
      </w:r>
      <w:bookmarkEnd w:id="165"/>
      <w:bookmarkEnd w:id="166"/>
      <w:bookmarkEnd w:id="167"/>
      <w:bookmarkEnd w:id="168"/>
      <w:bookmarkEnd w:id="169"/>
      <w:bookmarkEnd w:id="170"/>
      <w:bookmarkEnd w:id="171"/>
      <w:bookmarkEnd w:id="172"/>
      <w:bookmarkEnd w:id="173"/>
      <w:bookmarkEnd w:id="174"/>
      <w:bookmarkEnd w:id="175"/>
    </w:p>
    <w:p>
      <w:pPr>
        <w:tabs>
          <w:tab w:val="left" w:pos="2310"/>
        </w:tabs>
        <w:spacing w:line="440" w:lineRule="exact"/>
        <w:ind w:left="1" w:firstLine="420" w:firstLineChars="200"/>
        <w:rPr>
          <w:rFonts w:ascii="宋体" w:hAnsi="宋体" w:cs="TimesNewRomanPSMT"/>
          <w:bCs/>
          <w:szCs w:val="21"/>
        </w:rPr>
      </w:pPr>
      <w:r>
        <w:rPr>
          <w:rFonts w:hint="eastAsia" w:ascii="宋体" w:hAnsi="宋体" w:cs="TimesNewRomanPSMT"/>
          <w:bCs/>
          <w:szCs w:val="21"/>
        </w:rPr>
        <w:t>清单以外项目是指结算时不适用合同专用条款10.4.1《变更估价》（1）、（2）进行结算的项目。</w:t>
      </w:r>
    </w:p>
    <w:p>
      <w:pPr>
        <w:snapToGrid w:val="0"/>
        <w:spacing w:line="440" w:lineRule="exact"/>
        <w:ind w:firstLine="525" w:firstLineChars="250"/>
        <w:rPr>
          <w:rFonts w:ascii="宋体" w:hAnsi="宋体" w:cs="TimesNewRomanPSMT"/>
          <w:bCs/>
        </w:rPr>
      </w:pPr>
      <w:r>
        <w:rPr>
          <w:rFonts w:hint="eastAsia" w:ascii="宋体" w:hAnsi="宋体" w:cs="TimesNewRomanPSMT"/>
          <w:bCs/>
        </w:rPr>
        <w:t>2.1计价依据：</w:t>
      </w:r>
    </w:p>
    <w:p>
      <w:pPr>
        <w:snapToGrid w:val="0"/>
        <w:spacing w:line="440" w:lineRule="exact"/>
        <w:ind w:firstLine="420" w:firstLineChars="20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1 \* GB3 \* MERGEFORMAT </w:instrText>
      </w:r>
      <w:r>
        <w:rPr>
          <w:rFonts w:hint="eastAsia" w:ascii="宋体" w:hAnsi="宋体" w:cs="TimesNewRomanPSMT"/>
          <w:bCs/>
        </w:rPr>
        <w:fldChar w:fldCharType="separate"/>
      </w:r>
      <w:r>
        <w:rPr>
          <w:rFonts w:hint="eastAsia" w:ascii="宋体" w:hAnsi="宋体" w:cs="TimesNewRomanPSMT"/>
          <w:bCs/>
        </w:rPr>
        <w:t>①</w:t>
      </w:r>
      <w:r>
        <w:rPr>
          <w:rFonts w:hint="eastAsia" w:ascii="宋体" w:hAnsi="宋体" w:cs="TimesNewRomanPSMT"/>
          <w:bCs/>
        </w:rPr>
        <w:fldChar w:fldCharType="end"/>
      </w:r>
      <w:r>
        <w:rPr>
          <w:rFonts w:hint="eastAsia" w:ascii="宋体" w:hAnsi="宋体" w:cs="TimesNewRomanPSMT"/>
          <w:bCs/>
        </w:rPr>
        <w:t>计价依据：2016版《山东省建筑工程消耗量定额》、2016版《山东省安装工程消耗量定额》、2016版《山东省市政工程消耗量定额》、2016版《山东省园林绿化工程消耗量定额》、2020版《山东省房屋修缮工程消耗量定额》及其补充定额，2021版价目表；</w:t>
      </w:r>
    </w:p>
    <w:p>
      <w:pPr>
        <w:snapToGrid w:val="0"/>
        <w:spacing w:line="440" w:lineRule="exact"/>
        <w:ind w:firstLine="525" w:firstLineChars="25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2 \* GB3 \* MERGEFORMAT </w:instrText>
      </w:r>
      <w:r>
        <w:rPr>
          <w:rFonts w:hint="eastAsia" w:ascii="宋体" w:hAnsi="宋体" w:cs="TimesNewRomanPSMT"/>
          <w:bCs/>
        </w:rPr>
        <w:fldChar w:fldCharType="separate"/>
      </w:r>
      <w:r>
        <w:rPr>
          <w:rFonts w:hint="eastAsia" w:ascii="宋体" w:hAnsi="宋体" w:cs="TimesNewRomanPSMT"/>
          <w:bCs/>
        </w:rPr>
        <w:t>②</w:t>
      </w:r>
      <w:r>
        <w:rPr>
          <w:rFonts w:hint="eastAsia" w:ascii="宋体" w:hAnsi="宋体" w:cs="TimesNewRomanPSMT"/>
          <w:bCs/>
        </w:rPr>
        <w:fldChar w:fldCharType="end"/>
      </w:r>
      <w:r>
        <w:rPr>
          <w:rFonts w:hint="eastAsia" w:ascii="宋体" w:hAnsi="宋体" w:cs="TimesNewRomanPSMT"/>
          <w:bCs/>
        </w:rPr>
        <w:t>工程类别：建筑执行Ⅲ类取费，安装执行工业安装取费，装饰执行Ⅲ类取费，市政执行Ⅲ类取费；</w:t>
      </w:r>
    </w:p>
    <w:p>
      <w:pPr>
        <w:snapToGrid w:val="0"/>
        <w:spacing w:line="440" w:lineRule="exact"/>
        <w:ind w:firstLine="525" w:firstLineChars="250"/>
        <w:rPr>
          <w:rFonts w:ascii="宋体" w:hAnsi="宋体" w:cs="TimesNewRomanPSMT"/>
          <w:bCs/>
        </w:rPr>
      </w:pPr>
      <w:r>
        <w:rPr>
          <w:rFonts w:hint="eastAsia" w:ascii="宋体" w:hAnsi="宋体" w:cs="TimesNewRomanPSMT"/>
          <w:bCs/>
        </w:rPr>
        <w:fldChar w:fldCharType="begin"/>
      </w:r>
      <w:r>
        <w:rPr>
          <w:rFonts w:hint="eastAsia" w:ascii="宋体" w:hAnsi="宋体" w:cs="TimesNewRomanPSMT"/>
          <w:bCs/>
        </w:rPr>
        <w:instrText xml:space="preserve"> = 3 \* GB3 \* MERGEFORMAT </w:instrText>
      </w:r>
      <w:r>
        <w:rPr>
          <w:rFonts w:hint="eastAsia" w:ascii="宋体" w:hAnsi="宋体" w:cs="TimesNewRomanPSMT"/>
          <w:bCs/>
        </w:rPr>
        <w:fldChar w:fldCharType="separate"/>
      </w:r>
      <w:r>
        <w:rPr>
          <w:rFonts w:hint="eastAsia" w:ascii="宋体" w:hAnsi="宋体" w:cs="TimesNewRomanPSMT"/>
          <w:bCs/>
        </w:rPr>
        <w:t>③</w:t>
      </w:r>
      <w:r>
        <w:rPr>
          <w:rFonts w:hint="eastAsia" w:ascii="宋体" w:hAnsi="宋体" w:cs="TimesNewRomanPSMT"/>
          <w:bCs/>
        </w:rPr>
        <w:fldChar w:fldCharType="end"/>
      </w:r>
      <w:r>
        <w:rPr>
          <w:rFonts w:hint="eastAsia" w:ascii="宋体" w:hAnsi="宋体" w:cs="TimesNewRomanPSMT"/>
          <w:bCs/>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雨水斗等），材质不变仅规格型号发生变更的，变更后仅调整不同规格型号的材料市场价差；</w:t>
      </w:r>
    </w:p>
    <w:p>
      <w:pPr>
        <w:snapToGrid w:val="0"/>
        <w:spacing w:line="440" w:lineRule="exact"/>
        <w:ind w:firstLine="527" w:firstLineChars="250"/>
        <w:rPr>
          <w:rFonts w:ascii="宋体" w:hAnsi="宋体" w:cs="TimesNewRomanPSMT"/>
          <w:b/>
          <w:i/>
          <w:iCs/>
          <w:color w:val="FF0000"/>
          <w:u w:val="single"/>
        </w:rPr>
      </w:pPr>
      <w:r>
        <w:rPr>
          <w:rFonts w:hint="eastAsia" w:ascii="宋体" w:hAnsi="宋体" w:cs="TimesNewRomanPSMT"/>
          <w:b/>
        </w:rPr>
        <w:fldChar w:fldCharType="begin"/>
      </w:r>
      <w:r>
        <w:rPr>
          <w:rFonts w:hint="eastAsia" w:ascii="宋体" w:hAnsi="宋体" w:cs="TimesNewRomanPSMT"/>
          <w:b/>
        </w:rPr>
        <w:instrText xml:space="preserve"> = 4 \* GB3 \* MERGEFORMAT </w:instrText>
      </w:r>
      <w:r>
        <w:rPr>
          <w:rFonts w:hint="eastAsia" w:ascii="宋体" w:hAnsi="宋体" w:cs="TimesNewRomanPSMT"/>
          <w:b/>
        </w:rPr>
        <w:fldChar w:fldCharType="separate"/>
      </w:r>
      <w:r>
        <w:rPr>
          <w:rFonts w:hint="eastAsia" w:ascii="宋体" w:hAnsi="宋体" w:cs="TimesNewRomanPSMT"/>
          <w:b/>
        </w:rPr>
        <w:t>④</w:t>
      </w:r>
      <w:r>
        <w:rPr>
          <w:rFonts w:hint="eastAsia" w:ascii="宋体" w:hAnsi="宋体" w:cs="TimesNewRomanPSMT"/>
          <w:b/>
        </w:rPr>
        <w:fldChar w:fldCharType="end"/>
      </w:r>
      <w:r>
        <w:rPr>
          <w:rFonts w:hint="eastAsia" w:ascii="宋体" w:hAnsi="宋体" w:cs="TimesNewRomanPSMT"/>
          <w:b/>
        </w:rPr>
        <w:t>承包人按上述原则就清单外工作内容按总造价统一让利</w:t>
      </w:r>
      <w:r>
        <w:rPr>
          <w:rFonts w:hint="eastAsia" w:ascii="宋体" w:hAnsi="宋体" w:cs="TimesNewRomanPSMT"/>
          <w:b/>
          <w:u w:val="single"/>
        </w:rPr>
        <w:t xml:space="preserve"> </w:t>
      </w:r>
      <w:r>
        <w:rPr>
          <w:rFonts w:ascii="宋体" w:hAnsi="宋体" w:cs="TimesNewRomanPSMT"/>
          <w:b/>
          <w:u w:val="single"/>
        </w:rPr>
        <w:t>5</w:t>
      </w:r>
      <w:r>
        <w:rPr>
          <w:rFonts w:hint="eastAsia" w:ascii="宋体" w:hAnsi="宋体" w:cs="TimesNewRomanPSMT"/>
          <w:b/>
          <w:u w:val="single"/>
        </w:rPr>
        <w:t xml:space="preserve"> </w:t>
      </w:r>
      <w:r>
        <w:rPr>
          <w:rFonts w:hint="eastAsia" w:ascii="宋体" w:hAnsi="宋体" w:cs="TimesNewRomanPSMT"/>
          <w:b/>
        </w:rPr>
        <w:t>%。</w:t>
      </w:r>
      <w:bookmarkStart w:id="177" w:name="_Hlk185326353"/>
    </w:p>
    <w:bookmarkEnd w:id="177"/>
    <w:p>
      <w:pPr>
        <w:snapToGrid w:val="0"/>
        <w:spacing w:line="440" w:lineRule="exact"/>
        <w:ind w:firstLine="422" w:firstLineChars="200"/>
        <w:rPr>
          <w:b/>
        </w:rPr>
      </w:pPr>
      <w:r>
        <w:rPr>
          <w:rFonts w:hint="eastAsia" w:ascii="宋体" w:hAnsi="宋体" w:cs="TimesNewRomanPSMT"/>
          <w:b/>
        </w:rPr>
        <w:t>（但经招标人审核签认的计入设备费的设备价格不参与让利。）</w:t>
      </w:r>
    </w:p>
    <w:p>
      <w:pPr>
        <w:snapToGrid w:val="0"/>
        <w:spacing w:line="440" w:lineRule="exact"/>
        <w:ind w:firstLine="525" w:firstLineChars="250"/>
        <w:rPr>
          <w:rFonts w:ascii="宋体" w:hAnsi="宋体"/>
        </w:rPr>
      </w:pPr>
      <w:r>
        <w:rPr>
          <w:rFonts w:hint="eastAsia" w:ascii="宋体" w:hAnsi="宋体"/>
        </w:rPr>
        <w:t>2.2补充说明</w:t>
      </w:r>
    </w:p>
    <w:p>
      <w:pPr>
        <w:snapToGrid w:val="0"/>
        <w:spacing w:line="440" w:lineRule="exact"/>
        <w:ind w:firstLine="525" w:firstLineChars="250"/>
        <w:rPr>
          <w:rFonts w:ascii="宋体" w:hAnsi="宋体"/>
        </w:rPr>
      </w:pPr>
      <w:r>
        <w:rPr>
          <w:rFonts w:hint="eastAsia" w:ascii="宋体" w:hAnsi="宋体"/>
        </w:rPr>
        <w:t>2.2.1本工程的投标报价应是投标须知所确定工程招标范围内完成全部工作所需的费用。其中包括施工设备、劳务、管理、材料、运输、试验、完工、维护、利润、保险、税金及政策性文件规定等各项应有费用，及中标人作为本工程项目的总承包人，配合招标方办理建设手续消防验收、环评验收等相关费用（包括但不限于公证费等）。</w:t>
      </w:r>
    </w:p>
    <w:p>
      <w:pPr>
        <w:snapToGrid w:val="0"/>
        <w:spacing w:line="440" w:lineRule="exact"/>
        <w:ind w:firstLine="525" w:firstLineChars="250"/>
        <w:rPr>
          <w:rFonts w:ascii="宋体" w:hAnsi="宋体"/>
        </w:rPr>
      </w:pPr>
      <w:r>
        <w:rPr>
          <w:rFonts w:hint="eastAsia" w:ascii="宋体" w:hAnsi="宋体"/>
        </w:rPr>
        <w:t>2.2.2投标人应到工地踏勘以充分了解工地位置、情况、道路、储存空间、装卸限制及任何其他足以影响结算系数的情况，应充分考虑招标项目内容、施工特点以及市场变化、政策性调整、风险等所有因素，结合自身综合实力对项目建设进行竞争，任何忽视或误解工地情况而导致的索赔或工期延长申请将不被批准。</w:t>
      </w:r>
    </w:p>
    <w:p>
      <w:pPr>
        <w:snapToGrid w:val="0"/>
        <w:spacing w:line="440" w:lineRule="exact"/>
        <w:ind w:firstLine="527" w:firstLineChars="250"/>
        <w:rPr>
          <w:rFonts w:ascii="宋体" w:hAnsi="宋体" w:cs="TimesNewRomanPSMT"/>
          <w:b/>
          <w:bCs/>
          <w:i/>
          <w:iCs/>
          <w:color w:val="FF0000"/>
          <w:u w:val="single"/>
        </w:rPr>
      </w:pPr>
      <w:r>
        <w:rPr>
          <w:rFonts w:hint="eastAsia" w:ascii="宋体" w:hAnsi="宋体"/>
          <w:b/>
          <w:bCs/>
        </w:rPr>
        <w:t>2.2.3计日工</w:t>
      </w:r>
      <w:r>
        <w:rPr>
          <w:rFonts w:hint="eastAsia" w:ascii="宋体" w:hAnsi="宋体"/>
          <w:b/>
          <w:bCs/>
          <w:u w:val="single"/>
        </w:rPr>
        <w:t xml:space="preserve"> </w:t>
      </w:r>
      <w:r>
        <w:rPr>
          <w:rFonts w:ascii="宋体" w:hAnsi="宋体"/>
          <w:b/>
          <w:bCs/>
          <w:u w:val="single"/>
        </w:rPr>
        <w:t>220</w:t>
      </w:r>
      <w:r>
        <w:rPr>
          <w:rFonts w:hint="eastAsia" w:ascii="宋体" w:hAnsi="宋体"/>
          <w:b/>
          <w:bCs/>
          <w:u w:val="single"/>
        </w:rPr>
        <w:t xml:space="preserve"> </w:t>
      </w:r>
      <w:r>
        <w:rPr>
          <w:rFonts w:hint="eastAsia" w:ascii="宋体" w:hAnsi="宋体"/>
          <w:b/>
          <w:bCs/>
        </w:rPr>
        <w:t>元/工日。</w:t>
      </w:r>
      <w:r>
        <w:rPr>
          <w:rFonts w:hint="eastAsia" w:ascii="宋体" w:hAnsi="宋体" w:cs="TimesNewRomanPSMT"/>
          <w:b/>
          <w:bCs/>
        </w:rPr>
        <w:t>（全费用）</w:t>
      </w:r>
    </w:p>
    <w:bookmarkEnd w:id="176"/>
    <w:p>
      <w:pPr>
        <w:pStyle w:val="7"/>
        <w:rPr>
          <w:rFonts w:ascii="宋体" w:hAnsi="宋体" w:cs="TimesNewRomanPSMT"/>
          <w:bCs w:val="0"/>
          <w:i/>
          <w:iCs/>
          <w:sz w:val="24"/>
          <w:szCs w:val="24"/>
        </w:rPr>
      </w:pPr>
      <w:bookmarkStart w:id="178" w:name="_Toc220505579"/>
      <w:r>
        <w:rPr>
          <w:rFonts w:hint="eastAsia" w:ascii="宋体" w:hAnsi="宋体" w:cs="TimesNewRomanPSMT"/>
          <w:bCs w:val="0"/>
          <w:sz w:val="24"/>
          <w:szCs w:val="24"/>
        </w:rPr>
        <w:t>3 其他说明</w:t>
      </w:r>
      <w:bookmarkEnd w:id="160"/>
      <w:bookmarkEnd w:id="161"/>
      <w:bookmarkEnd w:id="178"/>
    </w:p>
    <w:p>
      <w:pPr>
        <w:snapToGrid w:val="0"/>
        <w:spacing w:line="440" w:lineRule="exact"/>
        <w:ind w:firstLine="527" w:firstLineChars="250"/>
        <w:rPr>
          <w:rFonts w:ascii="宋体" w:hAnsi="宋体" w:cs="TimesNewRomanPSMT"/>
          <w:b/>
        </w:rPr>
      </w:pPr>
      <w:r>
        <w:rPr>
          <w:rFonts w:hint="eastAsia" w:ascii="宋体" w:hAnsi="宋体" w:cs="TimesNewRomanPSMT"/>
          <w:b/>
        </w:rPr>
        <w:t>3.1词语和定义</w:t>
      </w:r>
    </w:p>
    <w:p>
      <w:pPr>
        <w:snapToGrid w:val="0"/>
        <w:spacing w:line="440" w:lineRule="exact"/>
        <w:ind w:firstLine="525" w:firstLineChars="250"/>
        <w:rPr>
          <w:rFonts w:ascii="宋体" w:hAnsi="宋体"/>
        </w:rPr>
      </w:pPr>
      <w:r>
        <w:rPr>
          <w:rFonts w:hint="eastAsia" w:ascii="宋体" w:hAnsi="宋体"/>
        </w:rPr>
        <w:t>3.1.1  工程量清单</w:t>
      </w:r>
    </w:p>
    <w:p>
      <w:pPr>
        <w:snapToGrid w:val="0"/>
        <w:spacing w:line="440" w:lineRule="exact"/>
        <w:ind w:firstLine="525" w:firstLineChars="250"/>
        <w:rPr>
          <w:rFonts w:ascii="宋体" w:hAnsi="宋体"/>
          <w:szCs w:val="21"/>
        </w:rPr>
      </w:pPr>
      <w:r>
        <w:rPr>
          <w:rFonts w:hint="eastAsia" w:ascii="宋体" w:hAnsi="宋体"/>
        </w:rPr>
        <w:t>是表现本工程分部分项工</w:t>
      </w:r>
      <w:r>
        <w:rPr>
          <w:rFonts w:hint="eastAsia" w:ascii="宋体" w:hAnsi="宋体"/>
          <w:szCs w:val="21"/>
        </w:rPr>
        <w:t>程项目、措施项目、其他项目、规费项目和税金的名称和相应数量等的明细清单。</w:t>
      </w:r>
    </w:p>
    <w:p>
      <w:pPr>
        <w:snapToGrid w:val="0"/>
        <w:spacing w:line="440" w:lineRule="exact"/>
        <w:ind w:firstLine="525" w:firstLineChars="250"/>
        <w:rPr>
          <w:rFonts w:ascii="宋体" w:hAnsi="宋体"/>
          <w:szCs w:val="21"/>
        </w:rPr>
      </w:pPr>
      <w:r>
        <w:rPr>
          <w:rFonts w:hint="eastAsia" w:ascii="宋体" w:hAnsi="宋体"/>
          <w:szCs w:val="21"/>
        </w:rPr>
        <w:t>3.1.2  总价子目</w:t>
      </w:r>
    </w:p>
    <w:p>
      <w:pPr>
        <w:snapToGrid w:val="0"/>
        <w:spacing w:line="440" w:lineRule="exact"/>
        <w:ind w:firstLine="525" w:firstLineChars="250"/>
        <w:rPr>
          <w:rFonts w:ascii="宋体" w:hAnsi="宋体"/>
          <w:szCs w:val="21"/>
        </w:rPr>
      </w:pPr>
      <w:r>
        <w:rPr>
          <w:rFonts w:hint="eastAsia" w:ascii="宋体" w:hAnsi="宋体"/>
          <w:szCs w:val="21"/>
        </w:rPr>
        <w:t>工程量清单中以总价计价，以“项”为计量单位，工程量为整数1的子目，除专用合同条款另有约定外，总价固定包干。采用总价合同形式时，合同订立后，已标价工程量清单中的工程量均没有合同约束力，所有子目均是总价子目，视同按项计量(合同条款约定的变更除外)。</w:t>
      </w:r>
    </w:p>
    <w:p>
      <w:pPr>
        <w:snapToGrid w:val="0"/>
        <w:spacing w:line="440" w:lineRule="exact"/>
        <w:ind w:firstLine="525" w:firstLineChars="250"/>
        <w:rPr>
          <w:rFonts w:ascii="宋体" w:hAnsi="宋体"/>
          <w:szCs w:val="21"/>
        </w:rPr>
      </w:pPr>
      <w:r>
        <w:rPr>
          <w:rFonts w:hint="eastAsia" w:ascii="宋体" w:hAnsi="宋体"/>
          <w:szCs w:val="21"/>
        </w:rPr>
        <w:t>3.1.3  单价子目</w:t>
      </w:r>
    </w:p>
    <w:p>
      <w:pPr>
        <w:snapToGrid w:val="0"/>
        <w:spacing w:line="440" w:lineRule="exact"/>
        <w:ind w:firstLine="525" w:firstLineChars="250"/>
        <w:rPr>
          <w:rFonts w:ascii="宋体" w:hAnsi="宋体"/>
          <w:szCs w:val="21"/>
        </w:rPr>
      </w:pPr>
      <w:r>
        <w:rPr>
          <w:rFonts w:hint="eastAsia" w:ascii="宋体" w:hAnsi="宋体"/>
          <w:szCs w:val="21"/>
        </w:rPr>
        <w:t>工程量清单中以单价计价，根据有合同约束力的图纸和工程量计算规则进行计量，以实际完成数量乘以相应单价进行结算的子目。</w:t>
      </w:r>
    </w:p>
    <w:p>
      <w:pPr>
        <w:snapToGrid w:val="0"/>
        <w:spacing w:line="440" w:lineRule="exact"/>
        <w:ind w:firstLine="525" w:firstLineChars="250"/>
        <w:rPr>
          <w:rFonts w:ascii="宋体" w:hAnsi="宋体"/>
          <w:szCs w:val="21"/>
        </w:rPr>
      </w:pPr>
      <w:r>
        <w:rPr>
          <w:rFonts w:hint="eastAsia" w:ascii="宋体" w:hAnsi="宋体"/>
          <w:szCs w:val="21"/>
        </w:rPr>
        <w:t>3.1.4  子目编码</w:t>
      </w:r>
    </w:p>
    <w:p>
      <w:pPr>
        <w:snapToGrid w:val="0"/>
        <w:spacing w:line="440" w:lineRule="exact"/>
        <w:ind w:firstLine="525" w:firstLineChars="250"/>
        <w:rPr>
          <w:rFonts w:ascii="宋体" w:hAnsi="宋体"/>
          <w:szCs w:val="21"/>
        </w:rPr>
      </w:pPr>
      <w:r>
        <w:rPr>
          <w:rFonts w:hint="eastAsia" w:ascii="宋体" w:hAnsi="宋体"/>
          <w:szCs w:val="21"/>
        </w:rPr>
        <w:t>分部分项工程项目清单中所列的子目名称的数字标识和代码，子目编码与项目编码同义。</w:t>
      </w:r>
    </w:p>
    <w:p>
      <w:pPr>
        <w:snapToGrid w:val="0"/>
        <w:spacing w:line="440" w:lineRule="exact"/>
        <w:ind w:firstLine="525" w:firstLineChars="250"/>
        <w:rPr>
          <w:rFonts w:ascii="宋体" w:hAnsi="宋体"/>
          <w:szCs w:val="21"/>
        </w:rPr>
      </w:pPr>
      <w:r>
        <w:rPr>
          <w:rFonts w:hint="eastAsia" w:ascii="宋体" w:hAnsi="宋体"/>
          <w:szCs w:val="21"/>
        </w:rPr>
        <w:t>3.1.5  子目特征</w:t>
      </w:r>
    </w:p>
    <w:p>
      <w:pPr>
        <w:snapToGrid w:val="0"/>
        <w:spacing w:line="440" w:lineRule="exact"/>
        <w:ind w:firstLine="525" w:firstLineChars="250"/>
        <w:rPr>
          <w:rFonts w:ascii="宋体" w:hAnsi="宋体"/>
          <w:szCs w:val="21"/>
        </w:rPr>
      </w:pPr>
      <w:r>
        <w:rPr>
          <w:rFonts w:hint="eastAsia" w:ascii="宋体" w:hAnsi="宋体"/>
          <w:szCs w:val="21"/>
        </w:rPr>
        <w:t>构成分部分项工程项目清单子目、措施项目的实质内容、决定其自身价值的本质特征，子目特征与项目特征同义。</w:t>
      </w:r>
    </w:p>
    <w:p>
      <w:pPr>
        <w:snapToGrid w:val="0"/>
        <w:spacing w:line="440" w:lineRule="exact"/>
        <w:ind w:firstLine="525" w:firstLineChars="250"/>
        <w:rPr>
          <w:rFonts w:ascii="宋体" w:hAnsi="宋体"/>
          <w:szCs w:val="21"/>
        </w:rPr>
      </w:pPr>
      <w:r>
        <w:rPr>
          <w:rFonts w:hint="eastAsia" w:ascii="宋体" w:hAnsi="宋体"/>
          <w:szCs w:val="21"/>
        </w:rPr>
        <w:t>3.1.6  规费</w:t>
      </w:r>
    </w:p>
    <w:p>
      <w:pPr>
        <w:snapToGrid w:val="0"/>
        <w:spacing w:line="440" w:lineRule="exact"/>
        <w:ind w:firstLine="525" w:firstLineChars="250"/>
        <w:rPr>
          <w:rFonts w:ascii="宋体" w:hAnsi="宋体"/>
          <w:szCs w:val="21"/>
        </w:rPr>
      </w:pPr>
      <w:r>
        <w:rPr>
          <w:rFonts w:hint="eastAsia" w:ascii="宋体" w:hAnsi="宋体"/>
          <w:szCs w:val="21"/>
        </w:rPr>
        <w:t>承包人根据省级政府或省级有关权力部门规定必须缴纳的，应计入建筑安装工程造价的费用。</w:t>
      </w:r>
    </w:p>
    <w:p>
      <w:pPr>
        <w:snapToGrid w:val="0"/>
        <w:spacing w:line="440" w:lineRule="exact"/>
        <w:ind w:firstLine="525" w:firstLineChars="250"/>
        <w:rPr>
          <w:rFonts w:ascii="宋体" w:hAnsi="宋体"/>
          <w:szCs w:val="21"/>
        </w:rPr>
      </w:pPr>
      <w:r>
        <w:rPr>
          <w:rFonts w:hint="eastAsia" w:ascii="宋体" w:hAnsi="宋体"/>
          <w:szCs w:val="21"/>
        </w:rPr>
        <w:t>3.1.7  税金</w:t>
      </w:r>
    </w:p>
    <w:p>
      <w:pPr>
        <w:snapToGrid w:val="0"/>
        <w:spacing w:line="440" w:lineRule="exact"/>
        <w:ind w:firstLine="525" w:firstLineChars="250"/>
        <w:rPr>
          <w:rFonts w:ascii="宋体" w:hAnsi="宋体"/>
          <w:szCs w:val="21"/>
        </w:rPr>
      </w:pPr>
      <w:r>
        <w:rPr>
          <w:rFonts w:hint="eastAsia" w:ascii="宋体" w:hAnsi="宋体"/>
          <w:szCs w:val="21"/>
        </w:rPr>
        <w:t>国家税法规定的应计入建筑安装工程造价内的营业税、城市维护建设税及教育费附加等。</w:t>
      </w:r>
    </w:p>
    <w:p>
      <w:pPr>
        <w:snapToGrid w:val="0"/>
        <w:spacing w:line="440" w:lineRule="exact"/>
        <w:ind w:firstLine="525" w:firstLineChars="250"/>
        <w:rPr>
          <w:rFonts w:ascii="宋体" w:hAnsi="宋体"/>
          <w:szCs w:val="21"/>
        </w:rPr>
      </w:pPr>
      <w:r>
        <w:rPr>
          <w:rFonts w:hint="eastAsia" w:ascii="宋体" w:hAnsi="宋体"/>
          <w:szCs w:val="21"/>
        </w:rPr>
        <w:t>3.1.8  总承包服务费</w:t>
      </w:r>
    </w:p>
    <w:p>
      <w:pPr>
        <w:snapToGrid w:val="0"/>
        <w:spacing w:line="440" w:lineRule="exact"/>
        <w:ind w:firstLine="525" w:firstLineChars="250"/>
        <w:rPr>
          <w:rFonts w:ascii="宋体" w:hAnsi="宋体"/>
          <w:szCs w:val="21"/>
        </w:rPr>
      </w:pPr>
      <w:r>
        <w:rPr>
          <w:rFonts w:hint="eastAsia" w:ascii="宋体" w:hAnsi="宋体"/>
          <w:szCs w:val="21"/>
        </w:rPr>
        <w:t>总承包人为配合协调发包人发包的专业工程以及发包人采购的材料和工程设备等进行管理、服务以及施工现场管理、竣工资料汇总整理等所需的费用。</w:t>
      </w:r>
    </w:p>
    <w:p>
      <w:pPr>
        <w:snapToGrid w:val="0"/>
        <w:spacing w:line="440" w:lineRule="exact"/>
        <w:ind w:firstLine="525" w:firstLineChars="250"/>
        <w:rPr>
          <w:rFonts w:ascii="宋体" w:hAnsi="宋体"/>
          <w:szCs w:val="21"/>
        </w:rPr>
      </w:pPr>
      <w:r>
        <w:rPr>
          <w:rFonts w:hint="eastAsia" w:ascii="宋体" w:hAnsi="宋体"/>
          <w:szCs w:val="21"/>
        </w:rPr>
        <w:t>3.1.9  同义词语</w:t>
      </w:r>
    </w:p>
    <w:p>
      <w:pPr>
        <w:snapToGrid w:val="0"/>
        <w:spacing w:line="440" w:lineRule="exact"/>
        <w:ind w:firstLine="525" w:firstLineChars="250"/>
        <w:rPr>
          <w:rFonts w:ascii="宋体" w:hAnsi="宋体"/>
          <w:szCs w:val="21"/>
        </w:rPr>
      </w:pPr>
      <w:r>
        <w:rPr>
          <w:rFonts w:hint="eastAsia" w:ascii="宋体" w:hAnsi="宋体"/>
          <w:szCs w:val="21"/>
        </w:rPr>
        <w:t>本章中使用的词语“招标人”和“投标人”分别与合同条款中定义的“发包人”和“承包人”同义；就工程量清单而言，“子目”与“项目”同义。</w:t>
      </w:r>
    </w:p>
    <w:p>
      <w:pPr>
        <w:snapToGrid w:val="0"/>
        <w:spacing w:line="440" w:lineRule="exact"/>
        <w:ind w:firstLine="527" w:firstLineChars="250"/>
        <w:rPr>
          <w:rFonts w:ascii="宋体" w:hAnsi="宋体" w:cs="TimesNewRomanPSMT"/>
          <w:b/>
        </w:rPr>
      </w:pPr>
      <w:r>
        <w:rPr>
          <w:rFonts w:hint="eastAsia" w:ascii="宋体" w:hAnsi="宋体" w:cs="TimesNewRomanPSMT"/>
          <w:b/>
        </w:rPr>
        <w:t>3.2暂列金额和暂估价</w:t>
      </w:r>
    </w:p>
    <w:p>
      <w:pPr>
        <w:snapToGrid w:val="0"/>
        <w:spacing w:line="440" w:lineRule="exact"/>
        <w:ind w:firstLine="525" w:firstLineChars="250"/>
        <w:rPr>
          <w:rFonts w:ascii="宋体" w:hAnsi="宋体"/>
          <w:szCs w:val="21"/>
        </w:rPr>
      </w:pPr>
      <w:r>
        <w:rPr>
          <w:rFonts w:hint="eastAsia" w:ascii="宋体" w:hAnsi="宋体"/>
          <w:szCs w:val="21"/>
        </w:rPr>
        <w:t>3.2.1  “暂列金额明细表”中所列暂列金额(不包括计日工金额)中已经包含与其对应的管理费、利润，但不含规费、税金。投标人应按本招标文件规定将此类暂列金额直接纳入其他项目清单的投标价格，不需要考虑除规费、税金以外的其他任何费用。</w:t>
      </w:r>
    </w:p>
    <w:p>
      <w:pPr>
        <w:snapToGrid w:val="0"/>
        <w:spacing w:line="440" w:lineRule="exact"/>
        <w:ind w:firstLine="525" w:firstLineChars="250"/>
        <w:rPr>
          <w:rFonts w:ascii="宋体" w:hAnsi="宋体"/>
          <w:szCs w:val="21"/>
        </w:rPr>
      </w:pPr>
      <w:r>
        <w:rPr>
          <w:rFonts w:hint="eastAsia" w:ascii="宋体" w:hAnsi="宋体"/>
          <w:szCs w:val="21"/>
        </w:rPr>
        <w:t>3.2.2  “材料和工程设备暂估价表”中所列的材料和工程设备暂估价是此类材料、工程设备本身运至施工现场内的工地地面价，不包括其本身所对应的管理费、利润、规费、税金以及这些材料和工程设备的安装、安装所需要的辅助材料、安装损耗、驻厂监造以及发生在现场内的验收、存储、保管、开箱、二次倒运、从存放地点运至安装地点以及其他任何必要的辅助工作(以下简称“暂估价材料和工程设备的安装及辅助工作”)所发生的费用及其对应的管理费、利润、规费和税金。暂估价材料应按工程量清单中提供的暂估价格计入分部分项工程量清单相应子目的综合单价，暂估价设备按工程量清单中提供的暂估价格计入设备费，除此以外投标人还应将上述材料和工程设备的安装及辅助工作所发生的费用以及与此类费用有关的管理费和利润计入在分部分项工程量清单相应子目的综合单价中。</w:t>
      </w:r>
    </w:p>
    <w:p>
      <w:pPr>
        <w:snapToGrid w:val="0"/>
        <w:spacing w:line="440" w:lineRule="exact"/>
        <w:ind w:firstLine="527" w:firstLineChars="250"/>
        <w:rPr>
          <w:rFonts w:ascii="宋体" w:hAnsi="宋体"/>
          <w:b/>
          <w:bCs/>
          <w:szCs w:val="21"/>
        </w:rPr>
      </w:pPr>
      <w:r>
        <w:rPr>
          <w:rFonts w:hint="eastAsia" w:ascii="宋体" w:hAnsi="宋体"/>
          <w:b/>
          <w:bCs/>
          <w:szCs w:val="21"/>
        </w:rPr>
        <w:t>3.3 其他补充说明</w:t>
      </w:r>
    </w:p>
    <w:p>
      <w:pPr>
        <w:snapToGrid w:val="0"/>
        <w:spacing w:line="440" w:lineRule="exact"/>
        <w:ind w:firstLine="525" w:firstLineChars="250"/>
        <w:rPr>
          <w:rFonts w:ascii="宋体" w:hAnsi="宋体"/>
          <w:szCs w:val="21"/>
        </w:rPr>
      </w:pPr>
      <w:r>
        <w:rPr>
          <w:rFonts w:hint="eastAsia" w:ascii="宋体" w:hAnsi="宋体"/>
          <w:szCs w:val="21"/>
        </w:rPr>
        <w:t>3.3.1完成招标范围中所需的各项费用应综合考虑在投标总报价及分部分项清单综合单价中，不再单独列项填报、结算。</w:t>
      </w:r>
    </w:p>
    <w:p>
      <w:pPr>
        <w:snapToGrid w:val="0"/>
        <w:spacing w:line="440" w:lineRule="exact"/>
        <w:ind w:firstLine="525" w:firstLineChars="250"/>
        <w:rPr>
          <w:rFonts w:ascii="宋体" w:hAnsi="宋体"/>
          <w:bCs/>
          <w:szCs w:val="21"/>
        </w:rPr>
      </w:pPr>
      <w:r>
        <w:rPr>
          <w:rFonts w:hint="eastAsia" w:ascii="宋体" w:hAnsi="宋体"/>
          <w:szCs w:val="21"/>
        </w:rPr>
        <w:t>3.3</w:t>
      </w:r>
      <w:r>
        <w:rPr>
          <w:rFonts w:hint="eastAsia" w:ascii="宋体" w:hAnsi="宋体"/>
          <w:bCs/>
          <w:szCs w:val="21"/>
        </w:rPr>
        <w:t>.2</w:t>
      </w:r>
      <w:r>
        <w:rPr>
          <w:rFonts w:hint="eastAsia" w:ascii="宋体" w:hAnsi="宋体"/>
          <w:b/>
          <w:bCs/>
          <w:szCs w:val="21"/>
        </w:rPr>
        <w:t>根据山东省住房和城乡建设厅关于调整建设项目工伤保险费率的通知（鲁建标字〔2020〕17号）建设项目工伤保险按省统一发布费率进行计算，一般计税法下为0.105%，简易计税法下为0.1%。承包人应按照相关规定办理工伤保险并缴纳该部分费用。</w:t>
      </w:r>
    </w:p>
    <w:p>
      <w:pPr>
        <w:snapToGrid w:val="0"/>
        <w:spacing w:line="440" w:lineRule="exact"/>
        <w:ind w:firstLine="527" w:firstLineChars="250"/>
        <w:rPr>
          <w:rFonts w:ascii="宋体" w:hAnsi="宋体"/>
          <w:b/>
          <w:bCs/>
          <w:szCs w:val="21"/>
        </w:rPr>
      </w:pPr>
      <w:r>
        <w:rPr>
          <w:rFonts w:hint="eastAsia" w:ascii="宋体" w:hAnsi="宋体"/>
          <w:b/>
          <w:bCs/>
          <w:szCs w:val="21"/>
        </w:rPr>
        <w:t>3.3.3项目描述及工作内容相同的清单子项综合单价必须相同，若有不同报价，结算时招标人有权按照较低报价确定该子项的综合单价。</w:t>
      </w:r>
    </w:p>
    <w:p>
      <w:pPr>
        <w:snapToGrid w:val="0"/>
        <w:spacing w:line="440" w:lineRule="exact"/>
        <w:ind w:firstLine="527" w:firstLineChars="250"/>
        <w:rPr>
          <w:rFonts w:ascii="宋体" w:hAnsi="宋体"/>
          <w:b/>
          <w:bCs/>
          <w:szCs w:val="21"/>
        </w:rPr>
      </w:pPr>
      <w:r>
        <w:rPr>
          <w:rFonts w:ascii="宋体" w:hAnsi="宋体"/>
          <w:b/>
          <w:bCs/>
          <w:szCs w:val="21"/>
        </w:rPr>
        <w:t>3.3.4</w:t>
      </w:r>
      <w:r>
        <w:rPr>
          <w:rFonts w:hint="eastAsia" w:ascii="宋体" w:hAnsi="宋体"/>
          <w:b/>
          <w:bCs/>
          <w:szCs w:val="21"/>
        </w:rPr>
        <w:t>投标人要对拟建工程可能发生的措施项目和措施费用作通盘考虑，清单计价一经报出，即被认为是包括了所有应该发生的措施项目的全部费用。如果报出的清单中没有列项，而施工中又必须发生的项目，招标人有权认为，其已经综合在分部分项工程量清单的综合单价中。将来措施项目发生时投标人不得以任何借口提出索赔与调整。</w:t>
      </w:r>
      <w:r>
        <w:rPr>
          <w:rFonts w:hint="eastAsia" w:cs="宋体"/>
          <w:b/>
          <w:bCs/>
          <w:lang w:bidi="ar"/>
        </w:rPr>
        <w:t>中标清单措施费总价包干使用，均不作任何调整</w:t>
      </w:r>
      <w:r>
        <w:rPr>
          <w:rFonts w:hint="eastAsia" w:ascii="宋体" w:hAnsi="宋体"/>
          <w:b/>
          <w:bCs/>
          <w:szCs w:val="21"/>
        </w:rPr>
        <w:t>。</w:t>
      </w:r>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.5工程量清单另册提供。投标人报价时按给定的工程量清单格式报价。</w:t>
      </w:r>
      <w:bookmarkEnd w:id="146"/>
      <w:bookmarkEnd w:id="147"/>
      <w:bookmarkEnd w:id="148"/>
      <w:bookmarkEnd w:id="149"/>
      <w:bookmarkEnd w:id="150"/>
      <w:bookmarkEnd w:id="151"/>
      <w:bookmarkEnd w:id="152"/>
      <w:bookmarkEnd w:id="153"/>
      <w:bookmarkEnd w:id="154"/>
      <w:bookmarkEnd w:id="155"/>
      <w:bookmarkEnd w:id="156"/>
      <w:bookmarkEnd w:id="157"/>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.6施工中因承包人私自变更施工组织设计引起的造价变动一律不计入结算，造成所有损失均有承包人自行负责。</w:t>
      </w:r>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.7发包人有权就发包人直接发包的专业工程要求承包人与专业工程承包人签订分包合同，承包人不得有任何异议并应积极配合，否则，发包人有权拒绝支付工程款。</w:t>
      </w:r>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8发包人应遵守我国现行的关于保护劳动者的法规，其中包括不得雇佣强迫劳动力和童工；确保工作场所健康、安全，进一步提高和改善工作环境；确保劳动者获得有法律效力并受法律保障的相应报酬。如承包人拖欠劳动者（包含为承包人提供劳动的一切书面或非书面雇佣的工人）工资，造成群体性事件或上访的,承包人须立即出面解决，疏散人群，否则发包人有权从工程款中直接扣除发包人因此遭受的损失。拖欠工资经有关部门调查属实的，发包人有权从工程款中扣除直接向劳动者支付，折抵承包人的工程款。</w:t>
      </w:r>
    </w:p>
    <w:p>
      <w:pPr>
        <w:snapToGrid w:val="0"/>
        <w:spacing w:line="360" w:lineRule="auto"/>
        <w:ind w:firstLine="525" w:firstLineChars="250"/>
        <w:rPr>
          <w:rFonts w:ascii="宋体" w:hAnsi="宋体"/>
          <w:bCs/>
          <w:szCs w:val="21"/>
        </w:rPr>
      </w:pPr>
      <w:r>
        <w:rPr>
          <w:rFonts w:hint="eastAsia" w:ascii="宋体" w:hAnsi="宋体"/>
          <w:bCs/>
          <w:szCs w:val="21"/>
        </w:rPr>
        <w:t>由于承包人或其管理的分包单位拖欠劳动者工资致使发包人被投诉或起诉并被判令先行垫付劳动者工资的，承包人除承担1次严重违约责任外，还应向发包人支付发包人先行垫付的劳动者工资金额的两倍作为补偿。</w:t>
      </w:r>
    </w:p>
    <w:p>
      <w:pPr>
        <w:snapToGrid w:val="0"/>
        <w:spacing w:line="360" w:lineRule="auto"/>
        <w:ind w:firstLine="525" w:firstLineChars="250"/>
        <w:rPr>
          <w:rFonts w:ascii="宋体" w:hAnsi="宋体"/>
          <w:bCs/>
          <w:szCs w:val="21"/>
        </w:rPr>
      </w:pPr>
      <w:r>
        <w:rPr>
          <w:rFonts w:hint="eastAsia" w:ascii="宋体" w:hAnsi="宋体"/>
          <w:bCs/>
          <w:szCs w:val="21"/>
        </w:rPr>
        <w:t>因承包人违约导致发包人暂停支付工程款时，承包人不得以此为理由拖欠工资，在发包人和承包人就暂停支付工程款问题解决之前，承包人有义务先行支付其所属工人工资。</w:t>
      </w:r>
    </w:p>
    <w:p>
      <w:pPr>
        <w:snapToGrid w:val="0"/>
        <w:spacing w:line="360" w:lineRule="auto"/>
        <w:ind w:firstLine="525" w:firstLineChars="250"/>
        <w:rPr>
          <w:rFonts w:ascii="宋体" w:hAnsi="宋体"/>
          <w:bCs/>
          <w:szCs w:val="21"/>
        </w:rPr>
      </w:pPr>
      <w:r>
        <w:rPr>
          <w:rFonts w:hint="eastAsia" w:ascii="宋体" w:hAnsi="宋体"/>
          <w:szCs w:val="21"/>
        </w:rPr>
        <w:t>3.3</w:t>
      </w:r>
      <w:r>
        <w:rPr>
          <w:rFonts w:hint="eastAsia" w:ascii="宋体" w:hAnsi="宋体"/>
          <w:bCs/>
          <w:szCs w:val="21"/>
        </w:rPr>
        <w:t>.9发包人有权在工程款内扣留30万元群体事件保证金，若发生因承包人原因造成的群体上访事件或拖欠工人工资的情形，经发包人核实后，发包人有权在该笔保证金内扣除相应金额的款项代为支付；若未发生因承包人原因造成的群体上访事件或拖欠工人工资的情形，该保证金无息返还或冲抵工程款。</w:t>
      </w:r>
    </w:p>
    <w:p>
      <w:pPr>
        <w:snapToGrid w:val="0"/>
        <w:spacing w:line="360" w:lineRule="auto"/>
        <w:ind w:firstLine="527" w:firstLineChars="250"/>
        <w:rPr>
          <w:rFonts w:ascii="宋体" w:hAnsi="宋体"/>
          <w:b/>
          <w:bCs/>
          <w:color w:val="FF0000"/>
          <w:szCs w:val="21"/>
        </w:rPr>
      </w:pPr>
      <w:r>
        <w:rPr>
          <w:rFonts w:hint="eastAsia" w:ascii="宋体" w:hAnsi="宋体"/>
          <w:b/>
          <w:bCs/>
          <w:szCs w:val="21"/>
        </w:rPr>
        <w:t>3.3.10工程结算审计，由发包人委托造价咨询单位审计或自行审计。（1）初审审计：结算审计费=基本审计费+效益审计费，其中：基本审计费1000元，效益审计费根据工程项目审减额参考鲁价费发【2007】205号文收费标准执行，对结算审减额超过5%部分，按5%计取审计费，以上费用均由承包人支付。审计费由承包人直接缴纳或者由发包人在工程款中代扣代缴。（2）复审审计：结算审计费根据工程项目审减额参考鲁价费发【2007】205号文收费标准执行，结算审减额按5%计取审计费，由承包人支付。审计费由承包人直接缴纳或者由发包人在工程款中代扣代缴。</w:t>
      </w:r>
    </w:p>
    <w:p>
      <w:pPr>
        <w:snapToGrid w:val="0"/>
        <w:spacing w:line="360" w:lineRule="auto"/>
        <w:ind w:firstLine="527" w:firstLineChars="250"/>
        <w:rPr>
          <w:rFonts w:ascii="宋体" w:hAnsi="宋体"/>
          <w:b/>
          <w:bCs/>
          <w:szCs w:val="21"/>
        </w:rPr>
      </w:pPr>
      <w:r>
        <w:rPr>
          <w:rFonts w:hint="eastAsia" w:ascii="宋体" w:hAnsi="宋体"/>
          <w:b/>
          <w:bCs/>
          <w:szCs w:val="21"/>
        </w:rPr>
        <w:t>3.3.11中标人需严格按照发包人的设计变更、一单一结、月清月结等制度执行。</w:t>
      </w:r>
    </w:p>
    <w:p>
      <w:pPr>
        <w:snapToGrid w:val="0"/>
        <w:spacing w:line="360" w:lineRule="auto"/>
        <w:ind w:firstLine="527" w:firstLineChars="250"/>
        <w:rPr>
          <w:rStyle w:val="58"/>
          <w:rFonts w:ascii="宋体" w:hAnsi="宋体"/>
          <w:b/>
          <w:szCs w:val="21"/>
        </w:rPr>
      </w:pPr>
      <w:r>
        <w:rPr>
          <w:rFonts w:hint="eastAsia" w:ascii="宋体" w:hAnsi="宋体"/>
          <w:b/>
          <w:bCs/>
          <w:szCs w:val="21"/>
        </w:rPr>
        <w:t>3.3.12</w:t>
      </w:r>
      <w:bookmarkStart w:id="179" w:name="_Hlk209616184"/>
      <w:r>
        <w:rPr>
          <w:rStyle w:val="58"/>
          <w:rFonts w:hint="eastAsia" w:ascii="宋体" w:hAnsi="宋体"/>
          <w:b/>
          <w:szCs w:val="21"/>
        </w:rPr>
        <w:t>本项目不计取总承包服务费及甲供材料（设备）采保费。</w:t>
      </w:r>
      <w:bookmarkEnd w:id="179"/>
    </w:p>
    <w:p>
      <w:pPr>
        <w:snapToGrid w:val="0"/>
        <w:spacing w:line="360" w:lineRule="auto"/>
        <w:ind w:firstLine="527" w:firstLineChars="250"/>
        <w:rPr>
          <w:rFonts w:ascii="宋体" w:hAnsi="宋体"/>
          <w:b/>
          <w:bCs/>
          <w:szCs w:val="21"/>
        </w:rPr>
      </w:pPr>
      <w:r>
        <w:rPr>
          <w:rFonts w:hint="eastAsia" w:ascii="宋体" w:hAnsi="宋体"/>
          <w:b/>
          <w:bCs/>
          <w:szCs w:val="21"/>
        </w:rPr>
        <w:t>3.3.13主要设备及主要材料品牌按照附表中选择。投标文件中已按附表选择主要设备及主要材料品牌的，按投标文件所报品牌执行；未按此选择的，施工过程中必须按此表选择品牌；附表外其他材料承包人在投标时明确品牌的必须使用投标品牌。</w:t>
      </w:r>
    </w:p>
    <w:p>
      <w:pPr>
        <w:snapToGrid w:val="0"/>
        <w:spacing w:line="360" w:lineRule="auto"/>
        <w:ind w:firstLine="527" w:firstLineChars="250"/>
        <w:rPr>
          <w:rFonts w:ascii="宋体" w:hAnsi="宋体"/>
          <w:b/>
          <w:bCs/>
          <w:szCs w:val="21"/>
        </w:rPr>
      </w:pPr>
      <w:r>
        <w:rPr>
          <w:rFonts w:hint="eastAsia" w:ascii="宋体" w:hAnsi="宋体"/>
          <w:b/>
          <w:bCs/>
          <w:szCs w:val="21"/>
        </w:rPr>
        <w:t>承包人未按照上述约定执行的，一经发现应按照合同约定使用材料及设备总价的2倍向发包人承担违约金，同时应按照监理人发包人要求予以整改，替换成合格的材料和设备，因整改造成工期延误的承包人承担工期延误的违约责任。</w:t>
      </w:r>
    </w:p>
    <w:p>
      <w:pPr>
        <w:snapToGrid w:val="0"/>
        <w:spacing w:line="360" w:lineRule="auto"/>
        <w:ind w:firstLine="527" w:firstLineChars="250"/>
        <w:rPr>
          <w:rFonts w:ascii="宋体" w:hAnsi="宋体"/>
          <w:b/>
          <w:bCs/>
          <w:szCs w:val="21"/>
        </w:rPr>
      </w:pPr>
      <w:r>
        <w:rPr>
          <w:rFonts w:hint="eastAsia" w:ascii="宋体" w:hAnsi="宋体"/>
          <w:b/>
          <w:bCs/>
          <w:szCs w:val="21"/>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实调整。若未经发包人同意而使用其他品牌的，视为使用不合格材料，承包人按合同条款承担违约责任。</w:t>
      </w:r>
    </w:p>
    <w:p>
      <w:pPr>
        <w:snapToGrid w:val="0"/>
        <w:spacing w:line="360" w:lineRule="auto"/>
        <w:ind w:firstLine="527" w:firstLineChars="250"/>
        <w:rPr>
          <w:rFonts w:ascii="宋体" w:hAnsi="宋体"/>
          <w:b/>
          <w:bCs/>
          <w:szCs w:val="21"/>
        </w:rPr>
      </w:pPr>
      <w:r>
        <w:rPr>
          <w:rFonts w:hint="eastAsia" w:ascii="宋体" w:hAnsi="宋体"/>
          <w:b/>
          <w:bCs/>
          <w:szCs w:val="21"/>
        </w:rPr>
        <w:t>3.3.14本项目中建设单位有特别要求的建筑材料、设备设施或构配件，需在订货前征得建设单位同意后方可采购。</w:t>
      </w:r>
    </w:p>
    <w:p>
      <w:pPr>
        <w:snapToGrid w:val="0"/>
        <w:spacing w:line="360" w:lineRule="auto"/>
        <w:ind w:firstLine="527" w:firstLineChars="250"/>
        <w:rPr>
          <w:rFonts w:ascii="宋体" w:hAnsi="宋体"/>
          <w:b/>
          <w:bCs/>
          <w:szCs w:val="21"/>
        </w:rPr>
      </w:pPr>
      <w:r>
        <w:rPr>
          <w:rFonts w:hint="eastAsia" w:ascii="宋体" w:hAnsi="宋体"/>
          <w:b/>
          <w:bCs/>
          <w:szCs w:val="21"/>
        </w:rPr>
        <w:t>3.3.15本项目中所有使用的主要关键材料等均须经过建设单位和监理单位对样品进行书面审批同意后方可采购进场。</w:t>
      </w:r>
    </w:p>
    <w:p>
      <w:pPr>
        <w:snapToGrid w:val="0"/>
        <w:spacing w:line="360" w:lineRule="auto"/>
        <w:ind w:firstLine="527" w:firstLineChars="250"/>
        <w:rPr>
          <w:rFonts w:ascii="宋体" w:hAnsi="宋体"/>
          <w:b/>
          <w:bCs/>
          <w:szCs w:val="21"/>
        </w:rPr>
      </w:pPr>
      <w:r>
        <w:rPr>
          <w:rFonts w:hint="eastAsia" w:ascii="宋体" w:hAnsi="宋体"/>
          <w:b/>
          <w:bCs/>
          <w:szCs w:val="21"/>
        </w:rPr>
        <w:t>3.3.16农民工工资保证金由中标方按相关项目属地政府规定按期自行办理。</w:t>
      </w:r>
      <w:r>
        <w:rPr>
          <w:rFonts w:hint="eastAsia" w:ascii="宋体" w:hAnsi="宋体"/>
          <w:b/>
          <w:bCs/>
          <w:szCs w:val="21"/>
        </w:rPr>
        <w:tab/>
      </w:r>
    </w:p>
    <w:p>
      <w:pPr>
        <w:snapToGrid w:val="0"/>
        <w:spacing w:line="360" w:lineRule="auto"/>
        <w:ind w:firstLine="527" w:firstLineChars="250"/>
        <w:rPr>
          <w:rFonts w:ascii="宋体" w:hAnsi="宋体"/>
          <w:b/>
          <w:bCs/>
          <w:szCs w:val="21"/>
        </w:rPr>
      </w:pPr>
      <w:r>
        <w:rPr>
          <w:rFonts w:hint="eastAsia" w:ascii="宋体" w:hAnsi="宋体"/>
          <w:b/>
          <w:bCs/>
          <w:szCs w:val="21"/>
        </w:rPr>
        <w:t>3.3.17工伤保险由中标方按相关政府标准规定缴纳。</w:t>
      </w:r>
    </w:p>
    <w:bookmarkEnd w:id="133"/>
    <w:bookmarkEnd w:id="134"/>
    <w:p>
      <w:pPr>
        <w:snapToGrid w:val="0"/>
        <w:spacing w:line="360" w:lineRule="auto"/>
        <w:ind w:firstLine="527" w:firstLineChars="250"/>
        <w:rPr>
          <w:b/>
          <w:bCs/>
        </w:rPr>
      </w:pPr>
      <w:r>
        <w:rPr>
          <w:rFonts w:hint="eastAsia" w:ascii="宋体" w:hAnsi="宋体"/>
          <w:b/>
          <w:bCs/>
          <w:szCs w:val="21"/>
        </w:rPr>
        <w:t>3.3.18</w:t>
      </w:r>
      <w:r>
        <w:rPr>
          <w:rFonts w:hint="eastAsia"/>
          <w:b/>
          <w:bCs/>
        </w:rPr>
        <w:t>投标人在投标前应进行现场踏勘，充分了解现场情况，拆除改造内容标注自行处置的应充分考虑材料回收费用后报价，投标报价一经报出，即认为是包含了为完成本项施工内容进行的所有工作，相关的施工费用不再单独计取。</w:t>
      </w:r>
    </w:p>
    <w:p>
      <w:pPr>
        <w:pStyle w:val="19"/>
        <w:rPr>
          <w:rStyle w:val="58"/>
          <w:rFonts w:ascii="宋体" w:hAnsi="宋体"/>
          <w:szCs w:val="21"/>
        </w:rPr>
      </w:pPr>
    </w:p>
    <w:p>
      <w:pPr>
        <w:pStyle w:val="19"/>
        <w:rPr>
          <w:rStyle w:val="58"/>
          <w:rFonts w:ascii="宋体" w:hAnsi="宋体"/>
          <w:szCs w:val="21"/>
        </w:rPr>
      </w:pPr>
    </w:p>
    <w:p>
      <w:pPr>
        <w:pStyle w:val="5"/>
        <w:jc w:val="center"/>
        <w:rPr>
          <w:sz w:val="48"/>
          <w:szCs w:val="48"/>
        </w:rPr>
        <w:sectPr>
          <w:headerReference r:id="rId14" w:type="first"/>
          <w:headerReference r:id="rId12" w:type="default"/>
          <w:footerReference r:id="rId15" w:type="default"/>
          <w:headerReference r:id="rId13" w:type="even"/>
          <w:pgSz w:w="11906" w:h="16838"/>
          <w:pgMar w:top="1588" w:right="1701" w:bottom="1418" w:left="1701" w:header="851" w:footer="851" w:gutter="0"/>
          <w:cols w:space="720" w:num="1"/>
          <w:docGrid w:linePitch="312" w:charSpace="0"/>
        </w:sectPr>
      </w:pPr>
      <w:bookmarkStart w:id="180" w:name="_Toc28237"/>
    </w:p>
    <w:p>
      <w:pPr>
        <w:pStyle w:val="5"/>
        <w:jc w:val="center"/>
        <w:rPr>
          <w:sz w:val="48"/>
          <w:szCs w:val="48"/>
        </w:rPr>
        <w:sectPr>
          <w:pgSz w:w="11906" w:h="16838"/>
          <w:pgMar w:top="1588" w:right="1701" w:bottom="1418" w:left="1701" w:header="851" w:footer="851" w:gutter="0"/>
          <w:cols w:space="720" w:num="1"/>
          <w:vAlign w:val="center"/>
          <w:docGrid w:linePitch="312" w:charSpace="0"/>
        </w:sectPr>
      </w:pPr>
      <w:bookmarkStart w:id="181" w:name="_Toc220505580"/>
      <w:r>
        <w:rPr>
          <w:sz w:val="48"/>
          <w:szCs w:val="48"/>
        </w:rPr>
        <w:t>第二卷</w:t>
      </w:r>
      <w:bookmarkEnd w:id="180"/>
      <w:bookmarkEnd w:id="181"/>
    </w:p>
    <w:p>
      <w:pPr>
        <w:pStyle w:val="6"/>
        <w:jc w:val="center"/>
        <w:rPr>
          <w:i w:val="0"/>
          <w:iCs w:val="0"/>
          <w:sz w:val="32"/>
          <w:szCs w:val="32"/>
        </w:rPr>
      </w:pPr>
      <w:bookmarkStart w:id="182" w:name="_Toc10358"/>
      <w:bookmarkStart w:id="183" w:name="_Toc17817345"/>
      <w:bookmarkStart w:id="184" w:name="_Toc220505581"/>
      <w:r>
        <w:rPr>
          <w:i w:val="0"/>
          <w:iCs w:val="0"/>
          <w:sz w:val="32"/>
          <w:szCs w:val="32"/>
        </w:rPr>
        <w:t>第六章  图  纸</w:t>
      </w:r>
      <w:bookmarkEnd w:id="182"/>
      <w:bookmarkEnd w:id="183"/>
      <w:bookmarkEnd w:id="184"/>
    </w:p>
    <w:p>
      <w:pPr>
        <w:spacing w:line="500" w:lineRule="exact"/>
        <w:ind w:firstLine="422" w:firstLineChars="200"/>
        <w:rPr>
          <w:rStyle w:val="58"/>
          <w:rFonts w:ascii="宋体" w:hAnsi="宋体"/>
          <w:b/>
          <w:bCs/>
        </w:rPr>
      </w:pPr>
      <w:r>
        <w:rPr>
          <w:rStyle w:val="58"/>
          <w:rFonts w:ascii="宋体" w:hAnsi="宋体"/>
          <w:b/>
          <w:bCs/>
        </w:rPr>
        <w:t>图纸以</w:t>
      </w:r>
      <w:r>
        <w:rPr>
          <w:rStyle w:val="58"/>
          <w:rFonts w:hint="eastAsia" w:ascii="宋体" w:hAnsi="宋体"/>
          <w:b/>
          <w:bCs/>
        </w:rPr>
        <w:t>同招标文件一同发出的电子版</w:t>
      </w:r>
      <w:r>
        <w:rPr>
          <w:rStyle w:val="58"/>
          <w:rFonts w:ascii="宋体" w:hAnsi="宋体"/>
          <w:b/>
          <w:bCs/>
        </w:rPr>
        <w:t>为准。具体施工范围请对应工程量清单及招标文件要求。</w:t>
      </w:r>
    </w:p>
    <w:p>
      <w:pPr>
        <w:rPr>
          <w:rStyle w:val="58"/>
          <w:rFonts w:ascii="宋体" w:hAnsi="宋体"/>
          <w:szCs w:val="21"/>
        </w:rPr>
      </w:pPr>
    </w:p>
    <w:p>
      <w:pPr>
        <w:rPr>
          <w:rStyle w:val="58"/>
          <w:rFonts w:ascii="宋体" w:hAnsi="宋体"/>
        </w:rPr>
      </w:pPr>
    </w:p>
    <w:p>
      <w:pPr>
        <w:pStyle w:val="5"/>
        <w:jc w:val="center"/>
        <w:rPr>
          <w:sz w:val="48"/>
          <w:szCs w:val="48"/>
        </w:rPr>
        <w:sectPr>
          <w:pgSz w:w="11906" w:h="16838"/>
          <w:pgMar w:top="1588" w:right="1701" w:bottom="1418" w:left="1701" w:header="851" w:footer="851" w:gutter="0"/>
          <w:cols w:space="720" w:num="1"/>
          <w:docGrid w:linePitch="312" w:charSpace="0"/>
        </w:sectPr>
      </w:pPr>
      <w:bookmarkStart w:id="185" w:name="_Toc3146"/>
    </w:p>
    <w:p>
      <w:pPr>
        <w:pStyle w:val="5"/>
        <w:jc w:val="center"/>
        <w:rPr>
          <w:sz w:val="48"/>
          <w:szCs w:val="48"/>
        </w:rPr>
        <w:sectPr>
          <w:pgSz w:w="11906" w:h="16838"/>
          <w:pgMar w:top="1588" w:right="1701" w:bottom="1418" w:left="1701" w:header="851" w:footer="851" w:gutter="0"/>
          <w:cols w:space="720" w:num="1"/>
          <w:vAlign w:val="center"/>
          <w:docGrid w:linePitch="312" w:charSpace="0"/>
        </w:sectPr>
      </w:pPr>
      <w:bookmarkStart w:id="186" w:name="_Toc220505582"/>
      <w:r>
        <w:rPr>
          <w:sz w:val="48"/>
          <w:szCs w:val="48"/>
        </w:rPr>
        <w:t>第三卷</w:t>
      </w:r>
      <w:bookmarkEnd w:id="185"/>
      <w:bookmarkEnd w:id="186"/>
    </w:p>
    <w:p>
      <w:pPr>
        <w:pStyle w:val="6"/>
        <w:jc w:val="center"/>
        <w:rPr>
          <w:i w:val="0"/>
          <w:iCs w:val="0"/>
          <w:sz w:val="32"/>
          <w:szCs w:val="32"/>
        </w:rPr>
      </w:pPr>
      <w:bookmarkStart w:id="187" w:name="_Toc220505583"/>
      <w:bookmarkStart w:id="188" w:name="_Toc4366"/>
      <w:bookmarkStart w:id="189" w:name="_Toc17817346"/>
      <w:r>
        <w:rPr>
          <w:i w:val="0"/>
          <w:iCs w:val="0"/>
          <w:sz w:val="32"/>
          <w:szCs w:val="32"/>
        </w:rPr>
        <w:t>第七章  技术标准和要求</w:t>
      </w:r>
      <w:bookmarkEnd w:id="187"/>
      <w:bookmarkEnd w:id="188"/>
      <w:bookmarkEnd w:id="189"/>
    </w:p>
    <w:p>
      <w:pPr>
        <w:snapToGrid w:val="0"/>
        <w:spacing w:line="440" w:lineRule="exact"/>
        <w:ind w:firstLine="525" w:firstLineChars="250"/>
        <w:rPr>
          <w:rStyle w:val="58"/>
          <w:rFonts w:ascii="宋体" w:hAnsi="宋体"/>
        </w:rPr>
      </w:pPr>
      <w:r>
        <w:rPr>
          <w:rStyle w:val="58"/>
          <w:rFonts w:hint="eastAsia" w:ascii="宋体" w:hAnsi="宋体"/>
        </w:rPr>
        <w:t>一、依据设计施工图纸和技术文件要求，本工程项目的材料、设备、施工必须达到现行中华人民共和国及省、市、行业的一切有关法规、规范的要求，如各标准及规范要求有出入则以较严格者为准。</w:t>
      </w:r>
    </w:p>
    <w:p>
      <w:pPr>
        <w:snapToGrid w:val="0"/>
        <w:spacing w:line="440" w:lineRule="exact"/>
        <w:ind w:firstLine="525" w:firstLineChars="250"/>
        <w:rPr>
          <w:rStyle w:val="58"/>
          <w:rFonts w:ascii="宋体" w:hAnsi="宋体"/>
        </w:rPr>
      </w:pPr>
      <w:r>
        <w:rPr>
          <w:rStyle w:val="58"/>
          <w:rFonts w:hint="eastAsia" w:ascii="宋体" w:hAnsi="宋体"/>
        </w:rPr>
        <w:t>二、执行国家、省市现行的建设工程施工及工程质量验收规范、施工技术标准、程序，建设工程施工操作规程、“建设工程质量管理条例”、“工程建设强制性标准”、“工程建设标准强制性条文”、“建筑工程安全生产管理条理”、“建筑施工安全检查标准”以及有关建筑质量、安全施工建筑材料及半成品备案证制度等有关文件、规定、施工图纸、技术交底、地质勘察等有关技术说明和“建筑工程质量检验评定标准”，“建筑安装工程质量检验评定统一标准”等。</w:t>
      </w:r>
      <w:r>
        <w:rPr>
          <w:rStyle w:val="58"/>
          <w:rFonts w:ascii="宋体" w:hAnsi="宋体"/>
        </w:rPr>
        <w:tab/>
      </w:r>
    </w:p>
    <w:p>
      <w:pPr>
        <w:pStyle w:val="2"/>
        <w:ind w:left="420" w:firstLine="420"/>
      </w:pPr>
    </w:p>
    <w:p>
      <w:pPr>
        <w:pStyle w:val="60"/>
        <w:adjustRightInd w:val="0"/>
        <w:snapToGrid w:val="0"/>
        <w:spacing w:line="300" w:lineRule="auto"/>
        <w:rPr>
          <w:rStyle w:val="58"/>
          <w:rFonts w:ascii="宋体" w:hAnsi="宋体" w:cs="仿宋"/>
          <w:b/>
          <w:bCs/>
          <w:sz w:val="21"/>
          <w:szCs w:val="21"/>
        </w:rPr>
      </w:pPr>
    </w:p>
    <w:p>
      <w:pPr>
        <w:pStyle w:val="4"/>
        <w:ind w:left="420"/>
      </w:pPr>
    </w:p>
    <w:p/>
    <w:p>
      <w:pPr>
        <w:spacing w:before="120" w:after="120" w:line="480" w:lineRule="exact"/>
        <w:rPr>
          <w:rStyle w:val="58"/>
          <w:rFonts w:ascii="宋体" w:hAnsi="宋体"/>
        </w:rPr>
        <w:sectPr>
          <w:pgSz w:w="11906" w:h="16838"/>
          <w:pgMar w:top="1588" w:right="1701" w:bottom="1418" w:left="1701" w:header="851" w:footer="851" w:gutter="0"/>
          <w:cols w:space="720" w:num="1"/>
          <w:docGrid w:linePitch="312" w:charSpace="0"/>
        </w:sectPr>
      </w:pPr>
    </w:p>
    <w:p>
      <w:pPr>
        <w:pStyle w:val="5"/>
        <w:jc w:val="center"/>
        <w:rPr>
          <w:sz w:val="48"/>
          <w:szCs w:val="48"/>
        </w:rPr>
        <w:sectPr>
          <w:pgSz w:w="11906" w:h="16838"/>
          <w:pgMar w:top="1588" w:right="1701" w:bottom="1418" w:left="1701" w:header="851" w:footer="851" w:gutter="0"/>
          <w:cols w:space="720" w:num="1"/>
          <w:vAlign w:val="center"/>
          <w:docGrid w:linePitch="312" w:charSpace="0"/>
        </w:sectPr>
      </w:pPr>
      <w:bookmarkStart w:id="190" w:name="_Toc31859"/>
      <w:bookmarkStart w:id="191" w:name="_Toc220505584"/>
      <w:r>
        <w:rPr>
          <w:sz w:val="48"/>
          <w:szCs w:val="48"/>
        </w:rPr>
        <w:t>第四卷</w:t>
      </w:r>
      <w:bookmarkEnd w:id="190"/>
      <w:bookmarkEnd w:id="191"/>
    </w:p>
    <w:p>
      <w:pPr>
        <w:pStyle w:val="6"/>
        <w:jc w:val="center"/>
        <w:rPr>
          <w:i w:val="0"/>
          <w:iCs w:val="0"/>
          <w:sz w:val="32"/>
          <w:szCs w:val="32"/>
        </w:rPr>
      </w:pPr>
      <w:bookmarkStart w:id="192" w:name="_Toc28132"/>
      <w:bookmarkStart w:id="193" w:name="_Toc220505585"/>
      <w:bookmarkStart w:id="194" w:name="_Toc17817347"/>
      <w:r>
        <w:rPr>
          <w:i w:val="0"/>
          <w:iCs w:val="0"/>
          <w:sz w:val="32"/>
          <w:szCs w:val="32"/>
        </w:rPr>
        <w:t>第八章  投标文件格式</w:t>
      </w:r>
      <w:bookmarkEnd w:id="192"/>
      <w:bookmarkEnd w:id="193"/>
      <w:bookmarkEnd w:id="194"/>
    </w:p>
    <w:p>
      <w:pPr>
        <w:spacing w:before="120" w:after="120" w:line="480" w:lineRule="exact"/>
        <w:rPr>
          <w:rStyle w:val="58"/>
          <w:rFonts w:ascii="宋体" w:hAnsi="宋体"/>
        </w:rPr>
      </w:pPr>
    </w:p>
    <w:p>
      <w:pPr>
        <w:spacing w:before="120" w:after="120" w:line="480" w:lineRule="exact"/>
        <w:rPr>
          <w:rStyle w:val="58"/>
          <w:rFonts w:ascii="宋体" w:hAnsi="宋体"/>
        </w:rPr>
      </w:pPr>
    </w:p>
    <w:p>
      <w:pPr>
        <w:jc w:val="center"/>
        <w:rPr>
          <w:rStyle w:val="58"/>
          <w:rFonts w:ascii="宋体" w:hAnsi="宋体"/>
          <w:sz w:val="28"/>
          <w:szCs w:val="28"/>
          <w:u w:val="single"/>
        </w:rPr>
      </w:pPr>
      <w:r>
        <w:rPr>
          <w:rStyle w:val="58"/>
          <w:rFonts w:ascii="宋体" w:hAnsi="宋体"/>
          <w:sz w:val="28"/>
          <w:szCs w:val="28"/>
        </w:rPr>
        <w:t>（项目名称）</w:t>
      </w:r>
    </w:p>
    <w:p>
      <w:pPr>
        <w:spacing w:before="240"/>
        <w:jc w:val="center"/>
        <w:rPr>
          <w:rStyle w:val="58"/>
          <w:rFonts w:ascii="宋体" w:hAnsi="宋体"/>
          <w:sz w:val="44"/>
          <w:szCs w:val="44"/>
        </w:rPr>
      </w:pPr>
      <w:r>
        <w:rPr>
          <w:rStyle w:val="58"/>
          <w:rFonts w:ascii="宋体" w:hAnsi="宋体"/>
          <w:sz w:val="44"/>
          <w:szCs w:val="44"/>
        </w:rPr>
        <w:t>投  标  文  件</w:t>
      </w: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pStyle w:val="2"/>
        <w:ind w:left="420" w:firstLine="420"/>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spacing w:line="360" w:lineRule="auto"/>
        <w:jc w:val="center"/>
        <w:rPr>
          <w:rStyle w:val="58"/>
          <w:rFonts w:ascii="宋体" w:hAnsi="宋体"/>
          <w:sz w:val="28"/>
          <w:szCs w:val="28"/>
        </w:rPr>
      </w:pPr>
      <w:r>
        <w:rPr>
          <w:rStyle w:val="58"/>
          <w:rFonts w:ascii="宋体" w:hAnsi="宋体"/>
          <w:sz w:val="28"/>
          <w:szCs w:val="28"/>
        </w:rPr>
        <w:t>投标人：（盖单位公章）</w:t>
      </w:r>
    </w:p>
    <w:p>
      <w:pPr>
        <w:spacing w:line="360" w:lineRule="auto"/>
        <w:ind w:firstLine="980" w:firstLineChars="350"/>
        <w:rPr>
          <w:rStyle w:val="58"/>
          <w:rFonts w:ascii="宋体" w:hAnsi="宋体"/>
          <w:sz w:val="28"/>
          <w:szCs w:val="28"/>
        </w:rPr>
      </w:pPr>
      <w:r>
        <w:rPr>
          <w:rStyle w:val="58"/>
          <w:rFonts w:ascii="宋体" w:hAnsi="宋体"/>
          <w:sz w:val="28"/>
          <w:szCs w:val="28"/>
        </w:rPr>
        <w:t>法定代表人或其委托代理人：（签字或盖章）</w:t>
      </w:r>
    </w:p>
    <w:p>
      <w:pPr>
        <w:jc w:val="center"/>
        <w:rPr>
          <w:rStyle w:val="58"/>
          <w:rFonts w:ascii="宋体" w:hAnsi="宋体"/>
          <w:sz w:val="28"/>
          <w:szCs w:val="28"/>
        </w:rPr>
      </w:pPr>
    </w:p>
    <w:p>
      <w:pPr>
        <w:jc w:val="center"/>
        <w:rPr>
          <w:rStyle w:val="58"/>
          <w:rFonts w:ascii="宋体" w:hAnsi="宋体"/>
          <w:sz w:val="28"/>
          <w:szCs w:val="28"/>
        </w:rPr>
      </w:pPr>
    </w:p>
    <w:p>
      <w:pPr>
        <w:jc w:val="center"/>
        <w:rPr>
          <w:rStyle w:val="58"/>
          <w:rFonts w:ascii="宋体" w:hAnsi="宋体"/>
          <w:sz w:val="28"/>
          <w:szCs w:val="28"/>
        </w:rPr>
      </w:pPr>
      <w:r>
        <w:rPr>
          <w:rStyle w:val="58"/>
          <w:rFonts w:ascii="宋体" w:hAnsi="宋体"/>
          <w:sz w:val="28"/>
          <w:szCs w:val="28"/>
        </w:rPr>
        <w:t>年月日</w:t>
      </w:r>
      <w:r>
        <w:rPr>
          <w:rStyle w:val="58"/>
          <w:rFonts w:ascii="宋体" w:hAnsi="宋体"/>
          <w:sz w:val="28"/>
          <w:szCs w:val="28"/>
        </w:rPr>
        <w:br w:type="page"/>
      </w:r>
    </w:p>
    <w:p>
      <w:pPr>
        <w:jc w:val="center"/>
        <w:rPr>
          <w:rStyle w:val="58"/>
          <w:rFonts w:ascii="宋体" w:hAnsi="宋体"/>
          <w:sz w:val="28"/>
          <w:szCs w:val="28"/>
        </w:rPr>
      </w:pPr>
      <w:r>
        <w:rPr>
          <w:rStyle w:val="58"/>
          <w:rFonts w:ascii="宋体" w:hAnsi="宋体"/>
          <w:sz w:val="28"/>
          <w:szCs w:val="28"/>
        </w:rPr>
        <w:t>目    录</w:t>
      </w:r>
    </w:p>
    <w:p>
      <w:pPr>
        <w:pStyle w:val="67"/>
        <w:numPr>
          <w:ilvl w:val="0"/>
          <w:numId w:val="11"/>
        </w:numPr>
        <w:spacing w:line="600" w:lineRule="exact"/>
        <w:ind w:firstLineChars="0"/>
        <w:rPr>
          <w:rStyle w:val="58"/>
          <w:rFonts w:ascii="宋体" w:hAnsi="宋体"/>
          <w:szCs w:val="21"/>
        </w:rPr>
      </w:pPr>
      <w:r>
        <w:rPr>
          <w:rStyle w:val="58"/>
          <w:rFonts w:ascii="宋体" w:hAnsi="宋体"/>
          <w:szCs w:val="21"/>
        </w:rPr>
        <w:t>投标函及投标函附录</w:t>
      </w:r>
    </w:p>
    <w:p>
      <w:pPr>
        <w:pStyle w:val="67"/>
        <w:numPr>
          <w:ilvl w:val="0"/>
          <w:numId w:val="11"/>
        </w:numPr>
        <w:spacing w:line="600" w:lineRule="exact"/>
        <w:ind w:firstLineChars="0"/>
        <w:rPr>
          <w:rStyle w:val="58"/>
          <w:rFonts w:ascii="宋体" w:hAnsi="宋体"/>
          <w:szCs w:val="21"/>
        </w:rPr>
      </w:pPr>
      <w:r>
        <w:rPr>
          <w:rStyle w:val="58"/>
          <w:rFonts w:ascii="宋体" w:hAnsi="宋体"/>
          <w:szCs w:val="21"/>
        </w:rPr>
        <w:t>法定代表人身份证明</w:t>
      </w:r>
    </w:p>
    <w:p>
      <w:pPr>
        <w:pStyle w:val="67"/>
        <w:numPr>
          <w:ilvl w:val="0"/>
          <w:numId w:val="11"/>
        </w:numPr>
        <w:spacing w:line="600" w:lineRule="exact"/>
        <w:ind w:firstLineChars="0"/>
        <w:rPr>
          <w:rStyle w:val="58"/>
          <w:rFonts w:ascii="宋体" w:hAnsi="宋体"/>
          <w:szCs w:val="21"/>
        </w:rPr>
      </w:pPr>
      <w:r>
        <w:rPr>
          <w:rStyle w:val="58"/>
          <w:rFonts w:ascii="宋体" w:hAnsi="宋体"/>
          <w:szCs w:val="21"/>
        </w:rPr>
        <w:t>授权委托书</w:t>
      </w:r>
    </w:p>
    <w:p>
      <w:pPr>
        <w:pStyle w:val="67"/>
        <w:numPr>
          <w:ilvl w:val="0"/>
          <w:numId w:val="11"/>
        </w:numPr>
        <w:spacing w:line="600" w:lineRule="exact"/>
        <w:ind w:firstLineChars="0"/>
        <w:rPr>
          <w:rStyle w:val="58"/>
          <w:rFonts w:ascii="宋体" w:hAnsi="宋体"/>
          <w:szCs w:val="21"/>
        </w:rPr>
      </w:pPr>
      <w:r>
        <w:rPr>
          <w:rStyle w:val="58"/>
          <w:rFonts w:ascii="宋体" w:hAnsi="宋体"/>
          <w:szCs w:val="21"/>
        </w:rPr>
        <w:t>投标保证金</w:t>
      </w:r>
    </w:p>
    <w:p>
      <w:pPr>
        <w:pStyle w:val="67"/>
        <w:numPr>
          <w:ilvl w:val="0"/>
          <w:numId w:val="11"/>
        </w:numPr>
        <w:spacing w:line="600" w:lineRule="exact"/>
        <w:ind w:firstLineChars="0"/>
        <w:rPr>
          <w:rStyle w:val="58"/>
          <w:rFonts w:ascii="宋体" w:hAnsi="宋体"/>
          <w:szCs w:val="21"/>
        </w:rPr>
      </w:pPr>
      <w:r>
        <w:rPr>
          <w:rStyle w:val="58"/>
          <w:rFonts w:ascii="宋体" w:hAnsi="宋体"/>
          <w:szCs w:val="21"/>
        </w:rPr>
        <w:t>已标价工程量清单</w:t>
      </w:r>
    </w:p>
    <w:p>
      <w:pPr>
        <w:pStyle w:val="67"/>
        <w:numPr>
          <w:ilvl w:val="0"/>
          <w:numId w:val="11"/>
        </w:numPr>
        <w:spacing w:line="600" w:lineRule="exact"/>
        <w:ind w:firstLineChars="0"/>
        <w:rPr>
          <w:rStyle w:val="58"/>
          <w:rFonts w:ascii="宋体" w:hAnsi="宋体"/>
        </w:rPr>
      </w:pPr>
      <w:r>
        <w:rPr>
          <w:rStyle w:val="58"/>
          <w:rFonts w:hint="eastAsia" w:ascii="宋体" w:hAnsi="宋体"/>
        </w:rPr>
        <w:t>施工组织设计</w:t>
      </w:r>
    </w:p>
    <w:p>
      <w:pPr>
        <w:pStyle w:val="67"/>
        <w:numPr>
          <w:ilvl w:val="0"/>
          <w:numId w:val="11"/>
        </w:numPr>
        <w:spacing w:line="600" w:lineRule="exact"/>
        <w:ind w:firstLineChars="0"/>
        <w:rPr>
          <w:rStyle w:val="58"/>
          <w:rFonts w:ascii="宋体" w:hAnsi="宋体"/>
          <w:szCs w:val="21"/>
        </w:rPr>
      </w:pPr>
      <w:r>
        <w:rPr>
          <w:rStyle w:val="58"/>
          <w:rFonts w:hint="eastAsia" w:ascii="宋体" w:hAnsi="宋体"/>
        </w:rPr>
        <w:sym w:font="Wingdings 2" w:char="F052"/>
      </w:r>
      <w:r>
        <w:rPr>
          <w:rStyle w:val="58"/>
          <w:rFonts w:ascii="宋体" w:hAnsi="宋体"/>
          <w:szCs w:val="21"/>
        </w:rPr>
        <w:t>项目管理机构</w:t>
      </w:r>
    </w:p>
    <w:p>
      <w:pPr>
        <w:pStyle w:val="67"/>
        <w:numPr>
          <w:ilvl w:val="0"/>
          <w:numId w:val="11"/>
        </w:numPr>
        <w:spacing w:line="600" w:lineRule="exact"/>
        <w:ind w:firstLineChars="0"/>
        <w:rPr>
          <w:rStyle w:val="58"/>
          <w:rFonts w:ascii="宋体" w:hAnsi="宋体"/>
          <w:szCs w:val="21"/>
        </w:rPr>
      </w:pPr>
      <w:r>
        <w:rPr>
          <w:rStyle w:val="58"/>
          <w:rFonts w:ascii="宋体" w:hAnsi="宋体"/>
          <w:szCs w:val="21"/>
        </w:rPr>
        <w:t>其他材料</w:t>
      </w:r>
    </w:p>
    <w:p>
      <w:pPr>
        <w:spacing w:line="600" w:lineRule="exact"/>
        <w:rPr>
          <w:rStyle w:val="58"/>
          <w:rFonts w:ascii="宋体" w:hAnsi="宋体"/>
          <w:szCs w:val="21"/>
        </w:rPr>
      </w:pPr>
    </w:p>
    <w:p>
      <w:pPr>
        <w:spacing w:line="600" w:lineRule="exact"/>
        <w:rPr>
          <w:rStyle w:val="58"/>
          <w:rFonts w:ascii="宋体" w:hAnsi="宋体"/>
          <w:szCs w:val="21"/>
        </w:rPr>
      </w:pPr>
    </w:p>
    <w:p>
      <w:pPr>
        <w:spacing w:line="600" w:lineRule="exact"/>
        <w:rPr>
          <w:rStyle w:val="58"/>
          <w:rFonts w:ascii="宋体" w:hAnsi="宋体"/>
          <w:szCs w:val="21"/>
        </w:rPr>
      </w:pPr>
    </w:p>
    <w:p>
      <w:pPr>
        <w:spacing w:line="600" w:lineRule="exact"/>
        <w:rPr>
          <w:rStyle w:val="58"/>
          <w:rFonts w:ascii="宋体" w:hAnsi="宋体"/>
          <w:szCs w:val="21"/>
        </w:rPr>
      </w:pPr>
    </w:p>
    <w:p>
      <w:pPr>
        <w:spacing w:line="600" w:lineRule="exact"/>
        <w:rPr>
          <w:rStyle w:val="58"/>
          <w:rFonts w:ascii="宋体" w:hAnsi="宋体"/>
          <w:szCs w:val="21"/>
        </w:rPr>
      </w:pPr>
    </w:p>
    <w:p>
      <w:pPr>
        <w:spacing w:line="600" w:lineRule="exact"/>
        <w:rPr>
          <w:rStyle w:val="58"/>
          <w:rFonts w:ascii="宋体" w:hAnsi="宋体"/>
          <w:szCs w:val="21"/>
        </w:rPr>
      </w:pPr>
      <w:r>
        <w:rPr>
          <w:rStyle w:val="58"/>
          <w:rFonts w:ascii="宋体" w:hAnsi="宋体"/>
          <w:szCs w:val="21"/>
        </w:rPr>
        <w:br w:type="page"/>
      </w:r>
    </w:p>
    <w:p>
      <w:pPr>
        <w:pStyle w:val="7"/>
        <w:spacing w:before="0" w:after="0" w:line="480" w:lineRule="auto"/>
        <w:jc w:val="center"/>
        <w:rPr>
          <w:sz w:val="30"/>
          <w:szCs w:val="30"/>
        </w:rPr>
      </w:pPr>
      <w:bookmarkStart w:id="195" w:name="_Toc23716"/>
      <w:bookmarkStart w:id="196" w:name="_Toc220505586"/>
      <w:bookmarkStart w:id="197" w:name="_Toc17817348"/>
      <w:bookmarkStart w:id="198" w:name="_Toc16063994"/>
      <w:bookmarkStart w:id="199" w:name="_Toc6538"/>
      <w:r>
        <w:rPr>
          <w:sz w:val="30"/>
          <w:szCs w:val="30"/>
        </w:rPr>
        <w:t>一、投标函及投标函附录</w:t>
      </w:r>
      <w:bookmarkEnd w:id="195"/>
      <w:bookmarkEnd w:id="196"/>
      <w:bookmarkEnd w:id="197"/>
      <w:bookmarkEnd w:id="198"/>
      <w:bookmarkEnd w:id="199"/>
    </w:p>
    <w:p>
      <w:pPr>
        <w:snapToGrid w:val="0"/>
        <w:spacing w:line="440" w:lineRule="exact"/>
        <w:ind w:firstLine="527" w:firstLineChars="250"/>
        <w:jc w:val="center"/>
        <w:rPr>
          <w:rStyle w:val="58"/>
          <w:rFonts w:ascii="宋体" w:hAnsi="宋体"/>
          <w:b/>
          <w:szCs w:val="21"/>
        </w:rPr>
      </w:pPr>
      <w:bookmarkStart w:id="200" w:name="_Toc16063995"/>
      <w:r>
        <w:rPr>
          <w:rStyle w:val="58"/>
          <w:rFonts w:ascii="宋体" w:hAnsi="宋体"/>
          <w:b/>
          <w:szCs w:val="21"/>
        </w:rPr>
        <w:t>（一）投标函</w:t>
      </w:r>
      <w:bookmarkEnd w:id="200"/>
    </w:p>
    <w:p>
      <w:pPr>
        <w:snapToGrid w:val="0"/>
        <w:spacing w:line="440" w:lineRule="exact"/>
        <w:ind w:firstLine="527" w:firstLineChars="250"/>
        <w:jc w:val="center"/>
        <w:rPr>
          <w:rStyle w:val="58"/>
          <w:rFonts w:ascii="宋体" w:hAnsi="宋体"/>
          <w:b/>
          <w:szCs w:val="21"/>
        </w:rPr>
      </w:pPr>
    </w:p>
    <w:p>
      <w:pPr>
        <w:spacing w:line="480" w:lineRule="exact"/>
        <w:rPr>
          <w:rStyle w:val="58"/>
          <w:rFonts w:ascii="宋体" w:hAnsi="宋体"/>
        </w:rPr>
      </w:pPr>
      <w:r>
        <w:rPr>
          <w:rStyle w:val="58"/>
          <w:rFonts w:ascii="宋体" w:hAnsi="宋体"/>
        </w:rPr>
        <w:t>致：（招标人名称）</w:t>
      </w:r>
    </w:p>
    <w:p>
      <w:pPr>
        <w:spacing w:line="480" w:lineRule="exact"/>
        <w:ind w:firstLine="420" w:firstLineChars="200"/>
        <w:rPr>
          <w:rStyle w:val="58"/>
          <w:rFonts w:ascii="宋体" w:hAnsi="宋体"/>
        </w:rPr>
      </w:pPr>
      <w:r>
        <w:rPr>
          <w:rStyle w:val="58"/>
          <w:rFonts w:ascii="宋体" w:hAnsi="宋体"/>
        </w:rPr>
        <w:t>根据已收到贵方的招标编号为</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 xml:space="preserve"> 的</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 xml:space="preserve"> 工程的招标文件，遵照《中华人民共和国招标投标法》等有关规定，我方经考察现场和研究上述招标文件的投标须知、合同条款、技术规范、图纸和工程量清单及其他有关文件后，我方愿以工程唱标单中的投标报价，并按上述图纸、合同条款、技术规范和工程量清单的条件要求承包上述工程的施工、竣工并承担任何质量缺陷保修责任。</w:t>
      </w:r>
    </w:p>
    <w:p>
      <w:pPr>
        <w:spacing w:line="480" w:lineRule="exact"/>
        <w:ind w:firstLine="420" w:firstLineChars="200"/>
        <w:rPr>
          <w:rStyle w:val="58"/>
          <w:rFonts w:ascii="宋体" w:hAnsi="宋体"/>
        </w:rPr>
      </w:pPr>
      <w:r>
        <w:rPr>
          <w:rStyle w:val="58"/>
          <w:rFonts w:ascii="宋体" w:hAnsi="宋体"/>
        </w:rPr>
        <w:t>如果我方中标，我方保证在</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年</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月</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日或按照合同约定的开工日期开始本工程的施工，</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天内竣工，并确保工程质量合格。我方同意本投标函在招标文件规定的提交投标文件截止时间后</w:t>
      </w:r>
      <w:r>
        <w:rPr>
          <w:rStyle w:val="58"/>
          <w:rFonts w:hint="eastAsia" w:ascii="宋体" w:hAnsi="宋体"/>
        </w:rPr>
        <w:t>、</w:t>
      </w:r>
      <w:r>
        <w:rPr>
          <w:rStyle w:val="58"/>
          <w:rFonts w:ascii="宋体" w:hAnsi="宋体"/>
        </w:rPr>
        <w:t>在招标文件规定的投标有效期期满前对我方具有约束力，且随时准备接受你方发出的中标通知书。</w:t>
      </w:r>
    </w:p>
    <w:p>
      <w:pPr>
        <w:spacing w:line="480" w:lineRule="exact"/>
        <w:ind w:firstLine="420" w:firstLineChars="200"/>
        <w:rPr>
          <w:rStyle w:val="58"/>
          <w:rFonts w:ascii="宋体" w:hAnsi="宋体"/>
        </w:rPr>
      </w:pPr>
      <w:r>
        <w:rPr>
          <w:rStyle w:val="58"/>
          <w:rFonts w:ascii="宋体" w:hAnsi="宋体"/>
        </w:rPr>
        <w:t>随本投标函递交的投标函附录是本投标函的组成部分，对我方构成约束力。</w:t>
      </w:r>
    </w:p>
    <w:p>
      <w:pPr>
        <w:spacing w:line="480" w:lineRule="exact"/>
        <w:ind w:firstLine="420" w:firstLineChars="200"/>
        <w:rPr>
          <w:rStyle w:val="58"/>
          <w:rFonts w:ascii="宋体" w:hAnsi="宋体"/>
        </w:rPr>
      </w:pPr>
      <w:r>
        <w:rPr>
          <w:rStyle w:val="58"/>
          <w:rFonts w:ascii="宋体" w:hAnsi="宋体"/>
        </w:rPr>
        <w:t>随同本投标函递交投标保证金一份，金额为人民币（大写）：</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元（</w:t>
      </w:r>
      <w:r>
        <w:rPr>
          <w:rStyle w:val="58"/>
          <w:rFonts w:hint="eastAsia" w:ascii="宋体" w:hAnsi="宋体"/>
        </w:rPr>
        <w:t>¥</w:t>
      </w:r>
      <w:r>
        <w:rPr>
          <w:rStyle w:val="58"/>
          <w:rFonts w:hint="eastAsia" w:ascii="宋体" w:hAnsi="宋体"/>
          <w:u w:val="single"/>
        </w:rPr>
        <w:t xml:space="preserve"> </w:t>
      </w:r>
      <w:r>
        <w:rPr>
          <w:rStyle w:val="58"/>
          <w:rFonts w:ascii="宋体" w:hAnsi="宋体"/>
          <w:u w:val="single"/>
        </w:rPr>
        <w:t xml:space="preserve">    </w:t>
      </w:r>
      <w:r>
        <w:rPr>
          <w:rStyle w:val="58"/>
          <w:rFonts w:ascii="宋体" w:hAnsi="宋体"/>
        </w:rPr>
        <w:t>元）。</w:t>
      </w:r>
    </w:p>
    <w:p>
      <w:pPr>
        <w:spacing w:line="480" w:lineRule="exact"/>
        <w:ind w:firstLine="420" w:firstLineChars="200"/>
        <w:rPr>
          <w:rStyle w:val="58"/>
          <w:rFonts w:ascii="宋体" w:hAnsi="宋体"/>
        </w:rPr>
      </w:pPr>
      <w:r>
        <w:rPr>
          <w:rStyle w:val="58"/>
          <w:rFonts w:ascii="宋体" w:hAnsi="宋体"/>
        </w:rPr>
        <w:t>在签署协议书之前，你方中标通知书连同本投标函，包括投标函附录，对双方具有约束力。</w:t>
      </w:r>
    </w:p>
    <w:p>
      <w:pPr>
        <w:spacing w:line="480" w:lineRule="exact"/>
        <w:ind w:firstLine="420" w:firstLineChars="200"/>
        <w:rPr>
          <w:rStyle w:val="58"/>
          <w:rFonts w:ascii="宋体" w:hAnsi="宋体"/>
        </w:rPr>
      </w:pPr>
      <w:r>
        <w:rPr>
          <w:rStyle w:val="58"/>
          <w:rFonts w:ascii="宋体" w:hAnsi="宋体"/>
        </w:rPr>
        <w:t>我公司承诺遵守贵公司由于招标人公司政策变化引起的随时终止项目的要求并承担由此带来的一切损失。</w:t>
      </w:r>
    </w:p>
    <w:p>
      <w:pPr>
        <w:pStyle w:val="19"/>
      </w:pPr>
    </w:p>
    <w:p>
      <w:pPr>
        <w:spacing w:line="200" w:lineRule="exact"/>
        <w:ind w:firstLine="420" w:firstLineChars="200"/>
        <w:rPr>
          <w:rStyle w:val="58"/>
          <w:rFonts w:ascii="宋体" w:hAnsi="宋体"/>
        </w:rPr>
      </w:pPr>
    </w:p>
    <w:p>
      <w:pPr>
        <w:spacing w:line="480" w:lineRule="exact"/>
        <w:rPr>
          <w:rStyle w:val="58"/>
          <w:rFonts w:ascii="宋体" w:hAnsi="宋体"/>
        </w:rPr>
      </w:pPr>
      <w:r>
        <w:rPr>
          <w:rStyle w:val="58"/>
          <w:rFonts w:ascii="宋体" w:hAnsi="宋体"/>
        </w:rPr>
        <w:t>投  标  人（盖单位公章）：</w:t>
      </w:r>
    </w:p>
    <w:p>
      <w:pPr>
        <w:spacing w:line="480" w:lineRule="exact"/>
        <w:rPr>
          <w:rStyle w:val="58"/>
          <w:rFonts w:ascii="宋体" w:hAnsi="宋体"/>
        </w:rPr>
      </w:pPr>
      <w:r>
        <w:rPr>
          <w:rStyle w:val="58"/>
          <w:rFonts w:ascii="宋体" w:hAnsi="宋体"/>
        </w:rPr>
        <w:t>法人代表或委托代理人（签字或盖章）：</w:t>
      </w:r>
    </w:p>
    <w:p>
      <w:pPr>
        <w:spacing w:line="480" w:lineRule="exact"/>
        <w:rPr>
          <w:rStyle w:val="58"/>
          <w:rFonts w:ascii="宋体" w:hAnsi="宋体"/>
        </w:rPr>
      </w:pPr>
      <w:r>
        <w:rPr>
          <w:rStyle w:val="58"/>
          <w:rFonts w:ascii="宋体" w:hAnsi="宋体"/>
        </w:rPr>
        <w:t>日  期：</w:t>
      </w:r>
      <w:r>
        <w:rPr>
          <w:rStyle w:val="58"/>
          <w:rFonts w:hint="eastAsia" w:ascii="宋体" w:hAnsi="宋体"/>
        </w:rPr>
        <w:t xml:space="preserve"> </w:t>
      </w:r>
      <w:r>
        <w:rPr>
          <w:rStyle w:val="58"/>
          <w:rFonts w:ascii="宋体" w:hAnsi="宋体"/>
        </w:rPr>
        <w:t xml:space="preserve">   年</w:t>
      </w:r>
      <w:r>
        <w:rPr>
          <w:rStyle w:val="58"/>
          <w:rFonts w:hint="eastAsia" w:ascii="宋体" w:hAnsi="宋体"/>
        </w:rPr>
        <w:t xml:space="preserve"> </w:t>
      </w:r>
      <w:r>
        <w:rPr>
          <w:rStyle w:val="58"/>
          <w:rFonts w:ascii="宋体" w:hAnsi="宋体"/>
        </w:rPr>
        <w:t xml:space="preserve">   月</w:t>
      </w:r>
      <w:r>
        <w:rPr>
          <w:rStyle w:val="58"/>
          <w:rFonts w:hint="eastAsia" w:ascii="宋体" w:hAnsi="宋体"/>
        </w:rPr>
        <w:t xml:space="preserve"> </w:t>
      </w:r>
      <w:r>
        <w:rPr>
          <w:rStyle w:val="58"/>
          <w:rFonts w:ascii="宋体" w:hAnsi="宋体"/>
        </w:rPr>
        <w:t xml:space="preserve">   日</w:t>
      </w:r>
    </w:p>
    <w:p>
      <w:pPr>
        <w:spacing w:line="200" w:lineRule="exact"/>
        <w:ind w:firstLine="420" w:firstLineChars="200"/>
        <w:rPr>
          <w:rStyle w:val="58"/>
          <w:rFonts w:ascii="宋体" w:hAnsi="宋体"/>
        </w:rPr>
      </w:pPr>
    </w:p>
    <w:p>
      <w:pPr>
        <w:rPr>
          <w:rStyle w:val="58"/>
          <w:rFonts w:ascii="宋体" w:hAnsi="宋体"/>
        </w:rPr>
      </w:pPr>
    </w:p>
    <w:p>
      <w:pPr>
        <w:rPr>
          <w:rStyle w:val="58"/>
          <w:rFonts w:ascii="宋体" w:hAnsi="宋体"/>
        </w:rPr>
      </w:pPr>
    </w:p>
    <w:p>
      <w:pPr>
        <w:spacing w:before="240" w:after="120" w:line="510" w:lineRule="exact"/>
        <w:jc w:val="center"/>
        <w:rPr>
          <w:rStyle w:val="58"/>
          <w:rFonts w:ascii="宋体" w:hAnsi="宋体"/>
          <w:b/>
        </w:rPr>
      </w:pPr>
      <w:r>
        <w:rPr>
          <w:rStyle w:val="58"/>
          <w:rFonts w:ascii="宋体" w:hAnsi="宋体"/>
          <w:b/>
        </w:rPr>
        <w:br w:type="page"/>
      </w:r>
    </w:p>
    <w:p>
      <w:pPr>
        <w:snapToGrid w:val="0"/>
        <w:spacing w:line="440" w:lineRule="exact"/>
        <w:jc w:val="center"/>
        <w:rPr>
          <w:rStyle w:val="58"/>
          <w:rFonts w:ascii="宋体" w:hAnsi="宋体"/>
          <w:b/>
          <w:szCs w:val="21"/>
        </w:rPr>
      </w:pPr>
      <w:bookmarkStart w:id="201" w:name="_Toc16063996"/>
      <w:r>
        <w:rPr>
          <w:rStyle w:val="58"/>
          <w:rFonts w:ascii="宋体" w:hAnsi="宋体"/>
          <w:b/>
          <w:szCs w:val="21"/>
        </w:rPr>
        <w:t>（二）投标函附录-1</w:t>
      </w:r>
      <w:bookmarkEnd w:id="201"/>
    </w:p>
    <w:p>
      <w:pPr>
        <w:spacing w:line="360" w:lineRule="auto"/>
        <w:ind w:firstLine="278" w:firstLineChars="99"/>
        <w:jc w:val="center"/>
        <w:rPr>
          <w:rStyle w:val="58"/>
          <w:rFonts w:ascii="宋体" w:hAnsi="宋体"/>
          <w:b/>
          <w:bCs/>
          <w:sz w:val="28"/>
          <w:szCs w:val="28"/>
        </w:rPr>
      </w:pPr>
      <w:r>
        <w:rPr>
          <w:rStyle w:val="58"/>
          <w:rFonts w:ascii="宋体" w:hAnsi="宋体"/>
          <w:b/>
          <w:bCs/>
          <w:sz w:val="28"/>
          <w:szCs w:val="28"/>
        </w:rPr>
        <w:t>工程唱标单（格式）</w:t>
      </w:r>
    </w:p>
    <w:tbl>
      <w:tblPr>
        <w:tblStyle w:val="37"/>
        <w:tblW w:w="98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1"/>
        <w:gridCol w:w="2180"/>
        <w:gridCol w:w="1235"/>
        <w:gridCol w:w="2114"/>
        <w:gridCol w:w="1807"/>
        <w:gridCol w:w="1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72"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Style w:val="58"/>
                <w:rFonts w:ascii="宋体" w:hAnsi="宋体"/>
                <w:bCs/>
                <w:szCs w:val="21"/>
              </w:rPr>
            </w:pPr>
            <w:r>
              <w:rPr>
                <w:rStyle w:val="58"/>
                <w:rFonts w:ascii="宋体" w:hAnsi="宋体"/>
                <w:bCs/>
                <w:szCs w:val="21"/>
              </w:rPr>
              <w:t xml:space="preserve">投标人：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3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Style w:val="58"/>
                <w:rFonts w:ascii="宋体" w:hAnsi="宋体"/>
                <w:bCs/>
                <w:szCs w:val="21"/>
              </w:rPr>
            </w:pPr>
            <w:r>
              <w:rPr>
                <w:rStyle w:val="58"/>
                <w:rFonts w:ascii="宋体" w:hAnsi="宋体"/>
                <w:bCs/>
                <w:szCs w:val="21"/>
              </w:rPr>
              <w:t xml:space="preserve">工程名称：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11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Fonts w:ascii="宋体" w:hAnsi="宋体" w:cs="宋体"/>
                <w:b/>
                <w:bCs/>
              </w:rPr>
            </w:pPr>
            <w:r>
              <w:rPr>
                <w:rFonts w:hint="eastAsia" w:ascii="宋体" w:hAnsi="宋体" w:cs="宋体"/>
                <w:b/>
                <w:bCs/>
              </w:rPr>
              <w:t>投标总价：</w:t>
            </w:r>
          </w:p>
          <w:p>
            <w:pPr>
              <w:ind w:firstLine="420" w:firstLineChars="200"/>
              <w:rPr>
                <w:rFonts w:ascii="宋体" w:hAnsi="宋体" w:cs="宋体"/>
              </w:rPr>
            </w:pPr>
            <w:r>
              <w:rPr>
                <w:rFonts w:hint="eastAsia" w:ascii="宋体" w:hAnsi="宋体" w:cs="宋体"/>
              </w:rPr>
              <w:t>不含税报价：大写：人民币      元（小写：¥      元）；</w:t>
            </w:r>
          </w:p>
          <w:p>
            <w:pPr>
              <w:ind w:firstLine="420" w:firstLineChars="200"/>
              <w:rPr>
                <w:rFonts w:ascii="宋体" w:hAnsi="宋体" w:cs="宋体"/>
              </w:rPr>
            </w:pPr>
            <w:r>
              <w:rPr>
                <w:rFonts w:hint="eastAsia" w:ascii="宋体" w:hAnsi="宋体" w:cs="宋体"/>
              </w:rPr>
              <w:t>含税报价：大写：人民币      元（小写：¥      元），含9%增值税。</w:t>
            </w:r>
            <w:r>
              <w:rPr>
                <w:rFonts w:hint="eastAsia" w:ascii="宋体" w:hAnsi="宋体" w:cs="宋体"/>
                <w:i/>
                <w:iCs/>
                <w:color w:val="FF0000"/>
              </w:rPr>
              <w:t xml:space="preserve"> </w:t>
            </w:r>
          </w:p>
          <w:p>
            <w:pPr>
              <w:ind w:firstLine="420" w:firstLineChars="200"/>
              <w:rPr>
                <w:rFonts w:ascii="宋体" w:hAnsi="宋体" w:cs="宋体"/>
              </w:rPr>
            </w:pPr>
            <w:r>
              <w:rPr>
                <w:rFonts w:hint="eastAsia" w:ascii="宋体" w:hAnsi="宋体" w:cs="宋体"/>
              </w:rPr>
              <w:t>清单外让利：</w:t>
            </w:r>
            <w:r>
              <w:rPr>
                <w:rFonts w:hint="eastAsia" w:ascii="宋体" w:hAnsi="宋体" w:cs="宋体"/>
                <w:u w:val="single"/>
              </w:rPr>
              <w:t xml:space="preserve">  </w:t>
            </w:r>
            <w:r>
              <w:rPr>
                <w:rFonts w:ascii="宋体" w:hAnsi="宋体" w:cs="宋体"/>
                <w:u w:val="single"/>
              </w:rPr>
              <w:t>5</w:t>
            </w:r>
            <w:r>
              <w:rPr>
                <w:rFonts w:hint="eastAsia" w:ascii="宋体" w:hAnsi="宋体" w:cs="宋体"/>
                <w:u w:val="single"/>
              </w:rPr>
              <w:t xml:space="preserve">  </w:t>
            </w:r>
            <w:r>
              <w:rPr>
                <w:rFonts w:hint="eastAsia" w:ascii="宋体" w:hAnsi="宋体" w:cs="宋体"/>
              </w:rPr>
              <w:t>%；计日工单价</w:t>
            </w:r>
            <w:r>
              <w:rPr>
                <w:rFonts w:hint="eastAsia" w:ascii="宋体" w:hAnsi="宋体" w:cs="宋体"/>
                <w:b/>
                <w:bCs/>
              </w:rPr>
              <w:t>（全费用）</w:t>
            </w:r>
            <w:r>
              <w:rPr>
                <w:rFonts w:hint="eastAsia" w:ascii="宋体" w:hAnsi="宋体" w:cs="宋体"/>
              </w:rPr>
              <w:t>：</w:t>
            </w:r>
            <w:r>
              <w:rPr>
                <w:rFonts w:hint="eastAsia" w:ascii="宋体" w:hAnsi="宋体" w:cs="宋体"/>
                <w:u w:val="single"/>
              </w:rPr>
              <w:t xml:space="preserve"> </w:t>
            </w:r>
            <w:r>
              <w:rPr>
                <w:rFonts w:ascii="宋体" w:hAnsi="宋体" w:cs="宋体"/>
                <w:u w:val="single"/>
              </w:rPr>
              <w:t>220</w:t>
            </w:r>
            <w:r>
              <w:rPr>
                <w:rFonts w:hint="eastAsia" w:ascii="宋体" w:hAnsi="宋体" w:cs="宋体"/>
                <w:u w:val="single"/>
              </w:rPr>
              <w:t xml:space="preserve"> </w:t>
            </w:r>
            <w:r>
              <w:rPr>
                <w:rFonts w:hint="eastAsia" w:ascii="宋体" w:hAnsi="宋体" w:cs="宋体"/>
              </w:rPr>
              <w:t>元/工日。</w:t>
            </w:r>
          </w:p>
          <w:p>
            <w:pPr>
              <w:ind w:firstLine="420" w:firstLineChars="20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1" w:hRule="atLeast"/>
          <w:jc w:val="center"/>
        </w:trPr>
        <w:tc>
          <w:tcPr>
            <w:tcW w:w="128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Cs w:val="21"/>
              </w:rPr>
            </w:pPr>
            <w:r>
              <w:rPr>
                <w:rStyle w:val="58"/>
                <w:rFonts w:ascii="宋体" w:hAnsi="宋体"/>
                <w:bCs/>
                <w:szCs w:val="21"/>
              </w:rPr>
              <w:t>投标工期</w:t>
            </w:r>
          </w:p>
        </w:tc>
        <w:tc>
          <w:tcPr>
            <w:tcW w:w="8538" w:type="dxa"/>
            <w:gridSpan w:val="5"/>
            <w:tcBorders>
              <w:top w:val="single" w:color="000000" w:sz="4" w:space="0"/>
              <w:left w:val="single" w:color="000000" w:sz="4" w:space="0"/>
              <w:bottom w:val="single" w:color="000000" w:sz="4" w:space="0"/>
              <w:right w:val="single" w:color="000000" w:sz="4" w:space="0"/>
            </w:tcBorders>
            <w:vAlign w:val="bottom"/>
          </w:tcPr>
          <w:p>
            <w:pPr>
              <w:spacing w:line="276" w:lineRule="auto"/>
              <w:rPr>
                <w:rStyle w:val="58"/>
                <w:rFonts w:ascii="宋体" w:hAnsi="宋体"/>
                <w:szCs w:val="21"/>
              </w:rPr>
            </w:pPr>
            <w:r>
              <w:rPr>
                <w:rStyle w:val="58"/>
                <w:rFonts w:ascii="宋体" w:hAnsi="宋体"/>
                <w:szCs w:val="21"/>
              </w:rPr>
              <w:t>计划总工期</w:t>
            </w:r>
            <w:r>
              <w:rPr>
                <w:rStyle w:val="58"/>
                <w:rFonts w:ascii="宋体" w:hAnsi="宋体"/>
                <w:szCs w:val="21"/>
                <w:u w:val="single"/>
              </w:rPr>
              <w:t xml:space="preserve">：   </w:t>
            </w:r>
            <w:r>
              <w:rPr>
                <w:rStyle w:val="58"/>
                <w:rFonts w:ascii="宋体" w:hAnsi="宋体"/>
                <w:szCs w:val="21"/>
              </w:rPr>
              <w:t>日历天</w:t>
            </w:r>
            <w:r>
              <w:rPr>
                <w:rStyle w:val="58"/>
                <w:rFonts w:hint="eastAsia" w:ascii="宋体" w:hAnsi="宋体"/>
                <w:szCs w:val="21"/>
              </w:rPr>
              <w:t>（以收到招标人中标通知之日起计算）</w:t>
            </w:r>
            <w:r>
              <w:rPr>
                <w:rStyle w:val="58"/>
                <w:rFonts w:ascii="宋体" w:hAnsi="宋体"/>
                <w:szCs w:val="21"/>
              </w:rPr>
              <w:t>；</w:t>
            </w:r>
          </w:p>
          <w:p>
            <w:pPr>
              <w:spacing w:line="276" w:lineRule="auto"/>
              <w:rPr>
                <w:rStyle w:val="58"/>
                <w:rFonts w:ascii="宋体" w:hAnsi="宋体"/>
                <w:szCs w:val="21"/>
              </w:rPr>
            </w:pPr>
            <w:r>
              <w:rPr>
                <w:rStyle w:val="58"/>
                <w:rFonts w:ascii="宋体" w:hAnsi="宋体"/>
                <w:szCs w:val="21"/>
              </w:rPr>
              <w:t>计划开工日期：20</w:t>
            </w:r>
            <w:r>
              <w:rPr>
                <w:rStyle w:val="58"/>
                <w:rFonts w:hint="eastAsia" w:ascii="宋体" w:hAnsi="宋体"/>
                <w:szCs w:val="21"/>
              </w:rPr>
              <w:t>2</w:t>
            </w:r>
            <w:r>
              <w:rPr>
                <w:rStyle w:val="58"/>
                <w:rFonts w:ascii="宋体" w:hAnsi="宋体"/>
                <w:szCs w:val="21"/>
              </w:rPr>
              <w:t>6年</w:t>
            </w:r>
            <w:r>
              <w:rPr>
                <w:rStyle w:val="58"/>
                <w:rFonts w:hint="eastAsia" w:ascii="宋体" w:hAnsi="宋体"/>
                <w:szCs w:val="21"/>
              </w:rPr>
              <w:t xml:space="preserve"> </w:t>
            </w:r>
            <w:r>
              <w:rPr>
                <w:rStyle w:val="58"/>
                <w:rFonts w:ascii="宋体" w:hAnsi="宋体"/>
                <w:szCs w:val="21"/>
              </w:rPr>
              <w:t>月</w:t>
            </w:r>
            <w:r>
              <w:rPr>
                <w:rStyle w:val="58"/>
                <w:rFonts w:hint="eastAsia" w:ascii="宋体" w:hAnsi="宋体"/>
                <w:szCs w:val="21"/>
              </w:rPr>
              <w:t xml:space="preserve"> </w:t>
            </w:r>
            <w:r>
              <w:rPr>
                <w:rStyle w:val="58"/>
                <w:rFonts w:ascii="宋体" w:hAnsi="宋体"/>
                <w:szCs w:val="21"/>
              </w:rPr>
              <w:t>日；</w:t>
            </w:r>
          </w:p>
          <w:p>
            <w:pPr>
              <w:rPr>
                <w:rStyle w:val="58"/>
                <w:rFonts w:ascii="宋体" w:hAnsi="宋体"/>
                <w:bCs/>
                <w:szCs w:val="21"/>
              </w:rPr>
            </w:pPr>
            <w:r>
              <w:rPr>
                <w:rStyle w:val="58"/>
                <w:rFonts w:ascii="宋体" w:hAnsi="宋体"/>
                <w:szCs w:val="21"/>
              </w:rPr>
              <w:t>计划竣工日期：20</w:t>
            </w:r>
            <w:r>
              <w:rPr>
                <w:rStyle w:val="58"/>
                <w:rFonts w:hint="eastAsia" w:ascii="宋体" w:hAnsi="宋体"/>
                <w:szCs w:val="21"/>
              </w:rPr>
              <w:t>2</w:t>
            </w:r>
            <w:r>
              <w:rPr>
                <w:rStyle w:val="58"/>
                <w:rFonts w:ascii="宋体" w:hAnsi="宋体"/>
                <w:szCs w:val="21"/>
              </w:rPr>
              <w:t>6年</w:t>
            </w:r>
            <w:r>
              <w:rPr>
                <w:rStyle w:val="58"/>
                <w:rFonts w:hint="eastAsia" w:ascii="宋体" w:hAnsi="宋体"/>
                <w:szCs w:val="21"/>
              </w:rPr>
              <w:t xml:space="preserve"> </w:t>
            </w:r>
            <w:r>
              <w:rPr>
                <w:rStyle w:val="58"/>
                <w:rFonts w:ascii="宋体" w:hAnsi="宋体"/>
                <w:szCs w:val="21"/>
              </w:rPr>
              <w:t>月</w:t>
            </w:r>
            <w:r>
              <w:rPr>
                <w:rStyle w:val="58"/>
                <w:rFonts w:hint="eastAsia" w:ascii="宋体" w:hAnsi="宋体"/>
                <w:szCs w:val="21"/>
              </w:rPr>
              <w:t xml:space="preserve"> </w:t>
            </w:r>
            <w:r>
              <w:rPr>
                <w:rStyle w:val="58"/>
                <w:rFonts w:ascii="宋体" w:hAnsi="宋体"/>
                <w:szCs w:val="21"/>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39" w:hRule="atLeast"/>
          <w:jc w:val="center"/>
        </w:trPr>
        <w:tc>
          <w:tcPr>
            <w:tcW w:w="128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Cs w:val="21"/>
              </w:rPr>
            </w:pPr>
            <w:r>
              <w:rPr>
                <w:rStyle w:val="58"/>
                <w:rFonts w:ascii="宋体" w:hAnsi="宋体"/>
                <w:bCs/>
                <w:szCs w:val="21"/>
              </w:rPr>
              <w:t>项目经理</w:t>
            </w:r>
          </w:p>
        </w:tc>
        <w:tc>
          <w:tcPr>
            <w:tcW w:w="218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Cs w:val="21"/>
              </w:rPr>
            </w:pPr>
          </w:p>
        </w:tc>
        <w:tc>
          <w:tcPr>
            <w:tcW w:w="123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Cs w:val="21"/>
              </w:rPr>
            </w:pPr>
            <w:r>
              <w:rPr>
                <w:rStyle w:val="58"/>
                <w:rFonts w:ascii="宋体" w:hAnsi="宋体"/>
                <w:bCs/>
                <w:szCs w:val="21"/>
              </w:rPr>
              <w:t>级别</w:t>
            </w:r>
          </w:p>
        </w:tc>
        <w:tc>
          <w:tcPr>
            <w:tcW w:w="211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Cs w:val="21"/>
              </w:rPr>
            </w:pPr>
          </w:p>
        </w:tc>
        <w:tc>
          <w:tcPr>
            <w:tcW w:w="180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Cs w:val="21"/>
              </w:rPr>
            </w:pPr>
            <w:r>
              <w:rPr>
                <w:rStyle w:val="58"/>
                <w:rFonts w:ascii="宋体" w:hAnsi="宋体"/>
                <w:bCs/>
                <w:szCs w:val="21"/>
              </w:rPr>
              <w:t>编号</w:t>
            </w:r>
          </w:p>
        </w:tc>
        <w:tc>
          <w:tcPr>
            <w:tcW w:w="120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895"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b/>
                <w:bCs/>
              </w:rPr>
            </w:pPr>
            <w:r>
              <w:rPr>
                <w:b/>
                <w:bCs/>
              </w:rPr>
              <w:t>承诺拟派项目班子成员始终在工地现场管理，不擅自更换、不兼职其他工程项目，如确有原因须更换，应事先征得业主同意。</w:t>
            </w:r>
          </w:p>
          <w:p>
            <w:pPr>
              <w:pStyle w:val="2"/>
              <w:spacing w:after="0"/>
              <w:ind w:left="0" w:leftChars="0" w:firstLine="0" w:firstLineChars="0"/>
            </w:pPr>
            <w:r>
              <w:rPr>
                <w:rStyle w:val="58"/>
                <w:rFonts w:hint="eastAsia" w:ascii="宋体" w:hAnsi="宋体"/>
                <w:b/>
                <w:szCs w:val="21"/>
              </w:rPr>
              <w:t>我方报价及清单外让利已充分考虑了招标清单外增加施工内容的风险，我方认可并严格执行招标文件约定的清单外结算原则。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57"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Style w:val="58"/>
                <w:rFonts w:ascii="宋体" w:hAnsi="宋体"/>
                <w:bCs/>
                <w:szCs w:val="21"/>
              </w:rPr>
            </w:pPr>
            <w:r>
              <w:rPr>
                <w:rStyle w:val="58"/>
                <w:rFonts w:ascii="宋体" w:hAnsi="宋体"/>
                <w:bCs/>
                <w:szCs w:val="21"/>
              </w:rPr>
              <w:t>质量</w:t>
            </w:r>
            <w:r>
              <w:rPr>
                <w:rStyle w:val="58"/>
                <w:rFonts w:hint="eastAsia" w:ascii="宋体" w:hAnsi="宋体"/>
                <w:bCs/>
                <w:szCs w:val="21"/>
              </w:rPr>
              <w:t>标准</w:t>
            </w:r>
            <w:r>
              <w:rPr>
                <w:rStyle w:val="58"/>
                <w:rFonts w:ascii="宋体" w:hAnsi="宋体"/>
                <w:bCs/>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77"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Style w:val="58"/>
                <w:rFonts w:ascii="宋体" w:hAnsi="宋体"/>
                <w:bCs/>
                <w:szCs w:val="21"/>
              </w:rPr>
            </w:pPr>
            <w:r>
              <w:rPr>
                <w:rStyle w:val="58"/>
                <w:rFonts w:ascii="宋体" w:hAnsi="宋体"/>
                <w:bCs/>
                <w:szCs w:val="21"/>
              </w:rPr>
              <w:t>本投标人完全认同招标文件的各项条款要求。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49" w:hRule="atLeast"/>
          <w:jc w:val="center"/>
        </w:trPr>
        <w:tc>
          <w:tcPr>
            <w:tcW w:w="9819" w:type="dxa"/>
            <w:gridSpan w:val="6"/>
            <w:tcBorders>
              <w:top w:val="single" w:color="000000" w:sz="4" w:space="0"/>
              <w:left w:val="single" w:color="000000" w:sz="4" w:space="0"/>
              <w:bottom w:val="single" w:color="000000" w:sz="4" w:space="0"/>
              <w:right w:val="single" w:color="000000" w:sz="4" w:space="0"/>
            </w:tcBorders>
            <w:vAlign w:val="center"/>
          </w:tcPr>
          <w:p>
            <w:pPr>
              <w:rPr>
                <w:rStyle w:val="58"/>
                <w:rFonts w:ascii="宋体" w:hAnsi="宋体"/>
                <w:bCs/>
                <w:szCs w:val="21"/>
              </w:rPr>
            </w:pPr>
            <w:r>
              <w:rPr>
                <w:rStyle w:val="58"/>
                <w:rFonts w:ascii="宋体" w:hAnsi="宋体"/>
                <w:bCs/>
                <w:szCs w:val="21"/>
              </w:rPr>
              <w:t>投标人现场确认（签字）：</w:t>
            </w:r>
          </w:p>
        </w:tc>
      </w:tr>
    </w:tbl>
    <w:p>
      <w:pPr>
        <w:spacing w:line="400" w:lineRule="exact"/>
        <w:ind w:firstLine="209" w:firstLineChars="99"/>
        <w:rPr>
          <w:rStyle w:val="58"/>
          <w:rFonts w:ascii="宋体" w:hAnsi="宋体"/>
          <w:b/>
          <w:bCs/>
          <w:szCs w:val="21"/>
        </w:rPr>
      </w:pPr>
      <w:r>
        <w:rPr>
          <w:rStyle w:val="58"/>
          <w:rFonts w:ascii="宋体" w:hAnsi="宋体"/>
          <w:b/>
          <w:bCs/>
          <w:szCs w:val="21"/>
        </w:rPr>
        <w:t>投标人（盖单位公章）</w:t>
      </w:r>
    </w:p>
    <w:p>
      <w:pPr>
        <w:spacing w:line="400" w:lineRule="exact"/>
        <w:ind w:firstLine="209" w:firstLineChars="99"/>
        <w:rPr>
          <w:rStyle w:val="58"/>
          <w:rFonts w:ascii="宋体" w:hAnsi="宋体"/>
          <w:b/>
          <w:bCs/>
          <w:szCs w:val="21"/>
        </w:rPr>
      </w:pPr>
      <w:r>
        <w:rPr>
          <w:rStyle w:val="58"/>
          <w:rFonts w:ascii="宋体" w:hAnsi="宋体"/>
          <w:b/>
          <w:bCs/>
          <w:szCs w:val="21"/>
        </w:rPr>
        <w:t>法定代表人：（盖章）</w:t>
      </w:r>
    </w:p>
    <w:p>
      <w:pPr>
        <w:spacing w:line="400" w:lineRule="exact"/>
        <w:ind w:firstLine="209" w:firstLineChars="99"/>
        <w:rPr>
          <w:rStyle w:val="58"/>
          <w:rFonts w:ascii="宋体" w:hAnsi="宋体"/>
          <w:b/>
          <w:bCs/>
          <w:szCs w:val="21"/>
        </w:rPr>
      </w:pPr>
      <w:r>
        <w:rPr>
          <w:rStyle w:val="58"/>
          <w:rFonts w:hint="eastAsia" w:ascii="宋体" w:hAnsi="宋体"/>
          <w:b/>
          <w:bCs/>
          <w:szCs w:val="21"/>
        </w:rPr>
        <w:t>日期：</w:t>
      </w:r>
      <w:r>
        <w:rPr>
          <w:rStyle w:val="58"/>
          <w:rFonts w:ascii="宋体" w:hAnsi="宋体"/>
          <w:b/>
          <w:bCs/>
          <w:szCs w:val="21"/>
        </w:rPr>
        <w:t xml:space="preserve">      年      月    日</w:t>
      </w:r>
    </w:p>
    <w:p>
      <w:pPr>
        <w:spacing w:line="400" w:lineRule="exact"/>
        <w:ind w:left="630" w:hanging="630" w:hangingChars="299"/>
        <w:rPr>
          <w:rStyle w:val="58"/>
          <w:rFonts w:ascii="宋体" w:hAnsi="宋体"/>
          <w:b/>
          <w:bCs/>
          <w:szCs w:val="21"/>
        </w:rPr>
      </w:pPr>
    </w:p>
    <w:p>
      <w:pPr>
        <w:spacing w:line="400" w:lineRule="exact"/>
        <w:ind w:firstLine="199" w:firstLineChars="99"/>
        <w:rPr>
          <w:rStyle w:val="58"/>
          <w:rFonts w:ascii="宋体" w:hAnsi="宋体"/>
          <w:b/>
          <w:bCs/>
          <w:sz w:val="20"/>
          <w:szCs w:val="20"/>
        </w:rPr>
      </w:pPr>
      <w:r>
        <w:rPr>
          <w:rStyle w:val="58"/>
          <w:rFonts w:ascii="宋体" w:hAnsi="宋体"/>
          <w:b/>
          <w:bCs/>
          <w:sz w:val="20"/>
          <w:szCs w:val="20"/>
        </w:rPr>
        <w:t>注：1、本唱标单除装订在投标文件中外还应一式两份单独密封递交，各项内容务必填写详细，可以填满，但不允许添加附页。</w:t>
      </w:r>
    </w:p>
    <w:p>
      <w:pPr>
        <w:spacing w:line="400" w:lineRule="exact"/>
        <w:ind w:firstLine="199" w:firstLineChars="99"/>
        <w:rPr>
          <w:rStyle w:val="58"/>
          <w:rFonts w:ascii="宋体" w:hAnsi="宋体"/>
          <w:b/>
          <w:bCs/>
          <w:sz w:val="20"/>
          <w:szCs w:val="20"/>
        </w:rPr>
      </w:pPr>
      <w:r>
        <w:rPr>
          <w:rStyle w:val="58"/>
          <w:rFonts w:ascii="宋体" w:hAnsi="宋体"/>
          <w:b/>
          <w:bCs/>
          <w:sz w:val="20"/>
          <w:szCs w:val="20"/>
        </w:rPr>
        <w:t>2、招标文件要求竞报费率的，不填按0计。</w:t>
      </w:r>
    </w:p>
    <w:p>
      <w:pPr>
        <w:spacing w:line="400" w:lineRule="exact"/>
        <w:ind w:firstLine="199" w:firstLineChars="99"/>
        <w:rPr>
          <w:rStyle w:val="58"/>
          <w:rFonts w:ascii="宋体" w:hAnsi="宋体"/>
          <w:b/>
          <w:bCs/>
          <w:sz w:val="20"/>
          <w:szCs w:val="20"/>
        </w:rPr>
      </w:pPr>
      <w:r>
        <w:rPr>
          <w:rStyle w:val="58"/>
          <w:rFonts w:ascii="宋体" w:hAnsi="宋体"/>
          <w:b/>
          <w:bCs/>
          <w:sz w:val="20"/>
          <w:szCs w:val="20"/>
        </w:rPr>
        <w:t>3、在评标过程中，评定内容的具体数据以单独密封并递交的本表内容为准。</w:t>
      </w:r>
    </w:p>
    <w:p>
      <w:pPr>
        <w:spacing w:line="400" w:lineRule="exact"/>
        <w:ind w:firstLine="207" w:firstLineChars="99"/>
        <w:rPr>
          <w:rStyle w:val="58"/>
          <w:rFonts w:ascii="宋体" w:hAnsi="宋体"/>
          <w:szCs w:val="21"/>
        </w:rPr>
      </w:pPr>
      <w:r>
        <w:rPr>
          <w:rStyle w:val="58"/>
          <w:rFonts w:ascii="宋体" w:hAnsi="宋体"/>
          <w:szCs w:val="21"/>
        </w:rPr>
        <w:br w:type="page"/>
      </w:r>
    </w:p>
    <w:p>
      <w:pPr>
        <w:snapToGrid w:val="0"/>
        <w:spacing w:line="440" w:lineRule="exact"/>
        <w:ind w:firstLine="527" w:firstLineChars="250"/>
        <w:jc w:val="center"/>
        <w:rPr>
          <w:rStyle w:val="58"/>
          <w:rFonts w:ascii="宋体" w:hAnsi="宋体"/>
          <w:b/>
          <w:szCs w:val="21"/>
        </w:rPr>
      </w:pPr>
      <w:bookmarkStart w:id="202" w:name="_Toc16063998"/>
      <w:r>
        <w:rPr>
          <w:rStyle w:val="58"/>
          <w:rFonts w:ascii="宋体" w:hAnsi="宋体"/>
          <w:b/>
          <w:szCs w:val="21"/>
        </w:rPr>
        <w:t>（</w:t>
      </w:r>
      <w:r>
        <w:rPr>
          <w:rStyle w:val="58"/>
          <w:rFonts w:hint="eastAsia" w:ascii="宋体" w:hAnsi="宋体"/>
          <w:b/>
          <w:szCs w:val="21"/>
        </w:rPr>
        <w:t>二</w:t>
      </w:r>
      <w:r>
        <w:rPr>
          <w:rStyle w:val="58"/>
          <w:rFonts w:ascii="宋体" w:hAnsi="宋体"/>
          <w:b/>
          <w:szCs w:val="21"/>
        </w:rPr>
        <w:t>）投标函附录-</w:t>
      </w:r>
      <w:bookmarkEnd w:id="202"/>
      <w:r>
        <w:rPr>
          <w:rStyle w:val="58"/>
          <w:rFonts w:ascii="宋体" w:hAnsi="宋体"/>
          <w:b/>
          <w:szCs w:val="21"/>
        </w:rPr>
        <w:t>2</w:t>
      </w:r>
    </w:p>
    <w:p>
      <w:pPr>
        <w:snapToGrid w:val="0"/>
        <w:spacing w:line="440" w:lineRule="exact"/>
        <w:ind w:firstLine="527" w:firstLineChars="250"/>
        <w:jc w:val="center"/>
        <w:rPr>
          <w:rStyle w:val="58"/>
          <w:rFonts w:ascii="宋体" w:hAnsi="宋体"/>
          <w:b/>
          <w:szCs w:val="21"/>
        </w:rPr>
      </w:pPr>
    </w:p>
    <w:p>
      <w:pPr>
        <w:jc w:val="center"/>
        <w:rPr>
          <w:rStyle w:val="58"/>
          <w:rFonts w:ascii="宋体" w:hAnsi="宋体"/>
          <w:b/>
          <w:bCs/>
          <w:sz w:val="28"/>
          <w:szCs w:val="28"/>
        </w:rPr>
      </w:pPr>
      <w:r>
        <w:rPr>
          <w:rStyle w:val="58"/>
          <w:rFonts w:ascii="宋体" w:hAnsi="宋体"/>
          <w:b/>
          <w:bCs/>
          <w:sz w:val="28"/>
          <w:szCs w:val="28"/>
        </w:rPr>
        <w:t>投标人拟派现场管理人员配备表</w:t>
      </w:r>
    </w:p>
    <w:p>
      <w:pPr>
        <w:adjustRightInd w:val="0"/>
        <w:snapToGrid w:val="0"/>
        <w:rPr>
          <w:rStyle w:val="58"/>
          <w:rFonts w:ascii="宋体" w:hAnsi="宋体"/>
          <w:bCs/>
          <w:sz w:val="28"/>
          <w:szCs w:val="28"/>
        </w:rPr>
      </w:pPr>
      <w:r>
        <w:rPr>
          <w:rStyle w:val="58"/>
          <w:rFonts w:ascii="宋体" w:hAnsi="宋体"/>
          <w:bCs/>
          <w:sz w:val="28"/>
          <w:szCs w:val="28"/>
        </w:rPr>
        <w:t xml:space="preserve"> 投标单位（单位公章）：</w:t>
      </w:r>
    </w:p>
    <w:p>
      <w:pPr>
        <w:pStyle w:val="2"/>
        <w:ind w:left="420" w:firstLine="420"/>
      </w:pPr>
    </w:p>
    <w:tbl>
      <w:tblPr>
        <w:tblStyle w:val="37"/>
        <w:tblW w:w="836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6"/>
        <w:gridCol w:w="1231"/>
        <w:gridCol w:w="1086"/>
        <w:gridCol w:w="298"/>
        <w:gridCol w:w="1450"/>
        <w:gridCol w:w="236"/>
        <w:gridCol w:w="2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项目编号</w:t>
            </w:r>
          </w:p>
        </w:tc>
        <w:tc>
          <w:tcPr>
            <w:tcW w:w="6428" w:type="dxa"/>
            <w:gridSpan w:val="6"/>
            <w:tcBorders>
              <w:top w:val="single" w:color="000000" w:sz="4" w:space="0"/>
              <w:left w:val="single" w:color="000000" w:sz="4" w:space="0"/>
              <w:bottom w:val="single" w:color="000000" w:sz="4" w:space="0"/>
              <w:right w:val="single" w:color="000000" w:sz="4" w:space="0"/>
            </w:tcBorders>
          </w:tcPr>
          <w:p>
            <w:pPr>
              <w:adjustRightInd w:val="0"/>
              <w:snapToGrid w:val="0"/>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招 标 人</w:t>
            </w:r>
          </w:p>
        </w:tc>
        <w:tc>
          <w:tcPr>
            <w:tcW w:w="6428" w:type="dxa"/>
            <w:gridSpan w:val="6"/>
            <w:tcBorders>
              <w:top w:val="single" w:color="000000" w:sz="4" w:space="0"/>
              <w:left w:val="single" w:color="000000" w:sz="4" w:space="0"/>
              <w:bottom w:val="single" w:color="000000" w:sz="4" w:space="0"/>
              <w:right w:val="single" w:color="000000" w:sz="4" w:space="0"/>
            </w:tcBorders>
          </w:tcPr>
          <w:p>
            <w:pPr>
              <w:adjustRightInd w:val="0"/>
              <w:snapToGrid w:val="0"/>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项目名称</w:t>
            </w:r>
          </w:p>
        </w:tc>
        <w:tc>
          <w:tcPr>
            <w:tcW w:w="6428" w:type="dxa"/>
            <w:gridSpan w:val="6"/>
            <w:tcBorders>
              <w:top w:val="single" w:color="000000" w:sz="4" w:space="0"/>
              <w:left w:val="single" w:color="000000" w:sz="4" w:space="0"/>
              <w:bottom w:val="single" w:color="000000" w:sz="4" w:space="0"/>
              <w:right w:val="single" w:color="000000" w:sz="4" w:space="0"/>
            </w:tcBorders>
            <w:vAlign w:val="center"/>
          </w:tcPr>
          <w:p>
            <w:pPr>
              <w:adjustRightInd w:val="0"/>
              <w:snapToGrid w:val="0"/>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面积/规模</w:t>
            </w:r>
          </w:p>
        </w:tc>
        <w:tc>
          <w:tcPr>
            <w:tcW w:w="2317"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c>
          <w:tcPr>
            <w:tcW w:w="1984" w:type="dxa"/>
            <w:gridSpan w:val="3"/>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投标工期</w:t>
            </w:r>
          </w:p>
        </w:tc>
        <w:tc>
          <w:tcPr>
            <w:tcW w:w="212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hint="eastAsia" w:ascii="宋体" w:hAnsi="宋体"/>
                <w:bCs/>
                <w:sz w:val="28"/>
                <w:szCs w:val="28"/>
              </w:rPr>
              <w:t>投</w:t>
            </w:r>
            <w:r>
              <w:rPr>
                <w:rStyle w:val="58"/>
                <w:rFonts w:ascii="宋体" w:hAnsi="宋体"/>
                <w:bCs/>
                <w:sz w:val="28"/>
                <w:szCs w:val="28"/>
              </w:rPr>
              <w:t>标价格</w:t>
            </w:r>
          </w:p>
        </w:tc>
        <w:tc>
          <w:tcPr>
            <w:tcW w:w="6428" w:type="dxa"/>
            <w:gridSpan w:val="6"/>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序号</w:t>
            </w:r>
          </w:p>
        </w:tc>
        <w:tc>
          <w:tcPr>
            <w:tcW w:w="1231"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岗位名称</w:t>
            </w:r>
          </w:p>
        </w:tc>
        <w:tc>
          <w:tcPr>
            <w:tcW w:w="1384" w:type="dxa"/>
            <w:gridSpan w:val="2"/>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姓名</w:t>
            </w:r>
          </w:p>
        </w:tc>
        <w:tc>
          <w:tcPr>
            <w:tcW w:w="1450" w:type="dxa"/>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性  别</w:t>
            </w:r>
          </w:p>
        </w:tc>
        <w:tc>
          <w:tcPr>
            <w:tcW w:w="2363" w:type="dxa"/>
            <w:gridSpan w:val="2"/>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r>
              <w:rPr>
                <w:rStyle w:val="58"/>
                <w:rFonts w:ascii="宋体" w:hAnsi="宋体"/>
                <w:bCs/>
                <w:sz w:val="28"/>
                <w:szCs w:val="28"/>
              </w:rPr>
              <w:t>资格证书编号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93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c>
          <w:tcPr>
            <w:tcW w:w="1231" w:type="dxa"/>
            <w:tcBorders>
              <w:top w:val="single" w:color="000000" w:sz="4" w:space="0"/>
              <w:left w:val="single" w:color="000000"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384" w:type="dxa"/>
            <w:gridSpan w:val="2"/>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1450" w:type="dxa"/>
            <w:tcBorders>
              <w:top w:val="single" w:color="000000" w:sz="4" w:space="0"/>
              <w:left w:val="single" w:color="auto" w:sz="4" w:space="0"/>
              <w:bottom w:val="single" w:color="000000" w:sz="4" w:space="0"/>
              <w:right w:val="single" w:color="auto" w:sz="4" w:space="0"/>
            </w:tcBorders>
            <w:vAlign w:val="center"/>
          </w:tcPr>
          <w:p>
            <w:pPr>
              <w:adjustRightInd w:val="0"/>
              <w:snapToGrid w:val="0"/>
              <w:jc w:val="center"/>
              <w:rPr>
                <w:rStyle w:val="58"/>
                <w:rFonts w:ascii="宋体" w:hAnsi="宋体"/>
                <w:bCs/>
                <w:sz w:val="28"/>
                <w:szCs w:val="28"/>
              </w:rPr>
            </w:pPr>
          </w:p>
        </w:tc>
        <w:tc>
          <w:tcPr>
            <w:tcW w:w="2363" w:type="dxa"/>
            <w:gridSpan w:val="2"/>
            <w:tcBorders>
              <w:top w:val="single" w:color="000000" w:sz="4" w:space="0"/>
              <w:left w:val="single" w:color="auto" w:sz="4" w:space="0"/>
              <w:bottom w:val="single" w:color="000000" w:sz="4" w:space="0"/>
              <w:right w:val="single" w:color="000000" w:sz="4" w:space="0"/>
            </w:tcBorders>
            <w:vAlign w:val="center"/>
          </w:tcPr>
          <w:p>
            <w:pPr>
              <w:adjustRightInd w:val="0"/>
              <w:snapToGrid w:val="0"/>
              <w:jc w:val="center"/>
              <w:rPr>
                <w:rStyle w:val="58"/>
                <w:rFonts w:ascii="宋体" w:hAnsi="宋体"/>
                <w:bCs/>
                <w:sz w:val="28"/>
                <w:szCs w:val="28"/>
              </w:rPr>
            </w:pPr>
          </w:p>
        </w:tc>
      </w:tr>
    </w:tbl>
    <w:p>
      <w:pPr>
        <w:adjustRightInd w:val="0"/>
        <w:snapToGrid w:val="0"/>
        <w:rPr>
          <w:rStyle w:val="58"/>
          <w:rFonts w:ascii="宋体" w:hAnsi="宋体"/>
          <w:szCs w:val="21"/>
        </w:rPr>
      </w:pPr>
    </w:p>
    <w:p>
      <w:pPr>
        <w:adjustRightInd w:val="0"/>
        <w:snapToGrid w:val="0"/>
        <w:rPr>
          <w:rStyle w:val="58"/>
          <w:rFonts w:ascii="宋体" w:hAnsi="宋体"/>
          <w:szCs w:val="21"/>
        </w:rPr>
      </w:pPr>
    </w:p>
    <w:p>
      <w:pPr>
        <w:ind w:firstLine="651" w:firstLineChars="310"/>
        <w:rPr>
          <w:rStyle w:val="58"/>
          <w:rFonts w:ascii="宋体" w:hAnsi="宋体"/>
          <w:szCs w:val="21"/>
        </w:rPr>
      </w:pPr>
      <w:r>
        <w:rPr>
          <w:rStyle w:val="58"/>
          <w:rFonts w:ascii="宋体" w:hAnsi="宋体"/>
          <w:szCs w:val="21"/>
        </w:rPr>
        <w:br w:type="page"/>
      </w:r>
    </w:p>
    <w:p>
      <w:pPr>
        <w:snapToGrid w:val="0"/>
        <w:spacing w:line="440" w:lineRule="exact"/>
        <w:ind w:firstLine="527" w:firstLineChars="250"/>
        <w:jc w:val="center"/>
        <w:rPr>
          <w:rStyle w:val="58"/>
          <w:rFonts w:ascii="宋体" w:hAnsi="宋体"/>
          <w:b/>
          <w:szCs w:val="21"/>
        </w:rPr>
      </w:pPr>
      <w:bookmarkStart w:id="203" w:name="_Toc27993"/>
      <w:bookmarkStart w:id="204" w:name="_Toc24038"/>
      <w:bookmarkStart w:id="205" w:name="_Toc16063999"/>
      <w:bookmarkStart w:id="206" w:name="_Toc17817349"/>
      <w:r>
        <w:rPr>
          <w:rStyle w:val="58"/>
          <w:rFonts w:hint="eastAsia" w:ascii="宋体" w:hAnsi="宋体"/>
          <w:b/>
          <w:szCs w:val="21"/>
        </w:rPr>
        <w:t>（三）</w:t>
      </w:r>
      <w:r>
        <w:rPr>
          <w:rStyle w:val="58"/>
          <w:rFonts w:ascii="宋体" w:hAnsi="宋体"/>
          <w:b/>
          <w:szCs w:val="21"/>
        </w:rPr>
        <w:t>投标函附录-3</w:t>
      </w:r>
    </w:p>
    <w:p>
      <w:pPr>
        <w:pStyle w:val="19"/>
      </w:pPr>
    </w:p>
    <w:p>
      <w:pPr>
        <w:jc w:val="center"/>
        <w:rPr>
          <w:rStyle w:val="58"/>
          <w:rFonts w:ascii="宋体" w:hAnsi="宋体"/>
          <w:b/>
          <w:bCs/>
          <w:sz w:val="28"/>
          <w:szCs w:val="28"/>
        </w:rPr>
      </w:pPr>
      <w:r>
        <w:rPr>
          <w:rStyle w:val="58"/>
          <w:rFonts w:hint="eastAsia" w:ascii="宋体" w:hAnsi="宋体"/>
          <w:b/>
          <w:bCs/>
          <w:sz w:val="28"/>
          <w:szCs w:val="28"/>
        </w:rPr>
        <w:t>承诺书</w:t>
      </w:r>
    </w:p>
    <w:p>
      <w:pPr>
        <w:spacing w:after="240" w:line="440" w:lineRule="exact"/>
        <w:rPr>
          <w:rStyle w:val="58"/>
          <w:rFonts w:ascii="宋体"/>
        </w:rPr>
      </w:pPr>
      <w:r>
        <w:rPr>
          <w:rStyle w:val="58"/>
          <w:rFonts w:ascii="宋体"/>
          <w:position w:val="-7"/>
        </w:rPr>
        <w:t>————————</w:t>
      </w:r>
      <w:r>
        <w:rPr>
          <w:rStyle w:val="58"/>
          <w:rFonts w:ascii="宋体"/>
        </w:rPr>
        <w:t>（招标人名称）：</w:t>
      </w:r>
    </w:p>
    <w:p>
      <w:pPr>
        <w:spacing w:line="440" w:lineRule="exact"/>
        <w:ind w:firstLine="420" w:firstLineChars="200"/>
        <w:rPr>
          <w:rStyle w:val="58"/>
          <w:rFonts w:ascii="宋体"/>
        </w:rPr>
      </w:pPr>
      <w:r>
        <w:rPr>
          <w:rStyle w:val="58"/>
          <w:rFonts w:hint="eastAsia" w:ascii="宋体"/>
        </w:rPr>
        <w:t>针对</w:t>
      </w:r>
      <w:r>
        <w:rPr>
          <w:rStyle w:val="58"/>
          <w:rFonts w:hint="eastAsia" w:ascii="宋体"/>
          <w:u w:val="single"/>
        </w:rPr>
        <w:t xml:space="preserve">           </w:t>
      </w:r>
      <w:r>
        <w:rPr>
          <w:rStyle w:val="58"/>
          <w:rFonts w:hint="eastAsia" w:ascii="宋体"/>
        </w:rPr>
        <w:t>项目，我方承诺：</w:t>
      </w:r>
    </w:p>
    <w:p>
      <w:pPr>
        <w:spacing w:line="440" w:lineRule="exact"/>
        <w:ind w:firstLine="420" w:firstLineChars="200"/>
        <w:rPr>
          <w:rStyle w:val="58"/>
          <w:rFonts w:ascii="宋体"/>
        </w:rPr>
      </w:pPr>
      <w:r>
        <w:rPr>
          <w:rStyle w:val="58"/>
          <w:rFonts w:hint="eastAsia" w:ascii="宋体"/>
        </w:rPr>
        <w:t>一、</w:t>
      </w:r>
      <w:r>
        <w:rPr>
          <w:rStyle w:val="58"/>
          <w:rFonts w:ascii="宋体"/>
        </w:rPr>
        <w:t>我方拟派往（项目名称）（以下简称“本工程”）的项目经理（项目经理姓名）现阶段没有担任任何在施建设工程项目的项目经理。</w:t>
      </w:r>
    </w:p>
    <w:p>
      <w:pPr>
        <w:spacing w:line="440" w:lineRule="exact"/>
        <w:ind w:firstLine="420" w:firstLineChars="200"/>
        <w:rPr>
          <w:rStyle w:val="58"/>
          <w:rFonts w:ascii="宋体"/>
        </w:rPr>
      </w:pPr>
      <w:r>
        <w:rPr>
          <w:rStyle w:val="58"/>
          <w:rFonts w:hint="eastAsia" w:ascii="宋体"/>
        </w:rPr>
        <w:t>二、中标后现场管理班子均为我单位正式职工，已连续缴纳社保半年以上，确保到岗不少于</w:t>
      </w:r>
      <w:r>
        <w:rPr>
          <w:rStyle w:val="58"/>
          <w:rFonts w:hint="eastAsia" w:ascii="宋体"/>
          <w:u w:val="single"/>
        </w:rPr>
        <w:t xml:space="preserve">    </w:t>
      </w:r>
      <w:r>
        <w:rPr>
          <w:rStyle w:val="58"/>
          <w:rFonts w:hint="eastAsia" w:ascii="宋体"/>
        </w:rPr>
        <w:t>人，每少一人承担</w:t>
      </w:r>
      <w:r>
        <w:rPr>
          <w:rStyle w:val="58"/>
          <w:rFonts w:hint="eastAsia" w:ascii="宋体"/>
          <w:u w:val="single"/>
        </w:rPr>
        <w:t xml:space="preserve"> 1 </w:t>
      </w:r>
      <w:r>
        <w:rPr>
          <w:rStyle w:val="58"/>
          <w:rFonts w:hint="eastAsia" w:ascii="宋体"/>
        </w:rPr>
        <w:t>万元的赔偿且在施工期间未经发包人允许绝不擅自更换；</w:t>
      </w:r>
    </w:p>
    <w:p>
      <w:pPr>
        <w:spacing w:line="440" w:lineRule="exact"/>
        <w:ind w:firstLine="420" w:firstLineChars="200"/>
        <w:rPr>
          <w:rStyle w:val="58"/>
          <w:rFonts w:ascii="宋体"/>
        </w:rPr>
      </w:pPr>
      <w:r>
        <w:rPr>
          <w:rStyle w:val="58"/>
          <w:rFonts w:hint="eastAsia" w:ascii="宋体"/>
        </w:rPr>
        <w:t>三、项目经理现场履职每月不少于25天，每少一天自愿接受考核</w:t>
      </w:r>
      <w:r>
        <w:rPr>
          <w:rStyle w:val="58"/>
          <w:rFonts w:hint="eastAsia" w:ascii="宋体"/>
          <w:u w:val="single"/>
        </w:rPr>
        <w:t>1000</w:t>
      </w:r>
      <w:r>
        <w:rPr>
          <w:rStyle w:val="58"/>
          <w:rFonts w:hint="eastAsia" w:ascii="宋体"/>
        </w:rPr>
        <w:t>元/天。</w:t>
      </w:r>
    </w:p>
    <w:p>
      <w:pPr>
        <w:spacing w:line="440" w:lineRule="exact"/>
        <w:ind w:firstLine="420" w:firstLineChars="200"/>
        <w:rPr>
          <w:rStyle w:val="58"/>
          <w:rFonts w:ascii="宋体"/>
        </w:rPr>
      </w:pPr>
      <w:r>
        <w:rPr>
          <w:rStyle w:val="58"/>
          <w:rFonts w:hint="eastAsia" w:ascii="宋体"/>
        </w:rPr>
        <w:t>四、若我方违背上述承诺，视为工程转包、挂靠行为，除承担合同约定的违约责任外，</w:t>
      </w:r>
      <w:r>
        <w:rPr>
          <w:rStyle w:val="58"/>
          <w:rFonts w:ascii="宋体"/>
        </w:rPr>
        <w:t>并愿意承担因我方就此弄虚作假所引起的一切法律后果。</w:t>
      </w:r>
    </w:p>
    <w:p>
      <w:pPr>
        <w:spacing w:line="440" w:lineRule="exact"/>
        <w:ind w:firstLine="420" w:firstLineChars="200"/>
        <w:rPr>
          <w:rStyle w:val="58"/>
          <w:rFonts w:ascii="宋体"/>
        </w:rPr>
      </w:pPr>
    </w:p>
    <w:p>
      <w:pPr>
        <w:rPr>
          <w:rStyle w:val="58"/>
          <w:rFonts w:ascii="宋体"/>
        </w:rPr>
      </w:pPr>
    </w:p>
    <w:p>
      <w:pPr>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3780" w:firstLineChars="1800"/>
        <w:rPr>
          <w:rStyle w:val="58"/>
          <w:rFonts w:ascii="宋体"/>
        </w:rPr>
      </w:pPr>
      <w:r>
        <w:rPr>
          <w:rStyle w:val="58"/>
          <w:rFonts w:hint="eastAsia" w:ascii="宋体"/>
        </w:rPr>
        <w:t>公司法律人员或法务部门签字盖章</w:t>
      </w:r>
    </w:p>
    <w:p>
      <w:pPr>
        <w:rPr>
          <w:rStyle w:val="58"/>
          <w:rFonts w:ascii="宋体"/>
        </w:rPr>
      </w:pPr>
    </w:p>
    <w:p>
      <w:pPr>
        <w:ind w:firstLine="3780" w:firstLineChars="1800"/>
        <w:rPr>
          <w:rStyle w:val="58"/>
          <w:rFonts w:ascii="宋体"/>
        </w:rPr>
      </w:pPr>
      <w:r>
        <w:rPr>
          <w:rStyle w:val="58"/>
          <w:rFonts w:hint="eastAsia" w:ascii="宋体"/>
        </w:rPr>
        <w:t xml:space="preserve">投标单位：     （公章）             </w:t>
      </w:r>
    </w:p>
    <w:p>
      <w:pPr>
        <w:rPr>
          <w:rStyle w:val="58"/>
          <w:rFonts w:ascii="宋体"/>
        </w:rPr>
      </w:pPr>
      <w:r>
        <w:rPr>
          <w:rStyle w:val="58"/>
          <w:rFonts w:hint="eastAsia" w:ascii="宋体"/>
        </w:rPr>
        <w:t xml:space="preserve">                                  </w:t>
      </w:r>
    </w:p>
    <w:p>
      <w:pPr>
        <w:ind w:firstLine="3780" w:firstLineChars="1800"/>
        <w:rPr>
          <w:rStyle w:val="58"/>
          <w:rFonts w:ascii="宋体"/>
        </w:rPr>
      </w:pPr>
      <w:r>
        <w:rPr>
          <w:rStyle w:val="58"/>
          <w:rFonts w:hint="eastAsia" w:ascii="宋体"/>
        </w:rPr>
        <w:t>法人签字：</w:t>
      </w:r>
    </w:p>
    <w:p>
      <w:pPr>
        <w:pStyle w:val="2"/>
        <w:ind w:left="420" w:firstLine="420"/>
      </w:pPr>
    </w:p>
    <w:p>
      <w:pPr>
        <w:ind w:firstLine="1680" w:firstLineChars="800"/>
        <w:rPr>
          <w:rStyle w:val="58"/>
          <w:rFonts w:ascii="宋体"/>
        </w:rPr>
      </w:pPr>
      <w:r>
        <w:rPr>
          <w:rStyle w:val="58"/>
          <w:rFonts w:hint="eastAsia" w:ascii="宋体"/>
        </w:rPr>
        <w:t xml:space="preserve">                    日期：</w:t>
      </w:r>
    </w:p>
    <w:p>
      <w:pPr>
        <w:pStyle w:val="19"/>
        <w:jc w:val="center"/>
      </w:pPr>
      <w:r>
        <w:br w:type="page"/>
      </w:r>
    </w:p>
    <w:p>
      <w:pPr>
        <w:pStyle w:val="7"/>
        <w:spacing w:before="0" w:after="0" w:line="480" w:lineRule="auto"/>
        <w:jc w:val="center"/>
        <w:rPr>
          <w:sz w:val="30"/>
          <w:szCs w:val="30"/>
        </w:rPr>
      </w:pPr>
      <w:bookmarkStart w:id="207" w:name="_Toc220505587"/>
      <w:r>
        <w:rPr>
          <w:sz w:val="30"/>
          <w:szCs w:val="30"/>
        </w:rPr>
        <w:t>二、法定代表人身份证明</w:t>
      </w:r>
      <w:bookmarkEnd w:id="203"/>
      <w:bookmarkEnd w:id="204"/>
      <w:bookmarkEnd w:id="205"/>
      <w:bookmarkEnd w:id="206"/>
      <w:bookmarkEnd w:id="207"/>
    </w:p>
    <w:p>
      <w:pPr>
        <w:spacing w:line="500" w:lineRule="exact"/>
        <w:ind w:firstLine="735" w:firstLineChars="350"/>
        <w:rPr>
          <w:rStyle w:val="58"/>
          <w:rFonts w:ascii="宋体" w:hAnsi="宋体"/>
          <w:szCs w:val="21"/>
        </w:rPr>
      </w:pPr>
      <w:r>
        <w:rPr>
          <w:rStyle w:val="58"/>
          <w:rFonts w:ascii="宋体" w:hAnsi="宋体"/>
          <w:szCs w:val="21"/>
        </w:rPr>
        <w:t>投 标 人：</w:t>
      </w:r>
    </w:p>
    <w:p>
      <w:pPr>
        <w:spacing w:line="500" w:lineRule="exact"/>
        <w:ind w:firstLine="735" w:firstLineChars="350"/>
        <w:rPr>
          <w:rStyle w:val="58"/>
          <w:rFonts w:ascii="宋体" w:hAnsi="宋体"/>
          <w:szCs w:val="21"/>
        </w:rPr>
      </w:pPr>
      <w:r>
        <w:rPr>
          <w:rStyle w:val="58"/>
          <w:rFonts w:ascii="宋体" w:hAnsi="宋体"/>
          <w:szCs w:val="21"/>
        </w:rPr>
        <w:t>单位性质：</w:t>
      </w:r>
    </w:p>
    <w:p>
      <w:pPr>
        <w:spacing w:line="500" w:lineRule="exact"/>
        <w:ind w:firstLine="735" w:firstLineChars="350"/>
        <w:rPr>
          <w:rStyle w:val="58"/>
          <w:rFonts w:ascii="宋体" w:hAnsi="宋体"/>
          <w:szCs w:val="21"/>
        </w:rPr>
      </w:pPr>
      <w:r>
        <w:rPr>
          <w:rStyle w:val="58"/>
          <w:rFonts w:ascii="宋体" w:hAnsi="宋体"/>
          <w:szCs w:val="21"/>
        </w:rPr>
        <w:t>地    址：</w:t>
      </w:r>
    </w:p>
    <w:p>
      <w:pPr>
        <w:spacing w:line="500" w:lineRule="exact"/>
        <w:ind w:firstLine="735" w:firstLineChars="350"/>
        <w:rPr>
          <w:rStyle w:val="58"/>
          <w:rFonts w:ascii="宋体" w:hAnsi="宋体"/>
          <w:szCs w:val="21"/>
        </w:rPr>
      </w:pPr>
      <w:r>
        <w:rPr>
          <w:rStyle w:val="58"/>
          <w:rFonts w:ascii="宋体" w:hAnsi="宋体"/>
          <w:szCs w:val="21"/>
        </w:rPr>
        <w:t>成立时间：</w:t>
      </w:r>
      <w:r>
        <w:rPr>
          <w:rStyle w:val="58"/>
          <w:rFonts w:hint="eastAsia" w:ascii="宋体" w:hAnsi="宋体"/>
          <w:szCs w:val="21"/>
        </w:rPr>
        <w:t xml:space="preserve"> </w:t>
      </w:r>
      <w:r>
        <w:rPr>
          <w:rStyle w:val="58"/>
          <w:rFonts w:ascii="宋体" w:hAnsi="宋体"/>
          <w:szCs w:val="21"/>
        </w:rPr>
        <w:t>年</w:t>
      </w:r>
      <w:r>
        <w:rPr>
          <w:rStyle w:val="58"/>
          <w:rFonts w:hint="eastAsia" w:ascii="宋体" w:hAnsi="宋体"/>
          <w:szCs w:val="21"/>
        </w:rPr>
        <w:t xml:space="preserve"> </w:t>
      </w:r>
      <w:r>
        <w:rPr>
          <w:rStyle w:val="58"/>
          <w:rFonts w:ascii="宋体" w:hAnsi="宋体"/>
          <w:szCs w:val="21"/>
        </w:rPr>
        <w:t>月</w:t>
      </w:r>
      <w:r>
        <w:rPr>
          <w:rStyle w:val="58"/>
          <w:rFonts w:hint="eastAsia" w:ascii="宋体" w:hAnsi="宋体"/>
          <w:szCs w:val="21"/>
        </w:rPr>
        <w:t xml:space="preserve"> </w:t>
      </w:r>
      <w:r>
        <w:rPr>
          <w:rStyle w:val="58"/>
          <w:rFonts w:ascii="宋体" w:hAnsi="宋体"/>
          <w:szCs w:val="21"/>
        </w:rPr>
        <w:t>日</w:t>
      </w:r>
    </w:p>
    <w:p>
      <w:pPr>
        <w:spacing w:line="500" w:lineRule="exact"/>
        <w:ind w:firstLine="735" w:firstLineChars="350"/>
        <w:rPr>
          <w:rStyle w:val="58"/>
          <w:rFonts w:ascii="宋体" w:hAnsi="宋体"/>
          <w:szCs w:val="21"/>
        </w:rPr>
      </w:pPr>
      <w:r>
        <w:rPr>
          <w:rStyle w:val="58"/>
          <w:rFonts w:ascii="宋体" w:hAnsi="宋体"/>
          <w:szCs w:val="21"/>
        </w:rPr>
        <w:t>经营期限：</w:t>
      </w:r>
    </w:p>
    <w:p>
      <w:pPr>
        <w:spacing w:line="500" w:lineRule="exact"/>
        <w:ind w:firstLine="735" w:firstLineChars="350"/>
        <w:rPr>
          <w:rStyle w:val="58"/>
          <w:rFonts w:ascii="宋体" w:hAnsi="宋体"/>
          <w:szCs w:val="21"/>
        </w:rPr>
      </w:pPr>
      <w:r>
        <w:rPr>
          <w:rStyle w:val="58"/>
          <w:rFonts w:ascii="宋体" w:hAnsi="宋体"/>
          <w:szCs w:val="21"/>
        </w:rPr>
        <w:t>姓    名：</w:t>
      </w:r>
      <w:r>
        <w:rPr>
          <w:rStyle w:val="58"/>
          <w:rFonts w:hint="eastAsia" w:ascii="宋体" w:hAnsi="宋体"/>
          <w:szCs w:val="21"/>
        </w:rPr>
        <w:t xml:space="preserve"> </w:t>
      </w:r>
      <w:r>
        <w:rPr>
          <w:rStyle w:val="58"/>
          <w:rFonts w:ascii="宋体" w:hAnsi="宋体"/>
          <w:szCs w:val="21"/>
        </w:rPr>
        <w:t xml:space="preserve">     性    别：</w:t>
      </w:r>
    </w:p>
    <w:p>
      <w:pPr>
        <w:spacing w:line="500" w:lineRule="exact"/>
        <w:ind w:firstLine="735" w:firstLineChars="350"/>
        <w:rPr>
          <w:rStyle w:val="58"/>
          <w:rFonts w:ascii="宋体" w:hAnsi="宋体"/>
          <w:szCs w:val="21"/>
          <w:u w:val="single"/>
        </w:rPr>
      </w:pPr>
      <w:r>
        <w:rPr>
          <w:rStyle w:val="58"/>
          <w:rFonts w:ascii="宋体" w:hAnsi="宋体"/>
          <w:szCs w:val="21"/>
        </w:rPr>
        <w:t>年    龄：</w:t>
      </w:r>
      <w:r>
        <w:rPr>
          <w:rStyle w:val="58"/>
          <w:rFonts w:hint="eastAsia" w:ascii="宋体" w:hAnsi="宋体"/>
          <w:szCs w:val="21"/>
        </w:rPr>
        <w:t xml:space="preserve"> </w:t>
      </w:r>
      <w:r>
        <w:rPr>
          <w:rStyle w:val="58"/>
          <w:rFonts w:ascii="宋体" w:hAnsi="宋体"/>
          <w:szCs w:val="21"/>
        </w:rPr>
        <w:t xml:space="preserve">     职    务：</w:t>
      </w:r>
    </w:p>
    <w:p>
      <w:pPr>
        <w:spacing w:line="500" w:lineRule="exact"/>
        <w:ind w:firstLine="735" w:firstLineChars="350"/>
        <w:rPr>
          <w:rStyle w:val="58"/>
          <w:rFonts w:ascii="宋体" w:hAnsi="宋体"/>
          <w:szCs w:val="21"/>
          <w:u w:val="single"/>
        </w:rPr>
      </w:pPr>
      <w:r>
        <w:rPr>
          <w:rStyle w:val="58"/>
          <w:rFonts w:ascii="宋体" w:hAnsi="宋体"/>
          <w:szCs w:val="21"/>
        </w:rPr>
        <w:t>身份证号:</w:t>
      </w:r>
    </w:p>
    <w:p>
      <w:pPr>
        <w:spacing w:line="500" w:lineRule="exact"/>
        <w:ind w:firstLine="735" w:firstLineChars="350"/>
        <w:rPr>
          <w:rStyle w:val="58"/>
          <w:rFonts w:ascii="宋体" w:hAnsi="宋体"/>
          <w:szCs w:val="21"/>
        </w:rPr>
      </w:pPr>
      <w:r>
        <w:rPr>
          <w:rStyle w:val="58"/>
          <w:rFonts w:ascii="宋体" w:hAnsi="宋体"/>
          <w:szCs w:val="21"/>
        </w:rPr>
        <w:t>系（投标人名称）的法定代表人。</w:t>
      </w:r>
    </w:p>
    <w:p>
      <w:pPr>
        <w:spacing w:line="500" w:lineRule="exact"/>
        <w:ind w:firstLine="735" w:firstLineChars="350"/>
        <w:rPr>
          <w:rStyle w:val="58"/>
          <w:rFonts w:ascii="宋体" w:hAnsi="宋体"/>
          <w:szCs w:val="21"/>
        </w:rPr>
      </w:pPr>
      <w:r>
        <w:rPr>
          <w:rStyle w:val="58"/>
          <w:rFonts w:ascii="宋体" w:hAnsi="宋体"/>
          <w:szCs w:val="21"/>
        </w:rPr>
        <w:t>特此证明。</w:t>
      </w:r>
    </w:p>
    <w:p>
      <w:pPr>
        <w:spacing w:line="500" w:lineRule="exact"/>
        <w:rPr>
          <w:rStyle w:val="58"/>
          <w:rFonts w:ascii="宋体" w:hAnsi="宋体"/>
          <w:szCs w:val="21"/>
        </w:rPr>
      </w:pPr>
    </w:p>
    <w:p>
      <w:pPr>
        <w:spacing w:line="500" w:lineRule="exact"/>
        <w:rPr>
          <w:rStyle w:val="58"/>
          <w:rFonts w:ascii="宋体" w:hAnsi="宋体"/>
          <w:szCs w:val="21"/>
        </w:rPr>
      </w:pPr>
    </w:p>
    <w:p>
      <w:pPr>
        <w:spacing w:line="500" w:lineRule="exact"/>
        <w:jc w:val="right"/>
        <w:rPr>
          <w:rStyle w:val="58"/>
          <w:rFonts w:ascii="宋体" w:hAnsi="宋体"/>
          <w:szCs w:val="21"/>
        </w:rPr>
      </w:pPr>
      <w:r>
        <w:rPr>
          <w:rStyle w:val="58"/>
          <w:rFonts w:ascii="宋体" w:hAnsi="宋体"/>
          <w:szCs w:val="21"/>
        </w:rPr>
        <w:t>投标人：（盖单位公章）</w:t>
      </w:r>
    </w:p>
    <w:p>
      <w:pPr>
        <w:spacing w:line="500" w:lineRule="exact"/>
        <w:jc w:val="right"/>
        <w:rPr>
          <w:rStyle w:val="58"/>
          <w:rFonts w:ascii="宋体" w:hAnsi="宋体"/>
          <w:szCs w:val="21"/>
        </w:rPr>
      </w:pPr>
      <w:r>
        <w:rPr>
          <w:rStyle w:val="58"/>
          <w:rFonts w:ascii="宋体" w:hAnsi="宋体"/>
          <w:szCs w:val="21"/>
        </w:rPr>
        <w:t>年</w:t>
      </w:r>
      <w:r>
        <w:rPr>
          <w:rStyle w:val="58"/>
          <w:rFonts w:hint="eastAsia" w:ascii="宋体" w:hAnsi="宋体"/>
          <w:szCs w:val="21"/>
        </w:rPr>
        <w:t xml:space="preserve"> </w:t>
      </w:r>
      <w:r>
        <w:rPr>
          <w:rStyle w:val="58"/>
          <w:rFonts w:ascii="宋体" w:hAnsi="宋体"/>
          <w:szCs w:val="21"/>
        </w:rPr>
        <w:t xml:space="preserve"> 月</w:t>
      </w:r>
      <w:r>
        <w:rPr>
          <w:rStyle w:val="58"/>
          <w:rFonts w:hint="eastAsia" w:ascii="宋体" w:hAnsi="宋体"/>
          <w:szCs w:val="21"/>
        </w:rPr>
        <w:t xml:space="preserve"> </w:t>
      </w:r>
      <w:r>
        <w:rPr>
          <w:rStyle w:val="58"/>
          <w:rFonts w:ascii="宋体" w:hAnsi="宋体"/>
          <w:szCs w:val="21"/>
        </w:rPr>
        <w:t xml:space="preserve"> 日</w:t>
      </w:r>
    </w:p>
    <w:p>
      <w:pPr>
        <w:spacing w:line="500" w:lineRule="exact"/>
        <w:ind w:right="945"/>
        <w:rPr>
          <w:rStyle w:val="58"/>
          <w:rFonts w:ascii="宋体" w:hAnsi="宋体"/>
          <w:szCs w:val="21"/>
        </w:rPr>
      </w:pPr>
      <w:r>
        <w:rPr>
          <w:rStyle w:val="58"/>
          <w:rFonts w:ascii="宋体" w:hAnsi="宋体"/>
          <w:szCs w:val="21"/>
        </w:rPr>
        <w:br w:type="page"/>
      </w:r>
    </w:p>
    <w:p>
      <w:pPr>
        <w:pStyle w:val="7"/>
        <w:spacing w:before="0" w:after="0" w:line="480" w:lineRule="auto"/>
        <w:jc w:val="center"/>
        <w:rPr>
          <w:sz w:val="30"/>
          <w:szCs w:val="30"/>
        </w:rPr>
      </w:pPr>
      <w:bookmarkStart w:id="208" w:name="_Toc17817350"/>
      <w:bookmarkStart w:id="209" w:name="_Toc220505588"/>
      <w:bookmarkStart w:id="210" w:name="_Toc16064000"/>
      <w:bookmarkStart w:id="211" w:name="_Toc29134"/>
      <w:bookmarkStart w:id="212" w:name="_Toc23544"/>
      <w:r>
        <w:rPr>
          <w:sz w:val="30"/>
          <w:szCs w:val="30"/>
        </w:rPr>
        <w:t>三、授权委托书</w:t>
      </w:r>
      <w:bookmarkEnd w:id="208"/>
      <w:bookmarkEnd w:id="209"/>
      <w:bookmarkEnd w:id="210"/>
      <w:bookmarkEnd w:id="211"/>
      <w:bookmarkEnd w:id="212"/>
    </w:p>
    <w:p>
      <w:pPr>
        <w:spacing w:line="360" w:lineRule="auto"/>
        <w:jc w:val="center"/>
        <w:rPr>
          <w:rFonts w:ascii="宋体" w:hAnsi="宋体"/>
          <w:b/>
          <w:sz w:val="32"/>
          <w:szCs w:val="32"/>
        </w:rPr>
      </w:pPr>
      <w:bookmarkStart w:id="213" w:name="_Hlk161835218"/>
      <w:r>
        <w:rPr>
          <w:rFonts w:hint="eastAsia" w:ascii="宋体" w:hAnsi="宋体"/>
          <w:b/>
          <w:sz w:val="32"/>
          <w:szCs w:val="32"/>
        </w:rPr>
        <w:t>法人授权委托书</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37"/>
        <w:tblW w:w="8506" w:type="dxa"/>
        <w:tblInd w:w="-147"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506"/>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8506" w:type="dxa"/>
          </w:tcPr>
          <w:p>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pPr>
              <w:snapToGrid w:val="0"/>
              <w:spacing w:line="360" w:lineRule="auto"/>
              <w:ind w:firstLine="480"/>
              <w:rPr>
                <w:rFonts w:ascii="宋体" w:cs="宋体"/>
                <w:sz w:val="24"/>
              </w:rPr>
            </w:pPr>
          </w:p>
          <w:p>
            <w:pPr>
              <w:pStyle w:val="28"/>
            </w:pPr>
          </w:p>
          <w:p/>
          <w:p>
            <w:pPr>
              <w:pStyle w:val="28"/>
            </w:pPr>
          </w:p>
        </w:tc>
      </w:tr>
    </w:tbl>
    <w:p>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pPr>
        <w:tabs>
          <w:tab w:val="left" w:pos="4395"/>
        </w:tabs>
        <w:snapToGrid w:val="0"/>
        <w:spacing w:line="360" w:lineRule="auto"/>
        <w:ind w:right="240"/>
        <w:jc w:val="left"/>
        <w:rPr>
          <w:rStyle w:val="58"/>
          <w:rFonts w:ascii="宋体" w:hAnsi="宋体"/>
          <w:szCs w:val="21"/>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pPr>
        <w:spacing w:line="400" w:lineRule="exact"/>
        <w:ind w:firstLine="3570" w:firstLineChars="1700"/>
        <w:rPr>
          <w:rStyle w:val="58"/>
          <w:rFonts w:ascii="宋体" w:hAnsi="宋体"/>
          <w:szCs w:val="21"/>
        </w:rPr>
      </w:pPr>
      <w:r>
        <w:rPr>
          <w:rStyle w:val="58"/>
          <w:rFonts w:ascii="宋体" w:hAnsi="宋体"/>
          <w:szCs w:val="21"/>
        </w:rPr>
        <w:t>投  标  人：（盖单位公章）</w:t>
      </w:r>
    </w:p>
    <w:p>
      <w:pPr>
        <w:spacing w:line="400" w:lineRule="exact"/>
        <w:ind w:firstLine="3570" w:firstLineChars="1700"/>
        <w:rPr>
          <w:rStyle w:val="58"/>
          <w:rFonts w:ascii="宋体" w:hAnsi="宋体"/>
          <w:szCs w:val="21"/>
        </w:rPr>
      </w:pPr>
      <w:r>
        <w:rPr>
          <w:rStyle w:val="58"/>
          <w:rFonts w:ascii="宋体" w:hAnsi="宋体"/>
          <w:szCs w:val="21"/>
        </w:rPr>
        <w:t>法定代表人：（签字或盖章）</w:t>
      </w:r>
    </w:p>
    <w:p>
      <w:pPr>
        <w:spacing w:line="400" w:lineRule="exact"/>
        <w:ind w:firstLine="3570" w:firstLineChars="1700"/>
        <w:rPr>
          <w:rStyle w:val="58"/>
          <w:rFonts w:ascii="宋体" w:hAnsi="宋体"/>
          <w:szCs w:val="21"/>
          <w:u w:val="single"/>
        </w:rPr>
      </w:pPr>
      <w:r>
        <w:rPr>
          <w:rStyle w:val="58"/>
          <w:rFonts w:ascii="宋体" w:hAnsi="宋体"/>
          <w:szCs w:val="21"/>
        </w:rPr>
        <w:t>身份证号码：</w:t>
      </w:r>
    </w:p>
    <w:p>
      <w:pPr>
        <w:spacing w:line="400" w:lineRule="exact"/>
        <w:ind w:firstLine="3570" w:firstLineChars="1700"/>
        <w:rPr>
          <w:rStyle w:val="58"/>
          <w:rFonts w:ascii="宋体" w:hAnsi="宋体"/>
          <w:szCs w:val="21"/>
        </w:rPr>
      </w:pPr>
      <w:r>
        <w:rPr>
          <w:rStyle w:val="58"/>
          <w:rFonts w:ascii="宋体" w:hAnsi="宋体"/>
          <w:szCs w:val="21"/>
        </w:rPr>
        <w:t>委托代理人：（签字）</w:t>
      </w:r>
    </w:p>
    <w:p>
      <w:pPr>
        <w:spacing w:line="400" w:lineRule="exact"/>
        <w:ind w:firstLine="3570" w:firstLineChars="1700"/>
        <w:rPr>
          <w:rStyle w:val="58"/>
          <w:rFonts w:ascii="宋体" w:hAnsi="宋体"/>
          <w:szCs w:val="21"/>
          <w:u w:val="single"/>
        </w:rPr>
      </w:pPr>
      <w:r>
        <w:rPr>
          <w:rStyle w:val="58"/>
          <w:rFonts w:ascii="宋体" w:hAnsi="宋体"/>
          <w:szCs w:val="21"/>
        </w:rPr>
        <w:t>身份证号码：</w:t>
      </w:r>
    </w:p>
    <w:p>
      <w:pPr>
        <w:spacing w:line="400" w:lineRule="exact"/>
        <w:ind w:firstLine="3542" w:firstLineChars="1687"/>
        <w:rPr>
          <w:rStyle w:val="58"/>
          <w:rFonts w:ascii="宋体" w:hAnsi="宋体"/>
          <w:szCs w:val="21"/>
        </w:rPr>
      </w:pPr>
      <w:r>
        <w:rPr>
          <w:rStyle w:val="58"/>
          <w:rFonts w:hint="eastAsia" w:ascii="宋体" w:hAnsi="宋体"/>
          <w:szCs w:val="21"/>
        </w:rPr>
        <w:t xml:space="preserve">日 </w:t>
      </w:r>
      <w:r>
        <w:rPr>
          <w:rStyle w:val="58"/>
          <w:rFonts w:ascii="宋体" w:hAnsi="宋体"/>
          <w:szCs w:val="21"/>
        </w:rPr>
        <w:t xml:space="preserve">     </w:t>
      </w:r>
      <w:r>
        <w:rPr>
          <w:rStyle w:val="58"/>
          <w:rFonts w:hint="eastAsia" w:ascii="宋体" w:hAnsi="宋体"/>
          <w:szCs w:val="21"/>
        </w:rPr>
        <w:t xml:space="preserve">期： </w:t>
      </w:r>
      <w:r>
        <w:rPr>
          <w:rStyle w:val="58"/>
          <w:rFonts w:ascii="宋体" w:hAnsi="宋体"/>
          <w:szCs w:val="21"/>
        </w:rPr>
        <w:t xml:space="preserve"> 年</w:t>
      </w:r>
      <w:r>
        <w:rPr>
          <w:rStyle w:val="58"/>
          <w:rFonts w:hint="eastAsia" w:ascii="宋体" w:hAnsi="宋体"/>
          <w:szCs w:val="21"/>
        </w:rPr>
        <w:t xml:space="preserve"> </w:t>
      </w:r>
      <w:r>
        <w:rPr>
          <w:rStyle w:val="58"/>
          <w:rFonts w:ascii="宋体" w:hAnsi="宋体"/>
          <w:szCs w:val="21"/>
        </w:rPr>
        <w:t xml:space="preserve"> 月</w:t>
      </w:r>
      <w:r>
        <w:rPr>
          <w:rStyle w:val="58"/>
          <w:rFonts w:hint="eastAsia" w:ascii="宋体" w:hAnsi="宋体"/>
          <w:szCs w:val="21"/>
        </w:rPr>
        <w:t xml:space="preserve"> </w:t>
      </w:r>
      <w:r>
        <w:rPr>
          <w:rStyle w:val="58"/>
          <w:rFonts w:ascii="宋体" w:hAnsi="宋体"/>
          <w:szCs w:val="21"/>
        </w:rPr>
        <w:t xml:space="preserve"> 日</w:t>
      </w:r>
    </w:p>
    <w:bookmarkEnd w:id="213"/>
    <w:p>
      <w:pPr>
        <w:pStyle w:val="66"/>
        <w:spacing w:before="0" w:after="0"/>
        <w:jc w:val="center"/>
        <w:rPr>
          <w:rStyle w:val="58"/>
          <w:rFonts w:ascii="宋体" w:hAnsi="宋体"/>
          <w:sz w:val="28"/>
          <w:szCs w:val="28"/>
        </w:rPr>
      </w:pPr>
      <w:r>
        <w:rPr>
          <w:rStyle w:val="58"/>
          <w:rFonts w:ascii="宋体" w:hAnsi="宋体"/>
          <w:sz w:val="28"/>
          <w:szCs w:val="28"/>
        </w:rPr>
        <w:br w:type="page"/>
      </w:r>
    </w:p>
    <w:p>
      <w:pPr>
        <w:pStyle w:val="7"/>
        <w:spacing w:before="0" w:after="0" w:line="480" w:lineRule="auto"/>
        <w:jc w:val="center"/>
        <w:rPr>
          <w:sz w:val="30"/>
          <w:szCs w:val="30"/>
        </w:rPr>
      </w:pPr>
      <w:bookmarkStart w:id="214" w:name="_Toc17817351"/>
      <w:bookmarkStart w:id="215" w:name="_Toc20930"/>
      <w:bookmarkStart w:id="216" w:name="_Toc16064001"/>
      <w:bookmarkStart w:id="217" w:name="_Toc6247"/>
      <w:bookmarkStart w:id="218" w:name="_Toc220505589"/>
      <w:r>
        <w:rPr>
          <w:sz w:val="30"/>
          <w:szCs w:val="30"/>
        </w:rPr>
        <w:t>四、投标保证金</w:t>
      </w:r>
      <w:bookmarkEnd w:id="214"/>
      <w:bookmarkEnd w:id="215"/>
      <w:bookmarkEnd w:id="216"/>
      <w:bookmarkEnd w:id="217"/>
      <w:bookmarkEnd w:id="218"/>
    </w:p>
    <w:p>
      <w:pPr>
        <w:spacing w:line="460" w:lineRule="exact"/>
        <w:rPr>
          <w:rStyle w:val="58"/>
          <w:rFonts w:ascii="宋体" w:hAnsi="宋体"/>
          <w:sz w:val="24"/>
          <w:szCs w:val="20"/>
        </w:rPr>
      </w:pPr>
      <w:r>
        <w:rPr>
          <w:rStyle w:val="58"/>
          <w:rFonts w:ascii="宋体" w:hAnsi="宋体"/>
          <w:sz w:val="24"/>
          <w:szCs w:val="20"/>
        </w:rPr>
        <w:t>附：1、投标保证金汇款凭证（加盖单位公章）；</w:t>
      </w:r>
    </w:p>
    <w:p>
      <w:pPr>
        <w:rPr>
          <w:rStyle w:val="58"/>
          <w:rFonts w:ascii="宋体" w:hAnsi="宋体"/>
          <w:b/>
          <w:sz w:val="20"/>
          <w:szCs w:val="22"/>
        </w:rPr>
      </w:pPr>
      <w:r>
        <w:rPr>
          <w:rStyle w:val="58"/>
          <w:rFonts w:ascii="宋体" w:hAnsi="宋体"/>
          <w:sz w:val="24"/>
          <w:szCs w:val="20"/>
        </w:rPr>
        <w:t xml:space="preserve">    2、投标保证金退还信息（格式）；</w:t>
      </w:r>
    </w:p>
    <w:p>
      <w:pPr>
        <w:spacing w:line="460" w:lineRule="exact"/>
        <w:rPr>
          <w:rStyle w:val="58"/>
          <w:rFonts w:ascii="宋体" w:hAnsi="宋体"/>
          <w:sz w:val="28"/>
          <w:szCs w:val="21"/>
        </w:rPr>
      </w:pPr>
    </w:p>
    <w:p>
      <w:pPr>
        <w:jc w:val="center"/>
        <w:rPr>
          <w:rStyle w:val="58"/>
          <w:rFonts w:ascii="宋体" w:hAnsi="宋体"/>
          <w:b/>
        </w:rPr>
      </w:pPr>
    </w:p>
    <w:p>
      <w:pPr>
        <w:jc w:val="center"/>
        <w:rPr>
          <w:rStyle w:val="58"/>
          <w:rFonts w:ascii="宋体" w:hAnsi="宋体"/>
          <w:b/>
        </w:rPr>
      </w:pPr>
      <w:r>
        <w:rPr>
          <w:rStyle w:val="58"/>
          <w:rFonts w:ascii="宋体" w:hAnsi="宋体"/>
          <w:b/>
        </w:rPr>
        <w:t>投标保证金退还信息</w:t>
      </w:r>
    </w:p>
    <w:p>
      <w:pPr>
        <w:spacing w:line="600" w:lineRule="exact"/>
        <w:rPr>
          <w:rStyle w:val="58"/>
          <w:rFonts w:ascii="宋体" w:hAnsi="宋体"/>
          <w:sz w:val="22"/>
        </w:rPr>
      </w:pPr>
      <w:r>
        <w:rPr>
          <w:rStyle w:val="58"/>
          <w:rFonts w:hint="eastAsia" w:ascii="宋体" w:hAnsi="宋体"/>
          <w:sz w:val="22"/>
          <w:u w:val="single"/>
        </w:rPr>
        <w:t xml:space="preserve">                    </w:t>
      </w:r>
      <w:r>
        <w:rPr>
          <w:rStyle w:val="58"/>
          <w:rFonts w:ascii="宋体" w:hAnsi="宋体"/>
          <w:sz w:val="22"/>
        </w:rPr>
        <w:t>：</w:t>
      </w:r>
    </w:p>
    <w:p>
      <w:pPr>
        <w:spacing w:line="600" w:lineRule="exact"/>
        <w:rPr>
          <w:rStyle w:val="58"/>
          <w:rFonts w:ascii="宋体" w:hAnsi="宋体"/>
          <w:sz w:val="22"/>
        </w:rPr>
      </w:pPr>
      <w:r>
        <w:rPr>
          <w:rStyle w:val="58"/>
          <w:rFonts w:ascii="宋体" w:hAnsi="宋体"/>
          <w:sz w:val="22"/>
        </w:rPr>
        <w:t xml:space="preserve">   请贵公司将</w:t>
      </w:r>
      <w:r>
        <w:rPr>
          <w:rStyle w:val="58"/>
          <w:rFonts w:ascii="宋体" w:hAnsi="宋体"/>
          <w:sz w:val="22"/>
          <w:u w:val="single"/>
        </w:rPr>
        <w:t xml:space="preserve">                  （</w:t>
      </w:r>
      <w:r>
        <w:rPr>
          <w:rStyle w:val="58"/>
          <w:rFonts w:ascii="宋体" w:hAnsi="宋体"/>
          <w:sz w:val="22"/>
        </w:rPr>
        <w:t>项目名称）的投标保证金，退还至我公司以下账户：</w:t>
      </w:r>
    </w:p>
    <w:p>
      <w:pPr>
        <w:spacing w:line="600" w:lineRule="exact"/>
        <w:rPr>
          <w:rStyle w:val="58"/>
          <w:rFonts w:ascii="宋体" w:hAnsi="宋体"/>
          <w:sz w:val="22"/>
          <w:u w:val="single"/>
        </w:rPr>
      </w:pPr>
      <w:r>
        <w:rPr>
          <w:rStyle w:val="58"/>
          <w:rFonts w:ascii="宋体" w:hAnsi="宋体"/>
          <w:sz w:val="22"/>
        </w:rPr>
        <w:t xml:space="preserve">   开户名称： </w:t>
      </w:r>
    </w:p>
    <w:p>
      <w:pPr>
        <w:tabs>
          <w:tab w:val="decimal" w:pos="0"/>
          <w:tab w:val="decimal" w:pos="840"/>
          <w:tab w:val="decimal" w:pos="955"/>
        </w:tabs>
        <w:snapToGrid w:val="0"/>
        <w:spacing w:before="72" w:line="600" w:lineRule="exact"/>
        <w:ind w:firstLine="330" w:firstLineChars="150"/>
        <w:rPr>
          <w:rStyle w:val="58"/>
          <w:rFonts w:ascii="宋体" w:hAnsi="宋体"/>
          <w:sz w:val="22"/>
        </w:rPr>
      </w:pPr>
      <w:r>
        <w:rPr>
          <w:rStyle w:val="58"/>
          <w:rFonts w:ascii="宋体" w:hAnsi="宋体"/>
          <w:sz w:val="22"/>
        </w:rPr>
        <w:t xml:space="preserve">开户银行： </w:t>
      </w:r>
    </w:p>
    <w:p>
      <w:pPr>
        <w:tabs>
          <w:tab w:val="decimal" w:pos="0"/>
          <w:tab w:val="decimal" w:pos="840"/>
          <w:tab w:val="decimal" w:pos="955"/>
        </w:tabs>
        <w:snapToGrid w:val="0"/>
        <w:spacing w:before="72" w:line="600" w:lineRule="exact"/>
        <w:ind w:firstLine="330" w:firstLineChars="150"/>
        <w:rPr>
          <w:rStyle w:val="58"/>
          <w:rFonts w:ascii="宋体" w:hAnsi="宋体"/>
          <w:sz w:val="22"/>
        </w:rPr>
      </w:pPr>
      <w:r>
        <w:rPr>
          <w:rStyle w:val="58"/>
          <w:rFonts w:ascii="宋体" w:hAnsi="宋体"/>
          <w:sz w:val="22"/>
        </w:rPr>
        <w:t>帐    号：</w:t>
      </w:r>
    </w:p>
    <w:p>
      <w:pPr>
        <w:tabs>
          <w:tab w:val="decimal" w:pos="0"/>
          <w:tab w:val="decimal" w:pos="840"/>
          <w:tab w:val="decimal" w:pos="955"/>
        </w:tabs>
        <w:snapToGrid w:val="0"/>
        <w:spacing w:before="72" w:line="600" w:lineRule="exact"/>
        <w:ind w:firstLine="330" w:firstLineChars="150"/>
        <w:rPr>
          <w:rStyle w:val="58"/>
          <w:rFonts w:ascii="宋体" w:hAnsi="宋体"/>
          <w:sz w:val="22"/>
          <w:szCs w:val="22"/>
        </w:rPr>
      </w:pPr>
      <w:r>
        <w:rPr>
          <w:rStyle w:val="58"/>
          <w:rFonts w:hint="eastAsia" w:ascii="宋体" w:hAnsi="宋体"/>
          <w:sz w:val="22"/>
          <w:szCs w:val="22"/>
        </w:rPr>
        <w:t>联 行 号：</w:t>
      </w:r>
    </w:p>
    <w:p>
      <w:pPr>
        <w:spacing w:line="360" w:lineRule="auto"/>
        <w:rPr>
          <w:rStyle w:val="58"/>
          <w:rFonts w:ascii="宋体" w:hAnsi="宋体"/>
          <w:sz w:val="22"/>
        </w:rPr>
      </w:pPr>
    </w:p>
    <w:p>
      <w:pPr>
        <w:spacing w:line="600" w:lineRule="exact"/>
        <w:rPr>
          <w:rStyle w:val="58"/>
          <w:rFonts w:ascii="宋体" w:hAnsi="宋体"/>
          <w:sz w:val="22"/>
        </w:rPr>
      </w:pPr>
      <w:r>
        <w:rPr>
          <w:rStyle w:val="58"/>
          <w:rFonts w:ascii="宋体" w:hAnsi="宋体"/>
          <w:sz w:val="22"/>
        </w:rPr>
        <w:t xml:space="preserve">                     投标单位（盖单位公章）：                  </w:t>
      </w:r>
    </w:p>
    <w:p>
      <w:pPr>
        <w:spacing w:line="600" w:lineRule="exact"/>
        <w:rPr>
          <w:rStyle w:val="58"/>
          <w:rFonts w:ascii="宋体" w:hAnsi="宋体"/>
          <w:sz w:val="22"/>
        </w:rPr>
      </w:pPr>
      <w:r>
        <w:rPr>
          <w:rStyle w:val="58"/>
          <w:rFonts w:ascii="宋体" w:hAnsi="宋体"/>
          <w:sz w:val="22"/>
        </w:rPr>
        <w:t xml:space="preserve">                     日  期：       年   月  日</w:t>
      </w:r>
    </w:p>
    <w:p>
      <w:pPr>
        <w:spacing w:line="460" w:lineRule="exact"/>
        <w:rPr>
          <w:rStyle w:val="58"/>
          <w:rFonts w:ascii="宋体" w:hAnsi="宋体"/>
          <w:b/>
          <w:bCs/>
          <w:szCs w:val="42"/>
        </w:rPr>
      </w:pPr>
      <w:r>
        <w:rPr>
          <w:rStyle w:val="58"/>
          <w:rFonts w:ascii="宋体" w:hAnsi="宋体"/>
          <w:b/>
          <w:bCs/>
          <w:szCs w:val="42"/>
        </w:rPr>
        <w:t>备注：</w:t>
      </w:r>
    </w:p>
    <w:p>
      <w:pPr>
        <w:numPr>
          <w:ilvl w:val="0"/>
          <w:numId w:val="12"/>
        </w:numPr>
        <w:spacing w:line="460" w:lineRule="exact"/>
        <w:rPr>
          <w:rStyle w:val="58"/>
          <w:rFonts w:ascii="宋体" w:hAnsi="宋体"/>
          <w:b/>
          <w:bCs/>
          <w:szCs w:val="42"/>
        </w:rPr>
      </w:pPr>
      <w:r>
        <w:rPr>
          <w:rStyle w:val="58"/>
          <w:rFonts w:ascii="宋体" w:hAnsi="宋体"/>
          <w:b/>
          <w:bCs/>
          <w:szCs w:val="42"/>
        </w:rPr>
        <w:t>以上信息用于退还投标保证金</w:t>
      </w:r>
      <w:r>
        <w:rPr>
          <w:rStyle w:val="58"/>
          <w:rFonts w:hint="eastAsia" w:ascii="宋体" w:hAnsi="宋体"/>
          <w:b/>
          <w:bCs/>
          <w:szCs w:val="42"/>
        </w:rPr>
        <w:t>，缺少以上任意一条信息均无法退还投标保证金</w:t>
      </w:r>
      <w:r>
        <w:rPr>
          <w:rStyle w:val="58"/>
          <w:rFonts w:ascii="宋体" w:hAnsi="宋体"/>
          <w:b/>
          <w:bCs/>
          <w:szCs w:val="42"/>
        </w:rPr>
        <w:t>。</w:t>
      </w:r>
    </w:p>
    <w:p>
      <w:pPr>
        <w:numPr>
          <w:ilvl w:val="0"/>
          <w:numId w:val="12"/>
        </w:numPr>
        <w:spacing w:line="460" w:lineRule="exact"/>
        <w:rPr>
          <w:rStyle w:val="58"/>
          <w:rFonts w:ascii="宋体" w:hAnsi="宋体"/>
          <w:b/>
          <w:bCs/>
          <w:szCs w:val="42"/>
        </w:rPr>
      </w:pPr>
      <w:r>
        <w:rPr>
          <w:rStyle w:val="58"/>
          <w:rFonts w:hint="eastAsia" w:ascii="宋体" w:hAnsi="宋体"/>
          <w:b/>
          <w:bCs/>
          <w:szCs w:val="42"/>
        </w:rPr>
        <w:t>按照招投标法保证金返还相关条款约定，结合我公司财务管理流程等综合因素，保证金退款流程申请成功退款到账时间为：未中标单位自定标之日起最长约60天；</w:t>
      </w:r>
      <w:bookmarkStart w:id="219" w:name="_Hlk161835260"/>
      <w:r>
        <w:rPr>
          <w:rStyle w:val="58"/>
          <w:rFonts w:hint="eastAsia" w:ascii="宋体" w:hAnsi="宋体"/>
          <w:b/>
          <w:bCs/>
          <w:szCs w:val="42"/>
        </w:rPr>
        <w:t>中标人的投标保证金，自动转为履约保证金，待本工程按期竣工验收后予以退还，</w:t>
      </w:r>
      <w:bookmarkEnd w:id="219"/>
      <w:r>
        <w:rPr>
          <w:rStyle w:val="58"/>
          <w:rFonts w:hint="eastAsia" w:ascii="宋体" w:hAnsi="宋体"/>
          <w:b/>
          <w:bCs/>
          <w:szCs w:val="42"/>
        </w:rPr>
        <w:t>因中标人原因导致工期延误产生的工期违约金直接从投标保证金中扣除。请各投标单位知悉且视为认同此条款。</w:t>
      </w:r>
    </w:p>
    <w:p>
      <w:pPr>
        <w:spacing w:line="460" w:lineRule="exact"/>
        <w:jc w:val="center"/>
        <w:rPr>
          <w:rStyle w:val="58"/>
          <w:rFonts w:ascii="宋体" w:hAnsi="宋体"/>
          <w:szCs w:val="21"/>
        </w:rPr>
      </w:pPr>
    </w:p>
    <w:p>
      <w:pPr>
        <w:spacing w:line="460" w:lineRule="exact"/>
        <w:jc w:val="right"/>
        <w:rPr>
          <w:rStyle w:val="58"/>
          <w:rFonts w:ascii="宋体" w:hAnsi="宋体"/>
          <w:szCs w:val="21"/>
        </w:rPr>
      </w:pPr>
    </w:p>
    <w:p>
      <w:pPr>
        <w:spacing w:line="460" w:lineRule="exact"/>
        <w:rPr>
          <w:rStyle w:val="58"/>
          <w:rFonts w:ascii="宋体" w:hAnsi="宋体"/>
          <w:szCs w:val="21"/>
        </w:rPr>
      </w:pPr>
    </w:p>
    <w:p>
      <w:pPr>
        <w:pStyle w:val="66"/>
        <w:spacing w:before="0" w:after="0"/>
        <w:jc w:val="center"/>
        <w:rPr>
          <w:rStyle w:val="58"/>
          <w:rFonts w:ascii="宋体" w:hAnsi="宋体"/>
          <w:szCs w:val="21"/>
        </w:rPr>
      </w:pPr>
      <w:r>
        <w:rPr>
          <w:rStyle w:val="58"/>
          <w:rFonts w:ascii="宋体" w:hAnsi="宋体"/>
          <w:szCs w:val="21"/>
        </w:rPr>
        <w:br w:type="page"/>
      </w:r>
    </w:p>
    <w:p>
      <w:pPr>
        <w:pStyle w:val="7"/>
        <w:spacing w:before="0" w:after="0" w:line="480" w:lineRule="auto"/>
        <w:jc w:val="center"/>
        <w:rPr>
          <w:sz w:val="30"/>
          <w:szCs w:val="30"/>
        </w:rPr>
      </w:pPr>
      <w:bookmarkStart w:id="220" w:name="_Toc16799"/>
      <w:bookmarkStart w:id="221" w:name="_Toc17817352"/>
      <w:bookmarkStart w:id="222" w:name="_Toc27670"/>
      <w:bookmarkStart w:id="223" w:name="_Toc220505590"/>
      <w:bookmarkStart w:id="224" w:name="_Toc16064002"/>
      <w:r>
        <w:rPr>
          <w:sz w:val="30"/>
          <w:szCs w:val="30"/>
        </w:rPr>
        <w:t>五、已标价工程量清单</w:t>
      </w:r>
      <w:bookmarkEnd w:id="220"/>
      <w:bookmarkEnd w:id="221"/>
      <w:bookmarkEnd w:id="222"/>
      <w:bookmarkEnd w:id="223"/>
      <w:bookmarkEnd w:id="224"/>
    </w:p>
    <w:p>
      <w:pPr>
        <w:spacing w:line="460" w:lineRule="exact"/>
        <w:rPr>
          <w:rStyle w:val="58"/>
          <w:rFonts w:ascii="宋体" w:hAnsi="宋体"/>
          <w:szCs w:val="21"/>
        </w:rPr>
      </w:pPr>
      <w:r>
        <w:rPr>
          <w:rStyle w:val="58"/>
          <w:rFonts w:ascii="宋体" w:hAnsi="宋体"/>
          <w:szCs w:val="21"/>
        </w:rPr>
        <w:t>说明：已标价工程量清单按第五章“工程量清单”中的相关清单表格式填写。构成合同文件的已标价工程量清单包括第五章“工程量清单”有关工程量清单、投标报价以及其他说明的内容。</w:t>
      </w:r>
    </w:p>
    <w:p>
      <w:pPr>
        <w:pStyle w:val="66"/>
        <w:jc w:val="center"/>
        <w:rPr>
          <w:sz w:val="30"/>
          <w:szCs w:val="30"/>
        </w:rPr>
      </w:pPr>
      <w:r>
        <w:rPr>
          <w:rStyle w:val="58"/>
          <w:rFonts w:ascii="宋体" w:hAnsi="宋体"/>
          <w:szCs w:val="21"/>
        </w:rPr>
        <w:br w:type="page"/>
      </w:r>
      <w:bookmarkStart w:id="225" w:name="_Toc16064003"/>
      <w:bookmarkStart w:id="226" w:name="_Toc17817353"/>
    </w:p>
    <w:p>
      <w:pPr>
        <w:pStyle w:val="7"/>
        <w:numPr>
          <w:ilvl w:val="0"/>
          <w:numId w:val="13"/>
        </w:numPr>
        <w:spacing w:before="0" w:after="0" w:line="480" w:lineRule="auto"/>
        <w:jc w:val="center"/>
        <w:rPr>
          <w:sz w:val="30"/>
          <w:szCs w:val="30"/>
        </w:rPr>
      </w:pPr>
      <w:bookmarkStart w:id="227" w:name="_Toc29645"/>
      <w:bookmarkStart w:id="228" w:name="_Toc220505591"/>
      <w:bookmarkStart w:id="229" w:name="_Toc1777"/>
      <w:r>
        <w:rPr>
          <w:sz w:val="30"/>
          <w:szCs w:val="30"/>
        </w:rPr>
        <w:t>施工组织设计</w:t>
      </w:r>
      <w:bookmarkEnd w:id="225"/>
      <w:bookmarkEnd w:id="226"/>
      <w:bookmarkEnd w:id="227"/>
      <w:bookmarkEnd w:id="228"/>
      <w:bookmarkEnd w:id="229"/>
    </w:p>
    <w:p>
      <w:pPr>
        <w:spacing w:line="420" w:lineRule="exact"/>
        <w:ind w:firstLine="420" w:firstLineChars="200"/>
        <w:rPr>
          <w:rFonts w:ascii="宋体" w:hAnsi="宋体"/>
          <w:szCs w:val="21"/>
        </w:rPr>
      </w:pPr>
      <w:r>
        <w:rPr>
          <w:rFonts w:hint="eastAsia" w:ascii="宋体" w:hAnsi="宋体"/>
          <w:szCs w:val="21"/>
        </w:rPr>
        <w:t>1．投标人应根据招标文件和对现场的勘察情况，采用文字并结合图表形式，参考以下要点及顺序编制本工程的施工组织设计：</w:t>
      </w:r>
    </w:p>
    <w:p>
      <w:pPr>
        <w:pStyle w:val="67"/>
        <w:numPr>
          <w:ilvl w:val="0"/>
          <w:numId w:val="14"/>
        </w:numPr>
        <w:spacing w:line="420" w:lineRule="exact"/>
        <w:ind w:left="0" w:firstLine="420" w:firstLineChars="0"/>
        <w:rPr>
          <w:rStyle w:val="58"/>
          <w:rFonts w:ascii="宋体"/>
        </w:rPr>
      </w:pPr>
      <w:r>
        <w:rPr>
          <w:rStyle w:val="58"/>
          <w:rFonts w:ascii="宋体"/>
        </w:rPr>
        <w:t>施工组织总体方案</w:t>
      </w:r>
      <w:r>
        <w:rPr>
          <w:rStyle w:val="58"/>
          <w:rFonts w:hint="eastAsia" w:ascii="宋体"/>
        </w:rPr>
        <w:t>（</w:t>
      </w:r>
      <w:r>
        <w:rPr>
          <w:rFonts w:hint="eastAsia" w:ascii="宋体" w:cs="宋体"/>
        </w:rPr>
        <w:t>对项目特点认知、项目管理机构组建、施工准备、现场布置、施工组织等</w:t>
      </w:r>
      <w:r>
        <w:rPr>
          <w:rStyle w:val="58"/>
          <w:rFonts w:hint="eastAsia" w:ascii="宋体"/>
        </w:rPr>
        <w:t>）</w:t>
      </w:r>
      <w:r>
        <w:rPr>
          <w:rStyle w:val="58"/>
          <w:rFonts w:ascii="宋体"/>
        </w:rPr>
        <w:t>；</w:t>
      </w:r>
    </w:p>
    <w:p>
      <w:pPr>
        <w:pStyle w:val="67"/>
        <w:numPr>
          <w:ilvl w:val="0"/>
          <w:numId w:val="14"/>
        </w:numPr>
        <w:spacing w:line="420" w:lineRule="exact"/>
        <w:ind w:left="0" w:firstLine="420" w:firstLineChars="0"/>
        <w:rPr>
          <w:rStyle w:val="58"/>
          <w:rFonts w:ascii="宋体"/>
        </w:rPr>
      </w:pPr>
      <w:r>
        <w:rPr>
          <w:rFonts w:hint="eastAsia" w:ascii="宋体" w:cs="宋体"/>
          <w:kern w:val="0"/>
          <w:szCs w:val="21"/>
        </w:rPr>
        <w:t>施工进度计划及保证措施</w:t>
      </w:r>
      <w:r>
        <w:rPr>
          <w:rFonts w:hint="eastAsia" w:ascii="宋体" w:cs="宋体"/>
        </w:rPr>
        <w:t>（</w:t>
      </w:r>
      <w:r>
        <w:rPr>
          <w:rFonts w:hint="eastAsia" w:ascii="宋体" w:cs="宋体"/>
          <w:kern w:val="0"/>
          <w:szCs w:val="21"/>
        </w:rPr>
        <w:t>1、要求根据建设单位提供的关键节点，提供施工总进度横道图或网络图计划，施工内容要切合实际、全面；2、列举分析本工程的工期风险点及应对保证措施</w:t>
      </w:r>
      <w:r>
        <w:rPr>
          <w:rFonts w:hint="eastAsia" w:ascii="宋体" w:cs="宋体"/>
        </w:rPr>
        <w:t>）</w:t>
      </w:r>
      <w:r>
        <w:rPr>
          <w:rStyle w:val="58"/>
          <w:rFonts w:ascii="宋体"/>
        </w:rPr>
        <w:t>；</w:t>
      </w:r>
    </w:p>
    <w:p>
      <w:pPr>
        <w:pStyle w:val="67"/>
        <w:numPr>
          <w:ilvl w:val="0"/>
          <w:numId w:val="14"/>
        </w:numPr>
        <w:spacing w:line="420" w:lineRule="exact"/>
        <w:ind w:left="0" w:firstLine="420" w:firstLineChars="0"/>
        <w:rPr>
          <w:rStyle w:val="58"/>
          <w:rFonts w:ascii="宋体"/>
        </w:rPr>
      </w:pPr>
      <w:r>
        <w:rPr>
          <w:rFonts w:hint="eastAsia" w:ascii="宋体" w:cs="宋体"/>
        </w:rPr>
        <w:t>关键施工技术、工艺及工程实施的重点、难点分析（要求提炼出招标项目的关键施工工艺、施工重难点、危险性较大的专项工程等）</w:t>
      </w:r>
      <w:r>
        <w:rPr>
          <w:rStyle w:val="58"/>
          <w:rFonts w:ascii="宋体"/>
        </w:rPr>
        <w:t>；</w:t>
      </w:r>
    </w:p>
    <w:p>
      <w:pPr>
        <w:pStyle w:val="67"/>
        <w:numPr>
          <w:ilvl w:val="0"/>
          <w:numId w:val="14"/>
        </w:numPr>
        <w:spacing w:line="420" w:lineRule="exact"/>
        <w:ind w:left="0" w:firstLine="420" w:firstLineChars="0"/>
        <w:rPr>
          <w:rStyle w:val="58"/>
          <w:rFonts w:ascii="宋体"/>
        </w:rPr>
      </w:pPr>
      <w:r>
        <w:rPr>
          <w:rStyle w:val="58"/>
          <w:rFonts w:hint="eastAsia" w:ascii="宋体"/>
        </w:rPr>
        <w:t>质量</w:t>
      </w:r>
      <w:r>
        <w:rPr>
          <w:rStyle w:val="58"/>
          <w:rFonts w:ascii="宋体"/>
        </w:rPr>
        <w:t>保证措施</w:t>
      </w:r>
      <w:r>
        <w:rPr>
          <w:rFonts w:hint="eastAsia" w:ascii="宋体" w:cs="宋体"/>
          <w:kern w:val="0"/>
          <w:szCs w:val="21"/>
        </w:rPr>
        <w:t>（要求针对性分析本工程容易出现的质量通病、质量控制重点和保证措施）</w:t>
      </w:r>
      <w:r>
        <w:rPr>
          <w:rStyle w:val="58"/>
          <w:rFonts w:ascii="宋体"/>
        </w:rPr>
        <w:t>；</w:t>
      </w:r>
    </w:p>
    <w:p>
      <w:pPr>
        <w:pStyle w:val="67"/>
        <w:numPr>
          <w:ilvl w:val="0"/>
          <w:numId w:val="14"/>
        </w:numPr>
        <w:spacing w:line="420" w:lineRule="exact"/>
        <w:ind w:left="0" w:firstLine="420" w:firstLineChars="0"/>
        <w:rPr>
          <w:rStyle w:val="58"/>
          <w:rFonts w:ascii="宋体"/>
        </w:rPr>
      </w:pPr>
      <w:r>
        <w:rPr>
          <w:rFonts w:hint="eastAsia" w:ascii="宋体" w:cs="宋体"/>
          <w:kern w:val="0"/>
          <w:szCs w:val="21"/>
        </w:rPr>
        <w:t>安全文明施工措施（要求对安全生产、文明施工、环境保护及防尘、施工措施，制定保证措施和承诺）</w:t>
      </w:r>
      <w:r>
        <w:rPr>
          <w:rStyle w:val="58"/>
          <w:rFonts w:ascii="宋体"/>
        </w:rPr>
        <w:t>；</w:t>
      </w:r>
    </w:p>
    <w:p>
      <w:pPr>
        <w:pStyle w:val="67"/>
        <w:numPr>
          <w:ilvl w:val="0"/>
          <w:numId w:val="14"/>
        </w:numPr>
        <w:spacing w:line="420" w:lineRule="exact"/>
        <w:ind w:left="0" w:firstLine="420" w:firstLineChars="0"/>
        <w:rPr>
          <w:rStyle w:val="58"/>
          <w:rFonts w:ascii="宋体" w:hAnsi="宋体"/>
          <w:szCs w:val="21"/>
        </w:rPr>
      </w:pPr>
      <w:r>
        <w:rPr>
          <w:rStyle w:val="58"/>
          <w:rFonts w:ascii="宋体"/>
        </w:rPr>
        <w:t>招标文件规定的其他内容。</w:t>
      </w:r>
    </w:p>
    <w:p>
      <w:pPr>
        <w:spacing w:before="120" w:after="240" w:line="420" w:lineRule="exact"/>
        <w:jc w:val="center"/>
        <w:rPr>
          <w:rStyle w:val="58"/>
          <w:rFonts w:ascii="宋体" w:hAnsi="宋体"/>
          <w:szCs w:val="21"/>
        </w:rPr>
      </w:pPr>
    </w:p>
    <w:p>
      <w:pPr>
        <w:pStyle w:val="19"/>
        <w:rPr>
          <w:sz w:val="30"/>
          <w:szCs w:val="30"/>
        </w:rPr>
      </w:pPr>
      <w:bookmarkStart w:id="230" w:name="_Toc1291"/>
      <w:bookmarkStart w:id="231" w:name="_Toc4161"/>
      <w:bookmarkStart w:id="232" w:name="_Toc14192"/>
      <w:bookmarkStart w:id="233" w:name="_Toc1054"/>
      <w:r>
        <w:rPr>
          <w:sz w:val="30"/>
          <w:szCs w:val="30"/>
        </w:rPr>
        <w:br w:type="page"/>
      </w:r>
    </w:p>
    <w:bookmarkEnd w:id="230"/>
    <w:bookmarkEnd w:id="231"/>
    <w:bookmarkEnd w:id="232"/>
    <w:bookmarkEnd w:id="233"/>
    <w:p>
      <w:pPr>
        <w:pStyle w:val="7"/>
        <w:numPr>
          <w:ilvl w:val="0"/>
          <w:numId w:val="13"/>
        </w:numPr>
        <w:spacing w:before="0" w:after="0" w:line="480" w:lineRule="auto"/>
        <w:jc w:val="center"/>
        <w:rPr>
          <w:sz w:val="30"/>
          <w:szCs w:val="30"/>
        </w:rPr>
      </w:pPr>
      <w:bookmarkStart w:id="234" w:name="_Toc17817354"/>
      <w:bookmarkStart w:id="235" w:name="_Toc12238"/>
      <w:bookmarkStart w:id="236" w:name="_Toc24097"/>
      <w:bookmarkStart w:id="237" w:name="_Toc220505592"/>
      <w:r>
        <w:rPr>
          <w:rFonts w:hint="eastAsia"/>
          <w:sz w:val="30"/>
          <w:szCs w:val="30"/>
        </w:rPr>
        <w:t>项目管理机构</w:t>
      </w:r>
      <w:bookmarkEnd w:id="234"/>
      <w:bookmarkEnd w:id="235"/>
      <w:bookmarkEnd w:id="236"/>
      <w:bookmarkEnd w:id="237"/>
    </w:p>
    <w:p>
      <w:pPr>
        <w:snapToGrid w:val="0"/>
        <w:spacing w:line="440" w:lineRule="exact"/>
        <w:jc w:val="center"/>
        <w:rPr>
          <w:rStyle w:val="58"/>
          <w:rFonts w:ascii="宋体" w:hAnsi="宋体"/>
          <w:b/>
          <w:szCs w:val="21"/>
        </w:rPr>
      </w:pPr>
      <w:bookmarkStart w:id="238" w:name="_Toc16064004"/>
      <w:r>
        <w:rPr>
          <w:rStyle w:val="58"/>
          <w:rFonts w:ascii="宋体" w:hAnsi="宋体"/>
          <w:b/>
          <w:szCs w:val="21"/>
        </w:rPr>
        <w:t>（一）项目管理机构组成表</w:t>
      </w:r>
      <w:bookmarkEnd w:id="238"/>
    </w:p>
    <w:p>
      <w:pPr>
        <w:snapToGrid w:val="0"/>
        <w:spacing w:line="440" w:lineRule="exact"/>
        <w:ind w:firstLine="527" w:firstLineChars="250"/>
        <w:jc w:val="center"/>
        <w:rPr>
          <w:rStyle w:val="58"/>
          <w:rFonts w:ascii="宋体" w:hAnsi="宋体"/>
          <w:b/>
          <w:szCs w:val="21"/>
        </w:rPr>
      </w:pPr>
    </w:p>
    <w:tbl>
      <w:tblPr>
        <w:tblStyle w:val="37"/>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709"/>
        <w:gridCol w:w="709"/>
        <w:gridCol w:w="1134"/>
        <w:gridCol w:w="771"/>
        <w:gridCol w:w="788"/>
        <w:gridCol w:w="850"/>
        <w:gridCol w:w="2127"/>
        <w:gridCol w:w="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职务</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姓名</w:t>
            </w:r>
          </w:p>
        </w:tc>
        <w:tc>
          <w:tcPr>
            <w:tcW w:w="709"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职称</w:t>
            </w:r>
          </w:p>
        </w:tc>
        <w:tc>
          <w:tcPr>
            <w:tcW w:w="5670" w:type="dxa"/>
            <w:gridSpan w:val="5"/>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执业或职业资格证明</w:t>
            </w:r>
          </w:p>
        </w:tc>
        <w:tc>
          <w:tcPr>
            <w:tcW w:w="708"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jc w:val="center"/>
        </w:trPr>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证书名称</w:t>
            </w: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级别</w:t>
            </w: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证号</w:t>
            </w: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专业</w:t>
            </w: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养老保险</w:t>
            </w:r>
          </w:p>
        </w:tc>
        <w:tc>
          <w:tcPr>
            <w:tcW w:w="70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7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50"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bl>
    <w:p>
      <w:pPr>
        <w:spacing w:before="120" w:after="240" w:line="420" w:lineRule="exact"/>
        <w:jc w:val="center"/>
        <w:rPr>
          <w:rStyle w:val="58"/>
          <w:rFonts w:ascii="宋体" w:hAnsi="宋体"/>
          <w:b/>
        </w:rPr>
      </w:pPr>
    </w:p>
    <w:p>
      <w:pPr>
        <w:spacing w:before="120" w:after="240" w:line="420" w:lineRule="exact"/>
        <w:jc w:val="center"/>
        <w:rPr>
          <w:rStyle w:val="58"/>
          <w:rFonts w:ascii="宋体" w:hAnsi="宋体"/>
          <w:b/>
        </w:rPr>
      </w:pPr>
    </w:p>
    <w:p>
      <w:pPr>
        <w:spacing w:before="120" w:after="240" w:line="420" w:lineRule="exact"/>
        <w:jc w:val="center"/>
        <w:rPr>
          <w:rStyle w:val="58"/>
          <w:rFonts w:ascii="宋体" w:hAnsi="宋体"/>
          <w:b/>
        </w:rPr>
      </w:pPr>
      <w:r>
        <w:rPr>
          <w:rStyle w:val="58"/>
          <w:rFonts w:ascii="宋体" w:hAnsi="宋体"/>
          <w:b/>
        </w:rPr>
        <w:br w:type="page"/>
      </w:r>
    </w:p>
    <w:p>
      <w:pPr>
        <w:snapToGrid w:val="0"/>
        <w:spacing w:line="440" w:lineRule="exact"/>
        <w:jc w:val="center"/>
        <w:rPr>
          <w:rStyle w:val="58"/>
          <w:rFonts w:ascii="宋体" w:hAnsi="宋体"/>
          <w:b/>
          <w:szCs w:val="21"/>
        </w:rPr>
      </w:pPr>
      <w:r>
        <w:rPr>
          <w:rStyle w:val="58"/>
          <w:rFonts w:ascii="宋体" w:hAnsi="宋体"/>
          <w:b/>
          <w:szCs w:val="21"/>
        </w:rPr>
        <w:t>（二）主要人员简历表</w:t>
      </w:r>
    </w:p>
    <w:p>
      <w:pPr>
        <w:snapToGrid w:val="0"/>
        <w:spacing w:line="440" w:lineRule="exact"/>
        <w:ind w:firstLine="527" w:firstLineChars="250"/>
        <w:jc w:val="center"/>
        <w:rPr>
          <w:rStyle w:val="58"/>
          <w:rFonts w:ascii="宋体" w:hAnsi="宋体"/>
          <w:b/>
          <w:szCs w:val="21"/>
        </w:rPr>
      </w:pPr>
    </w:p>
    <w:p>
      <w:pPr>
        <w:spacing w:line="420" w:lineRule="exact"/>
        <w:rPr>
          <w:rStyle w:val="58"/>
          <w:rFonts w:ascii="宋体" w:hAnsi="宋体"/>
          <w:szCs w:val="21"/>
        </w:rPr>
      </w:pPr>
      <w:r>
        <w:rPr>
          <w:rStyle w:val="58"/>
          <w:rFonts w:ascii="宋体" w:hAnsi="宋体"/>
          <w:szCs w:val="21"/>
        </w:rPr>
        <w:t>附1：项目经理简历表</w:t>
      </w:r>
    </w:p>
    <w:p>
      <w:pPr>
        <w:spacing w:line="420" w:lineRule="exact"/>
        <w:ind w:firstLine="359" w:firstLineChars="171"/>
        <w:rPr>
          <w:rStyle w:val="58"/>
          <w:rFonts w:ascii="宋体" w:hAnsi="宋体"/>
          <w:szCs w:val="21"/>
        </w:rPr>
      </w:pPr>
      <w:r>
        <w:rPr>
          <w:rStyle w:val="58"/>
          <w:rFonts w:ascii="宋体" w:hAnsi="宋体"/>
          <w:szCs w:val="21"/>
        </w:rPr>
        <w:t>项目经理应附建造师执业资格证书、注册证书、安全生产考核合格证书、身份证、职称证、学历证、养老保险复印件及未担任其他在施建设工程项目项目经理的承诺书，管理过的项目业绩须附合同协议书和竣工验收备案登记表复印件。类似工程限于以项目经理身份参与的项目。</w:t>
      </w:r>
    </w:p>
    <w:tbl>
      <w:tblPr>
        <w:tblStyle w:val="37"/>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035"/>
        <w:gridCol w:w="1134"/>
        <w:gridCol w:w="1275"/>
        <w:gridCol w:w="1843"/>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姓  名</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年  龄</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学历</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职  称</w:t>
            </w:r>
          </w:p>
        </w:tc>
        <w:tc>
          <w:tcPr>
            <w:tcW w:w="103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134"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职  务</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拟在本工程任职</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项目经理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hint="eastAsia" w:ascii="宋体" w:hAnsi="宋体"/>
                <w:szCs w:val="21"/>
              </w:rPr>
              <w:t>身份证号</w:t>
            </w:r>
          </w:p>
        </w:tc>
        <w:tc>
          <w:tcPr>
            <w:tcW w:w="2169"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118"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注册建造师执业资格</w:t>
            </w:r>
            <w:r>
              <w:rPr>
                <w:rStyle w:val="58"/>
                <w:rFonts w:hint="eastAsia" w:ascii="宋体" w:hAnsi="宋体"/>
                <w:szCs w:val="21"/>
              </w:rPr>
              <w:t>证书号</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注册建造师执业资格等级</w:t>
            </w:r>
          </w:p>
        </w:tc>
        <w:tc>
          <w:tcPr>
            <w:tcW w:w="127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级</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建造师专业</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3261"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安全生产考核合格证书</w:t>
            </w:r>
          </w:p>
        </w:tc>
        <w:tc>
          <w:tcPr>
            <w:tcW w:w="52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毕业学校</w:t>
            </w:r>
          </w:p>
        </w:tc>
        <w:tc>
          <w:tcPr>
            <w:tcW w:w="7413" w:type="dxa"/>
            <w:gridSpan w:val="5"/>
            <w:tcBorders>
              <w:top w:val="single" w:color="000000" w:sz="4" w:space="0"/>
              <w:left w:val="single" w:color="000000" w:sz="4" w:space="0"/>
              <w:bottom w:val="single" w:color="000000" w:sz="4" w:space="0"/>
              <w:right w:val="single" w:color="000000" w:sz="4" w:space="0"/>
            </w:tcBorders>
            <w:vAlign w:val="center"/>
          </w:tcPr>
          <w:p>
            <w:pPr>
              <w:ind w:firstLine="840" w:firstLineChars="400"/>
              <w:rPr>
                <w:rStyle w:val="58"/>
                <w:rFonts w:ascii="宋体" w:hAnsi="宋体"/>
                <w:szCs w:val="21"/>
              </w:rPr>
            </w:pPr>
            <w:r>
              <w:rPr>
                <w:rStyle w:val="58"/>
                <w:rFonts w:ascii="宋体" w:hAnsi="宋体"/>
                <w:szCs w:val="21"/>
              </w:rPr>
              <w:t>年毕业于                  学校            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8505" w:type="dxa"/>
            <w:gridSpan w:val="6"/>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主要工作经历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时  间</w:t>
            </w: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参加过的类似工程名称</w:t>
            </w: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工程概况说明</w:t>
            </w: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发包人及联系电话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1092"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3444"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212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bl>
    <w:p>
      <w:pPr>
        <w:spacing w:line="420" w:lineRule="exact"/>
        <w:ind w:firstLine="422" w:firstLineChars="200"/>
        <w:rPr>
          <w:rStyle w:val="58"/>
          <w:rFonts w:ascii="宋体" w:hAnsi="宋体"/>
          <w:szCs w:val="21"/>
        </w:rPr>
      </w:pPr>
      <w:r>
        <w:rPr>
          <w:rStyle w:val="58"/>
          <w:rFonts w:ascii="宋体" w:hAnsi="宋体"/>
          <w:b/>
          <w:szCs w:val="21"/>
        </w:rPr>
        <w:br w:type="page"/>
      </w:r>
    </w:p>
    <w:p>
      <w:pPr>
        <w:rPr>
          <w:rStyle w:val="58"/>
          <w:rFonts w:ascii="宋体" w:hAnsi="宋体"/>
          <w:szCs w:val="21"/>
        </w:rPr>
      </w:pPr>
      <w:r>
        <w:rPr>
          <w:rStyle w:val="58"/>
          <w:rFonts w:ascii="宋体" w:hAnsi="宋体"/>
          <w:szCs w:val="21"/>
        </w:rPr>
        <w:t>附2：承诺书</w:t>
      </w:r>
    </w:p>
    <w:p>
      <w:pPr>
        <w:spacing w:line="440" w:lineRule="exact"/>
        <w:jc w:val="center"/>
        <w:rPr>
          <w:rStyle w:val="58"/>
          <w:rFonts w:ascii="宋体" w:hAnsi="宋体"/>
          <w:szCs w:val="21"/>
        </w:rPr>
      </w:pPr>
    </w:p>
    <w:p>
      <w:pPr>
        <w:spacing w:line="440" w:lineRule="exact"/>
        <w:jc w:val="right"/>
        <w:rPr>
          <w:rStyle w:val="58"/>
          <w:rFonts w:ascii="宋体"/>
        </w:rPr>
      </w:pPr>
    </w:p>
    <w:p>
      <w:pPr>
        <w:jc w:val="center"/>
        <w:rPr>
          <w:rStyle w:val="58"/>
          <w:rFonts w:ascii="宋体"/>
          <w:sz w:val="28"/>
          <w:szCs w:val="28"/>
        </w:rPr>
      </w:pPr>
      <w:r>
        <w:rPr>
          <w:rStyle w:val="58"/>
          <w:rFonts w:hint="eastAsia" w:ascii="宋体"/>
          <w:sz w:val="28"/>
          <w:szCs w:val="28"/>
        </w:rPr>
        <w:t>承诺书</w:t>
      </w:r>
    </w:p>
    <w:p>
      <w:pPr>
        <w:spacing w:after="240" w:line="440" w:lineRule="exact"/>
        <w:rPr>
          <w:rStyle w:val="58"/>
          <w:rFonts w:ascii="宋体"/>
        </w:rPr>
      </w:pPr>
      <w:r>
        <w:rPr>
          <w:rStyle w:val="58"/>
          <w:rFonts w:ascii="宋体"/>
          <w:position w:val="-7"/>
        </w:rPr>
        <w:t>————————</w:t>
      </w:r>
      <w:r>
        <w:rPr>
          <w:rStyle w:val="58"/>
          <w:rFonts w:ascii="宋体"/>
        </w:rPr>
        <w:t>（招标人名称）：</w:t>
      </w:r>
    </w:p>
    <w:p>
      <w:pPr>
        <w:spacing w:line="440" w:lineRule="exact"/>
        <w:ind w:firstLine="420" w:firstLineChars="200"/>
        <w:rPr>
          <w:rStyle w:val="58"/>
          <w:rFonts w:ascii="宋体"/>
        </w:rPr>
      </w:pPr>
      <w:r>
        <w:rPr>
          <w:rStyle w:val="58"/>
          <w:rFonts w:hint="eastAsia" w:ascii="宋体"/>
        </w:rPr>
        <w:t>针对</w:t>
      </w:r>
      <w:r>
        <w:rPr>
          <w:rStyle w:val="58"/>
          <w:rFonts w:hint="eastAsia" w:ascii="宋体"/>
          <w:u w:val="single"/>
        </w:rPr>
        <w:t xml:space="preserve">           </w:t>
      </w:r>
      <w:r>
        <w:rPr>
          <w:rStyle w:val="58"/>
          <w:rFonts w:hint="eastAsia" w:ascii="宋体"/>
        </w:rPr>
        <w:t>项目，我方承诺：</w:t>
      </w:r>
    </w:p>
    <w:p>
      <w:pPr>
        <w:spacing w:line="440" w:lineRule="exact"/>
        <w:ind w:firstLine="420" w:firstLineChars="200"/>
        <w:rPr>
          <w:rStyle w:val="58"/>
          <w:rFonts w:ascii="宋体"/>
        </w:rPr>
      </w:pPr>
      <w:r>
        <w:rPr>
          <w:rStyle w:val="58"/>
          <w:rFonts w:hint="eastAsia" w:ascii="宋体"/>
        </w:rPr>
        <w:t>一、</w:t>
      </w:r>
      <w:r>
        <w:rPr>
          <w:rStyle w:val="58"/>
          <w:rFonts w:ascii="宋体"/>
        </w:rPr>
        <w:t>我方拟派往</w:t>
      </w:r>
      <w:r>
        <w:rPr>
          <w:rStyle w:val="58"/>
          <w:rFonts w:ascii="宋体"/>
          <w:u w:val="single"/>
        </w:rPr>
        <w:t>（项目名称）</w:t>
      </w:r>
      <w:r>
        <w:rPr>
          <w:rStyle w:val="58"/>
          <w:rFonts w:ascii="宋体"/>
        </w:rPr>
        <w:t>（以下简称“本工程”）的项目经理</w:t>
      </w:r>
      <w:r>
        <w:rPr>
          <w:rStyle w:val="58"/>
          <w:rFonts w:ascii="宋体"/>
          <w:u w:val="single"/>
        </w:rPr>
        <w:t>（项目经理姓名）</w:t>
      </w:r>
      <w:r>
        <w:rPr>
          <w:rStyle w:val="58"/>
          <w:rFonts w:ascii="宋体"/>
        </w:rPr>
        <w:t>现阶段没有担任任何在施建设工程项目的项目经理。</w:t>
      </w:r>
    </w:p>
    <w:p>
      <w:pPr>
        <w:spacing w:line="440" w:lineRule="exact"/>
        <w:ind w:firstLine="420" w:firstLineChars="200"/>
        <w:rPr>
          <w:rStyle w:val="58"/>
          <w:rFonts w:ascii="宋体"/>
        </w:rPr>
      </w:pPr>
      <w:r>
        <w:rPr>
          <w:rStyle w:val="58"/>
          <w:rFonts w:hint="eastAsia" w:ascii="宋体"/>
        </w:rPr>
        <w:t>二、中标后现场管理班子均为我单位正式职工，已连续缴纳社保半年以上，确保到岗不少于</w:t>
      </w:r>
      <w:r>
        <w:rPr>
          <w:rStyle w:val="58"/>
          <w:rFonts w:hint="eastAsia" w:ascii="宋体"/>
          <w:u w:val="single"/>
        </w:rPr>
        <w:t xml:space="preserve">    </w:t>
      </w:r>
      <w:r>
        <w:rPr>
          <w:rStyle w:val="58"/>
          <w:rFonts w:hint="eastAsia" w:ascii="宋体"/>
        </w:rPr>
        <w:t>人，每少一人承担</w:t>
      </w:r>
      <w:r>
        <w:rPr>
          <w:rStyle w:val="58"/>
          <w:rFonts w:hint="eastAsia" w:ascii="宋体"/>
          <w:u w:val="single"/>
        </w:rPr>
        <w:t xml:space="preserve"> 1 </w:t>
      </w:r>
      <w:r>
        <w:rPr>
          <w:rStyle w:val="58"/>
          <w:rFonts w:hint="eastAsia" w:ascii="宋体"/>
        </w:rPr>
        <w:t>万元的赔偿且在施工期间未经发包人允许绝不擅自更换；</w:t>
      </w:r>
    </w:p>
    <w:p>
      <w:pPr>
        <w:spacing w:line="440" w:lineRule="exact"/>
        <w:ind w:firstLine="420" w:firstLineChars="200"/>
        <w:rPr>
          <w:rStyle w:val="58"/>
          <w:rFonts w:ascii="宋体"/>
        </w:rPr>
      </w:pPr>
      <w:r>
        <w:rPr>
          <w:rStyle w:val="58"/>
          <w:rFonts w:hint="eastAsia" w:ascii="宋体"/>
        </w:rPr>
        <w:t>三、项目经理现场履职每月不少于25天，每少一天自愿接受考核</w:t>
      </w:r>
      <w:r>
        <w:rPr>
          <w:rStyle w:val="58"/>
          <w:rFonts w:hint="eastAsia" w:ascii="宋体"/>
          <w:u w:val="single"/>
        </w:rPr>
        <w:t>1000</w:t>
      </w:r>
      <w:r>
        <w:rPr>
          <w:rStyle w:val="58"/>
          <w:rFonts w:hint="eastAsia" w:ascii="宋体"/>
        </w:rPr>
        <w:t>元/天。</w:t>
      </w:r>
    </w:p>
    <w:p>
      <w:pPr>
        <w:spacing w:line="440" w:lineRule="exact"/>
        <w:ind w:firstLine="420" w:firstLineChars="200"/>
        <w:rPr>
          <w:rStyle w:val="58"/>
          <w:rFonts w:ascii="宋体"/>
        </w:rPr>
      </w:pPr>
      <w:r>
        <w:rPr>
          <w:rStyle w:val="58"/>
          <w:rFonts w:hint="eastAsia" w:ascii="宋体"/>
        </w:rPr>
        <w:t>四、若我方违背上述承诺，视为工程转包、挂靠行为，除承担合同约定的违约责任外，</w:t>
      </w:r>
      <w:r>
        <w:rPr>
          <w:rStyle w:val="58"/>
          <w:rFonts w:ascii="宋体"/>
        </w:rPr>
        <w:t>并愿意承担因我方就此弄虚作假所引起的一切法律后果。</w:t>
      </w:r>
    </w:p>
    <w:p>
      <w:pPr>
        <w:spacing w:line="440" w:lineRule="exact"/>
        <w:ind w:firstLine="200"/>
        <w:rPr>
          <w:rStyle w:val="58"/>
          <w:rFonts w:ascii="宋体"/>
        </w:rPr>
      </w:pPr>
    </w:p>
    <w:p>
      <w:pPr>
        <w:rPr>
          <w:rStyle w:val="58"/>
          <w:rFonts w:ascii="宋体"/>
        </w:rPr>
      </w:pPr>
    </w:p>
    <w:p>
      <w:pPr>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1800"/>
        <w:rPr>
          <w:rStyle w:val="58"/>
          <w:rFonts w:ascii="宋体"/>
        </w:rPr>
      </w:pPr>
    </w:p>
    <w:p>
      <w:pPr>
        <w:ind w:firstLine="3780" w:firstLineChars="1800"/>
        <w:rPr>
          <w:rStyle w:val="58"/>
          <w:rFonts w:ascii="宋体"/>
        </w:rPr>
      </w:pPr>
      <w:r>
        <w:rPr>
          <w:rStyle w:val="58"/>
          <w:rFonts w:hint="eastAsia" w:ascii="宋体"/>
        </w:rPr>
        <w:t>公司法律人员或法务部门签字盖章</w:t>
      </w:r>
    </w:p>
    <w:p>
      <w:pPr>
        <w:rPr>
          <w:rStyle w:val="58"/>
          <w:rFonts w:ascii="宋体"/>
        </w:rPr>
      </w:pPr>
    </w:p>
    <w:p>
      <w:pPr>
        <w:ind w:firstLine="3780" w:firstLineChars="1800"/>
        <w:rPr>
          <w:rStyle w:val="58"/>
          <w:rFonts w:ascii="宋体"/>
        </w:rPr>
      </w:pPr>
      <w:r>
        <w:rPr>
          <w:rStyle w:val="58"/>
          <w:rFonts w:hint="eastAsia" w:ascii="宋体"/>
        </w:rPr>
        <w:t xml:space="preserve">投标单位：     （公章）             </w:t>
      </w:r>
    </w:p>
    <w:p>
      <w:pPr>
        <w:rPr>
          <w:rStyle w:val="58"/>
          <w:rFonts w:ascii="宋体"/>
        </w:rPr>
      </w:pPr>
      <w:r>
        <w:rPr>
          <w:rStyle w:val="58"/>
          <w:rFonts w:hint="eastAsia" w:ascii="宋体"/>
        </w:rPr>
        <w:t xml:space="preserve">                                  </w:t>
      </w:r>
    </w:p>
    <w:p>
      <w:pPr>
        <w:ind w:firstLine="3780" w:firstLineChars="1800"/>
        <w:rPr>
          <w:rStyle w:val="58"/>
          <w:rFonts w:ascii="宋体"/>
        </w:rPr>
      </w:pPr>
      <w:r>
        <w:rPr>
          <w:rStyle w:val="58"/>
          <w:rFonts w:hint="eastAsia" w:ascii="宋体"/>
        </w:rPr>
        <w:t>法人签字：</w:t>
      </w:r>
    </w:p>
    <w:p>
      <w:pPr>
        <w:pStyle w:val="2"/>
        <w:ind w:left="420" w:firstLine="420"/>
      </w:pPr>
    </w:p>
    <w:p>
      <w:pPr>
        <w:ind w:firstLine="1680" w:firstLineChars="800"/>
        <w:rPr>
          <w:rStyle w:val="58"/>
          <w:rFonts w:ascii="宋体"/>
        </w:rPr>
      </w:pPr>
      <w:r>
        <w:rPr>
          <w:rStyle w:val="58"/>
          <w:rFonts w:hint="eastAsia" w:ascii="宋体"/>
        </w:rPr>
        <w:t xml:space="preserve">                    日期：</w:t>
      </w:r>
    </w:p>
    <w:p>
      <w:pPr>
        <w:pStyle w:val="2"/>
        <w:ind w:left="420" w:firstLine="422"/>
      </w:pPr>
      <w:bookmarkStart w:id="239" w:name="_Toc6584"/>
      <w:r>
        <w:rPr>
          <w:b/>
          <w:bCs/>
        </w:rPr>
        <w:br w:type="page"/>
      </w:r>
    </w:p>
    <w:p>
      <w:pPr>
        <w:pStyle w:val="7"/>
        <w:numPr>
          <w:ilvl w:val="0"/>
          <w:numId w:val="13"/>
        </w:numPr>
        <w:spacing w:before="0" w:after="0" w:line="480" w:lineRule="auto"/>
        <w:jc w:val="center"/>
        <w:rPr>
          <w:sz w:val="30"/>
          <w:szCs w:val="30"/>
        </w:rPr>
      </w:pPr>
      <w:bookmarkStart w:id="240" w:name="_Toc13419"/>
      <w:bookmarkStart w:id="241" w:name="_Toc220505593"/>
      <w:r>
        <w:rPr>
          <w:sz w:val="30"/>
          <w:szCs w:val="30"/>
        </w:rPr>
        <w:t>其他材料</w:t>
      </w:r>
      <w:bookmarkEnd w:id="239"/>
      <w:bookmarkEnd w:id="240"/>
      <w:bookmarkEnd w:id="241"/>
    </w:p>
    <w:p>
      <w:pPr>
        <w:spacing w:line="500" w:lineRule="exact"/>
        <w:jc w:val="center"/>
        <w:rPr>
          <w:rStyle w:val="58"/>
          <w:rFonts w:ascii="宋体" w:hAnsi="宋体"/>
          <w:b/>
          <w:szCs w:val="21"/>
        </w:rPr>
      </w:pPr>
      <w:r>
        <w:rPr>
          <w:rStyle w:val="58"/>
          <w:rFonts w:ascii="宋体" w:hAnsi="宋体"/>
          <w:b/>
          <w:szCs w:val="21"/>
        </w:rPr>
        <w:t>（格式自行设定）</w:t>
      </w:r>
    </w:p>
    <w:p>
      <w:pPr>
        <w:rPr>
          <w:rStyle w:val="58"/>
          <w:rFonts w:ascii="宋体" w:hAnsi="宋体"/>
        </w:rPr>
      </w:pPr>
    </w:p>
    <w:p>
      <w:pPr>
        <w:rPr>
          <w:rStyle w:val="58"/>
          <w:rFonts w:ascii="宋体" w:hAnsi="宋体"/>
        </w:rPr>
      </w:pPr>
    </w:p>
    <w:p>
      <w:pPr>
        <w:spacing w:line="360" w:lineRule="auto"/>
        <w:rPr>
          <w:rStyle w:val="58"/>
          <w:rFonts w:ascii="宋体" w:hAnsi="宋体"/>
        </w:rPr>
      </w:pPr>
      <w:r>
        <w:rPr>
          <w:rStyle w:val="58"/>
          <w:rFonts w:ascii="宋体" w:hAnsi="宋体"/>
        </w:rPr>
        <w:t>备注：对于招标文件要求的内容，招标文件有固定格式的执行固定格式，没有格式的自行设计格式。</w:t>
      </w:r>
    </w:p>
    <w:p>
      <w:pPr>
        <w:rPr>
          <w:rStyle w:val="58"/>
          <w:rFonts w:ascii="宋体" w:hAnsi="宋体"/>
        </w:rPr>
      </w:pPr>
      <w:r>
        <w:rPr>
          <w:rStyle w:val="58"/>
          <w:rFonts w:ascii="宋体" w:hAnsi="宋体"/>
        </w:rPr>
        <w:br w:type="page"/>
      </w:r>
    </w:p>
    <w:p>
      <w:pPr>
        <w:pStyle w:val="6"/>
        <w:jc w:val="center"/>
        <w:rPr>
          <w:i w:val="0"/>
          <w:iCs w:val="0"/>
          <w:sz w:val="32"/>
          <w:szCs w:val="32"/>
        </w:rPr>
      </w:pPr>
      <w:bookmarkStart w:id="242" w:name="_Toc22263"/>
      <w:bookmarkStart w:id="243" w:name="_Toc17817356"/>
      <w:bookmarkStart w:id="244" w:name="_Toc220505594"/>
      <w:bookmarkStart w:id="245" w:name="_Toc6830"/>
      <w:r>
        <w:rPr>
          <w:i w:val="0"/>
          <w:iCs w:val="0"/>
          <w:sz w:val="32"/>
          <w:szCs w:val="32"/>
        </w:rPr>
        <w:t>第九章  资格审查文件</w:t>
      </w:r>
      <w:bookmarkEnd w:id="242"/>
      <w:bookmarkEnd w:id="243"/>
      <w:bookmarkEnd w:id="244"/>
      <w:bookmarkEnd w:id="245"/>
    </w:p>
    <w:p/>
    <w:p/>
    <w:p>
      <w:pPr>
        <w:jc w:val="center"/>
        <w:rPr>
          <w:rStyle w:val="58"/>
          <w:rFonts w:ascii="宋体" w:hAnsi="宋体"/>
          <w:sz w:val="28"/>
          <w:szCs w:val="28"/>
        </w:rPr>
      </w:pPr>
      <w:r>
        <w:rPr>
          <w:rStyle w:val="58"/>
          <w:rFonts w:ascii="宋体" w:hAnsi="宋体"/>
          <w:sz w:val="28"/>
          <w:szCs w:val="28"/>
        </w:rPr>
        <w:t>（项目名称）</w:t>
      </w:r>
    </w:p>
    <w:p>
      <w:pPr>
        <w:spacing w:before="240"/>
        <w:jc w:val="center"/>
        <w:rPr>
          <w:rStyle w:val="58"/>
          <w:rFonts w:ascii="宋体" w:hAnsi="宋体"/>
          <w:sz w:val="44"/>
          <w:szCs w:val="44"/>
        </w:rPr>
      </w:pPr>
    </w:p>
    <w:p>
      <w:pPr>
        <w:spacing w:before="240"/>
        <w:jc w:val="center"/>
        <w:rPr>
          <w:rStyle w:val="58"/>
          <w:rFonts w:ascii="宋体" w:hAnsi="宋体"/>
          <w:sz w:val="44"/>
          <w:szCs w:val="44"/>
        </w:rPr>
      </w:pPr>
    </w:p>
    <w:p>
      <w:pPr>
        <w:spacing w:before="240"/>
        <w:jc w:val="center"/>
        <w:rPr>
          <w:rStyle w:val="58"/>
          <w:rFonts w:ascii="宋体" w:hAnsi="宋体"/>
          <w:sz w:val="44"/>
          <w:szCs w:val="44"/>
        </w:rPr>
      </w:pPr>
      <w:r>
        <w:rPr>
          <w:rStyle w:val="58"/>
          <w:rFonts w:ascii="宋体" w:hAnsi="宋体"/>
          <w:sz w:val="44"/>
          <w:szCs w:val="44"/>
        </w:rPr>
        <w:t>资格审查文件</w:t>
      </w: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jc w:val="center"/>
        <w:rPr>
          <w:rStyle w:val="58"/>
          <w:rFonts w:ascii="宋体" w:hAnsi="宋体"/>
          <w:sz w:val="32"/>
          <w:szCs w:val="32"/>
        </w:rPr>
      </w:pPr>
    </w:p>
    <w:p>
      <w:pPr>
        <w:spacing w:line="360" w:lineRule="auto"/>
        <w:rPr>
          <w:rStyle w:val="58"/>
          <w:rFonts w:ascii="宋体" w:hAnsi="宋体"/>
          <w:sz w:val="28"/>
          <w:szCs w:val="28"/>
        </w:rPr>
      </w:pPr>
      <w:r>
        <w:rPr>
          <w:rStyle w:val="58"/>
          <w:rFonts w:ascii="宋体" w:hAnsi="宋体"/>
          <w:sz w:val="28"/>
          <w:szCs w:val="28"/>
        </w:rPr>
        <w:t xml:space="preserve">   投标人：（盖单位公章）</w:t>
      </w:r>
    </w:p>
    <w:p>
      <w:pPr>
        <w:spacing w:line="360" w:lineRule="auto"/>
        <w:ind w:firstLine="420" w:firstLineChars="150"/>
        <w:rPr>
          <w:rStyle w:val="58"/>
          <w:rFonts w:ascii="宋体" w:hAnsi="宋体"/>
          <w:sz w:val="28"/>
          <w:szCs w:val="28"/>
        </w:rPr>
      </w:pPr>
      <w:r>
        <w:rPr>
          <w:rStyle w:val="58"/>
          <w:rFonts w:ascii="宋体" w:hAnsi="宋体"/>
          <w:sz w:val="28"/>
          <w:szCs w:val="28"/>
        </w:rPr>
        <w:t>法定代表人：（签字或盖章）</w:t>
      </w:r>
    </w:p>
    <w:p>
      <w:pPr>
        <w:jc w:val="center"/>
        <w:rPr>
          <w:rStyle w:val="58"/>
          <w:rFonts w:ascii="宋体" w:hAnsi="宋体"/>
          <w:sz w:val="28"/>
          <w:szCs w:val="28"/>
        </w:rPr>
      </w:pPr>
    </w:p>
    <w:p>
      <w:pPr>
        <w:spacing w:before="120" w:after="240" w:line="440" w:lineRule="exact"/>
        <w:jc w:val="center"/>
        <w:rPr>
          <w:rStyle w:val="58"/>
          <w:rFonts w:ascii="宋体" w:hAnsi="宋体"/>
          <w:sz w:val="28"/>
          <w:szCs w:val="28"/>
        </w:rPr>
      </w:pPr>
      <w:r>
        <w:rPr>
          <w:rStyle w:val="58"/>
          <w:rFonts w:ascii="宋体" w:hAnsi="宋体"/>
          <w:sz w:val="28"/>
          <w:szCs w:val="28"/>
        </w:rPr>
        <w:t>年</w:t>
      </w:r>
      <w:r>
        <w:rPr>
          <w:rStyle w:val="58"/>
          <w:rFonts w:hint="eastAsia" w:ascii="宋体" w:hAnsi="宋体"/>
          <w:sz w:val="28"/>
          <w:szCs w:val="28"/>
        </w:rPr>
        <w:t xml:space="preserve"> </w:t>
      </w:r>
      <w:r>
        <w:rPr>
          <w:rStyle w:val="58"/>
          <w:rFonts w:ascii="宋体" w:hAnsi="宋体"/>
          <w:sz w:val="28"/>
          <w:szCs w:val="28"/>
        </w:rPr>
        <w:t>月</w:t>
      </w:r>
      <w:r>
        <w:rPr>
          <w:rStyle w:val="58"/>
          <w:rFonts w:hint="eastAsia" w:ascii="宋体" w:hAnsi="宋体"/>
          <w:sz w:val="28"/>
          <w:szCs w:val="28"/>
        </w:rPr>
        <w:t xml:space="preserve"> </w:t>
      </w:r>
      <w:r>
        <w:rPr>
          <w:rStyle w:val="58"/>
          <w:rFonts w:ascii="宋体" w:hAnsi="宋体"/>
          <w:sz w:val="28"/>
          <w:szCs w:val="28"/>
        </w:rPr>
        <w:t>日</w:t>
      </w:r>
      <w:r>
        <w:rPr>
          <w:rStyle w:val="58"/>
          <w:rFonts w:ascii="宋体" w:hAnsi="宋体"/>
          <w:sz w:val="28"/>
          <w:szCs w:val="28"/>
        </w:rPr>
        <w:br w:type="page"/>
      </w:r>
    </w:p>
    <w:p>
      <w:pPr>
        <w:pStyle w:val="67"/>
        <w:numPr>
          <w:ilvl w:val="0"/>
          <w:numId w:val="15"/>
        </w:numPr>
        <w:snapToGrid w:val="0"/>
        <w:spacing w:line="440" w:lineRule="exact"/>
        <w:ind w:firstLineChars="0"/>
        <w:jc w:val="center"/>
        <w:rPr>
          <w:rStyle w:val="58"/>
          <w:rFonts w:ascii="宋体" w:hAnsi="宋体"/>
          <w:b/>
          <w:szCs w:val="21"/>
        </w:rPr>
      </w:pPr>
      <w:bookmarkStart w:id="246" w:name="_Toc16064005"/>
      <w:r>
        <w:rPr>
          <w:rStyle w:val="58"/>
          <w:rFonts w:ascii="宋体" w:hAnsi="宋体"/>
          <w:b/>
          <w:szCs w:val="21"/>
        </w:rPr>
        <w:t>投标人基本情况表</w:t>
      </w:r>
      <w:bookmarkEnd w:id="246"/>
    </w:p>
    <w:p>
      <w:pPr>
        <w:pStyle w:val="67"/>
        <w:snapToGrid w:val="0"/>
        <w:spacing w:line="440" w:lineRule="exact"/>
        <w:ind w:left="1367" w:firstLine="0" w:firstLineChars="0"/>
        <w:rPr>
          <w:rStyle w:val="58"/>
          <w:rFonts w:ascii="宋体" w:hAnsi="宋体"/>
          <w:b/>
          <w:szCs w:val="21"/>
        </w:rPr>
      </w:pPr>
    </w:p>
    <w:tbl>
      <w:tblPr>
        <w:tblStyle w:val="37"/>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897"/>
        <w:gridCol w:w="1021"/>
        <w:gridCol w:w="993"/>
        <w:gridCol w:w="283"/>
        <w:gridCol w:w="195"/>
        <w:gridCol w:w="1246"/>
        <w:gridCol w:w="260"/>
        <w:gridCol w:w="709"/>
        <w:gridCol w:w="1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投标人名称</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注册地址</w:t>
            </w:r>
          </w:p>
        </w:tc>
        <w:tc>
          <w:tcPr>
            <w:tcW w:w="3389" w:type="dxa"/>
            <w:gridSpan w:val="5"/>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邮政编码</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联系方式</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联系人</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电  话</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传  真</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网  址</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组织结构</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法定代表人</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技术负责人</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成立时间</w:t>
            </w:r>
          </w:p>
        </w:tc>
        <w:tc>
          <w:tcPr>
            <w:tcW w:w="1918"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5102" w:type="dxa"/>
            <w:gridSpan w:val="7"/>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企业资质等级</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其中</w:t>
            </w: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项目经理</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营业执照号</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高级职称人员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注册资金</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中级职称人员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开户银行</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初级职称人员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账号</w:t>
            </w:r>
          </w:p>
        </w:tc>
        <w:tc>
          <w:tcPr>
            <w:tcW w:w="897"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技  工</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2"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经营范围</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备注</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r>
    </w:tbl>
    <w:p>
      <w:pPr>
        <w:spacing w:line="440" w:lineRule="exact"/>
        <w:rPr>
          <w:rStyle w:val="58"/>
          <w:rFonts w:ascii="宋体" w:hAnsi="宋体"/>
          <w:szCs w:val="21"/>
        </w:rPr>
      </w:pPr>
      <w:r>
        <w:rPr>
          <w:rStyle w:val="58"/>
          <w:rFonts w:ascii="宋体" w:hAnsi="宋体"/>
          <w:szCs w:val="21"/>
        </w:rPr>
        <w:t>备注：本表后应附企业法人营业执照、企业资质证书副本、安全生产许可证等材料的复印件。</w:t>
      </w:r>
    </w:p>
    <w:p>
      <w:pPr>
        <w:spacing w:before="120" w:after="240" w:line="440" w:lineRule="exact"/>
        <w:jc w:val="center"/>
        <w:rPr>
          <w:rStyle w:val="58"/>
          <w:rFonts w:ascii="宋体" w:hAnsi="宋体"/>
          <w:szCs w:val="21"/>
          <w:shd w:val="pct10" w:color="auto" w:fill="FFFFFF"/>
        </w:rPr>
      </w:pPr>
      <w:r>
        <w:rPr>
          <w:rStyle w:val="58"/>
          <w:rFonts w:ascii="宋体" w:hAnsi="宋体"/>
          <w:szCs w:val="21"/>
          <w:shd w:val="pct10" w:color="auto" w:fill="FFFFFF"/>
        </w:rPr>
        <w:br w:type="page"/>
      </w:r>
    </w:p>
    <w:p>
      <w:pPr>
        <w:pStyle w:val="67"/>
        <w:numPr>
          <w:ilvl w:val="0"/>
          <w:numId w:val="15"/>
        </w:numPr>
        <w:snapToGrid w:val="0"/>
        <w:spacing w:line="440" w:lineRule="exact"/>
        <w:ind w:firstLineChars="0"/>
        <w:jc w:val="center"/>
        <w:rPr>
          <w:rStyle w:val="58"/>
          <w:rFonts w:ascii="宋体" w:hAnsi="宋体"/>
          <w:b/>
          <w:szCs w:val="21"/>
        </w:rPr>
      </w:pPr>
      <w:bookmarkStart w:id="247" w:name="_Toc16064006"/>
      <w:r>
        <w:rPr>
          <w:rStyle w:val="58"/>
          <w:rFonts w:hint="eastAsia" w:ascii="宋体" w:hAnsi="宋体"/>
          <w:b/>
          <w:szCs w:val="21"/>
        </w:rPr>
        <w:t>近三年</w:t>
      </w:r>
      <w:r>
        <w:rPr>
          <w:rStyle w:val="58"/>
          <w:rFonts w:ascii="宋体" w:hAnsi="宋体"/>
          <w:b/>
          <w:szCs w:val="21"/>
        </w:rPr>
        <w:t>财务状况：</w:t>
      </w:r>
      <w:bookmarkEnd w:id="247"/>
    </w:p>
    <w:p>
      <w:pPr>
        <w:pStyle w:val="67"/>
        <w:snapToGrid w:val="0"/>
        <w:spacing w:line="440" w:lineRule="exact"/>
        <w:ind w:left="1367" w:firstLine="0" w:firstLineChars="0"/>
        <w:rPr>
          <w:rStyle w:val="58"/>
          <w:rFonts w:ascii="宋体" w:hAnsi="宋体"/>
          <w:b/>
          <w:szCs w:val="21"/>
        </w:rPr>
      </w:pPr>
    </w:p>
    <w:p>
      <w:pPr>
        <w:spacing w:line="440" w:lineRule="exact"/>
        <w:ind w:firstLine="420" w:firstLineChars="200"/>
        <w:rPr>
          <w:rStyle w:val="58"/>
          <w:rFonts w:ascii="宋体" w:hAnsi="宋体"/>
          <w:szCs w:val="21"/>
        </w:rPr>
      </w:pPr>
      <w:r>
        <w:rPr>
          <w:rStyle w:val="58"/>
          <w:rFonts w:ascii="宋体" w:hAnsi="宋体"/>
        </w:rPr>
        <w:t>附：</w:t>
      </w:r>
      <w:r>
        <w:rPr>
          <w:rStyle w:val="58"/>
          <w:rFonts w:hint="eastAsia" w:ascii="宋体" w:hAnsi="宋体"/>
        </w:rPr>
        <w:t>投标人提供经会计师事务所审计且出具无保留意见的近三年（近三年指2022、2023、2024年）的财务审计报告，对应年度企业财务审计报告扫描件盖章附后。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Style w:val="58"/>
          <w:rFonts w:hint="eastAsia" w:ascii="宋体" w:hAnsi="宋体"/>
          <w:szCs w:val="21"/>
        </w:rPr>
        <w:t>要求后附</w:t>
      </w:r>
      <w:r>
        <w:rPr>
          <w:rStyle w:val="58"/>
          <w:rFonts w:hint="eastAsia" w:ascii="宋体" w:hAnsi="宋体"/>
          <w:b/>
          <w:bCs/>
          <w:szCs w:val="21"/>
        </w:rPr>
        <w:t>企业最近半年完税证明、信用证明材料（中国人民银行信用报告）；年度纳税信用评价信息（可从电子税务局查询截图）；企业对外担保说明（写明贵单位对外有无对外担保和质押业务）。</w:t>
      </w:r>
    </w:p>
    <w:tbl>
      <w:tblPr>
        <w:tblStyle w:val="3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288" w:type="dxa"/>
            <w:gridSpan w:val="4"/>
            <w:vAlign w:val="center"/>
          </w:tcPr>
          <w:p>
            <w:pPr>
              <w:spacing w:line="440" w:lineRule="exact"/>
              <w:jc w:val="center"/>
              <w:rPr>
                <w:rStyle w:val="58"/>
                <w:rFonts w:ascii="宋体" w:hAnsi="宋体"/>
              </w:rPr>
            </w:pPr>
            <w:r>
              <w:rPr>
                <w:rStyle w:val="58"/>
                <w:rFonts w:hint="eastAsia" w:ascii="宋体" w:hAnsi="宋体"/>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注册资金（万元）</w:t>
            </w:r>
          </w:p>
        </w:tc>
        <w:tc>
          <w:tcPr>
            <w:tcW w:w="6966" w:type="dxa"/>
            <w:gridSpan w:val="3"/>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ascii="宋体" w:hAnsi="宋体"/>
              </w:rPr>
              <w:t>实收资金（万元）</w:t>
            </w:r>
          </w:p>
        </w:tc>
        <w:tc>
          <w:tcPr>
            <w:tcW w:w="6966" w:type="dxa"/>
            <w:gridSpan w:val="3"/>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年度资产情况</w:t>
            </w:r>
          </w:p>
        </w:tc>
        <w:tc>
          <w:tcPr>
            <w:tcW w:w="2322" w:type="dxa"/>
          </w:tcPr>
          <w:p>
            <w:pPr>
              <w:spacing w:line="440" w:lineRule="exact"/>
              <w:jc w:val="center"/>
              <w:rPr>
                <w:rStyle w:val="58"/>
                <w:rFonts w:ascii="宋体" w:hAnsi="宋体"/>
              </w:rPr>
            </w:pPr>
            <w:r>
              <w:rPr>
                <w:rStyle w:val="58"/>
                <w:rFonts w:ascii="宋体" w:hAnsi="宋体"/>
              </w:rPr>
              <w:t>2022</w:t>
            </w:r>
            <w:r>
              <w:rPr>
                <w:rStyle w:val="58"/>
                <w:rFonts w:hint="eastAsia" w:ascii="宋体" w:hAnsi="宋体"/>
              </w:rPr>
              <w:t>年</w:t>
            </w:r>
          </w:p>
        </w:tc>
        <w:tc>
          <w:tcPr>
            <w:tcW w:w="2322" w:type="dxa"/>
          </w:tcPr>
          <w:p>
            <w:pPr>
              <w:spacing w:line="440" w:lineRule="exact"/>
              <w:jc w:val="center"/>
              <w:rPr>
                <w:rStyle w:val="58"/>
                <w:rFonts w:ascii="宋体" w:hAnsi="宋体"/>
              </w:rPr>
            </w:pPr>
            <w:r>
              <w:rPr>
                <w:rStyle w:val="58"/>
                <w:rFonts w:ascii="宋体" w:hAnsi="宋体"/>
              </w:rPr>
              <w:t>2023</w:t>
            </w:r>
            <w:r>
              <w:rPr>
                <w:rStyle w:val="58"/>
                <w:rFonts w:hint="eastAsia" w:ascii="宋体" w:hAnsi="宋体"/>
              </w:rPr>
              <w:t>年</w:t>
            </w:r>
          </w:p>
        </w:tc>
        <w:tc>
          <w:tcPr>
            <w:tcW w:w="2322" w:type="dxa"/>
          </w:tcPr>
          <w:p>
            <w:pPr>
              <w:spacing w:line="440" w:lineRule="exact"/>
              <w:jc w:val="center"/>
              <w:rPr>
                <w:rStyle w:val="58"/>
                <w:rFonts w:ascii="宋体" w:hAnsi="宋体"/>
              </w:rPr>
            </w:pPr>
            <w:r>
              <w:rPr>
                <w:rStyle w:val="58"/>
                <w:rFonts w:ascii="宋体" w:hAnsi="宋体"/>
              </w:rPr>
              <w:t>2024</w:t>
            </w:r>
            <w:r>
              <w:rPr>
                <w:rStyle w:val="58"/>
                <w:rFonts w:hint="eastAsia" w:ascii="宋体" w:hAnsi="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流动资产（万元）</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非流动资产（万元）</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营业收入（万元）</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年底资产总值（万元）</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年底负债总值（万元）</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ascii="宋体" w:hAnsi="宋体"/>
              </w:rPr>
              <w:t>资产负债率</w:t>
            </w:r>
            <w:r>
              <w:rPr>
                <w:rStyle w:val="58"/>
                <w:rFonts w:hint="eastAsia" w:ascii="宋体" w:hAnsi="宋体"/>
              </w:rPr>
              <w:t>（**.**%）</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净利润（万元）</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Style w:val="58"/>
                <w:rFonts w:ascii="宋体" w:hAnsi="宋体"/>
              </w:rPr>
            </w:pPr>
            <w:r>
              <w:rPr>
                <w:rStyle w:val="58"/>
                <w:rFonts w:hint="eastAsia" w:ascii="宋体" w:hAnsi="宋体"/>
              </w:rPr>
              <w:t>未分配利润（万元）</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Fonts w:ascii="宋体" w:hAnsi="宋体"/>
              </w:rPr>
            </w:pPr>
            <w:r>
              <w:rPr>
                <w:rStyle w:val="58"/>
                <w:rFonts w:hint="eastAsia" w:ascii="宋体" w:hAnsi="宋体"/>
              </w:rPr>
              <w:t>营运</w:t>
            </w:r>
            <w:r>
              <w:rPr>
                <w:rStyle w:val="58"/>
                <w:rFonts w:ascii="宋体" w:hAnsi="宋体"/>
              </w:rPr>
              <w:t>资</w:t>
            </w:r>
            <w:r>
              <w:rPr>
                <w:rStyle w:val="58"/>
                <w:rFonts w:hint="eastAsia" w:ascii="宋体" w:hAnsi="宋体"/>
              </w:rPr>
              <w:t>金</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2" w:type="dxa"/>
          </w:tcPr>
          <w:p>
            <w:pPr>
              <w:spacing w:line="440" w:lineRule="exact"/>
              <w:jc w:val="center"/>
              <w:rPr>
                <w:rFonts w:ascii="宋体" w:hAnsi="宋体"/>
              </w:rPr>
            </w:pPr>
            <w:r>
              <w:rPr>
                <w:rStyle w:val="58"/>
                <w:rFonts w:hint="eastAsia" w:ascii="宋体" w:hAnsi="宋体"/>
              </w:rPr>
              <w:t>（本年营业收入-上年营业收入）÷上年营业收入</w:t>
            </w: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c>
          <w:tcPr>
            <w:tcW w:w="2322" w:type="dxa"/>
          </w:tcPr>
          <w:p>
            <w:pPr>
              <w:spacing w:line="440" w:lineRule="exact"/>
              <w:jc w:val="center"/>
              <w:rPr>
                <w:rStyle w:val="58"/>
                <w:rFonts w:ascii="宋体" w:hAnsi="宋体"/>
              </w:rPr>
            </w:pPr>
          </w:p>
        </w:tc>
      </w:tr>
    </w:tbl>
    <w:p>
      <w:pPr>
        <w:spacing w:line="440" w:lineRule="exact"/>
        <w:rPr>
          <w:rStyle w:val="58"/>
          <w:rFonts w:ascii="宋体" w:hAnsi="宋体"/>
        </w:rPr>
      </w:pPr>
      <w:r>
        <w:rPr>
          <w:rStyle w:val="58"/>
          <w:rFonts w:ascii="宋体" w:hAnsi="宋体"/>
        </w:rPr>
        <w:br w:type="page"/>
      </w:r>
    </w:p>
    <w:p>
      <w:pPr>
        <w:pStyle w:val="67"/>
        <w:numPr>
          <w:ilvl w:val="0"/>
          <w:numId w:val="15"/>
        </w:numPr>
        <w:snapToGrid w:val="0"/>
        <w:spacing w:line="440" w:lineRule="exact"/>
        <w:ind w:firstLineChars="0"/>
        <w:jc w:val="center"/>
        <w:rPr>
          <w:rStyle w:val="58"/>
          <w:rFonts w:ascii="宋体" w:hAnsi="宋体"/>
          <w:b/>
          <w:szCs w:val="21"/>
        </w:rPr>
      </w:pPr>
      <w:bookmarkStart w:id="248" w:name="_Toc16064007"/>
      <w:r>
        <w:rPr>
          <w:rStyle w:val="58"/>
          <w:rFonts w:ascii="宋体" w:hAnsi="宋体"/>
          <w:b/>
          <w:szCs w:val="21"/>
        </w:rPr>
        <w:t>拟派项目部主要管理人员：</w:t>
      </w:r>
      <w:bookmarkEnd w:id="248"/>
    </w:p>
    <w:p>
      <w:pPr>
        <w:pStyle w:val="67"/>
        <w:snapToGrid w:val="0"/>
        <w:spacing w:line="440" w:lineRule="exact"/>
        <w:ind w:left="1367" w:firstLine="0" w:firstLineChars="0"/>
        <w:rPr>
          <w:rStyle w:val="58"/>
          <w:rFonts w:ascii="宋体" w:hAnsi="宋体"/>
          <w:b/>
          <w:szCs w:val="21"/>
        </w:rPr>
      </w:pPr>
    </w:p>
    <w:p>
      <w:pPr>
        <w:spacing w:line="440" w:lineRule="exact"/>
        <w:rPr>
          <w:rStyle w:val="58"/>
          <w:rFonts w:ascii="宋体" w:hAnsi="宋体"/>
        </w:rPr>
      </w:pPr>
      <w:r>
        <w:rPr>
          <w:rStyle w:val="58"/>
          <w:rFonts w:ascii="宋体" w:hAnsi="宋体"/>
        </w:rPr>
        <w:t>附：</w:t>
      </w:r>
      <w:r>
        <w:rPr>
          <w:rStyle w:val="58"/>
          <w:rFonts w:hint="eastAsia" w:ascii="宋体" w:hAnsi="宋体"/>
        </w:rPr>
        <w:t>1、</w:t>
      </w:r>
      <w:r>
        <w:rPr>
          <w:rStyle w:val="58"/>
          <w:rFonts w:ascii="宋体" w:hAnsi="宋体"/>
        </w:rPr>
        <w:t xml:space="preserve">拟派项目经理的注册建造师执业资格证及安全生产考核合格B证复印件； </w:t>
      </w:r>
    </w:p>
    <w:p>
      <w:pPr>
        <w:spacing w:line="360" w:lineRule="exact"/>
        <w:ind w:firstLine="413" w:firstLineChars="196"/>
        <w:rPr>
          <w:rStyle w:val="58"/>
          <w:rFonts w:ascii="宋体" w:hAnsi="宋体"/>
          <w:b/>
          <w:bCs/>
          <w:u w:val="single"/>
        </w:rPr>
      </w:pPr>
      <w:r>
        <w:rPr>
          <w:rStyle w:val="58"/>
          <w:rFonts w:ascii="宋体" w:hAnsi="宋体"/>
          <w:b/>
          <w:bCs/>
          <w:u w:val="single"/>
        </w:rPr>
        <w:t>注：若以上人员资格证书无单位名称或与投标人单位名称不一致的，须提交投标截至时间前</w:t>
      </w:r>
      <w:r>
        <w:rPr>
          <w:rStyle w:val="58"/>
          <w:rFonts w:hint="eastAsia" w:ascii="宋体" w:hAnsi="宋体"/>
          <w:b/>
          <w:bCs/>
          <w:u w:val="single"/>
        </w:rPr>
        <w:t>一年</w:t>
      </w:r>
      <w:r>
        <w:rPr>
          <w:rStyle w:val="58"/>
          <w:rFonts w:ascii="宋体" w:hAnsi="宋体"/>
          <w:b/>
          <w:bCs/>
          <w:u w:val="single"/>
        </w:rPr>
        <w:t>内在本单位缴纳的连续</w:t>
      </w:r>
      <w:r>
        <w:rPr>
          <w:rStyle w:val="58"/>
          <w:rFonts w:hint="eastAsia" w:ascii="宋体" w:hAnsi="宋体"/>
          <w:b/>
          <w:bCs/>
          <w:u w:val="single"/>
        </w:rPr>
        <w:t>十二</w:t>
      </w:r>
      <w:r>
        <w:rPr>
          <w:rStyle w:val="58"/>
          <w:rFonts w:ascii="宋体" w:hAnsi="宋体"/>
          <w:b/>
          <w:bCs/>
          <w:u w:val="single"/>
        </w:rPr>
        <w:t>个月的社保证明，否则视为无效证件且不计入济建建字【2011】12号文规定的最低人员配备。</w:t>
      </w:r>
    </w:p>
    <w:p>
      <w:pPr>
        <w:spacing w:line="440" w:lineRule="exact"/>
        <w:rPr>
          <w:rStyle w:val="58"/>
          <w:rFonts w:ascii="宋体" w:hAnsi="宋体"/>
          <w:b/>
          <w:bCs/>
          <w:u w:val="single"/>
        </w:rPr>
      </w:pPr>
    </w:p>
    <w:p>
      <w:pPr>
        <w:pStyle w:val="67"/>
        <w:numPr>
          <w:ilvl w:val="0"/>
          <w:numId w:val="15"/>
        </w:numPr>
        <w:snapToGrid w:val="0"/>
        <w:spacing w:line="440" w:lineRule="exact"/>
        <w:ind w:firstLineChars="0"/>
        <w:jc w:val="center"/>
        <w:rPr>
          <w:rStyle w:val="58"/>
          <w:rFonts w:ascii="宋体" w:hAnsi="宋体"/>
          <w:b/>
          <w:szCs w:val="21"/>
        </w:rPr>
      </w:pPr>
      <w:bookmarkStart w:id="249" w:name="_Toc16064008"/>
      <w:r>
        <w:rPr>
          <w:rStyle w:val="58"/>
          <w:rFonts w:ascii="宋体" w:hAnsi="宋体"/>
          <w:b/>
          <w:szCs w:val="21"/>
        </w:rPr>
        <w:t>近</w:t>
      </w:r>
      <w:r>
        <w:rPr>
          <w:rStyle w:val="58"/>
          <w:rFonts w:hint="eastAsia" w:ascii="宋体" w:hAnsi="宋体"/>
          <w:b/>
          <w:szCs w:val="21"/>
        </w:rPr>
        <w:t>两</w:t>
      </w:r>
      <w:r>
        <w:rPr>
          <w:rStyle w:val="58"/>
          <w:rFonts w:ascii="宋体" w:hAnsi="宋体"/>
          <w:b/>
          <w:szCs w:val="21"/>
        </w:rPr>
        <w:t>年承担的类似工程情况表</w:t>
      </w:r>
      <w:bookmarkEnd w:id="249"/>
    </w:p>
    <w:p>
      <w:pPr>
        <w:pStyle w:val="67"/>
        <w:snapToGrid w:val="0"/>
        <w:spacing w:line="440" w:lineRule="exact"/>
        <w:ind w:left="1367" w:firstLine="0" w:firstLineChars="0"/>
        <w:rPr>
          <w:rStyle w:val="58"/>
          <w:rFonts w:ascii="宋体" w:hAnsi="宋体"/>
          <w:b/>
          <w:szCs w:val="21"/>
        </w:rPr>
      </w:pPr>
    </w:p>
    <w:tbl>
      <w:tblPr>
        <w:tblStyle w:val="3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30"/>
        <w:gridCol w:w="602"/>
        <w:gridCol w:w="602"/>
        <w:gridCol w:w="729"/>
        <w:gridCol w:w="1239"/>
        <w:gridCol w:w="602"/>
        <w:gridCol w:w="939"/>
        <w:gridCol w:w="602"/>
        <w:gridCol w:w="602"/>
        <w:gridCol w:w="729"/>
        <w:gridCol w:w="1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bookmarkStart w:id="250" w:name="_Hlk161835794"/>
            <w:r>
              <w:rPr>
                <w:rStyle w:val="58"/>
                <w:rFonts w:ascii="宋体" w:hAnsi="宋体"/>
                <w:szCs w:val="21"/>
              </w:rPr>
              <w:t>序号</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项目名称</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项目规模</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发包人名称</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发包人联系人及电话</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合同价格</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开、竣工日期</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工程质量</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项目经理</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技术负责人</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总监理工程师及电话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16"/>
              </w:num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16"/>
              </w:num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16"/>
              </w:num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16"/>
              </w:num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16"/>
              </w:num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numPr>
                <w:ilvl w:val="0"/>
                <w:numId w:val="16"/>
              </w:num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58"/>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r>
              <w:rPr>
                <w:rStyle w:val="58"/>
                <w:rFonts w:ascii="宋体" w:hAnsi="宋体"/>
                <w:szCs w:val="21"/>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vAlign w:val="center"/>
          </w:tcPr>
          <w:p>
            <w:pPr>
              <w:jc w:val="center"/>
              <w:rPr>
                <w:rStyle w:val="58"/>
                <w:rFonts w:ascii="宋体" w:hAnsi="宋体"/>
                <w:szCs w:val="21"/>
              </w:rPr>
            </w:pPr>
          </w:p>
        </w:tc>
        <w:tc>
          <w:tcPr>
            <w:tcW w:w="0" w:type="auto"/>
            <w:tcBorders>
              <w:top w:val="single" w:color="000000" w:sz="4" w:space="0"/>
              <w:left w:val="single" w:color="000000" w:sz="4" w:space="0"/>
              <w:bottom w:val="single" w:color="000000" w:sz="4" w:space="0"/>
              <w:right w:val="single" w:color="000000" w:sz="4" w:space="0"/>
            </w:tcBorders>
          </w:tcPr>
          <w:p>
            <w:pPr>
              <w:jc w:val="center"/>
              <w:rPr>
                <w:rStyle w:val="58"/>
                <w:rFonts w:ascii="宋体" w:hAnsi="宋体"/>
                <w:szCs w:val="21"/>
              </w:rPr>
            </w:pPr>
          </w:p>
        </w:tc>
      </w:tr>
      <w:bookmarkEnd w:id="250"/>
    </w:tbl>
    <w:p>
      <w:pPr>
        <w:spacing w:line="440" w:lineRule="exact"/>
        <w:ind w:left="630" w:hanging="630" w:hangingChars="300"/>
        <w:rPr>
          <w:rStyle w:val="58"/>
          <w:rFonts w:ascii="宋体" w:hAnsi="宋体"/>
          <w:szCs w:val="21"/>
        </w:rPr>
      </w:pPr>
      <w:r>
        <w:rPr>
          <w:rStyle w:val="58"/>
          <w:rFonts w:ascii="宋体" w:hAnsi="宋体"/>
          <w:szCs w:val="21"/>
        </w:rPr>
        <w:t>备注：1.近</w:t>
      </w:r>
      <w:r>
        <w:rPr>
          <w:rStyle w:val="58"/>
          <w:rFonts w:hint="eastAsia" w:ascii="宋体" w:hAnsi="宋体"/>
          <w:szCs w:val="21"/>
        </w:rPr>
        <w:t>两</w:t>
      </w:r>
      <w:r>
        <w:rPr>
          <w:rStyle w:val="58"/>
          <w:rFonts w:ascii="宋体" w:hAnsi="宋体"/>
          <w:szCs w:val="21"/>
        </w:rPr>
        <w:t>年指2024年2月1日至开标之日（以合同签订时间为准），类似工程：详见投标人须知前附表；</w:t>
      </w:r>
    </w:p>
    <w:p>
      <w:pPr>
        <w:spacing w:line="440" w:lineRule="exact"/>
        <w:ind w:left="630" w:leftChars="300"/>
        <w:rPr>
          <w:rStyle w:val="58"/>
          <w:rFonts w:ascii="宋体" w:hAnsi="宋体"/>
          <w:b/>
          <w:bCs/>
          <w:szCs w:val="21"/>
        </w:rPr>
      </w:pPr>
      <w:r>
        <w:rPr>
          <w:rStyle w:val="58"/>
          <w:rFonts w:ascii="宋体" w:hAnsi="宋体"/>
          <w:b/>
          <w:bCs/>
          <w:szCs w:val="21"/>
        </w:rPr>
        <w:br w:type="page"/>
      </w:r>
    </w:p>
    <w:p>
      <w:pPr>
        <w:pStyle w:val="67"/>
        <w:numPr>
          <w:ilvl w:val="0"/>
          <w:numId w:val="15"/>
        </w:numPr>
        <w:snapToGrid w:val="0"/>
        <w:spacing w:line="440" w:lineRule="exact"/>
        <w:ind w:firstLineChars="0"/>
        <w:jc w:val="center"/>
        <w:rPr>
          <w:rStyle w:val="58"/>
          <w:rFonts w:ascii="宋体" w:hAnsi="宋体"/>
          <w:b/>
          <w:szCs w:val="21"/>
        </w:rPr>
      </w:pPr>
      <w:bookmarkStart w:id="251" w:name="_Toc16064009"/>
      <w:r>
        <w:rPr>
          <w:rStyle w:val="58"/>
          <w:rFonts w:ascii="宋体" w:hAnsi="宋体"/>
          <w:b/>
          <w:szCs w:val="21"/>
        </w:rPr>
        <w:t>无不良行为记录证明材料</w:t>
      </w:r>
      <w:bookmarkEnd w:id="251"/>
    </w:p>
    <w:p>
      <w:pPr>
        <w:spacing w:before="120" w:after="240" w:line="440" w:lineRule="exact"/>
        <w:ind w:firstLine="420" w:firstLineChars="200"/>
        <w:rPr>
          <w:rStyle w:val="58"/>
          <w:rFonts w:ascii="宋体" w:hAnsi="宋体"/>
        </w:rPr>
      </w:pPr>
      <w:r>
        <w:rPr>
          <w:rStyle w:val="58"/>
          <w:rFonts w:ascii="宋体" w:hAnsi="宋体"/>
        </w:rPr>
        <w:t>须附“中国裁判文书网”行贿犯罪档案查询结果截图及其他无不良行为记录证明材料。</w:t>
      </w:r>
    </w:p>
    <w:p>
      <w:pPr>
        <w:spacing w:before="120" w:after="240" w:line="440" w:lineRule="exact"/>
        <w:ind w:firstLine="420" w:firstLineChars="200"/>
        <w:rPr>
          <w:rStyle w:val="58"/>
          <w:rFonts w:ascii="宋体" w:hAnsi="宋体"/>
        </w:rPr>
      </w:pPr>
    </w:p>
    <w:p>
      <w:pPr>
        <w:pStyle w:val="67"/>
        <w:numPr>
          <w:ilvl w:val="0"/>
          <w:numId w:val="15"/>
        </w:numPr>
        <w:snapToGrid w:val="0"/>
        <w:spacing w:line="440" w:lineRule="exact"/>
        <w:ind w:left="765" w:firstLineChars="0"/>
        <w:rPr>
          <w:rStyle w:val="58"/>
          <w:rFonts w:ascii="宋体" w:hAnsi="宋体"/>
          <w:b/>
          <w:szCs w:val="21"/>
        </w:rPr>
      </w:pPr>
      <w:bookmarkStart w:id="252" w:name="_Toc16064010"/>
      <w:r>
        <w:rPr>
          <w:rStyle w:val="58"/>
          <w:rFonts w:ascii="宋体" w:hAnsi="宋体"/>
          <w:b/>
          <w:szCs w:val="21"/>
        </w:rPr>
        <w:t>近三年（2023年2月1日至开标之日）发生的诉讼及仲裁情况（应说明相关情况并附法院或仲裁机构作出的判决、仲裁等有关法律文书的复印件）</w:t>
      </w:r>
      <w:bookmarkEnd w:id="252"/>
    </w:p>
    <w:p>
      <w:pPr>
        <w:spacing w:line="440" w:lineRule="exact"/>
        <w:ind w:firstLine="433" w:firstLineChars="196"/>
        <w:rPr>
          <w:rStyle w:val="58"/>
          <w:rFonts w:ascii="宋体" w:hAnsi="宋体"/>
          <w:b/>
          <w:sz w:val="22"/>
          <w:szCs w:val="28"/>
        </w:rPr>
      </w:pPr>
    </w:p>
    <w:p>
      <w:pPr>
        <w:spacing w:line="440" w:lineRule="exact"/>
        <w:ind w:firstLine="433" w:firstLineChars="196"/>
      </w:pPr>
      <w:r>
        <w:rPr>
          <w:rStyle w:val="58"/>
          <w:rFonts w:ascii="宋体" w:hAnsi="宋体"/>
          <w:b/>
          <w:sz w:val="22"/>
          <w:szCs w:val="28"/>
        </w:rPr>
        <w:t>注：投标人应按照以上内容要求编制资格审查文件，并对资格审查文件的真实性负责，相关复印件应加盖单位公章。评标过程中评标委员若对资格审查文件有异议的，可要求投标人提供相应原件进行复核，未能及时提供原件或若发现有不实之处的，按废标处理。</w:t>
      </w:r>
      <w:r>
        <w:rPr>
          <w:rStyle w:val="58"/>
          <w:rFonts w:ascii="宋体" w:hAnsi="宋体"/>
          <w:b/>
          <w:sz w:val="22"/>
          <w:szCs w:val="28"/>
          <w:u w:val="single"/>
        </w:rPr>
        <w:t>其中第（一）、（二）、（三）、（五）条为必备条件,若无则资格后审不合格,第（四）、（六）项内容若无应注明“无”,若资格审查文件中无第（四）、（六）项内容且未在资格后审文件中注明的,则视为不合格，不参与下一步评审。</w:t>
      </w:r>
    </w:p>
    <w:p/>
    <w:p/>
    <w:sectPr>
      <w:headerReference r:id="rId18" w:type="first"/>
      <w:headerReference r:id="rId16" w:type="default"/>
      <w:headerReference r:id="rId1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Consolas">
    <w:panose1 w:val="020B0609020204030204"/>
    <w:charset w:val="00"/>
    <w:family w:val="modern"/>
    <w:pitch w:val="default"/>
    <w:sig w:usb0="E00006FF" w:usb1="0000FCFF" w:usb2="00000001" w:usb3="00000000" w:csb0="6000019F" w:csb1="DFD7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26"/>
          <w:jc w:val="center"/>
        </w:pPr>
        <w:r>
          <w:fldChar w:fldCharType="begin"/>
        </w:r>
        <w:r>
          <w:instrText xml:space="preserve">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8535034"/>
    </w:sdtPr>
    <w:sdtContent>
      <w:p>
        <w:pPr>
          <w:pStyle w:val="26"/>
          <w:jc w:val="center"/>
        </w:pPr>
        <w:r>
          <w:fldChar w:fldCharType="begin"/>
        </w:r>
        <w:r>
          <w:instrText xml:space="preserve">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52887"/>
    </w:sdtPr>
    <w:sdtContent>
      <w:p>
        <w:pPr>
          <w:pStyle w:val="26"/>
          <w:jc w:val="cente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tabs>
        <w:tab w:val="left" w:pos="1020"/>
        <w:tab w:val="clear" w:pos="4153"/>
      </w:tabs>
    </w:pP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left" w:pos="1020"/>
        <w:tab w:val="right" w:pos="8306"/>
      </w:tabs>
      <w:snapToGrid w:val="0"/>
      <w:rPr>
        <w:sz w:val="18"/>
      </w:rPr>
    </w:pPr>
    <w:r>
      <w:rPr>
        <w:rFonts w:hint="eastAsia"/>
        <w:sz w:val="18"/>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6A09EE"/>
    <w:multiLevelType w:val="singleLevel"/>
    <w:tmpl w:val="D26A09EE"/>
    <w:lvl w:ilvl="0" w:tentative="0">
      <w:start w:val="1"/>
      <w:numFmt w:val="decimal"/>
      <w:suff w:val="space"/>
      <w:lvlText w:val="(%1)"/>
      <w:lvlJc w:val="left"/>
    </w:lvl>
  </w:abstractNum>
  <w:abstractNum w:abstractNumId="1">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2">
    <w:nsid w:val="029207EF"/>
    <w:multiLevelType w:val="singleLevel"/>
    <w:tmpl w:val="029207EF"/>
    <w:lvl w:ilvl="0" w:tentative="0">
      <w:start w:val="1"/>
      <w:numFmt w:val="decimal"/>
      <w:suff w:val="nothing"/>
      <w:lvlText w:val="（%1）"/>
      <w:lvlJc w:val="left"/>
      <w:rPr>
        <w:color w:val="auto"/>
      </w:rPr>
    </w:lvl>
  </w:abstractNum>
  <w:abstractNum w:abstractNumId="3">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4">
    <w:nsid w:val="09AB24EA"/>
    <w:multiLevelType w:val="multilevel"/>
    <w:tmpl w:val="09AB24EA"/>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D2A3EC8"/>
    <w:multiLevelType w:val="multilevel"/>
    <w:tmpl w:val="0D2A3EC8"/>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F527ADD"/>
    <w:multiLevelType w:val="multilevel"/>
    <w:tmpl w:val="0F527ADD"/>
    <w:lvl w:ilvl="0" w:tentative="0">
      <w:start w:val="1"/>
      <w:numFmt w:val="japaneseCounting"/>
      <w:lvlText w:val="（%1）"/>
      <w:lvlJc w:val="left"/>
      <w:pPr>
        <w:ind w:left="1367" w:hanging="765"/>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7">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A2635F5"/>
    <w:multiLevelType w:val="multilevel"/>
    <w:tmpl w:val="2A2635F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C70B407"/>
    <w:multiLevelType w:val="singleLevel"/>
    <w:tmpl w:val="2C70B407"/>
    <w:lvl w:ilvl="0" w:tentative="0">
      <w:start w:val="6"/>
      <w:numFmt w:val="chineseCounting"/>
      <w:suff w:val="nothing"/>
      <w:lvlText w:val="%1、"/>
      <w:lvlJc w:val="left"/>
      <w:rPr>
        <w:rFonts w:hint="eastAsia"/>
        <w:i w:val="0"/>
        <w:iCs w:val="0"/>
        <w:color w:val="auto"/>
      </w:rPr>
    </w:lvl>
  </w:abstractNum>
  <w:abstractNum w:abstractNumId="10">
    <w:nsid w:val="3542603B"/>
    <w:multiLevelType w:val="singleLevel"/>
    <w:tmpl w:val="3542603B"/>
    <w:lvl w:ilvl="0" w:tentative="0">
      <w:start w:val="1"/>
      <w:numFmt w:val="decimal"/>
      <w:lvlText w:val="%1."/>
      <w:lvlJc w:val="left"/>
      <w:pPr>
        <w:tabs>
          <w:tab w:val="left" w:pos="312"/>
        </w:tabs>
      </w:pPr>
    </w:lvl>
  </w:abstractNum>
  <w:abstractNum w:abstractNumId="11">
    <w:nsid w:val="47443DFE"/>
    <w:multiLevelType w:val="multilevel"/>
    <w:tmpl w:val="47443DFE"/>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13">
    <w:nsid w:val="70F817EA"/>
    <w:multiLevelType w:val="singleLevel"/>
    <w:tmpl w:val="70F817EA"/>
    <w:lvl w:ilvl="0" w:tentative="0">
      <w:start w:val="1"/>
      <w:numFmt w:val="decimal"/>
      <w:suff w:val="nothing"/>
      <w:lvlText w:val="(%1)"/>
      <w:lvlJc w:val="left"/>
      <w:pPr>
        <w:ind w:left="0" w:firstLine="0"/>
      </w:pPr>
      <w:rPr>
        <w:rFonts w:hint="default"/>
        <w:b w:val="0"/>
        <w:bCs w:val="0"/>
        <w:sz w:val="24"/>
        <w:szCs w:val="24"/>
      </w:rPr>
    </w:lvl>
  </w:abstractNum>
  <w:abstractNum w:abstractNumId="14">
    <w:nsid w:val="7446C7A1"/>
    <w:multiLevelType w:val="singleLevel"/>
    <w:tmpl w:val="7446C7A1"/>
    <w:lvl w:ilvl="0" w:tentative="0">
      <w:start w:val="1"/>
      <w:numFmt w:val="decimal"/>
      <w:lvlText w:val="%1."/>
      <w:lvlJc w:val="left"/>
      <w:pPr>
        <w:tabs>
          <w:tab w:val="left" w:pos="312"/>
        </w:tabs>
      </w:pPr>
    </w:lvl>
  </w:abstractNum>
  <w:abstractNum w:abstractNumId="15">
    <w:nsid w:val="7C790F0F"/>
    <w:multiLevelType w:val="multilevel"/>
    <w:tmpl w:val="7C790F0F"/>
    <w:lvl w:ilvl="0" w:tentative="0">
      <w:start w:val="1"/>
      <w:numFmt w:val="decimal"/>
      <w:suff w:val="nothing"/>
      <w:lvlText w:val="%1"/>
      <w:lvlJc w:val="left"/>
      <w:pPr>
        <w:ind w:left="420" w:hanging="420"/>
      </w:pPr>
      <w:rPr>
        <w:rFonts w:hint="eastAsia"/>
      </w:rPr>
    </w:lvl>
    <w:lvl w:ilvl="1" w:tentative="0">
      <w:start w:val="1"/>
      <w:numFmt w:val="lowerLetter"/>
      <w:lvlText w:val="%1)"/>
      <w:lvlJc w:val="left"/>
      <w:pPr>
        <w:ind w:left="840" w:hanging="420"/>
      </w:pPr>
      <w:rPr>
        <w:rFonts w:hint="eastAsia"/>
      </w:rPr>
    </w:lvl>
    <w:lvl w:ilvl="2" w:tentative="0">
      <w:start w:val="1"/>
      <w:numFmt w:val="lowerRoman"/>
      <w:lvlText w:val="%1."/>
      <w:lvlJc w:val="right"/>
      <w:pPr>
        <w:ind w:left="1260" w:hanging="420"/>
      </w:pPr>
      <w:rPr>
        <w:rFonts w:hint="eastAsia"/>
      </w:rPr>
    </w:lvl>
    <w:lvl w:ilvl="3" w:tentative="0">
      <w:start w:val="1"/>
      <w:numFmt w:val="decimal"/>
      <w:lvlText w:val="%1."/>
      <w:lvlJc w:val="left"/>
      <w:pPr>
        <w:ind w:left="1680" w:hanging="420"/>
      </w:pPr>
      <w:rPr>
        <w:rFonts w:hint="eastAsia"/>
      </w:rPr>
    </w:lvl>
    <w:lvl w:ilvl="4" w:tentative="0">
      <w:start w:val="1"/>
      <w:numFmt w:val="lowerLetter"/>
      <w:lvlText w:val="%1)"/>
      <w:lvlJc w:val="left"/>
      <w:pPr>
        <w:ind w:left="2100" w:hanging="420"/>
      </w:pPr>
      <w:rPr>
        <w:rFonts w:hint="eastAsia"/>
      </w:rPr>
    </w:lvl>
    <w:lvl w:ilvl="5" w:tentative="0">
      <w:start w:val="1"/>
      <w:numFmt w:val="lowerRoman"/>
      <w:lvlText w:val="%1."/>
      <w:lvlJc w:val="right"/>
      <w:pPr>
        <w:ind w:left="2520" w:hanging="420"/>
      </w:pPr>
      <w:rPr>
        <w:rFonts w:hint="eastAsia"/>
      </w:rPr>
    </w:lvl>
    <w:lvl w:ilvl="6" w:tentative="0">
      <w:start w:val="1"/>
      <w:numFmt w:val="decimal"/>
      <w:lvlText w:val="%1."/>
      <w:lvlJc w:val="left"/>
      <w:pPr>
        <w:ind w:left="2940" w:hanging="420"/>
      </w:pPr>
      <w:rPr>
        <w:rFonts w:hint="eastAsia"/>
      </w:rPr>
    </w:lvl>
    <w:lvl w:ilvl="7" w:tentative="0">
      <w:start w:val="1"/>
      <w:numFmt w:val="lowerLetter"/>
      <w:lvlText w:val="%1)"/>
      <w:lvlJc w:val="left"/>
      <w:pPr>
        <w:ind w:left="3360" w:hanging="420"/>
      </w:pPr>
      <w:rPr>
        <w:rFonts w:hint="eastAsia"/>
      </w:rPr>
    </w:lvl>
    <w:lvl w:ilvl="8" w:tentative="0">
      <w:start w:val="1"/>
      <w:numFmt w:val="lowerRoman"/>
      <w:lvlText w:val="%1."/>
      <w:lvlJc w:val="right"/>
      <w:pPr>
        <w:ind w:left="3780" w:hanging="420"/>
      </w:pPr>
      <w:rPr>
        <w:rFonts w:hint="eastAsia"/>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
  </w:num>
  <w:num w:numId="5">
    <w:abstractNumId w:val="2"/>
  </w:num>
  <w:num w:numId="6">
    <w:abstractNumId w:val="8"/>
  </w:num>
  <w:num w:numId="7">
    <w:abstractNumId w:val="11"/>
  </w:num>
  <w:num w:numId="8">
    <w:abstractNumId w:val="3"/>
  </w:num>
  <w:num w:numId="9">
    <w:abstractNumId w:val="13"/>
  </w:num>
  <w:num w:numId="10">
    <w:abstractNumId w:val="0"/>
  </w:num>
  <w:num w:numId="11">
    <w:abstractNumId w:val="4"/>
  </w:num>
  <w:num w:numId="12">
    <w:abstractNumId w:val="10"/>
  </w:num>
  <w:num w:numId="13">
    <w:abstractNumId w:val="9"/>
  </w:num>
  <w:num w:numId="14">
    <w:abstractNumId w:val="5"/>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JhNjJiODI0ZmMxYjk3YmM0Y2Y3OGI1NDBkMWUyYTMifQ=="/>
  </w:docVars>
  <w:rsids>
    <w:rsidRoot w:val="00DB489A"/>
    <w:rsid w:val="00001229"/>
    <w:rsid w:val="00001ED6"/>
    <w:rsid w:val="00003C4B"/>
    <w:rsid w:val="000055E6"/>
    <w:rsid w:val="00011CD3"/>
    <w:rsid w:val="0001392C"/>
    <w:rsid w:val="0001395A"/>
    <w:rsid w:val="00017AE0"/>
    <w:rsid w:val="0002096A"/>
    <w:rsid w:val="000225B5"/>
    <w:rsid w:val="000229AF"/>
    <w:rsid w:val="00023C21"/>
    <w:rsid w:val="0002563F"/>
    <w:rsid w:val="00033770"/>
    <w:rsid w:val="00034416"/>
    <w:rsid w:val="00042138"/>
    <w:rsid w:val="00050C1F"/>
    <w:rsid w:val="00064152"/>
    <w:rsid w:val="00064B31"/>
    <w:rsid w:val="00066368"/>
    <w:rsid w:val="00066643"/>
    <w:rsid w:val="00080D84"/>
    <w:rsid w:val="00082FE7"/>
    <w:rsid w:val="00084584"/>
    <w:rsid w:val="00091254"/>
    <w:rsid w:val="0009383E"/>
    <w:rsid w:val="00095CBD"/>
    <w:rsid w:val="000974D1"/>
    <w:rsid w:val="000A5666"/>
    <w:rsid w:val="000B1B9E"/>
    <w:rsid w:val="000B1C3F"/>
    <w:rsid w:val="000B1F23"/>
    <w:rsid w:val="000B270B"/>
    <w:rsid w:val="000B32E4"/>
    <w:rsid w:val="000B62B6"/>
    <w:rsid w:val="000B73E5"/>
    <w:rsid w:val="000B76DE"/>
    <w:rsid w:val="000C0CDE"/>
    <w:rsid w:val="000C5243"/>
    <w:rsid w:val="000D09EC"/>
    <w:rsid w:val="000D643B"/>
    <w:rsid w:val="000D7635"/>
    <w:rsid w:val="000E2917"/>
    <w:rsid w:val="000E3039"/>
    <w:rsid w:val="000E653A"/>
    <w:rsid w:val="000E687B"/>
    <w:rsid w:val="000E7446"/>
    <w:rsid w:val="000F1E19"/>
    <w:rsid w:val="000F4151"/>
    <w:rsid w:val="001010A5"/>
    <w:rsid w:val="00107F27"/>
    <w:rsid w:val="001127D6"/>
    <w:rsid w:val="00113B59"/>
    <w:rsid w:val="0011535E"/>
    <w:rsid w:val="00120550"/>
    <w:rsid w:val="00125897"/>
    <w:rsid w:val="001258FC"/>
    <w:rsid w:val="0012657E"/>
    <w:rsid w:val="001265B4"/>
    <w:rsid w:val="0013012A"/>
    <w:rsid w:val="00131B3F"/>
    <w:rsid w:val="00131CA2"/>
    <w:rsid w:val="00132AA3"/>
    <w:rsid w:val="00136BBB"/>
    <w:rsid w:val="00142885"/>
    <w:rsid w:val="00146665"/>
    <w:rsid w:val="001534D9"/>
    <w:rsid w:val="00155547"/>
    <w:rsid w:val="00166563"/>
    <w:rsid w:val="00170B62"/>
    <w:rsid w:val="00170EE5"/>
    <w:rsid w:val="00180A9B"/>
    <w:rsid w:val="0018103C"/>
    <w:rsid w:val="00187E50"/>
    <w:rsid w:val="001906AA"/>
    <w:rsid w:val="001911C9"/>
    <w:rsid w:val="0019322B"/>
    <w:rsid w:val="00195D9A"/>
    <w:rsid w:val="00195DAA"/>
    <w:rsid w:val="00197BAB"/>
    <w:rsid w:val="001A2ECC"/>
    <w:rsid w:val="001A37E5"/>
    <w:rsid w:val="001A5A82"/>
    <w:rsid w:val="001A69F5"/>
    <w:rsid w:val="001B2959"/>
    <w:rsid w:val="001B6442"/>
    <w:rsid w:val="001B6B36"/>
    <w:rsid w:val="001C0456"/>
    <w:rsid w:val="001C2E6C"/>
    <w:rsid w:val="001C3A1C"/>
    <w:rsid w:val="001C4E54"/>
    <w:rsid w:val="001C780D"/>
    <w:rsid w:val="001D0556"/>
    <w:rsid w:val="001D3053"/>
    <w:rsid w:val="001E039F"/>
    <w:rsid w:val="001E4DAC"/>
    <w:rsid w:val="001E5963"/>
    <w:rsid w:val="001E5EE3"/>
    <w:rsid w:val="001E6264"/>
    <w:rsid w:val="001F15F2"/>
    <w:rsid w:val="001F3E64"/>
    <w:rsid w:val="001F4F94"/>
    <w:rsid w:val="001F6D81"/>
    <w:rsid w:val="001F6EA0"/>
    <w:rsid w:val="0020449A"/>
    <w:rsid w:val="002065CA"/>
    <w:rsid w:val="00207D69"/>
    <w:rsid w:val="00207F9D"/>
    <w:rsid w:val="002137CA"/>
    <w:rsid w:val="00220584"/>
    <w:rsid w:val="00221AEA"/>
    <w:rsid w:val="00223C11"/>
    <w:rsid w:val="00223E89"/>
    <w:rsid w:val="0022490E"/>
    <w:rsid w:val="00225F83"/>
    <w:rsid w:val="00226520"/>
    <w:rsid w:val="00226782"/>
    <w:rsid w:val="00230123"/>
    <w:rsid w:val="002375E2"/>
    <w:rsid w:val="00240AEC"/>
    <w:rsid w:val="00240B0B"/>
    <w:rsid w:val="00245D5C"/>
    <w:rsid w:val="002463EC"/>
    <w:rsid w:val="0024694C"/>
    <w:rsid w:val="00246DA8"/>
    <w:rsid w:val="00247361"/>
    <w:rsid w:val="00252330"/>
    <w:rsid w:val="002526EA"/>
    <w:rsid w:val="00252BC9"/>
    <w:rsid w:val="00253C04"/>
    <w:rsid w:val="002562C5"/>
    <w:rsid w:val="00260B05"/>
    <w:rsid w:val="00264235"/>
    <w:rsid w:val="002670EC"/>
    <w:rsid w:val="00274CC0"/>
    <w:rsid w:val="00274CEC"/>
    <w:rsid w:val="00275638"/>
    <w:rsid w:val="00277410"/>
    <w:rsid w:val="00277E45"/>
    <w:rsid w:val="002809FC"/>
    <w:rsid w:val="00280ABA"/>
    <w:rsid w:val="002876D3"/>
    <w:rsid w:val="00291159"/>
    <w:rsid w:val="0029715B"/>
    <w:rsid w:val="002973C1"/>
    <w:rsid w:val="002A057C"/>
    <w:rsid w:val="002A073B"/>
    <w:rsid w:val="002A196E"/>
    <w:rsid w:val="002A2B75"/>
    <w:rsid w:val="002A2F88"/>
    <w:rsid w:val="002B1120"/>
    <w:rsid w:val="002B354A"/>
    <w:rsid w:val="002B37F2"/>
    <w:rsid w:val="002B5D1D"/>
    <w:rsid w:val="002C3BFD"/>
    <w:rsid w:val="002C4165"/>
    <w:rsid w:val="002D2E9E"/>
    <w:rsid w:val="002D5B80"/>
    <w:rsid w:val="002E0860"/>
    <w:rsid w:val="002E3C75"/>
    <w:rsid w:val="002F29DC"/>
    <w:rsid w:val="002F39C9"/>
    <w:rsid w:val="002F5CB1"/>
    <w:rsid w:val="002F65CB"/>
    <w:rsid w:val="002F7A64"/>
    <w:rsid w:val="00301138"/>
    <w:rsid w:val="003036F5"/>
    <w:rsid w:val="003052AF"/>
    <w:rsid w:val="0030653E"/>
    <w:rsid w:val="00307C3E"/>
    <w:rsid w:val="00317035"/>
    <w:rsid w:val="003176F0"/>
    <w:rsid w:val="00321EAE"/>
    <w:rsid w:val="003220EB"/>
    <w:rsid w:val="00322936"/>
    <w:rsid w:val="00324997"/>
    <w:rsid w:val="00335BFE"/>
    <w:rsid w:val="003379CC"/>
    <w:rsid w:val="00337A4C"/>
    <w:rsid w:val="00341396"/>
    <w:rsid w:val="00343C08"/>
    <w:rsid w:val="00353626"/>
    <w:rsid w:val="003572C5"/>
    <w:rsid w:val="003603A0"/>
    <w:rsid w:val="00365878"/>
    <w:rsid w:val="00367CE1"/>
    <w:rsid w:val="00367EDF"/>
    <w:rsid w:val="003731B9"/>
    <w:rsid w:val="003736B1"/>
    <w:rsid w:val="003743B6"/>
    <w:rsid w:val="003754B9"/>
    <w:rsid w:val="00375F4E"/>
    <w:rsid w:val="00377CFD"/>
    <w:rsid w:val="003802C4"/>
    <w:rsid w:val="00382A60"/>
    <w:rsid w:val="003831FC"/>
    <w:rsid w:val="003852EA"/>
    <w:rsid w:val="00390EF5"/>
    <w:rsid w:val="00391B8D"/>
    <w:rsid w:val="0039277C"/>
    <w:rsid w:val="00394A8C"/>
    <w:rsid w:val="003A308B"/>
    <w:rsid w:val="003A6935"/>
    <w:rsid w:val="003A7865"/>
    <w:rsid w:val="003B0021"/>
    <w:rsid w:val="003B05DC"/>
    <w:rsid w:val="003B39BF"/>
    <w:rsid w:val="003B6CAA"/>
    <w:rsid w:val="003B7FE8"/>
    <w:rsid w:val="003C30F2"/>
    <w:rsid w:val="003C39B0"/>
    <w:rsid w:val="003C4A2F"/>
    <w:rsid w:val="003D2563"/>
    <w:rsid w:val="003D2ABA"/>
    <w:rsid w:val="003D570A"/>
    <w:rsid w:val="003D5AC5"/>
    <w:rsid w:val="003E1C86"/>
    <w:rsid w:val="003E23C8"/>
    <w:rsid w:val="003E3C38"/>
    <w:rsid w:val="003E3DCC"/>
    <w:rsid w:val="003E5A81"/>
    <w:rsid w:val="003E624E"/>
    <w:rsid w:val="003E6D9E"/>
    <w:rsid w:val="003E7BCF"/>
    <w:rsid w:val="003F2709"/>
    <w:rsid w:val="003F3E91"/>
    <w:rsid w:val="00400260"/>
    <w:rsid w:val="004024DE"/>
    <w:rsid w:val="00403F8E"/>
    <w:rsid w:val="00406666"/>
    <w:rsid w:val="004101C1"/>
    <w:rsid w:val="004111B8"/>
    <w:rsid w:val="00414E7F"/>
    <w:rsid w:val="004156CB"/>
    <w:rsid w:val="0041792F"/>
    <w:rsid w:val="0042023C"/>
    <w:rsid w:val="0042405C"/>
    <w:rsid w:val="00425B85"/>
    <w:rsid w:val="004266CE"/>
    <w:rsid w:val="0042787F"/>
    <w:rsid w:val="004303C0"/>
    <w:rsid w:val="0043057F"/>
    <w:rsid w:val="00430B74"/>
    <w:rsid w:val="00431C14"/>
    <w:rsid w:val="004331AF"/>
    <w:rsid w:val="0043419B"/>
    <w:rsid w:val="00434B86"/>
    <w:rsid w:val="00436976"/>
    <w:rsid w:val="00440A9B"/>
    <w:rsid w:val="004440D2"/>
    <w:rsid w:val="00452974"/>
    <w:rsid w:val="00453A4F"/>
    <w:rsid w:val="00453C93"/>
    <w:rsid w:val="00454E50"/>
    <w:rsid w:val="004578E9"/>
    <w:rsid w:val="0046232B"/>
    <w:rsid w:val="00470328"/>
    <w:rsid w:val="00471752"/>
    <w:rsid w:val="004735E5"/>
    <w:rsid w:val="00481370"/>
    <w:rsid w:val="0048476E"/>
    <w:rsid w:val="004870C0"/>
    <w:rsid w:val="0049036D"/>
    <w:rsid w:val="00494BA0"/>
    <w:rsid w:val="00495913"/>
    <w:rsid w:val="004A21B3"/>
    <w:rsid w:val="004A7B26"/>
    <w:rsid w:val="004B7AFD"/>
    <w:rsid w:val="004C123D"/>
    <w:rsid w:val="004C1E19"/>
    <w:rsid w:val="004C2385"/>
    <w:rsid w:val="004C2BA8"/>
    <w:rsid w:val="004C2C45"/>
    <w:rsid w:val="004C3791"/>
    <w:rsid w:val="004C591A"/>
    <w:rsid w:val="004D00BA"/>
    <w:rsid w:val="004D2097"/>
    <w:rsid w:val="004D6173"/>
    <w:rsid w:val="004D6ED9"/>
    <w:rsid w:val="004D7D07"/>
    <w:rsid w:val="004E04F0"/>
    <w:rsid w:val="004E1E59"/>
    <w:rsid w:val="004E65C6"/>
    <w:rsid w:val="004E67C1"/>
    <w:rsid w:val="004E7F31"/>
    <w:rsid w:val="004F600E"/>
    <w:rsid w:val="004F6A2B"/>
    <w:rsid w:val="0050332C"/>
    <w:rsid w:val="0050537F"/>
    <w:rsid w:val="00505541"/>
    <w:rsid w:val="00505719"/>
    <w:rsid w:val="00510246"/>
    <w:rsid w:val="00512CFB"/>
    <w:rsid w:val="005138AE"/>
    <w:rsid w:val="00514D9E"/>
    <w:rsid w:val="0051524C"/>
    <w:rsid w:val="005172E2"/>
    <w:rsid w:val="00522A00"/>
    <w:rsid w:val="0052518E"/>
    <w:rsid w:val="00527551"/>
    <w:rsid w:val="00532070"/>
    <w:rsid w:val="005331AE"/>
    <w:rsid w:val="00533735"/>
    <w:rsid w:val="00534795"/>
    <w:rsid w:val="00545784"/>
    <w:rsid w:val="005465FC"/>
    <w:rsid w:val="00547AA5"/>
    <w:rsid w:val="005502A1"/>
    <w:rsid w:val="00553EE9"/>
    <w:rsid w:val="005601AE"/>
    <w:rsid w:val="00560D6E"/>
    <w:rsid w:val="00566E34"/>
    <w:rsid w:val="0056735A"/>
    <w:rsid w:val="00572B1A"/>
    <w:rsid w:val="0057388C"/>
    <w:rsid w:val="00575955"/>
    <w:rsid w:val="00575E0F"/>
    <w:rsid w:val="00575EFF"/>
    <w:rsid w:val="00580404"/>
    <w:rsid w:val="005830BF"/>
    <w:rsid w:val="005862AC"/>
    <w:rsid w:val="0059023B"/>
    <w:rsid w:val="005905FF"/>
    <w:rsid w:val="005914F7"/>
    <w:rsid w:val="00591E0B"/>
    <w:rsid w:val="005951C3"/>
    <w:rsid w:val="005955B7"/>
    <w:rsid w:val="005A01C3"/>
    <w:rsid w:val="005A0975"/>
    <w:rsid w:val="005A0EB5"/>
    <w:rsid w:val="005A2E25"/>
    <w:rsid w:val="005B06C0"/>
    <w:rsid w:val="005B30FF"/>
    <w:rsid w:val="005B47BB"/>
    <w:rsid w:val="005B5811"/>
    <w:rsid w:val="005C1A91"/>
    <w:rsid w:val="005C24BD"/>
    <w:rsid w:val="005C5171"/>
    <w:rsid w:val="005D0472"/>
    <w:rsid w:val="005D75AE"/>
    <w:rsid w:val="005D7F38"/>
    <w:rsid w:val="005E7277"/>
    <w:rsid w:val="005F300F"/>
    <w:rsid w:val="005F435D"/>
    <w:rsid w:val="005F46F0"/>
    <w:rsid w:val="005F702A"/>
    <w:rsid w:val="006009DC"/>
    <w:rsid w:val="006017AB"/>
    <w:rsid w:val="00601AE5"/>
    <w:rsid w:val="00603F6F"/>
    <w:rsid w:val="006122D3"/>
    <w:rsid w:val="00612F27"/>
    <w:rsid w:val="006222EC"/>
    <w:rsid w:val="006237F5"/>
    <w:rsid w:val="00623DDA"/>
    <w:rsid w:val="006254E0"/>
    <w:rsid w:val="0062554F"/>
    <w:rsid w:val="00631CA6"/>
    <w:rsid w:val="0063599B"/>
    <w:rsid w:val="00637FDF"/>
    <w:rsid w:val="00641F45"/>
    <w:rsid w:val="00644F55"/>
    <w:rsid w:val="00645141"/>
    <w:rsid w:val="006518FC"/>
    <w:rsid w:val="00653F5E"/>
    <w:rsid w:val="006576EE"/>
    <w:rsid w:val="006650ED"/>
    <w:rsid w:val="00667921"/>
    <w:rsid w:val="0067065B"/>
    <w:rsid w:val="006735A5"/>
    <w:rsid w:val="0067610A"/>
    <w:rsid w:val="00677006"/>
    <w:rsid w:val="00677F4A"/>
    <w:rsid w:val="006803FC"/>
    <w:rsid w:val="00680DCD"/>
    <w:rsid w:val="006818E3"/>
    <w:rsid w:val="006845DD"/>
    <w:rsid w:val="0068464A"/>
    <w:rsid w:val="00690437"/>
    <w:rsid w:val="0069224F"/>
    <w:rsid w:val="0069335B"/>
    <w:rsid w:val="00697223"/>
    <w:rsid w:val="00697D85"/>
    <w:rsid w:val="006A03F1"/>
    <w:rsid w:val="006B27A2"/>
    <w:rsid w:val="006B428C"/>
    <w:rsid w:val="006B66F4"/>
    <w:rsid w:val="006C2D28"/>
    <w:rsid w:val="006C40CA"/>
    <w:rsid w:val="006D3C5C"/>
    <w:rsid w:val="006D5C58"/>
    <w:rsid w:val="006D68C7"/>
    <w:rsid w:val="006D70BC"/>
    <w:rsid w:val="006E0E59"/>
    <w:rsid w:val="006E56AF"/>
    <w:rsid w:val="006E5C2C"/>
    <w:rsid w:val="006E5D37"/>
    <w:rsid w:val="006F3AB7"/>
    <w:rsid w:val="006F496C"/>
    <w:rsid w:val="006F5F61"/>
    <w:rsid w:val="006F6566"/>
    <w:rsid w:val="00701FCD"/>
    <w:rsid w:val="00702E5D"/>
    <w:rsid w:val="007033B7"/>
    <w:rsid w:val="00703CFA"/>
    <w:rsid w:val="00710A8F"/>
    <w:rsid w:val="00710E60"/>
    <w:rsid w:val="007120DA"/>
    <w:rsid w:val="00713AC3"/>
    <w:rsid w:val="00716434"/>
    <w:rsid w:val="00717360"/>
    <w:rsid w:val="00724313"/>
    <w:rsid w:val="00724729"/>
    <w:rsid w:val="007321BF"/>
    <w:rsid w:val="0073453C"/>
    <w:rsid w:val="007371D5"/>
    <w:rsid w:val="00743586"/>
    <w:rsid w:val="00744D1B"/>
    <w:rsid w:val="007456AC"/>
    <w:rsid w:val="0074710D"/>
    <w:rsid w:val="00753367"/>
    <w:rsid w:val="00753883"/>
    <w:rsid w:val="00754389"/>
    <w:rsid w:val="00754CDD"/>
    <w:rsid w:val="00756601"/>
    <w:rsid w:val="007774E4"/>
    <w:rsid w:val="00781185"/>
    <w:rsid w:val="00782C66"/>
    <w:rsid w:val="00787CA3"/>
    <w:rsid w:val="0079343F"/>
    <w:rsid w:val="007974F0"/>
    <w:rsid w:val="00797983"/>
    <w:rsid w:val="007A16A8"/>
    <w:rsid w:val="007A2DE9"/>
    <w:rsid w:val="007A3344"/>
    <w:rsid w:val="007A5AE6"/>
    <w:rsid w:val="007A5CEC"/>
    <w:rsid w:val="007B1BA5"/>
    <w:rsid w:val="007C566B"/>
    <w:rsid w:val="007C7F49"/>
    <w:rsid w:val="007D5122"/>
    <w:rsid w:val="007D53EF"/>
    <w:rsid w:val="007D5D66"/>
    <w:rsid w:val="007E0D75"/>
    <w:rsid w:val="007E20B3"/>
    <w:rsid w:val="007E300E"/>
    <w:rsid w:val="007E3E51"/>
    <w:rsid w:val="007F1A18"/>
    <w:rsid w:val="007F468A"/>
    <w:rsid w:val="007F49BB"/>
    <w:rsid w:val="007F63FB"/>
    <w:rsid w:val="00801263"/>
    <w:rsid w:val="0080221F"/>
    <w:rsid w:val="008031E1"/>
    <w:rsid w:val="0080355A"/>
    <w:rsid w:val="0081505B"/>
    <w:rsid w:val="00815DBF"/>
    <w:rsid w:val="008174C0"/>
    <w:rsid w:val="00822948"/>
    <w:rsid w:val="00824157"/>
    <w:rsid w:val="00830914"/>
    <w:rsid w:val="0083114F"/>
    <w:rsid w:val="008411B5"/>
    <w:rsid w:val="00841A4F"/>
    <w:rsid w:val="00842823"/>
    <w:rsid w:val="0084459B"/>
    <w:rsid w:val="00845A82"/>
    <w:rsid w:val="00846218"/>
    <w:rsid w:val="008476CD"/>
    <w:rsid w:val="00847E76"/>
    <w:rsid w:val="00847F0F"/>
    <w:rsid w:val="008504C4"/>
    <w:rsid w:val="00850A15"/>
    <w:rsid w:val="00851001"/>
    <w:rsid w:val="00852B0D"/>
    <w:rsid w:val="00861CBE"/>
    <w:rsid w:val="00862935"/>
    <w:rsid w:val="00862A80"/>
    <w:rsid w:val="008630F5"/>
    <w:rsid w:val="00863C49"/>
    <w:rsid w:val="00863FC3"/>
    <w:rsid w:val="00865816"/>
    <w:rsid w:val="00867B59"/>
    <w:rsid w:val="00870C71"/>
    <w:rsid w:val="00872650"/>
    <w:rsid w:val="00884E23"/>
    <w:rsid w:val="008861F6"/>
    <w:rsid w:val="00886F76"/>
    <w:rsid w:val="00890D84"/>
    <w:rsid w:val="008A16DE"/>
    <w:rsid w:val="008A1C78"/>
    <w:rsid w:val="008A238E"/>
    <w:rsid w:val="008A704A"/>
    <w:rsid w:val="008B1196"/>
    <w:rsid w:val="008B491E"/>
    <w:rsid w:val="008B6627"/>
    <w:rsid w:val="008B7F33"/>
    <w:rsid w:val="008C04E2"/>
    <w:rsid w:val="008C442D"/>
    <w:rsid w:val="008C4B71"/>
    <w:rsid w:val="008C4D97"/>
    <w:rsid w:val="008D3B84"/>
    <w:rsid w:val="008E0D47"/>
    <w:rsid w:val="008E1C22"/>
    <w:rsid w:val="008E505F"/>
    <w:rsid w:val="008F0285"/>
    <w:rsid w:val="008F2268"/>
    <w:rsid w:val="008F28A4"/>
    <w:rsid w:val="009024FF"/>
    <w:rsid w:val="00902D11"/>
    <w:rsid w:val="00904537"/>
    <w:rsid w:val="00911E96"/>
    <w:rsid w:val="00914B42"/>
    <w:rsid w:val="00924BCD"/>
    <w:rsid w:val="00925830"/>
    <w:rsid w:val="00934F75"/>
    <w:rsid w:val="00935031"/>
    <w:rsid w:val="00941CA3"/>
    <w:rsid w:val="00943C04"/>
    <w:rsid w:val="0095151C"/>
    <w:rsid w:val="009552AC"/>
    <w:rsid w:val="009603A1"/>
    <w:rsid w:val="00960625"/>
    <w:rsid w:val="00961D48"/>
    <w:rsid w:val="00963CAF"/>
    <w:rsid w:val="0096578E"/>
    <w:rsid w:val="00965B34"/>
    <w:rsid w:val="009662CB"/>
    <w:rsid w:val="009703A9"/>
    <w:rsid w:val="00970671"/>
    <w:rsid w:val="00971AC6"/>
    <w:rsid w:val="00974111"/>
    <w:rsid w:val="009757FA"/>
    <w:rsid w:val="00980CC5"/>
    <w:rsid w:val="00984B47"/>
    <w:rsid w:val="00986B87"/>
    <w:rsid w:val="00990C66"/>
    <w:rsid w:val="0099451C"/>
    <w:rsid w:val="009A0CD5"/>
    <w:rsid w:val="009A1FFC"/>
    <w:rsid w:val="009A22FF"/>
    <w:rsid w:val="009A34FF"/>
    <w:rsid w:val="009A671F"/>
    <w:rsid w:val="009A73B1"/>
    <w:rsid w:val="009A7507"/>
    <w:rsid w:val="009B03BA"/>
    <w:rsid w:val="009C533A"/>
    <w:rsid w:val="009D1308"/>
    <w:rsid w:val="009D16D7"/>
    <w:rsid w:val="009D5EFC"/>
    <w:rsid w:val="009D77CC"/>
    <w:rsid w:val="009E156E"/>
    <w:rsid w:val="009E2E8F"/>
    <w:rsid w:val="009E3049"/>
    <w:rsid w:val="009F0CE6"/>
    <w:rsid w:val="00A02E6E"/>
    <w:rsid w:val="00A074F0"/>
    <w:rsid w:val="00A11274"/>
    <w:rsid w:val="00A1454B"/>
    <w:rsid w:val="00A149C9"/>
    <w:rsid w:val="00A1677B"/>
    <w:rsid w:val="00A2096D"/>
    <w:rsid w:val="00A2252D"/>
    <w:rsid w:val="00A22556"/>
    <w:rsid w:val="00A22BEC"/>
    <w:rsid w:val="00A2552F"/>
    <w:rsid w:val="00A309CF"/>
    <w:rsid w:val="00A3209A"/>
    <w:rsid w:val="00A34B89"/>
    <w:rsid w:val="00A41AE8"/>
    <w:rsid w:val="00A46A70"/>
    <w:rsid w:val="00A47A5E"/>
    <w:rsid w:val="00A53610"/>
    <w:rsid w:val="00A5542F"/>
    <w:rsid w:val="00A635C2"/>
    <w:rsid w:val="00A6760D"/>
    <w:rsid w:val="00A7171E"/>
    <w:rsid w:val="00A72C3B"/>
    <w:rsid w:val="00A756FC"/>
    <w:rsid w:val="00A76696"/>
    <w:rsid w:val="00A77C31"/>
    <w:rsid w:val="00A803D6"/>
    <w:rsid w:val="00A841DE"/>
    <w:rsid w:val="00A8451E"/>
    <w:rsid w:val="00A93436"/>
    <w:rsid w:val="00A9489F"/>
    <w:rsid w:val="00A973A3"/>
    <w:rsid w:val="00A97E81"/>
    <w:rsid w:val="00AA1D4C"/>
    <w:rsid w:val="00AA4D0D"/>
    <w:rsid w:val="00AA55DE"/>
    <w:rsid w:val="00AA66E2"/>
    <w:rsid w:val="00AB380F"/>
    <w:rsid w:val="00AB4D51"/>
    <w:rsid w:val="00AB57BC"/>
    <w:rsid w:val="00AB60B3"/>
    <w:rsid w:val="00AC5CDE"/>
    <w:rsid w:val="00AD0E81"/>
    <w:rsid w:val="00AD27C6"/>
    <w:rsid w:val="00AD6684"/>
    <w:rsid w:val="00AE150A"/>
    <w:rsid w:val="00AE56DA"/>
    <w:rsid w:val="00AE6170"/>
    <w:rsid w:val="00AE76E0"/>
    <w:rsid w:val="00AE7F9E"/>
    <w:rsid w:val="00AF3A47"/>
    <w:rsid w:val="00AF42D0"/>
    <w:rsid w:val="00AF47F6"/>
    <w:rsid w:val="00AF4BF7"/>
    <w:rsid w:val="00B05822"/>
    <w:rsid w:val="00B0671E"/>
    <w:rsid w:val="00B10ACD"/>
    <w:rsid w:val="00B1744F"/>
    <w:rsid w:val="00B17A04"/>
    <w:rsid w:val="00B20B2F"/>
    <w:rsid w:val="00B21A42"/>
    <w:rsid w:val="00B263E9"/>
    <w:rsid w:val="00B37B7E"/>
    <w:rsid w:val="00B40DC3"/>
    <w:rsid w:val="00B44C0C"/>
    <w:rsid w:val="00B45C0B"/>
    <w:rsid w:val="00B47703"/>
    <w:rsid w:val="00B47D93"/>
    <w:rsid w:val="00B501E6"/>
    <w:rsid w:val="00B52321"/>
    <w:rsid w:val="00B537B3"/>
    <w:rsid w:val="00B57EF6"/>
    <w:rsid w:val="00B60806"/>
    <w:rsid w:val="00B67B6D"/>
    <w:rsid w:val="00B714EC"/>
    <w:rsid w:val="00B75784"/>
    <w:rsid w:val="00B757A8"/>
    <w:rsid w:val="00B80ACC"/>
    <w:rsid w:val="00B8163F"/>
    <w:rsid w:val="00B85B49"/>
    <w:rsid w:val="00B878DF"/>
    <w:rsid w:val="00B93DBF"/>
    <w:rsid w:val="00B9633A"/>
    <w:rsid w:val="00B965ED"/>
    <w:rsid w:val="00BA3074"/>
    <w:rsid w:val="00BA6C57"/>
    <w:rsid w:val="00BB11C7"/>
    <w:rsid w:val="00BB15BE"/>
    <w:rsid w:val="00BB17DF"/>
    <w:rsid w:val="00BB7DA5"/>
    <w:rsid w:val="00BC32BF"/>
    <w:rsid w:val="00BC6F2F"/>
    <w:rsid w:val="00BC7BEB"/>
    <w:rsid w:val="00BD0A2F"/>
    <w:rsid w:val="00BD13D0"/>
    <w:rsid w:val="00BD350D"/>
    <w:rsid w:val="00BD430C"/>
    <w:rsid w:val="00BE3D24"/>
    <w:rsid w:val="00BF228E"/>
    <w:rsid w:val="00BF37E1"/>
    <w:rsid w:val="00BF467F"/>
    <w:rsid w:val="00BF630A"/>
    <w:rsid w:val="00BF6CE8"/>
    <w:rsid w:val="00C01EAD"/>
    <w:rsid w:val="00C02862"/>
    <w:rsid w:val="00C05CE5"/>
    <w:rsid w:val="00C05FE3"/>
    <w:rsid w:val="00C06CC9"/>
    <w:rsid w:val="00C12D3F"/>
    <w:rsid w:val="00C1304B"/>
    <w:rsid w:val="00C1659B"/>
    <w:rsid w:val="00C16889"/>
    <w:rsid w:val="00C16913"/>
    <w:rsid w:val="00C174E6"/>
    <w:rsid w:val="00C22E60"/>
    <w:rsid w:val="00C304DD"/>
    <w:rsid w:val="00C3588B"/>
    <w:rsid w:val="00C35C29"/>
    <w:rsid w:val="00C363E2"/>
    <w:rsid w:val="00C40571"/>
    <w:rsid w:val="00C40E90"/>
    <w:rsid w:val="00C416BF"/>
    <w:rsid w:val="00C450B7"/>
    <w:rsid w:val="00C51E41"/>
    <w:rsid w:val="00C53443"/>
    <w:rsid w:val="00C54D73"/>
    <w:rsid w:val="00C576CE"/>
    <w:rsid w:val="00C6100F"/>
    <w:rsid w:val="00C62E2C"/>
    <w:rsid w:val="00C630CF"/>
    <w:rsid w:val="00C707B5"/>
    <w:rsid w:val="00C73E04"/>
    <w:rsid w:val="00C74FDC"/>
    <w:rsid w:val="00C758C0"/>
    <w:rsid w:val="00C86297"/>
    <w:rsid w:val="00C86E15"/>
    <w:rsid w:val="00C91DEC"/>
    <w:rsid w:val="00C92164"/>
    <w:rsid w:val="00C93925"/>
    <w:rsid w:val="00C964EC"/>
    <w:rsid w:val="00CA14BE"/>
    <w:rsid w:val="00CA68AC"/>
    <w:rsid w:val="00CB23EA"/>
    <w:rsid w:val="00CB64B5"/>
    <w:rsid w:val="00CB6A62"/>
    <w:rsid w:val="00CC7E5D"/>
    <w:rsid w:val="00CD3A77"/>
    <w:rsid w:val="00CD5D69"/>
    <w:rsid w:val="00CE00DF"/>
    <w:rsid w:val="00CE0DFF"/>
    <w:rsid w:val="00CE647D"/>
    <w:rsid w:val="00CF5644"/>
    <w:rsid w:val="00CF6DA3"/>
    <w:rsid w:val="00D004DD"/>
    <w:rsid w:val="00D02047"/>
    <w:rsid w:val="00D065E9"/>
    <w:rsid w:val="00D106C3"/>
    <w:rsid w:val="00D134C5"/>
    <w:rsid w:val="00D15957"/>
    <w:rsid w:val="00D20CD0"/>
    <w:rsid w:val="00D21390"/>
    <w:rsid w:val="00D22C26"/>
    <w:rsid w:val="00D23F32"/>
    <w:rsid w:val="00D26368"/>
    <w:rsid w:val="00D30370"/>
    <w:rsid w:val="00D32D96"/>
    <w:rsid w:val="00D33E3D"/>
    <w:rsid w:val="00D4065C"/>
    <w:rsid w:val="00D422B6"/>
    <w:rsid w:val="00D43760"/>
    <w:rsid w:val="00D43D18"/>
    <w:rsid w:val="00D51FA3"/>
    <w:rsid w:val="00D53788"/>
    <w:rsid w:val="00D569A0"/>
    <w:rsid w:val="00D56A12"/>
    <w:rsid w:val="00D603CA"/>
    <w:rsid w:val="00D61913"/>
    <w:rsid w:val="00D669A7"/>
    <w:rsid w:val="00D7013F"/>
    <w:rsid w:val="00D712FD"/>
    <w:rsid w:val="00D746FF"/>
    <w:rsid w:val="00D74B82"/>
    <w:rsid w:val="00D759D9"/>
    <w:rsid w:val="00D8016F"/>
    <w:rsid w:val="00D84F1B"/>
    <w:rsid w:val="00D85CC8"/>
    <w:rsid w:val="00D9623F"/>
    <w:rsid w:val="00D96479"/>
    <w:rsid w:val="00DA0F97"/>
    <w:rsid w:val="00DA6080"/>
    <w:rsid w:val="00DA6FC6"/>
    <w:rsid w:val="00DA715B"/>
    <w:rsid w:val="00DA7448"/>
    <w:rsid w:val="00DA7745"/>
    <w:rsid w:val="00DB0ED7"/>
    <w:rsid w:val="00DB1C8F"/>
    <w:rsid w:val="00DB251D"/>
    <w:rsid w:val="00DB489A"/>
    <w:rsid w:val="00DB584C"/>
    <w:rsid w:val="00DB7510"/>
    <w:rsid w:val="00DB7D34"/>
    <w:rsid w:val="00DC3690"/>
    <w:rsid w:val="00DC6AF4"/>
    <w:rsid w:val="00DC7EF6"/>
    <w:rsid w:val="00DD01AD"/>
    <w:rsid w:val="00DD0813"/>
    <w:rsid w:val="00DD0B78"/>
    <w:rsid w:val="00DD0D16"/>
    <w:rsid w:val="00DD101D"/>
    <w:rsid w:val="00DD7DEA"/>
    <w:rsid w:val="00DE195E"/>
    <w:rsid w:val="00DE2B27"/>
    <w:rsid w:val="00DE408A"/>
    <w:rsid w:val="00DF3D36"/>
    <w:rsid w:val="00E01B53"/>
    <w:rsid w:val="00E16456"/>
    <w:rsid w:val="00E21178"/>
    <w:rsid w:val="00E22992"/>
    <w:rsid w:val="00E243B7"/>
    <w:rsid w:val="00E256B0"/>
    <w:rsid w:val="00E271B7"/>
    <w:rsid w:val="00E30679"/>
    <w:rsid w:val="00E3487D"/>
    <w:rsid w:val="00E357F4"/>
    <w:rsid w:val="00E35AA9"/>
    <w:rsid w:val="00E46828"/>
    <w:rsid w:val="00E519A2"/>
    <w:rsid w:val="00E543A8"/>
    <w:rsid w:val="00E56306"/>
    <w:rsid w:val="00E56F7F"/>
    <w:rsid w:val="00E57B0F"/>
    <w:rsid w:val="00E57E8A"/>
    <w:rsid w:val="00E60EBD"/>
    <w:rsid w:val="00E645F8"/>
    <w:rsid w:val="00E65FB8"/>
    <w:rsid w:val="00E66FA8"/>
    <w:rsid w:val="00E73B54"/>
    <w:rsid w:val="00E77471"/>
    <w:rsid w:val="00E83B48"/>
    <w:rsid w:val="00E8754D"/>
    <w:rsid w:val="00E924E2"/>
    <w:rsid w:val="00E950C2"/>
    <w:rsid w:val="00E956C3"/>
    <w:rsid w:val="00EA3F46"/>
    <w:rsid w:val="00EA73ED"/>
    <w:rsid w:val="00EA7438"/>
    <w:rsid w:val="00EB17EE"/>
    <w:rsid w:val="00EB4235"/>
    <w:rsid w:val="00EC25DB"/>
    <w:rsid w:val="00EC4F40"/>
    <w:rsid w:val="00ED09F5"/>
    <w:rsid w:val="00EE12CB"/>
    <w:rsid w:val="00EE2554"/>
    <w:rsid w:val="00EE41A0"/>
    <w:rsid w:val="00EE7DC1"/>
    <w:rsid w:val="00EF1124"/>
    <w:rsid w:val="00F025EA"/>
    <w:rsid w:val="00F0285C"/>
    <w:rsid w:val="00F063AA"/>
    <w:rsid w:val="00F12F9F"/>
    <w:rsid w:val="00F14E44"/>
    <w:rsid w:val="00F15B83"/>
    <w:rsid w:val="00F21BDA"/>
    <w:rsid w:val="00F27BDB"/>
    <w:rsid w:val="00F3012C"/>
    <w:rsid w:val="00F309C1"/>
    <w:rsid w:val="00F33AB7"/>
    <w:rsid w:val="00F36A08"/>
    <w:rsid w:val="00F410C8"/>
    <w:rsid w:val="00F423F4"/>
    <w:rsid w:val="00F426B8"/>
    <w:rsid w:val="00F443C2"/>
    <w:rsid w:val="00F470CB"/>
    <w:rsid w:val="00F50139"/>
    <w:rsid w:val="00F5032E"/>
    <w:rsid w:val="00F52814"/>
    <w:rsid w:val="00F602C2"/>
    <w:rsid w:val="00F6078C"/>
    <w:rsid w:val="00F64639"/>
    <w:rsid w:val="00F6649B"/>
    <w:rsid w:val="00F669DA"/>
    <w:rsid w:val="00F753BA"/>
    <w:rsid w:val="00F77EAF"/>
    <w:rsid w:val="00F85D72"/>
    <w:rsid w:val="00F86370"/>
    <w:rsid w:val="00F87BF6"/>
    <w:rsid w:val="00F87DBE"/>
    <w:rsid w:val="00F92F99"/>
    <w:rsid w:val="00F9719A"/>
    <w:rsid w:val="00FA10B9"/>
    <w:rsid w:val="00FA121F"/>
    <w:rsid w:val="00FA35DE"/>
    <w:rsid w:val="00FA3803"/>
    <w:rsid w:val="00FB527D"/>
    <w:rsid w:val="00FB677E"/>
    <w:rsid w:val="00FB6837"/>
    <w:rsid w:val="00FB6CB3"/>
    <w:rsid w:val="00FB6D96"/>
    <w:rsid w:val="00FC0D57"/>
    <w:rsid w:val="00FC15B0"/>
    <w:rsid w:val="00FC3D25"/>
    <w:rsid w:val="00FC4FBC"/>
    <w:rsid w:val="00FC61F9"/>
    <w:rsid w:val="00FE03BA"/>
    <w:rsid w:val="00FE7529"/>
    <w:rsid w:val="00FF0DB9"/>
    <w:rsid w:val="00FF3C43"/>
    <w:rsid w:val="00FF3CAD"/>
    <w:rsid w:val="00FF40C6"/>
    <w:rsid w:val="00FF4EB6"/>
    <w:rsid w:val="00FF7AB1"/>
    <w:rsid w:val="011E777A"/>
    <w:rsid w:val="01475930"/>
    <w:rsid w:val="015C4473"/>
    <w:rsid w:val="01BD35AB"/>
    <w:rsid w:val="01D71174"/>
    <w:rsid w:val="022766A9"/>
    <w:rsid w:val="024C263E"/>
    <w:rsid w:val="02531E27"/>
    <w:rsid w:val="02985DB7"/>
    <w:rsid w:val="02C602A8"/>
    <w:rsid w:val="02CF69B1"/>
    <w:rsid w:val="037E603E"/>
    <w:rsid w:val="03CB7D0A"/>
    <w:rsid w:val="04164081"/>
    <w:rsid w:val="049338D7"/>
    <w:rsid w:val="05145BD8"/>
    <w:rsid w:val="055D0D8E"/>
    <w:rsid w:val="05E84CA4"/>
    <w:rsid w:val="05F2028D"/>
    <w:rsid w:val="05FF1DAE"/>
    <w:rsid w:val="063E20E3"/>
    <w:rsid w:val="063F62DA"/>
    <w:rsid w:val="066E2587"/>
    <w:rsid w:val="069A266D"/>
    <w:rsid w:val="06AA6409"/>
    <w:rsid w:val="07014810"/>
    <w:rsid w:val="0733461A"/>
    <w:rsid w:val="07C1191B"/>
    <w:rsid w:val="07DA7F0D"/>
    <w:rsid w:val="08033923"/>
    <w:rsid w:val="08123F24"/>
    <w:rsid w:val="081F1F8D"/>
    <w:rsid w:val="084A19AA"/>
    <w:rsid w:val="088B6AD7"/>
    <w:rsid w:val="08E22CC1"/>
    <w:rsid w:val="09895EE3"/>
    <w:rsid w:val="09977F89"/>
    <w:rsid w:val="09A15D2F"/>
    <w:rsid w:val="09F2037E"/>
    <w:rsid w:val="0A155BB4"/>
    <w:rsid w:val="0A1D791A"/>
    <w:rsid w:val="0A53088D"/>
    <w:rsid w:val="0B062F42"/>
    <w:rsid w:val="0B0653F7"/>
    <w:rsid w:val="0B446A99"/>
    <w:rsid w:val="0C2F6CB1"/>
    <w:rsid w:val="0C49267E"/>
    <w:rsid w:val="0CD14217"/>
    <w:rsid w:val="0D776204"/>
    <w:rsid w:val="0D8862D3"/>
    <w:rsid w:val="0D933AC8"/>
    <w:rsid w:val="0D945EE0"/>
    <w:rsid w:val="0D9A51F4"/>
    <w:rsid w:val="0DA5787D"/>
    <w:rsid w:val="0DC64B7C"/>
    <w:rsid w:val="0DEF595D"/>
    <w:rsid w:val="0DF2282E"/>
    <w:rsid w:val="0DF26BF3"/>
    <w:rsid w:val="0E801780"/>
    <w:rsid w:val="0EF71212"/>
    <w:rsid w:val="0F125B2D"/>
    <w:rsid w:val="0FB35025"/>
    <w:rsid w:val="0FBD0D96"/>
    <w:rsid w:val="0FC562C3"/>
    <w:rsid w:val="0FDC5544"/>
    <w:rsid w:val="0FE31AF2"/>
    <w:rsid w:val="101914A3"/>
    <w:rsid w:val="10825588"/>
    <w:rsid w:val="11453A98"/>
    <w:rsid w:val="116D107E"/>
    <w:rsid w:val="11755C50"/>
    <w:rsid w:val="11BE156C"/>
    <w:rsid w:val="11D212FE"/>
    <w:rsid w:val="11E708F3"/>
    <w:rsid w:val="11F70905"/>
    <w:rsid w:val="120F5E78"/>
    <w:rsid w:val="12491018"/>
    <w:rsid w:val="12932288"/>
    <w:rsid w:val="13376C81"/>
    <w:rsid w:val="133B638F"/>
    <w:rsid w:val="139E09AB"/>
    <w:rsid w:val="13C26D3E"/>
    <w:rsid w:val="13E650F4"/>
    <w:rsid w:val="140F702E"/>
    <w:rsid w:val="14111450"/>
    <w:rsid w:val="14D709D0"/>
    <w:rsid w:val="14F567DB"/>
    <w:rsid w:val="14F65188"/>
    <w:rsid w:val="15396E97"/>
    <w:rsid w:val="156E5995"/>
    <w:rsid w:val="158A3C94"/>
    <w:rsid w:val="159D1877"/>
    <w:rsid w:val="15DC6409"/>
    <w:rsid w:val="15E909BB"/>
    <w:rsid w:val="16261FBD"/>
    <w:rsid w:val="1653677B"/>
    <w:rsid w:val="1665569C"/>
    <w:rsid w:val="1665736E"/>
    <w:rsid w:val="16AE541A"/>
    <w:rsid w:val="16E51F2C"/>
    <w:rsid w:val="16F45869"/>
    <w:rsid w:val="16FC2F2E"/>
    <w:rsid w:val="17D240F5"/>
    <w:rsid w:val="17FA4680"/>
    <w:rsid w:val="1811546F"/>
    <w:rsid w:val="18185587"/>
    <w:rsid w:val="1821365D"/>
    <w:rsid w:val="18720979"/>
    <w:rsid w:val="19053D5D"/>
    <w:rsid w:val="19647819"/>
    <w:rsid w:val="199B523D"/>
    <w:rsid w:val="19A51287"/>
    <w:rsid w:val="19F718E2"/>
    <w:rsid w:val="1A214DBA"/>
    <w:rsid w:val="1A2D652E"/>
    <w:rsid w:val="1AC344D0"/>
    <w:rsid w:val="1AE14356"/>
    <w:rsid w:val="1AF529B5"/>
    <w:rsid w:val="1AF9676E"/>
    <w:rsid w:val="1B5508A0"/>
    <w:rsid w:val="1B656E0C"/>
    <w:rsid w:val="1B875F82"/>
    <w:rsid w:val="1B8E6E35"/>
    <w:rsid w:val="1C275E4B"/>
    <w:rsid w:val="1C3A300E"/>
    <w:rsid w:val="1C834AA6"/>
    <w:rsid w:val="1D2319B4"/>
    <w:rsid w:val="1D5C7AF8"/>
    <w:rsid w:val="1E023031"/>
    <w:rsid w:val="1E026A95"/>
    <w:rsid w:val="1E0E7548"/>
    <w:rsid w:val="1E2456E5"/>
    <w:rsid w:val="1EA551C0"/>
    <w:rsid w:val="1EBD551E"/>
    <w:rsid w:val="1ED927EF"/>
    <w:rsid w:val="1EDC27EF"/>
    <w:rsid w:val="1EFB3381"/>
    <w:rsid w:val="1F566913"/>
    <w:rsid w:val="1F8A4CDF"/>
    <w:rsid w:val="1F9B63EB"/>
    <w:rsid w:val="1FC21B8C"/>
    <w:rsid w:val="200F4676"/>
    <w:rsid w:val="20161AB2"/>
    <w:rsid w:val="204D7566"/>
    <w:rsid w:val="204E1006"/>
    <w:rsid w:val="20526073"/>
    <w:rsid w:val="20744DEB"/>
    <w:rsid w:val="207913EC"/>
    <w:rsid w:val="208675A5"/>
    <w:rsid w:val="20EE157B"/>
    <w:rsid w:val="20F7407F"/>
    <w:rsid w:val="211549B5"/>
    <w:rsid w:val="212B7C94"/>
    <w:rsid w:val="21703D3E"/>
    <w:rsid w:val="218B501C"/>
    <w:rsid w:val="220729A3"/>
    <w:rsid w:val="22114E02"/>
    <w:rsid w:val="223907F9"/>
    <w:rsid w:val="22415264"/>
    <w:rsid w:val="226B1089"/>
    <w:rsid w:val="22944D55"/>
    <w:rsid w:val="22D22ED3"/>
    <w:rsid w:val="2332525A"/>
    <w:rsid w:val="237D3DBF"/>
    <w:rsid w:val="2399753C"/>
    <w:rsid w:val="23E32EED"/>
    <w:rsid w:val="23F76D95"/>
    <w:rsid w:val="249C4ADD"/>
    <w:rsid w:val="24D05BE5"/>
    <w:rsid w:val="25202506"/>
    <w:rsid w:val="258B5E98"/>
    <w:rsid w:val="259F64C7"/>
    <w:rsid w:val="25D37172"/>
    <w:rsid w:val="2685793C"/>
    <w:rsid w:val="27052670"/>
    <w:rsid w:val="27F75392"/>
    <w:rsid w:val="28013942"/>
    <w:rsid w:val="282F0619"/>
    <w:rsid w:val="28465DDB"/>
    <w:rsid w:val="287A1CEF"/>
    <w:rsid w:val="28BE2459"/>
    <w:rsid w:val="294A78BC"/>
    <w:rsid w:val="2952459C"/>
    <w:rsid w:val="29625E6D"/>
    <w:rsid w:val="29FC28EB"/>
    <w:rsid w:val="2A596B13"/>
    <w:rsid w:val="2A5E660E"/>
    <w:rsid w:val="2A685AC2"/>
    <w:rsid w:val="2AA077A9"/>
    <w:rsid w:val="2B134AD1"/>
    <w:rsid w:val="2BC108A9"/>
    <w:rsid w:val="2BD66E93"/>
    <w:rsid w:val="2BDA1BE3"/>
    <w:rsid w:val="2C273B93"/>
    <w:rsid w:val="2C5D1C85"/>
    <w:rsid w:val="2CCC0E2D"/>
    <w:rsid w:val="2CD772AE"/>
    <w:rsid w:val="2D222CFE"/>
    <w:rsid w:val="2D896E36"/>
    <w:rsid w:val="2DED178F"/>
    <w:rsid w:val="2E6102EA"/>
    <w:rsid w:val="2E762311"/>
    <w:rsid w:val="2EC3210B"/>
    <w:rsid w:val="2F366BAF"/>
    <w:rsid w:val="2FD2443E"/>
    <w:rsid w:val="300849DC"/>
    <w:rsid w:val="302A0B85"/>
    <w:rsid w:val="306F53A0"/>
    <w:rsid w:val="30797274"/>
    <w:rsid w:val="30E6765D"/>
    <w:rsid w:val="311178ED"/>
    <w:rsid w:val="311A616D"/>
    <w:rsid w:val="315E32C6"/>
    <w:rsid w:val="31C60B71"/>
    <w:rsid w:val="31E340B8"/>
    <w:rsid w:val="31E67F59"/>
    <w:rsid w:val="31FA5931"/>
    <w:rsid w:val="32195D2C"/>
    <w:rsid w:val="32956148"/>
    <w:rsid w:val="32BA306B"/>
    <w:rsid w:val="32BB2294"/>
    <w:rsid w:val="331A0480"/>
    <w:rsid w:val="33364352"/>
    <w:rsid w:val="336A3FB7"/>
    <w:rsid w:val="33B37295"/>
    <w:rsid w:val="33C8709C"/>
    <w:rsid w:val="340B3DCC"/>
    <w:rsid w:val="34182AA6"/>
    <w:rsid w:val="34755000"/>
    <w:rsid w:val="35016274"/>
    <w:rsid w:val="35835CB0"/>
    <w:rsid w:val="35B17FEC"/>
    <w:rsid w:val="35E473E2"/>
    <w:rsid w:val="36D839FB"/>
    <w:rsid w:val="36D8497A"/>
    <w:rsid w:val="36FA4EEB"/>
    <w:rsid w:val="3744085D"/>
    <w:rsid w:val="37736D1E"/>
    <w:rsid w:val="37E53998"/>
    <w:rsid w:val="3813006B"/>
    <w:rsid w:val="38285B52"/>
    <w:rsid w:val="38A05EC7"/>
    <w:rsid w:val="38AF73EA"/>
    <w:rsid w:val="38CC1D03"/>
    <w:rsid w:val="38D174C9"/>
    <w:rsid w:val="38DF50B3"/>
    <w:rsid w:val="395018F6"/>
    <w:rsid w:val="3A104469"/>
    <w:rsid w:val="3A210CE6"/>
    <w:rsid w:val="3A5807D1"/>
    <w:rsid w:val="3A8275B3"/>
    <w:rsid w:val="3AC448FF"/>
    <w:rsid w:val="3B4103CD"/>
    <w:rsid w:val="3B474590"/>
    <w:rsid w:val="3B7304D5"/>
    <w:rsid w:val="3B814510"/>
    <w:rsid w:val="3B822661"/>
    <w:rsid w:val="3BAE7C66"/>
    <w:rsid w:val="3BCD0DCE"/>
    <w:rsid w:val="3CCC06E9"/>
    <w:rsid w:val="3CE5587C"/>
    <w:rsid w:val="3CFE7D2F"/>
    <w:rsid w:val="3D620019"/>
    <w:rsid w:val="3D6759D2"/>
    <w:rsid w:val="3D6F3CD1"/>
    <w:rsid w:val="3D874ACB"/>
    <w:rsid w:val="3DD551FD"/>
    <w:rsid w:val="3E021BD6"/>
    <w:rsid w:val="3E643E6A"/>
    <w:rsid w:val="3E820D6F"/>
    <w:rsid w:val="3E88226F"/>
    <w:rsid w:val="3E9E58CA"/>
    <w:rsid w:val="3F1955BD"/>
    <w:rsid w:val="3F312907"/>
    <w:rsid w:val="40074D14"/>
    <w:rsid w:val="40413E86"/>
    <w:rsid w:val="40782BB5"/>
    <w:rsid w:val="40864196"/>
    <w:rsid w:val="40D35740"/>
    <w:rsid w:val="40DB29AD"/>
    <w:rsid w:val="41286C44"/>
    <w:rsid w:val="41654AEA"/>
    <w:rsid w:val="417D488E"/>
    <w:rsid w:val="417D61FB"/>
    <w:rsid w:val="417E750A"/>
    <w:rsid w:val="41817A57"/>
    <w:rsid w:val="418E3FCE"/>
    <w:rsid w:val="41942815"/>
    <w:rsid w:val="41D03EDA"/>
    <w:rsid w:val="41D626A7"/>
    <w:rsid w:val="424233D5"/>
    <w:rsid w:val="424E7922"/>
    <w:rsid w:val="42A933F4"/>
    <w:rsid w:val="42FE40ED"/>
    <w:rsid w:val="43615785"/>
    <w:rsid w:val="438356FB"/>
    <w:rsid w:val="43DB00E0"/>
    <w:rsid w:val="4436451B"/>
    <w:rsid w:val="443A7A13"/>
    <w:rsid w:val="44977AA4"/>
    <w:rsid w:val="44E855C1"/>
    <w:rsid w:val="453F4C31"/>
    <w:rsid w:val="456F7CFB"/>
    <w:rsid w:val="45F428E0"/>
    <w:rsid w:val="46151CE8"/>
    <w:rsid w:val="4624601B"/>
    <w:rsid w:val="46492AAA"/>
    <w:rsid w:val="464D6A35"/>
    <w:rsid w:val="465E0864"/>
    <w:rsid w:val="4665149E"/>
    <w:rsid w:val="4665733A"/>
    <w:rsid w:val="46C35681"/>
    <w:rsid w:val="46E95941"/>
    <w:rsid w:val="47063A4D"/>
    <w:rsid w:val="47271392"/>
    <w:rsid w:val="47767FBB"/>
    <w:rsid w:val="481B63E2"/>
    <w:rsid w:val="484424D9"/>
    <w:rsid w:val="4847103F"/>
    <w:rsid w:val="48874AA5"/>
    <w:rsid w:val="49050FB9"/>
    <w:rsid w:val="495D4852"/>
    <w:rsid w:val="496930A0"/>
    <w:rsid w:val="49ED77B7"/>
    <w:rsid w:val="4A360328"/>
    <w:rsid w:val="4A7A0275"/>
    <w:rsid w:val="4A7A5D42"/>
    <w:rsid w:val="4A9D70A2"/>
    <w:rsid w:val="4ABE7E56"/>
    <w:rsid w:val="4AF60694"/>
    <w:rsid w:val="4B5D30A3"/>
    <w:rsid w:val="4B6840F7"/>
    <w:rsid w:val="4B70376A"/>
    <w:rsid w:val="4C0C485C"/>
    <w:rsid w:val="4C135C51"/>
    <w:rsid w:val="4C5C314D"/>
    <w:rsid w:val="4C6065D9"/>
    <w:rsid w:val="4CE34CCC"/>
    <w:rsid w:val="4D106251"/>
    <w:rsid w:val="4DA31497"/>
    <w:rsid w:val="4E1542CD"/>
    <w:rsid w:val="4E1A7EED"/>
    <w:rsid w:val="4E7B44C1"/>
    <w:rsid w:val="4E8F658C"/>
    <w:rsid w:val="4E9A16B0"/>
    <w:rsid w:val="4ECA3CF2"/>
    <w:rsid w:val="4F4637CC"/>
    <w:rsid w:val="4F7439BB"/>
    <w:rsid w:val="4F903279"/>
    <w:rsid w:val="4FD07EA9"/>
    <w:rsid w:val="4FF17A7C"/>
    <w:rsid w:val="501568D4"/>
    <w:rsid w:val="50330996"/>
    <w:rsid w:val="50FB3A85"/>
    <w:rsid w:val="519226D4"/>
    <w:rsid w:val="52045C59"/>
    <w:rsid w:val="52124256"/>
    <w:rsid w:val="52711649"/>
    <w:rsid w:val="529A1FAF"/>
    <w:rsid w:val="52A667A8"/>
    <w:rsid w:val="53600DED"/>
    <w:rsid w:val="540240D6"/>
    <w:rsid w:val="54607A2C"/>
    <w:rsid w:val="5474450F"/>
    <w:rsid w:val="54877854"/>
    <w:rsid w:val="548E5813"/>
    <w:rsid w:val="54BC281B"/>
    <w:rsid w:val="54E7304B"/>
    <w:rsid w:val="54EA55DA"/>
    <w:rsid w:val="54EA7388"/>
    <w:rsid w:val="55DB62B3"/>
    <w:rsid w:val="55E72F80"/>
    <w:rsid w:val="55F53C2C"/>
    <w:rsid w:val="55FD3133"/>
    <w:rsid w:val="562E67F9"/>
    <w:rsid w:val="563C5495"/>
    <w:rsid w:val="56434B55"/>
    <w:rsid w:val="56443940"/>
    <w:rsid w:val="565D3B8A"/>
    <w:rsid w:val="56CA561A"/>
    <w:rsid w:val="56E23EAF"/>
    <w:rsid w:val="571237ED"/>
    <w:rsid w:val="571E01E8"/>
    <w:rsid w:val="576C003B"/>
    <w:rsid w:val="578565B3"/>
    <w:rsid w:val="5795733C"/>
    <w:rsid w:val="57AF58B5"/>
    <w:rsid w:val="57B97EA1"/>
    <w:rsid w:val="57D57E3D"/>
    <w:rsid w:val="57D7775D"/>
    <w:rsid w:val="583A7F06"/>
    <w:rsid w:val="58686560"/>
    <w:rsid w:val="587F0726"/>
    <w:rsid w:val="58A107EF"/>
    <w:rsid w:val="591519E0"/>
    <w:rsid w:val="59350F8E"/>
    <w:rsid w:val="5A0E1452"/>
    <w:rsid w:val="5B4D0D61"/>
    <w:rsid w:val="5B765E19"/>
    <w:rsid w:val="5BF705DC"/>
    <w:rsid w:val="5C03381B"/>
    <w:rsid w:val="5C527F22"/>
    <w:rsid w:val="5C6D5130"/>
    <w:rsid w:val="5D113E7C"/>
    <w:rsid w:val="5D3E2C47"/>
    <w:rsid w:val="5D7E17DE"/>
    <w:rsid w:val="5DD0013F"/>
    <w:rsid w:val="5DE32AA5"/>
    <w:rsid w:val="5E391380"/>
    <w:rsid w:val="5E9E5ED4"/>
    <w:rsid w:val="5EA92586"/>
    <w:rsid w:val="5EB90D2E"/>
    <w:rsid w:val="5EBE4690"/>
    <w:rsid w:val="5EDA6A91"/>
    <w:rsid w:val="5F0D0182"/>
    <w:rsid w:val="5F126002"/>
    <w:rsid w:val="5F1F565E"/>
    <w:rsid w:val="5F4673A3"/>
    <w:rsid w:val="5F5555D5"/>
    <w:rsid w:val="5F623641"/>
    <w:rsid w:val="5F7F7267"/>
    <w:rsid w:val="5FDD7FD1"/>
    <w:rsid w:val="5FE80DAB"/>
    <w:rsid w:val="60194FC5"/>
    <w:rsid w:val="603218A9"/>
    <w:rsid w:val="60490780"/>
    <w:rsid w:val="60D056F4"/>
    <w:rsid w:val="60F1342B"/>
    <w:rsid w:val="610709AB"/>
    <w:rsid w:val="61152DC7"/>
    <w:rsid w:val="61581B1D"/>
    <w:rsid w:val="61E810F3"/>
    <w:rsid w:val="61F00415"/>
    <w:rsid w:val="621427D7"/>
    <w:rsid w:val="62C16EF1"/>
    <w:rsid w:val="62CE062A"/>
    <w:rsid w:val="62E736C8"/>
    <w:rsid w:val="638766EA"/>
    <w:rsid w:val="639454D7"/>
    <w:rsid w:val="64294449"/>
    <w:rsid w:val="644764EB"/>
    <w:rsid w:val="64C73242"/>
    <w:rsid w:val="651F72E3"/>
    <w:rsid w:val="655D5D62"/>
    <w:rsid w:val="65903416"/>
    <w:rsid w:val="65AD3D80"/>
    <w:rsid w:val="66536C8E"/>
    <w:rsid w:val="667F0B62"/>
    <w:rsid w:val="66E96069"/>
    <w:rsid w:val="66F24337"/>
    <w:rsid w:val="67167EA1"/>
    <w:rsid w:val="67635F5D"/>
    <w:rsid w:val="67642FCA"/>
    <w:rsid w:val="67AF51CF"/>
    <w:rsid w:val="67CC7EE1"/>
    <w:rsid w:val="67F508D2"/>
    <w:rsid w:val="682540A2"/>
    <w:rsid w:val="68600CBA"/>
    <w:rsid w:val="68615288"/>
    <w:rsid w:val="68A13644"/>
    <w:rsid w:val="68D51363"/>
    <w:rsid w:val="68DE6DAC"/>
    <w:rsid w:val="691E7FBD"/>
    <w:rsid w:val="69C21D45"/>
    <w:rsid w:val="69C25A0D"/>
    <w:rsid w:val="69CF67F1"/>
    <w:rsid w:val="69EC0E79"/>
    <w:rsid w:val="69FB0F56"/>
    <w:rsid w:val="6A320BDA"/>
    <w:rsid w:val="6AB94C23"/>
    <w:rsid w:val="6ABC1B13"/>
    <w:rsid w:val="6AE25F2E"/>
    <w:rsid w:val="6AF87D93"/>
    <w:rsid w:val="6B323269"/>
    <w:rsid w:val="6B5275DD"/>
    <w:rsid w:val="6B5A42D3"/>
    <w:rsid w:val="6BA60212"/>
    <w:rsid w:val="6BB54465"/>
    <w:rsid w:val="6BBB0C69"/>
    <w:rsid w:val="6BCC35DE"/>
    <w:rsid w:val="6BF834D4"/>
    <w:rsid w:val="6BF87FC1"/>
    <w:rsid w:val="6C3003AB"/>
    <w:rsid w:val="6C335661"/>
    <w:rsid w:val="6C50283A"/>
    <w:rsid w:val="6CAB6FB3"/>
    <w:rsid w:val="6D12171A"/>
    <w:rsid w:val="6D1574AE"/>
    <w:rsid w:val="6D4058B3"/>
    <w:rsid w:val="6D451B85"/>
    <w:rsid w:val="6E045376"/>
    <w:rsid w:val="6E510BD5"/>
    <w:rsid w:val="6E53758B"/>
    <w:rsid w:val="6E700CB5"/>
    <w:rsid w:val="6EF20B58"/>
    <w:rsid w:val="6EFD36FC"/>
    <w:rsid w:val="6F1055D1"/>
    <w:rsid w:val="6F6C5073"/>
    <w:rsid w:val="6F871F4B"/>
    <w:rsid w:val="70002AD7"/>
    <w:rsid w:val="704E1BE5"/>
    <w:rsid w:val="70B035B2"/>
    <w:rsid w:val="70DE477E"/>
    <w:rsid w:val="70EB3EFD"/>
    <w:rsid w:val="710B51AC"/>
    <w:rsid w:val="710C4285"/>
    <w:rsid w:val="71165DAF"/>
    <w:rsid w:val="71990C6C"/>
    <w:rsid w:val="71E75101"/>
    <w:rsid w:val="721852C6"/>
    <w:rsid w:val="722B014F"/>
    <w:rsid w:val="72991C1F"/>
    <w:rsid w:val="72E95260"/>
    <w:rsid w:val="73025F26"/>
    <w:rsid w:val="73207868"/>
    <w:rsid w:val="7355231E"/>
    <w:rsid w:val="74201DB5"/>
    <w:rsid w:val="74F15DD4"/>
    <w:rsid w:val="74F52D8D"/>
    <w:rsid w:val="75233F46"/>
    <w:rsid w:val="759D5183"/>
    <w:rsid w:val="75B6111A"/>
    <w:rsid w:val="75EB0D5A"/>
    <w:rsid w:val="765154F8"/>
    <w:rsid w:val="7658171F"/>
    <w:rsid w:val="76650B0D"/>
    <w:rsid w:val="76780840"/>
    <w:rsid w:val="76BA70E6"/>
    <w:rsid w:val="776B50D2"/>
    <w:rsid w:val="77C817B1"/>
    <w:rsid w:val="77E10287"/>
    <w:rsid w:val="788E0495"/>
    <w:rsid w:val="78BF79F2"/>
    <w:rsid w:val="78FD50B1"/>
    <w:rsid w:val="791329C6"/>
    <w:rsid w:val="794443B3"/>
    <w:rsid w:val="79464C25"/>
    <w:rsid w:val="79D8590D"/>
    <w:rsid w:val="79F0454F"/>
    <w:rsid w:val="7A1133DF"/>
    <w:rsid w:val="7A6E11E0"/>
    <w:rsid w:val="7A80470C"/>
    <w:rsid w:val="7A8B1EC4"/>
    <w:rsid w:val="7B5E0F76"/>
    <w:rsid w:val="7BA94019"/>
    <w:rsid w:val="7C270D7A"/>
    <w:rsid w:val="7C943EFA"/>
    <w:rsid w:val="7D38D119"/>
    <w:rsid w:val="7D904A45"/>
    <w:rsid w:val="7DA13F3E"/>
    <w:rsid w:val="7E253138"/>
    <w:rsid w:val="7E3178F8"/>
    <w:rsid w:val="7E397793"/>
    <w:rsid w:val="7E5847C3"/>
    <w:rsid w:val="7E7A11D0"/>
    <w:rsid w:val="7EFD0314"/>
    <w:rsid w:val="7F160FB2"/>
    <w:rsid w:val="7F192331"/>
    <w:rsid w:val="7F1B5B78"/>
    <w:rsid w:val="7F2F3DF2"/>
    <w:rsid w:val="7FC23090"/>
    <w:rsid w:val="7FF36353"/>
    <w:rsid w:val="7FF67C58"/>
    <w:rsid w:val="9EDE349F"/>
    <w:rsid w:val="BDCE7EB2"/>
    <w:rsid w:val="D6BD08B8"/>
    <w:rsid w:val="EB6FF6A9"/>
    <w:rsid w:val="EFF30AA4"/>
    <w:rsid w:val="F0EB503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51"/>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121"/>
    <w:qFormat/>
    <w:uiPriority w:val="0"/>
    <w:pPr>
      <w:keepNext/>
      <w:spacing w:before="240" w:after="60"/>
      <w:outlineLvl w:val="1"/>
    </w:pPr>
    <w:rPr>
      <w:rFonts w:ascii="Cambria" w:hAnsi="Cambria"/>
      <w:b/>
      <w:bCs/>
      <w:i/>
      <w:iCs/>
      <w:sz w:val="28"/>
      <w:szCs w:val="28"/>
    </w:rPr>
  </w:style>
  <w:style w:type="paragraph" w:styleId="7">
    <w:name w:val="heading 3"/>
    <w:basedOn w:val="1"/>
    <w:next w:val="1"/>
    <w:link w:val="153"/>
    <w:qFormat/>
    <w:uiPriority w:val="9"/>
    <w:pPr>
      <w:keepNext/>
      <w:spacing w:before="240" w:after="60"/>
      <w:outlineLvl w:val="2"/>
    </w:pPr>
    <w:rPr>
      <w:rFonts w:ascii="Cambria" w:hAnsi="Cambria"/>
      <w:b/>
      <w:bCs/>
      <w:sz w:val="26"/>
      <w:szCs w:val="26"/>
    </w:rPr>
  </w:style>
  <w:style w:type="paragraph" w:styleId="8">
    <w:name w:val="heading 4"/>
    <w:basedOn w:val="1"/>
    <w:next w:val="1"/>
    <w:link w:val="12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9">
    <w:name w:val="heading 5"/>
    <w:basedOn w:val="1"/>
    <w:next w:val="1"/>
    <w:link w:val="139"/>
    <w:qFormat/>
    <w:uiPriority w:val="0"/>
    <w:pPr>
      <w:spacing w:before="156" w:after="156" w:line="360" w:lineRule="auto"/>
      <w:ind w:firstLine="600" w:firstLineChars="200"/>
      <w:outlineLvl w:val="4"/>
    </w:pPr>
    <w:rPr>
      <w:bCs/>
      <w:color w:val="000000" w:themeColor="text1"/>
      <w:sz w:val="30"/>
      <w:szCs w:val="26"/>
      <w14:textFill>
        <w14:solidFill>
          <w14:schemeClr w14:val="tx1"/>
        </w14:solidFill>
      </w14:textFill>
    </w:rPr>
  </w:style>
  <w:style w:type="paragraph" w:styleId="10">
    <w:name w:val="heading 6"/>
    <w:basedOn w:val="1"/>
    <w:next w:val="1"/>
    <w:link w:val="114"/>
    <w:qFormat/>
    <w:uiPriority w:val="0"/>
    <w:pPr>
      <w:keepNext/>
      <w:keepLines/>
      <w:spacing w:before="240" w:after="64" w:line="317" w:lineRule="auto"/>
      <w:outlineLvl w:val="5"/>
    </w:pPr>
    <w:rPr>
      <w:rFonts w:ascii="Cambria" w:hAnsi="Cambria"/>
      <w:b/>
      <w:bCs/>
      <w:sz w:val="24"/>
    </w:rPr>
  </w:style>
  <w:style w:type="paragraph" w:styleId="11">
    <w:name w:val="heading 7"/>
    <w:basedOn w:val="1"/>
    <w:next w:val="1"/>
    <w:link w:val="115"/>
    <w:qFormat/>
    <w:uiPriority w:val="0"/>
    <w:pPr>
      <w:keepNext/>
      <w:keepLines/>
      <w:spacing w:before="240" w:after="64" w:line="317" w:lineRule="auto"/>
      <w:outlineLvl w:val="6"/>
    </w:pPr>
    <w:rPr>
      <w:b/>
      <w:bCs/>
      <w:sz w:val="24"/>
    </w:rPr>
  </w:style>
  <w:style w:type="paragraph" w:styleId="12">
    <w:name w:val="heading 8"/>
    <w:basedOn w:val="1"/>
    <w:next w:val="1"/>
    <w:link w:val="116"/>
    <w:qFormat/>
    <w:uiPriority w:val="0"/>
    <w:pPr>
      <w:keepNext/>
      <w:keepLines/>
      <w:spacing w:before="240" w:after="64" w:line="317" w:lineRule="auto"/>
      <w:outlineLvl w:val="7"/>
    </w:pPr>
    <w:rPr>
      <w:rFonts w:ascii="Cambria" w:hAnsi="Cambria"/>
      <w:sz w:val="24"/>
    </w:rPr>
  </w:style>
  <w:style w:type="paragraph" w:styleId="13">
    <w:name w:val="heading 9"/>
    <w:basedOn w:val="1"/>
    <w:next w:val="1"/>
    <w:link w:val="117"/>
    <w:qFormat/>
    <w:uiPriority w:val="0"/>
    <w:pPr>
      <w:keepNext/>
      <w:keepLines/>
      <w:spacing w:before="240" w:after="64" w:line="317" w:lineRule="auto"/>
      <w:outlineLvl w:val="8"/>
    </w:pPr>
    <w:rPr>
      <w:rFonts w:ascii="Cambria" w:hAnsi="Cambria"/>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79"/>
    <w:qFormat/>
    <w:uiPriority w:val="0"/>
    <w:pPr>
      <w:spacing w:line="276" w:lineRule="auto"/>
      <w:ind w:left="200" w:firstLine="200" w:firstLineChars="200"/>
      <w:jc w:val="left"/>
    </w:pPr>
  </w:style>
  <w:style w:type="paragraph" w:styleId="3">
    <w:name w:val="Body Text Indent"/>
    <w:basedOn w:val="1"/>
    <w:next w:val="1"/>
    <w:link w:val="78"/>
    <w:qFormat/>
    <w:uiPriority w:val="0"/>
    <w:pPr>
      <w:spacing w:after="120"/>
      <w:ind w:left="420" w:leftChars="200"/>
    </w:pPr>
  </w:style>
  <w:style w:type="paragraph" w:styleId="4">
    <w:name w:val="toc 2"/>
    <w:basedOn w:val="1"/>
    <w:next w:val="1"/>
    <w:qFormat/>
    <w:uiPriority w:val="39"/>
    <w:pPr>
      <w:tabs>
        <w:tab w:val="right" w:leader="dot" w:pos="9629"/>
      </w:tabs>
      <w:ind w:left="480" w:leftChars="200"/>
    </w:pPr>
    <w:rPr>
      <w:b/>
    </w:rPr>
  </w:style>
  <w:style w:type="paragraph" w:styleId="14">
    <w:name w:val="toc 7"/>
    <w:basedOn w:val="1"/>
    <w:next w:val="1"/>
    <w:qFormat/>
    <w:uiPriority w:val="0"/>
    <w:pPr>
      <w:ind w:left="2520" w:leftChars="1200"/>
    </w:pPr>
    <w:rPr>
      <w:szCs w:val="22"/>
    </w:rPr>
  </w:style>
  <w:style w:type="paragraph" w:styleId="15">
    <w:name w:val="Normal Indent"/>
    <w:basedOn w:val="1"/>
    <w:qFormat/>
    <w:uiPriority w:val="0"/>
    <w:pPr>
      <w:adjustRightInd w:val="0"/>
      <w:spacing w:line="360" w:lineRule="atLeast"/>
      <w:ind w:firstLine="482"/>
      <w:textAlignment w:val="baseline"/>
    </w:pPr>
    <w:rPr>
      <w:kern w:val="0"/>
      <w:sz w:val="24"/>
      <w:szCs w:val="20"/>
    </w:r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link w:val="55"/>
    <w:unhideWhenUsed/>
    <w:qFormat/>
    <w:uiPriority w:val="0"/>
    <w:rPr>
      <w:rFonts w:ascii="宋体"/>
      <w:sz w:val="18"/>
      <w:szCs w:val="18"/>
    </w:rPr>
  </w:style>
  <w:style w:type="paragraph" w:styleId="18">
    <w:name w:val="annotation text"/>
    <w:basedOn w:val="1"/>
    <w:link w:val="83"/>
    <w:qFormat/>
    <w:uiPriority w:val="0"/>
    <w:pPr>
      <w:jc w:val="left"/>
    </w:pPr>
    <w:rPr>
      <w:rFonts w:asciiTheme="minorHAnsi" w:hAnsiTheme="minorHAnsi" w:cstheme="minorBidi"/>
    </w:rPr>
  </w:style>
  <w:style w:type="paragraph" w:styleId="19">
    <w:name w:val="Body Text"/>
    <w:basedOn w:val="1"/>
    <w:next w:val="1"/>
    <w:link w:val="74"/>
    <w:qFormat/>
    <w:uiPriority w:val="0"/>
    <w:rPr>
      <w:rFonts w:eastAsia="楷体_GB2312"/>
      <w:sz w:val="28"/>
      <w:szCs w:val="20"/>
    </w:rPr>
  </w:style>
  <w:style w:type="paragraph" w:styleId="20">
    <w:name w:val="index 4"/>
    <w:basedOn w:val="1"/>
    <w:next w:val="1"/>
    <w:qFormat/>
    <w:uiPriority w:val="0"/>
    <w:pPr>
      <w:ind w:left="600" w:leftChars="600"/>
    </w:pPr>
  </w:style>
  <w:style w:type="paragraph" w:styleId="21">
    <w:name w:val="toc 5"/>
    <w:basedOn w:val="1"/>
    <w:next w:val="1"/>
    <w:qFormat/>
    <w:uiPriority w:val="0"/>
    <w:pPr>
      <w:tabs>
        <w:tab w:val="right" w:leader="dot" w:pos="8296"/>
      </w:tabs>
      <w:ind w:left="1050" w:leftChars="500"/>
    </w:pPr>
  </w:style>
  <w:style w:type="paragraph" w:styleId="22">
    <w:name w:val="toc 3"/>
    <w:basedOn w:val="1"/>
    <w:next w:val="1"/>
    <w:qFormat/>
    <w:uiPriority w:val="39"/>
    <w:pPr>
      <w:ind w:left="840" w:leftChars="400"/>
    </w:pPr>
  </w:style>
  <w:style w:type="paragraph" w:styleId="23">
    <w:name w:val="toc 8"/>
    <w:basedOn w:val="1"/>
    <w:next w:val="1"/>
    <w:qFormat/>
    <w:uiPriority w:val="0"/>
    <w:pPr>
      <w:ind w:left="2940" w:leftChars="1400"/>
    </w:pPr>
    <w:rPr>
      <w:szCs w:val="22"/>
    </w:rPr>
  </w:style>
  <w:style w:type="paragraph" w:styleId="24">
    <w:name w:val="Date"/>
    <w:basedOn w:val="1"/>
    <w:next w:val="1"/>
    <w:link w:val="118"/>
    <w:qFormat/>
    <w:uiPriority w:val="0"/>
    <w:pPr>
      <w:ind w:left="100" w:leftChars="2500"/>
    </w:pPr>
    <w:rPr>
      <w:rFonts w:ascii="宋体"/>
      <w:kern w:val="0"/>
      <w:sz w:val="28"/>
      <w:szCs w:val="20"/>
    </w:rPr>
  </w:style>
  <w:style w:type="paragraph" w:styleId="25">
    <w:name w:val="Balloon Text"/>
    <w:basedOn w:val="1"/>
    <w:link w:val="54"/>
    <w:unhideWhenUsed/>
    <w:qFormat/>
    <w:uiPriority w:val="0"/>
    <w:rPr>
      <w:sz w:val="18"/>
      <w:szCs w:val="18"/>
    </w:rPr>
  </w:style>
  <w:style w:type="paragraph" w:styleId="26">
    <w:name w:val="footer"/>
    <w:basedOn w:val="1"/>
    <w:link w:val="57"/>
    <w:unhideWhenUsed/>
    <w:qFormat/>
    <w:uiPriority w:val="0"/>
    <w:pPr>
      <w:tabs>
        <w:tab w:val="center" w:pos="4153"/>
        <w:tab w:val="right" w:pos="8306"/>
      </w:tabs>
      <w:snapToGrid w:val="0"/>
      <w:jc w:val="left"/>
    </w:pPr>
    <w:rPr>
      <w:sz w:val="18"/>
      <w:szCs w:val="18"/>
    </w:rPr>
  </w:style>
  <w:style w:type="paragraph" w:styleId="27">
    <w:name w:val="header"/>
    <w:basedOn w:val="1"/>
    <w:link w:val="56"/>
    <w:unhideWhenUsed/>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tabs>
        <w:tab w:val="right" w:leader="dot" w:pos="9629"/>
      </w:tabs>
    </w:pPr>
    <w:rPr>
      <w:b/>
    </w:rPr>
  </w:style>
  <w:style w:type="paragraph" w:styleId="29">
    <w:name w:val="toc 4"/>
    <w:basedOn w:val="1"/>
    <w:next w:val="1"/>
    <w:qFormat/>
    <w:uiPriority w:val="0"/>
    <w:pPr>
      <w:tabs>
        <w:tab w:val="left" w:pos="1890"/>
        <w:tab w:val="right" w:leader="dot" w:pos="8296"/>
      </w:tabs>
      <w:ind w:left="630" w:leftChars="300"/>
    </w:pPr>
  </w:style>
  <w:style w:type="paragraph" w:styleId="30">
    <w:name w:val="Subtitle"/>
    <w:basedOn w:val="1"/>
    <w:next w:val="1"/>
    <w:link w:val="119"/>
    <w:qFormat/>
    <w:uiPriority w:val="0"/>
    <w:pPr>
      <w:spacing w:before="240" w:after="60" w:line="312" w:lineRule="auto"/>
      <w:jc w:val="center"/>
      <w:outlineLvl w:val="1"/>
    </w:pPr>
    <w:rPr>
      <w:rFonts w:ascii="Cambria" w:hAnsi="Cambria"/>
      <w:b/>
      <w:bCs/>
      <w:kern w:val="28"/>
      <w:sz w:val="32"/>
      <w:szCs w:val="32"/>
    </w:rPr>
  </w:style>
  <w:style w:type="paragraph" w:styleId="31">
    <w:name w:val="toc 6"/>
    <w:basedOn w:val="1"/>
    <w:next w:val="1"/>
    <w:qFormat/>
    <w:uiPriority w:val="0"/>
    <w:pPr>
      <w:ind w:left="2100" w:leftChars="1000"/>
    </w:pPr>
    <w:rPr>
      <w:szCs w:val="22"/>
    </w:rPr>
  </w:style>
  <w:style w:type="paragraph" w:styleId="32">
    <w:name w:val="toc 9"/>
    <w:basedOn w:val="1"/>
    <w:next w:val="1"/>
    <w:qFormat/>
    <w:uiPriority w:val="0"/>
    <w:pPr>
      <w:ind w:left="3360" w:leftChars="1600"/>
    </w:pPr>
    <w:rPr>
      <w:szCs w:val="22"/>
    </w:rPr>
  </w:style>
  <w:style w:type="paragraph" w:styleId="33">
    <w:name w:val="Normal (Web)"/>
    <w:basedOn w:val="1"/>
    <w:qFormat/>
    <w:uiPriority w:val="0"/>
    <w:pPr>
      <w:spacing w:before="100" w:beforeAutospacing="1" w:after="100" w:afterAutospacing="1" w:line="320" w:lineRule="atLeast"/>
    </w:pPr>
    <w:rPr>
      <w:rFonts w:ascii="宋体" w:hAnsi="宋体" w:cs="宋体"/>
      <w:sz w:val="18"/>
      <w:szCs w:val="18"/>
    </w:rPr>
  </w:style>
  <w:style w:type="paragraph" w:styleId="34">
    <w:name w:val="Title"/>
    <w:basedOn w:val="1"/>
    <w:next w:val="1"/>
    <w:link w:val="120"/>
    <w:qFormat/>
    <w:uiPriority w:val="0"/>
    <w:pPr>
      <w:spacing w:before="240" w:after="60"/>
      <w:jc w:val="center"/>
      <w:outlineLvl w:val="0"/>
    </w:pPr>
    <w:rPr>
      <w:rFonts w:ascii="Cambria" w:hAnsi="Cambria"/>
      <w:b/>
      <w:bCs/>
      <w:sz w:val="32"/>
      <w:szCs w:val="32"/>
    </w:rPr>
  </w:style>
  <w:style w:type="paragraph" w:styleId="35">
    <w:name w:val="annotation subject"/>
    <w:basedOn w:val="18"/>
    <w:next w:val="18"/>
    <w:link w:val="59"/>
    <w:unhideWhenUsed/>
    <w:qFormat/>
    <w:uiPriority w:val="0"/>
    <w:rPr>
      <w:rFonts w:ascii="Times New Roman" w:hAnsi="Times New Roman" w:cs="Times New Roman"/>
      <w:b/>
      <w:bCs/>
    </w:rPr>
  </w:style>
  <w:style w:type="paragraph" w:styleId="36">
    <w:name w:val="Body Text First Indent"/>
    <w:basedOn w:val="19"/>
    <w:link w:val="75"/>
    <w:semiHidden/>
    <w:unhideWhenUsed/>
    <w:qFormat/>
    <w:uiPriority w:val="99"/>
    <w:pPr>
      <w:ind w:firstLine="420" w:firstLineChars="100"/>
    </w:pPr>
  </w:style>
  <w:style w:type="table" w:styleId="38">
    <w:name w:val="Table Grid"/>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0"/>
    <w:rPr>
      <w:b/>
      <w:bCs/>
    </w:rPr>
  </w:style>
  <w:style w:type="character" w:styleId="41">
    <w:name w:val="page number"/>
    <w:qFormat/>
    <w:uiPriority w:val="0"/>
    <w:rPr>
      <w:rFonts w:cs="Times New Roman"/>
    </w:rPr>
  </w:style>
  <w:style w:type="character" w:styleId="42">
    <w:name w:val="FollowedHyperlink"/>
    <w:basedOn w:val="39"/>
    <w:semiHidden/>
    <w:unhideWhenUsed/>
    <w:qFormat/>
    <w:uiPriority w:val="99"/>
    <w:rPr>
      <w:color w:val="4D7AD8"/>
      <w:u w:val="none"/>
    </w:rPr>
  </w:style>
  <w:style w:type="character" w:styleId="43">
    <w:name w:val="Emphasis"/>
    <w:qFormat/>
    <w:uiPriority w:val="0"/>
    <w:rPr>
      <w:i/>
      <w:iCs/>
    </w:rPr>
  </w:style>
  <w:style w:type="character" w:styleId="44">
    <w:name w:val="HTML Definition"/>
    <w:basedOn w:val="39"/>
    <w:semiHidden/>
    <w:unhideWhenUsed/>
    <w:qFormat/>
    <w:uiPriority w:val="99"/>
    <w:rPr>
      <w:i/>
      <w:iCs/>
    </w:rPr>
  </w:style>
  <w:style w:type="character" w:styleId="45">
    <w:name w:val="Hyperlink"/>
    <w:basedOn w:val="39"/>
    <w:qFormat/>
    <w:uiPriority w:val="99"/>
    <w:rPr>
      <w:rFonts w:eastAsia="宋体"/>
      <w:color w:val="0000FF"/>
      <w:sz w:val="24"/>
      <w:u w:val="single"/>
    </w:rPr>
  </w:style>
  <w:style w:type="character" w:styleId="46">
    <w:name w:val="HTML Code"/>
    <w:basedOn w:val="39"/>
    <w:semiHidden/>
    <w:unhideWhenUsed/>
    <w:qFormat/>
    <w:uiPriority w:val="99"/>
    <w:rPr>
      <w:rFonts w:hint="default" w:ascii="Consolas" w:hAnsi="Consolas" w:eastAsia="Consolas" w:cs="Consolas"/>
      <w:sz w:val="21"/>
      <w:szCs w:val="21"/>
      <w:shd w:val="clear" w:color="auto" w:fill="F8F8F8"/>
    </w:rPr>
  </w:style>
  <w:style w:type="character" w:styleId="47">
    <w:name w:val="annotation reference"/>
    <w:basedOn w:val="39"/>
    <w:qFormat/>
    <w:uiPriority w:val="0"/>
    <w:rPr>
      <w:sz w:val="21"/>
      <w:szCs w:val="21"/>
    </w:rPr>
  </w:style>
  <w:style w:type="character" w:styleId="48">
    <w:name w:val="HTML Keyboard"/>
    <w:basedOn w:val="39"/>
    <w:semiHidden/>
    <w:unhideWhenUsed/>
    <w:qFormat/>
    <w:uiPriority w:val="99"/>
    <w:rPr>
      <w:rFonts w:hint="default" w:ascii="Consolas" w:hAnsi="Consolas" w:eastAsia="Consolas" w:cs="Consolas"/>
      <w:sz w:val="21"/>
      <w:szCs w:val="21"/>
    </w:rPr>
  </w:style>
  <w:style w:type="character" w:styleId="49">
    <w:name w:val="HTML Sample"/>
    <w:basedOn w:val="39"/>
    <w:semiHidden/>
    <w:unhideWhenUsed/>
    <w:qFormat/>
    <w:uiPriority w:val="99"/>
    <w:rPr>
      <w:rFonts w:ascii="Consolas" w:hAnsi="Consolas" w:eastAsia="Consolas" w:cs="Consolas"/>
      <w:sz w:val="21"/>
      <w:szCs w:val="21"/>
    </w:rPr>
  </w:style>
  <w:style w:type="paragraph" w:customStyle="1" w:styleId="50">
    <w:name w:val="列出段落1"/>
    <w:basedOn w:val="1"/>
    <w:unhideWhenUsed/>
    <w:qFormat/>
    <w:uiPriority w:val="34"/>
    <w:pPr>
      <w:ind w:firstLine="420" w:firstLineChars="200"/>
    </w:pPr>
    <w:rPr>
      <w:rFonts w:hint="eastAsia"/>
    </w:rPr>
  </w:style>
  <w:style w:type="character" w:customStyle="1" w:styleId="51">
    <w:name w:val="标题 1 字符"/>
    <w:basedOn w:val="39"/>
    <w:link w:val="5"/>
    <w:qFormat/>
    <w:uiPriority w:val="0"/>
    <w:rPr>
      <w:rFonts w:ascii="Times New Roman" w:hAnsi="Times New Roman" w:eastAsia="宋体" w:cs="Times New Roman"/>
      <w:b/>
      <w:bCs/>
      <w:kern w:val="44"/>
      <w:sz w:val="44"/>
      <w:szCs w:val="44"/>
    </w:rPr>
  </w:style>
  <w:style w:type="character" w:customStyle="1" w:styleId="52">
    <w:name w:val="批注文字 字符"/>
    <w:qFormat/>
    <w:uiPriority w:val="0"/>
    <w:rPr>
      <w:rFonts w:eastAsia="宋体"/>
      <w:szCs w:val="24"/>
    </w:rPr>
  </w:style>
  <w:style w:type="character" w:customStyle="1" w:styleId="53">
    <w:name w:val="批注文字 Char1"/>
    <w:basedOn w:val="39"/>
    <w:semiHidden/>
    <w:qFormat/>
    <w:uiPriority w:val="99"/>
    <w:rPr>
      <w:rFonts w:ascii="Times New Roman" w:hAnsi="Times New Roman" w:eastAsia="宋体" w:cs="Times New Roman"/>
      <w:szCs w:val="24"/>
    </w:rPr>
  </w:style>
  <w:style w:type="character" w:customStyle="1" w:styleId="54">
    <w:name w:val="批注框文本 字符"/>
    <w:basedOn w:val="39"/>
    <w:link w:val="25"/>
    <w:qFormat/>
    <w:uiPriority w:val="0"/>
    <w:rPr>
      <w:rFonts w:ascii="Times New Roman" w:hAnsi="Times New Roman" w:eastAsia="宋体" w:cs="Times New Roman"/>
      <w:sz w:val="18"/>
      <w:szCs w:val="18"/>
    </w:rPr>
  </w:style>
  <w:style w:type="character" w:customStyle="1" w:styleId="55">
    <w:name w:val="文档结构图 字符"/>
    <w:basedOn w:val="39"/>
    <w:link w:val="17"/>
    <w:qFormat/>
    <w:uiPriority w:val="0"/>
    <w:rPr>
      <w:rFonts w:ascii="宋体" w:hAnsi="Times New Roman" w:eastAsia="宋体" w:cs="Times New Roman"/>
      <w:sz w:val="18"/>
      <w:szCs w:val="18"/>
    </w:rPr>
  </w:style>
  <w:style w:type="character" w:customStyle="1" w:styleId="56">
    <w:name w:val="页眉 字符"/>
    <w:basedOn w:val="39"/>
    <w:link w:val="27"/>
    <w:qFormat/>
    <w:uiPriority w:val="0"/>
    <w:rPr>
      <w:rFonts w:ascii="Times New Roman" w:hAnsi="Times New Roman" w:eastAsia="宋体" w:cs="Times New Roman"/>
      <w:sz w:val="18"/>
      <w:szCs w:val="18"/>
    </w:rPr>
  </w:style>
  <w:style w:type="character" w:customStyle="1" w:styleId="57">
    <w:name w:val="页脚 字符"/>
    <w:basedOn w:val="39"/>
    <w:link w:val="26"/>
    <w:qFormat/>
    <w:uiPriority w:val="99"/>
    <w:rPr>
      <w:rFonts w:ascii="Times New Roman" w:hAnsi="Times New Roman" w:eastAsia="宋体" w:cs="Times New Roman"/>
      <w:sz w:val="18"/>
      <w:szCs w:val="18"/>
    </w:rPr>
  </w:style>
  <w:style w:type="character" w:customStyle="1" w:styleId="58">
    <w:name w:val="NormalCharacter"/>
    <w:qFormat/>
    <w:uiPriority w:val="0"/>
  </w:style>
  <w:style w:type="character" w:customStyle="1" w:styleId="59">
    <w:name w:val="批注主题 字符"/>
    <w:basedOn w:val="52"/>
    <w:link w:val="35"/>
    <w:qFormat/>
    <w:uiPriority w:val="0"/>
    <w:rPr>
      <w:rFonts w:eastAsia="宋体"/>
      <w:b/>
      <w:bCs/>
      <w:kern w:val="2"/>
      <w:sz w:val="21"/>
      <w:szCs w:val="24"/>
    </w:rPr>
  </w:style>
  <w:style w:type="paragraph" w:customStyle="1" w:styleId="60">
    <w:name w:val="BodyText3"/>
    <w:basedOn w:val="1"/>
    <w:qFormat/>
    <w:uiPriority w:val="0"/>
    <w:pPr>
      <w:spacing w:after="120"/>
    </w:pPr>
    <w:rPr>
      <w:sz w:val="16"/>
      <w:szCs w:val="16"/>
    </w:rPr>
  </w:style>
  <w:style w:type="paragraph" w:customStyle="1" w:styleId="61">
    <w:name w:val="UserStyle_92"/>
    <w:basedOn w:val="1"/>
    <w:qFormat/>
    <w:uiPriority w:val="0"/>
    <w:rPr>
      <w:szCs w:val="21"/>
    </w:rPr>
  </w:style>
  <w:style w:type="paragraph" w:customStyle="1" w:styleId="62">
    <w:name w:val="UserStyle_95"/>
    <w:basedOn w:val="63"/>
    <w:qFormat/>
    <w:uiPriority w:val="0"/>
  </w:style>
  <w:style w:type="paragraph" w:customStyle="1" w:styleId="63">
    <w:name w:val="Heading4"/>
    <w:basedOn w:val="1"/>
    <w:next w:val="1"/>
    <w:qFormat/>
    <w:uiPriority w:val="0"/>
    <w:pPr>
      <w:keepNext/>
      <w:spacing w:before="240" w:after="60"/>
    </w:pPr>
    <w:rPr>
      <w:b/>
      <w:bCs/>
      <w:sz w:val="28"/>
      <w:szCs w:val="28"/>
    </w:rPr>
  </w:style>
  <w:style w:type="paragraph" w:customStyle="1" w:styleId="64">
    <w:name w:val="Heading2"/>
    <w:basedOn w:val="1"/>
    <w:next w:val="1"/>
    <w:qFormat/>
    <w:uiPriority w:val="0"/>
    <w:pPr>
      <w:keepNext/>
      <w:spacing w:before="240" w:after="60"/>
    </w:pPr>
    <w:rPr>
      <w:rFonts w:ascii="Cambria" w:hAnsi="Cambria"/>
      <w:b/>
      <w:bCs/>
      <w:i/>
      <w:iCs/>
      <w:sz w:val="28"/>
      <w:szCs w:val="28"/>
    </w:rPr>
  </w:style>
  <w:style w:type="paragraph" w:customStyle="1" w:styleId="65">
    <w:name w:val="BodyTextIndent"/>
    <w:basedOn w:val="1"/>
    <w:qFormat/>
    <w:uiPriority w:val="0"/>
    <w:pPr>
      <w:spacing w:after="120"/>
      <w:ind w:left="420" w:leftChars="200"/>
    </w:pPr>
    <w:rPr>
      <w:sz w:val="20"/>
    </w:rPr>
  </w:style>
  <w:style w:type="paragraph" w:customStyle="1" w:styleId="66">
    <w:name w:val="Heading3"/>
    <w:basedOn w:val="1"/>
    <w:next w:val="1"/>
    <w:qFormat/>
    <w:uiPriority w:val="0"/>
    <w:pPr>
      <w:keepNext/>
      <w:spacing w:before="240" w:after="60"/>
    </w:pPr>
    <w:rPr>
      <w:rFonts w:ascii="Cambria" w:hAnsi="Cambria"/>
      <w:b/>
      <w:bCs/>
      <w:sz w:val="26"/>
      <w:szCs w:val="26"/>
    </w:rPr>
  </w:style>
  <w:style w:type="paragraph" w:styleId="67">
    <w:name w:val="List Paragraph"/>
    <w:basedOn w:val="1"/>
    <w:unhideWhenUsed/>
    <w:qFormat/>
    <w:uiPriority w:val="34"/>
    <w:pPr>
      <w:ind w:firstLine="420" w:firstLineChars="200"/>
    </w:pPr>
  </w:style>
  <w:style w:type="character" w:customStyle="1" w:styleId="68">
    <w:name w:val="font101"/>
    <w:basedOn w:val="39"/>
    <w:qFormat/>
    <w:uiPriority w:val="0"/>
    <w:rPr>
      <w:rFonts w:hint="eastAsia" w:ascii="仿宋" w:hAnsi="仿宋" w:eastAsia="仿宋" w:cs="仿宋"/>
      <w:color w:val="000000"/>
      <w:sz w:val="28"/>
      <w:szCs w:val="28"/>
      <w:u w:val="none"/>
    </w:rPr>
  </w:style>
  <w:style w:type="paragraph" w:customStyle="1" w:styleId="69">
    <w:name w:val="标题4"/>
    <w:basedOn w:val="8"/>
    <w:link w:val="140"/>
    <w:qFormat/>
    <w:uiPriority w:val="0"/>
  </w:style>
  <w:style w:type="character" w:customStyle="1" w:styleId="70">
    <w:name w:val="font81"/>
    <w:basedOn w:val="39"/>
    <w:qFormat/>
    <w:uiPriority w:val="0"/>
    <w:rPr>
      <w:rFonts w:hint="eastAsia" w:ascii="仿宋" w:hAnsi="仿宋" w:eastAsia="仿宋" w:cs="仿宋"/>
      <w:color w:val="000000"/>
      <w:sz w:val="24"/>
      <w:szCs w:val="24"/>
      <w:u w:val="none"/>
    </w:rPr>
  </w:style>
  <w:style w:type="character" w:customStyle="1" w:styleId="71">
    <w:name w:val="font11"/>
    <w:basedOn w:val="39"/>
    <w:qFormat/>
    <w:uiPriority w:val="0"/>
    <w:rPr>
      <w:rFonts w:hint="eastAsia" w:ascii="仿宋" w:hAnsi="仿宋" w:eastAsia="仿宋" w:cs="仿宋"/>
      <w:color w:val="000000"/>
      <w:sz w:val="24"/>
      <w:szCs w:val="24"/>
      <w:u w:val="none"/>
    </w:rPr>
  </w:style>
  <w:style w:type="character" w:customStyle="1" w:styleId="72">
    <w:name w:val="font01"/>
    <w:basedOn w:val="39"/>
    <w:qFormat/>
    <w:uiPriority w:val="0"/>
    <w:rPr>
      <w:rFonts w:ascii="Arial" w:hAnsi="Arial" w:cs="Arial"/>
      <w:color w:val="000000"/>
      <w:sz w:val="24"/>
      <w:szCs w:val="24"/>
      <w:u w:val="none"/>
    </w:rPr>
  </w:style>
  <w:style w:type="character" w:customStyle="1" w:styleId="73">
    <w:name w:val="font31"/>
    <w:basedOn w:val="39"/>
    <w:qFormat/>
    <w:uiPriority w:val="0"/>
    <w:rPr>
      <w:rFonts w:hint="eastAsia" w:ascii="仿宋" w:hAnsi="仿宋" w:eastAsia="仿宋" w:cs="仿宋"/>
      <w:color w:val="000000"/>
      <w:sz w:val="28"/>
      <w:szCs w:val="28"/>
      <w:u w:val="none"/>
    </w:rPr>
  </w:style>
  <w:style w:type="character" w:customStyle="1" w:styleId="74">
    <w:name w:val="正文文本 字符"/>
    <w:basedOn w:val="39"/>
    <w:link w:val="19"/>
    <w:qFormat/>
    <w:uiPriority w:val="0"/>
    <w:rPr>
      <w:kern w:val="2"/>
      <w:sz w:val="21"/>
      <w:szCs w:val="24"/>
    </w:rPr>
  </w:style>
  <w:style w:type="character" w:customStyle="1" w:styleId="75">
    <w:name w:val="正文文本首行缩进 字符"/>
    <w:link w:val="36"/>
    <w:qFormat/>
    <w:uiPriority w:val="0"/>
    <w:rPr>
      <w:sz w:val="21"/>
      <w:szCs w:val="21"/>
    </w:rPr>
  </w:style>
  <w:style w:type="character" w:customStyle="1" w:styleId="76">
    <w:name w:val="正文文本缩进 字符"/>
    <w:basedOn w:val="39"/>
    <w:qFormat/>
    <w:uiPriority w:val="0"/>
    <w:rPr>
      <w:sz w:val="21"/>
      <w:szCs w:val="21"/>
    </w:rPr>
  </w:style>
  <w:style w:type="character" w:customStyle="1" w:styleId="77">
    <w:name w:val="正文首行缩进 2 字符"/>
    <w:basedOn w:val="76"/>
    <w:qFormat/>
    <w:uiPriority w:val="0"/>
    <w:rPr>
      <w:sz w:val="21"/>
      <w:szCs w:val="21"/>
    </w:rPr>
  </w:style>
  <w:style w:type="character" w:customStyle="1" w:styleId="78">
    <w:name w:val="正文文本缩进 字符1"/>
    <w:basedOn w:val="39"/>
    <w:link w:val="3"/>
    <w:qFormat/>
    <w:uiPriority w:val="0"/>
    <w:rPr>
      <w:kern w:val="2"/>
      <w:sz w:val="21"/>
      <w:szCs w:val="21"/>
    </w:rPr>
  </w:style>
  <w:style w:type="character" w:customStyle="1" w:styleId="79">
    <w:name w:val="正文文本首行缩进 2 字符"/>
    <w:basedOn w:val="78"/>
    <w:link w:val="2"/>
    <w:qFormat/>
    <w:uiPriority w:val="0"/>
    <w:rPr>
      <w:kern w:val="2"/>
      <w:sz w:val="21"/>
      <w:szCs w:val="21"/>
    </w:rPr>
  </w:style>
  <w:style w:type="paragraph" w:customStyle="1" w:styleId="80">
    <w:name w:val="TOC 标题1"/>
    <w:basedOn w:val="5"/>
    <w:next w:val="1"/>
    <w:qFormat/>
    <w:uiPriority w:val="0"/>
    <w:pPr>
      <w:outlineLvl w:val="9"/>
    </w:pPr>
  </w:style>
  <w:style w:type="paragraph" w:customStyle="1" w:styleId="8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82">
    <w:name w:val="_Style 6"/>
    <w:basedOn w:val="5"/>
    <w:next w:val="1"/>
    <w:qFormat/>
    <w:uiPriority w:val="0"/>
    <w:pPr>
      <w:outlineLvl w:val="9"/>
    </w:pPr>
  </w:style>
  <w:style w:type="character" w:customStyle="1" w:styleId="83">
    <w:name w:val="批注文字 字符1"/>
    <w:basedOn w:val="39"/>
    <w:link w:val="18"/>
    <w:qFormat/>
    <w:uiPriority w:val="0"/>
    <w:rPr>
      <w:rFonts w:hint="default" w:ascii="Times New Roman" w:hAnsi="Times New Roman" w:cs="Times New Roman"/>
      <w:kern w:val="2"/>
      <w:sz w:val="21"/>
      <w:szCs w:val="24"/>
    </w:rPr>
  </w:style>
  <w:style w:type="character" w:customStyle="1" w:styleId="84">
    <w:name w:val="cke_path_empty2"/>
    <w:basedOn w:val="39"/>
    <w:qFormat/>
    <w:uiPriority w:val="0"/>
    <w:rPr>
      <w:b/>
      <w:bCs/>
      <w:color w:val="484848"/>
      <w:sz w:val="16"/>
      <w:szCs w:val="16"/>
      <w:u w:val="none"/>
    </w:rPr>
  </w:style>
  <w:style w:type="character" w:customStyle="1" w:styleId="85">
    <w:name w:val="isrevision"/>
    <w:basedOn w:val="39"/>
    <w:qFormat/>
    <w:uiPriority w:val="0"/>
    <w:rPr>
      <w:color w:val="000000"/>
      <w:sz w:val="18"/>
      <w:szCs w:val="18"/>
      <w:bdr w:val="single" w:color="E9E9E9" w:sz="6" w:space="0"/>
      <w:shd w:val="clear" w:color="auto" w:fill="FFFFFF"/>
    </w:rPr>
  </w:style>
  <w:style w:type="character" w:customStyle="1" w:styleId="86">
    <w:name w:val="ant-tree-iconele"/>
    <w:basedOn w:val="39"/>
    <w:qFormat/>
    <w:uiPriority w:val="0"/>
  </w:style>
  <w:style w:type="character" w:customStyle="1" w:styleId="87">
    <w:name w:val="cke_colorbox"/>
    <w:basedOn w:val="39"/>
    <w:qFormat/>
    <w:uiPriority w:val="0"/>
    <w:rPr>
      <w:bdr w:val="single" w:color="808080" w:sz="6" w:space="0"/>
    </w:rPr>
  </w:style>
  <w:style w:type="character" w:customStyle="1" w:styleId="88">
    <w:name w:val="cke_colorbox1"/>
    <w:basedOn w:val="39"/>
    <w:qFormat/>
    <w:uiPriority w:val="0"/>
  </w:style>
  <w:style w:type="character" w:customStyle="1" w:styleId="89">
    <w:name w:val="cke_colorbox2"/>
    <w:basedOn w:val="39"/>
    <w:qFormat/>
    <w:uiPriority w:val="0"/>
  </w:style>
  <w:style w:type="character" w:customStyle="1" w:styleId="90">
    <w:name w:val="cke_colorbox3"/>
    <w:basedOn w:val="39"/>
    <w:qFormat/>
    <w:uiPriority w:val="0"/>
  </w:style>
  <w:style w:type="character" w:customStyle="1" w:styleId="91">
    <w:name w:val="button"/>
    <w:basedOn w:val="39"/>
    <w:qFormat/>
    <w:uiPriority w:val="0"/>
  </w:style>
  <w:style w:type="character" w:customStyle="1" w:styleId="92">
    <w:name w:val="button1"/>
    <w:basedOn w:val="39"/>
    <w:qFormat/>
    <w:uiPriority w:val="0"/>
  </w:style>
  <w:style w:type="character" w:customStyle="1" w:styleId="93">
    <w:name w:val="ant-radio+*"/>
    <w:basedOn w:val="39"/>
    <w:qFormat/>
    <w:uiPriority w:val="0"/>
  </w:style>
  <w:style w:type="character" w:customStyle="1" w:styleId="94">
    <w:name w:val="tmpztreemove_arrow"/>
    <w:basedOn w:val="39"/>
    <w:qFormat/>
    <w:uiPriority w:val="0"/>
  </w:style>
  <w:style w:type="character" w:customStyle="1" w:styleId="95">
    <w:name w:val="cke_dialog_ui_button"/>
    <w:basedOn w:val="39"/>
    <w:qFormat/>
    <w:uiPriority w:val="0"/>
  </w:style>
  <w:style w:type="character" w:customStyle="1" w:styleId="96">
    <w:name w:val="first-of-type"/>
    <w:basedOn w:val="39"/>
    <w:qFormat/>
    <w:uiPriority w:val="0"/>
    <w:rPr>
      <w:color w:val="FF0000"/>
    </w:rPr>
  </w:style>
  <w:style w:type="character" w:customStyle="1" w:styleId="97">
    <w:name w:val="first-of-type1"/>
    <w:basedOn w:val="39"/>
    <w:qFormat/>
    <w:uiPriority w:val="0"/>
    <w:rPr>
      <w:color w:val="FF0000"/>
    </w:rPr>
  </w:style>
  <w:style w:type="character" w:customStyle="1" w:styleId="98">
    <w:name w:val="not-pass-node"/>
    <w:basedOn w:val="39"/>
    <w:qFormat/>
    <w:uiPriority w:val="0"/>
    <w:rPr>
      <w:bdr w:val="single" w:color="5ABD6B" w:sz="6" w:space="0"/>
      <w:shd w:val="clear" w:color="auto" w:fill="BFF3C3"/>
    </w:rPr>
  </w:style>
  <w:style w:type="character" w:customStyle="1" w:styleId="99">
    <w:name w:val="wea-dropdown-triangle2"/>
    <w:basedOn w:val="39"/>
    <w:qFormat/>
    <w:uiPriority w:val="0"/>
  </w:style>
  <w:style w:type="character" w:customStyle="1" w:styleId="100">
    <w:name w:val="current-node"/>
    <w:basedOn w:val="39"/>
    <w:qFormat/>
    <w:uiPriority w:val="0"/>
    <w:rPr>
      <w:bdr w:val="single" w:color="F5B87B" w:sz="6" w:space="0"/>
      <w:shd w:val="clear" w:color="auto" w:fill="FFE8CC"/>
    </w:rPr>
  </w:style>
  <w:style w:type="character" w:customStyle="1" w:styleId="101">
    <w:name w:val="passed-node"/>
    <w:basedOn w:val="39"/>
    <w:qFormat/>
    <w:uiPriority w:val="0"/>
    <w:rPr>
      <w:bdr w:val="single" w:color="49A8D4" w:sz="6" w:space="0"/>
      <w:shd w:val="clear" w:color="auto" w:fill="A9E3FF"/>
    </w:rPr>
  </w:style>
  <w:style w:type="character" w:customStyle="1" w:styleId="102">
    <w:name w:val="auto-pass-node"/>
    <w:basedOn w:val="39"/>
    <w:qFormat/>
    <w:uiPriority w:val="0"/>
    <w:rPr>
      <w:bdr w:val="single" w:color="DC4446" w:sz="6" w:space="0"/>
      <w:shd w:val="clear" w:color="auto" w:fill="A9E2FF"/>
    </w:rPr>
  </w:style>
  <w:style w:type="character" w:customStyle="1" w:styleId="103">
    <w:name w:val="hover34"/>
    <w:basedOn w:val="39"/>
    <w:qFormat/>
    <w:uiPriority w:val="0"/>
    <w:rPr>
      <w:color w:val="009DFF"/>
    </w:rPr>
  </w:style>
  <w:style w:type="character" w:customStyle="1" w:styleId="104">
    <w:name w:val="hover35"/>
    <w:basedOn w:val="39"/>
    <w:qFormat/>
    <w:uiPriority w:val="0"/>
    <w:rPr>
      <w:color w:val="009DFF"/>
    </w:rPr>
  </w:style>
  <w:style w:type="character" w:customStyle="1" w:styleId="105">
    <w:name w:val="disabled"/>
    <w:basedOn w:val="39"/>
    <w:qFormat/>
    <w:uiPriority w:val="0"/>
    <w:rPr>
      <w:color w:val="AAAAAA"/>
      <w:shd w:val="clear" w:color="auto" w:fill="F7F7F7"/>
    </w:rPr>
  </w:style>
  <w:style w:type="character" w:customStyle="1" w:styleId="106">
    <w:name w:val="ant-select-tree-checkbox"/>
    <w:basedOn w:val="39"/>
    <w:qFormat/>
    <w:uiPriority w:val="0"/>
  </w:style>
  <w:style w:type="character" w:customStyle="1" w:styleId="107">
    <w:name w:val="ant-select-tree-iconele"/>
    <w:basedOn w:val="39"/>
    <w:qFormat/>
    <w:uiPriority w:val="0"/>
  </w:style>
  <w:style w:type="character" w:customStyle="1" w:styleId="108">
    <w:name w:val="ant-select-tree-switcher"/>
    <w:basedOn w:val="39"/>
    <w:qFormat/>
    <w:uiPriority w:val="0"/>
  </w:style>
  <w:style w:type="character" w:customStyle="1" w:styleId="109">
    <w:name w:val="ant-tree-checkbox8"/>
    <w:basedOn w:val="39"/>
    <w:qFormat/>
    <w:uiPriority w:val="0"/>
  </w:style>
  <w:style w:type="character" w:customStyle="1" w:styleId="110">
    <w:name w:val="ant-tree-switcher10"/>
    <w:basedOn w:val="39"/>
    <w:qFormat/>
    <w:uiPriority w:val="0"/>
  </w:style>
  <w:style w:type="character" w:customStyle="1" w:styleId="111">
    <w:name w:val="wea-thumbnails-doc-content-subtitle"/>
    <w:basedOn w:val="39"/>
    <w:qFormat/>
    <w:uiPriority w:val="0"/>
    <w:rPr>
      <w:color w:val="9A9A9A"/>
    </w:rPr>
  </w:style>
  <w:style w:type="character" w:customStyle="1" w:styleId="112">
    <w:name w:val="cke_notification_progress"/>
    <w:basedOn w:val="39"/>
    <w:qFormat/>
    <w:uiPriority w:val="0"/>
    <w:rPr>
      <w:shd w:val="clear" w:color="auto" w:fill="0F74A8"/>
    </w:rPr>
  </w:style>
  <w:style w:type="character" w:customStyle="1" w:styleId="113">
    <w:name w:val="ant-table-row-expand-icon4"/>
    <w:basedOn w:val="39"/>
    <w:qFormat/>
    <w:uiPriority w:val="0"/>
    <w:rPr>
      <w:vanish/>
    </w:rPr>
  </w:style>
  <w:style w:type="character" w:customStyle="1" w:styleId="114">
    <w:name w:val="标题 6 字符"/>
    <w:basedOn w:val="39"/>
    <w:link w:val="10"/>
    <w:qFormat/>
    <w:uiPriority w:val="0"/>
    <w:rPr>
      <w:rFonts w:ascii="Cambria" w:hAnsi="Cambria"/>
      <w:b/>
      <w:bCs/>
      <w:kern w:val="2"/>
      <w:sz w:val="24"/>
      <w:szCs w:val="24"/>
    </w:rPr>
  </w:style>
  <w:style w:type="character" w:customStyle="1" w:styleId="115">
    <w:name w:val="标题 7 字符"/>
    <w:basedOn w:val="39"/>
    <w:link w:val="11"/>
    <w:qFormat/>
    <w:uiPriority w:val="0"/>
    <w:rPr>
      <w:b/>
      <w:bCs/>
      <w:kern w:val="2"/>
      <w:sz w:val="24"/>
      <w:szCs w:val="24"/>
    </w:rPr>
  </w:style>
  <w:style w:type="character" w:customStyle="1" w:styleId="116">
    <w:name w:val="标题 8 字符"/>
    <w:basedOn w:val="39"/>
    <w:link w:val="12"/>
    <w:qFormat/>
    <w:uiPriority w:val="0"/>
    <w:rPr>
      <w:rFonts w:ascii="Cambria" w:hAnsi="Cambria"/>
      <w:kern w:val="2"/>
      <w:sz w:val="24"/>
      <w:szCs w:val="24"/>
    </w:rPr>
  </w:style>
  <w:style w:type="character" w:customStyle="1" w:styleId="117">
    <w:name w:val="标题 9 字符"/>
    <w:basedOn w:val="39"/>
    <w:link w:val="13"/>
    <w:qFormat/>
    <w:uiPriority w:val="0"/>
    <w:rPr>
      <w:rFonts w:ascii="Cambria" w:hAnsi="Cambria"/>
      <w:kern w:val="2"/>
      <w:sz w:val="21"/>
      <w:szCs w:val="21"/>
    </w:rPr>
  </w:style>
  <w:style w:type="character" w:customStyle="1" w:styleId="118">
    <w:name w:val="日期 字符"/>
    <w:basedOn w:val="39"/>
    <w:link w:val="24"/>
    <w:qFormat/>
    <w:uiPriority w:val="0"/>
    <w:rPr>
      <w:rFonts w:ascii="宋体"/>
      <w:sz w:val="28"/>
    </w:rPr>
  </w:style>
  <w:style w:type="character" w:customStyle="1" w:styleId="119">
    <w:name w:val="副标题 字符"/>
    <w:basedOn w:val="39"/>
    <w:link w:val="30"/>
    <w:qFormat/>
    <w:uiPriority w:val="0"/>
    <w:rPr>
      <w:rFonts w:ascii="Cambria" w:hAnsi="Cambria"/>
      <w:b/>
      <w:bCs/>
      <w:kern w:val="28"/>
      <w:sz w:val="32"/>
      <w:szCs w:val="32"/>
    </w:rPr>
  </w:style>
  <w:style w:type="character" w:customStyle="1" w:styleId="120">
    <w:name w:val="标题 字符"/>
    <w:basedOn w:val="39"/>
    <w:link w:val="34"/>
    <w:qFormat/>
    <w:uiPriority w:val="0"/>
    <w:rPr>
      <w:rFonts w:ascii="Cambria" w:hAnsi="Cambria"/>
      <w:b/>
      <w:bCs/>
      <w:kern w:val="2"/>
      <w:sz w:val="32"/>
      <w:szCs w:val="32"/>
    </w:rPr>
  </w:style>
  <w:style w:type="character" w:customStyle="1" w:styleId="121">
    <w:name w:val="标题 2 字符"/>
    <w:link w:val="6"/>
    <w:qFormat/>
    <w:uiPriority w:val="0"/>
    <w:rPr>
      <w:rFonts w:ascii="Cambria" w:hAnsi="Cambria"/>
      <w:b/>
      <w:bCs/>
      <w:i/>
      <w:iCs/>
      <w:kern w:val="2"/>
      <w:sz w:val="28"/>
      <w:szCs w:val="28"/>
    </w:rPr>
  </w:style>
  <w:style w:type="character" w:customStyle="1" w:styleId="122">
    <w:name w:val="标题5 Char Char"/>
    <w:link w:val="123"/>
    <w:qFormat/>
    <w:uiPriority w:val="0"/>
    <w:rPr>
      <w:rFonts w:ascii="Arial" w:hAnsi="Arial"/>
      <w:b/>
      <w:bCs/>
      <w:sz w:val="24"/>
      <w:szCs w:val="32"/>
    </w:rPr>
  </w:style>
  <w:style w:type="paragraph" w:customStyle="1" w:styleId="123">
    <w:name w:val="标题5"/>
    <w:basedOn w:val="7"/>
    <w:link w:val="122"/>
    <w:qFormat/>
    <w:uiPriority w:val="0"/>
    <w:pPr>
      <w:keepLines/>
      <w:spacing w:before="260" w:after="260" w:line="413" w:lineRule="auto"/>
    </w:pPr>
    <w:rPr>
      <w:rFonts w:ascii="Arial" w:hAnsi="Arial"/>
      <w:kern w:val="0"/>
      <w:sz w:val="24"/>
      <w:szCs w:val="32"/>
    </w:rPr>
  </w:style>
  <w:style w:type="character" w:customStyle="1" w:styleId="124">
    <w:name w:val="不明显强调1"/>
    <w:qFormat/>
    <w:uiPriority w:val="0"/>
    <w:rPr>
      <w:i/>
      <w:iCs/>
      <w:color w:val="808080"/>
    </w:rPr>
  </w:style>
  <w:style w:type="character" w:customStyle="1" w:styleId="125">
    <w:name w:val="标题 4 字符"/>
    <w:link w:val="8"/>
    <w:qFormat/>
    <w:uiPriority w:val="0"/>
    <w:rPr>
      <w:rFonts w:asciiTheme="majorHAnsi" w:hAnsiTheme="majorHAnsi" w:eastAsiaTheme="majorEastAsia" w:cstheme="majorBidi"/>
      <w:b/>
      <w:bCs/>
      <w:kern w:val="2"/>
      <w:sz w:val="28"/>
      <w:szCs w:val="28"/>
    </w:rPr>
  </w:style>
  <w:style w:type="character" w:customStyle="1" w:styleId="126">
    <w:name w:val="批注文字 Char Char"/>
    <w:qFormat/>
    <w:uiPriority w:val="0"/>
    <w:rPr>
      <w:rFonts w:ascii="宋体" w:hAnsi="Times New Roman" w:eastAsia="宋体" w:cs="Times New Roman"/>
      <w:sz w:val="28"/>
      <w:szCs w:val="20"/>
    </w:rPr>
  </w:style>
  <w:style w:type="character" w:customStyle="1" w:styleId="127">
    <w:name w:val="日期 Char1"/>
    <w:qFormat/>
    <w:uiPriority w:val="0"/>
    <w:rPr>
      <w:kern w:val="2"/>
      <w:sz w:val="21"/>
      <w:szCs w:val="22"/>
    </w:rPr>
  </w:style>
  <w:style w:type="character" w:customStyle="1" w:styleId="128">
    <w:name w:val="明显强调1"/>
    <w:qFormat/>
    <w:uiPriority w:val="0"/>
    <w:rPr>
      <w:b/>
      <w:bCs/>
      <w:i/>
      <w:iCs/>
      <w:color w:val="4F81BD"/>
    </w:rPr>
  </w:style>
  <w:style w:type="character" w:customStyle="1" w:styleId="129">
    <w:name w:val="文档结构图 Char1"/>
    <w:qFormat/>
    <w:uiPriority w:val="0"/>
    <w:rPr>
      <w:rFonts w:ascii="宋体"/>
      <w:kern w:val="2"/>
      <w:sz w:val="18"/>
      <w:szCs w:val="18"/>
    </w:rPr>
  </w:style>
  <w:style w:type="character" w:customStyle="1" w:styleId="130">
    <w:name w:val="textcontents"/>
    <w:qFormat/>
    <w:uiPriority w:val="0"/>
    <w:rPr>
      <w:rFonts w:cs="Times New Roman"/>
    </w:rPr>
  </w:style>
  <w:style w:type="character" w:customStyle="1" w:styleId="131">
    <w:name w:val="批注框文本 Char1"/>
    <w:qFormat/>
    <w:uiPriority w:val="0"/>
    <w:rPr>
      <w:kern w:val="2"/>
      <w:sz w:val="18"/>
      <w:szCs w:val="18"/>
    </w:rPr>
  </w:style>
  <w:style w:type="character" w:customStyle="1" w:styleId="132">
    <w:name w:val="明显参考1"/>
    <w:qFormat/>
    <w:uiPriority w:val="0"/>
    <w:rPr>
      <w:b/>
      <w:bCs/>
      <w:smallCaps/>
      <w:color w:val="C0504D"/>
      <w:spacing w:val="5"/>
      <w:u w:val="single"/>
    </w:rPr>
  </w:style>
  <w:style w:type="character" w:customStyle="1" w:styleId="133">
    <w:name w:val="书籍标题1"/>
    <w:qFormat/>
    <w:uiPriority w:val="0"/>
    <w:rPr>
      <w:b/>
      <w:bCs/>
      <w:smallCaps/>
      <w:spacing w:val="5"/>
    </w:rPr>
  </w:style>
  <w:style w:type="character" w:customStyle="1" w:styleId="134">
    <w:name w:val="不明显参考1"/>
    <w:qFormat/>
    <w:uiPriority w:val="0"/>
    <w:rPr>
      <w:smallCaps/>
      <w:color w:val="C0504D"/>
      <w:u w:val="single"/>
    </w:rPr>
  </w:style>
  <w:style w:type="character" w:customStyle="1" w:styleId="135">
    <w:name w:val="明显引用 字符"/>
    <w:link w:val="136"/>
    <w:qFormat/>
    <w:uiPriority w:val="0"/>
    <w:rPr>
      <w:b/>
      <w:bCs/>
      <w:i/>
      <w:iCs/>
      <w:color w:val="4F81BD"/>
      <w:kern w:val="2"/>
      <w:sz w:val="21"/>
      <w:szCs w:val="22"/>
    </w:rPr>
  </w:style>
  <w:style w:type="paragraph" w:styleId="136">
    <w:name w:val="Intense Quote"/>
    <w:basedOn w:val="1"/>
    <w:next w:val="1"/>
    <w:link w:val="135"/>
    <w:qFormat/>
    <w:uiPriority w:val="0"/>
    <w:pPr>
      <w:pBdr>
        <w:bottom w:val="single" w:color="4F81BD" w:sz="4" w:space="4"/>
      </w:pBdr>
      <w:spacing w:before="200" w:after="280"/>
      <w:ind w:left="936" w:right="936"/>
    </w:pPr>
    <w:rPr>
      <w:b/>
      <w:bCs/>
      <w:i/>
      <w:iCs/>
      <w:color w:val="4F81BD"/>
      <w:szCs w:val="22"/>
    </w:rPr>
  </w:style>
  <w:style w:type="character" w:customStyle="1" w:styleId="137">
    <w:name w:val="明显引用 字符1"/>
    <w:basedOn w:val="39"/>
    <w:qFormat/>
    <w:uiPriority w:val="99"/>
    <w:rPr>
      <w:i/>
      <w:iCs/>
      <w:color w:val="4F81BD" w:themeColor="accent1"/>
      <w:kern w:val="2"/>
      <w:sz w:val="21"/>
      <w:szCs w:val="24"/>
      <w14:textFill>
        <w14:solidFill>
          <w14:schemeClr w14:val="accent1"/>
        </w14:solidFill>
      </w14:textFill>
    </w:rPr>
  </w:style>
  <w:style w:type="character" w:customStyle="1" w:styleId="138">
    <w:name w:val="标题 3 字符"/>
    <w:qFormat/>
    <w:uiPriority w:val="0"/>
    <w:rPr>
      <w:b/>
      <w:bCs/>
      <w:kern w:val="2"/>
      <w:sz w:val="32"/>
      <w:szCs w:val="32"/>
    </w:rPr>
  </w:style>
  <w:style w:type="character" w:customStyle="1" w:styleId="139">
    <w:name w:val="标题 5 字符"/>
    <w:link w:val="9"/>
    <w:qFormat/>
    <w:uiPriority w:val="0"/>
    <w:rPr>
      <w:bCs/>
      <w:color w:val="000000" w:themeColor="text1"/>
      <w:kern w:val="2"/>
      <w:sz w:val="30"/>
      <w:szCs w:val="26"/>
      <w14:textFill>
        <w14:solidFill>
          <w14:schemeClr w14:val="tx1"/>
        </w14:solidFill>
      </w14:textFill>
    </w:rPr>
  </w:style>
  <w:style w:type="character" w:customStyle="1" w:styleId="140">
    <w:name w:val="标题4 Char Char"/>
    <w:link w:val="69"/>
    <w:qFormat/>
    <w:uiPriority w:val="0"/>
    <w:rPr>
      <w:rFonts w:asciiTheme="majorHAnsi" w:hAnsiTheme="majorHAnsi" w:eastAsiaTheme="majorEastAsia" w:cstheme="majorBidi"/>
      <w:b/>
      <w:bCs/>
      <w:kern w:val="2"/>
      <w:sz w:val="28"/>
      <w:szCs w:val="28"/>
    </w:rPr>
  </w:style>
  <w:style w:type="character" w:customStyle="1" w:styleId="141">
    <w:name w:val="批注主题 Char1"/>
    <w:qFormat/>
    <w:uiPriority w:val="0"/>
    <w:rPr>
      <w:b/>
      <w:bCs/>
      <w:kern w:val="2"/>
      <w:sz w:val="21"/>
      <w:szCs w:val="22"/>
    </w:rPr>
  </w:style>
  <w:style w:type="character" w:customStyle="1" w:styleId="142">
    <w:name w:val="正文文本 Char1"/>
    <w:qFormat/>
    <w:uiPriority w:val="0"/>
    <w:rPr>
      <w:kern w:val="2"/>
      <w:sz w:val="21"/>
      <w:szCs w:val="22"/>
    </w:rPr>
  </w:style>
  <w:style w:type="character" w:customStyle="1" w:styleId="143">
    <w:name w:val="引用 字符"/>
    <w:link w:val="144"/>
    <w:qFormat/>
    <w:uiPriority w:val="0"/>
    <w:rPr>
      <w:i/>
      <w:iCs/>
      <w:color w:val="000000"/>
      <w:kern w:val="2"/>
      <w:sz w:val="21"/>
      <w:szCs w:val="22"/>
    </w:rPr>
  </w:style>
  <w:style w:type="paragraph" w:styleId="144">
    <w:name w:val="Quote"/>
    <w:basedOn w:val="1"/>
    <w:next w:val="1"/>
    <w:link w:val="143"/>
    <w:qFormat/>
    <w:uiPriority w:val="0"/>
    <w:rPr>
      <w:i/>
      <w:iCs/>
      <w:color w:val="000000"/>
      <w:szCs w:val="22"/>
    </w:rPr>
  </w:style>
  <w:style w:type="character" w:customStyle="1" w:styleId="145">
    <w:name w:val="引用 字符1"/>
    <w:basedOn w:val="39"/>
    <w:qFormat/>
    <w:uiPriority w:val="99"/>
    <w:rPr>
      <w:i/>
      <w:iCs/>
      <w:color w:val="404040" w:themeColor="text1" w:themeTint="BF"/>
      <w:kern w:val="2"/>
      <w:sz w:val="21"/>
      <w:szCs w:val="24"/>
      <w14:textFill>
        <w14:solidFill>
          <w14:schemeClr w14:val="tx1">
            <w14:lumMod w14:val="75000"/>
            <w14:lumOff w14:val="25000"/>
          </w14:schemeClr>
        </w14:solidFill>
      </w14:textFill>
    </w:rPr>
  </w:style>
  <w:style w:type="paragraph" w:customStyle="1" w:styleId="146">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47">
    <w:name w:val="修订1"/>
    <w:qFormat/>
    <w:uiPriority w:val="0"/>
    <w:rPr>
      <w:rFonts w:ascii="Times New Roman" w:hAnsi="Times New Roman" w:eastAsia="宋体" w:cs="Times New Roman"/>
      <w:kern w:val="2"/>
      <w:sz w:val="21"/>
      <w:szCs w:val="24"/>
      <w:lang w:val="en-US" w:eastAsia="zh-CN" w:bidi="ar-SA"/>
    </w:rPr>
  </w:style>
  <w:style w:type="paragraph" w:customStyle="1" w:styleId="148">
    <w:name w:val="样式 标题 3 + (中文) 黑体 小四 非加粗 段前: 7.8 磅 段后: 0 磅 行距: 固定值 20 磅"/>
    <w:basedOn w:val="7"/>
    <w:qFormat/>
    <w:uiPriority w:val="0"/>
    <w:pPr>
      <w:keepLines/>
      <w:spacing w:before="0" w:after="0" w:line="400" w:lineRule="exact"/>
    </w:pPr>
    <w:rPr>
      <w:rFonts w:ascii="Times New Roman" w:hAnsi="Times New Roman" w:eastAsia="黑体" w:cs="宋体"/>
      <w:b w:val="0"/>
      <w:bCs w:val="0"/>
      <w:sz w:val="24"/>
      <w:szCs w:val="20"/>
    </w:rPr>
  </w:style>
  <w:style w:type="paragraph" w:customStyle="1" w:styleId="149">
    <w:name w:val="样式 标题 2 + Times New Roman 四号 非加粗 段前: 5 磅 段后: 0 磅 行距: 固定值 20..."/>
    <w:basedOn w:val="6"/>
    <w:qFormat/>
    <w:uiPriority w:val="0"/>
    <w:pPr>
      <w:keepLines/>
      <w:spacing w:before="100" w:after="0" w:line="400" w:lineRule="exact"/>
    </w:pPr>
    <w:rPr>
      <w:rFonts w:ascii="Times New Roman" w:hAnsi="Times New Roman" w:eastAsia="黑体" w:cs="宋体"/>
      <w:b w:val="0"/>
      <w:bCs w:val="0"/>
      <w:i w:val="0"/>
      <w:iCs w:val="0"/>
      <w:kern w:val="0"/>
      <w:szCs w:val="20"/>
    </w:rPr>
  </w:style>
  <w:style w:type="paragraph" w:styleId="150">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1">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52">
    <w:name w:val="_Style 2"/>
    <w:basedOn w:val="5"/>
    <w:next w:val="1"/>
    <w:qFormat/>
    <w:uiPriority w:val="0"/>
    <w:pPr>
      <w:spacing w:line="576" w:lineRule="auto"/>
      <w:outlineLvl w:val="9"/>
    </w:pPr>
  </w:style>
  <w:style w:type="character" w:customStyle="1" w:styleId="153">
    <w:name w:val="标题 3 字符1"/>
    <w:basedOn w:val="39"/>
    <w:link w:val="7"/>
    <w:qFormat/>
    <w:uiPriority w:val="0"/>
    <w:rPr>
      <w:rFonts w:ascii="Cambria" w:hAnsi="Cambria"/>
      <w:b/>
      <w:bCs/>
      <w:kern w:val="2"/>
      <w:sz w:val="26"/>
      <w:szCs w:val="26"/>
    </w:rPr>
  </w:style>
  <w:style w:type="table" w:customStyle="1" w:styleId="154">
    <w:name w:val="网格型1"/>
    <w:basedOn w:val="3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5">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156">
    <w:name w:val="未处理的提及1"/>
    <w:basedOn w:val="39"/>
    <w:semiHidden/>
    <w:unhideWhenUsed/>
    <w:qFormat/>
    <w:uiPriority w:val="99"/>
    <w:rPr>
      <w:color w:val="605E5C"/>
      <w:shd w:val="clear" w:color="auto" w:fill="E1DFDD"/>
    </w:rPr>
  </w:style>
  <w:style w:type="character" w:customStyle="1" w:styleId="157">
    <w:name w:val="正文文本 字符1"/>
    <w:basedOn w:val="39"/>
    <w:qFormat/>
    <w:uiPriority w:val="0"/>
    <w:rPr>
      <w:sz w:val="24"/>
      <w:szCs w:val="24"/>
      <w:lang w:eastAsia="en-US" w:bidi="en-US"/>
    </w:rPr>
  </w:style>
  <w:style w:type="paragraph" w:customStyle="1" w:styleId="158">
    <w:name w:val="paragraph"/>
    <w:basedOn w:val="1"/>
    <w:semiHidden/>
    <w:qFormat/>
    <w:uiPriority w:val="0"/>
    <w:pPr>
      <w:widowControl/>
      <w:spacing w:before="100" w:beforeAutospacing="1" w:after="100" w:afterAutospacing="1"/>
    </w:pPr>
    <w:rPr>
      <w:rFonts w:ascii="等线" w:hAnsi="等线" w:eastAsia="等线"/>
      <w:kern w:val="0"/>
    </w:rPr>
  </w:style>
  <w:style w:type="paragraph" w:customStyle="1" w:styleId="159">
    <w:name w:val="列表段落1"/>
    <w:basedOn w:val="1"/>
    <w:qFormat/>
    <w:uiPriority w:val="0"/>
    <w:pPr>
      <w:spacing w:line="360" w:lineRule="auto"/>
      <w:ind w:firstLine="200" w:firstLineChars="200"/>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numbering" Target="numbering.xml"/><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footer" Target="footer5.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4729FD1B-6AF8-4F29-BE6D-43AAF2B48833}">
  <ds:schemaRefs/>
</ds:datastoreItem>
</file>

<file path=docProps/app.xml><?xml version="1.0" encoding="utf-8"?>
<Properties xmlns="http://schemas.openxmlformats.org/officeDocument/2006/extended-properties" xmlns:vt="http://schemas.openxmlformats.org/officeDocument/2006/docPropsVTypes">
  <Template>Normal.dotm</Template>
  <Company>Home</Company>
  <Pages>105</Pages>
  <Words>10294</Words>
  <Characters>58681</Characters>
  <Lines>489</Lines>
  <Paragraphs>137</Paragraphs>
  <TotalTime>955</TotalTime>
  <ScaleCrop>false</ScaleCrop>
  <LinksUpToDate>false</LinksUpToDate>
  <CharactersWithSpaces>68838</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2025-09-23T17:51:00Z</dcterms:created>
  <dc:creator>Windows 用户</dc:creator>
  <cp:lastModifiedBy>李帅</cp:lastModifiedBy>
  <cp:lastPrinted>2022-03-13T14:20:00Z</cp:lastPrinted>
  <dcterms:modified xsi:type="dcterms:W3CDTF">2026-02-14T00:49:21Z</dcterms:modified>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109026999CF44CE99E01DAA656918DD9</vt:lpwstr>
  </property>
</Properties>
</file>