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jc w:val="center"/>
        <w:rPr>
          <w:i w:val="0"/>
          <w:iCs/>
          <w:sz w:val="32"/>
          <w:szCs w:val="32"/>
          <w:lang w:val="en-US"/>
        </w:rPr>
      </w:pPr>
      <w:bookmarkStart w:id="0" w:name="_Toc12866"/>
      <w:r>
        <w:rPr>
          <w:rFonts w:hint="eastAsia" w:cs="宋体"/>
          <w:i w:val="0"/>
          <w:iCs/>
          <w:sz w:val="32"/>
          <w:szCs w:val="32"/>
          <w:lang w:val="en-US" w:eastAsia="zh-CN"/>
        </w:rPr>
        <w:t>橡塑件公司2026年运输分拣装卸项目招标公告</w:t>
      </w:r>
      <w:bookmarkEnd w:id="0"/>
    </w:p>
    <w:p>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ZBGL2026020181</w:t>
      </w:r>
      <w:r>
        <w:rPr>
          <w:rFonts w:hint="eastAsia" w:ascii="Cambria" w:hAnsi="Cambria" w:eastAsia="宋体" w:cs="宋体"/>
          <w:b/>
          <w:bCs/>
          <w:i w:val="0"/>
          <w:iCs/>
          <w:sz w:val="22"/>
          <w:szCs w:val="22"/>
          <w:highlight w:val="none"/>
          <w:lang w:eastAsia="zh-CN"/>
        </w:rPr>
        <w:t>）</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2026-2-14 </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2026-2-20 </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橡塑件公司运输分拣装卸项目，业务内容主要针对各主机厂及备配件等产品的运输及分拣装卸，起运地点为济南橡塑件公司和党家庄工厂，终点为重汽济南地区所有主机厂、部分零部件厂、济宁商用车、后市场、进出口仓库等。</w:t>
      </w:r>
    </w:p>
    <w:p>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橡塑件公司2026年运输分拣装卸项目</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pStyle w:val="3"/>
        <w:spacing w:before="1" w:line="360" w:lineRule="auto"/>
        <w:ind w:firstLine="420" w:firstLineChars="200"/>
        <w:rPr>
          <w:rFonts w:hint="eastAsia" w:ascii="宋体" w:hAnsi="宋体" w:eastAsia="宋体" w:cs="宋体"/>
        </w:rPr>
      </w:pPr>
      <w:bookmarkStart w:id="2" w:name="_GoBack"/>
      <w:bookmarkEnd w:id="2"/>
      <w:r>
        <w:rPr>
          <w:rFonts w:hint="eastAsia" w:ascii="宋体" w:hAnsi="宋体" w:eastAsia="宋体" w:cs="宋体"/>
        </w:rPr>
        <w:t>（1）投标人须遵守《中华人民共和国招标投标法》、《中华人民共和国民法典》及其它有关的法律和法规；为中华人民共和国境内注册的独立法人机构，具有独立承担民事责任的能力；经营范围满足竞价项目需求；</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（2）</w:t>
      </w:r>
      <w:r>
        <w:rPr>
          <w:rFonts w:hint="eastAsia" w:ascii="宋体" w:hAnsi="宋体" w:eastAsia="宋体" w:cs="宋体"/>
          <w:highlight w:val="none"/>
        </w:rPr>
        <w:t>注册资金不少于500万（现供方不受该条件限制），投标</w:t>
      </w:r>
      <w:r>
        <w:rPr>
          <w:rFonts w:hint="eastAsia" w:ascii="宋体" w:hAnsi="宋体" w:eastAsia="宋体" w:cs="宋体"/>
        </w:rPr>
        <w:t>人须于投标时提供具有统一社会信用代码的三证合一的营业执照副本原件及复印件(加盖公章)；</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（3）投标人需提供：</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①《道路运输经营许可证》原件及复印件(加盖公章)，并保证行政许可在有效期内；</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②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 xml:space="preserve">③应提供中文版本的审计报告或财务报表； </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 xml:space="preserve">④企业最近半年完税证明、信用证明材料（中国人民银行信用代码证+征信报告）； </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 xml:space="preserve">⑤年度纳税信用评价信息（可从电子税务局查询截图，需加盖公章）； </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⑥企业对外担保说明（写明贵单位对外有无对外担保和质押业务，需加盖公章）；</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4）投标人须确保具有良好的商业信誉和诚实的职业道德，在近三年内或成立以来在经营活动中无重大违法、违规的不良记录，在国家企业信用信息公示系统中无行政处罚、列入经营异常名录和列入严重违法失信企业名单（黑名单）信息或上述信息已被移除的声明；</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（5）投标人竞价承运商应能提供其正在或曾经从事过类似相关行业产品或服务经历的从业证明（可使用正在或曾经从事过的服务合同文本原件或复印件加盖公章加以证明）；</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（6）具有健全的财务会计制度，财务状况和市场行为良好。没有处于被有权机关吊销营业执照、吊销资质、停业整顿、取消投标资格以及财产被接管、冻结或进入破产程序等，资信良好；</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7）投标人在以往的招投标活动中没有违纪、违规、违约等不良行为，没有被列入相关权属公司（业务单位）处《黑名单》（《黑名单》指竞价承运商与相关权属公司（业务单位）在以往或正在进行的合作中，存在相关权属公司（业务单位）认为的违反合同约定或违反法律法规等的失信行为）的；</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（8）投标人须提供法人授权委托书原件（在投标文件副本中可用复印件并加盖公章）及投标单位的法定代表人或授权代表的身份证原件；法人到场的，提供法定代表人身份证；</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（9）投标人须具有履行合同所必须的设备、财务、技术、服务等方面的资质和能力，并具有以投标人的名义开具正规运输业务增值税专用发票的资质（税率 9%）；</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（10）投标人须具有完全履行招标文件的所有要求的能力；</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（11）投标人须负责提供合理的便于运输的包装物，并承担相关费用；</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（12）投标人须认可相关权属公司（业务单位）的工作指令，包括节假日能正常开展工作的要求；</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（13）投标人须认可相关权属公司（业务单位）终止合同后 3个月无息退还履约保证金的招标要求；</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（14）投标人必须是最终投标、签订合同的单位，不得以任何理由将已中标项目以任何形式转包给其他单位；</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（15）本次招标项目不接受联合体投标；</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（16）投标人需承诺严格在运输过程中对运输产品的安全及相关权属公司（业务单位）的形象负责，不做任何有损相关权属公司（业务单位）形象的事情；</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（17）投标人须按要求缴纳投标保证金；</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18）投标人须于招标人中标结果发出三日内与招标人指定联系人沟通合同签订事宜，二十日内完成合同签订，并应当按照合同约定的履约责任，合同签订前向相关权属公司（业务单位）缴纳履约保证金：标的额的5%，最多不超过200万元，并接受合同履行期间保证金不计利息的要求，如中标承运商未按合同及其附件约定履行应承担的责任，相关权属公司（业务单位）有权从应付中标承运商的运费中予以扣除或抵销，或从招标方所属集团公司内其他任何一家关联单位收到的中标承运商的风险抵押金或保证金中进行相应划扣，不足部分招标方有权通过其它方式向中标承运商追偿，中标承运商对此无异议；</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lang w:val="en-US" w:eastAsia="zh-CN"/>
        </w:rPr>
        <w:t>本项目不接受代理商投标</w:t>
      </w:r>
      <w:r>
        <w:rPr>
          <w:rFonts w:hint="eastAsia" w:asciiTheme="majorEastAsia" w:hAnsiTheme="majorEastAsia" w:eastAsiaTheme="majorEastAsia" w:cstheme="majorEastAsia"/>
          <w:b/>
          <w:bCs/>
          <w:sz w:val="24"/>
          <w:szCs w:val="24"/>
        </w:rPr>
        <w:t xml:space="preserve"> </w:t>
      </w:r>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应标文件：</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（1）有统一社会信用代码的新版营业执照复印件，并加盖公章；</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（2）法定代表人授权书；法定代表人参加投标的，需提供法人身份证复印件；委托授权人参加投标的，需提供法定代表人授权委托书、法定代表人身份证复印件、被授权人身份证复印件；</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（3）《道路运输经营许可证》原件及复印件(加盖公章)，并保证行政许可在有效期内；</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（5）应提供中文版本的审计报告或财务报表； </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（6）企业最近半年完税证明、信用证明材料（中国人民银行信用代码证+征信报告）； </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（7）年度纳税信用评价信息（可从电子税务局查询截图，需加盖公章）； </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（8）企业对外担保说明（写明贵单位对外有无对外担保和质押业务，需加盖公章）</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（9）本项目投标保证金缴纳凭证复印件</w:t>
      </w:r>
    </w:p>
    <w:p>
      <w:pPr>
        <w:rPr>
          <w:rFonts w:hint="default" w:asciiTheme="majorEastAsia" w:hAnsiTheme="majorEastAsia" w:eastAsiaTheme="majorEastAsia" w:cstheme="majorEastAsia"/>
          <w:b/>
          <w:bCs/>
          <w:sz w:val="24"/>
          <w:szCs w:val="24"/>
          <w:lang w:val="en-US" w:eastAsia="zh-CN"/>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20</w:t>
      </w:r>
      <w:r>
        <w:rPr>
          <w:rFonts w:hint="eastAsia" w:asciiTheme="majorEastAsia" w:hAnsiTheme="majorEastAsia" w:eastAsiaTheme="majorEastAsia" w:cstheme="majorEastAsia"/>
          <w:sz w:val="24"/>
          <w:szCs w:val="24"/>
        </w:rPr>
        <w:t xml:space="preserve"> 17:00:00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03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10</w:t>
      </w:r>
      <w:r>
        <w:rPr>
          <w:rFonts w:hint="eastAsia" w:asciiTheme="majorEastAsia" w:hAnsiTheme="majorEastAsia" w:eastAsiaTheme="majorEastAsia" w:cstheme="majorEastAsia"/>
          <w:sz w:val="24"/>
          <w:szCs w:val="24"/>
        </w:rPr>
        <w:t xml:space="preserve"> 09:00:00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10</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开标地点：济南市</w:t>
      </w:r>
      <w:r>
        <w:rPr>
          <w:rFonts w:hint="eastAsia" w:asciiTheme="majorEastAsia" w:hAnsiTheme="majorEastAsia" w:eastAsiaTheme="majorEastAsia" w:cstheme="majorEastAsia"/>
          <w:b/>
          <w:bCs/>
          <w:sz w:val="24"/>
          <w:szCs w:val="24"/>
          <w:lang w:val="en-US" w:eastAsia="zh-CN"/>
        </w:rPr>
        <w:t>长清</w:t>
      </w:r>
      <w:r>
        <w:rPr>
          <w:rFonts w:hint="eastAsia" w:asciiTheme="majorEastAsia" w:hAnsiTheme="majorEastAsia" w:eastAsiaTheme="majorEastAsia" w:cstheme="majorEastAsia"/>
          <w:b/>
          <w:bCs/>
          <w:sz w:val="24"/>
          <w:szCs w:val="24"/>
        </w:rPr>
        <w:t>区</w:t>
      </w:r>
      <w:r>
        <w:rPr>
          <w:rFonts w:hint="eastAsia" w:asciiTheme="majorEastAsia" w:hAnsiTheme="majorEastAsia" w:eastAsiaTheme="majorEastAsia" w:cstheme="majorEastAsia"/>
          <w:b/>
          <w:bCs/>
          <w:sz w:val="24"/>
          <w:szCs w:val="24"/>
          <w:lang w:val="en-US" w:eastAsia="zh-CN"/>
        </w:rPr>
        <w:t>滨河路688</w:t>
      </w:r>
      <w:r>
        <w:rPr>
          <w:rFonts w:hint="eastAsia" w:asciiTheme="majorEastAsia" w:hAnsiTheme="majorEastAsia" w:eastAsiaTheme="majorEastAsia" w:cstheme="majorEastAsia"/>
          <w:b/>
          <w:bCs/>
          <w:sz w:val="24"/>
          <w:szCs w:val="24"/>
        </w:rPr>
        <w:t>号</w:t>
      </w:r>
      <w:r>
        <w:rPr>
          <w:rFonts w:hint="eastAsia" w:asciiTheme="majorEastAsia" w:hAnsiTheme="majorEastAsia" w:eastAsiaTheme="majorEastAsia" w:cstheme="majorEastAsia"/>
          <w:b/>
          <w:bCs/>
          <w:sz w:val="24"/>
          <w:szCs w:val="24"/>
          <w:lang w:val="en-US" w:eastAsia="zh-CN"/>
        </w:rPr>
        <w:t>济南橡塑件公司325</w:t>
      </w:r>
      <w:r>
        <w:rPr>
          <w:rFonts w:hint="eastAsia" w:asciiTheme="majorEastAsia" w:hAnsiTheme="majorEastAsia" w:eastAsiaTheme="majorEastAsia" w:cstheme="majorEastAsia"/>
          <w:b/>
          <w:bCs/>
          <w:sz w:val="24"/>
          <w:szCs w:val="24"/>
          <w:lang w:val="en-US"/>
        </w:rPr>
        <w:t>室</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技术联系人：杨磊    </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联系电话：0531-58061708</w:t>
      </w: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firstLineChars="200"/>
        <w:rPr>
          <w:rFonts w:hint="eastAsia" w:asciiTheme="majorEastAsia" w:hAnsiTheme="majorEastAsia" w:eastAsiaTheme="majorEastAsia" w:cstheme="majorEastAsia"/>
          <w:sz w:val="24"/>
          <w:szCs w:val="24"/>
        </w:rPr>
      </w:pPr>
    </w:p>
    <w:p>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开标过程概述：</w:t>
      </w:r>
    </w:p>
    <w:p>
      <w:pPr>
        <w:pStyle w:val="4"/>
        <w:spacing w:line="360" w:lineRule="auto"/>
        <w:ind w:firstLine="420" w:firstLineChars="200"/>
        <w:rPr>
          <w:rFonts w:hint="eastAsia" w:hAnsi="宋体"/>
          <w:bCs/>
          <w:color w:val="auto"/>
          <w:kern w:val="0"/>
          <w:szCs w:val="32"/>
          <w:highlight w:val="none"/>
        </w:rPr>
      </w:pPr>
      <w:r>
        <w:rPr>
          <w:rFonts w:hint="eastAsia" w:hAnsi="宋体"/>
          <w:bCs/>
          <w:color w:val="auto"/>
          <w:kern w:val="0"/>
          <w:szCs w:val="32"/>
          <w:highlight w:val="none"/>
          <w:lang w:val="en-US" w:eastAsia="zh-CN"/>
        </w:rPr>
        <w:t>唱标流程</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技术标唱标</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技术标澄清</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技术标评分</w:t>
      </w:r>
      <w:r>
        <w:rPr>
          <w:rFonts w:hint="eastAsia" w:hAnsi="宋体"/>
          <w:bCs/>
          <w:color w:val="auto"/>
          <w:kern w:val="0"/>
          <w:szCs w:val="32"/>
          <w:highlight w:val="none"/>
        </w:rPr>
        <w:t>→商务</w:t>
      </w:r>
      <w:r>
        <w:rPr>
          <w:rFonts w:hint="eastAsia" w:hAnsi="宋体"/>
          <w:bCs/>
          <w:color w:val="auto"/>
          <w:kern w:val="0"/>
          <w:szCs w:val="32"/>
          <w:highlight w:val="none"/>
          <w:lang w:val="en-US" w:eastAsia="zh-CN"/>
        </w:rPr>
        <w:t>标唱标</w:t>
      </w:r>
      <w:r>
        <w:rPr>
          <w:rFonts w:hint="eastAsia" w:hAnsi="宋体"/>
          <w:bCs/>
          <w:color w:val="auto"/>
          <w:kern w:val="0"/>
          <w:szCs w:val="32"/>
          <w:highlight w:val="none"/>
        </w:rPr>
        <w:t>→价格澄清→商务标评审；</w:t>
      </w:r>
    </w:p>
    <w:p>
      <w:pPr>
        <w:pStyle w:val="4"/>
        <w:spacing w:line="360" w:lineRule="auto"/>
        <w:ind w:firstLine="420" w:firstLineChars="200"/>
        <w:rPr>
          <w:rFonts w:hint="eastAsia" w:hAnsi="宋体"/>
          <w:bCs/>
          <w:color w:val="auto"/>
          <w:kern w:val="0"/>
          <w:szCs w:val="32"/>
          <w:highlight w:val="yellow"/>
          <w:lang w:val="en-US" w:eastAsia="zh-CN"/>
        </w:rPr>
      </w:pPr>
      <w:r>
        <w:rPr>
          <w:rFonts w:hint="eastAsia" w:hAnsi="宋体"/>
          <w:bCs/>
          <w:color w:val="auto"/>
          <w:kern w:val="0"/>
          <w:szCs w:val="32"/>
          <w:highlight w:val="yellow"/>
          <w:lang w:val="en-US" w:eastAsia="zh-CN"/>
        </w:rPr>
        <w:t>开标过程A级项目进行三轮开标会，B级项目进行两轮开标会。</w:t>
      </w:r>
    </w:p>
    <w:p>
      <w:pPr>
        <w:pStyle w:val="4"/>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第一轮包括技术标答辩和商务标报价环节。</w:t>
      </w:r>
    </w:p>
    <w:p>
      <w:pPr>
        <w:pStyle w:val="4"/>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第二轮由专家组审查第一轮的技术和商务情况，并决定是否继续进行商务报价。</w:t>
      </w:r>
    </w:p>
    <w:p>
      <w:pPr>
        <w:pStyle w:val="4"/>
        <w:spacing w:line="360" w:lineRule="auto"/>
        <w:ind w:firstLine="420" w:firstLineChars="200"/>
        <w:rPr>
          <w:rFonts w:hint="eastAsia" w:asciiTheme="majorEastAsia" w:hAnsiTheme="majorEastAsia" w:eastAsiaTheme="majorEastAsia" w:cstheme="majorEastAsia"/>
          <w:sz w:val="24"/>
          <w:szCs w:val="24"/>
        </w:rPr>
      </w:pPr>
      <w:r>
        <w:rPr>
          <w:rFonts w:hint="eastAsia" w:hAnsi="宋体"/>
          <w:bCs/>
          <w:color w:val="auto"/>
          <w:kern w:val="0"/>
          <w:szCs w:val="32"/>
          <w:highlight w:val="none"/>
          <w:lang w:val="en-US" w:eastAsia="zh-CN"/>
        </w:rPr>
        <w:t>A级项目第三轮由专家组审查前两轮的技术和商务报价情况。</w:t>
      </w:r>
    </w:p>
    <w:p>
      <w:pPr>
        <w:ind w:firstLine="480"/>
        <w:rPr>
          <w:rFonts w:hint="eastAsia" w:asciiTheme="majorEastAsia" w:hAnsiTheme="majorEastAsia" w:eastAsiaTheme="majorEastAsia" w:cstheme="majorEastAsia"/>
          <w:sz w:val="24"/>
          <w:szCs w:val="24"/>
        </w:rPr>
      </w:pPr>
    </w:p>
    <w:p>
      <w:pPr>
        <w:pStyle w:val="4"/>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pPr>
        <w:pStyle w:val="4"/>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4"/>
      </w:pPr>
    </w:p>
    <w:p>
      <w:pPr>
        <w:rPr>
          <w:rFonts w:hint="eastAsia"/>
        </w:rPr>
      </w:pPr>
      <w:r>
        <w:drawing>
          <wp:inline distT="0" distB="0" distL="0" distR="0">
            <wp:extent cx="5760085" cy="2809875"/>
            <wp:effectExtent l="0" t="0" r="571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pPr>
        <w:pStyle w:val="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pPr>
        <w:pStyle w:val="4"/>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4"/>
      </w:pPr>
      <w:r>
        <w:rPr>
          <w:rFonts w:hint="eastAsia" w:hAnsi="宋体" w:eastAsia="宋体" w:cs="宋体"/>
          <w:b/>
          <w:bCs/>
          <w:color w:val="000000"/>
          <w:sz w:val="24"/>
          <w:szCs w:val="28"/>
          <w:highlight w:val="yellow"/>
        </w:rPr>
        <w:t>2.配套能力“供货类别”填“”，业务主管部门选择“”。</w:t>
      </w:r>
    </w:p>
    <w:p>
      <w:pPr>
        <w:pStyle w:val="4"/>
        <w:sectPr>
          <w:pgSz w:w="11906" w:h="16838"/>
          <w:pgMar w:top="1588" w:right="1418" w:bottom="1134" w:left="1418" w:header="851" w:footer="992" w:gutter="0"/>
          <w:cols w:space="720" w:num="1"/>
          <w:titlePg/>
          <w:docGrid w:type="lines" w:linePitch="312" w:charSpace="0"/>
        </w:sectPr>
      </w:pPr>
    </w:p>
    <w:p>
      <w:pPr>
        <w:pStyle w:val="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7"/>
          <w:rFonts w:hint="eastAsia" w:ascii="宋体" w:hAnsi="宋体" w:eastAsia="宋体" w:cs="宋体"/>
          <w:sz w:val="24"/>
          <w:szCs w:val="24"/>
        </w:rPr>
        <w:t>https://ecaitong.sinotruk.com:8012/</w:t>
      </w:r>
      <w:r>
        <w:rPr>
          <w:rStyle w:val="7"/>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4"/>
      </w:pPr>
      <w:r>
        <w:rPr>
          <w:rFonts w:hint="eastAsia" w:hAnsi="宋体" w:eastAsia="宋体" w:cs="宋体"/>
          <w:color w:val="000000"/>
          <w:sz w:val="24"/>
          <w:szCs w:val="28"/>
          <w:highlight w:val="yellow"/>
        </w:rPr>
        <w:t>注意：系统内的投标报价单位为“万元”，如开标现场发现填错报价，即直接淘汰。</w:t>
      </w:r>
    </w:p>
    <w:p>
      <w:pPr>
        <w:pStyle w:val="4"/>
        <w:bidi w:val="0"/>
      </w:pPr>
      <w: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4"/>
        <w:bidi w:val="0"/>
      </w:pPr>
      <w: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pPr>
        <w:pStyle w:val="4"/>
        <w:rPr>
          <w:rFonts w:hint="eastAsia" w:hAnsi="宋体" w:eastAsia="宋体" w:cs="Times New Roman"/>
          <w:b/>
          <w:color w:val="000000"/>
          <w:sz w:val="24"/>
          <w:szCs w:val="24"/>
        </w:rPr>
      </w:pPr>
    </w:p>
    <w:p>
      <w:pPr>
        <w:pStyle w:val="4"/>
        <w:rPr>
          <w:rFonts w:hint="eastAsia" w:hAnsi="宋体" w:eastAsia="宋体" w:cs="Times New Roman"/>
          <w:b/>
          <w:color w:val="000000"/>
          <w:sz w:val="24"/>
          <w:szCs w:val="24"/>
        </w:rPr>
      </w:pPr>
    </w:p>
    <w:p>
      <w:pPr>
        <w:pStyle w:val="4"/>
        <w:bidi w:val="0"/>
        <w:rPr>
          <w:rFonts w:hint="eastAsia"/>
        </w:rPr>
      </w:pPr>
    </w:p>
    <w:p>
      <w:pPr>
        <w:pStyle w:val="4"/>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4"/>
        <w:outlineLvl w:val="2"/>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49290" cy="2501265"/>
                    </a:xfrm>
                    <a:prstGeom prst="rect">
                      <a:avLst/>
                    </a:prstGeom>
                    <a:noFill/>
                    <a:ln>
                      <a:noFill/>
                    </a:ln>
                  </pic:spPr>
                </pic:pic>
              </a:graphicData>
            </a:graphic>
          </wp:inline>
        </w:drawing>
      </w:r>
    </w:p>
    <w:p>
      <w:pPr>
        <w:pStyle w:val="4"/>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46750" cy="3303270"/>
                    </a:xfrm>
                    <a:prstGeom prst="rect">
                      <a:avLst/>
                    </a:prstGeom>
                    <a:noFill/>
                    <a:ln>
                      <a:noFill/>
                    </a:ln>
                  </pic:spPr>
                </pic:pic>
              </a:graphicData>
            </a:graphic>
          </wp:inline>
        </w:drawing>
      </w:r>
    </w:p>
    <w:p>
      <w:pPr>
        <w:pStyle w:val="4"/>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742940" cy="2925445"/>
                    </a:xfrm>
                    <a:prstGeom prst="rect">
                      <a:avLst/>
                    </a:prstGeom>
                    <a:noFill/>
                    <a:ln>
                      <a:noFill/>
                    </a:ln>
                  </pic:spPr>
                </pic:pic>
              </a:graphicData>
            </a:graphic>
          </wp:inline>
        </w:drawing>
      </w:r>
    </w:p>
    <w:p/>
    <w:p>
      <w:pPr>
        <w:rPr>
          <w:rFonts w:hint="eastAsia"/>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DC19CD"/>
    <w:rsid w:val="7CCB3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sz w:val="21"/>
      <w:szCs w:val="21"/>
    </w:rPr>
  </w:style>
  <w:style w:type="paragraph" w:styleId="4">
    <w:name w:val="Plain Text"/>
    <w:basedOn w:val="1"/>
    <w:qFormat/>
    <w:uiPriority w:val="0"/>
    <w:rPr>
      <w:rFonts w:ascii="宋体"/>
      <w:szCs w:val="20"/>
    </w:rPr>
  </w:style>
  <w:style w:type="character" w:styleId="7">
    <w:name w:val="Hyperlink"/>
    <w:basedOn w:val="6"/>
    <w:qFormat/>
    <w:uiPriority w:val="0"/>
    <w:rPr>
      <w:color w:val="0000FF"/>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2</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2026-02-14T01:08:00Z</dcterms:created>
  <dc:creator>Lenovo</dc:creator>
  <cp:lastModifiedBy>轻途</cp:lastModifiedBy>
  <dcterms:modified xsi:type="dcterms:W3CDTF">2026-02-14T01:29:28Z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7DB078A1FA2F4FD891196FB0C001D213</vt:lpwstr>
  </property>
</Properties>
</file>