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中国重汽集团莱芜工厂辊压线废料再利用-新增全向搬运车项目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3"/>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中国重汽集团莱芜工厂辊压线废料再利用-新增全向搬运车项目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79632530"/>
      <w:bookmarkEnd w:id="5"/>
      <w:bookmarkStart w:id="6" w:name="_Toc152042290"/>
      <w:bookmarkEnd w:id="6"/>
      <w:bookmarkStart w:id="7" w:name="_Toc152045514"/>
      <w:bookmarkEnd w:id="7"/>
      <w:bookmarkStart w:id="8" w:name="_Toc285809451"/>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莱芜工厂辊压线废料再利用-新增全向搬运车项目  </w:t>
      </w:r>
    </w:p>
    <w:p w14:paraId="50F0AEDD">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 xml:space="preserve"> ZBGL2026030220 </w:t>
      </w:r>
      <w:r>
        <w:rPr>
          <w:rFonts w:hint="eastAsia" w:asciiTheme="minorEastAsia" w:hAnsiTheme="minorEastAsia" w:eastAsiaTheme="minorEastAsia" w:cstheme="minorEastAsia"/>
          <w:kern w:val="0"/>
          <w:sz w:val="24"/>
          <w:szCs w:val="24"/>
          <w:highlight w:val="none"/>
          <w:lang w:bidi="en-US"/>
        </w:rPr>
        <w:t>；</w:t>
      </w:r>
    </w:p>
    <w:p w14:paraId="53F2CDA6">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r>
        <w:rPr>
          <w:rFonts w:hint="eastAsia" w:asciiTheme="minorEastAsia" w:hAnsiTheme="minorEastAsia" w:eastAsiaTheme="minorEastAsia" w:cstheme="minorEastAsia"/>
          <w:kern w:val="0"/>
          <w:sz w:val="24"/>
          <w:szCs w:val="24"/>
          <w:highlight w:val="none"/>
          <w:u w:val="single"/>
          <w:lang w:bidi="en-US"/>
        </w:rPr>
        <w:t>；</w:t>
      </w:r>
    </w:p>
    <w:p w14:paraId="57EEC458">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lang w:val="en-US" w:eastAsia="zh-CN" w:bidi="en-US"/>
        </w:rPr>
        <w:t>新增全向搬运车一台，用于4.5-12米长纵梁的搬运，最大起升高度4米，载重5吨，纯电，路况包含室内水泥地面，室外柏油路，含充电机及其他附件，具体内容详见招标文件。</w:t>
      </w:r>
      <w:r>
        <w:rPr>
          <w:rFonts w:hint="eastAsia" w:ascii="宋体" w:hAnsi="宋体"/>
          <w:b w:val="0"/>
          <w:bCs w:val="0"/>
          <w:color w:val="000000"/>
          <w:sz w:val="24"/>
          <w:szCs w:val="24"/>
          <w:lang w:val="en-US" w:eastAsia="zh-CN" w:bidi="zh-CN"/>
        </w:rPr>
        <w:t>技术要求详见“招标文件”</w:t>
      </w:r>
    </w:p>
    <w:p w14:paraId="1DA2DFB1">
      <w:pPr>
        <w:pStyle w:val="152"/>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项目工期：投标方应自中标通知发布之日起，60个日历日之内到货莱芜工厂，接续30个日历日内完成最终调试。</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7D18EF8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1、公司注册资本不少于500万元（人民币）；具有相关设备制造和销售资质；</w:t>
      </w:r>
    </w:p>
    <w:p w14:paraId="61072C07">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2、公司需成立</w:t>
      </w:r>
      <w:r>
        <w:rPr>
          <w:rFonts w:hint="eastAsia" w:asciiTheme="minorEastAsia" w:hAnsiTheme="minorEastAsia" w:eastAsiaTheme="minorEastAsia" w:cstheme="minorEastAsia"/>
          <w:highlight w:val="none"/>
          <w:lang w:val="en-US" w:eastAsia="zh-CN"/>
        </w:rPr>
        <w:t>三</w:t>
      </w:r>
      <w:r>
        <w:rPr>
          <w:rFonts w:hint="eastAsia" w:asciiTheme="minorEastAsia" w:hAnsiTheme="minorEastAsia" w:eastAsiaTheme="minorEastAsia" w:cstheme="minorEastAsia"/>
          <w:highlight w:val="none"/>
        </w:rPr>
        <w:t>年以上，或有相关工作经历和成功的工程案例；</w:t>
      </w:r>
    </w:p>
    <w:p w14:paraId="7F4835F6">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3、在社会上和重汽集团内的其它招标过程中没有不良行为记录；无招标违规、谎报年度报告信息、提供虚假资质资料等行为和行政处罚记录；</w:t>
      </w:r>
    </w:p>
    <w:p w14:paraId="3FAA39C3">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4、公司财务良好，经营稳定，有全面履约的能力；供方之间有良好的竞争关系；</w:t>
      </w:r>
    </w:p>
    <w:p w14:paraId="2495CC0C">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554CC90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6、投标方的直接或间接股东、法定代表人、董事、监事、高管非重汽员工及其亲属；</w:t>
      </w:r>
    </w:p>
    <w:p w14:paraId="5832E42F">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7、应签订“安全协议书”明确双方安全责任与义务；</w:t>
      </w:r>
    </w:p>
    <w:p w14:paraId="4B723968">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8、施工队伍中主要作业人员必须具有合规的特种设备作业人员证，主要负责人应持有特种设备安全管理人员证；危险作业（登高、动火、临时线等）应经审批后实施。</w:t>
      </w:r>
    </w:p>
    <w:p w14:paraId="1C293030">
      <w:pPr>
        <w:pStyle w:val="25"/>
        <w:spacing w:line="360" w:lineRule="auto"/>
        <w:ind w:firstLine="480" w:firstLineChars="200"/>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highlight w:val="none"/>
        </w:rPr>
        <w:t>9、招标采购项目采用供应商直销模式进行采购，原则上不允许代理商投标</w:t>
      </w:r>
      <w:r>
        <w:rPr>
          <w:rFonts w:hint="eastAsia" w:asciiTheme="minorEastAsia" w:hAnsiTheme="minorEastAsia" w:eastAsiaTheme="minorEastAsia" w:cstheme="minorEastAsia"/>
          <w:b/>
          <w:bCs/>
          <w:highlight w:val="none"/>
        </w:rPr>
        <w:t>。</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143D1741">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6C3163E6">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272B939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highlight w:val="none"/>
        </w:rPr>
      </w:pPr>
      <w:r>
        <w:rPr>
          <w:rFonts w:ascii="宋体" w:hAnsi="宋体" w:eastAsia="宋体" w:cs="宋体"/>
          <w:sz w:val="24"/>
          <w:szCs w:val="24"/>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
          <w:bCs w:val="0"/>
          <w:sz w:val="24"/>
          <w:szCs w:val="24"/>
          <w:lang w:val="en-US" w:eastAsia="zh-CN"/>
        </w:rPr>
        <w:t>应标</w:t>
      </w:r>
      <w:r>
        <w:rPr>
          <w:rFonts w:hint="eastAsia" w:asciiTheme="minorEastAsia" w:hAnsiTheme="minorEastAsia" w:eastAsiaTheme="minorEastAsia" w:cstheme="minorEastAsia"/>
          <w:b/>
          <w:bCs w:val="0"/>
          <w:sz w:val="24"/>
          <w:szCs w:val="24"/>
        </w:rPr>
        <w:t>资质文件</w:t>
      </w:r>
      <w:r>
        <w:rPr>
          <w:rFonts w:hint="eastAsia" w:asciiTheme="minorEastAsia" w:hAnsiTheme="minorEastAsia" w:eastAsiaTheme="minorEastAsia" w:cstheme="minorEastAsia"/>
          <w:bCs/>
          <w:sz w:val="24"/>
          <w:szCs w:val="24"/>
        </w:rPr>
        <w:t>（对以下所要求的投标文件如有任何一项未实质性响应，将可能导致其投标文件被拒绝）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①营业执照复印件（需加盖公章）；</w:t>
      </w:r>
    </w:p>
    <w:p w14:paraId="65DFC697">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5"/>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③2022年1月1日至今，企业近三年同类项目业绩证明，须提供用户清单、采购合同复印件；</w:t>
      </w:r>
    </w:p>
    <w:p w14:paraId="732A1B02">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⑥</w:t>
      </w:r>
      <w:r>
        <w:rPr>
          <w:rFonts w:hint="eastAsia" w:ascii="宋体" w:hAnsi="宋体" w:eastAsia="宋体" w:cs="宋体"/>
          <w:color w:val="000000"/>
          <w:sz w:val="24"/>
          <w:szCs w:val="24"/>
          <w:highlight w:val="yellow"/>
        </w:rPr>
        <w:t>企业最近半年的完税证明，并附</w:t>
      </w:r>
      <w:r>
        <w:rPr>
          <w:rFonts w:ascii="宋体" w:hAnsi="宋体" w:eastAsia="宋体" w:cs="宋体"/>
          <w:sz w:val="24"/>
          <w:szCs w:val="24"/>
          <w:highlight w:val="yellow"/>
        </w:rPr>
        <w:t>年度纳税信用评价信息（可从电子税务局查询截图，需加盖公章）</w:t>
      </w:r>
    </w:p>
    <w:p w14:paraId="0680B4C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yellow"/>
          <w:lang w:val="en-US" w:eastAsia="zh-CN"/>
        </w:rPr>
      </w:pPr>
      <w:r>
        <w:rPr>
          <w:rFonts w:hint="eastAsia"/>
          <w:highlight w:val="yellow"/>
          <w:lang w:val="en-US" w:eastAsia="zh-CN"/>
        </w:rPr>
        <w:t>⑦近三年内在经营活动中无与本项目有关的违法及重大违规行为的声明；</w:t>
      </w:r>
    </w:p>
    <w:p w14:paraId="62DF0F19">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r>
        <w:rPr>
          <w:rFonts w:hint="eastAsia"/>
          <w:highlight w:val="yellow"/>
          <w:lang w:val="en-US" w:eastAsia="zh-CN"/>
        </w:rPr>
        <w:t>⑧</w:t>
      </w:r>
      <w:r>
        <w:rPr>
          <w:rFonts w:ascii="宋体" w:hAnsi="宋体" w:eastAsia="宋体" w:cs="宋体"/>
          <w:sz w:val="24"/>
          <w:szCs w:val="24"/>
          <w:highlight w:val="yellow"/>
        </w:rPr>
        <w:t>企业对外担保说明（写明贵单位对外有无对外担保和质押业务，需加盖公章）</w:t>
      </w:r>
      <w:r>
        <w:rPr>
          <w:rFonts w:hint="eastAsia" w:ascii="宋体" w:hAnsi="宋体" w:eastAsia="宋体" w:cs="宋体"/>
          <w:color w:val="000000"/>
          <w:sz w:val="24"/>
          <w:szCs w:val="24"/>
          <w:highlight w:val="yellow"/>
        </w:rPr>
        <w:t>；</w:t>
      </w:r>
    </w:p>
    <w:p w14:paraId="5309388E">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yellow"/>
          <w:lang w:val="en-US" w:eastAsia="zh-CN"/>
        </w:rPr>
        <w:t>⑨</w:t>
      </w:r>
      <w:r>
        <w:rPr>
          <w:rFonts w:hint="eastAsia" w:ascii="宋体" w:hAnsi="宋体" w:eastAsia="宋体" w:cs="宋体"/>
          <w:color w:val="000000"/>
          <w:sz w:val="24"/>
          <w:szCs w:val="24"/>
          <w:highlight w:val="yellow"/>
        </w:rPr>
        <w:t>企业信用证明材料（征信中心出具的信用报告）</w:t>
      </w:r>
      <w:r>
        <w:rPr>
          <w:rFonts w:hint="eastAsia" w:ascii="宋体" w:hAnsi="宋体" w:eastAsia="宋体" w:cs="宋体"/>
          <w:color w:val="000000"/>
          <w:sz w:val="24"/>
          <w:szCs w:val="24"/>
          <w:highlight w:val="none"/>
        </w:rPr>
        <w:t>；</w:t>
      </w:r>
    </w:p>
    <w:p w14:paraId="10E42FDC">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lang w:val="en-US" w:eastAsia="zh-CN"/>
        </w:rPr>
        <w:t>⑩</w:t>
      </w:r>
      <w:r>
        <w:rPr>
          <w:rFonts w:hint="eastAsia" w:ascii="宋体" w:hAnsi="宋体" w:eastAsia="宋体" w:cs="宋体"/>
          <w:color w:val="000000"/>
          <w:sz w:val="24"/>
          <w:szCs w:val="24"/>
          <w:highlight w:val="yellow"/>
        </w:rPr>
        <w:t>投标保证金缴纳凭证，同时正文描述付款账号、户名、开户行名称、开户行行号、保证金金额。</w:t>
      </w:r>
      <w:r>
        <w:rPr>
          <w:rFonts w:hint="eastAsia" w:ascii="宋体" w:hAnsi="宋体" w:cs="宋体"/>
          <w:color w:val="000000"/>
          <w:sz w:val="24"/>
          <w:szCs w:val="24"/>
          <w:highlight w:val="yellow"/>
          <w:lang w:eastAsia="zh-CN"/>
        </w:rPr>
        <w:t>（</w:t>
      </w:r>
      <w:r>
        <w:rPr>
          <w:rFonts w:hint="eastAsia" w:ascii="宋体" w:hAnsi="宋体" w:cs="宋体"/>
          <w:color w:val="000000"/>
          <w:sz w:val="24"/>
          <w:szCs w:val="24"/>
          <w:highlight w:val="yellow"/>
          <w:lang w:val="en-US" w:eastAsia="zh-CN"/>
        </w:rPr>
        <w:t>应标时不做要求，投标时需要随资质文件一起上传）</w:t>
      </w:r>
    </w:p>
    <w:p w14:paraId="3636EE1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6DC2B40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Courier New" w:eastAsia="宋体" w:cs="Times New Roman"/>
          <w:sz w:val="24"/>
          <w:szCs w:val="24"/>
          <w:highlight w:val="yellow"/>
          <w:lang w:val="en-US" w:eastAsia="zh-CN"/>
        </w:rPr>
      </w:pPr>
      <w:r>
        <w:rPr>
          <w:rFonts w:hint="eastAsia" w:ascii="宋体" w:hAnsi="Courier New" w:eastAsia="宋体" w:cs="Times New Roman"/>
          <w:b/>
          <w:bCs/>
          <w:sz w:val="24"/>
          <w:szCs w:val="24"/>
          <w:highlight w:val="none"/>
          <w:lang w:val="en-US" w:eastAsia="zh-CN"/>
        </w:rPr>
        <w:t>应标截止时间</w:t>
      </w:r>
      <w:r>
        <w:rPr>
          <w:rFonts w:hint="eastAsia" w:cs="Times New Roman"/>
          <w:sz w:val="24"/>
          <w:szCs w:val="24"/>
          <w:highlight w:val="none"/>
          <w:lang w:val="en-US" w:eastAsia="zh-CN"/>
        </w:rPr>
        <w:t>：</w:t>
      </w:r>
      <w:r>
        <w:rPr>
          <w:rFonts w:hint="eastAsia" w:eastAsia="宋体" w:cs="宋体"/>
          <w:sz w:val="24"/>
          <w:szCs w:val="24"/>
          <w:highlight w:val="green"/>
        </w:rPr>
        <w:t>202</w:t>
      </w:r>
      <w:r>
        <w:rPr>
          <w:rFonts w:hint="eastAsia" w:cs="宋体"/>
          <w:sz w:val="24"/>
          <w:szCs w:val="24"/>
          <w:highlight w:val="green"/>
          <w:lang w:val="en-US" w:eastAsia="zh-CN"/>
        </w:rPr>
        <w:t>6</w:t>
      </w:r>
      <w:r>
        <w:rPr>
          <w:rFonts w:hint="eastAsia" w:eastAsia="宋体" w:cs="宋体"/>
          <w:sz w:val="24"/>
          <w:szCs w:val="24"/>
          <w:highlight w:val="green"/>
        </w:rPr>
        <w:t>年</w:t>
      </w:r>
      <w:r>
        <w:rPr>
          <w:rFonts w:hint="eastAsia" w:cs="宋体"/>
          <w:sz w:val="24"/>
          <w:szCs w:val="24"/>
          <w:highlight w:val="green"/>
          <w:lang w:val="en-US" w:eastAsia="zh-CN"/>
        </w:rPr>
        <w:t>4</w:t>
      </w:r>
      <w:r>
        <w:rPr>
          <w:rFonts w:hint="eastAsia" w:eastAsia="宋体" w:cs="宋体"/>
          <w:sz w:val="24"/>
          <w:szCs w:val="24"/>
          <w:highlight w:val="green"/>
        </w:rPr>
        <w:t>月</w:t>
      </w:r>
      <w:r>
        <w:rPr>
          <w:rFonts w:hint="eastAsia" w:cs="宋体"/>
          <w:sz w:val="24"/>
          <w:szCs w:val="24"/>
          <w:highlight w:val="green"/>
          <w:lang w:val="en-US" w:eastAsia="zh-CN"/>
        </w:rPr>
        <w:t>9</w:t>
      </w:r>
      <w:r>
        <w:rPr>
          <w:rFonts w:hint="eastAsia" w:eastAsia="宋体" w:cs="宋体"/>
          <w:sz w:val="24"/>
          <w:szCs w:val="24"/>
          <w:highlight w:val="green"/>
        </w:rPr>
        <w:t>日17时00分00秒</w:t>
      </w:r>
    </w:p>
    <w:p w14:paraId="2521BCA0">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4"/>
          <w:highlight w:val="none"/>
          <w:lang w:val="en-US" w:eastAsia="zh-CN"/>
        </w:rPr>
      </w:pPr>
      <w:r>
        <w:rPr>
          <w:rFonts w:hint="eastAsia" w:eastAsia="宋体" w:cs="宋体"/>
          <w:b/>
          <w:bCs/>
          <w:sz w:val="24"/>
          <w:szCs w:val="24"/>
          <w:highlight w:val="none"/>
        </w:rPr>
        <w:t>注：请务必在应标截止时间前完成注册及应标操作，注册审核需2-4日，</w:t>
      </w:r>
      <w:r>
        <w:rPr>
          <w:rFonts w:ascii="宋体" w:hAnsi="宋体" w:eastAsia="宋体" w:cs="宋体"/>
          <w:b/>
          <w:bCs/>
          <w:sz w:val="24"/>
          <w:szCs w:val="24"/>
        </w:rPr>
        <w:t>财务数据变更审核需1-2日</w:t>
      </w:r>
      <w:r>
        <w:rPr>
          <w:rFonts w:hint="eastAsia" w:hAnsi="宋体" w:cs="宋体"/>
          <w:b/>
          <w:bCs/>
          <w:sz w:val="24"/>
          <w:szCs w:val="24"/>
          <w:lang w:eastAsia="zh-CN"/>
        </w:rPr>
        <w:t>，</w:t>
      </w:r>
      <w:r>
        <w:rPr>
          <w:rFonts w:hint="eastAsia" w:eastAsia="宋体" w:cs="宋体"/>
          <w:b/>
          <w:bCs/>
          <w:sz w:val="24"/>
          <w:szCs w:val="24"/>
          <w:highlight w:val="none"/>
        </w:rPr>
        <w:t>应标截止时间精确到秒，逾期将无法应标。请自行掌握时间，避免无法应标。</w:t>
      </w:r>
    </w:p>
    <w:p w14:paraId="5A93E813">
      <w:pPr>
        <w:pStyle w:val="20"/>
        <w:rPr>
          <w:rFonts w:hint="eastAsia"/>
          <w:lang w:eastAsia="zh-CN"/>
        </w:rPr>
      </w:pPr>
    </w:p>
    <w:p w14:paraId="391D971A">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4</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15</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2"/>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green"/>
        </w:rPr>
        <w:t>202</w:t>
      </w:r>
      <w:r>
        <w:rPr>
          <w:rFonts w:hint="eastAsia" w:asciiTheme="minorEastAsia" w:hAnsiTheme="minorEastAsia" w:eastAsiaTheme="minorEastAsia" w:cstheme="minorEastAsia"/>
          <w:b/>
          <w:sz w:val="24"/>
          <w:szCs w:val="24"/>
          <w:highlight w:val="green"/>
          <w:lang w:val="en-US" w:eastAsia="zh-CN"/>
        </w:rPr>
        <w:t>6</w:t>
      </w:r>
      <w:r>
        <w:rPr>
          <w:rFonts w:hint="eastAsia" w:asciiTheme="minorEastAsia" w:hAnsiTheme="minorEastAsia" w:eastAsiaTheme="minorEastAsia" w:cstheme="minorEastAsia"/>
          <w:b/>
          <w:sz w:val="24"/>
          <w:szCs w:val="24"/>
          <w:highlight w:val="green"/>
        </w:rPr>
        <w:t>年</w:t>
      </w:r>
      <w:r>
        <w:rPr>
          <w:rFonts w:hint="eastAsia" w:asciiTheme="minorEastAsia" w:hAnsiTheme="minorEastAsia" w:eastAsiaTheme="minorEastAsia" w:cstheme="minorEastAsia"/>
          <w:b/>
          <w:sz w:val="24"/>
          <w:szCs w:val="24"/>
          <w:highlight w:val="green"/>
          <w:lang w:val="en-US" w:eastAsia="zh-CN"/>
        </w:rPr>
        <w:t>4</w:t>
      </w:r>
      <w:r>
        <w:rPr>
          <w:rFonts w:hint="eastAsia" w:asciiTheme="minorEastAsia" w:hAnsiTheme="minorEastAsia" w:eastAsiaTheme="minorEastAsia" w:cstheme="minorEastAsia"/>
          <w:b/>
          <w:sz w:val="24"/>
          <w:szCs w:val="24"/>
          <w:highlight w:val="green"/>
        </w:rPr>
        <w:t>月</w:t>
      </w:r>
      <w:r>
        <w:rPr>
          <w:rFonts w:hint="eastAsia" w:asciiTheme="minorEastAsia" w:hAnsiTheme="minorEastAsia" w:eastAsiaTheme="minorEastAsia" w:cstheme="minorEastAsia"/>
          <w:b/>
          <w:sz w:val="24"/>
          <w:szCs w:val="24"/>
          <w:highlight w:val="green"/>
          <w:lang w:val="en-US" w:eastAsia="zh-CN"/>
        </w:rPr>
        <w:t>15</w:t>
      </w:r>
      <w:r>
        <w:rPr>
          <w:rFonts w:hint="eastAsia" w:asciiTheme="minorEastAsia" w:hAnsiTheme="minorEastAsia" w:eastAsiaTheme="minorEastAsia" w:cstheme="minorEastAsia"/>
          <w:b/>
          <w:sz w:val="24"/>
          <w:szCs w:val="24"/>
          <w:highlight w:val="green"/>
        </w:rPr>
        <w:t>日</w:t>
      </w:r>
      <w:r>
        <w:rPr>
          <w:rFonts w:hint="eastAsia" w:asciiTheme="minorEastAsia" w:hAnsiTheme="minorEastAsia" w:eastAsiaTheme="minorEastAsia" w:cstheme="minorEastAsia"/>
          <w:b/>
          <w:sz w:val="24"/>
          <w:szCs w:val="24"/>
          <w:highlight w:val="green"/>
          <w:lang w:val="en-US" w:eastAsia="zh-CN"/>
        </w:rPr>
        <w:t>13</w:t>
      </w:r>
      <w:r>
        <w:rPr>
          <w:rFonts w:hint="eastAsia" w:asciiTheme="minorEastAsia" w:hAnsiTheme="minorEastAsia" w:eastAsiaTheme="minorEastAsia" w:cstheme="minorEastAsia"/>
          <w:b/>
          <w:sz w:val="24"/>
          <w:szCs w:val="24"/>
          <w:highlight w:val="green"/>
        </w:rPr>
        <w:t>:</w:t>
      </w:r>
      <w:r>
        <w:rPr>
          <w:rFonts w:hint="eastAsia" w:asciiTheme="minorEastAsia" w:hAnsiTheme="minorEastAsia" w:eastAsiaTheme="minorEastAsia" w:cstheme="minorEastAsia"/>
          <w:b/>
          <w:sz w:val="24"/>
          <w:szCs w:val="24"/>
          <w:highlight w:val="green"/>
          <w:lang w:val="en-US" w:eastAsia="zh-CN"/>
        </w:rPr>
        <w:t>0</w:t>
      </w:r>
      <w:r>
        <w:rPr>
          <w:rFonts w:hint="eastAsia" w:asciiTheme="minorEastAsia" w:hAnsiTheme="minorEastAsia" w:eastAsiaTheme="minorEastAsia" w:cstheme="minorEastAsia"/>
          <w:b/>
          <w:sz w:val="24"/>
          <w:szCs w:val="24"/>
          <w:highlight w:val="green"/>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待定，以实际通知时间为准）</w:t>
      </w:r>
    </w:p>
    <w:p w14:paraId="17C83E03">
      <w:pPr>
        <w:pStyle w:val="152"/>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sz w:val="24"/>
          <w:szCs w:val="24"/>
          <w:highlight w:val="yellow"/>
          <w:lang w:val="en-US" w:eastAsia="zh-CN"/>
        </w:rPr>
        <w:t>（投标方需要在开标前，将投标保证金缴纳凭证截图发给商务联系人鞠琳，微信号15662671002，获取会议链接）</w:t>
      </w:r>
    </w:p>
    <w:p w14:paraId="18593B7F">
      <w:pPr>
        <w:pStyle w:val="152"/>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鞠琳 15662671002</w:t>
      </w:r>
    </w:p>
    <w:p w14:paraId="439DE341">
      <w:pPr>
        <w:pStyle w:val="152"/>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技术联系人：张勇 13969065152</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highlight w:val="none"/>
          <w:lang w:val="en-US" w:eastAsia="zh-CN"/>
        </w:rPr>
        <w:t>综合评标法评标</w:t>
      </w:r>
      <w:r>
        <w:rPr>
          <w:rFonts w:hint="eastAsia" w:asciiTheme="minorEastAsia" w:hAnsiTheme="minorEastAsia" w:eastAsiaTheme="minorEastAsia" w:cstheme="minorEastAsia"/>
          <w:sz w:val="24"/>
          <w:szCs w:val="24"/>
        </w:rPr>
        <w:t>，在满足招标人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选取商务谈判后议定总价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综合得分最高的</w:t>
      </w:r>
      <w:r>
        <w:rPr>
          <w:rFonts w:hint="eastAsia" w:asciiTheme="minorEastAsia" w:hAnsiTheme="minorEastAsia" w:eastAsiaTheme="minorEastAsia" w:cstheme="minorEastAsia"/>
          <w:sz w:val="24"/>
          <w:szCs w:val="24"/>
        </w:rPr>
        <w:t>为本项目中标人。</w:t>
      </w:r>
    </w:p>
    <w:p w14:paraId="6912DE52">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2"/>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5"/>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5"/>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green"/>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应标时不做要求，需随投标文件一起上传）</w:t>
      </w:r>
    </w:p>
    <w:p w14:paraId="52E65DCB">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green"/>
        </w:rPr>
      </w:pPr>
    </w:p>
    <w:p w14:paraId="1808C054">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设备分项配置表，列明项目设备分项配置规格型号、品牌等信息，非标机械部件提供单件图纸，但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w:t>
      </w:r>
      <w:r>
        <w:rPr>
          <w:rFonts w:hint="eastAsia" w:ascii="宋体" w:hAnsi="宋体" w:eastAsia="宋体" w:cs="宋体"/>
          <w:color w:val="000000"/>
          <w:sz w:val="24"/>
          <w:szCs w:val="24"/>
          <w:highlight w:val="none"/>
          <w:lang w:val="en-US" w:eastAsia="zh-CN"/>
        </w:rPr>
        <w:t>企业近年来</w:t>
      </w:r>
      <w:r>
        <w:rPr>
          <w:rFonts w:hint="eastAsia" w:ascii="宋体" w:hAnsi="宋体" w:eastAsia="宋体" w:cs="宋体"/>
          <w:color w:val="000000"/>
          <w:sz w:val="24"/>
          <w:szCs w:val="24"/>
          <w:highlight w:val="none"/>
        </w:rPr>
        <w:t>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10" w:name="_Toc536542319"/>
      <w:r>
        <w:rPr>
          <w:rFonts w:hint="eastAsia" w:ascii="宋体" w:hAnsi="宋体" w:eastAsia="宋体" w:cs="宋体"/>
          <w:color w:val="000000"/>
          <w:sz w:val="24"/>
          <w:szCs w:val="24"/>
          <w:highlight w:val="none"/>
        </w:rPr>
        <w:t>2.7投标产品技术支持材料</w:t>
      </w:r>
      <w:bookmarkEnd w:id="10"/>
      <w:r>
        <w:rPr>
          <w:rFonts w:hint="eastAsia" w:ascii="宋体" w:hAnsi="宋体" w:eastAsia="宋体" w:cs="宋体"/>
          <w:color w:val="000000"/>
          <w:sz w:val="24"/>
          <w:szCs w:val="24"/>
          <w:highlight w:val="none"/>
        </w:rPr>
        <w:t>；</w:t>
      </w:r>
    </w:p>
    <w:p w14:paraId="0DB09FD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eastAsia="宋体" w:cs="宋体"/>
          <w:color w:val="000000"/>
          <w:sz w:val="24"/>
          <w:szCs w:val="24"/>
          <w:highlight w:val="none"/>
        </w:rPr>
        <w:t>2.8设备质量承诺函</w:t>
      </w:r>
      <w:r>
        <w:rPr>
          <w:rFonts w:hint="eastAsia" w:ascii="宋体" w:hAnsi="宋体" w:cs="宋体"/>
          <w:color w:val="000000"/>
          <w:sz w:val="24"/>
          <w:szCs w:val="24"/>
          <w:highlight w:val="none"/>
          <w:lang w:eastAsia="zh-CN"/>
        </w:rPr>
        <w:t>。</w:t>
      </w:r>
    </w:p>
    <w:p w14:paraId="02D53EF2">
      <w:pPr>
        <w:spacing w:line="360" w:lineRule="auto"/>
        <w:ind w:firstLine="480" w:firstLineChars="200"/>
        <w:rPr>
          <w:rFonts w:hint="eastAsia" w:eastAsia="宋体"/>
          <w:highlight w:val="none"/>
          <w:lang w:eastAsia="zh-CN"/>
        </w:rPr>
      </w:pPr>
      <w:r>
        <w:rPr>
          <w:rFonts w:hint="eastAsia" w:ascii="宋体" w:hAnsi="宋体" w:eastAsia="宋体" w:cs="宋体"/>
          <w:color w:val="000000"/>
          <w:sz w:val="24"/>
          <w:szCs w:val="24"/>
          <w:highlight w:val="none"/>
        </w:rPr>
        <w:t>2.9投标人需提交的其它资料</w:t>
      </w:r>
      <w:r>
        <w:rPr>
          <w:rFonts w:hint="eastAsia" w:ascii="宋体" w:hAnsi="宋体" w:cs="宋体"/>
          <w:color w:val="000000"/>
          <w:sz w:val="24"/>
          <w:szCs w:val="24"/>
          <w:highlight w:val="none"/>
          <w:lang w:eastAsia="zh-CN"/>
        </w:rPr>
        <w:t>。</w:t>
      </w:r>
    </w:p>
    <w:p w14:paraId="79AB9F34">
      <w:pPr>
        <w:pStyle w:val="20"/>
        <w:rPr>
          <w:rFonts w:hint="eastAsia"/>
          <w:lang w:val="en-US" w:eastAsia="zh-CN"/>
        </w:rPr>
      </w:pPr>
    </w:p>
    <w:p w14:paraId="701083CD">
      <w:pPr>
        <w:pStyle w:val="152"/>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77A1DD06">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投标人资格证明文件，证明投标人是合格的和有能力履行合同的文件；证明投标人提供的施工工程及/或服务的合格性和符合招标文件规定的文件；招标文件要求的其它文件；投标人认为其它需要提供的文件。</w:t>
      </w:r>
    </w:p>
    <w:p w14:paraId="7853E84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1、商务文件基本内容</w:t>
      </w:r>
    </w:p>
    <w:p w14:paraId="2F111B59">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a)投标函</w:t>
      </w:r>
    </w:p>
    <w:p w14:paraId="7349ACAB">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b)开标一览表</w:t>
      </w:r>
    </w:p>
    <w:p w14:paraId="2FBB1FE8">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c)商务条款偏离表及技术需求偏离表（格式见附件4、附件5）（如投标文件的商务或技术条款响应与招标文件有偏离，需在表中注明）</w:t>
      </w:r>
    </w:p>
    <w:p w14:paraId="7B63D210">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d)售后服务及相关承诺类</w:t>
      </w:r>
    </w:p>
    <w:p w14:paraId="7A08362D">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e)投标人认为需要提供的其它文件和证书</w:t>
      </w:r>
    </w:p>
    <w:p w14:paraId="006456BC">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f)营业执照、提供与资质文件相同类似业绩表</w:t>
      </w:r>
    </w:p>
    <w:p w14:paraId="4E28FAE3">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1363E9A4">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7F0916C2">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投标人提供的以上材料必须真实有效，任何一项的虚假将导致其投标文件被拒绝。</w:t>
      </w:r>
    </w:p>
    <w:p w14:paraId="66458B77">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投标人参与重汽卡车公司招标项目时根据甲方要求提交资质原件待审。</w:t>
      </w:r>
    </w:p>
    <w:p w14:paraId="67B133B5">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4、商务文件至少应对招标设备（或材料）“商务偏离”做出有无说明，若有，应予以详细填写和说明。</w:t>
      </w:r>
    </w:p>
    <w:p w14:paraId="5B85A44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5、投标文件不得涂改和增删，如有修改错漏的地方，必须由法人代表或授权代表签字或盖章。</w:t>
      </w:r>
    </w:p>
    <w:p w14:paraId="39A3DC31">
      <w:pPr>
        <w:keepNext w:val="0"/>
        <w:keepLines w:val="0"/>
        <w:pageBreakBefore w:val="0"/>
        <w:widowControl w:val="0"/>
        <w:tabs>
          <w:tab w:val="left" w:pos="454"/>
        </w:tabs>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spacing w:line="360" w:lineRule="auto"/>
        <w:ind w:left="660" w:leftChars="200" w:hanging="240" w:hangingChars="1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⑴本次招标为公开招标，报价应为：</w:t>
      </w:r>
    </w:p>
    <w:p w14:paraId="191654E4">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经与招标人或其指派的答疑人员充分沟通确认基础上，由投标人在满足招标人所提出的、与本项目所有相关环节有关的所有费用；</w:t>
      </w:r>
    </w:p>
    <w:p w14:paraId="1BC3FE32">
      <w:pPr>
        <w:pStyle w:val="25"/>
        <w:spacing w:line="360" w:lineRule="auto"/>
        <w:ind w:firstLine="48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⑵所有报价货币单位为：</w:t>
      </w:r>
      <w:r>
        <w:rPr>
          <w:rFonts w:hint="eastAsia" w:asciiTheme="minorEastAsia" w:hAnsiTheme="minorEastAsia" w:eastAsiaTheme="minorEastAsia" w:cstheme="minorEastAsia"/>
          <w:highlight w:val="none"/>
          <w:lang w:val="en-US" w:eastAsia="zh-CN"/>
        </w:rPr>
        <w:t>万</w:t>
      </w:r>
      <w:r>
        <w:rPr>
          <w:rFonts w:hint="eastAsia" w:asciiTheme="minorEastAsia" w:hAnsiTheme="minorEastAsia" w:eastAsiaTheme="minorEastAsia" w:cstheme="minorEastAsia"/>
          <w:highlight w:val="none"/>
        </w:rPr>
        <w:t>元（人民币），</w:t>
      </w:r>
      <w:r>
        <w:rPr>
          <w:rFonts w:hint="eastAsia" w:asciiTheme="minorEastAsia" w:hAnsiTheme="minorEastAsia" w:eastAsiaTheme="minorEastAsia" w:cstheme="minorEastAsia"/>
          <w:b/>
          <w:bCs/>
          <w:highlight w:val="none"/>
        </w:rPr>
        <w:t>含税</w:t>
      </w:r>
      <w:r>
        <w:rPr>
          <w:rFonts w:hint="eastAsia" w:asciiTheme="minorEastAsia" w:hAnsiTheme="minorEastAsia" w:eastAsiaTheme="minorEastAsia" w:cstheme="minorEastAsia"/>
          <w:highlight w:val="none"/>
        </w:rPr>
        <w:t>；</w:t>
      </w:r>
    </w:p>
    <w:p w14:paraId="313B60D8">
      <w:pPr>
        <w:pStyle w:val="25"/>
        <w:spacing w:line="360" w:lineRule="auto"/>
        <w:ind w:firstLine="480" w:firstLineChars="200"/>
        <w:rPr>
          <w:rFonts w:hint="eastAsia" w:asciiTheme="minorEastAsia" w:hAnsiTheme="minorEastAsia" w:eastAsiaTheme="minorEastAsia" w:cstheme="minorEastAsia"/>
          <w:highlight w:val="none"/>
          <w:u w:val="single"/>
        </w:rPr>
      </w:pPr>
      <w:r>
        <w:rPr>
          <w:rFonts w:hint="eastAsia" w:asciiTheme="minorEastAsia" w:hAnsiTheme="minorEastAsia" w:eastAsiaTheme="minorEastAsia" w:cstheme="minorEastAsia"/>
          <w:highlight w:val="none"/>
        </w:rPr>
        <w:t>⑶付款结算方式：</w:t>
      </w:r>
      <w:r>
        <w:rPr>
          <w:rFonts w:hint="eastAsia" w:asciiTheme="minorEastAsia" w:hAnsiTheme="minorEastAsia" w:eastAsiaTheme="minorEastAsia" w:cstheme="minorEastAsia"/>
          <w:b/>
          <w:bCs/>
          <w:highlight w:val="none"/>
          <w:u w:val="single"/>
        </w:rPr>
        <w:t>半年期商业汇票 （包括银行承兑汇票和商业承兑汇票）。</w:t>
      </w:r>
    </w:p>
    <w:p w14:paraId="7F4BCE09">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a)合同生效且设计图完成会签后, 承揽方提交金额为合同含税总价款</w:t>
      </w:r>
      <w:r>
        <w:rPr>
          <w:rFonts w:hint="eastAsia" w:asciiTheme="minorEastAsia" w:hAnsiTheme="minorEastAsia" w:eastAsiaTheme="minorEastAsia" w:cstheme="minorEastAsia"/>
          <w:b/>
          <w:bCs/>
          <w:highlight w:val="none"/>
          <w:u w:val="none"/>
        </w:rPr>
        <w:t>30%</w:t>
      </w:r>
      <w:r>
        <w:rPr>
          <w:rFonts w:hint="eastAsia" w:asciiTheme="minorEastAsia" w:hAnsiTheme="minorEastAsia" w:eastAsiaTheme="minorEastAsia" w:cstheme="minorEastAsia"/>
          <w:highlight w:val="none"/>
          <w:u w:val="none"/>
        </w:rPr>
        <w:t>的收据及对应金额的增值税专用发票，经委托方财务审核无误后按照财务付款条件：当月挂账次月付款执行。</w:t>
      </w:r>
    </w:p>
    <w:p w14:paraId="7DEAE547">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b)设备全部到齐无质量问题，经安装、调试最终验收合格后，承揽方提交金额为合同含税总价款</w:t>
      </w:r>
      <w:r>
        <w:rPr>
          <w:rFonts w:hint="eastAsia" w:asciiTheme="minorEastAsia" w:hAnsiTheme="minorEastAsia" w:eastAsiaTheme="minorEastAsia" w:cstheme="minorEastAsia"/>
          <w:b/>
          <w:bCs/>
          <w:highlight w:val="none"/>
          <w:u w:val="none"/>
        </w:rPr>
        <w:t>60%</w:t>
      </w:r>
      <w:r>
        <w:rPr>
          <w:rFonts w:hint="eastAsia" w:asciiTheme="minorEastAsia" w:hAnsiTheme="minorEastAsia" w:eastAsiaTheme="minorEastAsia" w:cstheme="minorEastAsia"/>
          <w:highlight w:val="none"/>
          <w:u w:val="none"/>
        </w:rPr>
        <w:t>收据及合同含税总价款未付金额的增值税专用发票并附带合同设备最终验收报告，经委托方财务审核无误后按照财务付款条件：当月挂账次月付款执行。</w:t>
      </w:r>
    </w:p>
    <w:p w14:paraId="0C524104">
      <w:pPr>
        <w:pStyle w:val="25"/>
        <w:spacing w:line="360" w:lineRule="auto"/>
        <w:ind w:firstLine="480" w:firstLineChars="200"/>
        <w:rPr>
          <w:rFonts w:hint="eastAsia" w:asciiTheme="minorEastAsia" w:hAnsiTheme="minorEastAsia" w:eastAsiaTheme="minorEastAsia" w:cstheme="minorEastAsia"/>
          <w:highlight w:val="none"/>
          <w:u w:val="none"/>
        </w:rPr>
      </w:pPr>
      <w:r>
        <w:rPr>
          <w:rFonts w:hint="eastAsia" w:asciiTheme="minorEastAsia" w:hAnsiTheme="minorEastAsia" w:eastAsiaTheme="minorEastAsia" w:cstheme="minorEastAsia"/>
          <w:highlight w:val="none"/>
          <w:u w:val="none"/>
        </w:rPr>
        <w:t>c)合同含税总价款的</w:t>
      </w:r>
      <w:r>
        <w:rPr>
          <w:rFonts w:hint="eastAsia" w:asciiTheme="minorEastAsia" w:hAnsiTheme="minorEastAsia" w:eastAsiaTheme="minorEastAsia" w:cstheme="minorEastAsia"/>
          <w:b/>
          <w:bCs/>
          <w:highlight w:val="none"/>
          <w:u w:val="none"/>
        </w:rPr>
        <w:t>10%</w:t>
      </w:r>
      <w:r>
        <w:rPr>
          <w:rFonts w:hint="eastAsia" w:asciiTheme="minorEastAsia" w:hAnsiTheme="minorEastAsia" w:eastAsiaTheme="minorEastAsia" w:cstheme="minorEastAsia"/>
          <w:highlight w:val="none"/>
          <w:u w:val="none"/>
        </w:rPr>
        <w:t>作为本合同约定设备的质量保证金，质量保证金在质量保证期内不计利息。待合同设备质量保证期满后，承揽方向委托方提交质量保证金收据及设备使用单位的使用情况说明，经委托方财务审核无误后按照财务付款条件：365天到期执行。如有质量问题，质量保证金予以相应扣除。</w:t>
      </w:r>
    </w:p>
    <w:p w14:paraId="128C40A5">
      <w:pPr>
        <w:pStyle w:val="25"/>
        <w:spacing w:line="360" w:lineRule="auto"/>
        <w:ind w:firstLine="482" w:firstLineChars="200"/>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b/>
          <w:bCs/>
          <w:highlight w:val="none"/>
        </w:rPr>
        <w:t>具体以双方最终签署的合同为准。</w:t>
      </w:r>
    </w:p>
    <w:p w14:paraId="0D771EB5">
      <w:pPr>
        <w:pStyle w:val="58"/>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2"/>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2"/>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green"/>
          <w:u w:val="single"/>
        </w:rPr>
        <w:t>202</w:t>
      </w:r>
      <w:r>
        <w:rPr>
          <w:rFonts w:hint="eastAsia" w:asciiTheme="minorEastAsia" w:hAnsiTheme="minorEastAsia" w:eastAsiaTheme="minorEastAsia" w:cstheme="minorEastAsia"/>
          <w:b/>
          <w:bCs/>
          <w:color w:val="000000"/>
          <w:sz w:val="24"/>
          <w:szCs w:val="24"/>
          <w:highlight w:val="green"/>
          <w:u w:val="single"/>
          <w:lang w:val="en-US" w:eastAsia="zh-CN"/>
        </w:rPr>
        <w:t>6</w:t>
      </w:r>
      <w:r>
        <w:rPr>
          <w:rFonts w:hint="eastAsia" w:asciiTheme="minorEastAsia" w:hAnsiTheme="minorEastAsia" w:eastAsiaTheme="minorEastAsia" w:cstheme="minorEastAsia"/>
          <w:b/>
          <w:bCs/>
          <w:color w:val="000000"/>
          <w:sz w:val="24"/>
          <w:szCs w:val="24"/>
          <w:highlight w:val="green"/>
          <w:u w:val="single"/>
        </w:rPr>
        <w:t>年</w:t>
      </w:r>
      <w:r>
        <w:rPr>
          <w:rFonts w:hint="eastAsia" w:asciiTheme="minorEastAsia" w:hAnsiTheme="minorEastAsia" w:eastAsiaTheme="minorEastAsia" w:cstheme="minorEastAsia"/>
          <w:b/>
          <w:bCs/>
          <w:color w:val="000000"/>
          <w:sz w:val="24"/>
          <w:szCs w:val="24"/>
          <w:highlight w:val="green"/>
          <w:u w:val="single"/>
          <w:lang w:val="en-US" w:eastAsia="zh-CN"/>
        </w:rPr>
        <w:t>4</w:t>
      </w:r>
      <w:r>
        <w:rPr>
          <w:rFonts w:hint="eastAsia" w:asciiTheme="minorEastAsia" w:hAnsiTheme="minorEastAsia" w:eastAsiaTheme="minorEastAsia" w:cstheme="minorEastAsia"/>
          <w:b/>
          <w:bCs/>
          <w:color w:val="000000"/>
          <w:sz w:val="24"/>
          <w:szCs w:val="24"/>
          <w:highlight w:val="green"/>
          <w:u w:val="single"/>
        </w:rPr>
        <w:t>月</w:t>
      </w:r>
      <w:r>
        <w:rPr>
          <w:rFonts w:hint="eastAsia" w:asciiTheme="minorEastAsia" w:hAnsiTheme="minorEastAsia" w:eastAsiaTheme="minorEastAsia" w:cstheme="minorEastAsia"/>
          <w:b/>
          <w:bCs/>
          <w:color w:val="000000"/>
          <w:sz w:val="24"/>
          <w:szCs w:val="24"/>
          <w:highlight w:val="green"/>
          <w:u w:val="single"/>
          <w:lang w:val="en-US" w:eastAsia="zh-CN"/>
        </w:rPr>
        <w:t>15</w:t>
      </w:r>
      <w:r>
        <w:rPr>
          <w:rFonts w:hint="eastAsia" w:asciiTheme="minorEastAsia" w:hAnsiTheme="minorEastAsia" w:eastAsiaTheme="minorEastAsia" w:cstheme="minorEastAsia"/>
          <w:b/>
          <w:bCs/>
          <w:color w:val="000000"/>
          <w:sz w:val="24"/>
          <w:szCs w:val="24"/>
          <w:highlight w:val="green"/>
          <w:u w:val="single"/>
        </w:rPr>
        <w:t>日</w:t>
      </w:r>
      <w:r>
        <w:rPr>
          <w:rFonts w:hint="eastAsia" w:asciiTheme="minorEastAsia" w:hAnsiTheme="minorEastAsia" w:eastAsiaTheme="minorEastAsia" w:cstheme="minorEastAsia"/>
          <w:b/>
          <w:bCs/>
          <w:color w:val="000000"/>
          <w:sz w:val="24"/>
          <w:szCs w:val="24"/>
          <w:highlight w:val="green"/>
          <w:u w:val="single"/>
          <w:lang w:val="en-US" w:eastAsia="zh-CN"/>
        </w:rPr>
        <w:t>9</w:t>
      </w:r>
      <w:r>
        <w:rPr>
          <w:rFonts w:hint="eastAsia" w:asciiTheme="minorEastAsia" w:hAnsiTheme="minorEastAsia" w:eastAsiaTheme="minorEastAsia" w:cstheme="minorEastAsia"/>
          <w:b/>
          <w:bCs/>
          <w:color w:val="000000"/>
          <w:sz w:val="24"/>
          <w:szCs w:val="24"/>
          <w:highlight w:val="green"/>
          <w:u w:val="single"/>
        </w:rPr>
        <w:t xml:space="preserve">:00 </w:t>
      </w:r>
      <w:r>
        <w:rPr>
          <w:rFonts w:hint="eastAsia" w:asciiTheme="minorEastAsia" w:hAnsiTheme="minorEastAsia" w:eastAsiaTheme="minorEastAsia" w:cstheme="minorEastAsia"/>
          <w:b/>
          <w:color w:val="000000"/>
          <w:sz w:val="24"/>
          <w:szCs w:val="24"/>
          <w:highlight w:val="green"/>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w:t>
      </w:r>
      <w:bookmarkStart w:id="29" w:name="_GoBack"/>
      <w:bookmarkEnd w:id="29"/>
      <w:r>
        <w:rPr>
          <w:rFonts w:hint="eastAsia" w:asciiTheme="minorEastAsia" w:hAnsiTheme="minorEastAsia" w:eastAsiaTheme="minorEastAsia" w:cstheme="minorEastAsia"/>
          <w:b w:val="0"/>
          <w:bCs/>
          <w:color w:val="000000"/>
          <w:sz w:val="24"/>
          <w:szCs w:val="24"/>
          <w:highlight w:val="none"/>
          <w:u w:val="single"/>
          <w:lang w:val="en-US" w:eastAsia="zh-CN"/>
        </w:rPr>
        <w:t>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14:paraId="446D7AD1">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名称：中国重汽集团济南卡车股份有限公司</w:t>
      </w:r>
    </w:p>
    <w:p w14:paraId="3D63B89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账号：531900051810601</w:t>
      </w:r>
    </w:p>
    <w:p w14:paraId="5FB7C51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户名：中国重汽集团济南卡车股份有限公司</w:t>
      </w:r>
    </w:p>
    <w:p w14:paraId="3A90394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开户银行：招商银行股份有限公司济南分行营业部</w:t>
      </w:r>
    </w:p>
    <w:p w14:paraId="1AE3FB0C">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green"/>
        </w:rPr>
      </w:pPr>
      <w:r>
        <w:rPr>
          <w:rFonts w:hint="eastAsia" w:ascii="宋体" w:hAnsi="宋体" w:eastAsia="宋体" w:cs="宋体"/>
          <w:b/>
          <w:bCs/>
          <w:color w:val="000000"/>
          <w:kern w:val="0"/>
          <w:sz w:val="24"/>
          <w:szCs w:val="24"/>
          <w:highlight w:val="yellow"/>
        </w:rPr>
        <w:t xml:space="preserve">联行号：308451028020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2"/>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2"/>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2"/>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30"/>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30"/>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30"/>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30"/>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2"/>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2"/>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1" w:name="OLE_LINK28"/>
      <w:bookmarkStart w:id="12" w:name="OLE_LINK27"/>
      <w:bookmarkStart w:id="13" w:name="OLE_LINK25"/>
      <w:bookmarkStart w:id="14" w:name="OLE_LINK26"/>
      <w:bookmarkStart w:id="15" w:name="OLE_LINK29"/>
      <w:r>
        <w:rPr>
          <w:rFonts w:hint="eastAsia" w:ascii="宋体" w:hAnsi="宋体" w:eastAsia="宋体" w:cs="宋体"/>
          <w:bCs/>
          <w:sz w:val="24"/>
          <w:szCs w:val="24"/>
          <w:highlight w:val="none"/>
        </w:rPr>
        <w:t>；</w:t>
      </w:r>
      <w:bookmarkEnd w:id="11"/>
      <w:bookmarkEnd w:id="12"/>
      <w:bookmarkEnd w:id="13"/>
      <w:bookmarkEnd w:id="14"/>
      <w:bookmarkEnd w:id="15"/>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5365F01B">
      <w:pPr>
        <w:keepNext/>
        <w:keepLines/>
        <w:spacing w:before="120" w:after="120" w:line="480" w:lineRule="exact"/>
        <w:jc w:val="center"/>
        <w:outlineLvl w:val="1"/>
        <w:rPr>
          <w:rFonts w:hint="eastAsia" w:ascii="宋体" w:hAnsi="宋体" w:eastAsia="宋体" w:cs="Times New Roman"/>
          <w:b/>
          <w:bCs/>
          <w:kern w:val="44"/>
          <w:sz w:val="28"/>
          <w:szCs w:val="28"/>
        </w:rPr>
      </w:pPr>
      <w:bookmarkStart w:id="16" w:name="_Toc169605877"/>
      <w:r>
        <w:rPr>
          <w:rFonts w:hint="eastAsia" w:ascii="宋体" w:hAnsi="宋体" w:eastAsia="宋体" w:cs="Times New Roman"/>
          <w:b/>
          <w:bCs/>
          <w:kern w:val="44"/>
          <w:sz w:val="28"/>
          <w:szCs w:val="28"/>
        </w:rPr>
        <w:t>第一章采购货物概况</w:t>
      </w:r>
      <w:bookmarkEnd w:id="16"/>
    </w:p>
    <w:p w14:paraId="5BE055DA">
      <w:pPr>
        <w:keepNext/>
        <w:keepLines/>
        <w:spacing w:before="120" w:after="120" w:line="480" w:lineRule="exact"/>
        <w:jc w:val="center"/>
        <w:outlineLvl w:val="2"/>
        <w:rPr>
          <w:rFonts w:hint="eastAsia" w:ascii="宋体" w:hAnsi="宋体" w:eastAsia="宋体" w:cs="Times New Roman"/>
          <w:b/>
          <w:bCs/>
          <w:sz w:val="24"/>
          <w:szCs w:val="24"/>
        </w:rPr>
      </w:pPr>
      <w:bookmarkStart w:id="17" w:name="_Toc169605878"/>
      <w:r>
        <w:rPr>
          <w:rFonts w:hint="eastAsia" w:ascii="宋体" w:hAnsi="宋体" w:eastAsia="宋体" w:cs="Times New Roman"/>
          <w:b/>
          <w:bCs/>
          <w:sz w:val="24"/>
          <w:szCs w:val="24"/>
        </w:rPr>
        <w:t>第一节使用环境</w:t>
      </w:r>
      <w:bookmarkEnd w:id="17"/>
    </w:p>
    <w:p w14:paraId="7524C766">
      <w:pPr>
        <w:keepNext/>
        <w:keepLines/>
        <w:jc w:val="left"/>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莱芜工厂辊压线废料再利用-新增全向搬运车项目</w:t>
      </w:r>
    </w:p>
    <w:p w14:paraId="6CE5C363">
      <w:pPr>
        <w:spacing w:line="360" w:lineRule="auto"/>
        <w:outlineLvl w:val="3"/>
        <w:rPr>
          <w:rFonts w:hint="eastAsia" w:ascii="宋体" w:hAnsi="宋体" w:eastAsia="宋体" w:cs="宋体"/>
          <w:color w:val="000000"/>
          <w:sz w:val="24"/>
          <w:szCs w:val="24"/>
          <w:u w:val="single"/>
          <w:lang w:eastAsia="zh-CN"/>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p>
    <w:p w14:paraId="13D5BB33">
      <w:pPr>
        <w:spacing w:line="360" w:lineRule="auto"/>
        <w:outlineLvl w:val="3"/>
        <w:rPr>
          <w:rFonts w:hint="eastAsia"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w:t>
      </w:r>
      <w:r>
        <w:rPr>
          <w:rFonts w:hint="eastAsia" w:ascii="宋体" w:hAnsi="宋体" w:eastAsia="宋体" w:cs="宋体"/>
          <w:color w:val="000000"/>
          <w:sz w:val="24"/>
          <w:szCs w:val="24"/>
          <w:u w:val="single"/>
          <w:lang w:eastAsia="zh-CN"/>
        </w:rPr>
        <w:t>济南卡车制造公司</w:t>
      </w:r>
      <w:r>
        <w:rPr>
          <w:rFonts w:hint="eastAsia" w:ascii="宋体" w:hAnsi="宋体" w:eastAsia="宋体" w:cs="宋体"/>
          <w:color w:val="000000"/>
          <w:sz w:val="24"/>
          <w:szCs w:val="24"/>
          <w:u w:val="single"/>
          <w:lang w:val="en-US" w:eastAsia="zh-CN"/>
        </w:rPr>
        <w:t>莱芜</w:t>
      </w:r>
      <w:r>
        <w:rPr>
          <w:rFonts w:hint="eastAsia" w:ascii="宋体" w:hAnsi="宋体" w:eastAsia="宋体" w:cs="宋体"/>
          <w:color w:val="000000"/>
          <w:sz w:val="24"/>
          <w:szCs w:val="24"/>
          <w:u w:val="single"/>
        </w:rPr>
        <w:t>工厂</w:t>
      </w:r>
    </w:p>
    <w:p w14:paraId="1915724F">
      <w:pPr>
        <w:pStyle w:val="152"/>
        <w:spacing w:line="360" w:lineRule="auto"/>
        <w:ind w:left="480" w:hanging="480" w:firstLineChars="0"/>
        <w:outlineLvl w:val="3"/>
        <w:rPr>
          <w:rFonts w:hint="eastAsia"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9C744FA">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C98D1B5">
      <w:pPr>
        <w:pStyle w:val="7"/>
        <w:tabs>
          <w:tab w:val="left" w:pos="1134"/>
        </w:tabs>
        <w:spacing w:line="360" w:lineRule="auto"/>
        <w:ind w:left="480" w:firstLine="0"/>
        <w:rPr>
          <w:rFonts w:hint="eastAsia"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09BFDE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53D8D95B">
      <w:pPr>
        <w:spacing w:line="360" w:lineRule="auto"/>
        <w:ind w:firstLine="480" w:firstLineChars="200"/>
        <w:outlineLvl w:val="3"/>
        <w:rPr>
          <w:rFonts w:hint="eastAsia"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6841B6D">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3BD8A493">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6.水：市政自来水0.25MPa(0.15-0.35MPa); </w:t>
      </w:r>
    </w:p>
    <w:p w14:paraId="374EA33F">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1C9904B">
      <w:pPr>
        <w:spacing w:line="360" w:lineRule="auto"/>
        <w:ind w:firstLine="480" w:firstLineChars="200"/>
        <w:outlineLvl w:val="3"/>
        <w:rPr>
          <w:rFonts w:hint="eastAsia" w:ascii="宋体" w:hAnsi="宋体" w:eastAsia="宋体" w:cs="宋体"/>
          <w:sz w:val="24"/>
          <w:szCs w:val="24"/>
        </w:rPr>
      </w:pPr>
      <w:r>
        <w:rPr>
          <w:rFonts w:hint="eastAsia" w:ascii="宋体" w:hAnsi="宋体" w:eastAsia="宋体" w:cs="宋体"/>
          <w:sz w:val="24"/>
          <w:szCs w:val="24"/>
        </w:rPr>
        <w:t>8.压缩空气：厂区空压机自产压缩空气，0.55～0.7 Mpa。</w:t>
      </w:r>
    </w:p>
    <w:p w14:paraId="2A08D558">
      <w:pPr>
        <w:spacing w:line="360" w:lineRule="auto"/>
        <w:rPr>
          <w:rFonts w:hint="eastAsia"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83B7CF">
      <w:pPr>
        <w:keepNext/>
        <w:keepLines/>
        <w:spacing w:before="120" w:after="120" w:line="480" w:lineRule="exact"/>
        <w:jc w:val="center"/>
        <w:outlineLvl w:val="2"/>
        <w:rPr>
          <w:rFonts w:hint="eastAsia"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07D048BD">
      <w:pPr>
        <w:pStyle w:val="152"/>
        <w:numPr>
          <w:ilvl w:val="0"/>
          <w:numId w:val="9"/>
        </w:numPr>
        <w:spacing w:line="420" w:lineRule="exact"/>
        <w:ind w:firstLineChars="0"/>
        <w:outlineLvl w:val="3"/>
        <w:rPr>
          <w:rFonts w:hint="eastAsia" w:ascii="宋体" w:hAnsi="宋体" w:eastAsia="宋体"/>
          <w:bCs/>
          <w:sz w:val="24"/>
          <w:szCs w:val="24"/>
        </w:rPr>
      </w:pPr>
      <w:r>
        <w:rPr>
          <w:rFonts w:hint="eastAsia" w:ascii="宋体" w:hAnsi="宋体" w:eastAsia="宋体"/>
          <w:b/>
          <w:sz w:val="24"/>
          <w:szCs w:val="24"/>
        </w:rPr>
        <w:t>货物名称：</w:t>
      </w:r>
      <w:r>
        <w:rPr>
          <w:rFonts w:hint="eastAsia" w:ascii="宋体" w:hAnsi="宋体" w:eastAsia="宋体"/>
          <w:sz w:val="24"/>
          <w:szCs w:val="24"/>
          <w:u w:val="none"/>
          <w:lang w:val="en-US" w:eastAsia="zh-CN"/>
        </w:rPr>
        <w:t>全向搬运车5吨</w:t>
      </w:r>
    </w:p>
    <w:p w14:paraId="099DB490">
      <w:pPr>
        <w:spacing w:line="420" w:lineRule="exact"/>
        <w:outlineLvl w:val="3"/>
        <w:rPr>
          <w:rFonts w:hint="eastAsia"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52814DEC">
      <w:pPr>
        <w:spacing w:line="420" w:lineRule="exact"/>
        <w:outlineLvl w:val="3"/>
        <w:rPr>
          <w:rFonts w:hint="eastAsia"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sz w:val="24"/>
          <w:szCs w:val="24"/>
        </w:rPr>
        <w:t>不允许</w:t>
      </w:r>
    </w:p>
    <w:p w14:paraId="11A43440">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680"/>
        <w:gridCol w:w="1408"/>
        <w:gridCol w:w="498"/>
        <w:gridCol w:w="708"/>
        <w:gridCol w:w="1276"/>
        <w:gridCol w:w="2413"/>
      </w:tblGrid>
      <w:tr w14:paraId="3635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17" w:type="dxa"/>
            <w:noWrap w:val="0"/>
            <w:vAlign w:val="center"/>
          </w:tcPr>
          <w:p w14:paraId="5765B69B">
            <w:pPr>
              <w:spacing w:line="360" w:lineRule="exact"/>
              <w:jc w:val="center"/>
              <w:rPr>
                <w:rFonts w:hint="eastAsia" w:ascii="宋体" w:hAnsi="宋体" w:eastAsia="宋体"/>
                <w:b/>
              </w:rPr>
            </w:pPr>
            <w:r>
              <w:rPr>
                <w:rFonts w:hint="eastAsia" w:ascii="宋体" w:hAnsi="宋体" w:eastAsia="宋体"/>
                <w:b/>
              </w:rPr>
              <w:t>序号</w:t>
            </w:r>
          </w:p>
        </w:tc>
        <w:tc>
          <w:tcPr>
            <w:tcW w:w="1680" w:type="dxa"/>
            <w:noWrap w:val="0"/>
            <w:vAlign w:val="center"/>
          </w:tcPr>
          <w:p w14:paraId="1C54C790">
            <w:pPr>
              <w:spacing w:line="360" w:lineRule="exact"/>
              <w:jc w:val="center"/>
              <w:rPr>
                <w:rFonts w:hint="eastAsia" w:ascii="宋体" w:hAnsi="宋体" w:eastAsia="宋体"/>
                <w:b/>
              </w:rPr>
            </w:pPr>
            <w:r>
              <w:rPr>
                <w:rFonts w:hint="eastAsia" w:ascii="宋体" w:hAnsi="宋体" w:eastAsia="宋体"/>
                <w:b/>
              </w:rPr>
              <w:t>名称</w:t>
            </w:r>
          </w:p>
        </w:tc>
        <w:tc>
          <w:tcPr>
            <w:tcW w:w="1408" w:type="dxa"/>
            <w:noWrap w:val="0"/>
            <w:vAlign w:val="center"/>
          </w:tcPr>
          <w:p w14:paraId="2079C42A">
            <w:pPr>
              <w:spacing w:line="360" w:lineRule="exact"/>
              <w:jc w:val="center"/>
              <w:rPr>
                <w:rFonts w:hint="eastAsia" w:ascii="宋体" w:hAnsi="宋体" w:eastAsia="宋体"/>
                <w:b/>
              </w:rPr>
            </w:pPr>
            <w:r>
              <w:rPr>
                <w:rFonts w:hint="eastAsia" w:ascii="宋体" w:hAnsi="宋体" w:eastAsia="宋体"/>
                <w:b/>
              </w:rPr>
              <w:t>规格</w:t>
            </w:r>
          </w:p>
        </w:tc>
        <w:tc>
          <w:tcPr>
            <w:tcW w:w="498" w:type="dxa"/>
            <w:noWrap w:val="0"/>
            <w:vAlign w:val="center"/>
          </w:tcPr>
          <w:p w14:paraId="46403E76">
            <w:pPr>
              <w:spacing w:line="360" w:lineRule="exact"/>
              <w:jc w:val="center"/>
              <w:rPr>
                <w:rFonts w:hint="eastAsia" w:ascii="宋体" w:hAnsi="宋体" w:eastAsia="宋体"/>
                <w:b/>
              </w:rPr>
            </w:pPr>
            <w:r>
              <w:rPr>
                <w:rFonts w:hint="eastAsia" w:ascii="宋体" w:hAnsi="宋体" w:eastAsia="宋体"/>
                <w:b/>
              </w:rPr>
              <w:t>单位</w:t>
            </w:r>
          </w:p>
        </w:tc>
        <w:tc>
          <w:tcPr>
            <w:tcW w:w="708" w:type="dxa"/>
            <w:noWrap w:val="0"/>
            <w:vAlign w:val="center"/>
          </w:tcPr>
          <w:p w14:paraId="2DC90CEA">
            <w:pPr>
              <w:spacing w:line="360" w:lineRule="exact"/>
              <w:jc w:val="center"/>
              <w:rPr>
                <w:rFonts w:hint="eastAsia" w:ascii="宋体" w:hAnsi="宋体" w:eastAsia="宋体"/>
                <w:b/>
              </w:rPr>
            </w:pPr>
            <w:r>
              <w:rPr>
                <w:rFonts w:hint="eastAsia" w:ascii="宋体" w:hAnsi="宋体" w:eastAsia="宋体"/>
                <w:b/>
              </w:rPr>
              <w:t>数量</w:t>
            </w:r>
          </w:p>
        </w:tc>
        <w:tc>
          <w:tcPr>
            <w:tcW w:w="1276" w:type="dxa"/>
            <w:noWrap w:val="0"/>
            <w:vAlign w:val="center"/>
          </w:tcPr>
          <w:p w14:paraId="4A85547E">
            <w:pPr>
              <w:spacing w:line="360" w:lineRule="exact"/>
              <w:jc w:val="center"/>
              <w:rPr>
                <w:rFonts w:hint="eastAsia" w:ascii="宋体" w:hAnsi="宋体" w:eastAsia="宋体"/>
                <w:b/>
              </w:rPr>
            </w:pPr>
            <w:r>
              <w:rPr>
                <w:rFonts w:hint="eastAsia" w:ascii="宋体" w:hAnsi="宋体" w:eastAsia="宋体"/>
                <w:b/>
              </w:rPr>
              <w:t>交货方式</w:t>
            </w:r>
          </w:p>
        </w:tc>
        <w:tc>
          <w:tcPr>
            <w:tcW w:w="2413" w:type="dxa"/>
            <w:noWrap w:val="0"/>
            <w:vAlign w:val="center"/>
          </w:tcPr>
          <w:p w14:paraId="7A43A0CE">
            <w:pPr>
              <w:spacing w:line="360" w:lineRule="exact"/>
              <w:jc w:val="center"/>
              <w:rPr>
                <w:rFonts w:hint="eastAsia" w:ascii="宋体" w:hAnsi="宋体" w:eastAsia="宋体"/>
                <w:b/>
              </w:rPr>
            </w:pPr>
            <w:r>
              <w:rPr>
                <w:rFonts w:hint="eastAsia" w:ascii="宋体" w:hAnsi="宋体" w:eastAsia="宋体"/>
                <w:b/>
              </w:rPr>
              <w:t>备注</w:t>
            </w:r>
          </w:p>
        </w:tc>
      </w:tr>
      <w:tr w14:paraId="66D1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17" w:type="dxa"/>
            <w:noWrap w:val="0"/>
            <w:vAlign w:val="center"/>
          </w:tcPr>
          <w:p w14:paraId="1676888B">
            <w:pPr>
              <w:spacing w:line="360" w:lineRule="exact"/>
              <w:jc w:val="center"/>
              <w:rPr>
                <w:rFonts w:hint="eastAsia" w:ascii="宋体" w:hAnsi="宋体" w:eastAsia="宋体"/>
                <w:b/>
              </w:rPr>
            </w:pPr>
            <w:r>
              <w:rPr>
                <w:rFonts w:hint="eastAsia" w:ascii="宋体" w:hAnsi="宋体" w:eastAsia="宋体"/>
                <w:b/>
              </w:rPr>
              <w:t>1</w:t>
            </w:r>
          </w:p>
        </w:tc>
        <w:tc>
          <w:tcPr>
            <w:tcW w:w="1680" w:type="dxa"/>
            <w:noWrap w:val="0"/>
            <w:vAlign w:val="center"/>
          </w:tcPr>
          <w:p w14:paraId="410C7CE0">
            <w:pPr>
              <w:widowControl/>
              <w:jc w:val="center"/>
              <w:rPr>
                <w:rFonts w:hint="default" w:ascii="仿宋_GB2312" w:hAnsi="仿宋_GB2312" w:eastAsia="仿宋_GB2312" w:cs="仿宋_GB2312"/>
                <w:color w:val="000000"/>
                <w:kern w:val="0"/>
                <w:sz w:val="24"/>
                <w:szCs w:val="24"/>
                <w:lang w:val="en-US" w:eastAsia="zh-CN"/>
              </w:rPr>
            </w:pPr>
            <w:r>
              <w:rPr>
                <w:rFonts w:hint="eastAsia" w:ascii="宋体" w:hAnsi="宋体" w:eastAsia="宋体"/>
                <w:sz w:val="24"/>
                <w:szCs w:val="24"/>
                <w:u w:val="none"/>
                <w:lang w:val="en-US" w:eastAsia="zh-CN"/>
              </w:rPr>
              <w:t>全向搬运车</w:t>
            </w:r>
          </w:p>
        </w:tc>
        <w:tc>
          <w:tcPr>
            <w:tcW w:w="1408" w:type="dxa"/>
            <w:noWrap w:val="0"/>
            <w:vAlign w:val="center"/>
          </w:tcPr>
          <w:p w14:paraId="67796ED6">
            <w:pPr>
              <w:widowControl/>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纯电</w:t>
            </w:r>
          </w:p>
          <w:p w14:paraId="2EC255CA">
            <w:pPr>
              <w:widowControl/>
              <w:jc w:val="center"/>
              <w:rPr>
                <w:rFonts w:hint="default" w:ascii="宋体" w:hAnsi="宋体" w:eastAsia="仿宋_GB2312"/>
                <w:b/>
                <w:bCs/>
                <w:lang w:val="en-US" w:eastAsia="zh-CN"/>
              </w:rPr>
            </w:pPr>
            <w:r>
              <w:rPr>
                <w:rFonts w:hint="eastAsia" w:ascii="仿宋_GB2312" w:hAnsi="仿宋_GB2312" w:eastAsia="仿宋_GB2312" w:cs="仿宋_GB2312"/>
                <w:color w:val="000000"/>
                <w:kern w:val="0"/>
                <w:sz w:val="24"/>
                <w:szCs w:val="24"/>
                <w:lang w:val="en-US" w:eastAsia="zh-CN"/>
              </w:rPr>
              <w:t>载重5吨</w:t>
            </w:r>
          </w:p>
        </w:tc>
        <w:tc>
          <w:tcPr>
            <w:tcW w:w="498" w:type="dxa"/>
            <w:noWrap w:val="0"/>
            <w:vAlign w:val="center"/>
          </w:tcPr>
          <w:p w14:paraId="489F9D7E">
            <w:pPr>
              <w:spacing w:line="360" w:lineRule="exact"/>
              <w:jc w:val="center"/>
              <w:rPr>
                <w:rFonts w:hint="eastAsia" w:ascii="宋体" w:hAnsi="宋体" w:eastAsia="宋体"/>
                <w:b/>
              </w:rPr>
            </w:pPr>
            <w:r>
              <w:rPr>
                <w:rFonts w:hint="eastAsia" w:ascii="宋体" w:hAnsi="宋体" w:eastAsia="宋体"/>
                <w:b/>
              </w:rPr>
              <w:t>套</w:t>
            </w:r>
          </w:p>
        </w:tc>
        <w:tc>
          <w:tcPr>
            <w:tcW w:w="708" w:type="dxa"/>
            <w:noWrap w:val="0"/>
            <w:vAlign w:val="center"/>
          </w:tcPr>
          <w:p w14:paraId="4323494E">
            <w:pPr>
              <w:spacing w:line="360" w:lineRule="exact"/>
              <w:jc w:val="center"/>
              <w:rPr>
                <w:rFonts w:hint="eastAsia" w:ascii="宋体" w:hAnsi="宋体" w:eastAsia="宋体"/>
                <w:b/>
              </w:rPr>
            </w:pPr>
            <w:r>
              <w:rPr>
                <w:rFonts w:hint="eastAsia" w:ascii="宋体" w:hAnsi="宋体" w:eastAsia="宋体"/>
                <w:b/>
              </w:rPr>
              <w:t>1</w:t>
            </w:r>
          </w:p>
        </w:tc>
        <w:tc>
          <w:tcPr>
            <w:tcW w:w="1276" w:type="dxa"/>
            <w:noWrap w:val="0"/>
            <w:vAlign w:val="center"/>
          </w:tcPr>
          <w:p w14:paraId="1AF8B132">
            <w:pPr>
              <w:spacing w:line="360" w:lineRule="exact"/>
              <w:jc w:val="center"/>
              <w:rPr>
                <w:rFonts w:hint="eastAsia" w:ascii="宋体" w:hAnsi="宋体" w:eastAsia="宋体"/>
                <w:b/>
              </w:rPr>
            </w:pPr>
            <w:r>
              <w:rPr>
                <w:rFonts w:hint="eastAsia" w:ascii="宋体" w:hAnsi="宋体" w:eastAsia="宋体"/>
                <w:b/>
              </w:rPr>
              <w:t>交钥匙方式</w:t>
            </w:r>
          </w:p>
        </w:tc>
        <w:tc>
          <w:tcPr>
            <w:tcW w:w="2413" w:type="dxa"/>
            <w:noWrap w:val="0"/>
            <w:vAlign w:val="center"/>
          </w:tcPr>
          <w:p w14:paraId="69E0A993">
            <w:pPr>
              <w:spacing w:line="360" w:lineRule="exact"/>
              <w:jc w:val="center"/>
              <w:rPr>
                <w:rFonts w:hint="default" w:ascii="宋体" w:hAnsi="宋体" w:eastAsia="宋体"/>
                <w:b/>
                <w:lang w:val="en-US" w:eastAsia="zh-CN"/>
              </w:rPr>
            </w:pPr>
            <w:r>
              <w:rPr>
                <w:rFonts w:hint="eastAsia" w:ascii="宋体" w:hAnsi="宋体" w:eastAsia="宋体"/>
                <w:b/>
                <w:lang w:val="en-US" w:eastAsia="zh-CN"/>
              </w:rPr>
              <w:t>含充电机及其他附件</w:t>
            </w:r>
          </w:p>
        </w:tc>
      </w:tr>
    </w:tbl>
    <w:p w14:paraId="0EDFE93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14:paraId="45C12E0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4DDFF9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E4CA9B1">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lang w:val="en-US" w:eastAsia="zh-CN"/>
        </w:rPr>
        <w:t>3.</w:t>
      </w:r>
      <w:r>
        <w:rPr>
          <w:rFonts w:hint="eastAsia" w:ascii="宋体" w:hAnsi="宋体" w:eastAsia="宋体" w:cs="宋体"/>
          <w:bCs/>
          <w:sz w:val="24"/>
          <w:szCs w:val="24"/>
          <w:highlight w:val="none"/>
          <w:lang w:val="en-US" w:eastAsia="zh-CN"/>
        </w:rPr>
        <w:t>交货期：中标通知书发布之日起60日内到货，接续30天调试完成。</w:t>
      </w:r>
    </w:p>
    <w:p w14:paraId="36085758">
      <w:pPr>
        <w:spacing w:line="360" w:lineRule="auto"/>
        <w:outlineLvl w:val="3"/>
        <w:rPr>
          <w:rFonts w:hint="eastAsia"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185D626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66A99D2">
      <w:pPr>
        <w:spacing w:line="360" w:lineRule="auto"/>
        <w:rPr>
          <w:rFonts w:hint="eastAsia" w:ascii="宋体" w:hAnsi="宋体" w:eastAsia="宋体"/>
          <w:sz w:val="24"/>
          <w:szCs w:val="24"/>
        </w:rPr>
      </w:pPr>
      <w:r>
        <w:rPr>
          <w:rFonts w:hint="eastAsia" w:ascii="宋体" w:hAnsi="宋体" w:eastAsia="宋体"/>
          <w:b/>
          <w:sz w:val="24"/>
          <w:szCs w:val="24"/>
        </w:rPr>
        <w:t>五、投标要求</w:t>
      </w:r>
    </w:p>
    <w:p w14:paraId="7858914E">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1、投标方须对防冻液真空加注机提升总装线适应性改造项目施工详细内容充分分析，识别出总装产线需要变更的变化点并提供详细的工艺方案，同时以此为报价基础。</w:t>
      </w:r>
    </w:p>
    <w:p w14:paraId="0374B21A">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2、中标人对设备质量和可靠性负责。</w:t>
      </w:r>
    </w:p>
    <w:p w14:paraId="24193A2D">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审查施工图纸，在工艺流程、布置及油壶口位置不变的情况下，如发现问题，可对加注形式、设备结构、用电量等工艺参数提出修改意见和改进措施。对设备的运转质量负最终责任。对设计修改部分提供完整技术资料。</w:t>
      </w:r>
    </w:p>
    <w:p w14:paraId="1968E896">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5D188F4E">
      <w:pPr>
        <w:spacing w:line="360" w:lineRule="auto"/>
        <w:ind w:firstLine="480" w:firstLineChars="200"/>
        <w:rPr>
          <w:rFonts w:hint="eastAsia" w:ascii="宋体" w:hAnsi="宋体" w:eastAsia="宋体"/>
          <w:bCs/>
          <w:sz w:val="24"/>
          <w:szCs w:val="24"/>
          <w:highlight w:val="none"/>
        </w:rPr>
      </w:pPr>
      <w:r>
        <w:rPr>
          <w:rFonts w:hint="eastAsia" w:ascii="宋体" w:hAnsi="宋体" w:eastAsia="宋体"/>
          <w:bCs/>
          <w:sz w:val="24"/>
          <w:szCs w:val="24"/>
          <w:highlight w:val="none"/>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和性价比综合考虑、充分论证；</w:t>
      </w:r>
    </w:p>
    <w:p w14:paraId="51027CDE">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Times New Roman"/>
          <w:bCs/>
          <w:kern w:val="2"/>
          <w:sz w:val="24"/>
          <w:szCs w:val="24"/>
          <w:highlight w:val="none"/>
          <w:lang w:val="en-US" w:eastAsia="zh-CN" w:bidi="ar-SA"/>
        </w:rPr>
      </w:pPr>
      <w:r>
        <w:rPr>
          <w:rFonts w:hint="eastAsia" w:ascii="宋体" w:hAnsi="宋体" w:eastAsia="宋体" w:cs="Times New Roman"/>
          <w:bCs/>
          <w:kern w:val="2"/>
          <w:sz w:val="24"/>
          <w:szCs w:val="24"/>
          <w:highlight w:val="none"/>
          <w:lang w:val="en-US" w:eastAsia="zh-CN" w:bidi="ar-SA"/>
        </w:rPr>
        <w:t>变频电机、伺服电机不做强制要求。</w:t>
      </w:r>
    </w:p>
    <w:p w14:paraId="394946E2">
      <w:pPr>
        <w:pStyle w:val="1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highlight w:val="none"/>
        </w:rPr>
      </w:pPr>
      <w:r>
        <w:rPr>
          <w:rFonts w:hint="eastAsia" w:ascii="宋体" w:hAnsi="宋体" w:eastAsia="宋体" w:cs="Times New Roman"/>
          <w:bCs/>
          <w:kern w:val="2"/>
          <w:sz w:val="24"/>
          <w:szCs w:val="24"/>
          <w:highlight w:val="none"/>
          <w:lang w:val="en-US" w:eastAsia="zh-CN" w:bidi="ar-SA"/>
        </w:rPr>
        <w:t>断续工作制设备电机，不在国家能效</w:t>
      </w:r>
      <w:r>
        <w:rPr>
          <w:rFonts w:hint="eastAsia" w:ascii="宋体" w:hAnsi="宋体" w:eastAsia="宋体"/>
          <w:bCs/>
          <w:sz w:val="24"/>
          <w:szCs w:val="24"/>
          <w:highlight w:val="none"/>
          <w:lang w:eastAsia="zh-CN"/>
        </w:rPr>
        <w:t>认证范围内，</w:t>
      </w:r>
      <w:r>
        <w:rPr>
          <w:rFonts w:hint="eastAsia" w:ascii="宋体" w:hAnsi="宋体" w:eastAsia="宋体"/>
          <w:bCs/>
          <w:sz w:val="24"/>
          <w:szCs w:val="24"/>
          <w:highlight w:val="none"/>
          <w:lang w:val="en-US" w:eastAsia="zh-CN"/>
        </w:rPr>
        <w:t>不做强制要求。</w:t>
      </w:r>
    </w:p>
    <w:p w14:paraId="60F3989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1C918F6A">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主、辅材的采购、供应；</w:t>
      </w:r>
    </w:p>
    <w:p w14:paraId="51D34F0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非标设备的加工、制作、安装；</w:t>
      </w:r>
    </w:p>
    <w:p w14:paraId="6C5AB7AE">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1C0BF1B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25BE9032">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建立健全安全、保卫、卫生、消防制度，保证工程顺利进行；</w:t>
      </w:r>
    </w:p>
    <w:p w14:paraId="6594D907">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施工人员的食宿及费用；</w:t>
      </w:r>
    </w:p>
    <w:p w14:paraId="3B09ECEC">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安装现场制作所需的设备、工具；</w:t>
      </w:r>
    </w:p>
    <w:p w14:paraId="47CE73F3">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配合业主方、设计院进行工艺调试；</w:t>
      </w:r>
    </w:p>
    <w:p w14:paraId="02589914">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负责人员培训及售后服务；</w:t>
      </w:r>
    </w:p>
    <w:p w14:paraId="56DCD5FF">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从生产厂到交货地点的包装、运输；</w:t>
      </w:r>
    </w:p>
    <w:p w14:paraId="2725109D">
      <w:pPr>
        <w:numPr>
          <w:ilvl w:val="0"/>
          <w:numId w:val="10"/>
        </w:numPr>
        <w:spacing w:line="360" w:lineRule="auto"/>
        <w:rPr>
          <w:rFonts w:hint="eastAsia"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268F8734">
      <w:pPr>
        <w:numPr>
          <w:ilvl w:val="0"/>
          <w:numId w:val="10"/>
        </w:numPr>
        <w:spacing w:line="360" w:lineRule="auto"/>
        <w:rPr>
          <w:rFonts w:hint="eastAsia" w:ascii="宋体" w:hAnsi="宋体" w:eastAsia="宋体"/>
          <w:bCs/>
          <w:sz w:val="24"/>
          <w:szCs w:val="24"/>
        </w:rPr>
      </w:pPr>
      <w:bookmarkStart w:id="18" w:name="_Hlk206399421"/>
      <w:r>
        <w:rPr>
          <w:rFonts w:hint="eastAsia" w:ascii="宋体" w:hAnsi="宋体" w:eastAsia="宋体"/>
          <w:bCs/>
          <w:sz w:val="24"/>
          <w:szCs w:val="24"/>
        </w:rPr>
        <w:t>其他甲方的施工要求。</w:t>
      </w:r>
    </w:p>
    <w:bookmarkEnd w:id="18"/>
    <w:p w14:paraId="7E490337">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6DE8BDC">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7、中标方服从招标方对现场、安全的管理。</w:t>
      </w:r>
    </w:p>
    <w:p w14:paraId="697034F2">
      <w:pPr>
        <w:widowControl/>
        <w:spacing w:line="360" w:lineRule="auto"/>
        <w:jc w:val="left"/>
        <w:rPr>
          <w:rFonts w:hint="eastAsia" w:ascii="宋体" w:hAnsi="宋体" w:eastAsia="宋体"/>
          <w:sz w:val="24"/>
          <w:szCs w:val="24"/>
        </w:rPr>
      </w:pPr>
    </w:p>
    <w:p w14:paraId="0F838CE8">
      <w:pPr>
        <w:widowControl/>
        <w:spacing w:line="360" w:lineRule="auto"/>
        <w:jc w:val="left"/>
        <w:rPr>
          <w:rFonts w:hint="eastAsia" w:ascii="宋体" w:hAnsi="宋体" w:eastAsia="宋体"/>
          <w:sz w:val="24"/>
          <w:szCs w:val="24"/>
        </w:rPr>
      </w:pPr>
    </w:p>
    <w:p w14:paraId="17B0616A">
      <w:pPr>
        <w:rPr>
          <w:rFonts w:hint="eastAsia" w:ascii="宋体" w:hAnsi="宋体" w:eastAsia="宋体" w:cs="Times New Roman"/>
          <w:b/>
          <w:bCs/>
          <w:kern w:val="44"/>
          <w:sz w:val="28"/>
          <w:szCs w:val="28"/>
        </w:rPr>
      </w:pPr>
      <w:bookmarkStart w:id="19" w:name="_Toc169605880"/>
      <w:bookmarkStart w:id="20" w:name="_Toc169605881"/>
      <w:r>
        <w:rPr>
          <w:rFonts w:hint="eastAsia" w:ascii="宋体" w:hAnsi="宋体" w:eastAsia="宋体" w:cs="Times New Roman"/>
          <w:b/>
          <w:bCs/>
          <w:kern w:val="44"/>
          <w:sz w:val="28"/>
          <w:szCs w:val="28"/>
        </w:rPr>
        <w:br w:type="page"/>
      </w:r>
    </w:p>
    <w:p w14:paraId="0278422A">
      <w:pPr>
        <w:keepNext/>
        <w:keepLines/>
        <w:spacing w:before="120" w:after="120" w:line="480" w:lineRule="exact"/>
        <w:jc w:val="center"/>
        <w:outlineLvl w:val="1"/>
        <w:rPr>
          <w:rFonts w:hint="eastAsia" w:ascii="宋体" w:hAnsi="宋体" w:eastAsia="宋体" w:cs="Times New Roman"/>
          <w:bCs/>
          <w:kern w:val="44"/>
          <w:sz w:val="28"/>
          <w:szCs w:val="28"/>
        </w:rPr>
      </w:pPr>
      <w:r>
        <w:rPr>
          <w:rFonts w:hint="eastAsia" w:ascii="宋体" w:hAnsi="宋体" w:eastAsia="宋体" w:cs="Times New Roman"/>
          <w:b/>
          <w:bCs/>
          <w:kern w:val="44"/>
          <w:sz w:val="28"/>
          <w:szCs w:val="28"/>
        </w:rPr>
        <w:t>第二章技术要求</w:t>
      </w:r>
      <w:bookmarkEnd w:id="19"/>
    </w:p>
    <w:p w14:paraId="7D1B531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79F24E66">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45746C2">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03C641A6">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.投标人认为所供货物必须由招标人配备、解决或提供的其它要求，如设备基础隔振和减振设施、软化水、洁净气源等，均应在投标文件“技术偏离”中予以充分说明。</w:t>
      </w:r>
    </w:p>
    <w:p w14:paraId="76B11A7D">
      <w:pPr>
        <w:spacing w:line="360" w:lineRule="auto"/>
        <w:ind w:firstLine="480" w:firstLineChars="200"/>
        <w:rPr>
          <w:rFonts w:hint="eastAsia"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B46E61">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FC906A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1BDA38E2">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46A4B87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0931B54F">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595CCD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E2A9858">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8E1531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1D6CE0B3">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E77509">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C1A5F3B">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19D394C8">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0099B08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0C7958F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5936A66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3F3E340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6653AB95">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02E87FC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595BC9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34C2DB7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0F3AD9A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18.投标方认为所供货物必须由招标方配备、解决或提供的其他要求，如设备基础隔振和减振设施、洁净气源等，均应在投标文件中予以充分说明。</w:t>
      </w:r>
    </w:p>
    <w:p w14:paraId="056F544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5D33375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016E3EB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7BCDF36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*22. 本项目中所有改造均不可影响</w:t>
      </w:r>
      <w:r>
        <w:rPr>
          <w:rFonts w:hint="eastAsia" w:ascii="Times New Roman" w:hAnsi="Times New Roman" w:eastAsia="宋体" w:cs="Times New Roman"/>
          <w:bCs/>
          <w:sz w:val="24"/>
          <w:szCs w:val="24"/>
          <w:lang w:val="en-US" w:eastAsia="zh-CN"/>
        </w:rPr>
        <w:t>卡车制造公司</w:t>
      </w:r>
      <w:r>
        <w:rPr>
          <w:rFonts w:hint="eastAsia" w:ascii="Times New Roman" w:hAnsi="Times New Roman" w:eastAsia="宋体" w:cs="Times New Roman"/>
          <w:bCs/>
          <w:sz w:val="24"/>
          <w:szCs w:val="24"/>
        </w:rPr>
        <w:t>正常生产。</w:t>
      </w:r>
    </w:p>
    <w:p w14:paraId="1FF8D7E3">
      <w:pPr>
        <w:spacing w:line="360" w:lineRule="auto"/>
        <w:ind w:firstLine="600" w:firstLineChars="250"/>
        <w:rPr>
          <w:rFonts w:hint="eastAsia"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55919E30">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5E92358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1.法律、法规、技术标准要求</w:t>
      </w:r>
    </w:p>
    <w:p w14:paraId="46B58D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双方签订的技术协议、双方会签的图纸、双方签订的会议纪要、安全规范和标准、防火规范和标准、环保规范和标准</w:t>
      </w:r>
      <w:r>
        <w:rPr>
          <w:rFonts w:hint="eastAsia" w:ascii="宋体" w:hAnsi="宋体" w:eastAsia="宋体" w:cs="宋体"/>
          <w:sz w:val="24"/>
          <w:szCs w:val="24"/>
          <w:lang w:eastAsia="zh-CN"/>
        </w:rPr>
        <w:t>。</w:t>
      </w:r>
    </w:p>
    <w:p w14:paraId="3B1151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国家和行业相关的</w:t>
      </w:r>
      <w:r>
        <w:rPr>
          <w:rFonts w:hint="eastAsia" w:ascii="宋体" w:hAnsi="宋体" w:eastAsia="宋体" w:cs="宋体"/>
          <w:sz w:val="24"/>
          <w:szCs w:val="24"/>
          <w:highlight w:val="none"/>
          <w:lang w:val="en-US" w:eastAsia="zh-CN"/>
        </w:rPr>
        <w:t>现行</w:t>
      </w:r>
      <w:r>
        <w:rPr>
          <w:rFonts w:hint="eastAsia" w:ascii="宋体" w:hAnsi="宋体" w:eastAsia="宋体" w:cs="宋体"/>
          <w:sz w:val="24"/>
          <w:szCs w:val="24"/>
          <w:highlight w:val="none"/>
        </w:rPr>
        <w:t>技术标准规范等。</w:t>
      </w:r>
    </w:p>
    <w:p w14:paraId="66B9B34C">
      <w:pPr>
        <w:pStyle w:val="45"/>
        <w:numPr>
          <w:ilvl w:val="0"/>
          <w:numId w:val="12"/>
        </w:numPr>
        <w:spacing w:before="156" w:after="156" w:line="320" w:lineRule="exact"/>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设备构成及主要技术说明</w:t>
      </w:r>
    </w:p>
    <w:p w14:paraId="0C43E6F6">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本项目采购车辆用于4.5-12米长纵梁的搬运。</w:t>
      </w:r>
    </w:p>
    <w:p w14:paraId="6CBE6B43">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最大起升高度大于4米。</w:t>
      </w:r>
    </w:p>
    <w:p w14:paraId="2B9806DD">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载重5吨。</w:t>
      </w:r>
    </w:p>
    <w:p w14:paraId="6D52F7C0">
      <w:pPr>
        <w:numPr>
          <w:ilvl w:val="0"/>
          <w:numId w:val="11"/>
        </w:numPr>
        <w:spacing w:line="360" w:lineRule="auto"/>
        <w:ind w:left="420" w:leftChars="0" w:hanging="42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路况包含室内水泥地面，室外柏油路。</w:t>
      </w:r>
    </w:p>
    <w:p w14:paraId="5A7CC970">
      <w:pPr>
        <w:numPr>
          <w:ilvl w:val="0"/>
          <w:numId w:val="0"/>
        </w:numPr>
        <w:spacing w:line="360" w:lineRule="auto"/>
        <w:ind w:leftChars="0"/>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756910" cy="2516505"/>
            <wp:effectExtent l="0" t="0" r="8890" b="10795"/>
            <wp:docPr id="10" name="图片 10" descr="eba91d55-8bf2-4957-a5aa-d86410455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ba91d55-8bf2-4957-a5aa-d86410455ec8"/>
                    <pic:cNvPicPr>
                      <a:picLocks noChangeAspect="1"/>
                    </pic:cNvPicPr>
                  </pic:nvPicPr>
                  <pic:blipFill>
                    <a:blip r:embed="rId22"/>
                    <a:stretch>
                      <a:fillRect/>
                    </a:stretch>
                  </pic:blipFill>
                  <pic:spPr>
                    <a:xfrm>
                      <a:off x="0" y="0"/>
                      <a:ext cx="5756910" cy="2516505"/>
                    </a:xfrm>
                    <a:prstGeom prst="rect">
                      <a:avLst/>
                    </a:prstGeom>
                  </pic:spPr>
                </pic:pic>
              </a:graphicData>
            </a:graphic>
          </wp:inline>
        </w:drawing>
      </w:r>
    </w:p>
    <w:p w14:paraId="64B03546">
      <w:pPr>
        <w:numPr>
          <w:ilvl w:val="0"/>
          <w:numId w:val="0"/>
        </w:numPr>
        <w:spacing w:line="360" w:lineRule="auto"/>
        <w:ind w:leftChars="0"/>
        <w:rPr>
          <w:rFonts w:hint="eastAsia" w:ascii="宋体" w:hAnsi="宋体" w:eastAsia="宋体" w:cs="宋体"/>
          <w:sz w:val="24"/>
          <w:szCs w:val="24"/>
          <w:highlight w:val="none"/>
        </w:rPr>
      </w:pPr>
    </w:p>
    <w:tbl>
      <w:tblPr>
        <w:tblStyle w:val="49"/>
        <w:tblW w:w="91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0"/>
        <w:gridCol w:w="710"/>
        <w:gridCol w:w="3348"/>
        <w:gridCol w:w="1276"/>
        <w:gridCol w:w="1465"/>
        <w:gridCol w:w="1651"/>
      </w:tblGrid>
      <w:tr w14:paraId="6293E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9160" w:type="dxa"/>
            <w:gridSpan w:val="6"/>
            <w:tcBorders>
              <w:top w:val="single" w:color="000000" w:sz="8" w:space="0"/>
              <w:left w:val="single" w:color="000000" w:sz="8" w:space="0"/>
              <w:bottom w:val="single" w:color="000000" w:sz="4" w:space="0"/>
              <w:right w:val="single" w:color="000000" w:sz="4" w:space="0"/>
            </w:tcBorders>
            <w:shd w:val="clear" w:color="auto" w:fill="auto"/>
            <w:noWrap/>
            <w:vAlign w:val="center"/>
          </w:tcPr>
          <w:p w14:paraId="42705EBA">
            <w:pPr>
              <w:keepNext w:val="0"/>
              <w:keepLines w:val="0"/>
              <w:widowControl/>
              <w:suppressLineNumbers w:val="0"/>
              <w:jc w:val="left"/>
              <w:textAlignment w:val="center"/>
              <w:rPr>
                <w:rFonts w:hint="default" w:ascii="宋体" w:hAnsi="宋体" w:eastAsia="宋体" w:cs="宋体"/>
                <w:b/>
                <w:bCs/>
                <w:i w:val="0"/>
                <w:iCs w:val="0"/>
                <w:color w:val="000000"/>
                <w:sz w:val="24"/>
                <w:szCs w:val="24"/>
                <w:highlight w:val="none"/>
                <w:u w:val="none"/>
                <w:lang w:val="en-US"/>
              </w:rPr>
            </w:pPr>
            <w:r>
              <w:rPr>
                <w:rFonts w:hint="eastAsia" w:ascii="宋体" w:hAnsi="宋体" w:eastAsia="宋体" w:cs="宋体"/>
                <w:b/>
                <w:bCs/>
                <w:i w:val="0"/>
                <w:iCs w:val="0"/>
                <w:color w:val="000000"/>
                <w:kern w:val="0"/>
                <w:sz w:val="24"/>
                <w:szCs w:val="24"/>
                <w:highlight w:val="none"/>
                <w:u w:val="none"/>
                <w:lang w:val="en-US" w:eastAsia="zh-CN" w:bidi="ar"/>
              </w:rPr>
              <w:t>2.1.推荐参数，以下为建议范围。</w:t>
            </w:r>
          </w:p>
        </w:tc>
      </w:tr>
      <w:tr w14:paraId="0F6DB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F1CFD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特性</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3C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3CD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型号</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B9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1B3A3B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5吨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B86D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备注</w:t>
            </w:r>
          </w:p>
        </w:tc>
      </w:tr>
      <w:tr w14:paraId="0CFD3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DCA58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6A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04C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动力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F21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B422B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电动</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F083136">
            <w:pPr>
              <w:jc w:val="center"/>
              <w:rPr>
                <w:rFonts w:hint="eastAsia" w:ascii="宋体" w:hAnsi="宋体" w:eastAsia="宋体" w:cs="宋体"/>
                <w:i w:val="0"/>
                <w:iCs w:val="0"/>
                <w:color w:val="000000"/>
                <w:sz w:val="20"/>
                <w:szCs w:val="20"/>
                <w:highlight w:val="none"/>
                <w:u w:val="none"/>
              </w:rPr>
            </w:pPr>
          </w:p>
        </w:tc>
      </w:tr>
      <w:tr w14:paraId="53C6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155EFA">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560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C0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驾驶方式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14E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8F53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座驾式</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4760C36">
            <w:pPr>
              <w:jc w:val="center"/>
              <w:rPr>
                <w:rFonts w:hint="eastAsia" w:ascii="宋体" w:hAnsi="宋体" w:eastAsia="宋体" w:cs="宋体"/>
                <w:i w:val="0"/>
                <w:iCs w:val="0"/>
                <w:color w:val="000000"/>
                <w:sz w:val="20"/>
                <w:szCs w:val="20"/>
                <w:highlight w:val="none"/>
                <w:u w:val="none"/>
              </w:rPr>
            </w:pPr>
          </w:p>
        </w:tc>
      </w:tr>
      <w:tr w14:paraId="19C8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281E90E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2E7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AEA4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额定载重量</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F6A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kg</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775C67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AD4A099">
            <w:pPr>
              <w:jc w:val="center"/>
              <w:rPr>
                <w:rFonts w:hint="eastAsia" w:ascii="宋体" w:hAnsi="宋体" w:eastAsia="宋体" w:cs="宋体"/>
                <w:i w:val="0"/>
                <w:iCs w:val="0"/>
                <w:color w:val="000000"/>
                <w:sz w:val="20"/>
                <w:szCs w:val="20"/>
                <w:highlight w:val="none"/>
                <w:u w:val="none"/>
              </w:rPr>
            </w:pPr>
          </w:p>
        </w:tc>
      </w:tr>
      <w:tr w14:paraId="3FD6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4F14E4">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DA4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66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载荷中心距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20F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F4903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1E6F060">
            <w:pPr>
              <w:jc w:val="center"/>
              <w:rPr>
                <w:rFonts w:hint="eastAsia" w:ascii="宋体" w:hAnsi="宋体" w:eastAsia="宋体" w:cs="宋体"/>
                <w:i w:val="0"/>
                <w:iCs w:val="0"/>
                <w:color w:val="000000"/>
                <w:sz w:val="20"/>
                <w:szCs w:val="20"/>
                <w:highlight w:val="none"/>
                <w:u w:val="none"/>
              </w:rPr>
            </w:pPr>
          </w:p>
        </w:tc>
      </w:tr>
      <w:tr w14:paraId="1BD89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C7F218">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FE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788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E2D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6F21CE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1200/150/50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7A0D4BF">
            <w:pPr>
              <w:jc w:val="center"/>
              <w:rPr>
                <w:rFonts w:hint="eastAsia" w:ascii="宋体" w:hAnsi="宋体" w:eastAsia="宋体" w:cs="宋体"/>
                <w:i w:val="0"/>
                <w:iCs w:val="0"/>
                <w:color w:val="000000"/>
                <w:sz w:val="20"/>
                <w:szCs w:val="20"/>
                <w:highlight w:val="none"/>
                <w:u w:val="none"/>
              </w:rPr>
            </w:pPr>
          </w:p>
        </w:tc>
      </w:tr>
      <w:tr w14:paraId="4CC7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383A60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1B2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2FF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门架倾角（前/后)</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12C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度数°</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7C33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0965D23">
            <w:pPr>
              <w:jc w:val="center"/>
              <w:rPr>
                <w:rFonts w:hint="eastAsia" w:ascii="宋体" w:hAnsi="宋体" w:eastAsia="宋体" w:cs="宋体"/>
                <w:i w:val="0"/>
                <w:iCs w:val="0"/>
                <w:color w:val="000000"/>
                <w:sz w:val="20"/>
                <w:szCs w:val="20"/>
                <w:highlight w:val="none"/>
                <w:u w:val="none"/>
              </w:rPr>
            </w:pPr>
          </w:p>
        </w:tc>
      </w:tr>
      <w:tr w14:paraId="6D27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98F1C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尺寸</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07D7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38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整车长度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753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557217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BB16D6">
            <w:pPr>
              <w:jc w:val="center"/>
              <w:rPr>
                <w:rFonts w:hint="eastAsia" w:ascii="宋体" w:hAnsi="宋体" w:eastAsia="宋体" w:cs="宋体"/>
                <w:i w:val="0"/>
                <w:iCs w:val="0"/>
                <w:color w:val="000000"/>
                <w:sz w:val="20"/>
                <w:szCs w:val="20"/>
                <w:highlight w:val="none"/>
                <w:u w:val="none"/>
              </w:rPr>
            </w:pPr>
          </w:p>
        </w:tc>
      </w:tr>
      <w:tr w14:paraId="3D510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58855F">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4F6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A4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车体宽度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1FB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A8A246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3000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76C31C">
            <w:pPr>
              <w:jc w:val="center"/>
              <w:rPr>
                <w:rFonts w:hint="eastAsia" w:ascii="宋体" w:hAnsi="宋体" w:eastAsia="宋体" w:cs="宋体"/>
                <w:i w:val="0"/>
                <w:iCs w:val="0"/>
                <w:color w:val="000000"/>
                <w:sz w:val="20"/>
                <w:szCs w:val="20"/>
                <w:highlight w:val="none"/>
                <w:u w:val="none"/>
              </w:rPr>
            </w:pPr>
          </w:p>
        </w:tc>
      </w:tr>
      <w:tr w14:paraId="29648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1549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2FF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82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EB2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52B55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8A78F5C">
            <w:pPr>
              <w:jc w:val="center"/>
              <w:rPr>
                <w:rFonts w:hint="eastAsia" w:ascii="宋体" w:hAnsi="宋体" w:eastAsia="宋体" w:cs="宋体"/>
                <w:i w:val="0"/>
                <w:iCs w:val="0"/>
                <w:color w:val="000000"/>
                <w:sz w:val="20"/>
                <w:szCs w:val="20"/>
                <w:highlight w:val="none"/>
                <w:u w:val="none"/>
              </w:rPr>
            </w:pPr>
          </w:p>
        </w:tc>
      </w:tr>
      <w:tr w14:paraId="3C1FE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35AB9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E5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3348" w:type="dxa"/>
            <w:tcBorders>
              <w:top w:val="nil"/>
              <w:left w:val="nil"/>
              <w:bottom w:val="nil"/>
              <w:right w:val="nil"/>
            </w:tcBorders>
            <w:shd w:val="clear" w:color="auto" w:fill="auto"/>
            <w:noWrap/>
            <w:vAlign w:val="center"/>
          </w:tcPr>
          <w:p w14:paraId="6BBFC9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门架闭合高度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BB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nil"/>
              <w:left w:val="nil"/>
              <w:bottom w:val="nil"/>
              <w:right w:val="nil"/>
            </w:tcBorders>
            <w:shd w:val="clear" w:color="auto" w:fill="auto"/>
            <w:noWrap/>
            <w:vAlign w:val="center"/>
          </w:tcPr>
          <w:p w14:paraId="62BC2948">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2590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7653572">
            <w:pPr>
              <w:jc w:val="center"/>
              <w:rPr>
                <w:rFonts w:hint="eastAsia" w:ascii="宋体" w:hAnsi="宋体" w:eastAsia="宋体" w:cs="宋体"/>
                <w:i w:val="0"/>
                <w:iCs w:val="0"/>
                <w:color w:val="000000"/>
                <w:sz w:val="20"/>
                <w:szCs w:val="20"/>
                <w:highlight w:val="none"/>
                <w:u w:val="none"/>
              </w:rPr>
            </w:pPr>
          </w:p>
        </w:tc>
      </w:tr>
      <w:tr w14:paraId="6C47E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304EF9">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0D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6D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作业时门架最大高度(含挡货架)</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530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C1281C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5635</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8C0EBA4">
            <w:pPr>
              <w:jc w:val="center"/>
              <w:rPr>
                <w:rFonts w:hint="eastAsia" w:ascii="宋体" w:hAnsi="宋体" w:eastAsia="宋体" w:cs="宋体"/>
                <w:i w:val="0"/>
                <w:iCs w:val="0"/>
                <w:color w:val="000000"/>
                <w:sz w:val="20"/>
                <w:szCs w:val="20"/>
                <w:highlight w:val="none"/>
                <w:u w:val="none"/>
              </w:rPr>
            </w:pPr>
          </w:p>
        </w:tc>
      </w:tr>
      <w:tr w14:paraId="3DD4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4999B34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70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739D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护顶架高度</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B5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04BC1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2680/2550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A0BA39">
            <w:pPr>
              <w:jc w:val="center"/>
              <w:rPr>
                <w:rFonts w:hint="eastAsia" w:ascii="宋体" w:hAnsi="宋体" w:eastAsia="宋体" w:cs="宋体"/>
                <w:i w:val="0"/>
                <w:iCs w:val="0"/>
                <w:color w:val="000000"/>
                <w:sz w:val="20"/>
                <w:szCs w:val="20"/>
                <w:highlight w:val="none"/>
                <w:u w:val="none"/>
              </w:rPr>
            </w:pPr>
          </w:p>
        </w:tc>
      </w:tr>
      <w:tr w14:paraId="2FD3E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D3B4CB">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B4D3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ED4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空载原地回转直径</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4892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66AB7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9A83895">
            <w:pPr>
              <w:jc w:val="center"/>
              <w:rPr>
                <w:rFonts w:hint="eastAsia" w:ascii="宋体" w:hAnsi="宋体" w:eastAsia="宋体" w:cs="宋体"/>
                <w:i w:val="0"/>
                <w:iCs w:val="0"/>
                <w:color w:val="000000"/>
                <w:sz w:val="20"/>
                <w:szCs w:val="20"/>
                <w:highlight w:val="none"/>
                <w:u w:val="none"/>
              </w:rPr>
            </w:pPr>
          </w:p>
        </w:tc>
      </w:tr>
      <w:tr w14:paraId="235F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E3FE7F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A44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F97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最小离地间隙</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47C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2E28F0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89B6CAD">
            <w:pPr>
              <w:jc w:val="center"/>
              <w:rPr>
                <w:rFonts w:hint="eastAsia" w:ascii="宋体" w:hAnsi="宋体" w:eastAsia="宋体" w:cs="宋体"/>
                <w:i w:val="0"/>
                <w:iCs w:val="0"/>
                <w:color w:val="000000"/>
                <w:sz w:val="20"/>
                <w:szCs w:val="20"/>
                <w:highlight w:val="none"/>
                <w:u w:val="none"/>
              </w:rPr>
            </w:pPr>
          </w:p>
        </w:tc>
      </w:tr>
      <w:tr w14:paraId="1C37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34FAD86">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91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6E0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货叉外侧距</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56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165633E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shd w:val="clear"/>
                <w:lang w:val="en-US" w:eastAsia="zh-CN" w:bidi="ar"/>
              </w:rPr>
              <w:t>600-2000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D4DD8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可调</w:t>
            </w:r>
          </w:p>
        </w:tc>
      </w:tr>
      <w:tr w14:paraId="72DA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575C3A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性能</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9E7A4">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3.1</w:t>
            </w:r>
          </w:p>
        </w:tc>
        <w:tc>
          <w:tcPr>
            <w:tcW w:w="33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FD7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侧行行驶速度，满/空载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1C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33AB61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167AEF">
            <w:pPr>
              <w:jc w:val="center"/>
              <w:rPr>
                <w:rFonts w:hint="eastAsia" w:ascii="宋体" w:hAnsi="宋体" w:eastAsia="宋体" w:cs="宋体"/>
                <w:i w:val="0"/>
                <w:iCs w:val="0"/>
                <w:color w:val="000000"/>
                <w:sz w:val="20"/>
                <w:szCs w:val="20"/>
                <w:highlight w:val="none"/>
                <w:u w:val="none"/>
              </w:rPr>
            </w:pPr>
          </w:p>
        </w:tc>
      </w:tr>
      <w:tr w14:paraId="3578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6B9F1FBD">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04800">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E44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直行行驶速度，满/空载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82E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km/h</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0B0536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328356A">
            <w:pPr>
              <w:jc w:val="center"/>
              <w:rPr>
                <w:rFonts w:hint="eastAsia" w:ascii="宋体" w:hAnsi="宋体" w:eastAsia="宋体" w:cs="宋体"/>
                <w:i w:val="0"/>
                <w:iCs w:val="0"/>
                <w:color w:val="000000"/>
                <w:sz w:val="20"/>
                <w:szCs w:val="20"/>
                <w:highlight w:val="none"/>
                <w:u w:val="none"/>
              </w:rPr>
            </w:pPr>
          </w:p>
        </w:tc>
      </w:tr>
      <w:tr w14:paraId="4578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21657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52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E41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起升速度，满/空载</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CBD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mm/S</w:t>
            </w:r>
          </w:p>
        </w:tc>
        <w:tc>
          <w:tcPr>
            <w:tcW w:w="1465" w:type="dxa"/>
            <w:tcBorders>
              <w:top w:val="single" w:color="000000" w:sz="4" w:space="0"/>
              <w:left w:val="single" w:color="000000" w:sz="4" w:space="0"/>
              <w:bottom w:val="single" w:color="000000" w:sz="4" w:space="0"/>
              <w:right w:val="nil"/>
            </w:tcBorders>
            <w:shd w:val="clear" w:color="auto" w:fill="auto"/>
            <w:noWrap/>
            <w:vAlign w:val="center"/>
          </w:tcPr>
          <w:p w14:paraId="7DBCDE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190/220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3448E8">
            <w:pPr>
              <w:jc w:val="center"/>
              <w:rPr>
                <w:rFonts w:hint="eastAsia" w:ascii="宋体" w:hAnsi="宋体" w:eastAsia="宋体" w:cs="宋体"/>
                <w:i w:val="0"/>
                <w:iCs w:val="0"/>
                <w:color w:val="000000"/>
                <w:sz w:val="20"/>
                <w:szCs w:val="20"/>
                <w:highlight w:val="none"/>
                <w:u w:val="none"/>
              </w:rPr>
            </w:pPr>
          </w:p>
        </w:tc>
      </w:tr>
      <w:tr w14:paraId="5B3E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14:paraId="15F30A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DA9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0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驱动电机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7BB8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39E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647D3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36A1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5597BCE">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AD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3B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起升电机</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858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kw</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B29">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23</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0997F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AC</w:t>
            </w:r>
          </w:p>
        </w:tc>
      </w:tr>
      <w:tr w14:paraId="42DC1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14A1A561">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9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15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铅酸电池</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CFE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V/Ah</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C2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80/400</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4BF60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r>
      <w:tr w14:paraId="7434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193BF0">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39F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3D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转向系统</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8255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3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电转向</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F5709E5">
            <w:pPr>
              <w:jc w:val="center"/>
              <w:rPr>
                <w:rFonts w:hint="eastAsia" w:ascii="宋体" w:hAnsi="宋体" w:eastAsia="宋体" w:cs="宋体"/>
                <w:i w:val="0"/>
                <w:iCs w:val="0"/>
                <w:color w:val="000000"/>
                <w:sz w:val="20"/>
                <w:szCs w:val="20"/>
                <w:highlight w:val="none"/>
                <w:u w:val="none"/>
              </w:rPr>
            </w:pPr>
          </w:p>
        </w:tc>
      </w:tr>
      <w:tr w14:paraId="21203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710"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6D8683">
            <w:pPr>
              <w:jc w:val="center"/>
              <w:rPr>
                <w:rFonts w:hint="eastAsia" w:ascii="宋体" w:hAnsi="宋体" w:eastAsia="宋体" w:cs="宋体"/>
                <w:i w:val="0"/>
                <w:iCs w:val="0"/>
                <w:color w:val="000000"/>
                <w:sz w:val="20"/>
                <w:szCs w:val="20"/>
                <w:highlight w:val="none"/>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B76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3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E6A4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最大爬坡能力</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4C8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%（tan）</w:t>
            </w: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9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165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2E372F">
            <w:pPr>
              <w:jc w:val="center"/>
              <w:rPr>
                <w:rFonts w:hint="eastAsia" w:ascii="宋体" w:hAnsi="宋体" w:eastAsia="宋体" w:cs="宋体"/>
                <w:i w:val="0"/>
                <w:iCs w:val="0"/>
                <w:color w:val="000000"/>
                <w:sz w:val="24"/>
                <w:szCs w:val="24"/>
                <w:highlight w:val="none"/>
                <w:u w:val="none"/>
              </w:rPr>
            </w:pPr>
          </w:p>
        </w:tc>
      </w:tr>
    </w:tbl>
    <w:p w14:paraId="4E6EC2E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b/>
          <w:bCs/>
          <w:i w:val="0"/>
          <w:iCs w:val="0"/>
          <w:color w:val="000000"/>
          <w:kern w:val="0"/>
          <w:sz w:val="24"/>
          <w:szCs w:val="24"/>
          <w:highlight w:val="none"/>
          <w:u w:val="none"/>
          <w:lang w:val="en-US" w:eastAsia="zh-CN" w:bidi="ar"/>
        </w:rPr>
        <w:t>主要功能要求</w:t>
      </w:r>
    </w:p>
    <w:tbl>
      <w:tblPr>
        <w:tblStyle w:val="49"/>
        <w:tblW w:w="91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7"/>
        <w:gridCol w:w="8722"/>
      </w:tblGrid>
      <w:tr w14:paraId="7F03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45C7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F90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需适合较窄通道内物料堆垛。</w:t>
            </w:r>
          </w:p>
        </w:tc>
      </w:tr>
      <w:tr w14:paraId="5E23E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329754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D69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配备纯电转向，使转向更省力，降低疲劳强度，提升效率。</w:t>
            </w:r>
          </w:p>
        </w:tc>
      </w:tr>
      <w:tr w14:paraId="3CC5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15DB0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E88D">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门架可以整体前移或缩回，配置有加宽调距货叉。</w:t>
            </w:r>
          </w:p>
        </w:tc>
      </w:tr>
      <w:tr w14:paraId="5508D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19220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E18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四轮转向独立控制，可以直行、侧行、斜行、原地回转。</w:t>
            </w:r>
          </w:p>
        </w:tc>
      </w:tr>
      <w:tr w14:paraId="64E3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425C4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07355">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双驱制动，保证制动效果，能够在湿滑、结冰地面使用，操作者作业更安全。</w:t>
            </w:r>
          </w:p>
        </w:tc>
      </w:tr>
      <w:tr w14:paraId="64389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8FAEE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0515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侧行时需占用较小的通道。</w:t>
            </w:r>
          </w:p>
        </w:tc>
      </w:tr>
      <w:tr w14:paraId="39B03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DF339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0ED9">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续航能力强，采用全交流系统，AC无碳刷电机，满足繁重工况作业要求</w:t>
            </w:r>
          </w:p>
        </w:tc>
      </w:tr>
      <w:tr w14:paraId="2C5B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AF54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F2661">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满足人机工程设计，采用易操作阀杆和多功能智能仪表，带轮显功能。</w:t>
            </w:r>
          </w:p>
        </w:tc>
      </w:tr>
      <w:tr w14:paraId="3E7C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84EF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B29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采用高强度、高精度门架，满足超高位负载要求。</w:t>
            </w:r>
          </w:p>
        </w:tc>
      </w:tr>
      <w:tr w14:paraId="6F81A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ACADD3">
            <w:pPr>
              <w:keepNext w:val="0"/>
              <w:keepLines w:val="0"/>
              <w:widowControl/>
              <w:suppressLineNumbers w:val="0"/>
              <w:jc w:val="center"/>
              <w:textAlignment w:val="center"/>
              <w:rPr>
                <w:rFonts w:hint="eastAsia" w:ascii="宋体" w:hAnsi="宋体" w:eastAsia="宋体" w:cs="宋体"/>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10</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DBA7">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在起升4.5米时载荷能力不小于4吨。</w:t>
            </w:r>
          </w:p>
        </w:tc>
      </w:tr>
      <w:tr w14:paraId="3C09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417"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817C7D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8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9ABF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轮胎需适用于水泥与柏油路面工况行驶。</w:t>
            </w:r>
          </w:p>
        </w:tc>
      </w:tr>
    </w:tbl>
    <w:p w14:paraId="5AEEB7FA">
      <w:pPr>
        <w:pStyle w:val="18"/>
        <w:rPr>
          <w:rFonts w:hint="eastAsia"/>
        </w:rPr>
      </w:pPr>
    </w:p>
    <w:p w14:paraId="3AEF059A">
      <w:pPr>
        <w:spacing w:line="360" w:lineRule="auto"/>
        <w:ind w:firstLine="420" w:firstLineChars="200"/>
        <w:rPr>
          <w:rFonts w:hint="default"/>
          <w:highlight w:val="yellow"/>
          <w:lang w:val="en-US" w:eastAsia="zh-CN"/>
        </w:rPr>
      </w:pPr>
    </w:p>
    <w:p w14:paraId="017FBAD3">
      <w:pPr>
        <w:pStyle w:val="237"/>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四、执行标准</w:t>
      </w:r>
    </w:p>
    <w:p w14:paraId="591D67FE">
      <w:pPr>
        <w:spacing w:line="360" w:lineRule="auto"/>
        <w:ind w:left="48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70CB62D">
      <w:pPr>
        <w:spacing w:line="360" w:lineRule="auto"/>
        <w:ind w:left="48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19B05A25">
      <w:pPr>
        <w:spacing w:line="360" w:lineRule="auto"/>
        <w:ind w:left="48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94F52ED">
      <w:pPr>
        <w:spacing w:line="360" w:lineRule="auto"/>
        <w:ind w:left="48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49459DD">
      <w:pPr>
        <w:spacing w:line="360" w:lineRule="auto"/>
        <w:ind w:left="48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0DAD2A3">
      <w:pPr>
        <w:spacing w:line="360" w:lineRule="auto"/>
        <w:ind w:left="48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4BCB0A10">
      <w:pPr>
        <w:spacing w:line="360" w:lineRule="auto"/>
        <w:ind w:left="480"/>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888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0C719EC">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10" w:type="dxa"/>
            <w:noWrap w:val="0"/>
            <w:vAlign w:val="center"/>
          </w:tcPr>
          <w:p w14:paraId="54E0E3C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noWrap w:val="0"/>
            <w:vAlign w:val="center"/>
          </w:tcPr>
          <w:p w14:paraId="7E9F0A2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noWrap w:val="0"/>
            <w:vAlign w:val="center"/>
          </w:tcPr>
          <w:p w14:paraId="2BA7393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1BE0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0B58133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4110" w:type="dxa"/>
            <w:noWrap w:val="0"/>
            <w:vAlign w:val="center"/>
          </w:tcPr>
          <w:p w14:paraId="742D003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noWrap w:val="0"/>
            <w:vAlign w:val="center"/>
          </w:tcPr>
          <w:p w14:paraId="5FE2A24D">
            <w:pPr>
              <w:spacing w:line="360" w:lineRule="auto"/>
              <w:ind w:left="480"/>
              <w:jc w:val="center"/>
              <w:rPr>
                <w:rFonts w:hint="eastAsia" w:ascii="宋体" w:hAnsi="宋体" w:eastAsia="宋体" w:cs="宋体"/>
                <w:sz w:val="24"/>
                <w:szCs w:val="24"/>
              </w:rPr>
            </w:pPr>
          </w:p>
        </w:tc>
        <w:tc>
          <w:tcPr>
            <w:tcW w:w="2062" w:type="dxa"/>
            <w:noWrap w:val="0"/>
            <w:vAlign w:val="center"/>
          </w:tcPr>
          <w:p w14:paraId="3C2E786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r w14:paraId="6526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noWrap w:val="0"/>
            <w:vAlign w:val="center"/>
          </w:tcPr>
          <w:p w14:paraId="13AB86E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4110" w:type="dxa"/>
            <w:noWrap w:val="0"/>
            <w:vAlign w:val="center"/>
          </w:tcPr>
          <w:p w14:paraId="0FFB0E3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noWrap w:val="0"/>
            <w:vAlign w:val="center"/>
          </w:tcPr>
          <w:p w14:paraId="47753A8B">
            <w:pPr>
              <w:spacing w:line="360" w:lineRule="auto"/>
              <w:ind w:left="480"/>
              <w:jc w:val="center"/>
              <w:rPr>
                <w:rFonts w:hint="eastAsia" w:ascii="宋体" w:hAnsi="宋体" w:eastAsia="宋体" w:cs="宋体"/>
                <w:sz w:val="24"/>
                <w:szCs w:val="24"/>
              </w:rPr>
            </w:pPr>
          </w:p>
        </w:tc>
        <w:tc>
          <w:tcPr>
            <w:tcW w:w="2062" w:type="dxa"/>
            <w:noWrap w:val="0"/>
            <w:vAlign w:val="center"/>
          </w:tcPr>
          <w:p w14:paraId="189AFE8F">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卖方确认</w:t>
            </w:r>
          </w:p>
        </w:tc>
      </w:tr>
    </w:tbl>
    <w:p w14:paraId="159D6DF9">
      <w:pPr>
        <w:pStyle w:val="25"/>
        <w:rPr>
          <w:rFonts w:hint="eastAsia" w:hAnsi="宋体" w:eastAsia="宋体"/>
        </w:rPr>
      </w:pPr>
    </w:p>
    <w:p w14:paraId="42724AE5">
      <w:pPr>
        <w:keepNext/>
        <w:keepLines/>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20"/>
    </w:p>
    <w:p w14:paraId="3E10AF70">
      <w:pPr>
        <w:rPr>
          <w:rFonts w:hint="eastAsia" w:ascii="宋体" w:hAnsi="宋体" w:eastAsia="宋体"/>
        </w:rPr>
      </w:pPr>
    </w:p>
    <w:p w14:paraId="61EDFF91">
      <w:pPr>
        <w:keepNext/>
        <w:keepLines/>
        <w:spacing w:line="360" w:lineRule="auto"/>
        <w:jc w:val="center"/>
        <w:outlineLvl w:val="2"/>
        <w:rPr>
          <w:rFonts w:hint="eastAsia"/>
        </w:rPr>
      </w:pPr>
      <w:bookmarkStart w:id="21" w:name="_Toc169605882"/>
      <w:r>
        <w:rPr>
          <w:rFonts w:hint="eastAsia" w:ascii="宋体" w:hAnsi="宋体" w:eastAsia="宋体" w:cs="宋体"/>
          <w:b/>
          <w:bCs/>
          <w:sz w:val="24"/>
          <w:szCs w:val="32"/>
        </w:rPr>
        <w:t>第一节  供货范围</w:t>
      </w:r>
      <w:bookmarkEnd w:id="21"/>
    </w:p>
    <w:p w14:paraId="65A00D19">
      <w:pPr>
        <w:pStyle w:val="152"/>
        <w:spacing w:line="360" w:lineRule="auto"/>
        <w:ind w:firstLine="0" w:firstLineChars="0"/>
        <w:outlineLvl w:val="3"/>
        <w:rPr>
          <w:rFonts w:hint="eastAsia"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199F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378BFC49">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序号</w:t>
            </w:r>
          </w:p>
        </w:tc>
        <w:tc>
          <w:tcPr>
            <w:tcW w:w="3520" w:type="dxa"/>
            <w:noWrap w:val="0"/>
            <w:vAlign w:val="center"/>
          </w:tcPr>
          <w:p w14:paraId="7B33D933">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名称</w:t>
            </w:r>
          </w:p>
        </w:tc>
        <w:tc>
          <w:tcPr>
            <w:tcW w:w="1215" w:type="dxa"/>
            <w:noWrap w:val="0"/>
            <w:vAlign w:val="center"/>
          </w:tcPr>
          <w:p w14:paraId="7F360DCA">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单位</w:t>
            </w:r>
          </w:p>
        </w:tc>
        <w:tc>
          <w:tcPr>
            <w:tcW w:w="793" w:type="dxa"/>
            <w:noWrap w:val="0"/>
            <w:vAlign w:val="center"/>
          </w:tcPr>
          <w:p w14:paraId="443A351D">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数量</w:t>
            </w:r>
          </w:p>
        </w:tc>
        <w:tc>
          <w:tcPr>
            <w:tcW w:w="2693" w:type="dxa"/>
            <w:noWrap w:val="0"/>
            <w:vAlign w:val="center"/>
          </w:tcPr>
          <w:p w14:paraId="0CB12FB6">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sz w:val="24"/>
                <w:szCs w:val="24"/>
              </w:rPr>
              <w:t>备注</w:t>
            </w:r>
          </w:p>
        </w:tc>
      </w:tr>
      <w:tr w14:paraId="604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6EDDA4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520" w:type="dxa"/>
            <w:noWrap w:val="0"/>
            <w:vAlign w:val="center"/>
          </w:tcPr>
          <w:p w14:paraId="4ACCE158">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电动全向搬运车</w:t>
            </w:r>
          </w:p>
        </w:tc>
        <w:tc>
          <w:tcPr>
            <w:tcW w:w="1215" w:type="dxa"/>
            <w:noWrap w:val="0"/>
            <w:vAlign w:val="center"/>
          </w:tcPr>
          <w:p w14:paraId="7E8764B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3F0BFB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693" w:type="dxa"/>
            <w:noWrap w:val="0"/>
            <w:vAlign w:val="center"/>
          </w:tcPr>
          <w:p w14:paraId="20E3B829">
            <w:pPr>
              <w:pStyle w:val="234"/>
              <w:spacing w:beforeLines="0" w:afterLines="0" w:line="360" w:lineRule="auto"/>
              <w:rPr>
                <w:rFonts w:hint="eastAsia" w:ascii="宋体" w:hAnsi="宋体" w:eastAsia="宋体" w:cs="宋体"/>
                <w:sz w:val="24"/>
              </w:rPr>
            </w:pPr>
          </w:p>
        </w:tc>
      </w:tr>
      <w:tr w14:paraId="65E5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265E7A2F">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520" w:type="dxa"/>
            <w:noWrap w:val="0"/>
            <w:vAlign w:val="center"/>
          </w:tcPr>
          <w:p w14:paraId="2F974E5D">
            <w:pPr>
              <w:pStyle w:val="234"/>
              <w:spacing w:beforeLines="0" w:afterLines="0" w:line="360" w:lineRule="auto"/>
              <w:rPr>
                <w:rFonts w:hint="default" w:ascii="宋体" w:hAnsi="宋体" w:eastAsia="宋体" w:cs="宋体"/>
                <w:sz w:val="24"/>
                <w:lang w:val="en-US" w:eastAsia="zh-CN"/>
              </w:rPr>
            </w:pPr>
            <w:r>
              <w:rPr>
                <w:rFonts w:hint="eastAsia" w:ascii="宋体" w:hAnsi="宋体" w:eastAsia="宋体" w:cs="宋体"/>
                <w:sz w:val="24"/>
                <w:lang w:val="en-US" w:eastAsia="zh-CN"/>
              </w:rPr>
              <w:t>充电机及其他附件</w:t>
            </w:r>
          </w:p>
        </w:tc>
        <w:tc>
          <w:tcPr>
            <w:tcW w:w="1215" w:type="dxa"/>
            <w:noWrap w:val="0"/>
            <w:vAlign w:val="center"/>
          </w:tcPr>
          <w:p w14:paraId="5268BEC8">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1AEC5F7A">
            <w:pPr>
              <w:spacing w:line="360" w:lineRule="auto"/>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693" w:type="dxa"/>
            <w:noWrap w:val="0"/>
            <w:vAlign w:val="center"/>
          </w:tcPr>
          <w:p w14:paraId="4F8A4165">
            <w:pPr>
              <w:pStyle w:val="234"/>
              <w:spacing w:beforeLines="0" w:afterLines="0" w:line="360" w:lineRule="auto"/>
              <w:rPr>
                <w:rFonts w:hint="eastAsia" w:ascii="宋体" w:hAnsi="宋体" w:eastAsia="宋体" w:cs="宋体"/>
                <w:sz w:val="24"/>
              </w:rPr>
            </w:pPr>
          </w:p>
        </w:tc>
      </w:tr>
      <w:tr w14:paraId="75A4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6188CAA">
            <w:pPr>
              <w:pStyle w:val="44"/>
              <w:spacing w:line="360" w:lineRule="auto"/>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520" w:type="dxa"/>
            <w:noWrap w:val="0"/>
            <w:vAlign w:val="center"/>
          </w:tcPr>
          <w:p w14:paraId="3A3859C7">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设备使用说明书</w:t>
            </w:r>
          </w:p>
        </w:tc>
        <w:tc>
          <w:tcPr>
            <w:tcW w:w="1215" w:type="dxa"/>
            <w:noWrap w:val="0"/>
            <w:vAlign w:val="center"/>
          </w:tcPr>
          <w:p w14:paraId="77B78E57">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793" w:type="dxa"/>
            <w:noWrap w:val="0"/>
            <w:vAlign w:val="center"/>
          </w:tcPr>
          <w:p w14:paraId="6D1AB379">
            <w:pPr>
              <w:pStyle w:val="234"/>
              <w:spacing w:beforeLines="0" w:afterLines="0"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2693" w:type="dxa"/>
            <w:noWrap w:val="0"/>
            <w:vAlign w:val="center"/>
          </w:tcPr>
          <w:p w14:paraId="2C7493CB">
            <w:pPr>
              <w:pStyle w:val="234"/>
              <w:spacing w:beforeLines="0" w:afterLines="0" w:line="360" w:lineRule="auto"/>
              <w:rPr>
                <w:rFonts w:hint="eastAsia" w:ascii="宋体" w:hAnsi="宋体" w:eastAsia="宋体" w:cs="宋体"/>
                <w:kern w:val="2"/>
                <w:sz w:val="24"/>
                <w:szCs w:val="24"/>
                <w:lang w:val="en-US" w:eastAsia="zh-CN" w:bidi="ar-SA"/>
              </w:rPr>
            </w:pPr>
            <w:r>
              <w:rPr>
                <w:rFonts w:hint="eastAsia" w:ascii="宋体" w:hAnsi="宋体" w:eastAsia="宋体" w:cs="宋体"/>
                <w:sz w:val="24"/>
              </w:rPr>
              <w:t>中文</w:t>
            </w:r>
          </w:p>
        </w:tc>
      </w:tr>
      <w:tr w14:paraId="1707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096853BE">
            <w:pPr>
              <w:pStyle w:val="44"/>
              <w:tabs>
                <w:tab w:val="center" w:pos="375"/>
                <w:tab w:val="left" w:pos="539"/>
              </w:tabs>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4</w:t>
            </w:r>
          </w:p>
        </w:tc>
        <w:tc>
          <w:tcPr>
            <w:tcW w:w="3520" w:type="dxa"/>
            <w:noWrap w:val="0"/>
            <w:vAlign w:val="center"/>
          </w:tcPr>
          <w:p w14:paraId="28680D4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系统软硬件清单</w:t>
            </w:r>
          </w:p>
        </w:tc>
        <w:tc>
          <w:tcPr>
            <w:tcW w:w="1215" w:type="dxa"/>
            <w:noWrap w:val="0"/>
            <w:vAlign w:val="center"/>
          </w:tcPr>
          <w:p w14:paraId="397D230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7D6F0E0E">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31F107CD">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6F2C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49C2084F">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5</w:t>
            </w:r>
          </w:p>
        </w:tc>
        <w:tc>
          <w:tcPr>
            <w:tcW w:w="3520" w:type="dxa"/>
            <w:noWrap w:val="0"/>
            <w:vAlign w:val="center"/>
          </w:tcPr>
          <w:p w14:paraId="0D0DBC2A">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技术培训资料</w:t>
            </w:r>
          </w:p>
        </w:tc>
        <w:tc>
          <w:tcPr>
            <w:tcW w:w="1215" w:type="dxa"/>
            <w:noWrap w:val="0"/>
            <w:vAlign w:val="center"/>
          </w:tcPr>
          <w:p w14:paraId="09413CA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0506557D">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3</w:t>
            </w:r>
          </w:p>
        </w:tc>
        <w:tc>
          <w:tcPr>
            <w:tcW w:w="2693" w:type="dxa"/>
            <w:noWrap w:val="0"/>
            <w:vAlign w:val="center"/>
          </w:tcPr>
          <w:p w14:paraId="5FCE0AEF">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r w14:paraId="391C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center"/>
          </w:tcPr>
          <w:p w14:paraId="126F0F31">
            <w:pPr>
              <w:pStyle w:val="44"/>
              <w:spacing w:line="360" w:lineRule="auto"/>
              <w:jc w:val="center"/>
              <w:rPr>
                <w:rFonts w:hint="default" w:ascii="宋体" w:hAnsi="宋体" w:eastAsia="宋体" w:cs="宋体"/>
                <w:szCs w:val="24"/>
                <w:lang w:val="en-US" w:eastAsia="zh-CN"/>
              </w:rPr>
            </w:pPr>
            <w:r>
              <w:rPr>
                <w:rFonts w:hint="eastAsia" w:ascii="宋体" w:hAnsi="宋体" w:cs="宋体"/>
                <w:szCs w:val="24"/>
                <w:lang w:val="en-US" w:eastAsia="zh-CN"/>
              </w:rPr>
              <w:t>6</w:t>
            </w:r>
          </w:p>
        </w:tc>
        <w:tc>
          <w:tcPr>
            <w:tcW w:w="3520" w:type="dxa"/>
            <w:noWrap w:val="0"/>
            <w:vAlign w:val="center"/>
          </w:tcPr>
          <w:p w14:paraId="3A5F8157">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设备资料（序号6/7/8/9）电子版WORD或PDF版</w:t>
            </w:r>
          </w:p>
        </w:tc>
        <w:tc>
          <w:tcPr>
            <w:tcW w:w="1215" w:type="dxa"/>
            <w:noWrap w:val="0"/>
            <w:vAlign w:val="center"/>
          </w:tcPr>
          <w:p w14:paraId="08DBF37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noWrap w:val="0"/>
            <w:vAlign w:val="center"/>
          </w:tcPr>
          <w:p w14:paraId="246F0D31">
            <w:pPr>
              <w:pStyle w:val="234"/>
              <w:spacing w:beforeLines="0" w:afterLines="0" w:line="360" w:lineRule="auto"/>
              <w:jc w:val="center"/>
              <w:rPr>
                <w:rFonts w:hint="eastAsia" w:ascii="宋体" w:hAnsi="宋体" w:eastAsia="宋体" w:cs="宋体"/>
                <w:sz w:val="24"/>
              </w:rPr>
            </w:pPr>
            <w:r>
              <w:rPr>
                <w:rFonts w:hint="eastAsia" w:ascii="宋体" w:hAnsi="宋体" w:eastAsia="宋体" w:cs="宋体"/>
                <w:sz w:val="24"/>
              </w:rPr>
              <w:t>1</w:t>
            </w:r>
          </w:p>
        </w:tc>
        <w:tc>
          <w:tcPr>
            <w:tcW w:w="2693" w:type="dxa"/>
            <w:noWrap w:val="0"/>
            <w:vAlign w:val="center"/>
          </w:tcPr>
          <w:p w14:paraId="1FA8D458">
            <w:pPr>
              <w:pStyle w:val="234"/>
              <w:spacing w:beforeLines="0" w:afterLines="0" w:line="360" w:lineRule="auto"/>
              <w:rPr>
                <w:rFonts w:hint="eastAsia" w:ascii="宋体" w:hAnsi="宋体" w:eastAsia="宋体" w:cs="宋体"/>
                <w:sz w:val="24"/>
              </w:rPr>
            </w:pPr>
            <w:r>
              <w:rPr>
                <w:rFonts w:hint="eastAsia" w:ascii="宋体" w:hAnsi="宋体" w:eastAsia="宋体" w:cs="宋体"/>
                <w:sz w:val="24"/>
              </w:rPr>
              <w:t>中文</w:t>
            </w:r>
          </w:p>
        </w:tc>
      </w:tr>
    </w:tbl>
    <w:p w14:paraId="27D467D0">
      <w:pPr>
        <w:spacing w:before="120" w:beforeLines="50" w:after="120" w:afterLines="50"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7644DF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653C59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7228D0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5671A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176BA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00E2D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C6790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33A576A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2BC8B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34CE0661">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2B881D61">
      <w:pPr>
        <w:pStyle w:val="18"/>
        <w:ind w:left="0" w:leftChars="0" w:firstLine="420" w:firstLineChars="175"/>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lang w:val="en-US" w:eastAsia="zh-CN" w:bidi="ar-SA"/>
        </w:rPr>
        <w:t>3.供货界面说明</w:t>
      </w:r>
    </w:p>
    <w:p w14:paraId="6BE8C961">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3.1、投标方提供送车、装卸、现场培训等服务。</w:t>
      </w:r>
    </w:p>
    <w:p w14:paraId="09F0714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C7B06B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34E521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0D65C4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3EDD9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4123F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500EE3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87CC938">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2DAFC2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0EA3855F">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10</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624F9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44392B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467472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36E2CD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79858E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938832E">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DC305BC">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117B407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506E29C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6FCA685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4835CE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7A4BF1F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7ADEAD1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3F9C51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6E9439D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47EF911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5351904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508ED45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6E99E6C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2F054CD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6DE95A7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72FA4F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4691EA4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7CCE650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72B8D4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295236B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277DAE1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w:t>
      </w:r>
      <w:r>
        <w:rPr>
          <w:rFonts w:hint="eastAsia" w:ascii="Times New Roman" w:hAnsi="Times New Roman" w:eastAsia="宋体" w:cs="Times New Roman"/>
          <w:sz w:val="24"/>
          <w:szCs w:val="24"/>
        </w:rPr>
        <w:t>二</w:t>
      </w:r>
      <w:r>
        <w:rPr>
          <w:rFonts w:ascii="Times New Roman" w:hAnsi="Times New Roman" w:eastAsia="宋体" w:cs="Times New Roman"/>
          <w:sz w:val="24"/>
          <w:szCs w:val="24"/>
        </w:rPr>
        <w:t>份图纸加一套电子文件。这种图纸的会签并不构成供货厂商可以不承担设计责任保证或者对设备顺利运用的责任。</w:t>
      </w:r>
    </w:p>
    <w:p w14:paraId="337E1163">
      <w:pPr>
        <w:spacing w:line="360" w:lineRule="auto"/>
        <w:ind w:firstLine="480" w:firstLineChars="200"/>
        <w:rPr>
          <w:rFonts w:hint="eastAsia"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0F849C07">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15EF92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2" w:name="_Toc169605883"/>
    </w:p>
    <w:p w14:paraId="564E4B65">
      <w:pPr>
        <w:pStyle w:val="25"/>
        <w:spacing w:line="360" w:lineRule="auto"/>
        <w:rPr>
          <w:rFonts w:hint="eastAsia" w:hAnsi="宋体" w:eastAsia="宋体"/>
        </w:rPr>
      </w:pPr>
    </w:p>
    <w:p w14:paraId="72EF07E9">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22"/>
    </w:p>
    <w:p w14:paraId="45AAD98B">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44E247C4">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0C5AF115">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Times New Roman" w:hAnsi="Times New Roman" w:eastAsia="宋体" w:cs="Times New Roman"/>
          <w:sz w:val="24"/>
          <w:szCs w:val="24"/>
          <w:u w:val="single"/>
          <w:lang w:eastAsia="zh-CN"/>
        </w:rPr>
        <w:t>济南卡车制造公司</w:t>
      </w:r>
    </w:p>
    <w:p w14:paraId="3C7B90AE">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3A50B550">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1.自</w:t>
      </w:r>
      <w:r>
        <w:rPr>
          <w:rFonts w:hint="eastAsia" w:ascii="宋体" w:hAnsi="宋体" w:eastAsia="宋体"/>
          <w:sz w:val="24"/>
          <w:szCs w:val="24"/>
          <w:lang w:val="en-US" w:eastAsia="zh-CN"/>
        </w:rPr>
        <w:t>中标通知书发布之日</w:t>
      </w:r>
      <w:r>
        <w:rPr>
          <w:rFonts w:hint="eastAsia" w:ascii="宋体" w:hAnsi="宋体" w:eastAsia="宋体"/>
          <w:sz w:val="24"/>
          <w:szCs w:val="24"/>
        </w:rPr>
        <w:t>起，</w:t>
      </w:r>
      <w:r>
        <w:rPr>
          <w:rFonts w:hint="eastAsia" w:ascii="宋体" w:hAnsi="宋体" w:eastAsia="宋体"/>
          <w:sz w:val="24"/>
          <w:szCs w:val="24"/>
          <w:u w:val="single"/>
          <w:lang w:val="en-US" w:eastAsia="zh-CN"/>
        </w:rPr>
        <w:t>60</w:t>
      </w:r>
      <w:r>
        <w:rPr>
          <w:rFonts w:hint="eastAsia" w:ascii="宋体" w:hAnsi="宋体" w:eastAsia="宋体"/>
          <w:sz w:val="24"/>
          <w:szCs w:val="24"/>
        </w:rPr>
        <w:t>个日历日之内交货至供货地点。</w:t>
      </w:r>
    </w:p>
    <w:p w14:paraId="0DB22B8F">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lang w:val="en-US" w:eastAsia="zh-CN"/>
        </w:rPr>
        <w:t>30</w:t>
      </w:r>
      <w:r>
        <w:rPr>
          <w:rFonts w:hint="eastAsia" w:ascii="宋体" w:hAnsi="宋体" w:eastAsia="宋体"/>
          <w:sz w:val="24"/>
          <w:szCs w:val="24"/>
        </w:rPr>
        <w:t>个日历日之内安装调试完毕。</w:t>
      </w:r>
    </w:p>
    <w:p w14:paraId="2DDE8BB4">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1C177D5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393415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831C9A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C50BCB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6D5000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7194B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15B78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1F5F7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3D5BB3E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2E8C7C0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09EF07C8">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052FA4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05EFE8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4E5B60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22D5A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0F07DFB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14D6F25C">
      <w:pPr>
        <w:widowControl/>
        <w:spacing w:line="360" w:lineRule="auto"/>
        <w:jc w:val="left"/>
        <w:rPr>
          <w:rFonts w:hint="eastAsia" w:ascii="宋体" w:hAnsi="宋体" w:eastAsia="宋体" w:cs="Times New Roman"/>
          <w:szCs w:val="20"/>
        </w:rPr>
      </w:pPr>
    </w:p>
    <w:p w14:paraId="48948146">
      <w:pPr>
        <w:rPr>
          <w:rFonts w:hint="eastAsia" w:ascii="宋体" w:hAnsi="宋体" w:eastAsia="宋体" w:cs="Times New Roman"/>
          <w:b/>
          <w:bCs/>
          <w:kern w:val="44"/>
          <w:sz w:val="28"/>
          <w:szCs w:val="28"/>
        </w:rPr>
      </w:pPr>
      <w:bookmarkStart w:id="23" w:name="_Toc169605884"/>
      <w:r>
        <w:rPr>
          <w:rFonts w:hint="eastAsia" w:ascii="宋体" w:hAnsi="宋体" w:eastAsia="宋体" w:cs="Times New Roman"/>
          <w:b/>
          <w:bCs/>
          <w:kern w:val="44"/>
          <w:sz w:val="28"/>
          <w:szCs w:val="28"/>
        </w:rPr>
        <w:br w:type="page"/>
      </w:r>
    </w:p>
    <w:p w14:paraId="34809338">
      <w:pPr>
        <w:keepNext/>
        <w:keepLines/>
        <w:spacing w:line="360" w:lineRule="auto"/>
        <w:jc w:val="center"/>
        <w:outlineLvl w:val="1"/>
        <w:rPr>
          <w:rFonts w:hint="eastAsia" w:ascii="宋体" w:hAnsi="宋体" w:eastAsia="宋体" w:cs="Times New Roman"/>
          <w:b/>
          <w:bCs/>
          <w:kern w:val="44"/>
          <w:sz w:val="28"/>
          <w:szCs w:val="28"/>
        </w:rPr>
      </w:pPr>
      <w:r>
        <w:rPr>
          <w:rFonts w:hint="eastAsia" w:ascii="宋体" w:hAnsi="宋体" w:eastAsia="宋体" w:cs="Times New Roman"/>
          <w:b/>
          <w:bCs/>
          <w:kern w:val="44"/>
          <w:sz w:val="28"/>
          <w:szCs w:val="28"/>
        </w:rPr>
        <w:t>第四章</w:t>
      </w:r>
      <w:r>
        <w:rPr>
          <w:rFonts w:hint="eastAsia" w:ascii="宋体" w:hAnsi="宋体" w:eastAsia="宋体" w:cs="Times New Roman"/>
          <w:b/>
          <w:bCs/>
          <w:kern w:val="44"/>
          <w:sz w:val="28"/>
          <w:szCs w:val="28"/>
          <w:lang w:val="en-US" w:eastAsia="zh-CN"/>
        </w:rPr>
        <w:t xml:space="preserve"> </w:t>
      </w:r>
      <w:r>
        <w:rPr>
          <w:rFonts w:hint="eastAsia" w:ascii="宋体" w:hAnsi="宋体" w:eastAsia="宋体" w:cs="Times New Roman"/>
          <w:b/>
          <w:bCs/>
          <w:kern w:val="44"/>
          <w:sz w:val="28"/>
          <w:szCs w:val="28"/>
        </w:rPr>
        <w:t>质保期及售后服务</w:t>
      </w:r>
      <w:bookmarkEnd w:id="23"/>
    </w:p>
    <w:p w14:paraId="22C721A9">
      <w:pPr>
        <w:pStyle w:val="238"/>
        <w:spacing w:line="360" w:lineRule="auto"/>
        <w:rPr>
          <w:rFonts w:hint="eastAsia" w:ascii="宋体" w:hAnsi="宋体"/>
        </w:rPr>
      </w:pPr>
      <w:r>
        <w:rPr>
          <w:rFonts w:hint="eastAsia" w:ascii="宋体" w:hAnsi="宋体"/>
        </w:rPr>
        <w:t>一、质保期及质保要求</w:t>
      </w:r>
    </w:p>
    <w:p w14:paraId="13040A6C">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59EA7BE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24B609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3966E6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CBF192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98FC18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20A5B840">
      <w:pPr>
        <w:adjustRightInd w:val="0"/>
        <w:snapToGrid w:val="0"/>
        <w:spacing w:line="360" w:lineRule="auto"/>
        <w:ind w:firstLine="480" w:firstLineChars="200"/>
        <w:rPr>
          <w:rFonts w:hint="eastAsia"/>
        </w:rPr>
      </w:pPr>
      <w:r>
        <w:rPr>
          <w:rFonts w:hint="eastAsia" w:ascii="Times New Roman" w:hAnsi="Times New Roman" w:eastAsia="宋体" w:cs="Times New Roman"/>
          <w:sz w:val="24"/>
          <w:szCs w:val="24"/>
        </w:rPr>
        <w:t>5.软件要具备升级功能，在投产后十年内中标方负责为业主方免费升级。</w:t>
      </w:r>
    </w:p>
    <w:p w14:paraId="6DA3BBC6">
      <w:pPr>
        <w:pStyle w:val="238"/>
        <w:spacing w:line="360" w:lineRule="auto"/>
        <w:rPr>
          <w:rFonts w:hint="eastAsia"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1354361">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74F73844">
      <w:pPr>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0F56916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3152493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562DD07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157746E7">
      <w:pPr>
        <w:pStyle w:val="7"/>
        <w:rPr>
          <w:rFonts w:hint="eastAsia"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4900AF0">
      <w:pPr>
        <w:pStyle w:val="238"/>
        <w:spacing w:line="360" w:lineRule="auto"/>
        <w:rPr>
          <w:rFonts w:hint="eastAsia" w:ascii="宋体" w:hAnsi="宋体" w:cs="宋体"/>
        </w:rPr>
      </w:pPr>
      <w:r>
        <w:rPr>
          <w:rFonts w:hint="eastAsia" w:ascii="宋体" w:hAnsi="宋体" w:cs="宋体"/>
        </w:rPr>
        <w:t>三、安装调试及验收服务</w:t>
      </w:r>
    </w:p>
    <w:p w14:paraId="7181FF2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17847F9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2投标方免费负责设备的安装、调试，并接受用户的技术咨询；</w:t>
      </w:r>
    </w:p>
    <w:p w14:paraId="300B387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052C667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9BF7D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3B5B59B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lang w:val="en-US" w:eastAsia="zh-CN"/>
        </w:rPr>
        <w:t>1</w:t>
      </w:r>
      <w:r>
        <w:rPr>
          <w:rFonts w:hint="eastAsia" w:ascii="宋体" w:hAnsi="宋体" w:eastAsia="宋体"/>
          <w:sz w:val="24"/>
          <w:szCs w:val="24"/>
          <w:u w:val="single"/>
        </w:rPr>
        <w:t>5</w:t>
      </w:r>
      <w:r>
        <w:rPr>
          <w:rFonts w:hint="eastAsia" w:ascii="宋体" w:hAnsi="宋体" w:eastAsia="宋体"/>
          <w:sz w:val="24"/>
          <w:szCs w:val="24"/>
        </w:rPr>
        <w:t>天；</w:t>
      </w:r>
    </w:p>
    <w:p w14:paraId="2E97C35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553D756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0A477E88">
      <w:pPr>
        <w:pStyle w:val="238"/>
        <w:spacing w:line="360" w:lineRule="auto"/>
        <w:rPr>
          <w:rFonts w:hint="eastAsia" w:ascii="宋体" w:hAnsi="宋体" w:cs="宋体"/>
        </w:rPr>
      </w:pPr>
      <w:r>
        <w:rPr>
          <w:rFonts w:hint="eastAsia" w:ascii="宋体" w:hAnsi="宋体" w:cs="宋体"/>
        </w:rPr>
        <w:t>四、售后服务</w:t>
      </w:r>
    </w:p>
    <w:p w14:paraId="45971093">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145D8ED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2CA71AA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1173EE7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4投标人应为招标人提供最佳的服务。</w:t>
      </w:r>
    </w:p>
    <w:p w14:paraId="09099CA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2F584B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5D585F2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607009B3">
      <w:pPr>
        <w:pStyle w:val="238"/>
        <w:spacing w:line="360" w:lineRule="auto"/>
        <w:rPr>
          <w:rFonts w:hint="eastAsia" w:ascii="宋体" w:hAnsi="宋体" w:cs="宋体"/>
        </w:rPr>
      </w:pPr>
      <w:r>
        <w:rPr>
          <w:rFonts w:hint="eastAsia" w:ascii="宋体" w:hAnsi="宋体" w:cs="宋体"/>
        </w:rPr>
        <w:t>五、其它服务</w:t>
      </w:r>
    </w:p>
    <w:p w14:paraId="61C815A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DA31B5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F8C8C8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hint="eastAsia" w:ascii="Times New Roman" w:hAnsi="Times New Roman" w:eastAsia="宋体" w:cs="Times New Roman"/>
          <w:sz w:val="24"/>
          <w:szCs w:val="24"/>
          <w:lang w:eastAsia="zh-CN"/>
        </w:rPr>
        <w:t>济南卡车制造公司</w:t>
      </w:r>
      <w:r>
        <w:rPr>
          <w:rFonts w:ascii="Times New Roman" w:hAnsi="Times New Roman" w:eastAsia="宋体" w:cs="Times New Roman"/>
          <w:sz w:val="24"/>
          <w:szCs w:val="24"/>
        </w:rPr>
        <w:t>（章丘重汽工业园）</w:t>
      </w:r>
      <w:r>
        <w:rPr>
          <w:rFonts w:hint="eastAsia" w:ascii="宋体" w:hAnsi="宋体" w:eastAsia="宋体" w:cs="宋体"/>
          <w:color w:val="000000"/>
          <w:sz w:val="24"/>
          <w:szCs w:val="24"/>
        </w:rPr>
        <w:t>。</w:t>
      </w:r>
    </w:p>
    <w:p w14:paraId="00C535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7182B744">
      <w:pPr>
        <w:spacing w:line="360" w:lineRule="auto"/>
        <w:ind w:firstLine="480" w:firstLineChars="200"/>
        <w:rPr>
          <w:rFonts w:hint="eastAsia" w:ascii="宋体" w:hAnsi="宋体" w:eastAsia="宋体" w:cs="宋体"/>
          <w:color w:val="000000"/>
          <w:sz w:val="24"/>
          <w:szCs w:val="24"/>
        </w:rPr>
      </w:pPr>
    </w:p>
    <w:p w14:paraId="4E4995DF">
      <w:pPr>
        <w:pStyle w:val="25"/>
        <w:spacing w:line="360" w:lineRule="auto"/>
        <w:rPr>
          <w:rFonts w:hint="eastAsia" w:hAnsi="宋体" w:eastAsia="宋体"/>
        </w:rPr>
      </w:pPr>
      <w:r>
        <w:rPr>
          <w:rFonts w:hAnsi="宋体" w:eastAsia="宋体"/>
        </w:rPr>
        <w:br w:type="page"/>
      </w:r>
    </w:p>
    <w:p w14:paraId="5EB4EA73">
      <w:pPr>
        <w:keepNext/>
        <w:keepLines/>
        <w:spacing w:line="360" w:lineRule="auto"/>
        <w:jc w:val="center"/>
        <w:outlineLvl w:val="1"/>
        <w:rPr>
          <w:rFonts w:hint="eastAsia" w:ascii="宋体" w:hAnsi="宋体" w:eastAsia="宋体" w:cs="Times New Roman"/>
          <w:b/>
          <w:bCs/>
          <w:kern w:val="44"/>
          <w:sz w:val="28"/>
          <w:szCs w:val="28"/>
        </w:rPr>
      </w:pPr>
      <w:bookmarkStart w:id="24" w:name="_Toc465187646"/>
      <w:r>
        <w:rPr>
          <w:rFonts w:hint="eastAsia" w:ascii="宋体" w:hAnsi="宋体" w:eastAsia="宋体" w:cs="Times New Roman"/>
          <w:b/>
          <w:bCs/>
          <w:kern w:val="44"/>
          <w:sz w:val="28"/>
          <w:szCs w:val="28"/>
        </w:rPr>
        <w:t>第五章  终验收</w:t>
      </w:r>
      <w:bookmarkEnd w:id="24"/>
    </w:p>
    <w:p w14:paraId="568C4505">
      <w:pPr>
        <w:spacing w:line="360" w:lineRule="auto"/>
        <w:ind w:firstLine="480" w:firstLineChars="200"/>
        <w:rPr>
          <w:rFonts w:hint="eastAsia" w:ascii="宋体" w:hAnsi="宋体" w:eastAsia="宋体"/>
          <w:sz w:val="24"/>
          <w:szCs w:val="24"/>
        </w:rPr>
      </w:pPr>
      <w:bookmarkStart w:id="25" w:name="_Toc465187647"/>
      <w:r>
        <w:rPr>
          <w:rFonts w:hint="eastAsia" w:ascii="宋体" w:hAnsi="宋体" w:eastAsia="宋体"/>
          <w:sz w:val="24"/>
          <w:szCs w:val="24"/>
        </w:rPr>
        <w:t>按照参考招标文件、投标文件、答疑文件、技术交流文件等形成并达成一致的技术协议书和合同规定验收。</w:t>
      </w:r>
    </w:p>
    <w:p w14:paraId="443630FA">
      <w:pPr>
        <w:pStyle w:val="238"/>
        <w:spacing w:line="360" w:lineRule="auto"/>
        <w:rPr>
          <w:rFonts w:hint="eastAsia" w:ascii="宋体" w:hAnsi="宋体"/>
          <w:color w:val="auto"/>
        </w:rPr>
      </w:pPr>
      <w:r>
        <w:rPr>
          <w:rFonts w:hint="eastAsia" w:ascii="宋体" w:hAnsi="宋体"/>
          <w:color w:val="auto"/>
        </w:rPr>
        <w:t>一.检验</w:t>
      </w:r>
    </w:p>
    <w:p w14:paraId="337FA6D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国产部分的货物的检验由买卖双方按照合同要求或在制造现场进行。进口部分的货物的检验按照下述要求进行：</w:t>
      </w:r>
    </w:p>
    <w:p w14:paraId="264A23B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31C95D7C">
      <w:pPr>
        <w:spacing w:line="360" w:lineRule="auto"/>
        <w:ind w:firstLine="480" w:firstLineChars="200"/>
        <w:rPr>
          <w:rFonts w:hint="eastAsia"/>
        </w:rPr>
      </w:pPr>
      <w:r>
        <w:rPr>
          <w:rFonts w:hint="eastAsia" w:ascii="宋体" w:hAnsi="宋体" w:eastAsia="宋体"/>
          <w:sz w:val="24"/>
          <w:szCs w:val="24"/>
        </w:rPr>
        <w:t>2投标人应依据合同规定的要求，提供设备（或材料）的验收标准和装箱单，作为招标人检验的依据。</w:t>
      </w:r>
    </w:p>
    <w:p w14:paraId="27AA795A">
      <w:pPr>
        <w:pStyle w:val="238"/>
        <w:spacing w:line="360" w:lineRule="auto"/>
        <w:rPr>
          <w:rFonts w:hint="eastAsia" w:ascii="宋体" w:hAnsi="宋体"/>
          <w:color w:val="auto"/>
        </w:rPr>
      </w:pPr>
      <w:r>
        <w:rPr>
          <w:rFonts w:hint="eastAsia" w:ascii="宋体" w:hAnsi="宋体"/>
          <w:color w:val="auto"/>
        </w:rPr>
        <w:t>二.验收标准</w:t>
      </w:r>
    </w:p>
    <w:p w14:paraId="499DAC0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58A1EEF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1终验收规程：</w:t>
      </w:r>
    </w:p>
    <w:p w14:paraId="1F76312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设备（或材料）允许情况下，一般连续运行</w:t>
      </w:r>
      <w:r>
        <w:rPr>
          <w:rFonts w:hint="eastAsia" w:ascii="宋体" w:hAnsi="宋体" w:eastAsia="宋体"/>
          <w:sz w:val="24"/>
          <w:szCs w:val="24"/>
          <w:lang w:val="en-US" w:eastAsia="zh-CN"/>
        </w:rPr>
        <w:t>一</w:t>
      </w:r>
      <w:r>
        <w:rPr>
          <w:rFonts w:hint="eastAsia" w:ascii="宋体" w:hAnsi="宋体" w:eastAsia="宋体"/>
          <w:sz w:val="24"/>
          <w:szCs w:val="24"/>
        </w:rPr>
        <w:t xml:space="preserve">个月，每天连续 </w:t>
      </w:r>
      <w:r>
        <w:rPr>
          <w:rFonts w:hint="eastAsia" w:ascii="宋体" w:hAnsi="宋体" w:eastAsia="宋体"/>
          <w:sz w:val="24"/>
          <w:szCs w:val="24"/>
          <w:lang w:val="en-US" w:eastAsia="zh-CN"/>
        </w:rPr>
        <w:t>8</w:t>
      </w:r>
      <w:r>
        <w:rPr>
          <w:rFonts w:hint="eastAsia" w:ascii="宋体" w:hAnsi="宋体" w:eastAsia="宋体"/>
          <w:sz w:val="24"/>
          <w:szCs w:val="24"/>
        </w:rPr>
        <w:t xml:space="preserve"> 小时，除用户方面因素外，必须达到以下要求：</w:t>
      </w:r>
    </w:p>
    <w:p w14:paraId="49D551EB">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a)在整个验收过程中没有维修、更换零部件或元件行为；</w:t>
      </w:r>
    </w:p>
    <w:p w14:paraId="22E96DB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0F2EE08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c）终验收通过后买卖双方共同签署终验收报告。</w:t>
      </w:r>
    </w:p>
    <w:p w14:paraId="7F2189A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2设备（或材料）验收的一般标准与要求：</w:t>
      </w:r>
    </w:p>
    <w:p w14:paraId="0450FE38">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① 预验收的一般标准与要求</w:t>
      </w:r>
    </w:p>
    <w:p w14:paraId="25092B81">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1066CB4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394AF5E0">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2E0C60F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d.设备（或材料）应有完整的标牌，且清晰易见；</w:t>
      </w:r>
    </w:p>
    <w:p w14:paraId="5DC0DA2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1302DA72">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②终验收时的一般验收标准与要求：</w:t>
      </w:r>
    </w:p>
    <w:p w14:paraId="7E9C41E4">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a.资料齐全性、完整性和有效性。</w:t>
      </w:r>
    </w:p>
    <w:p w14:paraId="4E979356">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7297A33D">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c.设备（或材料）应有完整的标牌，且清晰易见；</w:t>
      </w:r>
    </w:p>
    <w:p w14:paraId="4C6D60F9">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③ 终验收条件</w:t>
      </w:r>
    </w:p>
    <w:p w14:paraId="6E7A9A95">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0B9B73B6">
      <w:pPr>
        <w:rPr>
          <w:rFonts w:ascii="宋体" w:hAnsi="宋体" w:eastAsia="宋体"/>
          <w:b/>
          <w:bCs w:val="0"/>
          <w:iCs/>
          <w:color w:val="auto"/>
          <w:sz w:val="28"/>
        </w:rPr>
      </w:pPr>
      <w:r>
        <w:rPr>
          <w:rFonts w:ascii="宋体" w:hAnsi="宋体" w:eastAsia="宋体"/>
          <w:b/>
          <w:bCs w:val="0"/>
          <w:iCs/>
          <w:color w:val="auto"/>
          <w:sz w:val="28"/>
        </w:rPr>
        <w:br w:type="page"/>
      </w:r>
    </w:p>
    <w:p w14:paraId="6971827E">
      <w:pPr>
        <w:pStyle w:val="239"/>
        <w:spacing w:line="360" w:lineRule="auto"/>
        <w:jc w:val="center"/>
        <w:outlineLvl w:val="1"/>
        <w:rPr>
          <w:rFonts w:hint="eastAsia" w:ascii="宋体" w:hAnsi="宋体" w:eastAsia="宋体"/>
          <w:b/>
          <w:bCs w:val="0"/>
          <w:iCs/>
          <w:color w:val="auto"/>
          <w:sz w:val="28"/>
        </w:rPr>
      </w:pPr>
      <w:r>
        <w:rPr>
          <w:rFonts w:ascii="宋体" w:hAnsi="宋体" w:eastAsia="宋体"/>
          <w:b/>
          <w:bCs w:val="0"/>
          <w:iCs/>
          <w:color w:val="auto"/>
          <w:sz w:val="28"/>
        </w:rPr>
        <w:t>第六章  投标技术文件一般要求</w:t>
      </w:r>
      <w:bookmarkEnd w:id="25"/>
    </w:p>
    <w:p w14:paraId="1AA418DA">
      <w:pPr>
        <w:pStyle w:val="238"/>
        <w:spacing w:line="360" w:lineRule="auto"/>
        <w:rPr>
          <w:rFonts w:hint="eastAsia" w:ascii="宋体" w:hAnsi="宋体"/>
          <w:color w:val="auto"/>
        </w:rPr>
      </w:pPr>
      <w:r>
        <w:rPr>
          <w:rFonts w:ascii="宋体" w:hAnsi="宋体"/>
          <w:color w:val="auto"/>
        </w:rPr>
        <w:t>一、技术文件一般内容要求</w:t>
      </w:r>
    </w:p>
    <w:p w14:paraId="74AF73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23B6195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0A744F5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D99E4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B1F5D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B09E11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9332B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0E5A82B8">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9"/>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482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A007E0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noWrap w:val="0"/>
            <w:vAlign w:val="top"/>
          </w:tcPr>
          <w:p w14:paraId="625AA73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noWrap w:val="0"/>
            <w:vAlign w:val="top"/>
          </w:tcPr>
          <w:p w14:paraId="0F7B69E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noWrap w:val="0"/>
            <w:vAlign w:val="top"/>
          </w:tcPr>
          <w:p w14:paraId="49DA06B6">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noWrap w:val="0"/>
            <w:vAlign w:val="top"/>
          </w:tcPr>
          <w:p w14:paraId="4166CE8D">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noWrap w:val="0"/>
            <w:vAlign w:val="top"/>
          </w:tcPr>
          <w:p w14:paraId="6905173C">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noWrap w:val="0"/>
            <w:vAlign w:val="top"/>
          </w:tcPr>
          <w:p w14:paraId="5BCD2CF8">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noWrap w:val="0"/>
            <w:vAlign w:val="top"/>
          </w:tcPr>
          <w:p w14:paraId="3412DCA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2E2B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A98B4B">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0DC59182">
            <w:pPr>
              <w:adjustRightInd w:val="0"/>
              <w:snapToGrid w:val="0"/>
              <w:spacing w:line="360" w:lineRule="auto"/>
              <w:rPr>
                <w:rFonts w:hint="eastAsia" w:ascii="宋体" w:hAnsi="宋体" w:eastAsia="宋体" w:cs="宋体"/>
                <w:sz w:val="24"/>
                <w:szCs w:val="24"/>
              </w:rPr>
            </w:pPr>
          </w:p>
        </w:tc>
        <w:tc>
          <w:tcPr>
            <w:tcW w:w="1236" w:type="dxa"/>
            <w:noWrap w:val="0"/>
            <w:vAlign w:val="top"/>
          </w:tcPr>
          <w:p w14:paraId="11F8E476">
            <w:pPr>
              <w:adjustRightInd w:val="0"/>
              <w:snapToGrid w:val="0"/>
              <w:spacing w:line="360" w:lineRule="auto"/>
              <w:rPr>
                <w:rFonts w:hint="eastAsia" w:ascii="宋体" w:hAnsi="宋体" w:eastAsia="宋体" w:cs="宋体"/>
                <w:sz w:val="24"/>
                <w:szCs w:val="24"/>
              </w:rPr>
            </w:pPr>
          </w:p>
        </w:tc>
        <w:tc>
          <w:tcPr>
            <w:tcW w:w="720" w:type="dxa"/>
            <w:noWrap w:val="0"/>
            <w:vAlign w:val="top"/>
          </w:tcPr>
          <w:p w14:paraId="3BF33EA1">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FB6618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FF8F4A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9F36C91">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2EDA37A">
            <w:pPr>
              <w:adjustRightInd w:val="0"/>
              <w:snapToGrid w:val="0"/>
              <w:spacing w:line="360" w:lineRule="auto"/>
              <w:rPr>
                <w:rFonts w:hint="eastAsia" w:ascii="宋体" w:hAnsi="宋体" w:eastAsia="宋体" w:cs="宋体"/>
                <w:sz w:val="24"/>
                <w:szCs w:val="24"/>
              </w:rPr>
            </w:pPr>
          </w:p>
        </w:tc>
      </w:tr>
      <w:tr w14:paraId="31C1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A6A4D1">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3190CE88">
            <w:pPr>
              <w:adjustRightInd w:val="0"/>
              <w:snapToGrid w:val="0"/>
              <w:spacing w:line="360" w:lineRule="auto"/>
              <w:rPr>
                <w:rFonts w:hint="eastAsia" w:ascii="宋体" w:hAnsi="宋体" w:eastAsia="宋体" w:cs="宋体"/>
                <w:sz w:val="24"/>
                <w:szCs w:val="24"/>
              </w:rPr>
            </w:pPr>
          </w:p>
        </w:tc>
        <w:tc>
          <w:tcPr>
            <w:tcW w:w="1236" w:type="dxa"/>
            <w:noWrap w:val="0"/>
            <w:vAlign w:val="top"/>
          </w:tcPr>
          <w:p w14:paraId="601F0A9E">
            <w:pPr>
              <w:adjustRightInd w:val="0"/>
              <w:snapToGrid w:val="0"/>
              <w:spacing w:line="360" w:lineRule="auto"/>
              <w:rPr>
                <w:rFonts w:hint="eastAsia" w:ascii="宋体" w:hAnsi="宋体" w:eastAsia="宋体" w:cs="宋体"/>
                <w:sz w:val="24"/>
                <w:szCs w:val="24"/>
              </w:rPr>
            </w:pPr>
          </w:p>
        </w:tc>
        <w:tc>
          <w:tcPr>
            <w:tcW w:w="720" w:type="dxa"/>
            <w:noWrap w:val="0"/>
            <w:vAlign w:val="top"/>
          </w:tcPr>
          <w:p w14:paraId="0A8AA7C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795FD4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06C77BE">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669938B">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468A4356">
            <w:pPr>
              <w:adjustRightInd w:val="0"/>
              <w:snapToGrid w:val="0"/>
              <w:spacing w:line="360" w:lineRule="auto"/>
              <w:rPr>
                <w:rFonts w:hint="eastAsia" w:ascii="宋体" w:hAnsi="宋体" w:eastAsia="宋体" w:cs="宋体"/>
                <w:sz w:val="24"/>
                <w:szCs w:val="24"/>
              </w:rPr>
            </w:pPr>
          </w:p>
        </w:tc>
      </w:tr>
      <w:tr w14:paraId="5F30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6DA6303">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10ED500F">
            <w:pPr>
              <w:adjustRightInd w:val="0"/>
              <w:snapToGrid w:val="0"/>
              <w:spacing w:line="360" w:lineRule="auto"/>
              <w:rPr>
                <w:rFonts w:hint="eastAsia" w:ascii="宋体" w:hAnsi="宋体" w:eastAsia="宋体" w:cs="宋体"/>
                <w:sz w:val="24"/>
                <w:szCs w:val="24"/>
              </w:rPr>
            </w:pPr>
          </w:p>
        </w:tc>
        <w:tc>
          <w:tcPr>
            <w:tcW w:w="1236" w:type="dxa"/>
            <w:noWrap w:val="0"/>
            <w:vAlign w:val="top"/>
          </w:tcPr>
          <w:p w14:paraId="37C45A8B">
            <w:pPr>
              <w:adjustRightInd w:val="0"/>
              <w:snapToGrid w:val="0"/>
              <w:spacing w:line="360" w:lineRule="auto"/>
              <w:rPr>
                <w:rFonts w:hint="eastAsia" w:ascii="宋体" w:hAnsi="宋体" w:eastAsia="宋体" w:cs="宋体"/>
                <w:sz w:val="24"/>
                <w:szCs w:val="24"/>
              </w:rPr>
            </w:pPr>
          </w:p>
        </w:tc>
        <w:tc>
          <w:tcPr>
            <w:tcW w:w="720" w:type="dxa"/>
            <w:noWrap w:val="0"/>
            <w:vAlign w:val="top"/>
          </w:tcPr>
          <w:p w14:paraId="37C4E3C7">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0726B4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4A32D1B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D8F76BE">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03E261B6">
            <w:pPr>
              <w:adjustRightInd w:val="0"/>
              <w:snapToGrid w:val="0"/>
              <w:spacing w:line="360" w:lineRule="auto"/>
              <w:rPr>
                <w:rFonts w:hint="eastAsia" w:ascii="宋体" w:hAnsi="宋体" w:eastAsia="宋体" w:cs="宋体"/>
                <w:sz w:val="24"/>
                <w:szCs w:val="24"/>
              </w:rPr>
            </w:pPr>
          </w:p>
        </w:tc>
      </w:tr>
      <w:tr w14:paraId="01EB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2CB038E">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4E706D54">
            <w:pPr>
              <w:adjustRightInd w:val="0"/>
              <w:snapToGrid w:val="0"/>
              <w:spacing w:line="360" w:lineRule="auto"/>
              <w:rPr>
                <w:rFonts w:hint="eastAsia" w:ascii="宋体" w:hAnsi="宋体" w:eastAsia="宋体" w:cs="宋体"/>
                <w:sz w:val="24"/>
                <w:szCs w:val="24"/>
              </w:rPr>
            </w:pPr>
          </w:p>
        </w:tc>
        <w:tc>
          <w:tcPr>
            <w:tcW w:w="1236" w:type="dxa"/>
            <w:noWrap w:val="0"/>
            <w:vAlign w:val="top"/>
          </w:tcPr>
          <w:p w14:paraId="3BF84D6A">
            <w:pPr>
              <w:adjustRightInd w:val="0"/>
              <w:snapToGrid w:val="0"/>
              <w:spacing w:line="360" w:lineRule="auto"/>
              <w:rPr>
                <w:rFonts w:hint="eastAsia" w:ascii="宋体" w:hAnsi="宋体" w:eastAsia="宋体" w:cs="宋体"/>
                <w:sz w:val="24"/>
                <w:szCs w:val="24"/>
              </w:rPr>
            </w:pPr>
          </w:p>
        </w:tc>
        <w:tc>
          <w:tcPr>
            <w:tcW w:w="720" w:type="dxa"/>
            <w:noWrap w:val="0"/>
            <w:vAlign w:val="top"/>
          </w:tcPr>
          <w:p w14:paraId="58FFEE0D">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0D28E3C">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6EF012D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73BA3CB0">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3EE4889">
            <w:pPr>
              <w:adjustRightInd w:val="0"/>
              <w:snapToGrid w:val="0"/>
              <w:spacing w:line="360" w:lineRule="auto"/>
              <w:rPr>
                <w:rFonts w:hint="eastAsia" w:ascii="宋体" w:hAnsi="宋体" w:eastAsia="宋体" w:cs="宋体"/>
                <w:sz w:val="24"/>
                <w:szCs w:val="24"/>
              </w:rPr>
            </w:pPr>
          </w:p>
        </w:tc>
      </w:tr>
      <w:tr w14:paraId="4DB5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DF8BFBF">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64F1E622">
            <w:pPr>
              <w:adjustRightInd w:val="0"/>
              <w:snapToGrid w:val="0"/>
              <w:spacing w:line="360" w:lineRule="auto"/>
              <w:rPr>
                <w:rFonts w:hint="eastAsia" w:ascii="宋体" w:hAnsi="宋体" w:eastAsia="宋体" w:cs="宋体"/>
                <w:sz w:val="24"/>
                <w:szCs w:val="24"/>
              </w:rPr>
            </w:pPr>
          </w:p>
        </w:tc>
        <w:tc>
          <w:tcPr>
            <w:tcW w:w="1236" w:type="dxa"/>
            <w:noWrap w:val="0"/>
            <w:vAlign w:val="top"/>
          </w:tcPr>
          <w:p w14:paraId="356DE376">
            <w:pPr>
              <w:adjustRightInd w:val="0"/>
              <w:snapToGrid w:val="0"/>
              <w:spacing w:line="360" w:lineRule="auto"/>
              <w:rPr>
                <w:rFonts w:hint="eastAsia" w:ascii="宋体" w:hAnsi="宋体" w:eastAsia="宋体" w:cs="宋体"/>
                <w:sz w:val="24"/>
                <w:szCs w:val="24"/>
              </w:rPr>
            </w:pPr>
          </w:p>
        </w:tc>
        <w:tc>
          <w:tcPr>
            <w:tcW w:w="720" w:type="dxa"/>
            <w:noWrap w:val="0"/>
            <w:vAlign w:val="top"/>
          </w:tcPr>
          <w:p w14:paraId="7A687C82">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1A6CD81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7C255EA">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245C0DCF">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69C458F9">
            <w:pPr>
              <w:adjustRightInd w:val="0"/>
              <w:snapToGrid w:val="0"/>
              <w:spacing w:line="360" w:lineRule="auto"/>
              <w:rPr>
                <w:rFonts w:hint="eastAsia" w:ascii="宋体" w:hAnsi="宋体" w:eastAsia="宋体" w:cs="宋体"/>
                <w:sz w:val="24"/>
                <w:szCs w:val="24"/>
              </w:rPr>
            </w:pPr>
          </w:p>
        </w:tc>
      </w:tr>
      <w:tr w14:paraId="7332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449CABC">
            <w:pPr>
              <w:adjustRightInd w:val="0"/>
              <w:snapToGrid w:val="0"/>
              <w:spacing w:line="360" w:lineRule="auto"/>
              <w:jc w:val="center"/>
              <w:rPr>
                <w:rFonts w:hint="eastAsia" w:ascii="宋体" w:hAnsi="宋体" w:eastAsia="宋体" w:cs="宋体"/>
                <w:sz w:val="24"/>
                <w:szCs w:val="24"/>
              </w:rPr>
            </w:pPr>
          </w:p>
        </w:tc>
        <w:tc>
          <w:tcPr>
            <w:tcW w:w="1924" w:type="dxa"/>
            <w:noWrap w:val="0"/>
            <w:vAlign w:val="top"/>
          </w:tcPr>
          <w:p w14:paraId="5AC0DC91">
            <w:pPr>
              <w:adjustRightInd w:val="0"/>
              <w:snapToGrid w:val="0"/>
              <w:spacing w:line="360" w:lineRule="auto"/>
              <w:rPr>
                <w:rFonts w:hint="eastAsia" w:ascii="宋体" w:hAnsi="宋体" w:eastAsia="宋体" w:cs="宋体"/>
                <w:sz w:val="24"/>
                <w:szCs w:val="24"/>
              </w:rPr>
            </w:pPr>
          </w:p>
        </w:tc>
        <w:tc>
          <w:tcPr>
            <w:tcW w:w="1236" w:type="dxa"/>
            <w:noWrap w:val="0"/>
            <w:vAlign w:val="top"/>
          </w:tcPr>
          <w:p w14:paraId="12982368">
            <w:pPr>
              <w:adjustRightInd w:val="0"/>
              <w:snapToGrid w:val="0"/>
              <w:spacing w:line="360" w:lineRule="auto"/>
              <w:rPr>
                <w:rFonts w:hint="eastAsia" w:ascii="宋体" w:hAnsi="宋体" w:eastAsia="宋体" w:cs="宋体"/>
                <w:sz w:val="24"/>
                <w:szCs w:val="24"/>
              </w:rPr>
            </w:pPr>
          </w:p>
        </w:tc>
        <w:tc>
          <w:tcPr>
            <w:tcW w:w="720" w:type="dxa"/>
            <w:noWrap w:val="0"/>
            <w:vAlign w:val="top"/>
          </w:tcPr>
          <w:p w14:paraId="5DA7B655">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0A81FF40">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31BE2C9B">
            <w:pPr>
              <w:adjustRightInd w:val="0"/>
              <w:snapToGrid w:val="0"/>
              <w:spacing w:line="360" w:lineRule="auto"/>
              <w:jc w:val="center"/>
              <w:rPr>
                <w:rFonts w:hint="eastAsia" w:ascii="宋体" w:hAnsi="宋体" w:eastAsia="宋体" w:cs="宋体"/>
                <w:sz w:val="24"/>
                <w:szCs w:val="24"/>
              </w:rPr>
            </w:pPr>
          </w:p>
        </w:tc>
        <w:tc>
          <w:tcPr>
            <w:tcW w:w="720" w:type="dxa"/>
            <w:noWrap w:val="0"/>
            <w:vAlign w:val="top"/>
          </w:tcPr>
          <w:p w14:paraId="5D0D7F19">
            <w:pPr>
              <w:adjustRightInd w:val="0"/>
              <w:snapToGrid w:val="0"/>
              <w:spacing w:line="360" w:lineRule="auto"/>
              <w:jc w:val="center"/>
              <w:rPr>
                <w:rFonts w:hint="eastAsia" w:ascii="宋体" w:hAnsi="宋体" w:eastAsia="宋体" w:cs="宋体"/>
                <w:sz w:val="24"/>
                <w:szCs w:val="24"/>
              </w:rPr>
            </w:pPr>
          </w:p>
        </w:tc>
        <w:tc>
          <w:tcPr>
            <w:tcW w:w="2235" w:type="dxa"/>
            <w:noWrap w:val="0"/>
            <w:vAlign w:val="top"/>
          </w:tcPr>
          <w:p w14:paraId="7D510951">
            <w:pPr>
              <w:adjustRightInd w:val="0"/>
              <w:snapToGrid w:val="0"/>
              <w:spacing w:line="360" w:lineRule="auto"/>
              <w:rPr>
                <w:rFonts w:hint="eastAsia" w:ascii="宋体" w:hAnsi="宋体" w:eastAsia="宋体" w:cs="宋体"/>
                <w:sz w:val="24"/>
                <w:szCs w:val="24"/>
              </w:rPr>
            </w:pPr>
          </w:p>
        </w:tc>
      </w:tr>
    </w:tbl>
    <w:p w14:paraId="1AEF06D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BC0FE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2FDFD8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8E041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1474820">
      <w:pPr>
        <w:pStyle w:val="238"/>
        <w:spacing w:line="360" w:lineRule="auto"/>
        <w:rPr>
          <w:rFonts w:hint="eastAsia" w:ascii="宋体" w:hAnsi="宋体" w:cs="宋体"/>
          <w:color w:val="auto"/>
        </w:rPr>
      </w:pPr>
      <w:r>
        <w:rPr>
          <w:rFonts w:hint="eastAsia" w:ascii="宋体" w:hAnsi="宋体" w:cs="宋体"/>
          <w:color w:val="auto"/>
        </w:rPr>
        <w:t>二、技术文件中货物报价格式要求</w:t>
      </w:r>
    </w:p>
    <w:p w14:paraId="2E6D91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846DA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45076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4A434F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38F7F4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3179231C">
      <w:pPr>
        <w:rPr>
          <w:rFonts w:hint="eastAsia" w:ascii="Calibri" w:hAnsi="Calibri" w:cs="Times New Roman"/>
          <w:b/>
          <w:bCs/>
          <w:kern w:val="44"/>
          <w:sz w:val="44"/>
          <w:szCs w:val="44"/>
          <w:highlight w:val="none"/>
          <w:lang w:val="en-US" w:eastAsia="zh-CN"/>
        </w:rPr>
      </w:pPr>
    </w:p>
    <w:p w14:paraId="1CF1B7EB">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6" w:name="_Toc353881012"/>
      <w:bookmarkStart w:id="27" w:name="_Toc639004"/>
      <w:bookmarkStart w:id="28" w:name="_Toc212369550"/>
      <w:r>
        <w:rPr>
          <w:rFonts w:hint="default" w:ascii="Times New Roman" w:hAnsi="Times New Roman" w:eastAsia="宋体" w:cs="Times New Roman"/>
          <w:b/>
          <w:bCs/>
          <w:color w:val="000000"/>
          <w:sz w:val="24"/>
          <w:szCs w:val="24"/>
        </w:rPr>
        <w:t xml:space="preserve"> 投标函</w:t>
      </w:r>
      <w:bookmarkEnd w:id="26"/>
      <w:bookmarkEnd w:id="27"/>
      <w:bookmarkEnd w:id="28"/>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eastAsia" w:cs="Times New Roman"/>
          <w:b/>
          <w:bCs/>
          <w:color w:val="000000"/>
          <w:sz w:val="24"/>
          <w:szCs w:val="24"/>
          <w:u w:val="single"/>
          <w:lang w:eastAsia="zh-CN"/>
        </w:rPr>
        <w:t>莱芜工厂辊压线废料再利用-新增全向搬运车项目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5"/>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2"/>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2"/>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2"/>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2"/>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2"/>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2"/>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2"/>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2"/>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2"/>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2"/>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2"/>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2"/>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2"/>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2"/>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5"/>
        <w:rPr>
          <w:rFonts w:hint="default" w:ascii="Times New Roman" w:hAnsi="Times New Roman" w:eastAsia="宋体" w:cs="Times New Roman"/>
          <w:b/>
          <w:bCs/>
          <w:color w:val="000000"/>
          <w:sz w:val="24"/>
          <w:szCs w:val="24"/>
        </w:rPr>
      </w:pPr>
    </w:p>
    <w:p w14:paraId="4E360575">
      <w:pPr>
        <w:pStyle w:val="25"/>
        <w:rPr>
          <w:rFonts w:hint="default" w:ascii="Times New Roman" w:hAnsi="Times New Roman" w:eastAsia="宋体" w:cs="Times New Roman"/>
          <w:b/>
          <w:bCs/>
          <w:color w:val="000000"/>
          <w:sz w:val="24"/>
          <w:szCs w:val="24"/>
        </w:rPr>
      </w:pPr>
    </w:p>
    <w:p w14:paraId="18B28C34">
      <w:pPr>
        <w:pStyle w:val="25"/>
        <w:rPr>
          <w:rFonts w:hint="default" w:ascii="Times New Roman" w:hAnsi="Times New Roman" w:eastAsia="宋体" w:cs="Times New Roman"/>
          <w:b/>
          <w:bCs/>
          <w:color w:val="000000"/>
          <w:sz w:val="24"/>
          <w:szCs w:val="24"/>
        </w:rPr>
      </w:pPr>
    </w:p>
    <w:p w14:paraId="59B9FA63">
      <w:pPr>
        <w:pStyle w:val="25"/>
        <w:rPr>
          <w:rFonts w:hint="default" w:ascii="Times New Roman" w:hAnsi="Times New Roman" w:eastAsia="宋体" w:cs="Times New Roman"/>
          <w:b/>
          <w:bCs/>
          <w:color w:val="000000"/>
          <w:sz w:val="24"/>
          <w:szCs w:val="24"/>
        </w:rPr>
      </w:pPr>
    </w:p>
    <w:p w14:paraId="70E33259">
      <w:pPr>
        <w:pStyle w:val="25"/>
        <w:rPr>
          <w:rFonts w:hint="default" w:ascii="Times New Roman" w:hAnsi="Times New Roman" w:eastAsia="宋体" w:cs="Times New Roman"/>
          <w:b/>
          <w:bCs/>
          <w:color w:val="000000"/>
          <w:sz w:val="24"/>
          <w:szCs w:val="24"/>
        </w:rPr>
      </w:pPr>
    </w:p>
    <w:p w14:paraId="37B23B42">
      <w:pPr>
        <w:pStyle w:val="25"/>
        <w:rPr>
          <w:rFonts w:hint="default" w:ascii="Times New Roman" w:hAnsi="Times New Roman" w:eastAsia="宋体" w:cs="Times New Roman"/>
          <w:b/>
          <w:bCs/>
          <w:color w:val="000000"/>
          <w:sz w:val="24"/>
          <w:szCs w:val="24"/>
        </w:rPr>
      </w:pPr>
    </w:p>
    <w:p w14:paraId="77D15F41">
      <w:pPr>
        <w:pStyle w:val="25"/>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color w:val="000000"/>
          <w:sz w:val="24"/>
          <w:szCs w:val="24"/>
        </w:rPr>
        <w:t xml:space="preserve"> </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5"/>
        <w:rPr>
          <w:rFonts w:hint="default" w:ascii="Times New Roman" w:hAnsi="Times New Roman" w:cs="Times New Roman"/>
        </w:rPr>
      </w:pPr>
    </w:p>
    <w:p w14:paraId="09D0A75C">
      <w:pPr>
        <w:pStyle w:val="25"/>
        <w:rPr>
          <w:rFonts w:hint="default" w:ascii="Times New Roman" w:hAnsi="Times New Roman" w:cs="Times New Roman"/>
        </w:rPr>
      </w:pPr>
    </w:p>
    <w:p w14:paraId="3213DD82">
      <w:pPr>
        <w:pStyle w:val="25"/>
        <w:rPr>
          <w:rFonts w:hint="default" w:ascii="Times New Roman" w:hAnsi="Times New Roman" w:cs="Times New Roman"/>
        </w:rPr>
      </w:pPr>
    </w:p>
    <w:p w14:paraId="33268E3A">
      <w:pPr>
        <w:pStyle w:val="25"/>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eastAsia" w:ascii="Times New Roman" w:hAnsi="Times New Roman" w:eastAsia="宋体" w:cs="Times New Roman"/>
          <w:b w:val="0"/>
          <w:bCs w:val="0"/>
          <w:color w:val="000000"/>
          <w:sz w:val="24"/>
          <w:szCs w:val="24"/>
          <w:u w:val="single"/>
          <w:lang w:val="en-US" w:eastAsia="zh-CN"/>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莱芜工厂辊压线废料再利用-新增全向搬运车项目</w:t>
      </w:r>
    </w:p>
    <w:tbl>
      <w:tblPr>
        <w:tblStyle w:val="4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莱芜工厂辊压线废料再利用-新增全向搬运车项目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莱芜工厂辊压线废料再利用-新增全向搬运车项目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3"/>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3"/>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3"/>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5"/>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5"/>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5"/>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2BE747D">
      <w:pPr>
        <w:bidi w:val="0"/>
        <w:ind w:firstLine="3150" w:firstLineChars="1500"/>
        <w:jc w:val="left"/>
        <w:rPr>
          <w:rFonts w:hint="default"/>
          <w:lang w:val="en-US" w:eastAsia="zh-CN"/>
        </w:rPr>
      </w:pPr>
    </w:p>
    <w:tbl>
      <w:tblPr>
        <w:tblStyle w:val="49"/>
        <w:tblW w:w="9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1386"/>
        <w:gridCol w:w="856"/>
        <w:gridCol w:w="1006"/>
        <w:gridCol w:w="1404"/>
      </w:tblGrid>
      <w:tr w14:paraId="25DB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D07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ACC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货物名称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CF3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809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品牌</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105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D27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CA4F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795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合计(未税)</w:t>
            </w:r>
          </w:p>
        </w:tc>
      </w:tr>
      <w:tr w14:paraId="4EF1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11D60BEB">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50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21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C2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F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22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8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0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7A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747DB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B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51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3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1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85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9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E69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6E29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4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FC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D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9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D3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02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74C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C52946">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5C3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07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28E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9924"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38DB9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其他费用</w:t>
            </w:r>
          </w:p>
        </w:tc>
      </w:tr>
      <w:tr w14:paraId="71A8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AE72">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C8141">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项目</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132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单价(未税)</w:t>
            </w: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19D8">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88DC">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1AC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b/>
                <w:bCs/>
                <w:i w:val="0"/>
                <w:iCs w:val="0"/>
                <w:color w:val="000000"/>
                <w:kern w:val="0"/>
                <w:sz w:val="22"/>
                <w:szCs w:val="22"/>
                <w:u w:val="none"/>
                <w:lang w:val="en-US" w:eastAsia="zh-CN" w:bidi="ar"/>
              </w:rPr>
              <w:t>合计(未税)</w:t>
            </w:r>
          </w:p>
        </w:tc>
      </w:tr>
      <w:tr w14:paraId="477B2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7C543E4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CFA0A">
            <w:pPr>
              <w:keepNext w:val="0"/>
              <w:keepLines w:val="0"/>
              <w:widowControl/>
              <w:suppressLineNumbers w:val="0"/>
              <w:jc w:val="center"/>
              <w:textAlignment w:val="center"/>
              <w:rPr>
                <w:rFonts w:hint="eastAsia" w:ascii="宋体" w:hAnsi="宋体" w:eastAsia="宋体" w:cs="宋体"/>
                <w:sz w:val="22"/>
                <w:szCs w:val="22"/>
                <w:lang w:val="en-US" w:eastAsia="zh-CN"/>
              </w:rPr>
            </w:pPr>
            <w:r>
              <w:rPr>
                <w:rFonts w:hint="eastAsia" w:ascii="宋体" w:hAnsi="宋体" w:eastAsia="宋体" w:cs="宋体"/>
                <w:i w:val="0"/>
                <w:iCs w:val="0"/>
                <w:color w:val="000000"/>
                <w:kern w:val="0"/>
                <w:sz w:val="22"/>
                <w:szCs w:val="22"/>
                <w:u w:val="none"/>
                <w:lang w:val="en-US" w:eastAsia="zh-CN" w:bidi="ar"/>
              </w:rPr>
              <w:t>人工费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BEB9">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D058">
            <w:pPr>
              <w:keepNext w:val="0"/>
              <w:keepLines w:val="0"/>
              <w:widowControl/>
              <w:suppressLineNumbers w:val="0"/>
              <w:jc w:val="center"/>
              <w:textAlignment w:val="center"/>
              <w:rPr>
                <w:rFonts w:hint="eastAsia" w:ascii="宋体" w:hAnsi="宋体" w:eastAsia="宋体" w:cs="宋体"/>
                <w:sz w:val="22"/>
                <w:szCs w:val="22"/>
                <w:lang w:val="en-US" w:eastAsia="zh-CN"/>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23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人天</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D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E4C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right w:val="single" w:color="000000" w:sz="4" w:space="0"/>
            </w:tcBorders>
            <w:shd w:val="clear" w:color="auto" w:fill="auto"/>
            <w:vAlign w:val="center"/>
          </w:tcPr>
          <w:p w14:paraId="527BEE1A">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94A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标定效验费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9CAC">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6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DB5F">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5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55E4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31D9F9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7398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安装调试费</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1F2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p>
        </w:tc>
        <w:tc>
          <w:tcPr>
            <w:tcW w:w="8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0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6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20C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FF6B0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小计（不含税）</w:t>
            </w:r>
          </w:p>
        </w:tc>
        <w:tc>
          <w:tcPr>
            <w:tcW w:w="1006" w:type="dxa"/>
            <w:tcBorders>
              <w:top w:val="single" w:color="000000" w:sz="4" w:space="0"/>
              <w:left w:val="nil"/>
              <w:bottom w:val="single" w:color="000000" w:sz="4" w:space="0"/>
              <w:right w:val="single" w:color="000000" w:sz="4" w:space="0"/>
            </w:tcBorders>
            <w:shd w:val="clear" w:color="auto" w:fill="auto"/>
            <w:vAlign w:val="center"/>
          </w:tcPr>
          <w:p w14:paraId="01EB0C9F">
            <w:pPr>
              <w:jc w:val="center"/>
              <w:rPr>
                <w:rFonts w:hint="eastAsia" w:ascii="宋体" w:hAnsi="宋体" w:eastAsia="宋体" w:cs="宋体"/>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CE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p>
        </w:tc>
      </w:tr>
      <w:tr w14:paraId="47933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4749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总计（不含税）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1727D">
            <w:pPr>
              <w:jc w:val="center"/>
              <w:rPr>
                <w:rFonts w:hint="default" w:ascii="等线" w:hAnsi="等线" w:eastAsia="等线" w:cs="等线"/>
                <w:b/>
                <w:bCs/>
                <w:i w:val="0"/>
                <w:iCs w:val="0"/>
                <w:color w:val="000000"/>
                <w:sz w:val="22"/>
                <w:szCs w:val="22"/>
                <w:u w:val="none"/>
              </w:rPr>
            </w:pPr>
          </w:p>
        </w:tc>
        <w:tc>
          <w:tcPr>
            <w:tcW w:w="1404" w:type="dxa"/>
            <w:tcBorders>
              <w:top w:val="single" w:color="auto" w:sz="4" w:space="0"/>
              <w:left w:val="single" w:color="000000" w:sz="4" w:space="0"/>
              <w:bottom w:val="single" w:color="000000" w:sz="4" w:space="0"/>
              <w:right w:val="single" w:color="000000" w:sz="4" w:space="0"/>
            </w:tcBorders>
            <w:shd w:val="clear" w:color="auto" w:fill="auto"/>
            <w:vAlign w:val="center"/>
          </w:tcPr>
          <w:p w14:paraId="36550ADA">
            <w:pPr>
              <w:jc w:val="center"/>
              <w:rPr>
                <w:rFonts w:hint="default" w:ascii="等线" w:hAnsi="等线" w:eastAsia="等线" w:cs="等线"/>
                <w:b/>
                <w:bCs/>
                <w:i w:val="0"/>
                <w:iCs w:val="0"/>
                <w:color w:val="000000"/>
                <w:sz w:val="22"/>
                <w:szCs w:val="22"/>
                <w:u w:val="none"/>
              </w:rPr>
            </w:pPr>
          </w:p>
        </w:tc>
      </w:tr>
      <w:tr w14:paraId="337C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5802993">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税率13%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D2AF">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A64B">
            <w:pPr>
              <w:jc w:val="center"/>
              <w:rPr>
                <w:rFonts w:hint="default" w:ascii="等线" w:hAnsi="等线" w:eastAsia="等线" w:cs="等线"/>
                <w:b/>
                <w:bCs/>
                <w:i w:val="0"/>
                <w:iCs w:val="0"/>
                <w:color w:val="000000"/>
                <w:sz w:val="22"/>
                <w:szCs w:val="22"/>
                <w:u w:val="none"/>
              </w:rPr>
            </w:pPr>
          </w:p>
        </w:tc>
      </w:tr>
      <w:tr w14:paraId="3A9A9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751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EF2A8F8">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合计含税价格大写人民币：XX元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CD7C">
            <w:pPr>
              <w:jc w:val="center"/>
              <w:rPr>
                <w:rFonts w:hint="default" w:ascii="等线" w:hAnsi="等线" w:eastAsia="等线" w:cs="等线"/>
                <w:b/>
                <w:bCs/>
                <w:i w:val="0"/>
                <w:iCs w:val="0"/>
                <w:color w:val="000000"/>
                <w:sz w:val="22"/>
                <w:szCs w:val="22"/>
                <w:u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F9C7">
            <w:pPr>
              <w:jc w:val="center"/>
              <w:rPr>
                <w:rFonts w:hint="default" w:ascii="等线" w:hAnsi="等线" w:eastAsia="等线" w:cs="等线"/>
                <w:b/>
                <w:bCs/>
                <w:i w:val="0"/>
                <w:iCs w:val="0"/>
                <w:color w:val="000000"/>
                <w:sz w:val="22"/>
                <w:szCs w:val="22"/>
                <w:u w:val="none"/>
              </w:rPr>
            </w:pPr>
          </w:p>
        </w:tc>
      </w:tr>
    </w:tbl>
    <w:p w14:paraId="10F8DA5C">
      <w:pPr>
        <w:bidi w:val="0"/>
        <w:jc w:val="left"/>
        <w:rPr>
          <w:rFonts w:hint="default"/>
          <w:lang w:val="en-US" w:eastAsia="zh-CN"/>
        </w:rPr>
      </w:pPr>
    </w:p>
    <w:p w14:paraId="79D16871">
      <w:pPr>
        <w:pStyle w:val="25"/>
        <w:rPr>
          <w:rFonts w:hint="eastAsia" w:ascii="宋体" w:hAnsi="宋体" w:eastAsia="宋体" w:cs="Times New Roman"/>
          <w:sz w:val="24"/>
          <w:szCs w:val="20"/>
        </w:rPr>
      </w:pPr>
    </w:p>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5"/>
        <w:rPr>
          <w:rFonts w:hint="eastAsia" w:ascii="宋体" w:hAnsi="宋体" w:eastAsia="宋体" w:cs="宋体"/>
          <w:spacing w:val="-6"/>
          <w:szCs w:val="21"/>
        </w:rPr>
      </w:pPr>
    </w:p>
    <w:p w14:paraId="6FF3A58E">
      <w:pPr>
        <w:pStyle w:val="25"/>
        <w:rPr>
          <w:rFonts w:hint="eastAsia" w:ascii="宋体" w:hAnsi="宋体" w:eastAsia="宋体" w:cs="宋体"/>
          <w:spacing w:val="-6"/>
          <w:szCs w:val="21"/>
        </w:rPr>
      </w:pPr>
    </w:p>
    <w:p w14:paraId="57AFB38A">
      <w:pPr>
        <w:pStyle w:val="25"/>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莱芜工厂辊压线废料再利用-新增全向搬运车项目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5"/>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eastAsia="zh-CN"/>
              </w:rPr>
              <w:t>莱芜工厂辊压线废料再利用-新增全向搬运车项目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436941F1">
      <w:pPr>
        <w:spacing w:line="360" w:lineRule="auto"/>
        <w:ind w:firstLine="480" w:firstLineChars="200"/>
        <w:rPr>
          <w:rFonts w:hint="default" w:ascii="Times New Roman" w:hAnsi="Times New Roman" w:eastAsia="宋体" w:cs="Times New Roman"/>
          <w:color w:val="000000"/>
          <w:sz w:val="24"/>
          <w:szCs w:val="24"/>
        </w:rPr>
        <w:sectPr>
          <w:headerReference r:id="rId15" w:type="default"/>
          <w:footerReference r:id="rId16" w:type="default"/>
          <w:pgSz w:w="11906" w:h="16838"/>
          <w:pgMar w:top="1134" w:right="1134" w:bottom="1134" w:left="1134" w:header="737" w:footer="573" w:gutter="0"/>
          <w:pgNumType w:fmt="decimal"/>
          <w:cols w:space="0" w:num="1"/>
          <w:rtlGutter w:val="0"/>
          <w:docGrid w:linePitch="312" w:charSpace="0"/>
        </w:sectPr>
      </w:pPr>
      <w:r>
        <w:rPr>
          <w:rFonts w:hint="default" w:ascii="Times New Roman" w:hAnsi="Times New Roman" w:eastAsia="宋体" w:cs="Times New Roman"/>
          <w:color w:val="000000"/>
          <w:sz w:val="24"/>
          <w:szCs w:val="24"/>
        </w:rPr>
        <w:t>投标人名称：                   授权代表签字：                  日期：</w:t>
      </w:r>
    </w:p>
    <w:p w14:paraId="34A1588D">
      <w:pPr>
        <w:jc w:val="center"/>
        <w:rPr>
          <w:rFonts w:hint="default" w:asciiTheme="minorHAnsi" w:hAnsiTheme="minorHAnsi" w:eastAsiaTheme="minorEastAsia" w:cstheme="minorBidi"/>
          <w:kern w:val="2"/>
          <w:sz w:val="36"/>
          <w:szCs w:val="36"/>
          <w:lang w:val="en-US" w:eastAsia="zh-CN" w:bidi="ar-SA"/>
        </w:rPr>
      </w:pPr>
      <w:r>
        <w:rPr>
          <w:rFonts w:hint="eastAsia"/>
          <w:b/>
          <w:bCs/>
          <w:sz w:val="36"/>
          <w:szCs w:val="36"/>
          <w:lang w:val="en-US" w:eastAsia="zh-CN"/>
        </w:rPr>
        <w:t>评分标准</w:t>
      </w:r>
    </w:p>
    <w:p w14:paraId="728C9064">
      <w:pPr>
        <w:bidi w:val="0"/>
        <w:rPr>
          <w:rFonts w:hint="eastAsia" w:ascii="宋体" w:hAnsi="宋体" w:eastAsia="宋体" w:cs="宋体"/>
          <w:kern w:val="2"/>
          <w:sz w:val="21"/>
          <w:szCs w:val="24"/>
          <w:lang w:val="en-US" w:eastAsia="zh-CN" w:bidi="ar-SA"/>
        </w:rPr>
      </w:pPr>
    </w:p>
    <w:p w14:paraId="2CB0B9BC">
      <w:pPr>
        <w:numPr>
          <w:ilvl w:val="0"/>
          <w:numId w:val="0"/>
        </w:numPr>
        <w:tabs>
          <w:tab w:val="left" w:pos="666"/>
        </w:tabs>
        <w:bidi w:val="0"/>
        <w:jc w:val="left"/>
        <w:rPr>
          <w:rFonts w:hint="eastAsia" w:ascii="宋体" w:hAnsi="宋体" w:eastAsia="宋体" w:cs="宋体"/>
          <w:b/>
          <w:color w:val="auto"/>
          <w:sz w:val="24"/>
          <w:szCs w:val="24"/>
          <w:highlight w:val="none"/>
        </w:rPr>
      </w:pPr>
      <w:r>
        <w:rPr>
          <w:rFonts w:hint="eastAsia" w:ascii="宋体" w:hAnsi="宋体" w:eastAsia="宋体" w:cs="宋体"/>
          <w:kern w:val="0"/>
          <w:sz w:val="24"/>
          <w:szCs w:val="24"/>
        </w:rPr>
        <w:t>评标</w:t>
      </w:r>
      <w:r>
        <w:rPr>
          <w:rFonts w:hint="eastAsia" w:ascii="宋体" w:hAnsi="宋体" w:eastAsia="宋体" w:cs="宋体"/>
          <w:kern w:val="0"/>
          <w:sz w:val="24"/>
          <w:szCs w:val="24"/>
          <w:lang w:val="en-US" w:eastAsia="zh-CN"/>
        </w:rPr>
        <w:t>标准</w:t>
      </w:r>
      <w:r>
        <w:rPr>
          <w:rFonts w:hint="eastAsia" w:ascii="宋体" w:hAnsi="宋体" w:eastAsia="宋体" w:cs="宋体"/>
          <w:kern w:val="0"/>
          <w:sz w:val="24"/>
          <w:szCs w:val="24"/>
          <w:lang w:eastAsia="zh-CN"/>
        </w:rPr>
        <w:t>：</w:t>
      </w:r>
      <w:r>
        <w:rPr>
          <w:rFonts w:hint="eastAsia" w:ascii="宋体" w:hAnsi="宋体" w:eastAsia="宋体" w:cs="宋体"/>
          <w:b/>
          <w:color w:val="auto"/>
          <w:sz w:val="24"/>
          <w:szCs w:val="24"/>
          <w:highlight w:val="none"/>
          <w:lang w:val="en-US" w:eastAsia="zh-CN"/>
        </w:rPr>
        <w:t>技术标入围后，原则上</w:t>
      </w:r>
      <w:r>
        <w:rPr>
          <w:rFonts w:hint="eastAsia" w:ascii="宋体" w:hAnsi="宋体" w:eastAsia="宋体" w:cs="宋体"/>
          <w:b/>
          <w:bCs/>
          <w:color w:val="auto"/>
          <w:sz w:val="24"/>
          <w:szCs w:val="24"/>
          <w:highlight w:val="none"/>
          <w:lang w:val="en-US" w:eastAsia="zh-CN"/>
        </w:rPr>
        <w:t>综合评分最高的投标方</w:t>
      </w:r>
      <w:r>
        <w:rPr>
          <w:rFonts w:hint="eastAsia" w:ascii="宋体" w:hAnsi="宋体" w:eastAsia="宋体" w:cs="宋体"/>
          <w:b/>
          <w:color w:val="auto"/>
          <w:sz w:val="24"/>
          <w:szCs w:val="24"/>
          <w:highlight w:val="none"/>
          <w:lang w:val="en-US" w:eastAsia="zh-CN"/>
        </w:rPr>
        <w:t>中标</w:t>
      </w:r>
      <w:r>
        <w:rPr>
          <w:rFonts w:hint="eastAsia" w:ascii="宋体" w:hAnsi="宋体" w:eastAsia="宋体" w:cs="宋体"/>
          <w:b/>
          <w:color w:val="auto"/>
          <w:sz w:val="24"/>
          <w:szCs w:val="24"/>
          <w:highlight w:val="none"/>
        </w:rPr>
        <w:t>。</w:t>
      </w:r>
    </w:p>
    <w:p w14:paraId="529F8C9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p>
    <w:p w14:paraId="3A506BCC">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技术标评分标准：</w:t>
      </w:r>
    </w:p>
    <w:p w14:paraId="5C765C9B">
      <w:pPr>
        <w:bidi w:val="0"/>
        <w:jc w:val="center"/>
        <w:rPr>
          <w:rFonts w:hint="default" w:asciiTheme="minorHAnsi" w:hAnsiTheme="minorHAnsi" w:eastAsiaTheme="minorEastAsia" w:cstheme="minorBidi"/>
          <w:kern w:val="2"/>
          <w:sz w:val="21"/>
          <w:szCs w:val="24"/>
          <w:lang w:val="en-US" w:eastAsia="zh-CN" w:bidi="ar-SA"/>
        </w:rPr>
      </w:pPr>
      <w:r>
        <w:rPr>
          <w:rFonts w:hint="eastAsia" w:ascii="宋体" w:hAnsi="宋体" w:eastAsia="宋体" w:cs="Times New Roman"/>
          <w:b/>
          <w:bCs/>
          <w:sz w:val="24"/>
          <w:szCs w:val="24"/>
        </w:rPr>
        <w:t>技术标评审表（100分）</w:t>
      </w:r>
    </w:p>
    <w:tbl>
      <w:tblPr>
        <w:tblStyle w:val="49"/>
        <w:tblpPr w:leftFromText="180" w:rightFromText="180" w:vertAnchor="text" w:horzAnchor="page" w:tblpX="1174" w:tblpY="320"/>
        <w:tblOverlap w:val="never"/>
        <w:tblW w:w="14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615"/>
        <w:gridCol w:w="2865"/>
        <w:gridCol w:w="885"/>
        <w:gridCol w:w="9369"/>
      </w:tblGrid>
      <w:tr w14:paraId="7C26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940" w:type="dxa"/>
            <w:noWrap w:val="0"/>
            <w:vAlign w:val="center"/>
          </w:tcPr>
          <w:p w14:paraId="23E77A2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评价类型</w:t>
            </w:r>
          </w:p>
        </w:tc>
        <w:tc>
          <w:tcPr>
            <w:tcW w:w="615" w:type="dxa"/>
            <w:noWrap w:val="0"/>
            <w:vAlign w:val="center"/>
          </w:tcPr>
          <w:p w14:paraId="5A3E9D4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noWrap w:val="0"/>
            <w:vAlign w:val="center"/>
          </w:tcPr>
          <w:p w14:paraId="5056B0D3">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noWrap w:val="0"/>
            <w:vAlign w:val="center"/>
          </w:tcPr>
          <w:p w14:paraId="670D085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noWrap w:val="0"/>
            <w:vAlign w:val="center"/>
          </w:tcPr>
          <w:p w14:paraId="03B0B4EE">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009E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restart"/>
            <w:noWrap w:val="0"/>
            <w:vAlign w:val="center"/>
          </w:tcPr>
          <w:p w14:paraId="0121E56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49F83D0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615" w:type="dxa"/>
            <w:noWrap w:val="0"/>
            <w:vAlign w:val="center"/>
          </w:tcPr>
          <w:p w14:paraId="790487B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noWrap w:val="0"/>
            <w:vAlign w:val="center"/>
          </w:tcPr>
          <w:p w14:paraId="7C6CF20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生产能力</w:t>
            </w:r>
          </w:p>
        </w:tc>
        <w:tc>
          <w:tcPr>
            <w:tcW w:w="885" w:type="dxa"/>
            <w:noWrap w:val="0"/>
            <w:vAlign w:val="center"/>
          </w:tcPr>
          <w:p w14:paraId="25161BA8">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F805F60">
            <w:pPr>
              <w:tabs>
                <w:tab w:val="left" w:pos="13965"/>
              </w:tabs>
              <w:spacing w:line="420" w:lineRule="exact"/>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由评标委员会成员独立进行客观、公正的评价，投标人的装备制造能力、生产设备、加工工艺先进、</w:t>
            </w:r>
            <w:r>
              <w:rPr>
                <w:rFonts w:hint="eastAsia" w:ascii="宋体" w:hAnsi="宋体" w:eastAsia="宋体" w:cs="宋体"/>
                <w:sz w:val="18"/>
                <w:szCs w:val="18"/>
                <w:lang w:val="en-US" w:eastAsia="zh-CN"/>
              </w:rPr>
              <w:t>技术人员综合实力</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10分。</w:t>
            </w:r>
          </w:p>
        </w:tc>
      </w:tr>
      <w:tr w14:paraId="4145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40" w:type="dxa"/>
            <w:vMerge w:val="continue"/>
            <w:noWrap w:val="0"/>
            <w:vAlign w:val="center"/>
          </w:tcPr>
          <w:p w14:paraId="14AFA12D">
            <w:pPr>
              <w:tabs>
                <w:tab w:val="left" w:pos="13965"/>
              </w:tabs>
              <w:spacing w:line="360" w:lineRule="auto"/>
              <w:ind w:right="-6"/>
              <w:jc w:val="center"/>
              <w:rPr>
                <w:rFonts w:hint="eastAsia" w:ascii="宋体" w:hAnsi="宋体" w:eastAsia="宋体" w:cs="宋体"/>
                <w:sz w:val="18"/>
                <w:szCs w:val="18"/>
              </w:rPr>
            </w:pPr>
          </w:p>
        </w:tc>
        <w:tc>
          <w:tcPr>
            <w:tcW w:w="615" w:type="dxa"/>
            <w:shd w:val="clear" w:color="auto" w:fill="auto"/>
            <w:noWrap w:val="0"/>
            <w:vAlign w:val="center"/>
          </w:tcPr>
          <w:p w14:paraId="6BED7D01">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w:t>
            </w:r>
          </w:p>
        </w:tc>
        <w:tc>
          <w:tcPr>
            <w:tcW w:w="2865" w:type="dxa"/>
            <w:noWrap w:val="0"/>
            <w:vAlign w:val="center"/>
          </w:tcPr>
          <w:p w14:paraId="1F7B7337">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企业影响力</w:t>
            </w:r>
          </w:p>
        </w:tc>
        <w:tc>
          <w:tcPr>
            <w:tcW w:w="885" w:type="dxa"/>
            <w:noWrap w:val="0"/>
            <w:vAlign w:val="center"/>
          </w:tcPr>
          <w:p w14:paraId="41F7031A">
            <w:pPr>
              <w:tabs>
                <w:tab w:val="left" w:pos="13965"/>
              </w:tabs>
              <w:spacing w:line="360" w:lineRule="auto"/>
              <w:ind w:right="-6"/>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5</w:t>
            </w:r>
          </w:p>
        </w:tc>
        <w:tc>
          <w:tcPr>
            <w:tcW w:w="9369" w:type="dxa"/>
            <w:noWrap w:val="0"/>
            <w:vAlign w:val="center"/>
          </w:tcPr>
          <w:p w14:paraId="37572B86">
            <w:pPr>
              <w:tabs>
                <w:tab w:val="left" w:pos="13965"/>
              </w:tabs>
              <w:spacing w:line="420" w:lineRule="exact"/>
              <w:ind w:right="-6"/>
              <w:jc w:val="left"/>
              <w:rPr>
                <w:rFonts w:hint="default" w:ascii="宋体" w:hAnsi="宋体" w:eastAsia="宋体" w:cs="宋体"/>
                <w:sz w:val="18"/>
                <w:szCs w:val="18"/>
                <w:lang w:val="en-US" w:eastAsia="zh-CN"/>
              </w:rPr>
            </w:pPr>
            <w:r>
              <w:rPr>
                <w:rFonts w:hint="eastAsia" w:ascii="宋体" w:hAnsi="宋体" w:eastAsia="宋体" w:cs="宋体"/>
                <w:sz w:val="18"/>
                <w:szCs w:val="18"/>
              </w:rPr>
              <w:t>由评标委员会成员独立进行客观、公正的评价，投标人</w:t>
            </w:r>
            <w:r>
              <w:rPr>
                <w:rFonts w:hint="eastAsia" w:ascii="宋体" w:hAnsi="宋体" w:eastAsia="宋体" w:cs="宋体"/>
                <w:sz w:val="18"/>
                <w:szCs w:val="18"/>
                <w:lang w:val="en-US" w:eastAsia="zh-CN"/>
              </w:rPr>
              <w:t>提供近期企业影响力证明，如行业内排名、荣誉等，</w:t>
            </w:r>
            <w:r>
              <w:rPr>
                <w:rFonts w:hint="eastAsia" w:ascii="宋体" w:hAnsi="宋体" w:eastAsia="宋体" w:cs="宋体"/>
                <w:sz w:val="18"/>
                <w:szCs w:val="18"/>
              </w:rPr>
              <w:t>视情况得0-</w:t>
            </w:r>
            <w:r>
              <w:rPr>
                <w:rFonts w:hint="eastAsia" w:ascii="宋体" w:hAnsi="宋体" w:eastAsia="宋体" w:cs="宋体"/>
                <w:sz w:val="18"/>
                <w:szCs w:val="18"/>
                <w:lang w:val="en-US" w:eastAsia="zh-CN"/>
              </w:rPr>
              <w:t>5分。</w:t>
            </w:r>
          </w:p>
        </w:tc>
      </w:tr>
      <w:tr w14:paraId="64F9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61BF784E">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6D5D59A6">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3</w:t>
            </w:r>
          </w:p>
        </w:tc>
        <w:tc>
          <w:tcPr>
            <w:tcW w:w="2865" w:type="dxa"/>
            <w:shd w:val="clear" w:color="auto" w:fill="auto"/>
            <w:noWrap w:val="0"/>
            <w:vAlign w:val="center"/>
          </w:tcPr>
          <w:p w14:paraId="17DF0B95">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设备制造商同类型项目业绩</w:t>
            </w:r>
          </w:p>
        </w:tc>
        <w:tc>
          <w:tcPr>
            <w:tcW w:w="885" w:type="dxa"/>
            <w:shd w:val="clear" w:color="auto" w:fill="auto"/>
            <w:noWrap w:val="0"/>
            <w:vAlign w:val="center"/>
          </w:tcPr>
          <w:p w14:paraId="169677DF">
            <w:pPr>
              <w:tabs>
                <w:tab w:val="left" w:pos="13965"/>
              </w:tabs>
              <w:spacing w:line="360" w:lineRule="auto"/>
              <w:ind w:right="-6" w:rightChars="0"/>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10</w:t>
            </w:r>
          </w:p>
        </w:tc>
        <w:tc>
          <w:tcPr>
            <w:tcW w:w="9369" w:type="dxa"/>
            <w:shd w:val="clear" w:color="auto" w:fill="auto"/>
            <w:noWrap w:val="0"/>
            <w:vAlign w:val="center"/>
          </w:tcPr>
          <w:p w14:paraId="0139144F">
            <w:pPr>
              <w:tabs>
                <w:tab w:val="left" w:pos="13965"/>
              </w:tabs>
              <w:spacing w:line="420" w:lineRule="exact"/>
              <w:ind w:right="-6" w:rightChars="0"/>
              <w:jc w:val="left"/>
              <w:rPr>
                <w:rFonts w:hint="eastAsia" w:ascii="宋体" w:hAnsi="宋体" w:eastAsia="宋体" w:cs="宋体"/>
                <w:kern w:val="2"/>
                <w:sz w:val="18"/>
                <w:szCs w:val="18"/>
                <w:lang w:val="en-US" w:eastAsia="zh-CN" w:bidi="ar-SA"/>
              </w:rPr>
            </w:pPr>
            <w:r>
              <w:rPr>
                <w:rFonts w:hint="eastAsia" w:ascii="宋体" w:hAnsi="宋体" w:eastAsia="宋体" w:cs="宋体"/>
                <w:sz w:val="18"/>
                <w:szCs w:val="18"/>
              </w:rPr>
              <w:t>由评标委员会成员独立进行客观、公正的评价，按照业绩数量进行赋分，相同业绩每一个得1分，类似业绩,每一个得0.5分。本条款得分最高</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同类型</w:t>
            </w:r>
            <w:r>
              <w:rPr>
                <w:rFonts w:hint="eastAsia" w:ascii="宋体" w:hAnsi="宋体" w:eastAsia="宋体" w:cs="宋体"/>
                <w:sz w:val="18"/>
                <w:szCs w:val="18"/>
              </w:rPr>
              <w:t>业绩:投标人在20</w:t>
            </w:r>
            <w:r>
              <w:rPr>
                <w:rFonts w:hint="eastAsia" w:ascii="宋体" w:hAnsi="宋体" w:eastAsia="宋体" w:cs="宋体"/>
                <w:sz w:val="18"/>
                <w:szCs w:val="18"/>
                <w:lang w:val="en-US" w:eastAsia="zh-CN"/>
              </w:rPr>
              <w:t>24</w:t>
            </w:r>
            <w:r>
              <w:rPr>
                <w:rFonts w:hint="eastAsia" w:ascii="宋体" w:hAnsi="宋体" w:eastAsia="宋体" w:cs="宋体"/>
                <w:sz w:val="18"/>
                <w:szCs w:val="18"/>
              </w:rPr>
              <w:t>年</w:t>
            </w:r>
            <w:r>
              <w:rPr>
                <w:rFonts w:hint="eastAsia" w:ascii="宋体" w:hAnsi="宋体" w:eastAsia="宋体" w:cs="宋体"/>
                <w:sz w:val="18"/>
                <w:szCs w:val="18"/>
                <w:lang w:val="en-US" w:eastAsia="zh-CN"/>
              </w:rPr>
              <w:t>1</w:t>
            </w:r>
            <w:r>
              <w:rPr>
                <w:rFonts w:hint="eastAsia" w:ascii="宋体" w:hAnsi="宋体" w:eastAsia="宋体" w:cs="宋体"/>
                <w:sz w:val="18"/>
                <w:szCs w:val="18"/>
              </w:rPr>
              <w:t>月1日（时间以签订日期为准）以来在中国与本标同类型且参数规格相符的产品,以合同复印件加盖公章为准（须有客户联系方式及联系人以供招标人核实确认）。与本标同类型但参数规格明显不同的产品,属于类似业绩。</w:t>
            </w:r>
          </w:p>
        </w:tc>
      </w:tr>
      <w:tr w14:paraId="0615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40" w:type="dxa"/>
            <w:vMerge w:val="continue"/>
            <w:noWrap w:val="0"/>
            <w:vAlign w:val="center"/>
          </w:tcPr>
          <w:p w14:paraId="27AB44B9">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527B5ED2">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4</w:t>
            </w:r>
          </w:p>
        </w:tc>
        <w:tc>
          <w:tcPr>
            <w:tcW w:w="2865" w:type="dxa"/>
            <w:noWrap w:val="0"/>
            <w:vAlign w:val="center"/>
          </w:tcPr>
          <w:p w14:paraId="0919C6C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供货周期及工期进度计划</w:t>
            </w:r>
          </w:p>
        </w:tc>
        <w:tc>
          <w:tcPr>
            <w:tcW w:w="885" w:type="dxa"/>
            <w:noWrap w:val="0"/>
            <w:vAlign w:val="center"/>
          </w:tcPr>
          <w:p w14:paraId="088D11A3">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2EBAC372">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由评标委员会成员独立进行客观、公正的评价，按照到货周期进行赋分，到货期≤</w:t>
            </w:r>
            <w:r>
              <w:rPr>
                <w:rFonts w:hint="eastAsia" w:ascii="宋体" w:hAnsi="宋体" w:eastAsia="宋体" w:cs="宋体"/>
                <w:sz w:val="18"/>
                <w:szCs w:val="18"/>
                <w:lang w:val="en-US" w:eastAsia="zh-CN"/>
              </w:rPr>
              <w:t>2</w:t>
            </w:r>
            <w:r>
              <w:rPr>
                <w:rFonts w:hint="eastAsia" w:ascii="宋体" w:hAnsi="宋体" w:eastAsia="宋体" w:cs="宋体"/>
                <w:sz w:val="18"/>
                <w:szCs w:val="18"/>
              </w:rPr>
              <w:t>个月得</w:t>
            </w:r>
            <w:r>
              <w:rPr>
                <w:rFonts w:hint="eastAsia" w:ascii="宋体" w:hAnsi="宋体" w:eastAsia="宋体" w:cs="宋体"/>
                <w:sz w:val="18"/>
                <w:szCs w:val="18"/>
                <w:lang w:val="en-US" w:eastAsia="zh-CN"/>
              </w:rPr>
              <w:t>10</w:t>
            </w:r>
            <w:r>
              <w:rPr>
                <w:rFonts w:hint="eastAsia" w:ascii="宋体" w:hAnsi="宋体" w:eastAsia="宋体" w:cs="宋体"/>
                <w:sz w:val="18"/>
                <w:szCs w:val="18"/>
              </w:rPr>
              <w:t>分，</w:t>
            </w:r>
            <w:r>
              <w:rPr>
                <w:rFonts w:hint="eastAsia" w:ascii="宋体" w:hAnsi="宋体" w:eastAsia="宋体" w:cs="宋体"/>
                <w:sz w:val="18"/>
                <w:szCs w:val="18"/>
                <w:lang w:val="en-US" w:eastAsia="zh-CN"/>
              </w:rPr>
              <w:t>2</w:t>
            </w:r>
            <w:r>
              <w:rPr>
                <w:rFonts w:hint="eastAsia" w:ascii="宋体" w:hAnsi="宋体" w:eastAsia="宋体" w:cs="宋体"/>
                <w:sz w:val="18"/>
                <w:szCs w:val="18"/>
              </w:rPr>
              <w:t>＜到货期≤</w:t>
            </w:r>
            <w:r>
              <w:rPr>
                <w:rFonts w:hint="eastAsia" w:ascii="宋体" w:hAnsi="宋体" w:eastAsia="宋体" w:cs="宋体"/>
                <w:sz w:val="18"/>
                <w:szCs w:val="18"/>
                <w:lang w:val="en-US" w:eastAsia="zh-CN"/>
              </w:rPr>
              <w:t>3</w:t>
            </w:r>
            <w:r>
              <w:rPr>
                <w:rFonts w:hint="eastAsia" w:ascii="宋体" w:hAnsi="宋体" w:eastAsia="宋体" w:cs="宋体"/>
                <w:sz w:val="18"/>
                <w:szCs w:val="18"/>
              </w:rPr>
              <w:t>个月得</w:t>
            </w:r>
            <w:r>
              <w:rPr>
                <w:rFonts w:hint="eastAsia" w:ascii="宋体" w:hAnsi="宋体" w:eastAsia="宋体" w:cs="宋体"/>
                <w:sz w:val="18"/>
                <w:szCs w:val="18"/>
                <w:lang w:val="en-US" w:eastAsia="zh-CN"/>
              </w:rPr>
              <w:t>6</w:t>
            </w:r>
            <w:r>
              <w:rPr>
                <w:rFonts w:hint="eastAsia" w:ascii="宋体" w:hAnsi="宋体" w:eastAsia="宋体" w:cs="宋体"/>
                <w:sz w:val="18"/>
                <w:szCs w:val="18"/>
              </w:rPr>
              <w:t>分，</w:t>
            </w:r>
            <w:r>
              <w:rPr>
                <w:rFonts w:hint="eastAsia" w:ascii="宋体" w:hAnsi="宋体" w:eastAsia="宋体" w:cs="宋体"/>
                <w:sz w:val="18"/>
                <w:szCs w:val="18"/>
                <w:lang w:val="en-US" w:eastAsia="zh-CN"/>
              </w:rPr>
              <w:t>3</w:t>
            </w:r>
            <w:r>
              <w:rPr>
                <w:rFonts w:hint="eastAsia" w:ascii="宋体" w:hAnsi="宋体" w:eastAsia="宋体" w:cs="宋体"/>
                <w:sz w:val="18"/>
                <w:szCs w:val="18"/>
              </w:rPr>
              <w:t>＜到货期≤</w:t>
            </w:r>
            <w:r>
              <w:rPr>
                <w:rFonts w:hint="eastAsia" w:ascii="宋体" w:hAnsi="宋体" w:eastAsia="宋体" w:cs="宋体"/>
                <w:sz w:val="18"/>
                <w:szCs w:val="18"/>
                <w:lang w:val="en-US" w:eastAsia="zh-CN"/>
              </w:rPr>
              <w:t>4</w:t>
            </w:r>
            <w:r>
              <w:rPr>
                <w:rFonts w:hint="eastAsia" w:ascii="宋体" w:hAnsi="宋体" w:eastAsia="宋体" w:cs="宋体"/>
                <w:sz w:val="18"/>
                <w:szCs w:val="18"/>
              </w:rPr>
              <w:t>个月得</w:t>
            </w:r>
            <w:r>
              <w:rPr>
                <w:rFonts w:hint="eastAsia" w:ascii="宋体" w:hAnsi="宋体" w:eastAsia="宋体" w:cs="宋体"/>
                <w:sz w:val="18"/>
                <w:szCs w:val="18"/>
                <w:lang w:val="en-US" w:eastAsia="zh-CN"/>
              </w:rPr>
              <w:t>3</w:t>
            </w:r>
            <w:r>
              <w:rPr>
                <w:rFonts w:hint="eastAsia" w:ascii="宋体" w:hAnsi="宋体" w:eastAsia="宋体" w:cs="宋体"/>
                <w:sz w:val="18"/>
                <w:szCs w:val="18"/>
              </w:rPr>
              <w:t>分。</w:t>
            </w:r>
          </w:p>
        </w:tc>
      </w:tr>
      <w:tr w14:paraId="7D92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940" w:type="dxa"/>
            <w:vMerge w:val="continue"/>
            <w:noWrap w:val="0"/>
            <w:vAlign w:val="center"/>
          </w:tcPr>
          <w:p w14:paraId="73F6C181">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C729CE9">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rPr>
              <w:t>5</w:t>
            </w:r>
          </w:p>
        </w:tc>
        <w:tc>
          <w:tcPr>
            <w:tcW w:w="2865" w:type="dxa"/>
            <w:noWrap w:val="0"/>
            <w:vAlign w:val="center"/>
          </w:tcPr>
          <w:p w14:paraId="04172D3D">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现场答疑</w:t>
            </w:r>
          </w:p>
        </w:tc>
        <w:tc>
          <w:tcPr>
            <w:tcW w:w="885" w:type="dxa"/>
            <w:noWrap w:val="0"/>
            <w:vAlign w:val="center"/>
          </w:tcPr>
          <w:p w14:paraId="2885B332">
            <w:pPr>
              <w:tabs>
                <w:tab w:val="left" w:pos="13965"/>
              </w:tabs>
              <w:spacing w:line="360" w:lineRule="auto"/>
              <w:ind w:right="-6"/>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10</w:t>
            </w:r>
          </w:p>
        </w:tc>
        <w:tc>
          <w:tcPr>
            <w:tcW w:w="9369" w:type="dxa"/>
            <w:noWrap w:val="0"/>
            <w:vAlign w:val="center"/>
          </w:tcPr>
          <w:p w14:paraId="37501E5D">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由评标委员会成员独立进行客观、公正的评价，针对投标人代表对方案、技术优势的讲解，以及就该项目难点对于评标专家现场提问的回答，打分1-</w:t>
            </w:r>
            <w:r>
              <w:rPr>
                <w:rFonts w:hint="eastAsia" w:ascii="宋体" w:hAnsi="宋体" w:eastAsia="宋体" w:cs="宋体"/>
                <w:sz w:val="18"/>
                <w:szCs w:val="18"/>
                <w:lang w:val="en-US" w:eastAsia="zh-CN"/>
              </w:rPr>
              <w:t>10</w:t>
            </w:r>
            <w:r>
              <w:rPr>
                <w:rFonts w:hint="eastAsia" w:ascii="宋体" w:hAnsi="宋体" w:eastAsia="宋体" w:cs="宋体"/>
                <w:sz w:val="18"/>
                <w:szCs w:val="18"/>
              </w:rPr>
              <w:t>分。</w:t>
            </w:r>
          </w:p>
        </w:tc>
      </w:tr>
      <w:tr w14:paraId="14EC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3" w:hRule="atLeast"/>
        </w:trPr>
        <w:tc>
          <w:tcPr>
            <w:tcW w:w="940" w:type="dxa"/>
            <w:vMerge w:val="continue"/>
            <w:noWrap w:val="0"/>
            <w:vAlign w:val="center"/>
          </w:tcPr>
          <w:p w14:paraId="2BE82185">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1B544114">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6</w:t>
            </w:r>
          </w:p>
        </w:tc>
        <w:tc>
          <w:tcPr>
            <w:tcW w:w="2865" w:type="dxa"/>
            <w:noWrap w:val="0"/>
            <w:vAlign w:val="center"/>
          </w:tcPr>
          <w:p w14:paraId="5B0856C5">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产品方案技术先进、各系统完善、性能可靠，设备主要核心部件具备自身技术优势</w:t>
            </w:r>
          </w:p>
        </w:tc>
        <w:tc>
          <w:tcPr>
            <w:tcW w:w="885" w:type="dxa"/>
            <w:noWrap w:val="0"/>
            <w:vAlign w:val="center"/>
          </w:tcPr>
          <w:p w14:paraId="49521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lang w:val="en-US" w:eastAsia="zh-CN"/>
              </w:rPr>
              <w:t>3</w:t>
            </w:r>
            <w:r>
              <w:rPr>
                <w:rFonts w:hint="eastAsia" w:ascii="宋体" w:hAnsi="宋体" w:eastAsia="宋体" w:cs="宋体"/>
                <w:sz w:val="18"/>
                <w:szCs w:val="18"/>
              </w:rPr>
              <w:t>0</w:t>
            </w:r>
          </w:p>
        </w:tc>
        <w:tc>
          <w:tcPr>
            <w:tcW w:w="9369" w:type="dxa"/>
            <w:noWrap w:val="0"/>
            <w:vAlign w:val="center"/>
          </w:tcPr>
          <w:p w14:paraId="66CFAFA8">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rPr>
              <w:t>定制系统方案达到招标要求，设备主要部件或核心部件，具备自身技术优势，打分1-10分。</w:t>
            </w:r>
          </w:p>
          <w:p w14:paraId="682D57D7">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2</w:t>
            </w:r>
            <w:r>
              <w:rPr>
                <w:rFonts w:hint="eastAsia" w:ascii="宋体" w:hAnsi="宋体" w:eastAsia="宋体" w:cs="宋体"/>
                <w:sz w:val="18"/>
                <w:szCs w:val="18"/>
                <w:lang w:eastAsia="zh-CN"/>
              </w:rPr>
              <w:t>）</w:t>
            </w:r>
            <w:r>
              <w:rPr>
                <w:rFonts w:hint="eastAsia" w:ascii="宋体" w:hAnsi="宋体" w:eastAsia="宋体" w:cs="宋体"/>
                <w:sz w:val="18"/>
                <w:szCs w:val="18"/>
              </w:rPr>
              <w:t>达到招标要求的前提下，系统配置更加周全，其精度、参数、技术水平、可靠性等优势明显，打分1-10分。</w:t>
            </w:r>
          </w:p>
          <w:p w14:paraId="00A3656A">
            <w:pPr>
              <w:numPr>
                <w:ilvl w:val="0"/>
                <w:numId w:val="0"/>
              </w:numPr>
              <w:tabs>
                <w:tab w:val="left" w:pos="13965"/>
              </w:tabs>
              <w:spacing w:line="360" w:lineRule="auto"/>
              <w:ind w:leftChars="0" w:right="-6" w:rightChars="0"/>
              <w:jc w:val="left"/>
              <w:rPr>
                <w:rFonts w:hint="eastAsia" w:ascii="宋体" w:hAnsi="宋体" w:eastAsia="宋体" w:cs="宋体"/>
                <w:sz w:val="18"/>
                <w:szCs w:val="18"/>
              </w:rPr>
            </w:pP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3</w:t>
            </w:r>
            <w:r>
              <w:rPr>
                <w:rFonts w:hint="eastAsia" w:ascii="宋体" w:hAnsi="宋体" w:eastAsia="宋体" w:cs="宋体"/>
                <w:sz w:val="18"/>
                <w:szCs w:val="18"/>
                <w:lang w:eastAsia="zh-CN"/>
              </w:rPr>
              <w:t>）</w:t>
            </w:r>
            <w:r>
              <w:rPr>
                <w:rFonts w:hint="eastAsia" w:ascii="宋体" w:hAnsi="宋体" w:eastAsia="宋体" w:cs="宋体"/>
                <w:sz w:val="18"/>
                <w:szCs w:val="18"/>
              </w:rPr>
              <w:t>关键系统技术支持资料、数据处理说明、</w:t>
            </w:r>
            <w:r>
              <w:rPr>
                <w:rFonts w:hint="eastAsia" w:ascii="宋体" w:hAnsi="宋体" w:eastAsia="宋体" w:cs="宋体"/>
                <w:sz w:val="18"/>
                <w:szCs w:val="18"/>
                <w:lang w:val="en-US" w:eastAsia="zh-CN"/>
              </w:rPr>
              <w:t>方案</w:t>
            </w:r>
            <w:r>
              <w:rPr>
                <w:rFonts w:hint="eastAsia" w:ascii="宋体" w:hAnsi="宋体" w:eastAsia="宋体" w:cs="宋体"/>
                <w:sz w:val="18"/>
                <w:szCs w:val="18"/>
              </w:rPr>
              <w:t>说明详细完整，打分1-10分。</w:t>
            </w:r>
          </w:p>
        </w:tc>
      </w:tr>
      <w:tr w14:paraId="2F6B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940" w:type="dxa"/>
            <w:vMerge w:val="continue"/>
            <w:noWrap w:val="0"/>
            <w:vAlign w:val="center"/>
          </w:tcPr>
          <w:p w14:paraId="3A6F3F80">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32147298">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7</w:t>
            </w:r>
          </w:p>
        </w:tc>
        <w:tc>
          <w:tcPr>
            <w:tcW w:w="2865" w:type="dxa"/>
            <w:noWrap w:val="0"/>
            <w:vAlign w:val="center"/>
          </w:tcPr>
          <w:p w14:paraId="72CEC840">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885" w:type="dxa"/>
            <w:noWrap w:val="0"/>
            <w:vAlign w:val="center"/>
          </w:tcPr>
          <w:p w14:paraId="5E31302D">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rPr>
              <w:t>1</w:t>
            </w:r>
            <w:r>
              <w:rPr>
                <w:rFonts w:hint="eastAsia" w:ascii="宋体" w:hAnsi="宋体" w:eastAsia="宋体" w:cs="宋体"/>
                <w:sz w:val="18"/>
                <w:szCs w:val="18"/>
                <w:lang w:val="en-US" w:eastAsia="zh-CN"/>
              </w:rPr>
              <w:t>5</w:t>
            </w:r>
          </w:p>
        </w:tc>
        <w:tc>
          <w:tcPr>
            <w:tcW w:w="9369" w:type="dxa"/>
            <w:noWrap w:val="0"/>
            <w:vAlign w:val="center"/>
          </w:tcPr>
          <w:p w14:paraId="795B47BA">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由评标委员会成员独立进行客观、公正的评价，根据各投标单位的核心产品的配置参数、技术偏离情况，在满足我司技术基本要求的前提下偏离，无偏离得满分</w:t>
            </w:r>
            <w:r>
              <w:rPr>
                <w:rFonts w:hint="eastAsia" w:ascii="宋体" w:hAnsi="宋体" w:eastAsia="宋体" w:cs="宋体"/>
                <w:sz w:val="18"/>
                <w:szCs w:val="18"/>
                <w:lang w:val="en-US" w:eastAsia="zh-CN"/>
              </w:rPr>
              <w:t>15</w:t>
            </w:r>
            <w:r>
              <w:rPr>
                <w:rFonts w:hint="eastAsia" w:ascii="宋体" w:hAnsi="宋体" w:eastAsia="宋体" w:cs="宋体"/>
                <w:sz w:val="18"/>
                <w:szCs w:val="18"/>
              </w:rPr>
              <w:t>分，较大偏离每一项扣</w:t>
            </w:r>
            <w:r>
              <w:rPr>
                <w:rFonts w:hint="eastAsia" w:ascii="宋体" w:hAnsi="宋体" w:eastAsia="宋体" w:cs="宋体"/>
                <w:sz w:val="18"/>
                <w:szCs w:val="18"/>
                <w:lang w:val="en-US" w:eastAsia="zh-CN"/>
              </w:rPr>
              <w:t>2</w:t>
            </w:r>
            <w:r>
              <w:rPr>
                <w:rFonts w:hint="eastAsia" w:ascii="宋体" w:hAnsi="宋体" w:eastAsia="宋体" w:cs="宋体"/>
                <w:sz w:val="18"/>
                <w:szCs w:val="18"/>
              </w:rPr>
              <w:t>分，一般偏离每一项扣1分，最低0分。</w:t>
            </w:r>
          </w:p>
        </w:tc>
      </w:tr>
      <w:tr w14:paraId="15AA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trPr>
        <w:tc>
          <w:tcPr>
            <w:tcW w:w="940" w:type="dxa"/>
            <w:vMerge w:val="continue"/>
            <w:noWrap w:val="0"/>
            <w:vAlign w:val="center"/>
          </w:tcPr>
          <w:p w14:paraId="163BB3BA">
            <w:pPr>
              <w:spacing w:line="360" w:lineRule="auto"/>
              <w:jc w:val="center"/>
              <w:rPr>
                <w:rFonts w:hint="eastAsia" w:ascii="宋体" w:hAnsi="宋体" w:eastAsia="宋体" w:cs="宋体"/>
                <w:sz w:val="18"/>
                <w:szCs w:val="18"/>
              </w:rPr>
            </w:pPr>
          </w:p>
        </w:tc>
        <w:tc>
          <w:tcPr>
            <w:tcW w:w="615" w:type="dxa"/>
            <w:shd w:val="clear" w:color="auto" w:fill="auto"/>
            <w:noWrap w:val="0"/>
            <w:vAlign w:val="center"/>
          </w:tcPr>
          <w:p w14:paraId="75055E4E">
            <w:pPr>
              <w:spacing w:line="360" w:lineRule="auto"/>
              <w:jc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8</w:t>
            </w:r>
          </w:p>
        </w:tc>
        <w:tc>
          <w:tcPr>
            <w:tcW w:w="2865" w:type="dxa"/>
            <w:noWrap w:val="0"/>
            <w:vAlign w:val="center"/>
          </w:tcPr>
          <w:p w14:paraId="4FCF399F">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在</w:t>
            </w:r>
            <w:r>
              <w:rPr>
                <w:rFonts w:hint="eastAsia" w:ascii="宋体" w:hAnsi="宋体" w:eastAsia="宋体" w:cs="宋体"/>
                <w:sz w:val="18"/>
                <w:szCs w:val="18"/>
                <w:lang w:val="en-US" w:eastAsia="zh-CN"/>
              </w:rPr>
              <w:t>济南</w:t>
            </w:r>
            <w:r>
              <w:rPr>
                <w:rFonts w:hint="eastAsia" w:ascii="宋体" w:hAnsi="宋体" w:eastAsia="宋体" w:cs="宋体"/>
                <w:sz w:val="18"/>
                <w:szCs w:val="18"/>
              </w:rPr>
              <w:t>有常驻的专业技术力量的维保机构</w:t>
            </w:r>
            <w:r>
              <w:rPr>
                <w:rFonts w:hint="eastAsia" w:ascii="宋体" w:hAnsi="宋体" w:eastAsia="宋体" w:cs="宋体"/>
                <w:sz w:val="18"/>
                <w:szCs w:val="18"/>
                <w:lang w:val="en-US" w:eastAsia="zh-CN"/>
              </w:rPr>
              <w:t>及</w:t>
            </w:r>
            <w:r>
              <w:rPr>
                <w:rFonts w:hint="eastAsia" w:ascii="宋体" w:hAnsi="宋体" w:eastAsia="宋体" w:cs="宋体"/>
                <w:sz w:val="18"/>
                <w:szCs w:val="18"/>
              </w:rPr>
              <w:t>专业技术人员</w:t>
            </w:r>
          </w:p>
        </w:tc>
        <w:tc>
          <w:tcPr>
            <w:tcW w:w="885" w:type="dxa"/>
            <w:noWrap w:val="0"/>
            <w:vAlign w:val="center"/>
          </w:tcPr>
          <w:p w14:paraId="62E8FA6A">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286936E">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r w14:paraId="5030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0" w:hRule="atLeast"/>
        </w:trPr>
        <w:tc>
          <w:tcPr>
            <w:tcW w:w="940" w:type="dxa"/>
            <w:vMerge w:val="continue"/>
            <w:noWrap w:val="0"/>
            <w:vAlign w:val="center"/>
          </w:tcPr>
          <w:p w14:paraId="45D0AF8B">
            <w:pPr>
              <w:spacing w:line="360" w:lineRule="auto"/>
              <w:jc w:val="center"/>
              <w:rPr>
                <w:rFonts w:hint="eastAsia" w:ascii="宋体" w:hAnsi="宋体" w:eastAsia="宋体" w:cs="宋体"/>
                <w:sz w:val="18"/>
                <w:szCs w:val="18"/>
              </w:rPr>
            </w:pPr>
          </w:p>
        </w:tc>
        <w:tc>
          <w:tcPr>
            <w:tcW w:w="615" w:type="dxa"/>
            <w:noWrap w:val="0"/>
            <w:vAlign w:val="center"/>
          </w:tcPr>
          <w:p w14:paraId="144AD9BC">
            <w:pPr>
              <w:spacing w:line="360" w:lineRule="auto"/>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9</w:t>
            </w:r>
          </w:p>
        </w:tc>
        <w:tc>
          <w:tcPr>
            <w:tcW w:w="2865" w:type="dxa"/>
            <w:noWrap w:val="0"/>
            <w:vAlign w:val="center"/>
          </w:tcPr>
          <w:p w14:paraId="55C8E16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tc>
        <w:tc>
          <w:tcPr>
            <w:tcW w:w="885" w:type="dxa"/>
            <w:noWrap w:val="0"/>
            <w:vAlign w:val="center"/>
          </w:tcPr>
          <w:p w14:paraId="63C3977F">
            <w:pPr>
              <w:tabs>
                <w:tab w:val="left" w:pos="13965"/>
              </w:tabs>
              <w:spacing w:line="360" w:lineRule="auto"/>
              <w:ind w:right="-6"/>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9369" w:type="dxa"/>
            <w:noWrap w:val="0"/>
            <w:vAlign w:val="center"/>
          </w:tcPr>
          <w:p w14:paraId="33AE6D16">
            <w:pPr>
              <w:tabs>
                <w:tab w:val="left" w:pos="13965"/>
              </w:tabs>
              <w:spacing w:line="360" w:lineRule="auto"/>
              <w:ind w:right="-6"/>
              <w:jc w:val="left"/>
              <w:rPr>
                <w:rFonts w:hint="eastAsia" w:ascii="宋体" w:hAnsi="宋体" w:eastAsia="宋体" w:cs="宋体"/>
                <w:sz w:val="18"/>
                <w:szCs w:val="18"/>
              </w:rPr>
            </w:pPr>
            <w:r>
              <w:rPr>
                <w:rFonts w:hint="eastAsia" w:ascii="宋体" w:hAnsi="宋体" w:eastAsia="宋体" w:cs="宋体"/>
                <w:sz w:val="18"/>
                <w:szCs w:val="18"/>
              </w:rPr>
              <w:t>由评标委员会成员独立进行客观、公正的评价，按照优、良、一般进行赋分，优得</w:t>
            </w:r>
            <w:r>
              <w:rPr>
                <w:rFonts w:hint="eastAsia" w:ascii="宋体" w:hAnsi="宋体" w:eastAsia="宋体" w:cs="宋体"/>
                <w:sz w:val="18"/>
                <w:szCs w:val="18"/>
                <w:lang w:val="en-US" w:eastAsia="zh-CN"/>
              </w:rPr>
              <w:t>5</w:t>
            </w:r>
            <w:r>
              <w:rPr>
                <w:rFonts w:hint="eastAsia" w:ascii="宋体" w:hAnsi="宋体" w:eastAsia="宋体" w:cs="宋体"/>
                <w:sz w:val="18"/>
                <w:szCs w:val="18"/>
              </w:rPr>
              <w:t>分，良得</w:t>
            </w:r>
            <w:r>
              <w:rPr>
                <w:rFonts w:hint="eastAsia" w:ascii="宋体" w:hAnsi="宋体" w:eastAsia="宋体" w:cs="宋体"/>
                <w:sz w:val="18"/>
                <w:szCs w:val="18"/>
                <w:lang w:val="en-US" w:eastAsia="zh-CN"/>
              </w:rPr>
              <w:t>3</w:t>
            </w:r>
            <w:r>
              <w:rPr>
                <w:rFonts w:hint="eastAsia" w:ascii="宋体" w:hAnsi="宋体" w:eastAsia="宋体" w:cs="宋体"/>
                <w:sz w:val="18"/>
                <w:szCs w:val="18"/>
              </w:rPr>
              <w:t>分，一般得2分。</w:t>
            </w:r>
          </w:p>
        </w:tc>
      </w:tr>
    </w:tbl>
    <w:p w14:paraId="7A2588B3">
      <w:pPr>
        <w:bidi w:val="0"/>
        <w:rPr>
          <w:rFonts w:hint="default"/>
          <w:lang w:val="en-US" w:eastAsia="zh-CN"/>
        </w:rPr>
      </w:pPr>
    </w:p>
    <w:p w14:paraId="1E8086E1">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商务标评分标准：</w:t>
      </w:r>
    </w:p>
    <w:p w14:paraId="7D113EF1">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评标基准价:</w:t>
      </w:r>
    </w:p>
    <w:p w14:paraId="2CE8C3EC">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1、评标基准价为所有合理有效的最终投标报价的最低价。</w:t>
      </w:r>
    </w:p>
    <w:p w14:paraId="72ECC2A3">
      <w:pPr>
        <w:spacing w:line="360" w:lineRule="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2、有效的评标基准价得 100分;其他投标人的价格得分按下列公式计算:投标价格得分=100x(评标基准价/投标报价)。</w:t>
      </w:r>
    </w:p>
    <w:p w14:paraId="1D459674">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注:得分值取小数点后两位，不足一个百分点的，按照四舍五入法计算。</w:t>
      </w:r>
    </w:p>
    <w:p w14:paraId="77E965C9">
      <w:pPr>
        <w:numPr>
          <w:ilvl w:val="0"/>
          <w:numId w:val="0"/>
        </w:numPr>
        <w:tabs>
          <w:tab w:val="left" w:pos="666"/>
        </w:tabs>
        <w:bidi w:val="0"/>
        <w:jc w:val="left"/>
        <w:rPr>
          <w:rFonts w:hint="default" w:ascii="宋体" w:hAnsi="宋体" w:eastAsia="宋体" w:cs="宋体"/>
          <w:b/>
          <w:color w:val="auto"/>
          <w:sz w:val="24"/>
          <w:szCs w:val="24"/>
          <w:highlight w:val="none"/>
          <w:lang w:val="en-US" w:eastAsia="zh-CN"/>
        </w:rPr>
      </w:pPr>
    </w:p>
    <w:p w14:paraId="1D8E47C0">
      <w:pPr>
        <w:numPr>
          <w:ilvl w:val="0"/>
          <w:numId w:val="0"/>
        </w:numPr>
        <w:tabs>
          <w:tab w:val="left" w:pos="666"/>
        </w:tabs>
        <w:bidi w:val="0"/>
        <w:jc w:val="left"/>
        <w:rPr>
          <w:rFonts w:hint="eastAsia" w:ascii="宋体" w:hAnsi="宋体" w:eastAsia="宋体" w:cs="宋体"/>
          <w:b/>
          <w:color w:val="auto"/>
          <w:sz w:val="24"/>
          <w:szCs w:val="24"/>
          <w:highlight w:val="none"/>
          <w:lang w:val="en-US" w:eastAsia="zh-CN"/>
        </w:rPr>
      </w:pPr>
      <w:r>
        <w:rPr>
          <w:rFonts w:hint="default" w:ascii="宋体" w:hAnsi="宋体" w:eastAsia="宋体" w:cs="宋体"/>
          <w:b/>
          <w:color w:val="auto"/>
          <w:sz w:val="24"/>
          <w:szCs w:val="24"/>
          <w:highlight w:val="none"/>
          <w:lang w:val="en-US" w:eastAsia="zh-CN"/>
        </w:rPr>
        <w:t>综合得分</w:t>
      </w:r>
      <w:r>
        <w:rPr>
          <w:rFonts w:hint="eastAsia" w:ascii="宋体" w:hAnsi="宋体" w:eastAsia="宋体" w:cs="宋体"/>
          <w:b/>
          <w:color w:val="auto"/>
          <w:sz w:val="24"/>
          <w:szCs w:val="24"/>
          <w:highlight w:val="none"/>
          <w:lang w:val="en-US" w:eastAsia="zh-CN"/>
        </w:rPr>
        <w:t>：</w:t>
      </w:r>
    </w:p>
    <w:p w14:paraId="28A29748">
      <w:pPr>
        <w:spacing w:line="360" w:lineRule="auto"/>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综合得分=技术标得分x</w:t>
      </w:r>
      <w:r>
        <w:rPr>
          <w:rFonts w:hint="eastAsia" w:ascii="宋体" w:hAnsi="宋体" w:cs="宋体"/>
          <w:bCs/>
          <w:sz w:val="24"/>
          <w:szCs w:val="24"/>
          <w:lang w:val="en-US" w:eastAsia="zh-CN"/>
        </w:rPr>
        <w:t>4</w:t>
      </w:r>
      <w:r>
        <w:rPr>
          <w:rFonts w:hint="eastAsia" w:ascii="宋体" w:hAnsi="宋体" w:eastAsia="宋体" w:cs="宋体"/>
          <w:bCs/>
          <w:sz w:val="24"/>
          <w:szCs w:val="24"/>
          <w:lang w:val="en-US" w:eastAsia="zh-CN"/>
        </w:rPr>
        <w:t>0%十商务标得分x</w:t>
      </w:r>
      <w:r>
        <w:rPr>
          <w:rFonts w:hint="eastAsia" w:ascii="宋体" w:hAnsi="宋体" w:cs="宋体"/>
          <w:bCs/>
          <w:sz w:val="24"/>
          <w:szCs w:val="24"/>
          <w:lang w:val="en-US" w:eastAsia="zh-CN"/>
        </w:rPr>
        <w:t>6</w:t>
      </w:r>
      <w:r>
        <w:rPr>
          <w:rFonts w:hint="eastAsia" w:ascii="宋体" w:hAnsi="宋体" w:eastAsia="宋体" w:cs="宋体"/>
          <w:bCs/>
          <w:sz w:val="24"/>
          <w:szCs w:val="24"/>
          <w:lang w:val="en-US" w:eastAsia="zh-CN"/>
        </w:rPr>
        <w:t>0%</w:t>
      </w:r>
    </w:p>
    <w:p w14:paraId="01B77EE5">
      <w:pPr>
        <w:rPr>
          <w:rFonts w:hint="eastAsia"/>
          <w:lang w:val="en-US" w:eastAsia="zh-CN"/>
        </w:rPr>
        <w:sectPr>
          <w:headerReference r:id="rId18" w:type="first"/>
          <w:footerReference r:id="rId20" w:type="first"/>
          <w:headerReference r:id="rId17" w:type="default"/>
          <w:footerReference r:id="rId19" w:type="default"/>
          <w:pgSz w:w="16838" w:h="11906" w:orient="landscape"/>
          <w:pgMar w:top="1418" w:right="1588" w:bottom="1418" w:left="1134" w:header="851" w:footer="992" w:gutter="0"/>
          <w:cols w:space="720" w:num="1"/>
          <w:titlePg/>
          <w:docGrid w:type="lines" w:linePitch="312" w:charSpace="0"/>
        </w:sectPr>
      </w:pPr>
    </w:p>
    <w:p w14:paraId="0DEC3FBD">
      <w:pPr>
        <w:pStyle w:val="25"/>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D03D4C">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758815" cy="2764790"/>
                    </a:xfrm>
                    <a:prstGeom prst="rect">
                      <a:avLst/>
                    </a:prstGeom>
                    <a:noFill/>
                    <a:ln>
                      <a:noFill/>
                    </a:ln>
                  </pic:spPr>
                </pic:pic>
              </a:graphicData>
            </a:graphic>
          </wp:inline>
        </w:drawing>
      </w:r>
    </w:p>
    <w:p w14:paraId="74099B43">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7"/>
                    <a:stretch>
                      <a:fillRect/>
                    </a:stretch>
                  </pic:blipFill>
                  <pic:spPr>
                    <a:xfrm>
                      <a:off x="0" y="0"/>
                      <a:ext cx="5760085" cy="2853375"/>
                    </a:xfrm>
                    <a:prstGeom prst="rect">
                      <a:avLst/>
                    </a:prstGeom>
                  </pic:spPr>
                </pic:pic>
              </a:graphicData>
            </a:graphic>
          </wp:inline>
        </w:drawing>
      </w:r>
    </w:p>
    <w:p w14:paraId="6954F6EA">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0C11288">
      <w:pPr>
        <w:numPr>
          <w:ilvl w:val="0"/>
          <w:numId w:val="0"/>
        </w:numPr>
        <w:spacing w:line="360" w:lineRule="auto"/>
      </w:pP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758180" cy="3058795"/>
                    </a:xfrm>
                    <a:prstGeom prst="rect">
                      <a:avLst/>
                    </a:prstGeom>
                    <a:noFill/>
                    <a:ln>
                      <a:noFill/>
                    </a:ln>
                  </pic:spPr>
                </pic:pic>
              </a:graphicData>
            </a:graphic>
          </wp:inline>
        </w:drawing>
      </w:r>
    </w:p>
    <w:p w14:paraId="67FBE74F">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5"/>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5"/>
        <w:numPr>
          <w:ilvl w:val="0"/>
          <w:numId w:val="15"/>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5"/>
        <w:numPr>
          <w:ilvl w:val="0"/>
          <w:numId w:val="15"/>
        </w:numPr>
        <w:rPr>
          <w:rFonts w:hint="default" w:ascii="宋体"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w:t>
      </w:r>
      <w:r>
        <w:rPr>
          <w:rFonts w:hint="eastAsia" w:ascii="宋体" w:hAnsi="宋体" w:eastAsia="宋体" w:cs="宋体"/>
          <w:b/>
          <w:bCs/>
          <w:color w:val="000000"/>
          <w:sz w:val="24"/>
          <w:szCs w:val="28"/>
          <w:highlight w:val="none"/>
          <w:lang w:val="en-US" w:eastAsia="zh-CN"/>
        </w:rPr>
        <w:t>供应商类别据实填写，代理商需要上传文件。</w:t>
      </w:r>
    </w:p>
    <w:p w14:paraId="4547963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5"/>
        <w:numPr>
          <w:ilvl w:val="0"/>
          <w:numId w:val="15"/>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55129E9">
      <w:pPr>
        <w:keepNext w:val="0"/>
        <w:keepLines w:val="0"/>
        <w:pageBreakBefore w:val="0"/>
        <w:widowControl w:val="0"/>
        <w:numPr>
          <w:ilvl w:val="0"/>
          <w:numId w:val="16"/>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2905DAF5">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9"/>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https://ecaitong.sinotruk.com:8012/</w:t>
      </w:r>
      <w:r>
        <w:rPr>
          <w:rStyle w:val="55"/>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7B29B18A">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269864"/>
                    </a:xfrm>
                    <a:prstGeom prst="rect">
                      <a:avLst/>
                    </a:prstGeom>
                  </pic:spPr>
                </pic:pic>
              </a:graphicData>
            </a:graphic>
          </wp:inline>
        </w:drawing>
      </w:r>
    </w:p>
    <w:p w14:paraId="525FCBF6">
      <w:pPr>
        <w:rPr>
          <w:rFonts w:hint="default" w:cs="Times New Roman"/>
          <w:b/>
          <w:bCs/>
          <w:highlight w:val="none"/>
          <w:lang w:val="en-US" w:eastAsia="zh-CN"/>
        </w:rPr>
      </w:pPr>
      <w:r>
        <w:rPr>
          <w:rFonts w:hint="eastAsia" w:cs="Times New Roman"/>
          <w:b/>
          <w:bCs/>
          <w:sz w:val="24"/>
          <w:szCs w:val="24"/>
          <w:highlight w:val="none"/>
          <w:lang w:val="en-US" w:eastAsia="zh-CN"/>
        </w:rPr>
        <w:t>应标页面否为代理商请如实选择，若为代理商应标，请在应标后联系商务联系人。</w:t>
      </w:r>
    </w:p>
    <w:p w14:paraId="78741726">
      <w:pPr>
        <w:pStyle w:val="25"/>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5"/>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1956600"/>
                    </a:xfrm>
                    <a:prstGeom prst="rect">
                      <a:avLst/>
                    </a:prstGeom>
                  </pic:spPr>
                </pic:pic>
              </a:graphicData>
            </a:graphic>
          </wp:inline>
        </w:drawing>
      </w:r>
    </w:p>
    <w:p w14:paraId="3156304E">
      <w:pPr>
        <w:pStyle w:val="25"/>
        <w:rPr>
          <w:rFonts w:hint="eastAsia" w:hAnsi="宋体" w:eastAsia="宋体" w:cs="Times New Roman"/>
          <w:b/>
          <w:color w:val="000000"/>
          <w:sz w:val="24"/>
          <w:szCs w:val="24"/>
        </w:rPr>
      </w:pPr>
    </w:p>
    <w:p w14:paraId="15DACC85">
      <w:pPr>
        <w:pStyle w:val="25"/>
        <w:rPr>
          <w:rFonts w:hint="eastAsia" w:hAnsi="宋体" w:eastAsia="宋体" w:cs="Times New Roman"/>
          <w:b/>
          <w:color w:val="000000"/>
          <w:sz w:val="24"/>
          <w:szCs w:val="24"/>
        </w:rPr>
      </w:pPr>
    </w:p>
    <w:p w14:paraId="404D12A0">
      <w:pPr>
        <w:pStyle w:val="224"/>
        <w:ind w:left="0" w:leftChars="0" w:right="960" w:firstLine="0" w:firstLineChars="0"/>
        <w:jc w:val="both"/>
        <w:rPr>
          <w:rFonts w:hint="eastAsia" w:asciiTheme="minorEastAsia" w:hAnsiTheme="minorEastAsia" w:eastAsiaTheme="minorEastAsia" w:cstheme="minorEastAsia"/>
        </w:rPr>
      </w:pPr>
    </w:p>
    <w:sectPr>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1"/>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1"/>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9D57">
    <w:pPr>
      <w:pStyle w:val="3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F7593D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169D">
    <w:pPr>
      <w:pStyle w:val="3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D9ED8B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1"/>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1"/>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1"/>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1"/>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1"/>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1"/>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1"/>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1"/>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B89">
    <w:pPr>
      <w:pStyle w:val="32"/>
    </w:pPr>
  </w:p>
  <w:p w14:paraId="0845B38A">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98F7">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A53CF982"/>
    <w:multiLevelType w:val="singleLevel"/>
    <w:tmpl w:val="A53CF982"/>
    <w:lvl w:ilvl="0" w:tentative="0">
      <w:start w:val="1"/>
      <w:numFmt w:val="bullet"/>
      <w:lvlText w:val=""/>
      <w:lvlJc w:val="left"/>
      <w:pPr>
        <w:ind w:left="420" w:hanging="420"/>
      </w:pPr>
      <w:rPr>
        <w:rFonts w:hint="default" w:ascii="Wingdings" w:hAnsi="Wingdings"/>
      </w:rPr>
    </w:lvl>
  </w:abstractNum>
  <w:abstractNum w:abstractNumId="2">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3">
    <w:nsid w:val="06882CE3"/>
    <w:multiLevelType w:val="multilevel"/>
    <w:tmpl w:val="06882CE3"/>
    <w:lvl w:ilvl="0" w:tentative="0">
      <w:start w:val="1"/>
      <w:numFmt w:val="decimal"/>
      <w:pStyle w:val="231"/>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06DF48CC"/>
    <w:multiLevelType w:val="multilevel"/>
    <w:tmpl w:val="06DF48CC"/>
    <w:lvl w:ilvl="0" w:tentative="0">
      <w:start w:val="1"/>
      <w:numFmt w:val="japaneseCounting"/>
      <w:lvlText w:val="%1、"/>
      <w:lvlJc w:val="left"/>
      <w:pPr>
        <w:ind w:left="500" w:hanging="50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6A001F"/>
    <w:multiLevelType w:val="singleLevel"/>
    <w:tmpl w:val="226A001F"/>
    <w:lvl w:ilvl="0" w:tentative="0">
      <w:start w:val="5"/>
      <w:numFmt w:val="decimal"/>
      <w:lvlText w:val="%1."/>
      <w:lvlJc w:val="left"/>
      <w:pPr>
        <w:tabs>
          <w:tab w:val="left" w:pos="312"/>
        </w:tabs>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56D20133"/>
    <w:multiLevelType w:val="multilevel"/>
    <w:tmpl w:val="56D20133"/>
    <w:lvl w:ilvl="0" w:tentative="0">
      <w:start w:val="1"/>
      <w:numFmt w:val="chineseCountingThousand"/>
      <w:pStyle w:val="2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CA585D"/>
    <w:multiLevelType w:val="singleLevel"/>
    <w:tmpl w:val="67CA585D"/>
    <w:lvl w:ilvl="0" w:tentative="0">
      <w:start w:val="1"/>
      <w:numFmt w:val="decimal"/>
      <w:suff w:val="nothing"/>
      <w:lvlText w:val="%1、"/>
      <w:lvlJc w:val="left"/>
    </w:lvl>
  </w:abstractNum>
  <w:abstractNum w:abstractNumId="13">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8DED5D6"/>
    <w:multiLevelType w:val="singleLevel"/>
    <w:tmpl w:val="78DED5D6"/>
    <w:lvl w:ilvl="0" w:tentative="0">
      <w:start w:val="2"/>
      <w:numFmt w:val="decimal"/>
      <w:suff w:val="nothing"/>
      <w:lvlText w:val="%1、"/>
      <w:lvlJc w:val="left"/>
    </w:lvl>
  </w:abstractNum>
  <w:num w:numId="1">
    <w:abstractNumId w:val="10"/>
  </w:num>
  <w:num w:numId="2">
    <w:abstractNumId w:val="3"/>
  </w:num>
  <w:num w:numId="3">
    <w:abstractNumId w:val="11"/>
  </w:num>
  <w:num w:numId="4">
    <w:abstractNumId w:val="2"/>
  </w:num>
  <w:num w:numId="5">
    <w:abstractNumId w:val="14"/>
  </w:num>
  <w:num w:numId="6">
    <w:abstractNumId w:val="7"/>
  </w:num>
  <w:num w:numId="7">
    <w:abstractNumId w:val="5"/>
  </w:num>
  <w:num w:numId="8">
    <w:abstractNumId w:val="13"/>
  </w:num>
  <w:num w:numId="9">
    <w:abstractNumId w:val="4"/>
  </w:num>
  <w:num w:numId="10">
    <w:abstractNumId w:val="8"/>
  </w:num>
  <w:num w:numId="11">
    <w:abstractNumId w:val="1"/>
  </w:num>
  <w:num w:numId="12">
    <w:abstractNumId w:val="15"/>
  </w:num>
  <w:num w:numId="13">
    <w:abstractNumId w:val="0"/>
  </w:num>
  <w:num w:numId="14">
    <w:abstractNumId w:val="6"/>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5C593A"/>
    <w:rsid w:val="02E74D14"/>
    <w:rsid w:val="02FC5AB3"/>
    <w:rsid w:val="035E6B0B"/>
    <w:rsid w:val="04826D2E"/>
    <w:rsid w:val="04B15209"/>
    <w:rsid w:val="04D70225"/>
    <w:rsid w:val="05160EF2"/>
    <w:rsid w:val="0776054C"/>
    <w:rsid w:val="0A26079A"/>
    <w:rsid w:val="0BEB0202"/>
    <w:rsid w:val="0CB054B1"/>
    <w:rsid w:val="0D326CC2"/>
    <w:rsid w:val="0DD35977"/>
    <w:rsid w:val="0EA03360"/>
    <w:rsid w:val="1378147A"/>
    <w:rsid w:val="13C93760"/>
    <w:rsid w:val="14BD34D2"/>
    <w:rsid w:val="15561167"/>
    <w:rsid w:val="15D41B8A"/>
    <w:rsid w:val="16EB3A89"/>
    <w:rsid w:val="1868332D"/>
    <w:rsid w:val="1AAB692B"/>
    <w:rsid w:val="1DA82577"/>
    <w:rsid w:val="1DAB37BF"/>
    <w:rsid w:val="1E1170AC"/>
    <w:rsid w:val="20260C5D"/>
    <w:rsid w:val="209D487B"/>
    <w:rsid w:val="224775E5"/>
    <w:rsid w:val="22A44CDF"/>
    <w:rsid w:val="25C46CDA"/>
    <w:rsid w:val="29C928E7"/>
    <w:rsid w:val="2A7C02EC"/>
    <w:rsid w:val="2A8F7CD5"/>
    <w:rsid w:val="2B3F4DD2"/>
    <w:rsid w:val="2B9654FA"/>
    <w:rsid w:val="2E7345D1"/>
    <w:rsid w:val="300746D5"/>
    <w:rsid w:val="353F5A8C"/>
    <w:rsid w:val="36DE1355"/>
    <w:rsid w:val="38FB05D7"/>
    <w:rsid w:val="393D26BB"/>
    <w:rsid w:val="39565AB7"/>
    <w:rsid w:val="3A5B7C10"/>
    <w:rsid w:val="3AB31BE9"/>
    <w:rsid w:val="3BCA5C37"/>
    <w:rsid w:val="3C972E12"/>
    <w:rsid w:val="3D9C2881"/>
    <w:rsid w:val="3F801B0E"/>
    <w:rsid w:val="413C1020"/>
    <w:rsid w:val="41A55A6F"/>
    <w:rsid w:val="429D2840"/>
    <w:rsid w:val="43936176"/>
    <w:rsid w:val="461D1E0F"/>
    <w:rsid w:val="48A82A9E"/>
    <w:rsid w:val="49D23393"/>
    <w:rsid w:val="4A082E0A"/>
    <w:rsid w:val="4AC268B8"/>
    <w:rsid w:val="4CC51E60"/>
    <w:rsid w:val="4CD949FD"/>
    <w:rsid w:val="4F4A4FC8"/>
    <w:rsid w:val="508341B3"/>
    <w:rsid w:val="51266A33"/>
    <w:rsid w:val="51654692"/>
    <w:rsid w:val="5444374C"/>
    <w:rsid w:val="54D7260C"/>
    <w:rsid w:val="577F3D9E"/>
    <w:rsid w:val="57E02431"/>
    <w:rsid w:val="58055C15"/>
    <w:rsid w:val="58AE4B70"/>
    <w:rsid w:val="5B13320B"/>
    <w:rsid w:val="5CEB3BAF"/>
    <w:rsid w:val="5E9F1486"/>
    <w:rsid w:val="5F377063"/>
    <w:rsid w:val="5FF411EE"/>
    <w:rsid w:val="62E50A5D"/>
    <w:rsid w:val="633A3E82"/>
    <w:rsid w:val="65E3187B"/>
    <w:rsid w:val="673F2C72"/>
    <w:rsid w:val="683F4F79"/>
    <w:rsid w:val="68C06BDA"/>
    <w:rsid w:val="69F8009E"/>
    <w:rsid w:val="6AB76068"/>
    <w:rsid w:val="6B0C102F"/>
    <w:rsid w:val="6C9132F0"/>
    <w:rsid w:val="6D5B701C"/>
    <w:rsid w:val="6DBA679E"/>
    <w:rsid w:val="6FDA087D"/>
    <w:rsid w:val="736A2597"/>
    <w:rsid w:val="73ED5D0C"/>
    <w:rsid w:val="74995770"/>
    <w:rsid w:val="75005A9F"/>
    <w:rsid w:val="75CB4B5C"/>
    <w:rsid w:val="75CD3E17"/>
    <w:rsid w:val="764F3356"/>
    <w:rsid w:val="767C1486"/>
    <w:rsid w:val="774E6E46"/>
    <w:rsid w:val="78190401"/>
    <w:rsid w:val="7A8F4EBB"/>
    <w:rsid w:val="7B802C44"/>
    <w:rsid w:val="7C7F6824"/>
    <w:rsid w:val="7DA42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2"/>
    <w:qFormat/>
    <w:uiPriority w:val="0"/>
    <w:pPr>
      <w:keepNext/>
      <w:keepLines/>
      <w:spacing w:before="340" w:after="330" w:line="576" w:lineRule="auto"/>
      <w:outlineLvl w:val="0"/>
    </w:pPr>
    <w:rPr>
      <w:b/>
      <w:kern w:val="44"/>
      <w:sz w:val="44"/>
      <w:lang w:val="zh-CN"/>
    </w:rPr>
  </w:style>
  <w:style w:type="paragraph" w:styleId="3">
    <w:name w:val="heading 2"/>
    <w:basedOn w:val="1"/>
    <w:next w:val="1"/>
    <w:link w:val="63"/>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4"/>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6"/>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7"/>
    <w:qFormat/>
    <w:uiPriority w:val="0"/>
    <w:pPr>
      <w:keepNext/>
      <w:keepLines/>
      <w:spacing w:before="280" w:after="290" w:line="372" w:lineRule="auto"/>
      <w:outlineLvl w:val="4"/>
    </w:pPr>
    <w:rPr>
      <w:b/>
      <w:sz w:val="28"/>
      <w:lang w:val="zh-CN"/>
    </w:rPr>
  </w:style>
  <w:style w:type="paragraph" w:styleId="8">
    <w:name w:val="heading 6"/>
    <w:basedOn w:val="1"/>
    <w:next w:val="7"/>
    <w:link w:val="68"/>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9"/>
    <w:qFormat/>
    <w:uiPriority w:val="0"/>
    <w:pPr>
      <w:keepNext/>
      <w:keepLines/>
      <w:spacing w:before="240" w:after="64" w:line="317" w:lineRule="auto"/>
      <w:outlineLvl w:val="6"/>
    </w:pPr>
    <w:rPr>
      <w:b/>
      <w:sz w:val="24"/>
      <w:lang w:val="zh-CN"/>
    </w:rPr>
  </w:style>
  <w:style w:type="paragraph" w:styleId="10">
    <w:name w:val="heading 8"/>
    <w:basedOn w:val="1"/>
    <w:next w:val="7"/>
    <w:link w:val="70"/>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1"/>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5"/>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6"/>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2"/>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6"/>
    <w:qFormat/>
    <w:uiPriority w:val="0"/>
    <w:pPr>
      <w:adjustRightInd w:val="0"/>
      <w:spacing w:line="360" w:lineRule="atLeast"/>
      <w:textAlignment w:val="baseline"/>
    </w:pPr>
    <w:rPr>
      <w:kern w:val="0"/>
      <w:sz w:val="24"/>
      <w:lang w:val="zh-CN"/>
    </w:rPr>
  </w:style>
  <w:style w:type="paragraph" w:styleId="18">
    <w:name w:val="index 6"/>
    <w:basedOn w:val="1"/>
    <w:next w:val="1"/>
    <w:qFormat/>
    <w:uiPriority w:val="0"/>
    <w:pPr>
      <w:spacing w:line="360" w:lineRule="auto"/>
      <w:ind w:firstLine="400" w:firstLineChars="400"/>
    </w:pPr>
  </w:style>
  <w:style w:type="paragraph" w:styleId="19">
    <w:name w:val="Body Text 3"/>
    <w:basedOn w:val="1"/>
    <w:link w:val="83"/>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8"/>
    <w:qFormat/>
    <w:uiPriority w:val="99"/>
    <w:rPr>
      <w:sz w:val="24"/>
    </w:rPr>
  </w:style>
  <w:style w:type="paragraph" w:styleId="21">
    <w:name w:val="Body Text Indent"/>
    <w:basedOn w:val="1"/>
    <w:link w:val="111"/>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9"/>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7"/>
    <w:qFormat/>
    <w:uiPriority w:val="99"/>
    <w:rPr>
      <w:kern w:val="0"/>
      <w:sz w:val="24"/>
    </w:rPr>
  </w:style>
  <w:style w:type="paragraph" w:styleId="28">
    <w:name w:val="Body Text Indent 2"/>
    <w:basedOn w:val="1"/>
    <w:link w:val="77"/>
    <w:qFormat/>
    <w:uiPriority w:val="0"/>
    <w:pPr>
      <w:spacing w:before="60" w:after="60"/>
      <w:ind w:left="720" w:hanging="720"/>
    </w:pPr>
    <w:rPr>
      <w:color w:val="000000"/>
      <w:kern w:val="0"/>
      <w:sz w:val="24"/>
    </w:rPr>
  </w:style>
  <w:style w:type="paragraph" w:styleId="29">
    <w:name w:val="endnote text"/>
    <w:basedOn w:val="1"/>
    <w:link w:val="207"/>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8"/>
    <w:qFormat/>
    <w:uiPriority w:val="0"/>
    <w:rPr>
      <w:sz w:val="18"/>
      <w:szCs w:val="18"/>
      <w:lang w:val="zh-CN"/>
    </w:rPr>
  </w:style>
  <w:style w:type="paragraph" w:styleId="31">
    <w:name w:val="footer"/>
    <w:basedOn w:val="1"/>
    <w:link w:val="176"/>
    <w:qFormat/>
    <w:uiPriority w:val="99"/>
    <w:pPr>
      <w:tabs>
        <w:tab w:val="center" w:pos="4153"/>
        <w:tab w:val="right" w:pos="8306"/>
      </w:tabs>
      <w:snapToGrid w:val="0"/>
    </w:pPr>
    <w:rPr>
      <w:sz w:val="18"/>
      <w:lang w:val="zh-CN"/>
    </w:rPr>
  </w:style>
  <w:style w:type="paragraph" w:styleId="32">
    <w:name w:val="header"/>
    <w:basedOn w:val="1"/>
    <w:link w:val="163"/>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100"/>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30"/>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4"/>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1"/>
    <w:qFormat/>
    <w:uiPriority w:val="0"/>
    <w:pPr>
      <w:spacing w:before="60" w:after="60"/>
    </w:pPr>
    <w:rPr>
      <w:color w:val="0000FF"/>
      <w:kern w:val="0"/>
      <w:sz w:val="24"/>
    </w:rPr>
  </w:style>
  <w:style w:type="paragraph" w:styleId="43">
    <w:name w:val="HTML Preformatted"/>
    <w:basedOn w:val="1"/>
    <w:link w:val="1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7"/>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1"/>
    <w:qFormat/>
    <w:uiPriority w:val="0"/>
    <w:pPr>
      <w:adjustRightInd/>
      <w:spacing w:line="240" w:lineRule="auto"/>
      <w:textAlignment w:val="auto"/>
    </w:pPr>
  </w:style>
  <w:style w:type="paragraph" w:styleId="47">
    <w:name w:val="Body Text First Indent"/>
    <w:basedOn w:val="20"/>
    <w:link w:val="122"/>
    <w:qFormat/>
    <w:uiPriority w:val="0"/>
    <w:pPr>
      <w:spacing w:after="120"/>
      <w:ind w:firstLine="420" w:firstLineChars="100"/>
    </w:pPr>
    <w:rPr>
      <w:rFonts w:ascii="宋体" w:hAnsi="宋体"/>
      <w:color w:val="000000"/>
      <w:lang w:val="zh-CN"/>
    </w:rPr>
  </w:style>
  <w:style w:type="paragraph" w:styleId="48">
    <w:name w:val="Body Text First Indent 2"/>
    <w:basedOn w:val="21"/>
    <w:link w:val="110"/>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9">
    <w:name w:val="一级条标题"/>
    <w:basedOn w:val="60"/>
    <w:next w:val="61"/>
    <w:qFormat/>
    <w:uiPriority w:val="0"/>
    <w:pPr>
      <w:ind w:hanging="840"/>
    </w:pPr>
  </w:style>
  <w:style w:type="paragraph" w:customStyle="1" w:styleId="60">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1">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2">
    <w:name w:val="标题 1 字符"/>
    <w:link w:val="2"/>
    <w:qFormat/>
    <w:uiPriority w:val="0"/>
    <w:rPr>
      <w:b/>
      <w:kern w:val="44"/>
      <w:sz w:val="44"/>
      <w:lang w:val="zh-CN" w:eastAsia="zh-CN"/>
    </w:rPr>
  </w:style>
  <w:style w:type="character" w:customStyle="1" w:styleId="63">
    <w:name w:val="标题 2 字符"/>
    <w:link w:val="3"/>
    <w:qFormat/>
    <w:uiPriority w:val="0"/>
    <w:rPr>
      <w:rFonts w:ascii="Arial" w:hAnsi="Arial" w:eastAsia="黑体"/>
      <w:b/>
      <w:sz w:val="32"/>
      <w:lang w:val="zh-CN" w:eastAsia="zh-CN"/>
    </w:rPr>
  </w:style>
  <w:style w:type="character" w:customStyle="1" w:styleId="64">
    <w:name w:val="标题 3 字符"/>
    <w:link w:val="4"/>
    <w:qFormat/>
    <w:uiPriority w:val="0"/>
    <w:rPr>
      <w:b/>
      <w:sz w:val="32"/>
      <w:lang w:val="zh-CN" w:eastAsia="zh-CN"/>
    </w:rPr>
  </w:style>
  <w:style w:type="character" w:customStyle="1" w:styleId="65">
    <w:name w:val="正文缩进 字符"/>
    <w:link w:val="7"/>
    <w:qFormat/>
    <w:uiPriority w:val="0"/>
    <w:rPr>
      <w:rFonts w:eastAsia="宋体"/>
      <w:lang w:val="en-US" w:eastAsia="zh-CN" w:bidi="ar-SA"/>
    </w:rPr>
  </w:style>
  <w:style w:type="character" w:customStyle="1" w:styleId="66">
    <w:name w:val="标题 4 字符"/>
    <w:link w:val="5"/>
    <w:qFormat/>
    <w:uiPriority w:val="0"/>
    <w:rPr>
      <w:rFonts w:ascii="Arial" w:hAnsi="Arial" w:eastAsia="黑体"/>
      <w:b/>
      <w:kern w:val="2"/>
      <w:sz w:val="28"/>
      <w:lang w:val="zh-CN" w:eastAsia="zh-CN"/>
    </w:rPr>
  </w:style>
  <w:style w:type="character" w:customStyle="1" w:styleId="67">
    <w:name w:val="标题 5 字符"/>
    <w:link w:val="6"/>
    <w:qFormat/>
    <w:uiPriority w:val="0"/>
    <w:rPr>
      <w:b/>
      <w:kern w:val="2"/>
      <w:sz w:val="28"/>
      <w:lang w:val="zh-CN" w:eastAsia="zh-CN"/>
    </w:rPr>
  </w:style>
  <w:style w:type="character" w:customStyle="1" w:styleId="68">
    <w:name w:val="标题 6 字符"/>
    <w:link w:val="8"/>
    <w:qFormat/>
    <w:uiPriority w:val="0"/>
    <w:rPr>
      <w:rFonts w:ascii="Arial" w:hAnsi="Arial" w:eastAsia="黑体"/>
      <w:b/>
      <w:kern w:val="2"/>
      <w:sz w:val="24"/>
      <w:lang w:val="zh-CN" w:eastAsia="zh-CN"/>
    </w:rPr>
  </w:style>
  <w:style w:type="character" w:customStyle="1" w:styleId="69">
    <w:name w:val="标题 7 字符"/>
    <w:link w:val="9"/>
    <w:qFormat/>
    <w:uiPriority w:val="0"/>
    <w:rPr>
      <w:b/>
      <w:kern w:val="2"/>
      <w:sz w:val="24"/>
      <w:lang w:val="zh-CN" w:eastAsia="zh-CN"/>
    </w:rPr>
  </w:style>
  <w:style w:type="character" w:customStyle="1" w:styleId="70">
    <w:name w:val="标题 8 字符"/>
    <w:link w:val="10"/>
    <w:qFormat/>
    <w:uiPriority w:val="0"/>
    <w:rPr>
      <w:rFonts w:ascii="Arial" w:hAnsi="Arial" w:eastAsia="黑体"/>
      <w:kern w:val="2"/>
      <w:sz w:val="24"/>
      <w:lang w:val="zh-CN" w:eastAsia="zh-CN"/>
    </w:rPr>
  </w:style>
  <w:style w:type="character" w:customStyle="1" w:styleId="71">
    <w:name w:val="标题 9 字符"/>
    <w:link w:val="11"/>
    <w:qFormat/>
    <w:uiPriority w:val="0"/>
    <w:rPr>
      <w:rFonts w:ascii="Arial" w:hAnsi="Arial" w:eastAsia="黑体"/>
      <w:kern w:val="2"/>
      <w:sz w:val="21"/>
      <w:lang w:val="zh-CN" w:eastAsia="zh-CN"/>
    </w:rPr>
  </w:style>
  <w:style w:type="character" w:customStyle="1" w:styleId="72">
    <w:name w:val="已访问的超链接1"/>
    <w:qFormat/>
    <w:uiPriority w:val="99"/>
    <w:rPr>
      <w:color w:val="800080"/>
      <w:u w:val="single"/>
    </w:rPr>
  </w:style>
  <w:style w:type="character" w:customStyle="1" w:styleId="73">
    <w:name w:val="Char Char9"/>
    <w:qFormat/>
    <w:uiPriority w:val="0"/>
    <w:rPr>
      <w:rFonts w:ascii="Arial" w:hAnsi="Arial" w:eastAsia="黑体"/>
      <w:sz w:val="21"/>
      <w:lang w:val="en-US" w:eastAsia="zh-CN" w:bidi="ar-SA"/>
    </w:rPr>
  </w:style>
  <w:style w:type="character" w:customStyle="1" w:styleId="74">
    <w:name w:val="页脚 Char Char"/>
    <w:qFormat/>
    <w:uiPriority w:val="0"/>
    <w:rPr>
      <w:sz w:val="18"/>
    </w:rPr>
  </w:style>
  <w:style w:type="character" w:customStyle="1" w:styleId="75">
    <w:name w:val="Char Char14"/>
    <w:qFormat/>
    <w:uiPriority w:val="0"/>
    <w:rPr>
      <w:kern w:val="2"/>
      <w:sz w:val="18"/>
      <w:szCs w:val="18"/>
      <w:lang w:bidi="ar-SA"/>
    </w:rPr>
  </w:style>
  <w:style w:type="character" w:customStyle="1" w:styleId="76">
    <w:name w:val="Comment Text Char"/>
    <w:qFormat/>
    <w:uiPriority w:val="0"/>
    <w:rPr>
      <w:rFonts w:cs="Times New Roman"/>
      <w:kern w:val="2"/>
      <w:sz w:val="28"/>
      <w:szCs w:val="28"/>
    </w:rPr>
  </w:style>
  <w:style w:type="character" w:customStyle="1" w:styleId="77">
    <w:name w:val="正文文本缩进 2 字符"/>
    <w:link w:val="28"/>
    <w:qFormat/>
    <w:uiPriority w:val="0"/>
    <w:rPr>
      <w:rFonts w:eastAsia="宋体"/>
      <w:color w:val="000000"/>
      <w:sz w:val="24"/>
      <w:lang w:val="en-US" w:eastAsia="zh-CN" w:bidi="ar-SA"/>
    </w:rPr>
  </w:style>
  <w:style w:type="character" w:customStyle="1" w:styleId="78">
    <w:name w:val="正文文本 字符"/>
    <w:link w:val="20"/>
    <w:qFormat/>
    <w:uiPriority w:val="99"/>
    <w:rPr>
      <w:rFonts w:eastAsia="宋体"/>
      <w:kern w:val="2"/>
      <w:sz w:val="24"/>
      <w:lang w:val="en-US" w:eastAsia="zh-CN" w:bidi="ar-SA"/>
    </w:rPr>
  </w:style>
  <w:style w:type="character" w:customStyle="1" w:styleId="79">
    <w:name w:val="No Spacing Char"/>
    <w:link w:val="80"/>
    <w:qFormat/>
    <w:uiPriority w:val="0"/>
    <w:rPr>
      <w:rFonts w:ascii="Calibri" w:hAnsi="Calibri"/>
      <w:sz w:val="22"/>
      <w:szCs w:val="22"/>
      <w:lang w:val="en-US" w:eastAsia="zh-CN" w:bidi="ar-SA"/>
    </w:rPr>
  </w:style>
  <w:style w:type="paragraph" w:customStyle="1" w:styleId="80">
    <w:name w:val="无间隔1"/>
    <w:link w:val="79"/>
    <w:qFormat/>
    <w:uiPriority w:val="0"/>
    <w:rPr>
      <w:rFonts w:ascii="Calibri" w:hAnsi="Calibri" w:eastAsia="宋体" w:cs="Times New Roman"/>
      <w:sz w:val="22"/>
      <w:szCs w:val="22"/>
      <w:lang w:val="en-US" w:eastAsia="zh-CN" w:bidi="ar-SA"/>
    </w:rPr>
  </w:style>
  <w:style w:type="character" w:customStyle="1" w:styleId="81">
    <w:name w:val="Char Char111"/>
    <w:qFormat/>
    <w:uiPriority w:val="0"/>
    <w:rPr>
      <w:rFonts w:eastAsia="黑体"/>
      <w:kern w:val="2"/>
      <w:sz w:val="44"/>
      <w:szCs w:val="44"/>
      <w:lang w:val="en-US" w:eastAsia="zh-CN" w:bidi="ar-SA"/>
    </w:rPr>
  </w:style>
  <w:style w:type="character" w:customStyle="1" w:styleId="82">
    <w:name w:val="Char Char26"/>
    <w:qFormat/>
    <w:uiPriority w:val="0"/>
    <w:rPr>
      <w:rFonts w:eastAsia="宋体"/>
      <w:b/>
      <w:bCs/>
      <w:kern w:val="44"/>
      <w:sz w:val="44"/>
      <w:szCs w:val="44"/>
      <w:lang w:val="en-US" w:eastAsia="zh-CN" w:bidi="ar-SA"/>
    </w:rPr>
  </w:style>
  <w:style w:type="character" w:customStyle="1" w:styleId="83">
    <w:name w:val="正文文本 3 字符"/>
    <w:link w:val="19"/>
    <w:qFormat/>
    <w:uiPriority w:val="0"/>
    <w:rPr>
      <w:rFonts w:ascii="Arial" w:hAnsi="Arial"/>
      <w:color w:val="FF0000"/>
      <w:spacing w:val="-3"/>
      <w:sz w:val="22"/>
      <w:lang w:val="en-GB" w:eastAsia="en-US" w:bidi="ar-SA"/>
    </w:rPr>
  </w:style>
  <w:style w:type="character" w:customStyle="1" w:styleId="84">
    <w:name w:val="正文文本缩进 3 字符"/>
    <w:link w:val="38"/>
    <w:qFormat/>
    <w:uiPriority w:val="0"/>
    <w:rPr>
      <w:rFonts w:eastAsia="宋体"/>
      <w:sz w:val="24"/>
      <w:lang w:val="en-US" w:eastAsia="zh-CN" w:bidi="ar-SA"/>
    </w:rPr>
  </w:style>
  <w:style w:type="character" w:customStyle="1" w:styleId="85">
    <w:name w:val="正文缩进 Char2"/>
    <w:qFormat/>
    <w:uiPriority w:val="0"/>
    <w:rPr>
      <w:rFonts w:eastAsia="楷体_GB2312"/>
      <w:kern w:val="2"/>
      <w:sz w:val="28"/>
    </w:rPr>
  </w:style>
  <w:style w:type="character" w:customStyle="1" w:styleId="86">
    <w:name w:val="apple-style-span"/>
    <w:basedOn w:val="51"/>
    <w:qFormat/>
    <w:uiPriority w:val="0"/>
  </w:style>
  <w:style w:type="character" w:customStyle="1" w:styleId="87">
    <w:name w:val="Char Char15"/>
    <w:qFormat/>
    <w:uiPriority w:val="0"/>
    <w:rPr>
      <w:rFonts w:eastAsia="宋体"/>
      <w:b/>
      <w:sz w:val="28"/>
      <w:lang w:val="en-US" w:eastAsia="zh-CN" w:bidi="ar-SA"/>
    </w:rPr>
  </w:style>
  <w:style w:type="character" w:customStyle="1" w:styleId="88">
    <w:name w:val="Char Char19"/>
    <w:qFormat/>
    <w:uiPriority w:val="0"/>
    <w:rPr>
      <w:rFonts w:ascii="仿宋_GB2312" w:eastAsia="仿宋_GB2312" w:cs="MingLiU"/>
      <w:b/>
      <w:spacing w:val="1"/>
      <w:w w:val="99"/>
      <w:sz w:val="28"/>
      <w:szCs w:val="32"/>
    </w:rPr>
  </w:style>
  <w:style w:type="character" w:customStyle="1" w:styleId="89">
    <w:name w:val="纯文本 字符"/>
    <w:link w:val="25"/>
    <w:qFormat/>
    <w:uiPriority w:val="99"/>
    <w:rPr>
      <w:rFonts w:ascii="宋体" w:hAnsi="Courier New" w:eastAsia="仿宋_GB2312"/>
      <w:kern w:val="2"/>
      <w:sz w:val="24"/>
    </w:rPr>
  </w:style>
  <w:style w:type="character" w:customStyle="1" w:styleId="90">
    <w:name w:val="批注主题 Char1"/>
    <w:qFormat/>
    <w:uiPriority w:val="0"/>
    <w:rPr>
      <w:rFonts w:cs="Times New Roman"/>
      <w:b/>
      <w:bCs/>
      <w:kern w:val="2"/>
      <w:sz w:val="21"/>
      <w:szCs w:val="24"/>
      <w:lang w:val="en-US" w:eastAsia="zh-CN"/>
    </w:rPr>
  </w:style>
  <w:style w:type="character" w:customStyle="1" w:styleId="91">
    <w:name w:val="正文文字2 Char Char Char"/>
    <w:qFormat/>
    <w:uiPriority w:val="0"/>
    <w:rPr>
      <w:rFonts w:ascii="Arial" w:eastAsia="黑体"/>
      <w:sz w:val="21"/>
    </w:rPr>
  </w:style>
  <w:style w:type="character" w:customStyle="1" w:styleId="92">
    <w:name w:val="Char Char6"/>
    <w:qFormat/>
    <w:uiPriority w:val="0"/>
    <w:rPr>
      <w:kern w:val="2"/>
      <w:sz w:val="18"/>
      <w:szCs w:val="18"/>
    </w:rPr>
  </w:style>
  <w:style w:type="character" w:customStyle="1" w:styleId="93">
    <w:name w:val="cucd-0 Char Char Char"/>
    <w:qFormat/>
    <w:uiPriority w:val="0"/>
    <w:rPr>
      <w:kern w:val="2"/>
      <w:sz w:val="24"/>
      <w:szCs w:val="24"/>
      <w:lang w:bidi="ar-SA"/>
    </w:rPr>
  </w:style>
  <w:style w:type="character" w:customStyle="1" w:styleId="94">
    <w:name w:val="页脚 Char Char Char"/>
    <w:qFormat/>
    <w:uiPriority w:val="0"/>
    <w:rPr>
      <w:sz w:val="18"/>
    </w:rPr>
  </w:style>
  <w:style w:type="character" w:customStyle="1" w:styleId="95">
    <w:name w:val="无间隔 字符"/>
    <w:link w:val="96"/>
    <w:qFormat/>
    <w:uiPriority w:val="0"/>
    <w:rPr>
      <w:rFonts w:ascii="Calibri" w:hAnsi="Calibri"/>
      <w:sz w:val="22"/>
      <w:szCs w:val="22"/>
      <w:lang w:val="en-US" w:eastAsia="zh-CN" w:bidi="ar-SA"/>
    </w:rPr>
  </w:style>
  <w:style w:type="paragraph" w:styleId="96">
    <w:name w:val="No Spacing"/>
    <w:link w:val="95"/>
    <w:qFormat/>
    <w:uiPriority w:val="0"/>
    <w:rPr>
      <w:rFonts w:ascii="Calibri" w:hAnsi="Calibri" w:eastAsia="宋体" w:cs="Times New Roman"/>
      <w:sz w:val="22"/>
      <w:szCs w:val="22"/>
      <w:lang w:val="en-US" w:eastAsia="zh-CN" w:bidi="ar-SA"/>
    </w:rPr>
  </w:style>
  <w:style w:type="character" w:customStyle="1" w:styleId="97">
    <w:name w:val="标题 字符"/>
    <w:link w:val="45"/>
    <w:qFormat/>
    <w:uiPriority w:val="0"/>
    <w:rPr>
      <w:rFonts w:ascii="Cambria" w:hAnsi="Cambria" w:cs="Times New Roman"/>
      <w:b/>
      <w:bCs/>
      <w:sz w:val="32"/>
      <w:szCs w:val="32"/>
    </w:rPr>
  </w:style>
  <w:style w:type="character" w:customStyle="1" w:styleId="98">
    <w:name w:val="页脚 Char1"/>
    <w:qFormat/>
    <w:uiPriority w:val="0"/>
    <w:rPr>
      <w:sz w:val="18"/>
    </w:rPr>
  </w:style>
  <w:style w:type="character" w:customStyle="1" w:styleId="99">
    <w:name w:val="正文文本缩进 Char1"/>
    <w:qFormat/>
    <w:uiPriority w:val="0"/>
    <w:rPr>
      <w:rFonts w:ascii="宋体" w:hAnsi="宋体"/>
      <w:color w:val="000000"/>
      <w:sz w:val="24"/>
      <w:szCs w:val="24"/>
      <w:lang w:val="en-US" w:eastAsia="zh-CN"/>
    </w:rPr>
  </w:style>
  <w:style w:type="character" w:customStyle="1" w:styleId="100">
    <w:name w:val="副标题 字符"/>
    <w:link w:val="35"/>
    <w:qFormat/>
    <w:uiPriority w:val="0"/>
    <w:rPr>
      <w:rFonts w:ascii="Cambria" w:hAnsi="Cambria"/>
      <w:b/>
      <w:bCs/>
      <w:kern w:val="28"/>
      <w:sz w:val="32"/>
      <w:szCs w:val="32"/>
      <w:lang w:val="en-US" w:eastAsia="zh-CN"/>
    </w:rPr>
  </w:style>
  <w:style w:type="character" w:customStyle="1" w:styleId="101">
    <w:name w:val="正文文本 2 字符"/>
    <w:link w:val="42"/>
    <w:qFormat/>
    <w:uiPriority w:val="0"/>
    <w:rPr>
      <w:rFonts w:eastAsia="宋体"/>
      <w:color w:val="0000FF"/>
      <w:sz w:val="24"/>
      <w:lang w:val="en-US" w:eastAsia="zh-CN" w:bidi="ar-SA"/>
    </w:rPr>
  </w:style>
  <w:style w:type="character" w:customStyle="1" w:styleId="102">
    <w:name w:val="h4 Char Char1"/>
    <w:qFormat/>
    <w:uiPriority w:val="0"/>
    <w:rPr>
      <w:rFonts w:ascii="仿宋_GB2312" w:eastAsia="仿宋_GB2312" w:cs="MingLiU"/>
      <w:b/>
      <w:sz w:val="24"/>
      <w:szCs w:val="28"/>
    </w:rPr>
  </w:style>
  <w:style w:type="character" w:customStyle="1" w:styleId="103">
    <w:name w:val="Char Char24"/>
    <w:qFormat/>
    <w:uiPriority w:val="0"/>
    <w:rPr>
      <w:rFonts w:eastAsia="宋体"/>
      <w:b/>
      <w:bCs/>
      <w:kern w:val="2"/>
      <w:sz w:val="28"/>
      <w:szCs w:val="32"/>
      <w:lang w:val="en-US" w:eastAsia="zh-CN" w:bidi="ar-SA"/>
    </w:rPr>
  </w:style>
  <w:style w:type="character" w:customStyle="1" w:styleId="104">
    <w:name w:val="Char Char13"/>
    <w:qFormat/>
    <w:uiPriority w:val="0"/>
    <w:rPr>
      <w:rFonts w:ascii="Arial" w:hAnsi="Arial"/>
      <w:spacing w:val="-3"/>
      <w:sz w:val="22"/>
      <w:lang w:val="en-GB" w:eastAsia="en-US" w:bidi="ar-SA"/>
    </w:rPr>
  </w:style>
  <w:style w:type="character" w:customStyle="1" w:styleId="105">
    <w:name w:val="Char Char23"/>
    <w:qFormat/>
    <w:uiPriority w:val="0"/>
    <w:rPr>
      <w:rFonts w:ascii="Arial" w:hAnsi="Arial" w:eastAsia="黑体"/>
      <w:b/>
      <w:bCs/>
      <w:kern w:val="2"/>
      <w:sz w:val="28"/>
      <w:szCs w:val="28"/>
      <w:lang w:val="en-US" w:eastAsia="zh-CN" w:bidi="ar-SA"/>
    </w:rPr>
  </w:style>
  <w:style w:type="character" w:customStyle="1" w:styleId="106">
    <w:name w:val="批注文字 字符"/>
    <w:link w:val="17"/>
    <w:qFormat/>
    <w:uiPriority w:val="0"/>
    <w:rPr>
      <w:sz w:val="24"/>
    </w:rPr>
  </w:style>
  <w:style w:type="character" w:customStyle="1" w:styleId="107">
    <w:name w:val="Char Char12"/>
    <w:qFormat/>
    <w:uiPriority w:val="0"/>
    <w:rPr>
      <w:rFonts w:ascii="Arial" w:hAnsi="Arial" w:eastAsia="黑体"/>
      <w:b/>
      <w:sz w:val="24"/>
      <w:lang w:val="en-US" w:eastAsia="zh-CN" w:bidi="ar-SA"/>
    </w:rPr>
  </w:style>
  <w:style w:type="character" w:customStyle="1" w:styleId="108">
    <w:name w:val="批注框文本 字符"/>
    <w:link w:val="30"/>
    <w:qFormat/>
    <w:uiPriority w:val="0"/>
    <w:rPr>
      <w:kern w:val="2"/>
      <w:sz w:val="18"/>
      <w:szCs w:val="18"/>
    </w:rPr>
  </w:style>
  <w:style w:type="character" w:customStyle="1" w:styleId="109">
    <w:name w:val="Char Char16"/>
    <w:qFormat/>
    <w:uiPriority w:val="0"/>
    <w:rPr>
      <w:rFonts w:ascii="Calibri" w:hAnsi="Calibri" w:eastAsia="宋体"/>
      <w:kern w:val="2"/>
      <w:sz w:val="18"/>
      <w:szCs w:val="18"/>
      <w:lang w:val="en-US" w:eastAsia="zh-CN" w:bidi="ar-SA"/>
    </w:rPr>
  </w:style>
  <w:style w:type="character" w:customStyle="1" w:styleId="110">
    <w:name w:val="正文首行缩进 2 字符"/>
    <w:link w:val="48"/>
    <w:qFormat/>
    <w:uiPriority w:val="0"/>
    <w:rPr>
      <w:rFonts w:eastAsia="宋体"/>
      <w:kern w:val="2"/>
      <w:sz w:val="21"/>
      <w:szCs w:val="24"/>
      <w:lang w:val="en-US" w:eastAsia="zh-CN" w:bidi="ar-SA"/>
    </w:rPr>
  </w:style>
  <w:style w:type="character" w:customStyle="1" w:styleId="111">
    <w:name w:val="正文文本缩进 字符"/>
    <w:link w:val="21"/>
    <w:qFormat/>
    <w:uiPriority w:val="0"/>
    <w:rPr>
      <w:rFonts w:eastAsia="宋体"/>
      <w:sz w:val="28"/>
      <w:szCs w:val="24"/>
      <w:lang w:val="en-US" w:eastAsia="zh-CN" w:bidi="ar-SA"/>
    </w:rPr>
  </w:style>
  <w:style w:type="character" w:customStyle="1" w:styleId="112">
    <w:name w:val="文档结构图 字符"/>
    <w:link w:val="15"/>
    <w:qFormat/>
    <w:uiPriority w:val="0"/>
    <w:rPr>
      <w:rFonts w:eastAsia="宋体"/>
      <w:lang w:val="en-US" w:eastAsia="zh-CN" w:bidi="ar-SA"/>
    </w:rPr>
  </w:style>
  <w:style w:type="character" w:customStyle="1" w:styleId="113">
    <w:name w:val="Char Char17"/>
    <w:qFormat/>
    <w:uiPriority w:val="0"/>
    <w:rPr>
      <w:rFonts w:ascii="Calibri" w:hAnsi="Calibri" w:eastAsia="宋体"/>
      <w:kern w:val="2"/>
      <w:sz w:val="18"/>
      <w:szCs w:val="18"/>
      <w:lang w:val="en-US" w:eastAsia="zh-CN" w:bidi="ar-SA"/>
    </w:rPr>
  </w:style>
  <w:style w:type="character" w:customStyle="1" w:styleId="114">
    <w:name w:val="Char Char10"/>
    <w:qFormat/>
    <w:uiPriority w:val="0"/>
    <w:rPr>
      <w:rFonts w:ascii="Arial" w:hAnsi="Arial" w:eastAsia="黑体"/>
      <w:sz w:val="24"/>
      <w:lang w:val="en-US" w:eastAsia="zh-CN" w:bidi="ar-SA"/>
    </w:rPr>
  </w:style>
  <w:style w:type="character" w:customStyle="1" w:styleId="115">
    <w:name w:val="Char Char18"/>
    <w:qFormat/>
    <w:uiPriority w:val="0"/>
    <w:rPr>
      <w:rFonts w:ascii="仿宋_GB2312" w:eastAsia="仿宋_GB2312" w:cs="MingLiU"/>
      <w:b/>
      <w:sz w:val="24"/>
      <w:szCs w:val="28"/>
    </w:rPr>
  </w:style>
  <w:style w:type="character" w:customStyle="1" w:styleId="116">
    <w:name w:val="注释标题 字符"/>
    <w:link w:val="13"/>
    <w:qFormat/>
    <w:uiPriority w:val="0"/>
    <w:rPr>
      <w:kern w:val="2"/>
      <w:sz w:val="21"/>
      <w:lang w:eastAsia="zh-TW"/>
    </w:rPr>
  </w:style>
  <w:style w:type="character" w:customStyle="1" w:styleId="117">
    <w:name w:val="h4 Char Char"/>
    <w:qFormat/>
    <w:uiPriority w:val="0"/>
    <w:rPr>
      <w:rFonts w:ascii="仿宋_GB2312" w:eastAsia="仿宋_GB2312" w:cs="MingLiU"/>
      <w:b/>
      <w:sz w:val="24"/>
      <w:szCs w:val="28"/>
    </w:rPr>
  </w:style>
  <w:style w:type="character" w:customStyle="1" w:styleId="118">
    <w:name w:val="纯文本 Char1"/>
    <w:qFormat/>
    <w:uiPriority w:val="0"/>
    <w:rPr>
      <w:rFonts w:ascii="宋体" w:hAnsi="Courier New"/>
      <w:kern w:val="2"/>
      <w:sz w:val="21"/>
      <w:lang w:val="en-US" w:eastAsia="zh-CN"/>
    </w:rPr>
  </w:style>
  <w:style w:type="character" w:customStyle="1" w:styleId="119">
    <w:name w:val="Char Char11"/>
    <w:qFormat/>
    <w:uiPriority w:val="0"/>
    <w:rPr>
      <w:rFonts w:eastAsia="宋体"/>
      <w:b/>
      <w:sz w:val="24"/>
      <w:lang w:val="en-US" w:eastAsia="zh-CN" w:bidi="ar-SA"/>
    </w:rPr>
  </w:style>
  <w:style w:type="character" w:customStyle="1" w:styleId="120">
    <w:name w:val="页眉 Char1"/>
    <w:qFormat/>
    <w:uiPriority w:val="0"/>
    <w:rPr>
      <w:sz w:val="18"/>
    </w:rPr>
  </w:style>
  <w:style w:type="character" w:customStyle="1" w:styleId="121">
    <w:name w:val="批注主题 字符"/>
    <w:basedOn w:val="106"/>
    <w:link w:val="46"/>
    <w:qFormat/>
    <w:uiPriority w:val="0"/>
    <w:rPr>
      <w:sz w:val="24"/>
    </w:rPr>
  </w:style>
  <w:style w:type="character" w:customStyle="1" w:styleId="122">
    <w:name w:val="正文首行缩进 字符"/>
    <w:link w:val="47"/>
    <w:qFormat/>
    <w:uiPriority w:val="0"/>
    <w:rPr>
      <w:rFonts w:ascii="宋体" w:hAnsi="宋体"/>
      <w:color w:val="000000"/>
      <w:kern w:val="2"/>
      <w:sz w:val="24"/>
    </w:rPr>
  </w:style>
  <w:style w:type="character" w:customStyle="1" w:styleId="123">
    <w:name w:val="Char Char8"/>
    <w:qFormat/>
    <w:uiPriority w:val="0"/>
    <w:rPr>
      <w:kern w:val="2"/>
      <w:sz w:val="18"/>
      <w:szCs w:val="18"/>
    </w:rPr>
  </w:style>
  <w:style w:type="character" w:customStyle="1" w:styleId="124">
    <w:name w:val="页脚2 Char Char Char"/>
    <w:qFormat/>
    <w:uiPriority w:val="0"/>
    <w:rPr>
      <w:rFonts w:ascii="宋体" w:hAnsi="宋体"/>
      <w:sz w:val="18"/>
      <w:szCs w:val="18"/>
    </w:rPr>
  </w:style>
  <w:style w:type="character" w:customStyle="1" w:styleId="125">
    <w:name w:val="普通文字 Char2"/>
    <w:qFormat/>
    <w:uiPriority w:val="0"/>
    <w:rPr>
      <w:rFonts w:ascii="宋体" w:hAnsi="Courier New"/>
      <w:kern w:val="2"/>
      <w:sz w:val="28"/>
      <w:szCs w:val="28"/>
    </w:rPr>
  </w:style>
  <w:style w:type="character" w:customStyle="1" w:styleId="126">
    <w:name w:val="章 Char"/>
    <w:qFormat/>
    <w:uiPriority w:val="0"/>
    <w:rPr>
      <w:rFonts w:eastAsia="宋体"/>
      <w:b/>
      <w:kern w:val="44"/>
      <w:sz w:val="44"/>
      <w:lang w:val="en-US" w:eastAsia="zh-CN" w:bidi="ar-SA"/>
    </w:rPr>
  </w:style>
  <w:style w:type="character" w:customStyle="1" w:styleId="127">
    <w:name w:val="日期 字符"/>
    <w:link w:val="27"/>
    <w:qFormat/>
    <w:uiPriority w:val="99"/>
    <w:rPr>
      <w:rFonts w:eastAsia="宋体"/>
      <w:sz w:val="24"/>
      <w:lang w:val="en-US" w:eastAsia="zh-CN" w:bidi="ar-SA"/>
    </w:rPr>
  </w:style>
  <w:style w:type="character" w:customStyle="1" w:styleId="128">
    <w:name w:val="Char Char25"/>
    <w:qFormat/>
    <w:uiPriority w:val="0"/>
    <w:rPr>
      <w:rFonts w:ascii="Arial" w:hAnsi="Arial" w:eastAsia="黑体"/>
      <w:b/>
      <w:bCs/>
      <w:kern w:val="2"/>
      <w:sz w:val="30"/>
      <w:szCs w:val="32"/>
      <w:lang w:val="en-US" w:eastAsia="zh-CN" w:bidi="ar-SA"/>
    </w:rPr>
  </w:style>
  <w:style w:type="character" w:customStyle="1" w:styleId="129">
    <w:name w:val="正文文本 3 Char1"/>
    <w:qFormat/>
    <w:uiPriority w:val="0"/>
    <w:rPr>
      <w:kern w:val="2"/>
      <w:sz w:val="16"/>
      <w:szCs w:val="16"/>
      <w:lang w:val="en-US" w:eastAsia="zh-CN"/>
    </w:rPr>
  </w:style>
  <w:style w:type="character" w:customStyle="1" w:styleId="130">
    <w:name w:val="脚注文本 字符"/>
    <w:link w:val="36"/>
    <w:qFormat/>
    <w:uiPriority w:val="0"/>
    <w:rPr>
      <w:kern w:val="2"/>
      <w:sz w:val="18"/>
      <w:szCs w:val="18"/>
    </w:rPr>
  </w:style>
  <w:style w:type="character" w:customStyle="1" w:styleId="131">
    <w:name w:val="Char Char41"/>
    <w:qFormat/>
    <w:uiPriority w:val="0"/>
    <w:rPr>
      <w:rFonts w:ascii="Arial" w:hAnsi="Arial" w:eastAsia="黑体"/>
      <w:b/>
      <w:sz w:val="32"/>
      <w:lang w:val="en-US" w:eastAsia="zh-CN" w:bidi="ar-SA"/>
    </w:rPr>
  </w:style>
  <w:style w:type="character" w:customStyle="1" w:styleId="132">
    <w:name w:val="页眉 Char Char Char"/>
    <w:qFormat/>
    <w:uiPriority w:val="0"/>
    <w:rPr>
      <w:sz w:val="18"/>
    </w:rPr>
  </w:style>
  <w:style w:type="character" w:customStyle="1" w:styleId="133">
    <w:name w:val="HTML 预设格式 字符"/>
    <w:link w:val="43"/>
    <w:qFormat/>
    <w:uiPriority w:val="0"/>
    <w:rPr>
      <w:rFonts w:ascii="Arial" w:hAnsi="Arial" w:eastAsia="宋体" w:cs="Arial"/>
      <w:sz w:val="24"/>
      <w:szCs w:val="24"/>
      <w:lang w:val="en-US" w:eastAsia="zh-CN" w:bidi="ar-SA"/>
    </w:rPr>
  </w:style>
  <w:style w:type="character" w:customStyle="1" w:styleId="134">
    <w:name w:val="页脚2 Char Char"/>
    <w:link w:val="135"/>
    <w:qFormat/>
    <w:uiPriority w:val="0"/>
    <w:rPr>
      <w:rFonts w:ascii="宋体" w:hAnsi="宋体"/>
      <w:sz w:val="18"/>
      <w:szCs w:val="18"/>
    </w:rPr>
  </w:style>
  <w:style w:type="paragraph" w:customStyle="1" w:styleId="135">
    <w:name w:val="页脚2"/>
    <w:basedOn w:val="1"/>
    <w:link w:val="134"/>
    <w:qFormat/>
    <w:uiPriority w:val="0"/>
    <w:pPr>
      <w:pBdr>
        <w:top w:val="single" w:color="auto" w:sz="6" w:space="0"/>
      </w:pBdr>
      <w:jc w:val="right"/>
      <w:textAlignment w:val="center"/>
    </w:pPr>
    <w:rPr>
      <w:rFonts w:ascii="宋体" w:hAnsi="宋体"/>
      <w:kern w:val="0"/>
      <w:sz w:val="18"/>
      <w:szCs w:val="18"/>
      <w:lang w:val="zh-CN"/>
    </w:rPr>
  </w:style>
  <w:style w:type="character" w:customStyle="1" w:styleId="136">
    <w:name w:val="页眉 Char Char"/>
    <w:qFormat/>
    <w:uiPriority w:val="0"/>
    <w:rPr>
      <w:sz w:val="18"/>
    </w:rPr>
  </w:style>
  <w:style w:type="character" w:customStyle="1" w:styleId="137">
    <w:name w:val="Char Char20"/>
    <w:qFormat/>
    <w:uiPriority w:val="0"/>
    <w:rPr>
      <w:rFonts w:eastAsia="黑体"/>
      <w:kern w:val="2"/>
      <w:sz w:val="44"/>
      <w:szCs w:val="44"/>
      <w:lang w:val="en-US" w:eastAsia="zh-CN" w:bidi="ar-SA"/>
    </w:rPr>
  </w:style>
  <w:style w:type="character" w:customStyle="1" w:styleId="138">
    <w:name w:val="cucd-2 Char1"/>
    <w:link w:val="139"/>
    <w:qFormat/>
    <w:uiPriority w:val="0"/>
    <w:rPr>
      <w:rFonts w:ascii="宋体" w:hAnsi="宋体"/>
      <w:b/>
      <w:kern w:val="2"/>
      <w:sz w:val="28"/>
      <w:szCs w:val="28"/>
      <w:lang w:val="en-US" w:eastAsia="zh-CN" w:bidi="ar-SA"/>
    </w:rPr>
  </w:style>
  <w:style w:type="paragraph" w:customStyle="1" w:styleId="139">
    <w:name w:val="cucd-2"/>
    <w:next w:val="1"/>
    <w:link w:val="138"/>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0">
    <w:name w:val="Char Char231"/>
    <w:qFormat/>
    <w:uiPriority w:val="0"/>
    <w:rPr>
      <w:rFonts w:ascii="Arial" w:hAnsi="Arial" w:eastAsia="黑体"/>
      <w:b/>
      <w:sz w:val="32"/>
      <w:lang w:val="en-US" w:eastAsia="zh-CN" w:bidi="ar-SA"/>
    </w:rPr>
  </w:style>
  <w:style w:type="character" w:customStyle="1" w:styleId="141">
    <w:name w:val="cucd-0 Char Char"/>
    <w:link w:val="142"/>
    <w:qFormat/>
    <w:uiPriority w:val="0"/>
    <w:rPr>
      <w:kern w:val="2"/>
      <w:sz w:val="24"/>
      <w:szCs w:val="24"/>
      <w:lang w:val="en-US" w:eastAsia="zh-CN" w:bidi="ar-SA"/>
    </w:rPr>
  </w:style>
  <w:style w:type="paragraph" w:customStyle="1" w:styleId="142">
    <w:name w:val="cucd-0"/>
    <w:link w:val="141"/>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3">
    <w:name w:val="正文文字2 Char Char"/>
    <w:link w:val="144"/>
    <w:qFormat/>
    <w:uiPriority w:val="0"/>
    <w:rPr>
      <w:rFonts w:ascii="Arial" w:eastAsia="黑体"/>
      <w:sz w:val="21"/>
      <w:lang w:val="en-US" w:eastAsia="zh-CN" w:bidi="ar-SA"/>
    </w:rPr>
  </w:style>
  <w:style w:type="paragraph" w:customStyle="1" w:styleId="144">
    <w:name w:val="正文文字2"/>
    <w:basedOn w:val="20"/>
    <w:link w:val="143"/>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5">
    <w:name w:val="CM23"/>
    <w:basedOn w:val="58"/>
    <w:next w:val="58"/>
    <w:qFormat/>
    <w:uiPriority w:val="0"/>
    <w:pPr>
      <w:spacing w:after="120"/>
    </w:pPr>
    <w:rPr>
      <w:color w:val="auto"/>
    </w:rPr>
  </w:style>
  <w:style w:type="paragraph" w:customStyle="1" w:styleId="146">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7">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8">
    <w:name w:val="1"/>
    <w:basedOn w:val="1"/>
    <w:qFormat/>
    <w:uiPriority w:val="0"/>
    <w:pPr>
      <w:spacing w:after="156" w:afterLines="50" w:line="360" w:lineRule="auto"/>
      <w:jc w:val="center"/>
    </w:pPr>
    <w:rPr>
      <w:rFonts w:ascii="宋体" w:hAnsi="宋体"/>
      <w:b/>
      <w:sz w:val="28"/>
      <w:szCs w:val="28"/>
    </w:rPr>
  </w:style>
  <w:style w:type="paragraph" w:customStyle="1" w:styleId="149">
    <w:name w:val="CM24"/>
    <w:basedOn w:val="58"/>
    <w:next w:val="58"/>
    <w:qFormat/>
    <w:uiPriority w:val="0"/>
    <w:pPr>
      <w:spacing w:after="218"/>
    </w:pPr>
    <w:rPr>
      <w:color w:val="auto"/>
    </w:rPr>
  </w:style>
  <w:style w:type="paragraph" w:customStyle="1" w:styleId="150">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1">
    <w:name w:val="正文缩进1"/>
    <w:basedOn w:val="1"/>
    <w:qFormat/>
    <w:uiPriority w:val="0"/>
    <w:pPr>
      <w:ind w:firstLine="420"/>
    </w:pPr>
    <w:rPr>
      <w:szCs w:val="24"/>
    </w:rPr>
  </w:style>
  <w:style w:type="paragraph" w:styleId="152">
    <w:name w:val="List Paragraph"/>
    <w:basedOn w:val="1"/>
    <w:qFormat/>
    <w:uiPriority w:val="34"/>
    <w:pPr>
      <w:ind w:firstLine="420" w:firstLineChars="200"/>
    </w:pPr>
  </w:style>
  <w:style w:type="paragraph" w:customStyle="1" w:styleId="153">
    <w:name w:val="空半行"/>
    <w:basedOn w:val="1"/>
    <w:qFormat/>
    <w:uiPriority w:val="0"/>
    <w:pPr>
      <w:adjustRightInd w:val="0"/>
      <w:spacing w:line="120" w:lineRule="exact"/>
      <w:textAlignment w:val="baseline"/>
    </w:pPr>
    <w:rPr>
      <w:rFonts w:eastAsia="仿宋_GB2312"/>
      <w:color w:val="FFFFFF"/>
      <w:sz w:val="30"/>
    </w:rPr>
  </w:style>
  <w:style w:type="paragraph" w:customStyle="1" w:styleId="154">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5">
    <w:name w:val="普通(Web)23"/>
    <w:basedOn w:val="1"/>
    <w:qFormat/>
    <w:uiPriority w:val="0"/>
    <w:pPr>
      <w:spacing w:after="75" w:line="360" w:lineRule="atLeast"/>
    </w:pPr>
    <w:rPr>
      <w:rFonts w:ascii="宋体" w:hAnsi="宋体" w:cs="宋体"/>
      <w:sz w:val="24"/>
      <w:szCs w:val="24"/>
    </w:rPr>
  </w:style>
  <w:style w:type="paragraph" w:customStyle="1" w:styleId="156">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7">
    <w:name w:val="批注框文本1"/>
    <w:basedOn w:val="1"/>
    <w:qFormat/>
    <w:uiPriority w:val="0"/>
    <w:rPr>
      <w:sz w:val="18"/>
      <w:szCs w:val="18"/>
    </w:rPr>
  </w:style>
  <w:style w:type="paragraph" w:customStyle="1" w:styleId="158">
    <w:name w:val="注"/>
    <w:basedOn w:val="1"/>
    <w:qFormat/>
    <w:uiPriority w:val="0"/>
    <w:pPr>
      <w:adjustRightInd w:val="0"/>
      <w:spacing w:line="360" w:lineRule="atLeast"/>
      <w:ind w:left="840" w:hanging="420"/>
      <w:textAlignment w:val="baseline"/>
    </w:pPr>
  </w:style>
  <w:style w:type="paragraph" w:customStyle="1" w:styleId="159">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0">
    <w:name w:val="表格"/>
    <w:basedOn w:val="1"/>
    <w:qFormat/>
    <w:uiPriority w:val="0"/>
    <w:pPr>
      <w:adjustRightInd w:val="0"/>
      <w:spacing w:before="160" w:line="400" w:lineRule="exact"/>
      <w:jc w:val="center"/>
      <w:textAlignment w:val="baseline"/>
    </w:pPr>
    <w:rPr>
      <w:spacing w:val="20"/>
      <w:sz w:val="24"/>
    </w:rPr>
  </w:style>
  <w:style w:type="paragraph" w:customStyle="1" w:styleId="161">
    <w:name w:val="Zchn Zchn Char Char"/>
    <w:basedOn w:val="1"/>
    <w:qFormat/>
    <w:uiPriority w:val="0"/>
    <w:pPr>
      <w:adjustRightInd w:val="0"/>
      <w:spacing w:line="360" w:lineRule="auto"/>
    </w:pPr>
    <w:rPr>
      <w:sz w:val="24"/>
    </w:rPr>
  </w:style>
  <w:style w:type="paragraph" w:customStyle="1" w:styleId="162">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3">
    <w:name w:val="页眉 字符"/>
    <w:link w:val="32"/>
    <w:qFormat/>
    <w:uiPriority w:val="99"/>
    <w:rPr>
      <w:kern w:val="2"/>
      <w:sz w:val="18"/>
    </w:rPr>
  </w:style>
  <w:style w:type="paragraph" w:customStyle="1" w:styleId="164">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5">
    <w:name w:val="panj"/>
    <w:basedOn w:val="1"/>
    <w:qFormat/>
    <w:uiPriority w:val="0"/>
    <w:pPr>
      <w:spacing w:line="440" w:lineRule="exact"/>
      <w:ind w:firstLine="200" w:firstLineChars="200"/>
    </w:pPr>
    <w:rPr>
      <w:sz w:val="24"/>
      <w:szCs w:val="24"/>
    </w:rPr>
  </w:style>
  <w:style w:type="paragraph" w:customStyle="1" w:styleId="166">
    <w:name w:val="Char Char Char Char Char Char Char"/>
    <w:basedOn w:val="1"/>
    <w:qFormat/>
    <w:uiPriority w:val="0"/>
    <w:pPr>
      <w:snapToGrid w:val="0"/>
      <w:spacing w:after="160" w:line="360" w:lineRule="auto"/>
    </w:pPr>
    <w:rPr>
      <w:sz w:val="24"/>
      <w:szCs w:val="24"/>
      <w:lang w:eastAsia="en-US"/>
    </w:rPr>
  </w:style>
  <w:style w:type="paragraph" w:customStyle="1" w:styleId="167">
    <w:name w:val="样式 cucd-0 + 宋体"/>
    <w:basedOn w:val="1"/>
    <w:qFormat/>
    <w:uiPriority w:val="0"/>
    <w:pPr>
      <w:spacing w:line="360" w:lineRule="auto"/>
      <w:ind w:firstLine="480" w:firstLineChars="200"/>
    </w:pPr>
    <w:rPr>
      <w:rFonts w:ascii="宋体" w:hAnsi="宋体"/>
      <w:sz w:val="24"/>
      <w:szCs w:val="24"/>
    </w:rPr>
  </w:style>
  <w:style w:type="paragraph" w:customStyle="1" w:styleId="168">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9">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0">
    <w:name w:val="标题2.2.1"/>
    <w:basedOn w:val="1"/>
    <w:qFormat/>
    <w:uiPriority w:val="0"/>
    <w:pPr>
      <w:tabs>
        <w:tab w:val="left" w:pos="-164"/>
      </w:tabs>
      <w:ind w:left="1418" w:hanging="1582"/>
    </w:pPr>
    <w:rPr>
      <w:szCs w:val="24"/>
    </w:rPr>
  </w:style>
  <w:style w:type="paragraph" w:customStyle="1" w:styleId="171">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2">
    <w:name w:val="CM21"/>
    <w:basedOn w:val="58"/>
    <w:next w:val="58"/>
    <w:qFormat/>
    <w:uiPriority w:val="0"/>
    <w:pPr>
      <w:spacing w:line="228" w:lineRule="atLeast"/>
    </w:pPr>
    <w:rPr>
      <w:color w:val="auto"/>
    </w:rPr>
  </w:style>
  <w:style w:type="paragraph" w:customStyle="1" w:styleId="173">
    <w:name w:val="表文字"/>
    <w:basedOn w:val="1"/>
    <w:qFormat/>
    <w:uiPriority w:val="0"/>
    <w:pPr>
      <w:wordWrap w:val="0"/>
      <w:adjustRightInd w:val="0"/>
      <w:snapToGrid w:val="0"/>
    </w:pPr>
  </w:style>
  <w:style w:type="paragraph" w:customStyle="1" w:styleId="174">
    <w:name w:val="列出段落1"/>
    <w:basedOn w:val="1"/>
    <w:qFormat/>
    <w:uiPriority w:val="0"/>
    <w:pPr>
      <w:ind w:firstLine="420" w:firstLineChars="200"/>
    </w:pPr>
    <w:rPr>
      <w:szCs w:val="24"/>
    </w:rPr>
  </w:style>
  <w:style w:type="paragraph" w:customStyle="1" w:styleId="175">
    <w:name w:val="纯文本1"/>
    <w:basedOn w:val="1"/>
    <w:qFormat/>
    <w:uiPriority w:val="0"/>
    <w:pPr>
      <w:adjustRightInd w:val="0"/>
      <w:textAlignment w:val="baseline"/>
    </w:pPr>
    <w:rPr>
      <w:rFonts w:ascii="宋体" w:hAnsi="Courier New"/>
    </w:rPr>
  </w:style>
  <w:style w:type="character" w:customStyle="1" w:styleId="176">
    <w:name w:val="页脚 字符"/>
    <w:link w:val="31"/>
    <w:qFormat/>
    <w:uiPriority w:val="99"/>
    <w:rPr>
      <w:kern w:val="2"/>
      <w:sz w:val="18"/>
    </w:rPr>
  </w:style>
  <w:style w:type="paragraph" w:customStyle="1" w:styleId="177">
    <w:name w:val="Char Char Char Char Char Char Char Char Char"/>
    <w:basedOn w:val="1"/>
    <w:qFormat/>
    <w:uiPriority w:val="0"/>
    <w:pPr>
      <w:spacing w:after="160" w:line="240" w:lineRule="exact"/>
    </w:pPr>
    <w:rPr>
      <w:szCs w:val="24"/>
    </w:rPr>
  </w:style>
  <w:style w:type="paragraph" w:customStyle="1" w:styleId="178">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9">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0">
    <w:name w:val="note 2"/>
    <w:basedOn w:val="178"/>
    <w:qFormat/>
    <w:uiPriority w:val="0"/>
    <w:pPr>
      <w:ind w:left="1260" w:hanging="1080"/>
      <w:jc w:val="left"/>
    </w:pPr>
    <w:rPr>
      <w:b/>
    </w:rPr>
  </w:style>
  <w:style w:type="paragraph" w:customStyle="1" w:styleId="181">
    <w:name w:val="CM1"/>
    <w:basedOn w:val="58"/>
    <w:next w:val="58"/>
    <w:qFormat/>
    <w:uiPriority w:val="0"/>
    <w:pPr>
      <w:spacing w:line="191" w:lineRule="atLeast"/>
    </w:pPr>
    <w:rPr>
      <w:color w:val="auto"/>
    </w:rPr>
  </w:style>
  <w:style w:type="paragraph" w:customStyle="1" w:styleId="182">
    <w:name w:val="Text"/>
    <w:basedOn w:val="1"/>
    <w:qFormat/>
    <w:uiPriority w:val="0"/>
    <w:rPr>
      <w:rFonts w:ascii="Arial" w:hAnsi="Arial"/>
      <w:lang w:val="en-GB" w:eastAsia="de-DE"/>
    </w:rPr>
  </w:style>
  <w:style w:type="paragraph" w:customStyle="1" w:styleId="183">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4">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5">
    <w:name w:val="修订1"/>
    <w:qFormat/>
    <w:uiPriority w:val="99"/>
    <w:rPr>
      <w:rFonts w:ascii="Times New Roman" w:hAnsi="Times New Roman" w:eastAsia="宋体" w:cs="Times New Roman"/>
      <w:kern w:val="2"/>
      <w:sz w:val="21"/>
      <w:szCs w:val="24"/>
      <w:lang w:val="en-US" w:eastAsia="zh-CN" w:bidi="ar-SA"/>
    </w:rPr>
  </w:style>
  <w:style w:type="paragraph" w:customStyle="1" w:styleId="186">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7">
    <w:name w:val="List Paragraph1"/>
    <w:basedOn w:val="1"/>
    <w:qFormat/>
    <w:uiPriority w:val="0"/>
    <w:pPr>
      <w:ind w:firstLine="420" w:firstLineChars="200"/>
    </w:pPr>
    <w:rPr>
      <w:rFonts w:ascii="Calibri" w:hAnsi="Calibri"/>
      <w:szCs w:val="22"/>
    </w:rPr>
  </w:style>
  <w:style w:type="paragraph" w:customStyle="1" w:styleId="188">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9">
    <w:name w:val="Char"/>
    <w:basedOn w:val="1"/>
    <w:qFormat/>
    <w:uiPriority w:val="0"/>
    <w:rPr>
      <w:rFonts w:ascii="Tahoma" w:hAnsi="Tahoma"/>
      <w:sz w:val="24"/>
    </w:rPr>
  </w:style>
  <w:style w:type="paragraph" w:customStyle="1" w:styleId="190">
    <w:name w:val="cucd-1"/>
    <w:next w:val="139"/>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1">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2">
    <w:name w:val="Char11"/>
    <w:basedOn w:val="1"/>
    <w:qFormat/>
    <w:uiPriority w:val="0"/>
    <w:pPr>
      <w:spacing w:after="160" w:line="240" w:lineRule="exact"/>
    </w:pPr>
  </w:style>
  <w:style w:type="paragraph" w:customStyle="1" w:styleId="193">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4">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5">
    <w:name w:val="2"/>
    <w:basedOn w:val="1"/>
    <w:next w:val="7"/>
    <w:qFormat/>
    <w:uiPriority w:val="0"/>
    <w:pPr>
      <w:ind w:left="708"/>
    </w:pPr>
    <w:rPr>
      <w:rFonts w:ascii="CG Times (WN)" w:hAnsi="CG Times (WN)"/>
      <w:sz w:val="24"/>
      <w:lang w:val="de-DE" w:eastAsia="de-DE"/>
    </w:rPr>
  </w:style>
  <w:style w:type="paragraph" w:customStyle="1" w:styleId="196">
    <w:name w:val="Char Char Char1 Char Char Char Char Char Char Char"/>
    <w:basedOn w:val="1"/>
    <w:qFormat/>
    <w:uiPriority w:val="0"/>
    <w:pPr>
      <w:autoSpaceDE w:val="0"/>
      <w:autoSpaceDN w:val="0"/>
    </w:pPr>
    <w:rPr>
      <w:rFonts w:ascii="Tahoma" w:hAnsi="Tahoma"/>
      <w:sz w:val="24"/>
    </w:rPr>
  </w:style>
  <w:style w:type="paragraph" w:customStyle="1" w:styleId="197">
    <w:name w:val="目录文字"/>
    <w:basedOn w:val="1"/>
    <w:qFormat/>
    <w:uiPriority w:val="0"/>
    <w:pPr>
      <w:spacing w:line="480" w:lineRule="auto"/>
    </w:pPr>
    <w:rPr>
      <w:rFonts w:ascii="宋体" w:hAnsi="宋体"/>
      <w:sz w:val="24"/>
    </w:rPr>
  </w:style>
  <w:style w:type="paragraph" w:customStyle="1" w:styleId="198">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9">
    <w:name w:val="Char Char2"/>
    <w:basedOn w:val="1"/>
    <w:qFormat/>
    <w:uiPriority w:val="0"/>
    <w:pPr>
      <w:jc w:val="center"/>
    </w:pPr>
    <w:rPr>
      <w:rFonts w:ascii="宋体"/>
      <w:szCs w:val="21"/>
    </w:rPr>
  </w:style>
  <w:style w:type="paragraph" w:customStyle="1" w:styleId="200">
    <w:name w:val="Robot List Items 2"/>
    <w:basedOn w:val="1"/>
    <w:qFormat/>
    <w:uiPriority w:val="0"/>
    <w:pPr>
      <w:tabs>
        <w:tab w:val="left" w:pos="1068"/>
      </w:tabs>
      <w:ind w:left="1068" w:hanging="360"/>
    </w:pPr>
    <w:rPr>
      <w:rFonts w:ascii="Arial" w:hAnsi="Arial"/>
      <w:sz w:val="18"/>
      <w:lang w:eastAsia="en-US"/>
    </w:rPr>
  </w:style>
  <w:style w:type="paragraph" w:customStyle="1" w:styleId="201">
    <w:name w:val="样式2"/>
    <w:basedOn w:val="1"/>
    <w:qFormat/>
    <w:uiPriority w:val="0"/>
    <w:pPr>
      <w:adjustRightInd w:val="0"/>
      <w:spacing w:line="410" w:lineRule="atLeast"/>
      <w:textAlignment w:val="baseline"/>
    </w:pPr>
  </w:style>
  <w:style w:type="paragraph" w:customStyle="1" w:styleId="202">
    <w:name w:val="Char Char1 Char Char Char Char"/>
    <w:basedOn w:val="1"/>
    <w:qFormat/>
    <w:uiPriority w:val="0"/>
    <w:rPr>
      <w:rFonts w:eastAsia="楷体_GB2312"/>
      <w:sz w:val="32"/>
    </w:rPr>
  </w:style>
  <w:style w:type="paragraph" w:customStyle="1" w:styleId="203">
    <w:name w:val="1 Char Char Char Char"/>
    <w:basedOn w:val="1"/>
    <w:qFormat/>
    <w:uiPriority w:val="0"/>
    <w:rPr>
      <w:rFonts w:ascii="Tahoma" w:hAnsi="Tahoma"/>
      <w:sz w:val="24"/>
    </w:rPr>
  </w:style>
  <w:style w:type="paragraph" w:customStyle="1" w:styleId="204">
    <w:name w:val="Char1"/>
    <w:basedOn w:val="1"/>
    <w:qFormat/>
    <w:uiPriority w:val="0"/>
    <w:rPr>
      <w:rFonts w:ascii="Tahoma" w:hAnsi="Tahoma"/>
      <w:sz w:val="24"/>
    </w:rPr>
  </w:style>
  <w:style w:type="paragraph" w:customStyle="1" w:styleId="205">
    <w:name w:val="Char Char Char Char"/>
    <w:basedOn w:val="1"/>
    <w:qFormat/>
    <w:uiPriority w:val="0"/>
    <w:rPr>
      <w:szCs w:val="24"/>
    </w:rPr>
  </w:style>
  <w:style w:type="paragraph" w:customStyle="1" w:styleId="206">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7">
    <w:name w:val="尾注文本 字符"/>
    <w:link w:val="29"/>
    <w:semiHidden/>
    <w:qFormat/>
    <w:locked/>
    <w:uiPriority w:val="0"/>
    <w:rPr>
      <w:rFonts w:eastAsia="??"/>
      <w:color w:val="000000"/>
      <w:sz w:val="24"/>
      <w:szCs w:val="24"/>
    </w:rPr>
  </w:style>
  <w:style w:type="character" w:customStyle="1" w:styleId="208">
    <w:name w:val="尾注文本 Char"/>
    <w:semiHidden/>
    <w:qFormat/>
    <w:uiPriority w:val="0"/>
    <w:rPr>
      <w:kern w:val="2"/>
      <w:sz w:val="21"/>
    </w:rPr>
  </w:style>
  <w:style w:type="character" w:customStyle="1" w:styleId="209">
    <w:name w:val="签名 Char"/>
    <w:link w:val="210"/>
    <w:qFormat/>
    <w:locked/>
    <w:uiPriority w:val="0"/>
    <w:rPr>
      <w:rFonts w:ascii="??" w:hAnsi="??" w:eastAsia="??"/>
      <w:color w:val="000000"/>
      <w:sz w:val="24"/>
      <w:lang w:eastAsia="en-US"/>
    </w:rPr>
  </w:style>
  <w:style w:type="paragraph" w:customStyle="1" w:styleId="210">
    <w:name w:val="签名1"/>
    <w:basedOn w:val="1"/>
    <w:link w:val="209"/>
    <w:qFormat/>
    <w:uiPriority w:val="0"/>
    <w:pPr>
      <w:widowControl/>
      <w:ind w:left="4410" w:leftChars="2100"/>
      <w:jc w:val="left"/>
    </w:pPr>
    <w:rPr>
      <w:rFonts w:ascii="??" w:hAnsi="??" w:eastAsia="??"/>
      <w:color w:val="000000"/>
      <w:kern w:val="0"/>
      <w:sz w:val="24"/>
      <w:lang w:val="zh-CN" w:eastAsia="en-US"/>
    </w:rPr>
  </w:style>
  <w:style w:type="character" w:customStyle="1" w:styleId="211">
    <w:name w:val="信息标题 Char"/>
    <w:link w:val="212"/>
    <w:qFormat/>
    <w:locked/>
    <w:uiPriority w:val="0"/>
    <w:rPr>
      <w:rFonts w:ascii="Arial" w:hAnsi="Arial" w:eastAsia="??" w:cs="Arial"/>
      <w:color w:val="000000"/>
      <w:sz w:val="24"/>
      <w:szCs w:val="24"/>
      <w:shd w:val="pct20" w:color="auto" w:fill="auto"/>
    </w:rPr>
  </w:style>
  <w:style w:type="paragraph" w:customStyle="1" w:styleId="212">
    <w:name w:val="信息标题1"/>
    <w:basedOn w:val="1"/>
    <w:link w:val="211"/>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3">
    <w:name w:val="正文首行缩进 21"/>
    <w:basedOn w:val="214"/>
    <w:qFormat/>
    <w:uiPriority w:val="0"/>
  </w:style>
  <w:style w:type="paragraph" w:customStyle="1" w:styleId="214">
    <w:name w:val="正文文本缩进1"/>
    <w:basedOn w:val="1"/>
    <w:qFormat/>
    <w:uiPriority w:val="0"/>
    <w:pPr>
      <w:spacing w:after="120"/>
      <w:ind w:left="420" w:leftChars="200"/>
    </w:pPr>
    <w:rPr>
      <w:rFonts w:ascii="??" w:hAnsi="??" w:eastAsia="??"/>
      <w:color w:val="000000"/>
      <w:kern w:val="0"/>
      <w:sz w:val="20"/>
      <w:szCs w:val="24"/>
    </w:rPr>
  </w:style>
  <w:style w:type="character" w:customStyle="1" w:styleId="215">
    <w:name w:val="结束语 Char"/>
    <w:link w:val="216"/>
    <w:qFormat/>
    <w:locked/>
    <w:uiPriority w:val="0"/>
    <w:rPr>
      <w:rFonts w:ascii="??" w:hAnsi="??" w:eastAsia="??"/>
      <w:color w:val="000000"/>
      <w:sz w:val="24"/>
      <w:lang w:eastAsia="en-US"/>
    </w:rPr>
  </w:style>
  <w:style w:type="paragraph" w:customStyle="1" w:styleId="216">
    <w:name w:val="结束语1"/>
    <w:basedOn w:val="1"/>
    <w:link w:val="215"/>
    <w:qFormat/>
    <w:uiPriority w:val="0"/>
    <w:pPr>
      <w:widowControl/>
      <w:ind w:left="4410" w:leftChars="2100"/>
      <w:jc w:val="left"/>
    </w:pPr>
    <w:rPr>
      <w:rFonts w:ascii="??" w:hAnsi="??" w:eastAsia="??"/>
      <w:color w:val="000000"/>
      <w:kern w:val="0"/>
      <w:sz w:val="24"/>
      <w:lang w:val="zh-CN" w:eastAsia="en-US"/>
    </w:rPr>
  </w:style>
  <w:style w:type="paragraph" w:customStyle="1" w:styleId="217">
    <w:name w:val="正文首行缩进1"/>
    <w:basedOn w:val="20"/>
    <w:qFormat/>
    <w:uiPriority w:val="0"/>
  </w:style>
  <w:style w:type="paragraph" w:customStyle="1" w:styleId="218">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9">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0">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1">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2">
    <w:name w:val="潍柴文档正文"/>
    <w:basedOn w:val="1"/>
    <w:qFormat/>
    <w:uiPriority w:val="0"/>
    <w:pPr>
      <w:spacing w:line="360" w:lineRule="auto"/>
      <w:ind w:firstLine="200" w:firstLineChars="200"/>
    </w:pPr>
    <w:rPr>
      <w:sz w:val="24"/>
      <w:szCs w:val="22"/>
    </w:rPr>
  </w:style>
  <w:style w:type="character" w:customStyle="1" w:styleId="223">
    <w:name w:val="ca-141"/>
    <w:qFormat/>
    <w:uiPriority w:val="0"/>
    <w:rPr>
      <w:rFonts w:hint="eastAsia" w:ascii="仿宋_GB2312" w:eastAsia="仿宋_GB2312"/>
      <w:sz w:val="21"/>
      <w:szCs w:val="21"/>
    </w:rPr>
  </w:style>
  <w:style w:type="paragraph" w:customStyle="1" w:styleId="224">
    <w:name w:val="1正文段落"/>
    <w:basedOn w:val="1"/>
    <w:qFormat/>
    <w:uiPriority w:val="0"/>
    <w:pPr>
      <w:spacing w:line="360" w:lineRule="auto"/>
      <w:ind w:firstLine="480" w:firstLineChars="200"/>
      <w:jc w:val="left"/>
    </w:pPr>
    <w:rPr>
      <w:snapToGrid w:val="0"/>
      <w:kern w:val="0"/>
      <w:sz w:val="24"/>
      <w:szCs w:val="24"/>
    </w:rPr>
  </w:style>
  <w:style w:type="character" w:customStyle="1" w:styleId="225">
    <w:name w:val="NormalCharacter"/>
    <w:qFormat/>
    <w:uiPriority w:val="0"/>
  </w:style>
  <w:style w:type="character" w:customStyle="1" w:styleId="226">
    <w:name w:val="font51"/>
    <w:basedOn w:val="51"/>
    <w:qFormat/>
    <w:uiPriority w:val="99"/>
    <w:rPr>
      <w:rFonts w:ascii="Times New Roman" w:hAnsi="Times New Roman" w:cs="Times New Roman"/>
      <w:color w:val="000000"/>
      <w:sz w:val="24"/>
      <w:szCs w:val="24"/>
      <w:u w:val="none"/>
    </w:rPr>
  </w:style>
  <w:style w:type="character" w:customStyle="1" w:styleId="227">
    <w:name w:val="font61"/>
    <w:basedOn w:val="51"/>
    <w:qFormat/>
    <w:uiPriority w:val="99"/>
    <w:rPr>
      <w:rFonts w:ascii="宋体" w:hAnsi="宋体" w:eastAsia="宋体" w:cs="宋体"/>
      <w:color w:val="000000"/>
      <w:sz w:val="24"/>
      <w:szCs w:val="24"/>
      <w:u w:val="none"/>
    </w:rPr>
  </w:style>
  <w:style w:type="character" w:customStyle="1" w:styleId="228">
    <w:name w:val="font31"/>
    <w:basedOn w:val="51"/>
    <w:qFormat/>
    <w:uiPriority w:val="0"/>
    <w:rPr>
      <w:rFonts w:hint="eastAsia" w:ascii="微软雅黑" w:hAnsi="微软雅黑" w:eastAsia="微软雅黑" w:cs="微软雅黑"/>
      <w:color w:val="000000"/>
      <w:sz w:val="16"/>
      <w:szCs w:val="16"/>
      <w:u w:val="none"/>
    </w:rPr>
  </w:style>
  <w:style w:type="paragraph" w:customStyle="1" w:styleId="229">
    <w:name w:val="（二）级标题"/>
    <w:basedOn w:val="25"/>
    <w:qFormat/>
    <w:uiPriority w:val="2"/>
    <w:pPr>
      <w:numPr>
        <w:ilvl w:val="0"/>
        <w:numId w:val="1"/>
      </w:numPr>
      <w:spacing w:line="360" w:lineRule="auto"/>
      <w:outlineLvl w:val="2"/>
    </w:pPr>
    <w:rPr>
      <w:b/>
    </w:rPr>
  </w:style>
  <w:style w:type="paragraph" w:customStyle="1" w:styleId="230">
    <w:name w:val="标书正文格式"/>
    <w:basedOn w:val="25"/>
    <w:qFormat/>
    <w:uiPriority w:val="0"/>
    <w:pPr>
      <w:spacing w:line="360" w:lineRule="auto"/>
      <w:ind w:firstLine="200" w:firstLineChars="200"/>
    </w:pPr>
    <w:rPr>
      <w:rFonts w:hAnsi="宋体"/>
      <w:color w:val="000000"/>
      <w:sz w:val="24"/>
      <w:szCs w:val="24"/>
    </w:rPr>
  </w:style>
  <w:style w:type="paragraph" w:customStyle="1" w:styleId="231">
    <w:name w:val="（4）级标题"/>
    <w:basedOn w:val="25"/>
    <w:qFormat/>
    <w:uiPriority w:val="8"/>
    <w:pPr>
      <w:numPr>
        <w:ilvl w:val="0"/>
        <w:numId w:val="2"/>
      </w:numPr>
      <w:spacing w:line="360" w:lineRule="auto"/>
      <w:outlineLvl w:val="4"/>
    </w:pPr>
  </w:style>
  <w:style w:type="paragraph" w:customStyle="1" w:styleId="232">
    <w:name w:val="Table Paragraph"/>
    <w:basedOn w:val="1"/>
    <w:autoRedefine/>
    <w:qFormat/>
    <w:uiPriority w:val="1"/>
    <w:rPr>
      <w:rFonts w:ascii="宋体" w:hAnsi="宋体" w:eastAsia="宋体" w:cs="宋体"/>
    </w:rPr>
  </w:style>
  <w:style w:type="table" w:customStyle="1" w:styleId="233">
    <w:name w:val="Table Normal"/>
    <w:autoRedefine/>
    <w:qFormat/>
    <w:uiPriority w:val="0"/>
    <w:tblPr>
      <w:tblCellMar>
        <w:top w:w="0" w:type="dxa"/>
        <w:left w:w="0" w:type="dxa"/>
        <w:bottom w:w="0" w:type="dxa"/>
        <w:right w:w="0" w:type="dxa"/>
      </w:tblCellMar>
    </w:tblPr>
  </w:style>
  <w:style w:type="paragraph" w:customStyle="1" w:styleId="234">
    <w:name w:val="HR正文表格"/>
    <w:basedOn w:val="1"/>
    <w:autoRedefine/>
    <w:qFormat/>
    <w:uiPriority w:val="0"/>
    <w:pPr>
      <w:spacing w:beforeLines="25" w:afterLines="25" w:line="300" w:lineRule="auto"/>
    </w:pPr>
    <w:rPr>
      <w:szCs w:val="24"/>
    </w:rPr>
  </w:style>
  <w:style w:type="paragraph" w:customStyle="1" w:styleId="235">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6">
    <w:name w:val="标书正文"/>
    <w:basedOn w:val="25"/>
    <w:qFormat/>
    <w:uiPriority w:val="9"/>
    <w:pPr>
      <w:spacing w:line="360" w:lineRule="auto"/>
      <w:jc w:val="left"/>
    </w:pPr>
  </w:style>
  <w:style w:type="paragraph" w:customStyle="1" w:styleId="237">
    <w:name w:val="标书二级标题"/>
    <w:basedOn w:val="3"/>
    <w:qFormat/>
    <w:uiPriority w:val="0"/>
    <w:pPr>
      <w:spacing w:line="240" w:lineRule="auto"/>
      <w:jc w:val="left"/>
    </w:pPr>
    <w:rPr>
      <w:rFonts w:ascii="宋体" w:hAnsi="宋体" w:eastAsia="黑体"/>
      <w:b w:val="0"/>
      <w:sz w:val="28"/>
      <w:szCs w:val="30"/>
    </w:rPr>
  </w:style>
  <w:style w:type="paragraph" w:customStyle="1" w:styleId="238">
    <w:name w:val="标书三级标题"/>
    <w:basedOn w:val="4"/>
    <w:next w:val="230"/>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9">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54</Pages>
  <Words>17496</Words>
  <Characters>18192</Characters>
  <Lines>52</Lines>
  <Paragraphs>14</Paragraphs>
  <TotalTime>28</TotalTime>
  <ScaleCrop>false</ScaleCrop>
  <LinksUpToDate>false</LinksUpToDate>
  <CharactersWithSpaces>18392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zy</cp:lastModifiedBy>
  <cp:lastPrinted>2020-01-08T06:44:00Z</cp:lastPrinted>
  <dcterms:modified xsi:type="dcterms:W3CDTF">2026-04-03T07:29:19Z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eyJoZGlkIjoiYTlmZDI5Y2FjZjI2YWE1MWM3MGY1MzM4Yzg2MWMyZDUifQ==</vt:lpwstr>
  </property>
</Properties>
</file>