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ACBF9">
      <w:pPr>
        <w:pStyle w:val="3"/>
        <w:jc w:val="center"/>
        <w:rPr>
          <w:rFonts w:hint="default" w:ascii="宋体" w:hAnsi="宋体" w:eastAsia="宋体" w:cs="宋体"/>
          <w:szCs w:val="24"/>
          <w:lang w:val="en-US" w:eastAsia="zh-CN"/>
        </w:rPr>
      </w:pPr>
      <w:r>
        <w:rPr>
          <w:rFonts w:hint="eastAsia" w:ascii="宋体" w:hAnsi="宋体" w:eastAsia="宋体" w:cs="宋体"/>
          <w:szCs w:val="24"/>
          <w:lang w:val="en-US" w:eastAsia="zh-CN"/>
        </w:rPr>
        <w:t>评分依据</w:t>
      </w:r>
    </w:p>
    <w:p w14:paraId="052A8207">
      <w:pPr>
        <w:spacing w:line="360" w:lineRule="auto"/>
        <w:ind w:firstLine="569" w:firstLineChars="236"/>
        <w:rPr>
          <w:b/>
          <w:bCs/>
          <w:sz w:val="24"/>
        </w:rPr>
      </w:pPr>
      <w:r>
        <w:rPr>
          <w:b/>
          <w:bCs/>
          <w:sz w:val="24"/>
        </w:rPr>
        <w:t>本次评标采用技术标和商务标同时开标、分阶段评标的模式。</w:t>
      </w:r>
    </w:p>
    <w:p w14:paraId="4ACAF90B">
      <w:pPr>
        <w:spacing w:line="360" w:lineRule="auto"/>
        <w:ind w:firstLine="569" w:firstLineChars="236"/>
        <w:rPr>
          <w:b/>
          <w:bCs/>
          <w:sz w:val="24"/>
        </w:rPr>
      </w:pPr>
      <w:r>
        <w:rPr>
          <w:b/>
          <w:bCs/>
          <w:sz w:val="24"/>
        </w:rPr>
        <w:t>首先进行技术标评审，由评标专家组对所有投标方的技术标部分综合评定和打分，确定进入商务标评比资格的投标方。然后对所有入围商务标的单位进行综合评审，招标人有权根据项目情况，商务标采取多轮报价模式，最终根据综合得分确定各投标人排序，原则上按照综合得分最高分确定推荐中标人，对未中标单位不做任何解释。</w:t>
      </w:r>
    </w:p>
    <w:p w14:paraId="67C1052B">
      <w:pPr>
        <w:spacing w:line="360" w:lineRule="auto"/>
        <w:ind w:firstLine="569" w:firstLineChars="236"/>
        <w:rPr>
          <w:b/>
          <w:bCs/>
          <w:sz w:val="24"/>
        </w:rPr>
      </w:pPr>
      <w:r>
        <w:rPr>
          <w:b/>
          <w:bCs/>
          <w:sz w:val="24"/>
        </w:rPr>
        <w:t>根据最终有效综合得分由高到低进行排序，综合得分最高者排名第一，综合得分次高者排名第二，以此类推，综合得分最低者排名最后。最终综合得分第一的推荐为拟中标人，但是报价明显低于成本的除外。</w:t>
      </w:r>
    </w:p>
    <w:p w14:paraId="72F02B38">
      <w:pPr>
        <w:spacing w:line="360" w:lineRule="auto"/>
        <w:ind w:firstLine="569" w:firstLineChars="236"/>
        <w:rPr>
          <w:b/>
          <w:bCs/>
          <w:color w:val="FF0000"/>
          <w:sz w:val="24"/>
        </w:rPr>
      </w:pPr>
      <w:r>
        <w:rPr>
          <w:b/>
          <w:bCs/>
          <w:color w:val="FF0000"/>
          <w:sz w:val="24"/>
        </w:rPr>
        <w:t>综合得分=技术标得分*0.3+商务标得分*0.7</w:t>
      </w:r>
      <w:bookmarkStart w:id="2" w:name="_GoBack"/>
      <w:bookmarkEnd w:id="2"/>
    </w:p>
    <w:p w14:paraId="02B6F311">
      <w:pPr>
        <w:spacing w:line="360" w:lineRule="auto"/>
        <w:ind w:firstLine="566" w:firstLineChars="236"/>
        <w:rPr>
          <w:kern w:val="0"/>
          <w:sz w:val="24"/>
        </w:rPr>
      </w:pPr>
      <w:r>
        <w:rPr>
          <w:sz w:val="24"/>
        </w:rPr>
        <w:t>评分细则如下：</w:t>
      </w:r>
    </w:p>
    <w:p w14:paraId="3F97800F">
      <w:pPr>
        <w:jc w:val="center"/>
        <w:rPr>
          <w:rStyle w:val="16"/>
          <w:sz w:val="24"/>
        </w:rPr>
      </w:pPr>
      <w:r>
        <w:rPr>
          <w:rStyle w:val="16"/>
          <w:sz w:val="24"/>
        </w:rPr>
        <w:t>技术标评分细则（满分100分）</w:t>
      </w:r>
    </w:p>
    <w:p w14:paraId="321891B9">
      <w:pPr>
        <w:jc w:val="center"/>
        <w:rPr>
          <w:rStyle w:val="16"/>
          <w:sz w:val="24"/>
        </w:rPr>
      </w:pPr>
    </w:p>
    <w:tbl>
      <w:tblPr>
        <w:tblStyle w:val="10"/>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084"/>
        <w:gridCol w:w="887"/>
        <w:gridCol w:w="7459"/>
      </w:tblGrid>
      <w:tr w14:paraId="67FB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13353F">
            <w:pPr>
              <w:widowControl/>
              <w:spacing w:line="360" w:lineRule="auto"/>
              <w:jc w:val="center"/>
              <w:rPr>
                <w:spacing w:val="-20"/>
              </w:rPr>
            </w:pPr>
            <w:r>
              <w:rPr>
                <w:spacing w:val="-20"/>
                <w:kern w:val="0"/>
                <w:szCs w:val="21"/>
              </w:rPr>
              <w:t>序号</w:t>
            </w:r>
          </w:p>
        </w:tc>
        <w:tc>
          <w:tcPr>
            <w:tcW w:w="10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EE849C">
            <w:pPr>
              <w:widowControl/>
              <w:spacing w:line="360" w:lineRule="auto"/>
              <w:jc w:val="center"/>
            </w:pPr>
            <w:r>
              <w:rPr>
                <w:kern w:val="0"/>
                <w:szCs w:val="21"/>
              </w:rPr>
              <w:t>类别</w:t>
            </w: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621C88">
            <w:pPr>
              <w:widowControl/>
              <w:spacing w:line="360" w:lineRule="auto"/>
              <w:jc w:val="center"/>
            </w:pPr>
            <w:r>
              <w:rPr>
                <w:kern w:val="0"/>
                <w:szCs w:val="21"/>
              </w:rPr>
              <w:t>满分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ED484C">
            <w:pPr>
              <w:widowControl/>
              <w:spacing w:line="360" w:lineRule="auto"/>
              <w:jc w:val="center"/>
            </w:pPr>
            <w:r>
              <w:rPr>
                <w:kern w:val="0"/>
                <w:szCs w:val="21"/>
              </w:rPr>
              <w:t>得  分  标  准</w:t>
            </w:r>
          </w:p>
        </w:tc>
      </w:tr>
      <w:tr w14:paraId="207E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9" w:type="dxa"/>
            <w:vMerge w:val="restart"/>
            <w:tcBorders>
              <w:top w:val="single" w:color="auto" w:sz="4" w:space="0"/>
              <w:left w:val="single" w:color="auto" w:sz="4" w:space="0"/>
              <w:right w:val="single" w:color="auto" w:sz="4" w:space="0"/>
            </w:tcBorders>
            <w:shd w:val="clear" w:color="auto" w:fill="auto"/>
            <w:noWrap/>
            <w:vAlign w:val="center"/>
          </w:tcPr>
          <w:p w14:paraId="36DC4B7F">
            <w:pPr>
              <w:widowControl/>
              <w:spacing w:line="360" w:lineRule="auto"/>
              <w:jc w:val="center"/>
              <w:rPr>
                <w:kern w:val="0"/>
                <w:szCs w:val="21"/>
              </w:rPr>
            </w:pPr>
            <w:r>
              <w:rPr>
                <w:kern w:val="0"/>
                <w:szCs w:val="21"/>
              </w:rPr>
              <w:t>1</w:t>
            </w:r>
          </w:p>
          <w:p w14:paraId="3C491417">
            <w:pPr>
              <w:widowControl/>
              <w:spacing w:line="360" w:lineRule="auto"/>
              <w:jc w:val="center"/>
              <w:rPr>
                <w:kern w:val="0"/>
                <w:szCs w:val="21"/>
              </w:rPr>
            </w:pPr>
          </w:p>
        </w:tc>
        <w:tc>
          <w:tcPr>
            <w:tcW w:w="108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A947EBC">
            <w:pPr>
              <w:widowControl/>
              <w:spacing w:line="360" w:lineRule="auto"/>
            </w:pPr>
            <w:r>
              <w:rPr>
                <w:kern w:val="0"/>
                <w:szCs w:val="21"/>
              </w:rPr>
              <w:t>施工</w:t>
            </w:r>
          </w:p>
          <w:p w14:paraId="0DCEDDF9">
            <w:pPr>
              <w:widowControl/>
              <w:spacing w:line="360" w:lineRule="auto"/>
            </w:pPr>
            <w:r>
              <w:rPr>
                <w:kern w:val="0"/>
                <w:szCs w:val="21"/>
              </w:rPr>
              <w:t>组织设计（60分）</w:t>
            </w: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264D9B">
            <w:pPr>
              <w:widowControl/>
              <w:spacing w:line="360" w:lineRule="auto"/>
              <w:jc w:val="center"/>
            </w:pPr>
            <w:r>
              <w:rPr>
                <w:kern w:val="0"/>
                <w:szCs w:val="21"/>
              </w:rPr>
              <w:t>20分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tcPr>
          <w:p w14:paraId="5C7C1D55">
            <w:pPr>
              <w:widowControl/>
              <w:spacing w:line="360" w:lineRule="auto"/>
            </w:pPr>
            <w:r>
              <w:t>施工组织总体方案（对项目特点认知、施工准备、施工总平面布置、施工组织等）等进行阐述，力求简洁。评委根据投标文件情况及项目经理现场</w:t>
            </w:r>
            <w:r>
              <w:rPr>
                <w:rFonts w:hint="eastAsia"/>
              </w:rPr>
              <w:t>讲标</w:t>
            </w:r>
            <w:r>
              <w:t>答辩情况分为一般、良、优，</w:t>
            </w:r>
            <w:r>
              <w:rPr>
                <w:kern w:val="0"/>
                <w:szCs w:val="21"/>
              </w:rPr>
              <w:t>分别酌情得0-7分,7-14分,14-20</w:t>
            </w:r>
            <w:r>
              <w:t>分，内容不全酌情扣分，若此条缺项不得分。</w:t>
            </w:r>
          </w:p>
        </w:tc>
      </w:tr>
      <w:tr w14:paraId="74E2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9" w:type="dxa"/>
            <w:vMerge w:val="continue"/>
            <w:tcBorders>
              <w:left w:val="single" w:color="auto" w:sz="4" w:space="0"/>
              <w:right w:val="single" w:color="auto" w:sz="4" w:space="0"/>
            </w:tcBorders>
            <w:shd w:val="clear" w:color="auto" w:fill="auto"/>
            <w:noWrap/>
            <w:vAlign w:val="center"/>
          </w:tcPr>
          <w:p w14:paraId="21B34618">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594D923">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5B0C6C">
            <w:pPr>
              <w:widowControl/>
              <w:spacing w:line="360" w:lineRule="auto"/>
              <w:jc w:val="center"/>
            </w:pPr>
            <w:r>
              <w:rPr>
                <w:kern w:val="0"/>
                <w:szCs w:val="21"/>
              </w:rPr>
              <w:t>15分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tcPr>
          <w:p w14:paraId="41F87D0D">
            <w:pPr>
              <w:widowControl/>
              <w:spacing w:line="360" w:lineRule="auto"/>
            </w:pPr>
            <w:r>
              <w:rPr>
                <w:kern w:val="0"/>
                <w:szCs w:val="21"/>
              </w:rPr>
              <w:t>施工进度计划及保证措施（1、要求根据建设单位提供的关键节点，提供施工总进度横道图或网络图计划，施工内容要切合实际、全面，</w:t>
            </w:r>
            <w:r>
              <w:rPr>
                <w:rFonts w:hint="eastAsia"/>
                <w:kern w:val="0"/>
                <w:szCs w:val="21"/>
              </w:rPr>
              <w:t>其中</w:t>
            </w:r>
            <w:r>
              <w:rPr>
                <w:rFonts w:hint="eastAsia"/>
                <w:b/>
                <w:bCs/>
                <w:kern w:val="0"/>
                <w:szCs w:val="21"/>
              </w:rPr>
              <w:t>劳动力投入计划须按阶段、专业细化人数；并重点陈述春节期间施工计划及人员保证措施</w:t>
            </w:r>
            <w:r>
              <w:rPr>
                <w:kern w:val="0"/>
                <w:szCs w:val="21"/>
              </w:rPr>
              <w:t>；2、列举分析本工程的工期风险点及应对保证措施）。评委根据投标文件情况分为一般、良、优，分别酌情得0-5分,5-10分,10-15</w:t>
            </w:r>
            <w:r>
              <w:t>分</w:t>
            </w:r>
            <w:r>
              <w:rPr>
                <w:kern w:val="0"/>
                <w:szCs w:val="21"/>
              </w:rPr>
              <w:t>，内容不全酌情扣分，若此条缺项不得分。</w:t>
            </w:r>
          </w:p>
        </w:tc>
      </w:tr>
      <w:tr w14:paraId="734F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jc w:val="center"/>
        </w:trPr>
        <w:tc>
          <w:tcPr>
            <w:tcW w:w="539" w:type="dxa"/>
            <w:vMerge w:val="continue"/>
            <w:tcBorders>
              <w:left w:val="single" w:color="auto" w:sz="4" w:space="0"/>
              <w:right w:val="single" w:color="auto" w:sz="4" w:space="0"/>
            </w:tcBorders>
            <w:shd w:val="clear" w:color="auto" w:fill="auto"/>
            <w:noWrap/>
            <w:vAlign w:val="center"/>
          </w:tcPr>
          <w:p w14:paraId="24AC4CCE">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10B4DF0">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B98E29">
            <w:pPr>
              <w:widowControl/>
              <w:spacing w:line="360" w:lineRule="auto"/>
              <w:jc w:val="center"/>
            </w:pPr>
            <w:r>
              <w:rPr>
                <w:kern w:val="0"/>
                <w:szCs w:val="21"/>
              </w:rPr>
              <w:t>10分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tcPr>
          <w:p w14:paraId="4E8F878C">
            <w:pPr>
              <w:widowControl/>
              <w:spacing w:line="360" w:lineRule="auto"/>
            </w:pPr>
            <w:r>
              <w:rPr>
                <w:kern w:val="0"/>
                <w:szCs w:val="21"/>
              </w:rPr>
              <w:t>关键施工技术、工艺及工程实施的重点、难点分析。要求提炼出招标项目的关键施工工艺、施工重难点、危险性较大的专项工程等。评委根据投标文件情况分为一般、良、优，分别酌情得0-4分,4-7分,7-10</w:t>
            </w:r>
            <w:r>
              <w:t>分</w:t>
            </w:r>
            <w:r>
              <w:rPr>
                <w:kern w:val="0"/>
                <w:szCs w:val="21"/>
              </w:rPr>
              <w:t>，内容不全酌情扣分，若此条缺项不得分。</w:t>
            </w:r>
          </w:p>
        </w:tc>
      </w:tr>
      <w:tr w14:paraId="5E19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39" w:type="dxa"/>
            <w:vMerge w:val="continue"/>
            <w:tcBorders>
              <w:left w:val="single" w:color="auto" w:sz="4" w:space="0"/>
              <w:right w:val="single" w:color="auto" w:sz="4" w:space="0"/>
            </w:tcBorders>
            <w:shd w:val="clear" w:color="auto" w:fill="auto"/>
            <w:noWrap/>
            <w:vAlign w:val="center"/>
          </w:tcPr>
          <w:p w14:paraId="5AF38FD6">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CE1EDDE">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6F316C">
            <w:pPr>
              <w:widowControl/>
              <w:spacing w:line="360" w:lineRule="auto"/>
              <w:jc w:val="center"/>
            </w:pPr>
            <w:r>
              <w:rPr>
                <w:kern w:val="0"/>
                <w:szCs w:val="21"/>
              </w:rPr>
              <w:t>10分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tcPr>
          <w:p w14:paraId="4EC7B28F">
            <w:pPr>
              <w:widowControl/>
              <w:spacing w:line="360" w:lineRule="auto"/>
            </w:pPr>
            <w:r>
              <w:rPr>
                <w:kern w:val="0"/>
                <w:szCs w:val="21"/>
              </w:rPr>
              <w:t>质量保证措施。（要求针对性分析本工程容易出现的质量通病、质量控制重点和保证措施</w:t>
            </w:r>
            <w:r>
              <w:rPr>
                <w:rFonts w:hint="eastAsia"/>
                <w:b/>
                <w:bCs/>
                <w:kern w:val="0"/>
                <w:szCs w:val="21"/>
              </w:rPr>
              <w:t>，其中必须陈述车间地面裂缝、雨水渗漏的防治措施</w:t>
            </w:r>
            <w:r>
              <w:rPr>
                <w:kern w:val="0"/>
                <w:szCs w:val="21"/>
              </w:rPr>
              <w:t>）评委根据投标文件情况分为一般、良、优，分别酌情得0-4分,4-7分,7-10</w:t>
            </w:r>
            <w:r>
              <w:t>分</w:t>
            </w:r>
            <w:r>
              <w:rPr>
                <w:kern w:val="0"/>
                <w:szCs w:val="21"/>
              </w:rPr>
              <w:t>，内容不全酌情扣分，若此条缺项不得分。</w:t>
            </w:r>
          </w:p>
        </w:tc>
      </w:tr>
      <w:tr w14:paraId="32B9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39" w:type="dxa"/>
            <w:vMerge w:val="continue"/>
            <w:tcBorders>
              <w:left w:val="single" w:color="auto" w:sz="4" w:space="0"/>
              <w:bottom w:val="single" w:color="auto" w:sz="4" w:space="0"/>
              <w:right w:val="single" w:color="auto" w:sz="4" w:space="0"/>
            </w:tcBorders>
            <w:shd w:val="clear" w:color="auto" w:fill="auto"/>
            <w:noWrap/>
            <w:vAlign w:val="center"/>
          </w:tcPr>
          <w:p w14:paraId="2294989F">
            <w:pPr>
              <w:rPr>
                <w:sz w:val="20"/>
                <w:szCs w:val="20"/>
              </w:rPr>
            </w:pPr>
          </w:p>
        </w:tc>
        <w:tc>
          <w:tcPr>
            <w:tcW w:w="10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AFC1DC">
            <w:pPr>
              <w:rPr>
                <w:sz w:val="20"/>
                <w:szCs w:val="20"/>
              </w:rPr>
            </w:pPr>
          </w:p>
        </w:tc>
        <w:tc>
          <w:tcPr>
            <w:tcW w:w="8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ACF44F">
            <w:pPr>
              <w:widowControl/>
              <w:spacing w:line="360" w:lineRule="auto"/>
              <w:jc w:val="center"/>
            </w:pPr>
            <w:r>
              <w:rPr>
                <w:kern w:val="0"/>
                <w:szCs w:val="21"/>
              </w:rPr>
              <w:t>5分</w:t>
            </w:r>
          </w:p>
        </w:tc>
        <w:tc>
          <w:tcPr>
            <w:tcW w:w="7459" w:type="dxa"/>
            <w:tcBorders>
              <w:top w:val="single" w:color="auto" w:sz="4" w:space="0"/>
              <w:left w:val="single" w:color="auto" w:sz="4" w:space="0"/>
              <w:bottom w:val="single" w:color="auto" w:sz="4" w:space="0"/>
              <w:right w:val="single" w:color="auto" w:sz="4" w:space="0"/>
            </w:tcBorders>
            <w:shd w:val="clear" w:color="auto" w:fill="auto"/>
            <w:noWrap/>
          </w:tcPr>
          <w:p w14:paraId="542536F1">
            <w:pPr>
              <w:widowControl/>
              <w:spacing w:line="360" w:lineRule="auto"/>
            </w:pPr>
            <w:r>
              <w:rPr>
                <w:kern w:val="0"/>
                <w:szCs w:val="21"/>
              </w:rPr>
              <w:t>安全文明施工措施。（要求对安全生产、文明施工、环境保护及防尘施工措施，制定保证措施和承诺）。评委根据投标文件情况分为一般、良、优，</w:t>
            </w:r>
            <w:r>
              <w:t>分别酌情</w:t>
            </w:r>
            <w:r>
              <w:rPr>
                <w:kern w:val="0"/>
                <w:szCs w:val="21"/>
              </w:rPr>
              <w:t>得0-2分,2-4分,4-5</w:t>
            </w:r>
            <w:r>
              <w:t>分</w:t>
            </w:r>
            <w:r>
              <w:rPr>
                <w:kern w:val="0"/>
                <w:szCs w:val="21"/>
              </w:rPr>
              <w:t>，内容不全酌情扣分，若此条缺项不得分。</w:t>
            </w:r>
          </w:p>
        </w:tc>
      </w:tr>
      <w:tr w14:paraId="32D5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9" w:type="dxa"/>
            <w:tcBorders>
              <w:top w:val="single" w:color="auto" w:sz="4" w:space="0"/>
              <w:left w:val="single" w:color="auto" w:sz="4" w:space="0"/>
              <w:bottom w:val="single" w:color="auto" w:sz="2" w:space="0"/>
              <w:right w:val="single" w:color="auto" w:sz="4" w:space="0"/>
            </w:tcBorders>
            <w:shd w:val="clear" w:color="auto" w:fill="auto"/>
            <w:noWrap/>
            <w:tcMar>
              <w:left w:w="91" w:type="dxa"/>
            </w:tcMar>
            <w:vAlign w:val="center"/>
          </w:tcPr>
          <w:p w14:paraId="14DE6C6B">
            <w:pPr>
              <w:widowControl/>
              <w:spacing w:line="360" w:lineRule="auto"/>
              <w:jc w:val="center"/>
              <w:rPr>
                <w:kern w:val="0"/>
                <w:szCs w:val="21"/>
              </w:rPr>
            </w:pPr>
            <w:r>
              <w:rPr>
                <w:kern w:val="0"/>
                <w:szCs w:val="21"/>
              </w:rPr>
              <w:t>2</w:t>
            </w:r>
          </w:p>
        </w:tc>
        <w:tc>
          <w:tcPr>
            <w:tcW w:w="1084" w:type="dxa"/>
            <w:tcBorders>
              <w:top w:val="single" w:color="auto" w:sz="4" w:space="0"/>
              <w:left w:val="single" w:color="auto" w:sz="2" w:space="0"/>
              <w:bottom w:val="single" w:color="auto" w:sz="2" w:space="0"/>
              <w:right w:val="single" w:color="auto" w:sz="2" w:space="0"/>
            </w:tcBorders>
            <w:shd w:val="clear" w:color="auto" w:fill="auto"/>
            <w:noWrap/>
            <w:tcMar>
              <w:left w:w="91" w:type="dxa"/>
            </w:tcMar>
            <w:vAlign w:val="center"/>
          </w:tcPr>
          <w:p w14:paraId="33F1F234">
            <w:pPr>
              <w:widowControl/>
              <w:spacing w:line="360" w:lineRule="auto"/>
              <w:jc w:val="center"/>
              <w:rPr>
                <w:kern w:val="0"/>
                <w:szCs w:val="21"/>
              </w:rPr>
            </w:pPr>
            <w:r>
              <w:rPr>
                <w:kern w:val="0"/>
                <w:szCs w:val="21"/>
              </w:rPr>
              <w:t>拟劳务分包</w:t>
            </w:r>
            <w:r>
              <w:rPr>
                <w:rFonts w:hint="eastAsia"/>
                <w:kern w:val="0"/>
                <w:szCs w:val="21"/>
              </w:rPr>
              <w:t>、专业分包</w:t>
            </w:r>
            <w:r>
              <w:rPr>
                <w:kern w:val="0"/>
                <w:szCs w:val="21"/>
              </w:rPr>
              <w:t>计划及水平</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63E58A9B">
            <w:pPr>
              <w:widowControl/>
              <w:spacing w:line="360" w:lineRule="auto"/>
              <w:jc w:val="center"/>
              <w:rPr>
                <w:kern w:val="0"/>
                <w:szCs w:val="21"/>
              </w:rPr>
            </w:pPr>
            <w:r>
              <w:rPr>
                <w:kern w:val="0"/>
                <w:szCs w:val="21"/>
              </w:rPr>
              <w:t>10分</w:t>
            </w:r>
          </w:p>
        </w:tc>
        <w:tc>
          <w:tcPr>
            <w:tcW w:w="745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780354B7">
            <w:pPr>
              <w:widowControl/>
              <w:spacing w:line="360" w:lineRule="auto"/>
              <w:rPr>
                <w:bCs/>
                <w:kern w:val="0"/>
                <w:szCs w:val="21"/>
              </w:rPr>
            </w:pPr>
            <w:r>
              <w:rPr>
                <w:bCs/>
                <w:kern w:val="0"/>
                <w:szCs w:val="21"/>
              </w:rPr>
              <w:t>根据拟选用的劳务分包队伍</w:t>
            </w:r>
            <w:r>
              <w:rPr>
                <w:rFonts w:hint="eastAsia"/>
                <w:bCs/>
                <w:kern w:val="0"/>
                <w:szCs w:val="21"/>
              </w:rPr>
              <w:t>（每专业不超过三家）、专业分包</w:t>
            </w:r>
            <w:r>
              <w:rPr>
                <w:bCs/>
                <w:kern w:val="0"/>
                <w:szCs w:val="21"/>
              </w:rPr>
              <w:t>（每专业项不超过三家）的整体实力、管理水平、专业能力等进行评判，</w:t>
            </w:r>
            <w:r>
              <w:rPr>
                <w:kern w:val="0"/>
                <w:szCs w:val="21"/>
              </w:rPr>
              <w:t>分为一般、良、优，</w:t>
            </w:r>
            <w:r>
              <w:t>分别酌情得</w:t>
            </w:r>
            <w:r>
              <w:rPr>
                <w:kern w:val="0"/>
                <w:szCs w:val="21"/>
              </w:rPr>
              <w:t>0-4分,4-7分,7-10</w:t>
            </w:r>
            <w:r>
              <w:t>分</w:t>
            </w:r>
            <w:r>
              <w:rPr>
                <w:kern w:val="0"/>
                <w:szCs w:val="21"/>
              </w:rPr>
              <w:t>，内容不全酌情扣分，若此条缺项，不得分。</w:t>
            </w:r>
          </w:p>
        </w:tc>
      </w:tr>
      <w:tr w14:paraId="6272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9" w:type="dxa"/>
            <w:tcBorders>
              <w:top w:val="single" w:color="auto" w:sz="4" w:space="0"/>
              <w:left w:val="single" w:color="auto" w:sz="4" w:space="0"/>
              <w:bottom w:val="single" w:color="auto" w:sz="2" w:space="0"/>
              <w:right w:val="single" w:color="auto" w:sz="4" w:space="0"/>
            </w:tcBorders>
            <w:shd w:val="clear" w:color="auto" w:fill="auto"/>
            <w:noWrap/>
            <w:tcMar>
              <w:left w:w="91" w:type="dxa"/>
            </w:tcMar>
            <w:vAlign w:val="center"/>
          </w:tcPr>
          <w:p w14:paraId="72F45AA2">
            <w:pPr>
              <w:widowControl/>
              <w:spacing w:line="360" w:lineRule="auto"/>
              <w:jc w:val="center"/>
              <w:rPr>
                <w:kern w:val="0"/>
                <w:szCs w:val="21"/>
              </w:rPr>
            </w:pPr>
            <w:r>
              <w:rPr>
                <w:rFonts w:hint="eastAsia"/>
                <w:kern w:val="0"/>
                <w:szCs w:val="21"/>
              </w:rPr>
              <w:t>3</w:t>
            </w:r>
          </w:p>
        </w:tc>
        <w:tc>
          <w:tcPr>
            <w:tcW w:w="1084" w:type="dxa"/>
            <w:tcBorders>
              <w:top w:val="single" w:color="auto" w:sz="4" w:space="0"/>
              <w:left w:val="single" w:color="auto" w:sz="2" w:space="0"/>
              <w:bottom w:val="single" w:color="auto" w:sz="2" w:space="0"/>
              <w:right w:val="single" w:color="auto" w:sz="2" w:space="0"/>
            </w:tcBorders>
            <w:shd w:val="clear" w:color="auto" w:fill="auto"/>
            <w:noWrap/>
            <w:tcMar>
              <w:left w:w="91" w:type="dxa"/>
            </w:tcMar>
            <w:vAlign w:val="center"/>
          </w:tcPr>
          <w:p w14:paraId="2345FB61">
            <w:pPr>
              <w:widowControl/>
              <w:spacing w:line="360" w:lineRule="auto"/>
              <w:jc w:val="center"/>
              <w:rPr>
                <w:rFonts w:eastAsia="Wingdings 2"/>
                <w:kern w:val="0"/>
                <w:szCs w:val="21"/>
              </w:rPr>
            </w:pPr>
            <w:r>
              <w:rPr>
                <w:sz w:val="20"/>
                <w:szCs w:val="20"/>
              </w:rPr>
              <w:t>材料品牌</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4EC97BE6">
            <w:pPr>
              <w:widowControl/>
              <w:spacing w:line="360" w:lineRule="auto"/>
              <w:jc w:val="center"/>
              <w:rPr>
                <w:kern w:val="0"/>
                <w:szCs w:val="21"/>
              </w:rPr>
            </w:pPr>
            <w:r>
              <w:rPr>
                <w:sz w:val="20"/>
                <w:szCs w:val="20"/>
              </w:rPr>
              <w:t>6分</w:t>
            </w:r>
          </w:p>
        </w:tc>
        <w:tc>
          <w:tcPr>
            <w:tcW w:w="745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22A30138">
            <w:pPr>
              <w:widowControl/>
              <w:spacing w:line="360" w:lineRule="auto"/>
              <w:rPr>
                <w:bCs/>
                <w:kern w:val="0"/>
                <w:szCs w:val="21"/>
              </w:rPr>
            </w:pPr>
            <w:r>
              <w:rPr>
                <w:sz w:val="20"/>
                <w:szCs w:val="20"/>
                <w:lang w:bidi="ar"/>
              </w:rPr>
              <w:t>根据甲限乙购</w:t>
            </w:r>
            <w:r>
              <w:rPr>
                <w:rFonts w:hint="eastAsia" w:ascii="宋体" w:cs="宋体"/>
                <w:kern w:val="0"/>
                <w:szCs w:val="21"/>
              </w:rPr>
              <w:t>品牌</w:t>
            </w:r>
            <w:r>
              <w:rPr>
                <w:sz w:val="20"/>
                <w:szCs w:val="20"/>
                <w:lang w:bidi="ar"/>
              </w:rPr>
              <w:t>表选用的材料（设备）的品牌、档次等进行评判，分为一般、良、优，分别酌情得0-2分,2-4分,4-6分，内容不全酌情扣分，若此条缺项，不得分。</w:t>
            </w:r>
          </w:p>
        </w:tc>
      </w:tr>
      <w:tr w14:paraId="2034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53E6E240">
            <w:pPr>
              <w:widowControl/>
              <w:spacing w:line="360" w:lineRule="auto"/>
              <w:jc w:val="center"/>
              <w:rPr>
                <w:kern w:val="0"/>
                <w:szCs w:val="21"/>
              </w:rPr>
            </w:pPr>
            <w:r>
              <w:rPr>
                <w:kern w:val="0"/>
                <w:szCs w:val="21"/>
              </w:rPr>
              <w:t>4</w:t>
            </w:r>
          </w:p>
        </w:tc>
        <w:tc>
          <w:tcPr>
            <w:tcW w:w="1084"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5B828CD0">
            <w:pPr>
              <w:widowControl/>
              <w:spacing w:line="360" w:lineRule="auto"/>
              <w:jc w:val="center"/>
              <w:rPr>
                <w:kern w:val="0"/>
                <w:szCs w:val="21"/>
              </w:rPr>
            </w:pPr>
            <w:r>
              <w:rPr>
                <w:rFonts w:hint="eastAsia"/>
                <w:kern w:val="0"/>
                <w:szCs w:val="21"/>
              </w:rPr>
              <w:t>项目管理班子配置</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3A60E00E">
            <w:pPr>
              <w:widowControl/>
              <w:spacing w:line="360" w:lineRule="auto"/>
              <w:jc w:val="center"/>
              <w:rPr>
                <w:kern w:val="0"/>
                <w:szCs w:val="21"/>
              </w:rPr>
            </w:pPr>
            <w:r>
              <w:rPr>
                <w:kern w:val="0"/>
                <w:szCs w:val="21"/>
              </w:rPr>
              <w:t>10分</w:t>
            </w:r>
          </w:p>
        </w:tc>
        <w:tc>
          <w:tcPr>
            <w:tcW w:w="745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4E38B473">
            <w:pPr>
              <w:widowControl/>
              <w:spacing w:line="360" w:lineRule="auto"/>
              <w:rPr>
                <w:kern w:val="0"/>
                <w:szCs w:val="21"/>
              </w:rPr>
            </w:pPr>
            <w:r>
              <w:rPr>
                <w:rFonts w:hint="eastAsia"/>
                <w:kern w:val="0"/>
                <w:szCs w:val="21"/>
              </w:rPr>
              <w:t>(1)项目班子配备介绍</w:t>
            </w:r>
            <w:r>
              <w:rPr>
                <w:kern w:val="0"/>
                <w:szCs w:val="21"/>
              </w:rPr>
              <w:t>6</w:t>
            </w:r>
            <w:r>
              <w:rPr>
                <w:rFonts w:hint="eastAsia"/>
                <w:kern w:val="0"/>
                <w:szCs w:val="21"/>
              </w:rPr>
              <w:t>分（项目班子人员配置符合省、市文件规定，否则技术标不得分)，包括：①项目经理简介（附资历证明）②主要管理人员表③拟参加主要管理人员分工一览表④主要管理人员资历表。此</w:t>
            </w:r>
            <w:r>
              <w:rPr>
                <w:kern w:val="0"/>
                <w:szCs w:val="21"/>
              </w:rPr>
              <w:t>4</w:t>
            </w:r>
            <w:r>
              <w:rPr>
                <w:rFonts w:hint="eastAsia"/>
                <w:kern w:val="0"/>
                <w:szCs w:val="21"/>
              </w:rPr>
              <w:t>项每缺少一项介绍扣减</w:t>
            </w:r>
            <w:r>
              <w:rPr>
                <w:kern w:val="0"/>
                <w:szCs w:val="21"/>
              </w:rPr>
              <w:t>1.5</w:t>
            </w:r>
            <w:r>
              <w:rPr>
                <w:rFonts w:hint="eastAsia"/>
                <w:kern w:val="0"/>
                <w:szCs w:val="21"/>
              </w:rPr>
              <w:t>分，每项介绍内容存在漏项扣减</w:t>
            </w:r>
            <w:r>
              <w:rPr>
                <w:kern w:val="0"/>
                <w:szCs w:val="21"/>
              </w:rPr>
              <w:t>0.5</w:t>
            </w:r>
            <w:r>
              <w:rPr>
                <w:rFonts w:hint="eastAsia"/>
                <w:kern w:val="0"/>
                <w:szCs w:val="21"/>
              </w:rPr>
              <w:t>分；</w:t>
            </w:r>
          </w:p>
          <w:p w14:paraId="160F6168">
            <w:pPr>
              <w:widowControl/>
              <w:spacing w:line="360" w:lineRule="auto"/>
              <w:rPr>
                <w:kern w:val="0"/>
                <w:szCs w:val="21"/>
              </w:rPr>
            </w:pPr>
            <w:r>
              <w:rPr>
                <w:rFonts w:hint="eastAsia"/>
                <w:kern w:val="0"/>
                <w:szCs w:val="21"/>
              </w:rPr>
              <w:t>(2)除满足项目班子人员配置基本要求以外，项目班子人员中每增加一名专职安全员的加1分，满分</w:t>
            </w:r>
            <w:r>
              <w:rPr>
                <w:kern w:val="0"/>
                <w:szCs w:val="21"/>
              </w:rPr>
              <w:t>1</w:t>
            </w:r>
            <w:r>
              <w:rPr>
                <w:rFonts w:hint="eastAsia"/>
                <w:kern w:val="0"/>
                <w:szCs w:val="21"/>
              </w:rPr>
              <w:t>分；</w:t>
            </w:r>
          </w:p>
          <w:p w14:paraId="0E723D5C">
            <w:pPr>
              <w:widowControl/>
              <w:spacing w:line="360" w:lineRule="auto"/>
              <w:rPr>
                <w:kern w:val="0"/>
                <w:szCs w:val="21"/>
              </w:rPr>
            </w:pPr>
            <w:r>
              <w:rPr>
                <w:rFonts w:hint="eastAsia"/>
                <w:kern w:val="0"/>
                <w:szCs w:val="21"/>
              </w:rPr>
              <w:t>(3)项目管理班子中配备专职机电安装专业注册建造师的加1分，满分1分；</w:t>
            </w:r>
          </w:p>
          <w:p w14:paraId="78D415CF">
            <w:pPr>
              <w:widowControl/>
              <w:spacing w:line="360" w:lineRule="auto"/>
              <w:rPr>
                <w:kern w:val="0"/>
                <w:szCs w:val="21"/>
              </w:rPr>
            </w:pPr>
            <w:r>
              <w:rPr>
                <w:rFonts w:hint="eastAsia"/>
                <w:kern w:val="0"/>
                <w:szCs w:val="21"/>
              </w:rPr>
              <w:t>(</w:t>
            </w:r>
            <w:r>
              <w:rPr>
                <w:kern w:val="0"/>
                <w:szCs w:val="21"/>
              </w:rPr>
              <w:t>4</w:t>
            </w:r>
            <w:r>
              <w:rPr>
                <w:rFonts w:hint="eastAsia"/>
                <w:kern w:val="0"/>
                <w:szCs w:val="21"/>
              </w:rPr>
              <w:t>)项目管理班子技术负责人，作为项目技术负责人近五年以来（2021年9月1日至今，以验收时间为准，需提供合同及竣工验收报告原件才能得分）承担过不少于3万平方米工业厂房业绩的，加1分，满分1分。</w:t>
            </w:r>
          </w:p>
          <w:p w14:paraId="3180406B">
            <w:pPr>
              <w:widowControl/>
              <w:spacing w:line="360" w:lineRule="auto"/>
              <w:rPr>
                <w:bCs/>
                <w:kern w:val="0"/>
                <w:szCs w:val="21"/>
              </w:rPr>
            </w:pPr>
            <w:r>
              <w:rPr>
                <w:rFonts w:hint="eastAsia"/>
                <w:kern w:val="0"/>
                <w:szCs w:val="21"/>
              </w:rPr>
              <w:t>(</w:t>
            </w:r>
            <w:r>
              <w:rPr>
                <w:kern w:val="0"/>
                <w:szCs w:val="21"/>
              </w:rPr>
              <w:t>5)</w:t>
            </w:r>
            <w:r>
              <w:rPr>
                <w:rFonts w:hint="eastAsia"/>
                <w:kern w:val="0"/>
                <w:szCs w:val="21"/>
              </w:rPr>
              <w:t>除满足项目班子人员配置基本要求以外，项目管理班子中增加一名一级注册造价工程师的，加1分，满分1分。</w:t>
            </w:r>
          </w:p>
        </w:tc>
      </w:tr>
      <w:tr w14:paraId="2C70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3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026E45D8">
            <w:pPr>
              <w:widowControl/>
              <w:spacing w:line="360" w:lineRule="auto"/>
              <w:jc w:val="center"/>
            </w:pPr>
            <w:r>
              <w:rPr>
                <w:kern w:val="0"/>
                <w:szCs w:val="21"/>
              </w:rPr>
              <w:t>5</w:t>
            </w:r>
          </w:p>
        </w:tc>
        <w:tc>
          <w:tcPr>
            <w:tcW w:w="1084"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5B7A2B7C">
            <w:pPr>
              <w:widowControl/>
              <w:spacing w:line="360" w:lineRule="auto"/>
              <w:jc w:val="center"/>
              <w:rPr>
                <w:kern w:val="0"/>
                <w:szCs w:val="21"/>
              </w:rPr>
            </w:pPr>
            <w:r>
              <w:rPr>
                <w:kern w:val="0"/>
                <w:szCs w:val="21"/>
              </w:rPr>
              <w:sym w:font="Wingdings 2" w:char="0052"/>
            </w:r>
            <w:r>
              <w:rPr>
                <w:kern w:val="0"/>
                <w:szCs w:val="21"/>
              </w:rPr>
              <w:t>业绩</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78E320D8">
            <w:pPr>
              <w:widowControl/>
              <w:spacing w:line="360" w:lineRule="auto"/>
              <w:jc w:val="center"/>
            </w:pPr>
            <w:r>
              <w:rPr>
                <w:kern w:val="0"/>
                <w:szCs w:val="21"/>
              </w:rPr>
              <w:t>14分</w:t>
            </w:r>
          </w:p>
        </w:tc>
        <w:tc>
          <w:tcPr>
            <w:tcW w:w="745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3C6FE56C">
            <w:pPr>
              <w:pStyle w:val="9"/>
              <w:spacing w:line="360" w:lineRule="auto"/>
              <w:ind w:left="0" w:leftChars="0" w:firstLine="0" w:firstLineChars="0"/>
              <w:rPr>
                <w:kern w:val="0"/>
                <w:szCs w:val="21"/>
              </w:rPr>
            </w:pPr>
            <w:r>
              <w:rPr>
                <w:kern w:val="0"/>
                <w:szCs w:val="21"/>
              </w:rPr>
              <w:t>企业业绩：投标人近</w:t>
            </w:r>
            <w:r>
              <w:rPr>
                <w:rFonts w:hint="eastAsia"/>
                <w:kern w:val="0"/>
                <w:szCs w:val="21"/>
              </w:rPr>
              <w:t>五</w:t>
            </w:r>
            <w:r>
              <w:rPr>
                <w:kern w:val="0"/>
                <w:szCs w:val="21"/>
              </w:rPr>
              <w:t>年以来（2021年9月1日至今</w:t>
            </w:r>
            <w:r>
              <w:rPr>
                <w:rFonts w:hint="eastAsia"/>
                <w:kern w:val="0"/>
                <w:szCs w:val="21"/>
              </w:rPr>
              <w:t>，</w:t>
            </w:r>
            <w:r>
              <w:rPr>
                <w:b/>
                <w:bCs/>
                <w:kern w:val="0"/>
                <w:szCs w:val="21"/>
              </w:rPr>
              <w:t>以验收时间为准，需提供合同及竣工验收报告原件才能得分</w:t>
            </w:r>
            <w:r>
              <w:rPr>
                <w:kern w:val="0"/>
                <w:szCs w:val="21"/>
              </w:rPr>
              <w:t>）承建过</w:t>
            </w:r>
            <w:r>
              <w:rPr>
                <w:rFonts w:hint="eastAsia"/>
                <w:kern w:val="0"/>
                <w:szCs w:val="21"/>
              </w:rPr>
              <w:t>单项</w:t>
            </w:r>
            <w:r>
              <w:rPr>
                <w:kern w:val="0"/>
                <w:szCs w:val="21"/>
                <w:u w:val="single"/>
              </w:rPr>
              <w:t>合同额不低于3亿元或</w:t>
            </w:r>
            <w:r>
              <w:rPr>
                <w:rFonts w:hint="eastAsia"/>
                <w:kern w:val="0"/>
                <w:szCs w:val="21"/>
                <w:u w:val="single"/>
              </w:rPr>
              <w:t>单项合同</w:t>
            </w:r>
            <w:r>
              <w:rPr>
                <w:kern w:val="0"/>
                <w:szCs w:val="21"/>
                <w:u w:val="single"/>
              </w:rPr>
              <w:t>建筑面积10万平方米及以上</w:t>
            </w:r>
            <w:r>
              <w:rPr>
                <w:kern w:val="0"/>
                <w:szCs w:val="21"/>
              </w:rPr>
              <w:t>的工业建筑施工总承包或工程总承包业绩，每有1个得2分，本项最多得10分。</w:t>
            </w:r>
          </w:p>
          <w:p w14:paraId="51D70EDA">
            <w:pPr>
              <w:pStyle w:val="7"/>
              <w:spacing w:line="360" w:lineRule="auto"/>
              <w:ind w:left="0" w:leftChars="0" w:firstLine="480"/>
              <w:jc w:val="left"/>
              <w:rPr>
                <w:b w:val="0"/>
                <w:kern w:val="0"/>
                <w:szCs w:val="21"/>
              </w:rPr>
            </w:pPr>
            <w:r>
              <w:rPr>
                <w:b w:val="0"/>
                <w:kern w:val="0"/>
                <w:szCs w:val="21"/>
              </w:rPr>
              <w:t>项目经理业绩：投标项目经理</w:t>
            </w:r>
            <w:r>
              <w:rPr>
                <w:rFonts w:hint="eastAsia"/>
                <w:b w:val="0"/>
                <w:kern w:val="0"/>
                <w:szCs w:val="21"/>
              </w:rPr>
              <w:t>近五年以来（2021年9月1日至今</w:t>
            </w:r>
            <w:r>
              <w:rPr>
                <w:rFonts w:hint="eastAsia"/>
                <w:bCs/>
                <w:kern w:val="0"/>
                <w:szCs w:val="21"/>
              </w:rPr>
              <w:t>，以验收时间为准，需提供合同及竣工验收报告原件才能得分</w:t>
            </w:r>
            <w:r>
              <w:rPr>
                <w:rFonts w:hint="eastAsia"/>
                <w:b w:val="0"/>
                <w:kern w:val="0"/>
                <w:szCs w:val="21"/>
              </w:rPr>
              <w:t>）</w:t>
            </w:r>
            <w:r>
              <w:rPr>
                <w:b w:val="0"/>
                <w:kern w:val="0"/>
                <w:szCs w:val="21"/>
              </w:rPr>
              <w:t>承建过类似项目业绩（</w:t>
            </w:r>
            <w:r>
              <w:rPr>
                <w:rFonts w:hint="eastAsia"/>
                <w:b w:val="0"/>
                <w:kern w:val="0"/>
                <w:szCs w:val="21"/>
              </w:rPr>
              <w:t>单项合同额不低于3亿元或单项合同建筑面积</w:t>
            </w:r>
            <w:r>
              <w:rPr>
                <w:b w:val="0"/>
                <w:kern w:val="0"/>
                <w:szCs w:val="21"/>
              </w:rPr>
              <w:t>3</w:t>
            </w:r>
            <w:r>
              <w:rPr>
                <w:rFonts w:hint="eastAsia"/>
                <w:b w:val="0"/>
                <w:kern w:val="0"/>
                <w:szCs w:val="21"/>
              </w:rPr>
              <w:t>万平方米及以上</w:t>
            </w:r>
            <w:r>
              <w:rPr>
                <w:b w:val="0"/>
                <w:kern w:val="0"/>
                <w:szCs w:val="21"/>
              </w:rPr>
              <w:t>的</w:t>
            </w:r>
            <w:r>
              <w:rPr>
                <w:rFonts w:hint="eastAsia"/>
                <w:b w:val="0"/>
                <w:kern w:val="0"/>
                <w:szCs w:val="21"/>
              </w:rPr>
              <w:t>工业建筑施工总承包或工程总承包业绩</w:t>
            </w:r>
            <w:r>
              <w:rPr>
                <w:b w:val="0"/>
                <w:kern w:val="0"/>
                <w:szCs w:val="21"/>
              </w:rPr>
              <w:t>，提供合同原件并体现项目经理名字），每有1个得2分，本项最多得4分。</w:t>
            </w:r>
          </w:p>
          <w:p w14:paraId="2BC129E4">
            <w:pPr>
              <w:pStyle w:val="7"/>
              <w:spacing w:line="360" w:lineRule="auto"/>
              <w:ind w:left="0" w:leftChars="0" w:firstLine="480"/>
              <w:jc w:val="left"/>
            </w:pPr>
            <w:r>
              <w:rPr>
                <w:rFonts w:hint="eastAsia"/>
              </w:rPr>
              <w:t>企业业绩和项目经理业绩为同一业绩的，不重复计分。</w:t>
            </w:r>
          </w:p>
        </w:tc>
      </w:tr>
      <w:tr w14:paraId="6965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3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002ED46A">
            <w:pPr>
              <w:widowControl/>
              <w:spacing w:line="360" w:lineRule="auto"/>
              <w:jc w:val="center"/>
            </w:pPr>
            <w:r>
              <w:t>6</w:t>
            </w:r>
          </w:p>
        </w:tc>
        <w:tc>
          <w:tcPr>
            <w:tcW w:w="1084"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1F978A2D">
            <w:pPr>
              <w:widowControl/>
              <w:spacing w:line="360" w:lineRule="auto"/>
              <w:jc w:val="center"/>
            </w:pPr>
            <w:r>
              <w:rPr>
                <w:kern w:val="0"/>
                <w:szCs w:val="21"/>
              </w:rPr>
              <w:t>合计</w:t>
            </w:r>
          </w:p>
        </w:tc>
        <w:tc>
          <w:tcPr>
            <w:tcW w:w="887"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139CA583">
            <w:pPr>
              <w:widowControl/>
              <w:spacing w:line="360" w:lineRule="auto"/>
              <w:jc w:val="center"/>
            </w:pPr>
            <w:r>
              <w:rPr>
                <w:kern w:val="0"/>
                <w:szCs w:val="21"/>
              </w:rPr>
              <w:t>100分</w:t>
            </w:r>
          </w:p>
        </w:tc>
        <w:tc>
          <w:tcPr>
            <w:tcW w:w="7459" w:type="dxa"/>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7B864730">
            <w:pPr>
              <w:widowControl/>
              <w:spacing w:line="360" w:lineRule="auto"/>
            </w:pPr>
            <w:r>
              <w:rPr>
                <w:kern w:val="0"/>
                <w:szCs w:val="21"/>
              </w:rPr>
              <w:t>=1+2+3+4+5</w:t>
            </w:r>
          </w:p>
        </w:tc>
      </w:tr>
      <w:tr w14:paraId="3377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969" w:type="dxa"/>
            <w:gridSpan w:val="4"/>
            <w:tcBorders>
              <w:top w:val="single" w:color="auto" w:sz="2" w:space="0"/>
              <w:left w:val="single" w:color="auto" w:sz="2" w:space="0"/>
              <w:bottom w:val="single" w:color="auto" w:sz="2" w:space="0"/>
              <w:right w:val="single" w:color="auto" w:sz="2" w:space="0"/>
            </w:tcBorders>
            <w:shd w:val="clear" w:color="auto" w:fill="auto"/>
            <w:noWrap/>
            <w:tcMar>
              <w:left w:w="91" w:type="dxa"/>
            </w:tcMar>
            <w:vAlign w:val="center"/>
          </w:tcPr>
          <w:p w14:paraId="05CB51A9">
            <w:pPr>
              <w:widowControl/>
              <w:numPr>
                <w:ilvl w:val="0"/>
                <w:numId w:val="1"/>
              </w:numPr>
              <w:spacing w:line="360" w:lineRule="auto"/>
              <w:rPr>
                <w:b/>
                <w:kern w:val="0"/>
                <w:szCs w:val="21"/>
              </w:rPr>
            </w:pPr>
            <w:r>
              <w:rPr>
                <w:b/>
                <w:kern w:val="0"/>
                <w:szCs w:val="21"/>
              </w:rPr>
              <w:t>投标人技术标的最终得分为所有评委打分的算术平均值。</w:t>
            </w:r>
          </w:p>
          <w:p w14:paraId="640874D8">
            <w:pPr>
              <w:widowControl/>
              <w:numPr>
                <w:ilvl w:val="0"/>
                <w:numId w:val="1"/>
              </w:numPr>
              <w:spacing w:line="360" w:lineRule="auto"/>
              <w:rPr>
                <w:b/>
                <w:kern w:val="0"/>
                <w:szCs w:val="21"/>
              </w:rPr>
            </w:pPr>
            <w:r>
              <w:rPr>
                <w:b/>
                <w:kern w:val="0"/>
                <w:szCs w:val="21"/>
              </w:rPr>
              <w:t>技术标根据评分办法进行打分，技术标评标小组推荐至少3家技术得分</w:t>
            </w:r>
            <w:r>
              <w:rPr>
                <w:b/>
                <w:kern w:val="0"/>
                <w:szCs w:val="21"/>
                <w:highlight w:val="yellow"/>
              </w:rPr>
              <w:t>70分</w:t>
            </w:r>
            <w:r>
              <w:rPr>
                <w:b/>
                <w:kern w:val="0"/>
                <w:szCs w:val="21"/>
              </w:rPr>
              <w:t>（含）以上的投标人进入商务标。技术入围投标人不足三家时，本次按废标处理，招标人有权根据招标采购管理流程重新组织招标。</w:t>
            </w:r>
          </w:p>
        </w:tc>
      </w:tr>
    </w:tbl>
    <w:p w14:paraId="48074F6B"/>
    <w:p w14:paraId="49EAC3E5">
      <w:pPr>
        <w:jc w:val="center"/>
        <w:rPr>
          <w:rStyle w:val="16"/>
          <w:sz w:val="24"/>
        </w:rPr>
      </w:pPr>
      <w:bookmarkStart w:id="0" w:name="_Toc3914"/>
      <w:bookmarkStart w:id="1" w:name="_Toc17817335"/>
    </w:p>
    <w:p w14:paraId="4E6A1416">
      <w:pPr>
        <w:jc w:val="center"/>
        <w:rPr>
          <w:rStyle w:val="16"/>
          <w:sz w:val="24"/>
        </w:rPr>
      </w:pPr>
      <w:r>
        <w:rPr>
          <w:rStyle w:val="16"/>
          <w:sz w:val="24"/>
        </w:rPr>
        <w:t>商务标评分细则</w:t>
      </w:r>
    </w:p>
    <w:tbl>
      <w:tblPr>
        <w:tblStyle w:val="10"/>
        <w:tblW w:w="98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1676"/>
        <w:gridCol w:w="699"/>
        <w:gridCol w:w="6764"/>
      </w:tblGrid>
      <w:tr w14:paraId="60B2B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14:paraId="56917F69">
            <w:pPr>
              <w:jc w:val="center"/>
              <w:rPr>
                <w:rStyle w:val="16"/>
                <w:bCs w:val="0"/>
              </w:rPr>
            </w:pPr>
            <w:r>
              <w:rPr>
                <w:rStyle w:val="16"/>
              </w:rPr>
              <w:t>序号</w:t>
            </w:r>
          </w:p>
        </w:tc>
        <w:tc>
          <w:tcPr>
            <w:tcW w:w="1676" w:type="dxa"/>
            <w:tcBorders>
              <w:top w:val="single" w:color="000000" w:sz="4" w:space="0"/>
              <w:left w:val="single" w:color="000000" w:sz="4" w:space="0"/>
              <w:bottom w:val="single" w:color="000000" w:sz="4" w:space="0"/>
              <w:right w:val="single" w:color="000000" w:sz="4" w:space="0"/>
            </w:tcBorders>
            <w:vAlign w:val="center"/>
          </w:tcPr>
          <w:p w14:paraId="26D1BCCF">
            <w:pPr>
              <w:jc w:val="center"/>
              <w:rPr>
                <w:rStyle w:val="16"/>
                <w:bCs w:val="0"/>
              </w:rPr>
            </w:pPr>
            <w:r>
              <w:rPr>
                <w:rStyle w:val="16"/>
              </w:rPr>
              <w:t>类别</w:t>
            </w:r>
          </w:p>
        </w:tc>
        <w:tc>
          <w:tcPr>
            <w:tcW w:w="699" w:type="dxa"/>
            <w:tcBorders>
              <w:top w:val="single" w:color="000000" w:sz="4" w:space="0"/>
              <w:left w:val="single" w:color="000000" w:sz="4" w:space="0"/>
              <w:bottom w:val="single" w:color="000000" w:sz="4" w:space="0"/>
              <w:right w:val="single" w:color="000000" w:sz="4" w:space="0"/>
            </w:tcBorders>
            <w:vAlign w:val="center"/>
          </w:tcPr>
          <w:p w14:paraId="5745069F">
            <w:pPr>
              <w:jc w:val="center"/>
              <w:rPr>
                <w:rStyle w:val="16"/>
                <w:bCs w:val="0"/>
              </w:rPr>
            </w:pPr>
            <w:r>
              <w:rPr>
                <w:rStyle w:val="16"/>
              </w:rPr>
              <w:t>满分</w:t>
            </w:r>
          </w:p>
        </w:tc>
        <w:tc>
          <w:tcPr>
            <w:tcW w:w="6764" w:type="dxa"/>
            <w:tcBorders>
              <w:top w:val="single" w:color="000000" w:sz="4" w:space="0"/>
              <w:left w:val="single" w:color="000000" w:sz="4" w:space="0"/>
              <w:bottom w:val="single" w:color="000000" w:sz="4" w:space="0"/>
              <w:right w:val="single" w:color="000000" w:sz="4" w:space="0"/>
            </w:tcBorders>
            <w:vAlign w:val="center"/>
          </w:tcPr>
          <w:p w14:paraId="0E1BEF29">
            <w:pPr>
              <w:jc w:val="center"/>
              <w:rPr>
                <w:rStyle w:val="16"/>
                <w:bCs w:val="0"/>
                <w:sz w:val="20"/>
                <w:szCs w:val="22"/>
              </w:rPr>
            </w:pPr>
            <w:r>
              <w:t>得   分   标   准</w:t>
            </w:r>
          </w:p>
        </w:tc>
      </w:tr>
      <w:tr w14:paraId="5B9573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2" w:hRule="atLeast"/>
          <w:jc w:val="center"/>
        </w:trPr>
        <w:tc>
          <w:tcPr>
            <w:tcW w:w="710" w:type="dxa"/>
            <w:tcBorders>
              <w:top w:val="single" w:color="000000" w:sz="4" w:space="0"/>
              <w:left w:val="single" w:color="000000" w:sz="4" w:space="0"/>
              <w:bottom w:val="single" w:color="000000" w:sz="4" w:space="0"/>
              <w:right w:val="single" w:color="000000" w:sz="4" w:space="0"/>
            </w:tcBorders>
            <w:vAlign w:val="center"/>
          </w:tcPr>
          <w:p w14:paraId="4284A040">
            <w:pPr>
              <w:jc w:val="center"/>
              <w:rPr>
                <w:rStyle w:val="16"/>
                <w:bCs w:val="0"/>
              </w:rPr>
            </w:pPr>
            <w:r>
              <w:rPr>
                <w:rStyle w:val="16"/>
              </w:rPr>
              <w:t>1</w:t>
            </w:r>
          </w:p>
        </w:tc>
        <w:tc>
          <w:tcPr>
            <w:tcW w:w="1676" w:type="dxa"/>
            <w:tcBorders>
              <w:top w:val="single" w:color="000000" w:sz="4" w:space="0"/>
              <w:left w:val="single" w:color="000000" w:sz="4" w:space="0"/>
              <w:bottom w:val="single" w:color="000000" w:sz="4" w:space="0"/>
              <w:right w:val="single" w:color="000000" w:sz="4" w:space="0"/>
            </w:tcBorders>
            <w:vAlign w:val="center"/>
          </w:tcPr>
          <w:p w14:paraId="75049A87">
            <w:pPr>
              <w:jc w:val="center"/>
              <w:rPr>
                <w:rStyle w:val="16"/>
                <w:bCs w:val="0"/>
              </w:rPr>
            </w:pPr>
            <w:r>
              <w:rPr>
                <w:rStyle w:val="16"/>
              </w:rPr>
              <w:t>工程总报价</w:t>
            </w:r>
          </w:p>
        </w:tc>
        <w:tc>
          <w:tcPr>
            <w:tcW w:w="699" w:type="dxa"/>
            <w:tcBorders>
              <w:top w:val="single" w:color="000000" w:sz="4" w:space="0"/>
              <w:left w:val="single" w:color="000000" w:sz="4" w:space="0"/>
              <w:bottom w:val="single" w:color="000000" w:sz="4" w:space="0"/>
              <w:right w:val="single" w:color="000000" w:sz="4" w:space="0"/>
            </w:tcBorders>
            <w:vAlign w:val="center"/>
          </w:tcPr>
          <w:p w14:paraId="4CA920BB">
            <w:pPr>
              <w:jc w:val="center"/>
              <w:rPr>
                <w:rStyle w:val="16"/>
                <w:bCs w:val="0"/>
              </w:rPr>
            </w:pPr>
            <w:r>
              <w:rPr>
                <w:rStyle w:val="16"/>
              </w:rPr>
              <w:t>100分</w:t>
            </w:r>
          </w:p>
        </w:tc>
        <w:tc>
          <w:tcPr>
            <w:tcW w:w="6764" w:type="dxa"/>
            <w:tcBorders>
              <w:top w:val="single" w:color="000000" w:sz="4" w:space="0"/>
              <w:left w:val="single" w:color="000000" w:sz="4" w:space="0"/>
              <w:bottom w:val="single" w:color="000000" w:sz="4" w:space="0"/>
              <w:right w:val="single" w:color="000000" w:sz="4" w:space="0"/>
            </w:tcBorders>
            <w:vAlign w:val="center"/>
          </w:tcPr>
          <w:p w14:paraId="0F599129">
            <w:pPr>
              <w:spacing w:line="360" w:lineRule="auto"/>
              <w:ind w:firstLine="420" w:firstLineChars="200"/>
              <w:jc w:val="left"/>
              <w:rPr>
                <w:bCs/>
                <w:szCs w:val="21"/>
                <w:lang w:bidi="ar"/>
              </w:rPr>
            </w:pPr>
            <w:r>
              <w:rPr>
                <w:bCs/>
                <w:szCs w:val="21"/>
                <w:lang w:bidi="ar"/>
              </w:rPr>
              <w:t>入围商务标的进行商务评审。</w:t>
            </w:r>
          </w:p>
          <w:p w14:paraId="7A228298">
            <w:pPr>
              <w:spacing w:line="360" w:lineRule="auto"/>
              <w:ind w:firstLine="422" w:firstLineChars="200"/>
              <w:jc w:val="left"/>
              <w:rPr>
                <w:b/>
                <w:szCs w:val="21"/>
                <w:lang w:bidi="ar"/>
              </w:rPr>
            </w:pPr>
            <w:r>
              <w:rPr>
                <w:b/>
                <w:szCs w:val="21"/>
                <w:lang w:bidi="ar"/>
              </w:rPr>
              <w:t>商务标得分=当前轮次最低价/供方投标价×商务标总分</w:t>
            </w:r>
          </w:p>
          <w:p w14:paraId="18F903F9">
            <w:pPr>
              <w:pStyle w:val="9"/>
              <w:ind w:left="420" w:firstLine="420"/>
              <w:rPr>
                <w:lang w:bidi="ar"/>
              </w:rPr>
            </w:pPr>
          </w:p>
          <w:p w14:paraId="241A1996">
            <w:pPr>
              <w:spacing w:line="360" w:lineRule="auto"/>
              <w:ind w:firstLine="422" w:firstLineChars="200"/>
              <w:jc w:val="left"/>
              <w:rPr>
                <w:b/>
                <w:szCs w:val="21"/>
                <w:lang w:bidi="ar"/>
              </w:rPr>
            </w:pPr>
            <w:r>
              <w:rPr>
                <w:b/>
                <w:szCs w:val="21"/>
                <w:lang w:bidi="ar"/>
              </w:rPr>
              <w:t>特别提醒：</w:t>
            </w:r>
          </w:p>
          <w:p w14:paraId="185456D4">
            <w:pPr>
              <w:spacing w:line="360" w:lineRule="auto"/>
              <w:ind w:firstLine="422" w:firstLineChars="200"/>
              <w:jc w:val="left"/>
              <w:rPr>
                <w:b/>
                <w:szCs w:val="21"/>
              </w:rPr>
            </w:pPr>
            <w:r>
              <w:rPr>
                <w:b/>
                <w:szCs w:val="21"/>
              </w:rPr>
              <w:t>不允许采用不平衡报价。</w:t>
            </w:r>
          </w:p>
          <w:p w14:paraId="7693B37E">
            <w:pPr>
              <w:spacing w:line="360" w:lineRule="auto"/>
              <w:ind w:firstLine="422" w:firstLineChars="200"/>
              <w:jc w:val="left"/>
              <w:rPr>
                <w:b/>
                <w:kern w:val="0"/>
                <w:szCs w:val="21"/>
                <w:lang w:bidi="ar"/>
              </w:rPr>
            </w:pPr>
            <w:r>
              <w:rPr>
                <w:b/>
                <w:kern w:val="0"/>
                <w:szCs w:val="21"/>
                <w:lang w:bidi="ar"/>
              </w:rPr>
              <w:t>开标清标后按照招标人清标发现的问题进行纠偏调整，形成修正版工程量清单并同步修正开标报价（但不得高于开标唱标价），推荐拟中标价格以此修正版清单进行同比例下浮，下浮系数=商务标最后一轮澄清总报价/开标清标修正后的总报价。单独澄清的清单项除外。</w:t>
            </w:r>
          </w:p>
          <w:p w14:paraId="1B59D69F">
            <w:pPr>
              <w:spacing w:line="360" w:lineRule="auto"/>
              <w:ind w:firstLine="422" w:firstLineChars="200"/>
              <w:jc w:val="left"/>
              <w:rPr>
                <w:b/>
                <w:kern w:val="0"/>
                <w:szCs w:val="21"/>
                <w:lang w:bidi="ar"/>
              </w:rPr>
            </w:pPr>
            <w:r>
              <w:rPr>
                <w:b/>
                <w:kern w:val="0"/>
                <w:szCs w:val="21"/>
                <w:lang w:bidi="ar"/>
              </w:rPr>
              <w:t>投标人开标清标修正后的已标价工程量清单随开标后第一轮报价上传到e采通附件中，并与开标后第一轮报价金额一致，后续报价只上传每轮报价总金额。</w:t>
            </w:r>
          </w:p>
          <w:p w14:paraId="608B5053">
            <w:pPr>
              <w:spacing w:line="360" w:lineRule="auto"/>
              <w:ind w:firstLine="422" w:firstLineChars="200"/>
              <w:jc w:val="left"/>
            </w:pPr>
            <w:r>
              <w:rPr>
                <w:b/>
                <w:kern w:val="0"/>
                <w:szCs w:val="21"/>
                <w:lang w:bidi="ar"/>
              </w:rPr>
              <w:t>招标人对下浮后的工程量清单价格进一步价格审核，如发现不平衡报价，招标人有权对其高报价部分予以调低，同时降低拟中标总价。</w:t>
            </w:r>
          </w:p>
        </w:tc>
      </w:tr>
    </w:tbl>
    <w:p w14:paraId="0F842A97">
      <w:pPr>
        <w:rPr>
          <w:lang w:bidi="en-US"/>
        </w:rPr>
      </w:pPr>
    </w:p>
    <w:bookmarkEnd w:id="0"/>
    <w:bookmarkEnd w:id="1"/>
    <w:p w14:paraId="615CDE74">
      <w:pPr>
        <w:rPr>
          <w:rFonts w:hint="eastAsia" w:ascii="宋体" w:hAnsi="宋体" w:eastAsia="宋体" w:cs="宋体"/>
          <w:b/>
          <w:bCs/>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4CD8C4"/>
    <w:multiLevelType w:val="singleLevel"/>
    <w:tmpl w:val="434CD8C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A2A48"/>
    <w:rsid w:val="163C0FAC"/>
    <w:rsid w:val="26EA35BC"/>
    <w:rsid w:val="433B01F8"/>
    <w:rsid w:val="5B7834AC"/>
    <w:rsid w:val="6C76622C"/>
    <w:rsid w:val="77773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lang w:val="zh-CN" w:eastAsia="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1"/>
    </w:rPr>
  </w:style>
  <w:style w:type="paragraph" w:styleId="4">
    <w:name w:val="annotation text"/>
    <w:basedOn w:val="1"/>
    <w:qFormat/>
    <w:uiPriority w:val="0"/>
    <w:pPr>
      <w:jc w:val="left"/>
    </w:pPr>
  </w:style>
  <w:style w:type="paragraph" w:styleId="5">
    <w:name w:val="Body Text Indent"/>
    <w:basedOn w:val="1"/>
    <w:next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toc 2"/>
    <w:basedOn w:val="1"/>
    <w:next w:val="1"/>
    <w:qFormat/>
    <w:uiPriority w:val="39"/>
    <w:pPr>
      <w:tabs>
        <w:tab w:val="right" w:leader="dot" w:pos="9629"/>
      </w:tabs>
      <w:ind w:left="480" w:leftChars="200"/>
    </w:pPr>
    <w:rPr>
      <w:b/>
    </w:rPr>
  </w:style>
  <w:style w:type="paragraph" w:styleId="8">
    <w:name w:val="annotation subject"/>
    <w:basedOn w:val="4"/>
    <w:next w:val="4"/>
    <w:link w:val="16"/>
    <w:unhideWhenUsed/>
    <w:qFormat/>
    <w:uiPriority w:val="0"/>
    <w:rPr>
      <w:rFonts w:ascii="Times New Roman" w:hAnsi="Times New Roman" w:cs="Times New Roman"/>
      <w:b/>
      <w:bCs/>
    </w:rPr>
  </w:style>
  <w:style w:type="paragraph" w:styleId="9">
    <w:name w:val="Body Text First Indent 2"/>
    <w:basedOn w:val="5"/>
    <w:next w:val="7"/>
    <w:qFormat/>
    <w:uiPriority w:val="0"/>
    <w:pPr>
      <w:spacing w:line="276" w:lineRule="auto"/>
      <w:ind w:left="200" w:firstLine="200" w:firstLineChars="200"/>
      <w:jc w:val="left"/>
    </w:pPr>
  </w:style>
  <w:style w:type="paragraph" w:customStyle="1" w:styleId="12">
    <w:name w:val="Fließtext"/>
    <w:basedOn w:val="1"/>
    <w:qFormat/>
    <w:uiPriority w:val="99"/>
    <w:pPr>
      <w:widowControl/>
      <w:jc w:val="center"/>
    </w:pPr>
    <w:rPr>
      <w:rFonts w:ascii="Arial" w:hAnsi="Arial"/>
      <w:kern w:val="0"/>
      <w:szCs w:val="20"/>
      <w:lang w:val="de-DE" w:eastAsia="de-DE"/>
    </w:rPr>
  </w:style>
  <w:style w:type="paragraph" w:customStyle="1" w:styleId="13">
    <w:name w:val="UserStyle_95"/>
    <w:basedOn w:val="14"/>
    <w:autoRedefine/>
    <w:qFormat/>
    <w:uiPriority w:val="0"/>
  </w:style>
  <w:style w:type="paragraph" w:customStyle="1" w:styleId="14">
    <w:name w:val="Heading4"/>
    <w:basedOn w:val="1"/>
    <w:next w:val="1"/>
    <w:autoRedefine/>
    <w:qFormat/>
    <w:uiPriority w:val="0"/>
    <w:pPr>
      <w:keepNext/>
      <w:spacing w:before="240" w:after="60"/>
    </w:pPr>
    <w:rPr>
      <w:b/>
      <w:bCs/>
      <w:sz w:val="28"/>
      <w:szCs w:val="28"/>
    </w:rPr>
  </w:style>
  <w:style w:type="character" w:customStyle="1" w:styleId="15">
    <w:name w:val="NormalCharacter"/>
    <w:basedOn w:val="11"/>
    <w:autoRedefine/>
    <w:qFormat/>
    <w:uiPriority w:val="0"/>
  </w:style>
  <w:style w:type="character" w:customStyle="1" w:styleId="16">
    <w:name w:val="批注主题 字符"/>
    <w:basedOn w:val="17"/>
    <w:link w:val="8"/>
    <w:qFormat/>
    <w:uiPriority w:val="0"/>
    <w:rPr>
      <w:rFonts w:ascii="Times New Roman" w:hAnsi="Times New Roman" w:cs="Times New Roman"/>
      <w:b/>
      <w:bCs/>
    </w:rPr>
  </w:style>
  <w:style w:type="character" w:customStyle="1" w:styleId="17">
    <w:name w:val="批注文字 字符"/>
    <w:qFormat/>
    <w:uiPriority w:val="0"/>
    <w:rPr>
      <w:rFonts w:eastAsia="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1050</Words>
  <Characters>1107</Characters>
  <Lines>0</Lines>
  <Paragraphs>0</Paragraphs>
  <TotalTime>0</TotalTime>
  <ScaleCrop>false</ScaleCrop>
  <LinksUpToDate>false</LinksUpToDate>
  <CharactersWithSpaces>1107</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2026-06-08T10:38:00Z</dcterms:created>
  <dc:creator>Lenovo</dc:creator>
  <cp:lastModifiedBy>黄嘉豪</cp:lastModifiedBy>
  <dcterms:modified xsi:type="dcterms:W3CDTF">2026-08-28T05:50:42Z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eyJoZGlkIjoiZTZkNDE3ZGE4Mjk4YmFlZDAwMWNlODJlYzdjMzk3YmQiLCJ1c2VySWQiOiIxNzY1NTI5ODQwIn0=</vt:lpwstr>
  </property>
  <property fmtid="{D5CDD505-2E9C-101B-9397-08002B2CF9AE}" pid="4" name="ICV">
    <vt:lpwstr>B9BFD79AE45E4B639123FCFFDE83D0A0_12</vt:lpwstr>
  </property>
</Properties>
</file>