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44AB8">
      <w:pPr>
        <w:pStyle w:val="3"/>
        <w:widowControl/>
        <w:spacing w:beforeAutospacing="0" w:afterAutospacing="0" w:line="300" w:lineRule="auto"/>
        <w:ind w:firstLine="803" w:firstLineChars="200"/>
        <w:jc w:val="center"/>
        <w:rPr>
          <w:rFonts w:hint="default"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z w:val="40"/>
          <w:szCs w:val="40"/>
        </w:rPr>
        <w:t>固定资产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设备</w:t>
      </w:r>
      <w:r>
        <w:rPr>
          <w:rFonts w:ascii="方正小标宋简体" w:hAnsi="方正小标宋简体" w:eastAsia="方正小标宋简体" w:cs="方正小标宋简体"/>
          <w:sz w:val="40"/>
          <w:szCs w:val="40"/>
        </w:rPr>
        <w:t>项目偏差索赔细则</w:t>
      </w:r>
    </w:p>
    <w:p w14:paraId="0C79E00A">
      <w:pPr>
        <w:spacing w:line="300" w:lineRule="auto"/>
        <w:ind w:firstLine="560" w:firstLineChars="200"/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为规范固定资产项目实施过程中，因供方原因导致设备各项重要技术指标、项目进度出现偏差，造成项目延期交付或无法通过验收等情况，经协商一致，就索赔扣款事宜订立本细则，双方共同遵守。</w:t>
      </w:r>
    </w:p>
    <w:p w14:paraId="536D42AB">
      <w:pPr>
        <w:spacing w:line="30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一、固定资产投资项目偏差及索赔细则</w:t>
      </w:r>
    </w:p>
    <w:p w14:paraId="2B66B7AA">
      <w:pPr>
        <w:spacing w:line="30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（一）非标设备、产线等生产类固定资产投资项目</w:t>
      </w:r>
    </w:p>
    <w:p w14:paraId="04CE4CC4">
      <w:pPr>
        <w:pStyle w:val="3"/>
        <w:widowControl/>
        <w:spacing w:beforeAutospacing="0" w:afterAutospacing="0" w:line="300" w:lineRule="auto"/>
        <w:ind w:firstLine="562" w:firstLineChars="20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1、产能节拍偏差</w:t>
      </w:r>
    </w:p>
    <w:p w14:paraId="18C38AD2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1.1基准值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3300EF01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产能节拍是指特定时间段内，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生产线或生产工序必须完成一个单位产品所需要的时间间隔，以合同/技术协议内的节拍时间（秒/件）为准。</w:t>
      </w:r>
    </w:p>
    <w:p w14:paraId="23205AA2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1.2节拍偏差率核算公式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15718DAD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节拍偏差率=（实际节拍-约定节拍）÷约定节拍×100%</w:t>
      </w:r>
    </w:p>
    <w:p w14:paraId="1BB2548E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1.3扣款规则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299EA1A8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节拍偏差率≤3%：视为允许偏差，不扣款；</w:t>
      </w:r>
    </w:p>
    <w:p w14:paraId="4C7A6507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节拍偏差率3%＜偏差率≤10%：偏差每超出1%，扣减设备合同价款的1%；</w:t>
      </w:r>
    </w:p>
    <w:p w14:paraId="596EEBEA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节拍偏差率10%＜偏差率≤30%：属重大偏差，偏差每超出1%，扣减设备合同价款的1%；需方有权全部或部分不予验收付款，需方视情况选择解除合同或继续执行合同；</w:t>
      </w:r>
    </w:p>
    <w:p w14:paraId="75C1761A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节拍偏差率＞30%：属根本违约，需方有权不予验收、不予付款，并有权单方解除合同。</w:t>
      </w:r>
    </w:p>
    <w:p w14:paraId="582F3836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当项目涉及多个产品需进行节拍验收时，参照双方在合同内约定的各个产品节拍偏离扣款基数；如无明确约定，按扣款比例=(节拍超差产品数量/需验收节拍产品数量)*100%进行折算。</w:t>
      </w:r>
    </w:p>
    <w:p w14:paraId="5365CE9C">
      <w:pPr>
        <w:pStyle w:val="3"/>
        <w:widowControl/>
        <w:spacing w:beforeAutospacing="0" w:afterAutospacing="0" w:line="300" w:lineRule="auto"/>
        <w:ind w:firstLine="562" w:firstLineChars="20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2、自动化率偏差</w:t>
      </w:r>
    </w:p>
    <w:p w14:paraId="19C07E7F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2.1基准值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2C3E8B7E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自动化率是指设备在完成其预定功能时不需要人工干预的程度，以合同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/技术协议</w:t>
      </w:r>
      <w:r>
        <w:rPr>
          <w:rFonts w:hint="eastAsia" w:ascii="仿宋_GB2312" w:hAnsi="仿宋_GB2312" w:eastAsia="仿宋_GB2312" w:cs="仿宋_GB2312"/>
          <w:sz w:val="28"/>
          <w:szCs w:val="28"/>
        </w:rPr>
        <w:t>约定的</w:t>
      </w:r>
      <w:r>
        <w:rPr>
          <w:rStyle w:val="9"/>
          <w:rFonts w:hint="eastAsia" w:ascii="仿宋_GB2312" w:hAnsi="仿宋_GB2312" w:eastAsia="仿宋_GB2312" w:cs="仿宋_GB2312"/>
          <w:b w:val="0"/>
          <w:sz w:val="28"/>
          <w:szCs w:val="28"/>
        </w:rPr>
        <w:t>自动化率</w:t>
      </w:r>
      <w:r>
        <w:rPr>
          <w:rFonts w:hint="eastAsia" w:ascii="仿宋_GB2312" w:hAnsi="仿宋_GB2312" w:eastAsia="仿宋_GB2312" w:cs="仿宋_GB2312"/>
          <w:sz w:val="28"/>
          <w:szCs w:val="28"/>
        </w:rPr>
        <w:t>为准，按Q/ZZ 30096《产线自动化率核算规范》内规定的计算方法进行核算。</w:t>
      </w:r>
    </w:p>
    <w:p w14:paraId="7EA700A9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2.2自动化率偏差核算公式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3D178090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自动化率偏差=约定自动化率-实际达成自动化率</w:t>
      </w:r>
    </w:p>
    <w:p w14:paraId="37B7E706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2.3扣款规则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C281115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自动化率偏差率＜【5】%：视为允许偏差，不扣款；</w:t>
      </w:r>
    </w:p>
    <w:p w14:paraId="303DB5A6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【5】%≤自动化率偏差率＜【15】%：偏差每高1%，扣减对应合同价款的0.5%；</w:t>
      </w:r>
    </w:p>
    <w:p w14:paraId="0D1090AD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自动化率偏差率≥【15】%：视为重大偏差，需方有权选择以下任一种扣款方式：①按照额外增加的人工及设备使用年限核算扣款，人工成本按需方实际支出执行扣款，扣款不高于合同总价款的30%；②需方有权全部或部分不予验收付款，并单方解除合同。</w:t>
      </w:r>
    </w:p>
    <w:p w14:paraId="41B9B724">
      <w:pPr>
        <w:widowControl/>
        <w:spacing w:line="300" w:lineRule="auto"/>
        <w:ind w:firstLine="562" w:firstLineChars="200"/>
        <w:jc w:val="left"/>
        <w:rPr>
          <w:rStyle w:val="9"/>
          <w:rFonts w:ascii="仿宋_GB2312" w:hAnsi="仿宋_GB2312" w:eastAsia="仿宋_GB2312" w:cs="仿宋_GB2312"/>
          <w:bCs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3、功能及性能偏差</w:t>
      </w:r>
    </w:p>
    <w:p w14:paraId="021FC41D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3.1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核心功能/主要参数不达标（根本违约）</w:t>
      </w:r>
    </w:p>
    <w:p w14:paraId="1F396B9C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设备主要功能、核心性能指标、关键技术参数未达到合同及附件《技术协议》约定标准或国家、行业标准，导致项目无法实现核心产能、工艺要求不满足、整体验收不合格的，视为供方根本违约。</w:t>
      </w:r>
    </w:p>
    <w:p w14:paraId="0D2A9778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需方有权单方解除合同、无条件全额退货退款，供方应在需方通知后7个工作日内全额退还需方已支付的全部款项，并承担设备往返运输、拆装、检测、仓储等全部相关费用；同时供方应按合同总金额的20%向需方支付违约金，违约金不足以弥补需方工期延误、停产损失、第三方索赔等全部实际损失的，供方应就差额部分另行足额赔偿。</w:t>
      </w:r>
    </w:p>
    <w:p w14:paraId="2DCB8B4C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对于创新性强、技术难度大的挑战性项目，如存在部分关键指标不达标但经需方认定不影响产品、产线使用的，需方可选择让步接收，供方提供不高于合同总金额的20%的折扣作为对需方让步接收的补偿。</w:t>
      </w:r>
    </w:p>
    <w:p w14:paraId="56DFA19F">
      <w:pPr>
        <w:widowControl/>
        <w:spacing w:line="300" w:lineRule="auto"/>
        <w:ind w:firstLine="562" w:firstLineChars="200"/>
        <w:jc w:val="left"/>
        <w:rPr>
          <w:rStyle w:val="9"/>
          <w:rFonts w:ascii="仿宋_GB2312" w:hAnsi="仿宋_GB2312" w:eastAsia="仿宋_GB2312" w:cs="仿宋_GB2312"/>
          <w:bCs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3.2辅助指标/配置不符（非根本违约）</w:t>
      </w:r>
    </w:p>
    <w:p w14:paraId="3B782C91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设备主要功能及核心参数均达标、可实现项目核心用途，但辅助性能指标、选配模块、附件配置、软件功能、外观尺寸等与合同约定不符，仅影响辅助性能或使用体验、不影响项目整体运行的，供方应无偿补齐缺失配件、将不符项整改至约定标准，由此产生的全部费用由供方自行承担；若供方无法整改到位，双方应在30个工作日内按实际交付状态重新核定合同价款，签订书面补充协议并按调整后价格执行结算。需方有权全部或部分不予验收及付款。</w:t>
      </w:r>
    </w:p>
    <w:p w14:paraId="7AA482DD">
      <w:pPr>
        <w:pStyle w:val="2"/>
        <w:widowControl/>
        <w:spacing w:beforeAutospacing="0" w:afterAutospacing="0" w:line="300" w:lineRule="auto"/>
        <w:ind w:firstLine="562" w:firstLineChars="20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4、交付期偏差</w:t>
      </w:r>
    </w:p>
    <w:p w14:paraId="4F33C33B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4.1交付期偏差：</w:t>
      </w:r>
      <w:r>
        <w:rPr>
          <w:rFonts w:hint="eastAsia" w:ascii="仿宋_GB2312" w:hAnsi="仿宋_GB2312" w:eastAsia="仿宋_GB2312" w:cs="仿宋_GB2312"/>
          <w:sz w:val="28"/>
          <w:szCs w:val="28"/>
        </w:rPr>
        <w:t>指设备到货、安装调试等过程周期超出合同约定的时间。</w:t>
      </w:r>
    </w:p>
    <w:p w14:paraId="405A0052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4.2扣款规则：</w:t>
      </w:r>
      <w:r>
        <w:rPr>
          <w:rFonts w:hint="eastAsia" w:ascii="仿宋_GB2312" w:hAnsi="仿宋_GB2312" w:eastAsia="仿宋_GB2312" w:cs="仿宋_GB2312"/>
          <w:sz w:val="28"/>
          <w:szCs w:val="28"/>
        </w:rPr>
        <w:t>到货或安装调试每迟1个工作日，扣减设备合同价款的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%作为违约金，如违约金超过合同总价款的20%或因供方原因设备未能通过最终验收，需方有权就供方违约而解除合同，且供方仍须支付上述违约金，返还需方已支付的设备款（如有），并赔偿由此给需方造成的一切损失。</w:t>
      </w:r>
    </w:p>
    <w:p w14:paraId="6D5AEFBA">
      <w:pPr>
        <w:spacing w:line="30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（二）研发、检测类固定资产投资项目</w:t>
      </w:r>
    </w:p>
    <w:p w14:paraId="5B679D88">
      <w:pPr>
        <w:widowControl/>
        <w:spacing w:line="300" w:lineRule="auto"/>
        <w:ind w:left="-363" w:firstLine="562" w:firstLineChars="200"/>
        <w:jc w:val="left"/>
        <w:rPr>
          <w:rStyle w:val="9"/>
          <w:rFonts w:ascii="仿宋_GB2312" w:hAnsi="仿宋_GB2312" w:eastAsia="仿宋_GB2312" w:cs="仿宋_GB2312"/>
          <w:bCs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1、功能及性能偏差</w:t>
      </w:r>
    </w:p>
    <w:p w14:paraId="08AA8757">
      <w:pPr>
        <w:widowControl/>
        <w:spacing w:line="300" w:lineRule="auto"/>
        <w:ind w:left="-363"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1.1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核心功能/主要参数不达标（根本违约）</w:t>
      </w:r>
    </w:p>
    <w:p w14:paraId="19E655F5">
      <w:pPr>
        <w:widowControl/>
        <w:spacing w:line="300" w:lineRule="auto"/>
        <w:ind w:left="-363"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设备主要功能、核心性能指标、关键技术参数未达到合同及附件《技术协议》约定标准或国家、行业标准，导致项目无法实现核心功能、工艺要求不满足、整体验收不合格的，视为供方根本违约。</w:t>
      </w:r>
    </w:p>
    <w:p w14:paraId="4441DAC5">
      <w:pPr>
        <w:widowControl/>
        <w:spacing w:line="300" w:lineRule="auto"/>
        <w:ind w:left="-363"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需方有权单方解除合同、无条件全额退货退款，供方应在需方通知后7个工作日内全额退还需方已支付的全部款项，并承担设备往返运输、拆装、检测、仓储等全部相关费用；同时供方应按合同总金额的20%向需方支付违约金，违约金不足以弥补需方工期延误、停产损失、第三方索赔等全部实际损失的，供方应就差额部分另行足额赔偿。</w:t>
      </w:r>
    </w:p>
    <w:p w14:paraId="2F5FC0D6">
      <w:pPr>
        <w:widowControl/>
        <w:spacing w:line="300" w:lineRule="auto"/>
        <w:ind w:left="-363"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对于创新性强、技术难度大的挑战性项目，如存在部分次要指标不达标但经需方认定不影响使用的，需方可选择让步接收，供方提供不高于合同总金额的20%的折扣作为对需方让步接收的补偿。</w:t>
      </w:r>
    </w:p>
    <w:p w14:paraId="7CC918AC">
      <w:pPr>
        <w:widowControl/>
        <w:spacing w:line="300" w:lineRule="auto"/>
        <w:ind w:left="-363" w:firstLine="562" w:firstLineChars="200"/>
        <w:jc w:val="left"/>
        <w:rPr>
          <w:rStyle w:val="9"/>
          <w:rFonts w:ascii="仿宋_GB2312" w:hAnsi="仿宋_GB2312" w:eastAsia="仿宋_GB2312" w:cs="仿宋_GB2312"/>
          <w:bCs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1.2辅助指标/配置不符（非根本违约）</w:t>
      </w:r>
    </w:p>
    <w:p w14:paraId="72B1EAEE">
      <w:pPr>
        <w:widowControl/>
        <w:spacing w:line="300" w:lineRule="auto"/>
        <w:ind w:left="-363"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设备主要功能及核心参数均达标、可实现项目核心用途，但辅助性能指标、选配模块、附件配置、软件功能、外观尺寸等与合同约定不符，仅影响辅助性能或使用体验、不影响项目整体运行的，供方应无偿补齐缺失配件、将不符项整改至约定标准，由此产生的全部费用由供方自行承担；若供方无法整改到位，双方应在30个工作日内按实际交付状态重新核定合同价款，签订书面补充协议并按调整后价格执行结算。需方有权全部或部分不予验收及付款。</w:t>
      </w:r>
    </w:p>
    <w:p w14:paraId="14A391A7">
      <w:pPr>
        <w:widowControl/>
        <w:spacing w:line="300" w:lineRule="auto"/>
        <w:ind w:left="-363"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2、交付期偏差</w:t>
      </w:r>
    </w:p>
    <w:p w14:paraId="106CE046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2.1交付期偏差：</w:t>
      </w:r>
      <w:r>
        <w:rPr>
          <w:rFonts w:hint="eastAsia" w:ascii="仿宋_GB2312" w:hAnsi="仿宋_GB2312" w:eastAsia="仿宋_GB2312" w:cs="仿宋_GB2312"/>
          <w:sz w:val="28"/>
          <w:szCs w:val="28"/>
        </w:rPr>
        <w:t>指设备到货、安装调试等过程，因供方自身原因造成周期超出合同约定的时间。</w:t>
      </w:r>
    </w:p>
    <w:p w14:paraId="043CD972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2.2扣款规则：</w:t>
      </w:r>
      <w:r>
        <w:rPr>
          <w:rFonts w:hint="eastAsia" w:ascii="仿宋_GB2312" w:hAnsi="仿宋_GB2312" w:eastAsia="仿宋_GB2312" w:cs="仿宋_GB2312"/>
          <w:sz w:val="28"/>
          <w:szCs w:val="28"/>
        </w:rPr>
        <w:t>交付期每迟1个工作日，扣减设备合同价款的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0.</w:t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sz w:val="28"/>
          <w:szCs w:val="28"/>
        </w:rPr>
        <w:t>，如扣款额超过合同总价款的20%，需方有权就供方违约而解除合同，且供方仍须支付上述违约金，并赔偿由此给需方造成的一切损失。</w:t>
      </w:r>
    </w:p>
    <w:p w14:paraId="6385ACE9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2.3</w:t>
      </w:r>
      <w:r>
        <w:rPr>
          <w:rFonts w:hint="eastAsia" w:ascii="仿宋_GB2312" w:hAnsi="仿宋_GB2312" w:eastAsia="仿宋_GB2312" w:cs="仿宋_GB2312"/>
          <w:sz w:val="28"/>
          <w:szCs w:val="28"/>
        </w:rPr>
        <w:t>针对研发、检测类试验设备特殊供方（技术垄断、进口）的超期情况，第一次供方需提前两个月提出书面延期申请并附最新交货期，经需方研判后出具考核结论；第二次超期时，需方按上述扣款规则进行考核。</w:t>
      </w:r>
    </w:p>
    <w:p w14:paraId="70A6DB4F">
      <w:pPr>
        <w:spacing w:line="30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（三）信息化类固定资产投资项目</w:t>
      </w:r>
    </w:p>
    <w:p w14:paraId="36DD1A95">
      <w:pPr>
        <w:pStyle w:val="3"/>
        <w:widowControl/>
        <w:spacing w:beforeAutospacing="0" w:afterAutospacing="0" w:line="300" w:lineRule="auto"/>
        <w:ind w:firstLine="562" w:firstLineChars="20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1、技术偏差</w:t>
      </w:r>
    </w:p>
    <w:p w14:paraId="48E5EA1A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1.1技术偏差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75444E0E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指设备技术参数、硬件配置、软件功能、兼容性等与合同约定不一致的情形。</w:t>
      </w:r>
    </w:p>
    <w:p w14:paraId="6EE423AC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1.2扣款规则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38AE9B44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信息化设备不允许出现技术负偏离，一经发现设备出现技术偏差，无条件全额退货退款，全额扣除合同履约保证金。</w:t>
      </w:r>
    </w:p>
    <w:p w14:paraId="6459B316">
      <w:pPr>
        <w:pStyle w:val="3"/>
        <w:widowControl/>
        <w:spacing w:beforeAutospacing="0" w:afterAutospacing="0" w:line="300" w:lineRule="auto"/>
        <w:ind w:firstLine="562" w:firstLineChars="20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2、进度偏差</w:t>
      </w:r>
    </w:p>
    <w:p w14:paraId="673470B6">
      <w:pPr>
        <w:spacing w:line="30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进度偏差分为拒绝供货、履约延期两种类型。</w:t>
      </w:r>
    </w:p>
    <w:p w14:paraId="646946C5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2.1拒绝供货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324853DF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指供方在接到中标通知后未按约定时间完成合同签订并供货的情形。</w:t>
      </w:r>
    </w:p>
    <w:p w14:paraId="47EC31BA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2.1.1扣款规则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732BEDAA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一级违约（首次轻微）：首次发生</w:t>
      </w:r>
      <w:r>
        <w:rPr>
          <w:rStyle w:val="9"/>
          <w:rFonts w:hint="eastAsia" w:ascii="仿宋_GB2312" w:hAnsi="仿宋_GB2312" w:eastAsia="仿宋_GB2312" w:cs="仿宋_GB2312"/>
          <w:b w:val="0"/>
          <w:sz w:val="28"/>
          <w:szCs w:val="28"/>
        </w:rPr>
        <w:t>拒绝供货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行为，扣除</w:t>
      </w:r>
      <w:r>
        <w:rPr>
          <w:rFonts w:hint="eastAsia" w:ascii="仿宋_GB2312" w:hAnsi="仿宋_GB2312" w:eastAsia="仿宋_GB2312" w:cs="仿宋_GB2312"/>
          <w:sz w:val="28"/>
          <w:szCs w:val="28"/>
        </w:rPr>
        <w:t>履约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保证金50%作为违约金，发出违约整改通知（邮件），要求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供方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书面提交履约保障承诺。</w:t>
      </w:r>
    </w:p>
    <w:p w14:paraId="41099463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二级违约（一般）：第二次发生</w:t>
      </w:r>
      <w:r>
        <w:rPr>
          <w:rStyle w:val="9"/>
          <w:rFonts w:hint="eastAsia" w:ascii="仿宋_GB2312" w:hAnsi="仿宋_GB2312" w:eastAsia="仿宋_GB2312" w:cs="仿宋_GB2312"/>
          <w:b w:val="0"/>
          <w:sz w:val="28"/>
          <w:szCs w:val="28"/>
        </w:rPr>
        <w:t>拒绝供货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行为，需方有权选择以下任一种或几种索赔方式：①扣除全额履约保证金；②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需方有权经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评估后纳入集团供应商重点监管名单，限制后续1年设备投标资格。</w:t>
      </w:r>
    </w:p>
    <w:p w14:paraId="748D8C1A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三级违约（严重）：第三次发生</w:t>
      </w:r>
      <w:r>
        <w:rPr>
          <w:rStyle w:val="9"/>
          <w:rFonts w:hint="eastAsia" w:ascii="仿宋_GB2312" w:hAnsi="仿宋_GB2312" w:eastAsia="仿宋_GB2312" w:cs="仿宋_GB2312"/>
          <w:b w:val="0"/>
          <w:sz w:val="28"/>
          <w:szCs w:val="28"/>
        </w:rPr>
        <w:t>拒绝供货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行为，扣除全额履约保证金，</w:t>
      </w:r>
      <w:r>
        <w:rPr>
          <w:rFonts w:hint="eastAsia" w:ascii="仿宋_GB2312" w:hAnsi="仿宋_GB2312" w:eastAsia="仿宋_GB2312" w:cs="仿宋_GB2312"/>
          <w:sz w:val="28"/>
          <w:szCs w:val="28"/>
        </w:rPr>
        <w:t>供方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赔偿需方因此遭受的全部直接/间接损失，需方有权单方解除合同，并保留通过法律途径追究违约责任的权利，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需方有权经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评估后纳入集团供应商黑名单3年，禁止供方参与集团所有信息化项目投标。</w:t>
      </w:r>
    </w:p>
    <w:p w14:paraId="2B1CA050">
      <w:pPr>
        <w:widowControl/>
        <w:spacing w:line="300" w:lineRule="auto"/>
        <w:ind w:firstLine="480" w:firstLineChars="200"/>
        <w:jc w:val="left"/>
        <w:rPr>
          <w:rFonts w:hint="eastAsia" w:ascii="仿宋_GB2312" w:hAnsi="仿宋_GB2312" w:eastAsia="仿宋_GB2312" w:cs="仿宋_GB2312"/>
          <w:kern w:val="0"/>
          <w:sz w:val="24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4"/>
          <w:lang w:bidi="ar"/>
        </w:rPr>
        <w:t>注：</w:t>
      </w:r>
      <w:r>
        <w:rPr>
          <w:rFonts w:hint="eastAsia" w:ascii="仿宋_GB2312" w:hAnsi="仿宋_GB2312" w:eastAsia="仿宋_GB2312" w:cs="仿宋_GB2312"/>
          <w:kern w:val="0"/>
          <w:sz w:val="24"/>
          <w:lang w:val="en-US" w:eastAsia="zh-CN" w:bidi="ar"/>
        </w:rPr>
        <w:t>1）</w:t>
      </w:r>
      <w:r>
        <w:rPr>
          <w:rFonts w:hint="eastAsia" w:ascii="仿宋_GB2312" w:hAnsi="仿宋_GB2312" w:eastAsia="仿宋_GB2312" w:cs="仿宋_GB2312"/>
          <w:kern w:val="0"/>
          <w:sz w:val="24"/>
          <w:lang w:bidi="ar"/>
        </w:rPr>
        <w:t>针对山东重工集采框架项目，参照山东重工管理要求执行相应处罚，同时上报山东重工。</w:t>
      </w:r>
      <w:r>
        <w:rPr>
          <w:rFonts w:hint="eastAsia" w:ascii="仿宋_GB2312" w:hAnsi="仿宋_GB2312" w:eastAsia="仿宋_GB2312" w:cs="仿宋_GB2312"/>
          <w:kern w:val="0"/>
          <w:sz w:val="24"/>
          <w:lang w:val="en-US" w:eastAsia="zh-CN" w:bidi="ar"/>
        </w:rPr>
        <w:t>2）若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bidi="ar"/>
        </w:rPr>
        <w:t>前期项目尾款未支付，优先从尾款扣除违约金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 w:bidi="ar"/>
        </w:rPr>
        <w:t>涉及三级违约，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bidi="ar"/>
        </w:rPr>
        <w:t>尾款全部冻结，暂不支付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eastAsia="zh-CN" w:bidi="ar"/>
        </w:rPr>
        <w:t>。</w:t>
      </w:r>
    </w:p>
    <w:p w14:paraId="280BAE7A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2.2履约延期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729A36DA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供方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未按照采购合同约定的到货、安装调试等时间节点如期履约，导致信息化项目进度滞后的情形。</w:t>
      </w:r>
    </w:p>
    <w:p w14:paraId="42CED45B">
      <w:pPr>
        <w:widowControl/>
        <w:spacing w:line="30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bCs/>
          <w:sz w:val="28"/>
          <w:szCs w:val="28"/>
        </w:rPr>
        <w:t>2.2.1扣款规则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42BD3568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一级偏差：逾期天数1-10工作日，每逾期1日，扣减合同总金额的0.1%作为违约金，逾期不足1日按1日计算。</w:t>
      </w:r>
    </w:p>
    <w:p w14:paraId="6A986F81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二级偏差：逾期天数11-20工作日，每逾期1日，扣减合同总金额的0.2%作为违约金，逾期不足1日按1日计算。</w:t>
      </w:r>
    </w:p>
    <w:p w14:paraId="5102AF28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级偏差：逾期天数20工作日以上，每逾期1日，扣减合同总金额的0.2%作为违约金，逾期不足1日按1日计算，如扣款额超过合同总价款的20%，需方有权就供方违约解除合同，且供方仍须支付上述违约金，并赔偿由此给需方造成的一切损失。</w:t>
      </w:r>
    </w:p>
    <w:p w14:paraId="206F0A46">
      <w:pPr>
        <w:widowControl/>
        <w:spacing w:line="300" w:lineRule="auto"/>
        <w:ind w:firstLine="480" w:firstLineChars="200"/>
        <w:jc w:val="left"/>
        <w:rPr>
          <w:rFonts w:ascii="仿宋_GB2312" w:hAnsi="仿宋_GB2312" w:eastAsia="仿宋_GB2312" w:cs="仿宋_GB2312"/>
          <w:kern w:val="0"/>
          <w:sz w:val="24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4"/>
          <w:lang w:bidi="ar"/>
        </w:rPr>
        <w:t>注：针对山东重工集采框架项目，参照山东重工管理要求执行相应处罚，同时上报山东重工。</w:t>
      </w:r>
    </w:p>
    <w:p w14:paraId="10997C91">
      <w:pPr>
        <w:pStyle w:val="2"/>
        <w:widowControl/>
        <w:spacing w:beforeAutospacing="0" w:afterAutospacing="0" w:line="300" w:lineRule="auto"/>
        <w:ind w:firstLine="562" w:firstLineChars="20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二、考核与执行流程</w:t>
      </w:r>
    </w:p>
    <w:p w14:paraId="544EA2E0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1、供方同意，在需方就索赔扣款及违约金通知供方后，需方有权直接从</w:t>
      </w:r>
      <w:r>
        <w:rPr>
          <w:rStyle w:val="9"/>
          <w:rFonts w:hint="eastAsia" w:ascii="仿宋_GB2312" w:hAnsi="仿宋_GB2312" w:eastAsia="仿宋_GB2312" w:cs="仿宋_GB2312"/>
          <w:b w:val="0"/>
          <w:sz w:val="28"/>
          <w:szCs w:val="28"/>
        </w:rPr>
        <w:t>项目尾款、履约保证金或质保金</w:t>
      </w:r>
      <w:r>
        <w:rPr>
          <w:rFonts w:hint="eastAsia" w:ascii="仿宋_GB2312" w:hAnsi="仿宋_GB2312" w:eastAsia="仿宋_GB2312" w:cs="仿宋_GB2312"/>
          <w:sz w:val="28"/>
          <w:szCs w:val="28"/>
        </w:rPr>
        <w:t>中优先抵扣相应款项。若抵扣后仍不足以覆盖索赔扣款及违约金金额，供方应就剩余部分另行向需方支付。</w:t>
      </w:r>
    </w:p>
    <w:p w14:paraId="71D86192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2、针对同一问题同时触发的多项索赔，不重复扣款，按照索赔金额较高的标准执行，但不同阶段重复发生的不在此限。所有索赔金额不超过合同总金额的30%。</w:t>
      </w:r>
    </w:p>
    <w:p w14:paraId="62CF2B5A">
      <w:pPr>
        <w:pStyle w:val="2"/>
        <w:widowControl/>
        <w:spacing w:beforeAutospacing="0" w:afterAutospacing="0" w:line="300" w:lineRule="auto"/>
        <w:ind w:firstLine="562" w:firstLineChars="20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三、附则</w:t>
      </w:r>
    </w:p>
    <w:p w14:paraId="5E3A9DB9">
      <w:pPr>
        <w:widowControl/>
        <w:spacing w:line="30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本细则作为主合同</w:t>
      </w:r>
      <w:r>
        <w:rPr>
          <w:rStyle w:val="9"/>
          <w:rFonts w:hint="eastAsia" w:ascii="仿宋_GB2312" w:hAnsi="仿宋_GB2312" w:eastAsia="仿宋_GB2312" w:cs="仿宋_GB2312"/>
          <w:b w:val="0"/>
          <w:sz w:val="28"/>
          <w:szCs w:val="28"/>
        </w:rPr>
        <w:t>有效组成部分</w:t>
      </w:r>
      <w:r>
        <w:rPr>
          <w:rFonts w:hint="eastAsia" w:ascii="仿宋_GB2312" w:hAnsi="仿宋_GB2312" w:eastAsia="仿宋_GB2312" w:cs="仿宋_GB2312"/>
          <w:sz w:val="28"/>
          <w:szCs w:val="28"/>
        </w:rPr>
        <w:t>，与合同、技术协议具有同等法律效力；如本细则内容与合同、技术协议约定有冲突的，以本细则为准。</w:t>
      </w:r>
    </w:p>
    <w:sectPr>
      <w:pgSz w:w="11906" w:h="16838"/>
      <w:pgMar w:top="1304" w:right="1417" w:bottom="130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FB8145D-F0FB-4B12-80FC-F7897374B40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2B7AFA4-9B98-486C-8D28-9C8ACE39062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3602FE64-C572-4FAE-806A-23FAADD1685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D75"/>
    <w:rsid w:val="001A2FE7"/>
    <w:rsid w:val="002E6413"/>
    <w:rsid w:val="003357D8"/>
    <w:rsid w:val="00447D75"/>
    <w:rsid w:val="004E43BF"/>
    <w:rsid w:val="00824069"/>
    <w:rsid w:val="008C6657"/>
    <w:rsid w:val="00AF4554"/>
    <w:rsid w:val="00D01B53"/>
    <w:rsid w:val="00E756D5"/>
    <w:rsid w:val="00EB00A0"/>
    <w:rsid w:val="00EB1C0E"/>
    <w:rsid w:val="013B4944"/>
    <w:rsid w:val="0156177E"/>
    <w:rsid w:val="015A3E73"/>
    <w:rsid w:val="018C1643"/>
    <w:rsid w:val="01910A08"/>
    <w:rsid w:val="01CC5EE4"/>
    <w:rsid w:val="0213766F"/>
    <w:rsid w:val="026C4FD1"/>
    <w:rsid w:val="02A73A43"/>
    <w:rsid w:val="02AF383B"/>
    <w:rsid w:val="02E4100B"/>
    <w:rsid w:val="03082F4B"/>
    <w:rsid w:val="034F46D6"/>
    <w:rsid w:val="036A7762"/>
    <w:rsid w:val="03710AF1"/>
    <w:rsid w:val="03A013D6"/>
    <w:rsid w:val="03CD1A9F"/>
    <w:rsid w:val="042518DB"/>
    <w:rsid w:val="04853C51"/>
    <w:rsid w:val="04B74C29"/>
    <w:rsid w:val="04FA7A94"/>
    <w:rsid w:val="05241B93"/>
    <w:rsid w:val="05254F53"/>
    <w:rsid w:val="05A056BD"/>
    <w:rsid w:val="05F11A75"/>
    <w:rsid w:val="05F9301F"/>
    <w:rsid w:val="061439B5"/>
    <w:rsid w:val="06487227"/>
    <w:rsid w:val="06587D46"/>
    <w:rsid w:val="06BA630B"/>
    <w:rsid w:val="071E2D3E"/>
    <w:rsid w:val="079C1EB4"/>
    <w:rsid w:val="07A70F85"/>
    <w:rsid w:val="07B948B7"/>
    <w:rsid w:val="085B3B1D"/>
    <w:rsid w:val="08B22F96"/>
    <w:rsid w:val="08F5187C"/>
    <w:rsid w:val="09267C87"/>
    <w:rsid w:val="09E33DCA"/>
    <w:rsid w:val="0A14667A"/>
    <w:rsid w:val="0A2F0DBE"/>
    <w:rsid w:val="0AA90B70"/>
    <w:rsid w:val="0B52745A"/>
    <w:rsid w:val="0B941820"/>
    <w:rsid w:val="0BD240F7"/>
    <w:rsid w:val="0BDE6F3F"/>
    <w:rsid w:val="0C120365"/>
    <w:rsid w:val="0C1E10EA"/>
    <w:rsid w:val="0C924D4B"/>
    <w:rsid w:val="0C9B0117"/>
    <w:rsid w:val="0CA535B9"/>
    <w:rsid w:val="0D374B59"/>
    <w:rsid w:val="0D841421"/>
    <w:rsid w:val="0D8458C4"/>
    <w:rsid w:val="0DFC545B"/>
    <w:rsid w:val="0E2F5830"/>
    <w:rsid w:val="0E4D3F08"/>
    <w:rsid w:val="0E5A44C6"/>
    <w:rsid w:val="0EA855E3"/>
    <w:rsid w:val="0F1A5F0A"/>
    <w:rsid w:val="0F205179"/>
    <w:rsid w:val="0F580DB7"/>
    <w:rsid w:val="0F7F00F1"/>
    <w:rsid w:val="0FA95304"/>
    <w:rsid w:val="0FDB78DE"/>
    <w:rsid w:val="0FF860F6"/>
    <w:rsid w:val="107B4D5D"/>
    <w:rsid w:val="10F36FE9"/>
    <w:rsid w:val="10FD39C4"/>
    <w:rsid w:val="1125116C"/>
    <w:rsid w:val="11366ED6"/>
    <w:rsid w:val="11627CCB"/>
    <w:rsid w:val="11A7392F"/>
    <w:rsid w:val="11AE2F10"/>
    <w:rsid w:val="11D97709"/>
    <w:rsid w:val="121A05A5"/>
    <w:rsid w:val="125A3098"/>
    <w:rsid w:val="127A7296"/>
    <w:rsid w:val="12883761"/>
    <w:rsid w:val="12AE2D66"/>
    <w:rsid w:val="12CD73C6"/>
    <w:rsid w:val="130B7EEE"/>
    <w:rsid w:val="139D323C"/>
    <w:rsid w:val="13DA623E"/>
    <w:rsid w:val="141554C8"/>
    <w:rsid w:val="14184FB8"/>
    <w:rsid w:val="14553B17"/>
    <w:rsid w:val="14887A48"/>
    <w:rsid w:val="14AD3953"/>
    <w:rsid w:val="15115C90"/>
    <w:rsid w:val="152A6D51"/>
    <w:rsid w:val="15431BC1"/>
    <w:rsid w:val="155E4C4D"/>
    <w:rsid w:val="157B135B"/>
    <w:rsid w:val="15B036FB"/>
    <w:rsid w:val="161812A0"/>
    <w:rsid w:val="162B4B2F"/>
    <w:rsid w:val="168801D3"/>
    <w:rsid w:val="1695469E"/>
    <w:rsid w:val="169C5A2D"/>
    <w:rsid w:val="16A9014A"/>
    <w:rsid w:val="1740460A"/>
    <w:rsid w:val="174145EF"/>
    <w:rsid w:val="17681DB3"/>
    <w:rsid w:val="17A032B6"/>
    <w:rsid w:val="17C4348D"/>
    <w:rsid w:val="17D11706"/>
    <w:rsid w:val="17DD6E2C"/>
    <w:rsid w:val="17E56F60"/>
    <w:rsid w:val="1827044F"/>
    <w:rsid w:val="189015C1"/>
    <w:rsid w:val="18A961DF"/>
    <w:rsid w:val="19045B0B"/>
    <w:rsid w:val="194523AC"/>
    <w:rsid w:val="199926F8"/>
    <w:rsid w:val="19C07C84"/>
    <w:rsid w:val="19D35C0A"/>
    <w:rsid w:val="1A09162B"/>
    <w:rsid w:val="1A3146DE"/>
    <w:rsid w:val="1B746F78"/>
    <w:rsid w:val="1C2344FA"/>
    <w:rsid w:val="1C250273"/>
    <w:rsid w:val="1C4A7CD9"/>
    <w:rsid w:val="1C9F6277"/>
    <w:rsid w:val="1D444728"/>
    <w:rsid w:val="1D495662"/>
    <w:rsid w:val="1D5726AE"/>
    <w:rsid w:val="1D750D86"/>
    <w:rsid w:val="1D862F93"/>
    <w:rsid w:val="1E312EFF"/>
    <w:rsid w:val="1E42335E"/>
    <w:rsid w:val="1E652BA8"/>
    <w:rsid w:val="1E85149C"/>
    <w:rsid w:val="1EAE27A1"/>
    <w:rsid w:val="1ED32208"/>
    <w:rsid w:val="1F274302"/>
    <w:rsid w:val="201E5705"/>
    <w:rsid w:val="20531852"/>
    <w:rsid w:val="20992FDD"/>
    <w:rsid w:val="20C77B4A"/>
    <w:rsid w:val="20E22BD6"/>
    <w:rsid w:val="21A734D8"/>
    <w:rsid w:val="21AE2AB8"/>
    <w:rsid w:val="22F56C5B"/>
    <w:rsid w:val="231057D9"/>
    <w:rsid w:val="233A2E2B"/>
    <w:rsid w:val="23607DE2"/>
    <w:rsid w:val="237044C9"/>
    <w:rsid w:val="237815D0"/>
    <w:rsid w:val="23C2284B"/>
    <w:rsid w:val="23D31FC5"/>
    <w:rsid w:val="23D91E1D"/>
    <w:rsid w:val="240A17C0"/>
    <w:rsid w:val="24172B97"/>
    <w:rsid w:val="24747FE9"/>
    <w:rsid w:val="24857B00"/>
    <w:rsid w:val="24AE3DF0"/>
    <w:rsid w:val="24B65F0C"/>
    <w:rsid w:val="24E34EEF"/>
    <w:rsid w:val="2604539D"/>
    <w:rsid w:val="2610789E"/>
    <w:rsid w:val="269A360B"/>
    <w:rsid w:val="26FB054E"/>
    <w:rsid w:val="272C0707"/>
    <w:rsid w:val="272C6959"/>
    <w:rsid w:val="27313F6F"/>
    <w:rsid w:val="27532138"/>
    <w:rsid w:val="277420AE"/>
    <w:rsid w:val="27E62FAC"/>
    <w:rsid w:val="27EB2370"/>
    <w:rsid w:val="28213FE4"/>
    <w:rsid w:val="2849353B"/>
    <w:rsid w:val="285F4B0C"/>
    <w:rsid w:val="28CF3A40"/>
    <w:rsid w:val="28D23530"/>
    <w:rsid w:val="28D64DCE"/>
    <w:rsid w:val="290731DA"/>
    <w:rsid w:val="29385A89"/>
    <w:rsid w:val="2A0239A1"/>
    <w:rsid w:val="2A27165A"/>
    <w:rsid w:val="2A4915D0"/>
    <w:rsid w:val="2AB0164F"/>
    <w:rsid w:val="2AD13BB9"/>
    <w:rsid w:val="2B050CFF"/>
    <w:rsid w:val="2B125E66"/>
    <w:rsid w:val="2B2D4A4E"/>
    <w:rsid w:val="2B5621F6"/>
    <w:rsid w:val="2B82123D"/>
    <w:rsid w:val="2BA74800"/>
    <w:rsid w:val="2BC5112A"/>
    <w:rsid w:val="2C2E4F21"/>
    <w:rsid w:val="2CBF201D"/>
    <w:rsid w:val="2DB72CF5"/>
    <w:rsid w:val="2DC21DC5"/>
    <w:rsid w:val="2E1168A9"/>
    <w:rsid w:val="2EB86D24"/>
    <w:rsid w:val="2EC90F31"/>
    <w:rsid w:val="2EF53AD4"/>
    <w:rsid w:val="2F260132"/>
    <w:rsid w:val="2F3E02C7"/>
    <w:rsid w:val="2F8A06C1"/>
    <w:rsid w:val="2F9432ED"/>
    <w:rsid w:val="2FA379D4"/>
    <w:rsid w:val="2FB41BE1"/>
    <w:rsid w:val="2FD933F6"/>
    <w:rsid w:val="2FE1152C"/>
    <w:rsid w:val="301A5EE8"/>
    <w:rsid w:val="309317F7"/>
    <w:rsid w:val="30AC5D12"/>
    <w:rsid w:val="30CD2F5B"/>
    <w:rsid w:val="31085D41"/>
    <w:rsid w:val="310B5831"/>
    <w:rsid w:val="31140B8A"/>
    <w:rsid w:val="3186135C"/>
    <w:rsid w:val="31CC4FC0"/>
    <w:rsid w:val="31DB03F9"/>
    <w:rsid w:val="3216448E"/>
    <w:rsid w:val="324D4881"/>
    <w:rsid w:val="324F5BF1"/>
    <w:rsid w:val="32D63C1D"/>
    <w:rsid w:val="32D83E39"/>
    <w:rsid w:val="33B9418C"/>
    <w:rsid w:val="33CD5020"/>
    <w:rsid w:val="33D04B10"/>
    <w:rsid w:val="34A42225"/>
    <w:rsid w:val="34CA155F"/>
    <w:rsid w:val="34FA5F72"/>
    <w:rsid w:val="3555351F"/>
    <w:rsid w:val="35874703"/>
    <w:rsid w:val="35D46B3A"/>
    <w:rsid w:val="36056CF3"/>
    <w:rsid w:val="361433DA"/>
    <w:rsid w:val="361C403D"/>
    <w:rsid w:val="3651018A"/>
    <w:rsid w:val="36635C15"/>
    <w:rsid w:val="366E2AEA"/>
    <w:rsid w:val="367B5207"/>
    <w:rsid w:val="369B31B3"/>
    <w:rsid w:val="369D6F2B"/>
    <w:rsid w:val="36B14785"/>
    <w:rsid w:val="37256F21"/>
    <w:rsid w:val="375B2943"/>
    <w:rsid w:val="377E4FAF"/>
    <w:rsid w:val="37AC3AFF"/>
    <w:rsid w:val="387168C2"/>
    <w:rsid w:val="38855EC9"/>
    <w:rsid w:val="38D62358"/>
    <w:rsid w:val="38E946AA"/>
    <w:rsid w:val="39331DC9"/>
    <w:rsid w:val="39416336"/>
    <w:rsid w:val="395D6E46"/>
    <w:rsid w:val="39C46EC5"/>
    <w:rsid w:val="39E7749F"/>
    <w:rsid w:val="39FF3A59"/>
    <w:rsid w:val="3A080B60"/>
    <w:rsid w:val="3A323E2F"/>
    <w:rsid w:val="3AB962FE"/>
    <w:rsid w:val="3BD3519D"/>
    <w:rsid w:val="3BDC22A4"/>
    <w:rsid w:val="3C0161AE"/>
    <w:rsid w:val="3C1A2DCC"/>
    <w:rsid w:val="3C21415B"/>
    <w:rsid w:val="3C335C3C"/>
    <w:rsid w:val="3C395948"/>
    <w:rsid w:val="3CA628B2"/>
    <w:rsid w:val="3CC05722"/>
    <w:rsid w:val="3CC72F54"/>
    <w:rsid w:val="3D9646D4"/>
    <w:rsid w:val="3DC94AAA"/>
    <w:rsid w:val="3E2875EE"/>
    <w:rsid w:val="3E86299B"/>
    <w:rsid w:val="3EA177D5"/>
    <w:rsid w:val="3F057D64"/>
    <w:rsid w:val="3F1B30E3"/>
    <w:rsid w:val="3F827606"/>
    <w:rsid w:val="3F9D7F9C"/>
    <w:rsid w:val="40624D42"/>
    <w:rsid w:val="406D5BC1"/>
    <w:rsid w:val="40A315E2"/>
    <w:rsid w:val="40A84E4B"/>
    <w:rsid w:val="40B24AE1"/>
    <w:rsid w:val="41562AF9"/>
    <w:rsid w:val="41585D4C"/>
    <w:rsid w:val="425A2175"/>
    <w:rsid w:val="42672AE3"/>
    <w:rsid w:val="430640AA"/>
    <w:rsid w:val="43482915"/>
    <w:rsid w:val="43A0005B"/>
    <w:rsid w:val="43A044FF"/>
    <w:rsid w:val="43CF6B92"/>
    <w:rsid w:val="43FE2FD4"/>
    <w:rsid w:val="440A3726"/>
    <w:rsid w:val="44974F2C"/>
    <w:rsid w:val="44B87626"/>
    <w:rsid w:val="44BD68E4"/>
    <w:rsid w:val="44C06ED8"/>
    <w:rsid w:val="44E623E5"/>
    <w:rsid w:val="44FD328B"/>
    <w:rsid w:val="45DB35CC"/>
    <w:rsid w:val="46181376"/>
    <w:rsid w:val="46C77026"/>
    <w:rsid w:val="46CD560B"/>
    <w:rsid w:val="46E26BDC"/>
    <w:rsid w:val="471825FE"/>
    <w:rsid w:val="4734568A"/>
    <w:rsid w:val="478C7274"/>
    <w:rsid w:val="481334F1"/>
    <w:rsid w:val="497955D6"/>
    <w:rsid w:val="49D15412"/>
    <w:rsid w:val="49D22F38"/>
    <w:rsid w:val="49F72B06"/>
    <w:rsid w:val="4A633B90"/>
    <w:rsid w:val="4A987CDE"/>
    <w:rsid w:val="4AA77F21"/>
    <w:rsid w:val="4AAE610D"/>
    <w:rsid w:val="4ACE3700"/>
    <w:rsid w:val="4AEE3DA2"/>
    <w:rsid w:val="4AF3760A"/>
    <w:rsid w:val="4B8637D3"/>
    <w:rsid w:val="4B9F32EE"/>
    <w:rsid w:val="4BB87F0C"/>
    <w:rsid w:val="4BCE5679"/>
    <w:rsid w:val="4BED4059"/>
    <w:rsid w:val="4C211F55"/>
    <w:rsid w:val="4C2555A1"/>
    <w:rsid w:val="4CC72AFC"/>
    <w:rsid w:val="4D3D4B6D"/>
    <w:rsid w:val="4D6245D3"/>
    <w:rsid w:val="4DB34E2F"/>
    <w:rsid w:val="4DC808DA"/>
    <w:rsid w:val="4E1F4272"/>
    <w:rsid w:val="4E2D4BE1"/>
    <w:rsid w:val="4E593C28"/>
    <w:rsid w:val="4F075432"/>
    <w:rsid w:val="4F310701"/>
    <w:rsid w:val="4F4E12B3"/>
    <w:rsid w:val="4FAA7042"/>
    <w:rsid w:val="4FBA24A4"/>
    <w:rsid w:val="4FF77255"/>
    <w:rsid w:val="5003209D"/>
    <w:rsid w:val="50597F0F"/>
    <w:rsid w:val="50715259"/>
    <w:rsid w:val="507C1E50"/>
    <w:rsid w:val="51200A2D"/>
    <w:rsid w:val="514C35D0"/>
    <w:rsid w:val="518E1E3B"/>
    <w:rsid w:val="51E90445"/>
    <w:rsid w:val="52373722"/>
    <w:rsid w:val="528E46E8"/>
    <w:rsid w:val="529671F9"/>
    <w:rsid w:val="53114AD1"/>
    <w:rsid w:val="531B5950"/>
    <w:rsid w:val="53360094"/>
    <w:rsid w:val="53A86F0D"/>
    <w:rsid w:val="53F02939"/>
    <w:rsid w:val="54A0435F"/>
    <w:rsid w:val="54F2448F"/>
    <w:rsid w:val="54FC530D"/>
    <w:rsid w:val="554E3DBB"/>
    <w:rsid w:val="55AA2FBB"/>
    <w:rsid w:val="56226FF5"/>
    <w:rsid w:val="56727CCF"/>
    <w:rsid w:val="57250B4B"/>
    <w:rsid w:val="57527466"/>
    <w:rsid w:val="57686C8A"/>
    <w:rsid w:val="577B69BD"/>
    <w:rsid w:val="57931F59"/>
    <w:rsid w:val="5818420C"/>
    <w:rsid w:val="58831FCD"/>
    <w:rsid w:val="592B204C"/>
    <w:rsid w:val="597C07CB"/>
    <w:rsid w:val="59BD32BD"/>
    <w:rsid w:val="59EC76FE"/>
    <w:rsid w:val="5A025174"/>
    <w:rsid w:val="5A0F3B18"/>
    <w:rsid w:val="5A421A14"/>
    <w:rsid w:val="5A6000EC"/>
    <w:rsid w:val="5A867B53"/>
    <w:rsid w:val="5B1A473F"/>
    <w:rsid w:val="5B410D1F"/>
    <w:rsid w:val="5C125416"/>
    <w:rsid w:val="5C3929A3"/>
    <w:rsid w:val="5CD512A6"/>
    <w:rsid w:val="5D245401"/>
    <w:rsid w:val="5D3A2E77"/>
    <w:rsid w:val="5D4B5084"/>
    <w:rsid w:val="5D5C2DED"/>
    <w:rsid w:val="5D9C143B"/>
    <w:rsid w:val="5DBC7D30"/>
    <w:rsid w:val="5DCB1D21"/>
    <w:rsid w:val="5DD92690"/>
    <w:rsid w:val="5E7B54F5"/>
    <w:rsid w:val="5EB6477F"/>
    <w:rsid w:val="5F2A3265"/>
    <w:rsid w:val="5FD255E8"/>
    <w:rsid w:val="6037369D"/>
    <w:rsid w:val="60471B32"/>
    <w:rsid w:val="60AB0CDA"/>
    <w:rsid w:val="60AB2BD6"/>
    <w:rsid w:val="610572F8"/>
    <w:rsid w:val="611F2AAF"/>
    <w:rsid w:val="613C71BD"/>
    <w:rsid w:val="61D231FD"/>
    <w:rsid w:val="61E138C1"/>
    <w:rsid w:val="62051CA5"/>
    <w:rsid w:val="6211064A"/>
    <w:rsid w:val="622A170C"/>
    <w:rsid w:val="62D13935"/>
    <w:rsid w:val="62E95123"/>
    <w:rsid w:val="635527B8"/>
    <w:rsid w:val="63B05C41"/>
    <w:rsid w:val="63F434CA"/>
    <w:rsid w:val="641B57B0"/>
    <w:rsid w:val="649B244D"/>
    <w:rsid w:val="650A5824"/>
    <w:rsid w:val="6613316E"/>
    <w:rsid w:val="66F422E8"/>
    <w:rsid w:val="67642FCA"/>
    <w:rsid w:val="67F80B56"/>
    <w:rsid w:val="6881195A"/>
    <w:rsid w:val="689618A9"/>
    <w:rsid w:val="68D67EF7"/>
    <w:rsid w:val="68DC4DE2"/>
    <w:rsid w:val="68FF3E9C"/>
    <w:rsid w:val="690D7691"/>
    <w:rsid w:val="69D41F5D"/>
    <w:rsid w:val="69FC398E"/>
    <w:rsid w:val="6A130CD7"/>
    <w:rsid w:val="6A615EE7"/>
    <w:rsid w:val="6A894972"/>
    <w:rsid w:val="6ACA45CD"/>
    <w:rsid w:val="6AEF34F2"/>
    <w:rsid w:val="6AFF300A"/>
    <w:rsid w:val="6C022DB1"/>
    <w:rsid w:val="6C186A79"/>
    <w:rsid w:val="6C276CBC"/>
    <w:rsid w:val="6CCF5389"/>
    <w:rsid w:val="6D192AA9"/>
    <w:rsid w:val="6D1E3C1B"/>
    <w:rsid w:val="6D2A6A64"/>
    <w:rsid w:val="6DA653FD"/>
    <w:rsid w:val="6DCA78FF"/>
    <w:rsid w:val="6E3556C0"/>
    <w:rsid w:val="6E5D4C17"/>
    <w:rsid w:val="6E7066F8"/>
    <w:rsid w:val="6EBC36EB"/>
    <w:rsid w:val="6ED4010A"/>
    <w:rsid w:val="703762C4"/>
    <w:rsid w:val="703A5210"/>
    <w:rsid w:val="70473489"/>
    <w:rsid w:val="70495453"/>
    <w:rsid w:val="71184E25"/>
    <w:rsid w:val="714A76D4"/>
    <w:rsid w:val="716342F2"/>
    <w:rsid w:val="720F7FD6"/>
    <w:rsid w:val="728574F4"/>
    <w:rsid w:val="728C7879"/>
    <w:rsid w:val="72C94629"/>
    <w:rsid w:val="73463ECB"/>
    <w:rsid w:val="73814F04"/>
    <w:rsid w:val="739509AF"/>
    <w:rsid w:val="73F27BAF"/>
    <w:rsid w:val="744A3547"/>
    <w:rsid w:val="749E3893"/>
    <w:rsid w:val="74D80B53"/>
    <w:rsid w:val="75071439"/>
    <w:rsid w:val="75114065"/>
    <w:rsid w:val="75466405"/>
    <w:rsid w:val="75B07D22"/>
    <w:rsid w:val="75F55735"/>
    <w:rsid w:val="767E1BCE"/>
    <w:rsid w:val="76E47C83"/>
    <w:rsid w:val="77884AB3"/>
    <w:rsid w:val="77C35AEB"/>
    <w:rsid w:val="77C96E79"/>
    <w:rsid w:val="77DB72D8"/>
    <w:rsid w:val="78144598"/>
    <w:rsid w:val="78782D79"/>
    <w:rsid w:val="78D81144"/>
    <w:rsid w:val="78F87A16"/>
    <w:rsid w:val="79142376"/>
    <w:rsid w:val="7967694A"/>
    <w:rsid w:val="79C618C2"/>
    <w:rsid w:val="7A513882"/>
    <w:rsid w:val="7A6335B5"/>
    <w:rsid w:val="7AED1666"/>
    <w:rsid w:val="7AF1296F"/>
    <w:rsid w:val="7B825CBD"/>
    <w:rsid w:val="7C23124E"/>
    <w:rsid w:val="7C2A25DC"/>
    <w:rsid w:val="7C7C270C"/>
    <w:rsid w:val="7CB4634A"/>
    <w:rsid w:val="7CCF6CE0"/>
    <w:rsid w:val="7CD97B5E"/>
    <w:rsid w:val="7D6E64F9"/>
    <w:rsid w:val="7D787377"/>
    <w:rsid w:val="7DA4016C"/>
    <w:rsid w:val="7DA55C93"/>
    <w:rsid w:val="7E2117BD"/>
    <w:rsid w:val="7E4D4360"/>
    <w:rsid w:val="7E590F57"/>
    <w:rsid w:val="7E6873EC"/>
    <w:rsid w:val="7EA43368"/>
    <w:rsid w:val="7EF667A6"/>
    <w:rsid w:val="7F0D1D41"/>
    <w:rsid w:val="7F2A28F3"/>
    <w:rsid w:val="7F587460"/>
    <w:rsid w:val="7F62208D"/>
    <w:rsid w:val="7F8244DD"/>
    <w:rsid w:val="7FD43EA5"/>
    <w:rsid w:val="7FD652C9"/>
    <w:rsid w:val="7FE5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kern w:val="2"/>
      <w:sz w:val="18"/>
      <w:szCs w:val="18"/>
    </w:rPr>
  </w:style>
  <w:style w:type="paragraph" w:customStyle="1" w:styleId="12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3">
    <w:name w:val="批注框文本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3412</Words>
  <Characters>3537</Characters>
  <Lines>25</Lines>
  <Paragraphs>7</Paragraphs>
  <TotalTime>5</TotalTime>
  <ScaleCrop>false</ScaleCrop>
  <LinksUpToDate>false</LinksUpToDate>
  <CharactersWithSpaces>3538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2026-04-21T07:14:00Z</dcterms:created>
  <dc:creator>admin</dc:creator>
  <cp:lastModifiedBy>CCC</cp:lastModifiedBy>
  <cp:lastPrinted>2026-04-22T02:41:00Z</cp:lastPrinted>
  <dcterms:modified xsi:type="dcterms:W3CDTF">2026-04-24T09:52:28Z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eyJoZGlkIjoiZWJmNzZlM2E3ZDk0ODU1MWFkMjM4MjA5ZTA1ODQxNDIiLCJ1c2VySWQiOiIyMDUwNDM5NzcifQ==</vt:lpwstr>
  </property>
  <property fmtid="{D5CDD505-2E9C-101B-9397-08002B2CF9AE}" pid="4" name="ICV">
    <vt:lpwstr>CA0F3749F1BD4E529DF726B117EEC73C_12</vt:lpwstr>
  </property>
</Properties>
</file>