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wordWrap w:val="0"/>
        <w:spacing w:before="0" w:beforeAutospacing="0" w:after="0" w:afterAutospacing="0"/>
        <w:ind w:left="0" w:right="0"/>
        <w:jc w:val="right"/>
        <w:rPr>
          <w:rFonts w:hint="eastAsia" w:ascii="黑体" w:hAnsi="Calibri" w:eastAsia="黑体" w:cs="黑体"/>
          <w:sz w:val="28"/>
          <w:szCs w:val="28"/>
          <w:lang w:val="en-US"/>
        </w:rPr>
      </w:pPr>
      <w:r>
        <w:rPr>
          <w:rFonts w:hint="eastAsia" w:ascii="黑体" w:hAnsi="Calibri" w:eastAsia="黑体" w:cs="黑体"/>
          <w:kern w:val="2"/>
          <w:sz w:val="28"/>
          <w:szCs w:val="28"/>
          <w:lang w:val="en-US" w:eastAsia="zh-CN" w:bidi="ar"/>
        </w:rPr>
        <w:t xml:space="preserve">             </w:t>
      </w:r>
    </w:p>
    <w:p>
      <w:pPr>
        <w:pStyle w:val="33"/>
        <w:keepNext w:val="0"/>
        <w:keepLines w:val="0"/>
        <w:widowControl/>
        <w:suppressLineNumbers w:val="0"/>
        <w:ind w:left="0" w:firstLine="0" w:firstLineChars="0"/>
        <w:jc w:val="center"/>
        <w:rPr>
          <w:lang w:val="en-US"/>
        </w:rPr>
      </w:pPr>
    </w:p>
    <w:p>
      <w:pPr>
        <w:pStyle w:val="33"/>
        <w:keepNext w:val="0"/>
        <w:keepLines w:val="0"/>
        <w:widowControl/>
        <w:suppressLineNumbers w:val="0"/>
        <w:ind w:left="0" w:firstLine="0" w:firstLineChars="0"/>
        <w:jc w:val="center"/>
        <w:rPr>
          <w:b/>
          <w:bCs w:val="0"/>
          <w:sz w:val="32"/>
          <w:szCs w:val="32"/>
          <w:lang w:val="en-US"/>
        </w:rPr>
      </w:pPr>
      <w:r>
        <w:rPr>
          <w:lang w:val="en-US"/>
        </w:rPr>
        <w:drawing>
          <wp:inline distT="0" distB="0" distL="114300" distR="114300">
            <wp:extent cx="3476625" cy="1209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476625" cy="1209675"/>
                    </a:xfrm>
                    <a:prstGeom prst="rect">
                      <a:avLst/>
                    </a:prstGeom>
                    <a:noFill/>
                    <a:ln>
                      <a:noFill/>
                    </a:ln>
                  </pic:spPr>
                </pic:pic>
              </a:graphicData>
            </a:graphic>
          </wp:inline>
        </w:drawing>
      </w:r>
    </w:p>
    <w:p>
      <w:pPr>
        <w:keepNext w:val="0"/>
        <w:keepLines w:val="0"/>
        <w:widowControl w:val="0"/>
        <w:suppressLineNumbers w:val="0"/>
        <w:spacing w:before="156" w:beforeLines="50" w:beforeAutospacing="0" w:after="156" w:afterLines="50" w:afterAutospacing="0"/>
        <w:ind w:left="0" w:right="0"/>
        <w:jc w:val="center"/>
        <w:rPr>
          <w:rFonts w:hint="eastAsia" w:ascii="宋体" w:hAnsi="宋体" w:eastAsia="宋体" w:cs="宋体"/>
          <w:b/>
          <w:bCs w:val="0"/>
          <w:sz w:val="48"/>
          <w:szCs w:val="48"/>
          <w:lang w:val="en-US"/>
        </w:rPr>
      </w:pPr>
      <w:bookmarkStart w:id="0" w:name="_Toc262475853"/>
      <w:bookmarkStart w:id="1" w:name="_Toc262477091"/>
      <w:bookmarkStart w:id="2" w:name="_Toc262474472"/>
    </w:p>
    <w:p>
      <w:pPr>
        <w:keepNext w:val="0"/>
        <w:keepLines w:val="0"/>
        <w:widowControl w:val="0"/>
        <w:suppressLineNumbers w:val="0"/>
        <w:spacing w:before="156" w:beforeLines="50" w:beforeAutospacing="0" w:after="156" w:afterLines="50" w:afterAutospacing="0"/>
        <w:ind w:left="0" w:right="0"/>
        <w:jc w:val="center"/>
        <w:rPr>
          <w:rFonts w:hint="eastAsia" w:ascii="宋体" w:hAnsi="宋体" w:eastAsia="宋体" w:cs="宋体"/>
          <w:b/>
          <w:bCs w:val="0"/>
          <w:sz w:val="48"/>
          <w:szCs w:val="48"/>
          <w:lang w:val="en-US"/>
        </w:rPr>
      </w:pPr>
      <w:r>
        <w:rPr>
          <w:rFonts w:hint="eastAsia" w:ascii="宋体" w:hAnsi="宋体" w:eastAsia="宋体" w:cs="宋体"/>
          <w:b/>
          <w:bCs w:val="0"/>
          <w:kern w:val="2"/>
          <w:sz w:val="48"/>
          <w:szCs w:val="48"/>
          <w:lang w:val="en-US" w:eastAsia="zh-CN" w:bidi="ar"/>
        </w:rPr>
        <w:t>中国重汽集团</w:t>
      </w:r>
      <w:bookmarkEnd w:id="0"/>
      <w:bookmarkEnd w:id="1"/>
      <w:bookmarkEnd w:id="2"/>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48"/>
          <w:szCs w:val="48"/>
          <w:lang w:val="en-US" w:bidi="ar"/>
        </w:rPr>
      </w:pPr>
      <w:r>
        <w:rPr>
          <w:rFonts w:hint="eastAsia" w:ascii="宋体" w:hAnsi="宋体" w:eastAsia="宋体" w:cs="宋体"/>
          <w:b/>
          <w:bCs w:val="0"/>
          <w:kern w:val="2"/>
          <w:sz w:val="48"/>
          <w:szCs w:val="48"/>
          <w:lang w:val="en-US" w:eastAsia="zh-CN" w:bidi="ar"/>
        </w:rPr>
        <w:t>财务共享服务中心项目</w:t>
      </w:r>
    </w:p>
    <w:p>
      <w:pPr>
        <w:keepNext w:val="0"/>
        <w:keepLines w:val="0"/>
        <w:widowControl w:val="0"/>
        <w:suppressLineNumbers w:val="0"/>
        <w:spacing w:before="0" w:beforeAutospacing="0" w:after="0" w:afterAutospacing="0"/>
        <w:ind w:left="0" w:right="0"/>
        <w:jc w:val="center"/>
        <w:rPr>
          <w:rFonts w:hint="eastAsia" w:ascii="黑体" w:hAnsi="宋体" w:eastAsia="黑体" w:cs="黑体"/>
          <w:b/>
          <w:bCs w:val="0"/>
          <w:sz w:val="52"/>
          <w:szCs w:val="52"/>
          <w:lang w:val="en-US"/>
        </w:rPr>
      </w:pPr>
      <w:r>
        <w:rPr>
          <w:rFonts w:hint="eastAsia" w:ascii="黑体" w:hAnsi="宋体" w:eastAsia="黑体" w:cs="黑体"/>
          <w:b/>
          <w:bCs w:val="0"/>
          <w:kern w:val="2"/>
          <w:sz w:val="52"/>
          <w:szCs w:val="52"/>
          <w:lang w:val="en-US" w:eastAsia="zh-CN" w:bidi="ar"/>
        </w:rPr>
        <w:t>招</w:t>
      </w:r>
    </w:p>
    <w:p>
      <w:pPr>
        <w:keepNext w:val="0"/>
        <w:keepLines w:val="0"/>
        <w:widowControl w:val="0"/>
        <w:suppressLineNumbers w:val="0"/>
        <w:spacing w:before="0" w:beforeAutospacing="0" w:after="0" w:afterAutospacing="0"/>
        <w:ind w:left="0" w:right="0"/>
        <w:jc w:val="center"/>
        <w:rPr>
          <w:rFonts w:hint="eastAsia" w:ascii="黑体" w:hAnsi="宋体" w:eastAsia="黑体" w:cs="黑体"/>
          <w:b/>
          <w:bCs w:val="0"/>
          <w:sz w:val="52"/>
          <w:szCs w:val="52"/>
          <w:lang w:val="en-US"/>
        </w:rPr>
      </w:pPr>
      <w:r>
        <w:rPr>
          <w:rFonts w:hint="eastAsia" w:ascii="黑体" w:hAnsi="宋体" w:eastAsia="黑体" w:cs="黑体"/>
          <w:b/>
          <w:bCs w:val="0"/>
          <w:kern w:val="2"/>
          <w:sz w:val="52"/>
          <w:szCs w:val="52"/>
          <w:lang w:val="en-US" w:eastAsia="zh-CN" w:bidi="ar"/>
        </w:rPr>
        <w:t>标</w:t>
      </w:r>
    </w:p>
    <w:p>
      <w:pPr>
        <w:keepNext w:val="0"/>
        <w:keepLines w:val="0"/>
        <w:widowControl w:val="0"/>
        <w:suppressLineNumbers w:val="0"/>
        <w:spacing w:before="0" w:beforeAutospacing="0" w:after="0" w:afterAutospacing="0"/>
        <w:ind w:left="0" w:right="0"/>
        <w:jc w:val="center"/>
        <w:rPr>
          <w:rFonts w:hint="eastAsia" w:ascii="黑体" w:hAnsi="宋体" w:eastAsia="黑体" w:cs="黑体"/>
          <w:b/>
          <w:bCs w:val="0"/>
          <w:sz w:val="52"/>
          <w:szCs w:val="52"/>
          <w:lang w:val="en-US"/>
        </w:rPr>
      </w:pPr>
      <w:r>
        <w:rPr>
          <w:rFonts w:hint="eastAsia" w:ascii="黑体" w:hAnsi="宋体" w:eastAsia="黑体" w:cs="黑体"/>
          <w:b/>
          <w:bCs w:val="0"/>
          <w:kern w:val="2"/>
          <w:sz w:val="52"/>
          <w:szCs w:val="52"/>
          <w:lang w:val="en-US" w:eastAsia="zh-CN" w:bidi="ar"/>
        </w:rPr>
        <w:t>文</w:t>
      </w:r>
    </w:p>
    <w:p>
      <w:pPr>
        <w:keepNext w:val="0"/>
        <w:keepLines w:val="0"/>
        <w:widowControl w:val="0"/>
        <w:suppressLineNumbers w:val="0"/>
        <w:spacing w:before="0" w:beforeAutospacing="0" w:after="0" w:afterAutospacing="0"/>
        <w:ind w:left="0" w:right="0"/>
        <w:jc w:val="center"/>
        <w:rPr>
          <w:rFonts w:hint="eastAsia" w:ascii="黑体" w:hAnsi="Calibri" w:eastAsia="黑体" w:cs="黑体"/>
          <w:b/>
          <w:bCs w:val="0"/>
          <w:sz w:val="52"/>
          <w:szCs w:val="52"/>
          <w:lang w:val="en-US"/>
        </w:rPr>
      </w:pPr>
      <w:r>
        <w:rPr>
          <w:rFonts w:hint="eastAsia" w:ascii="黑体" w:hAnsi="宋体" w:eastAsia="黑体" w:cs="黑体"/>
          <w:b/>
          <w:bCs w:val="0"/>
          <w:kern w:val="2"/>
          <w:sz w:val="52"/>
          <w:szCs w:val="52"/>
          <w:lang w:val="en-US" w:eastAsia="zh-CN" w:bidi="ar"/>
        </w:rPr>
        <w:t>件</w:t>
      </w:r>
    </w:p>
    <w:p>
      <w:pPr>
        <w:pStyle w:val="33"/>
        <w:keepNext w:val="0"/>
        <w:keepLines w:val="0"/>
        <w:widowControl/>
        <w:suppressLineNumbers w:val="0"/>
        <w:ind w:left="0" w:firstLine="0" w:firstLineChars="0"/>
        <w:jc w:val="center"/>
        <w:rPr>
          <w:b/>
          <w:bCs w:val="0"/>
          <w:sz w:val="32"/>
          <w:szCs w:val="32"/>
          <w:lang w:val="en-US"/>
        </w:rPr>
      </w:pPr>
    </w:p>
    <w:p>
      <w:pPr>
        <w:keepNext w:val="0"/>
        <w:keepLines w:val="0"/>
        <w:widowControl w:val="0"/>
        <w:suppressLineNumbers w:val="0"/>
        <w:spacing w:before="0" w:beforeAutospacing="0" w:after="0" w:afterAutospacing="0"/>
        <w:ind w:left="0" w:right="0"/>
        <w:jc w:val="center"/>
        <w:rPr>
          <w:rFonts w:hint="eastAsia" w:ascii="黑体" w:hAnsi="Calibri" w:eastAsia="黑体" w:cs="黑体"/>
          <w:sz w:val="44"/>
          <w:szCs w:val="44"/>
          <w:lang w:val="en-US"/>
        </w:rPr>
      </w:pPr>
      <w:r>
        <w:rPr>
          <w:rFonts w:hint="eastAsia" w:ascii="黑体" w:hAnsi="Calibri" w:eastAsia="黑体" w:cs="黑体"/>
          <w:kern w:val="2"/>
          <w:sz w:val="44"/>
          <w:szCs w:val="44"/>
          <w:lang w:val="en-US" w:eastAsia="zh-CN" w:bidi="ar"/>
        </w:rPr>
        <w:t>中国重汽集团济南动力有限公司</w:t>
      </w:r>
    </w:p>
    <w:p>
      <w:pPr>
        <w:keepNext w:val="0"/>
        <w:keepLines w:val="0"/>
        <w:widowControl w:val="0"/>
        <w:suppressLineNumbers w:val="0"/>
        <w:spacing w:before="0" w:beforeAutospacing="0" w:after="0" w:afterAutospacing="0" w:line="380" w:lineRule="exact"/>
        <w:ind w:left="0" w:right="0"/>
        <w:jc w:val="center"/>
        <w:rPr>
          <w:rFonts w:hint="eastAsia" w:ascii="黑体" w:hAnsi="Calibri" w:eastAsia="黑体" w:cs="黑体"/>
          <w:sz w:val="44"/>
          <w:szCs w:val="44"/>
          <w:lang w:val="en-US"/>
        </w:rPr>
      </w:pPr>
    </w:p>
    <w:p>
      <w:pPr>
        <w:keepNext w:val="0"/>
        <w:keepLines w:val="0"/>
        <w:widowControl w:val="0"/>
        <w:suppressLineNumbers w:val="0"/>
        <w:spacing w:before="156" w:beforeLines="50" w:beforeAutospacing="0" w:after="0" w:afterAutospacing="0" w:line="380" w:lineRule="exact"/>
        <w:ind w:left="0" w:right="0"/>
        <w:jc w:val="center"/>
        <w:rPr>
          <w:rFonts w:hint="eastAsia" w:ascii="黑体" w:hAnsi="Calibri" w:eastAsia="黑体" w:cs="黑体"/>
          <w:sz w:val="44"/>
          <w:szCs w:val="44"/>
          <w:lang w:val="en-US"/>
        </w:rPr>
      </w:pPr>
      <w:r>
        <w:rPr>
          <w:rFonts w:hint="eastAsia" w:ascii="黑体" w:hAnsi="Calibri" w:eastAsia="黑体" w:cs="黑体"/>
          <w:kern w:val="2"/>
          <w:sz w:val="44"/>
          <w:szCs w:val="44"/>
          <w:lang w:val="en-US" w:eastAsia="zh-CN" w:bidi="ar"/>
        </w:rPr>
        <w:t>二〇二〇年四月</w:t>
      </w:r>
    </w:p>
    <w:p>
      <w:pPr>
        <w:pStyle w:val="18"/>
        <w:keepNext w:val="0"/>
        <w:keepLines w:val="0"/>
        <w:widowControl/>
        <w:suppressLineNumbers w:val="0"/>
        <w:tabs>
          <w:tab w:val="right" w:leader="dot" w:pos="8705"/>
        </w:tabs>
        <w:jc w:val="center"/>
        <w:rPr>
          <w:b w:val="0"/>
          <w:bCs/>
          <w:sz w:val="36"/>
          <w:szCs w:val="36"/>
          <w:lang w:val="en-US"/>
        </w:rPr>
      </w:pPr>
      <w:r>
        <w:rPr>
          <w:rFonts w:hint="default" w:ascii="Calibri" w:hAnsi="Calibri" w:eastAsia="宋体" w:cs="Times New Roman"/>
          <w:b/>
          <w:bCs w:val="0"/>
          <w:caps/>
          <w:color w:val="FF0000"/>
          <w:kern w:val="2"/>
          <w:sz w:val="20"/>
          <w:szCs w:val="20"/>
          <w:lang w:val="en-US" w:eastAsia="zh-CN" w:bidi="ar"/>
        </w:rPr>
        <w:br w:type="page"/>
      </w:r>
      <w:r>
        <w:rPr>
          <w:rFonts w:hint="eastAsia" w:ascii="Calibri" w:hAnsi="Calibri" w:eastAsia="宋体" w:cs="宋体"/>
          <w:b w:val="0"/>
          <w:bCs/>
          <w:sz w:val="36"/>
          <w:szCs w:val="36"/>
          <w:lang w:eastAsia="zh-CN"/>
        </w:rPr>
        <w:t>目</w:t>
      </w:r>
      <w:r>
        <w:rPr>
          <w:b w:val="0"/>
          <w:bCs/>
          <w:sz w:val="36"/>
          <w:szCs w:val="36"/>
          <w:lang w:val="en-US"/>
        </w:rPr>
        <w:t xml:space="preserve">  </w:t>
      </w:r>
      <w:r>
        <w:rPr>
          <w:rFonts w:hint="eastAsia" w:ascii="Calibri" w:hAnsi="Calibri" w:eastAsia="宋体" w:cs="宋体"/>
          <w:b w:val="0"/>
          <w:bCs/>
          <w:sz w:val="36"/>
          <w:szCs w:val="36"/>
          <w:lang w:eastAsia="zh-CN"/>
        </w:rPr>
        <w:t>录</w:t>
      </w:r>
    </w:p>
    <w:p>
      <w:pPr>
        <w:pStyle w:val="18"/>
        <w:tabs>
          <w:tab w:val="right" w:leader="dot" w:pos="8715"/>
        </w:tabs>
      </w:pPr>
      <w:r>
        <w:rPr>
          <w:b w:val="0"/>
          <w:bCs/>
          <w:sz w:val="36"/>
          <w:szCs w:val="36"/>
          <w:lang w:val="en-US"/>
        </w:rPr>
        <w:fldChar w:fldCharType="begin"/>
      </w:r>
      <w:r>
        <w:rPr>
          <w:b w:val="0"/>
          <w:bCs/>
          <w:sz w:val="36"/>
          <w:szCs w:val="36"/>
          <w:lang w:val="en-US"/>
        </w:rPr>
        <w:instrText xml:space="preserve"> TOC \o "1-3" \h \z \u </w:instrText>
      </w:r>
      <w:r>
        <w:rPr>
          <w:b w:val="0"/>
          <w:bCs/>
          <w:sz w:val="36"/>
          <w:szCs w:val="36"/>
          <w:lang w:val="en-US"/>
        </w:rPr>
        <w:fldChar w:fldCharType="separate"/>
      </w:r>
      <w:r>
        <w:rPr>
          <w:bCs/>
          <w:szCs w:val="36"/>
          <w:lang w:val="en-US"/>
        </w:rPr>
        <w:fldChar w:fldCharType="begin"/>
      </w:r>
      <w:r>
        <w:rPr>
          <w:bCs/>
          <w:szCs w:val="36"/>
          <w:lang w:val="en-US"/>
        </w:rPr>
        <w:instrText xml:space="preserve"> HYPERLINK \l _Toc31420 </w:instrText>
      </w:r>
      <w:r>
        <w:rPr>
          <w:bCs/>
          <w:szCs w:val="36"/>
          <w:lang w:val="en-US"/>
        </w:rPr>
        <w:fldChar w:fldCharType="separate"/>
      </w:r>
      <w:r>
        <w:rPr>
          <w:lang w:val="en-US"/>
        </w:rPr>
        <w:t xml:space="preserve">1 </w:t>
      </w:r>
      <w:r>
        <w:rPr>
          <w:rFonts w:hint="eastAsia" w:ascii="Times New Roman" w:hAnsi="Times New Roman" w:eastAsia="宋体" w:cs="宋体"/>
          <w:lang w:eastAsia="zh-CN"/>
        </w:rPr>
        <w:t>项目名称</w:t>
      </w:r>
      <w:r>
        <w:tab/>
      </w:r>
      <w:r>
        <w:fldChar w:fldCharType="begin"/>
      </w:r>
      <w:r>
        <w:instrText xml:space="preserve"> PAGEREF _Toc31420 </w:instrText>
      </w:r>
      <w:r>
        <w:fldChar w:fldCharType="separate"/>
      </w:r>
      <w:r>
        <w:t>1</w:t>
      </w:r>
      <w:r>
        <w:fldChar w:fldCharType="end"/>
      </w:r>
      <w:r>
        <w:rPr>
          <w:bCs/>
          <w:szCs w:val="36"/>
          <w:lang w:val="en-US"/>
        </w:rPr>
        <w:fldChar w:fldCharType="end"/>
      </w:r>
    </w:p>
    <w:p>
      <w:pPr>
        <w:pStyle w:val="18"/>
        <w:tabs>
          <w:tab w:val="right" w:leader="dot" w:pos="8715"/>
        </w:tabs>
      </w:pPr>
      <w:r>
        <w:rPr>
          <w:lang w:val="en-US"/>
        </w:rPr>
        <w:fldChar w:fldCharType="begin"/>
      </w:r>
      <w:r>
        <w:rPr>
          <w:lang w:val="en-US"/>
        </w:rPr>
        <w:instrText xml:space="preserve"> HYPERLINK \l _Toc28313 </w:instrText>
      </w:r>
      <w:r>
        <w:rPr>
          <w:lang w:val="en-US"/>
        </w:rPr>
        <w:fldChar w:fldCharType="separate"/>
      </w:r>
      <w:r>
        <w:rPr>
          <w:rFonts w:cs="宋体"/>
          <w:lang w:val="en-US"/>
        </w:rPr>
        <w:t xml:space="preserve">2 </w:t>
      </w:r>
      <w:r>
        <w:rPr>
          <w:rFonts w:hint="eastAsia" w:ascii="Times New Roman" w:hAnsi="Times New Roman" w:eastAsia="宋体" w:cs="宋体"/>
          <w:lang w:eastAsia="zh-CN"/>
        </w:rPr>
        <w:t>招标内容及形式</w:t>
      </w:r>
      <w:r>
        <w:tab/>
      </w:r>
      <w:r>
        <w:fldChar w:fldCharType="begin"/>
      </w:r>
      <w:r>
        <w:instrText xml:space="preserve"> PAGEREF _Toc28313 </w:instrText>
      </w:r>
      <w:r>
        <w:fldChar w:fldCharType="separate"/>
      </w:r>
      <w:r>
        <w:t>2</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_Toc24904 </w:instrText>
      </w:r>
      <w:r>
        <w:rPr>
          <w:lang w:val="en-US"/>
        </w:rPr>
        <w:fldChar w:fldCharType="separate"/>
      </w:r>
      <w:r>
        <w:rPr>
          <w:rFonts w:hint="default" w:ascii="Calibri" w:hAnsi="Calibri" w:cs="Times New Roman"/>
          <w:bCs/>
          <w:szCs w:val="32"/>
          <w:lang w:val="en-US" w:bidi="ar"/>
        </w:rPr>
        <w:t>2.1</w:t>
      </w:r>
      <w:r>
        <w:rPr>
          <w:rFonts w:hint="eastAsia" w:ascii="Calibri" w:hAnsi="Calibri" w:eastAsia="宋体" w:cs="宋体"/>
          <w:bCs/>
          <w:szCs w:val="32"/>
          <w:lang w:eastAsia="zh-CN" w:bidi="ar"/>
        </w:rPr>
        <w:t>招标内容</w:t>
      </w:r>
      <w:r>
        <w:tab/>
      </w:r>
      <w:r>
        <w:fldChar w:fldCharType="begin"/>
      </w:r>
      <w:r>
        <w:instrText xml:space="preserve"> PAGEREF _Toc24904 </w:instrText>
      </w:r>
      <w:r>
        <w:fldChar w:fldCharType="separate"/>
      </w:r>
      <w:r>
        <w:t>2</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_Toc7898 </w:instrText>
      </w:r>
      <w:r>
        <w:rPr>
          <w:lang w:val="en-US"/>
        </w:rPr>
        <w:fldChar w:fldCharType="separate"/>
      </w:r>
      <w:r>
        <w:rPr>
          <w:rFonts w:hint="default" w:ascii="Calibri" w:hAnsi="Calibri" w:cs="Times New Roman"/>
          <w:bCs/>
          <w:szCs w:val="32"/>
          <w:lang w:val="en-US" w:eastAsia="zh-CN" w:bidi="ar"/>
        </w:rPr>
        <w:t>2.2</w:t>
      </w:r>
      <w:r>
        <w:rPr>
          <w:rFonts w:hint="eastAsia" w:ascii="Calibri" w:hAnsi="Calibri" w:eastAsia="宋体" w:cs="宋体"/>
          <w:bCs/>
          <w:szCs w:val="32"/>
          <w:lang w:val="en-US" w:eastAsia="zh-CN" w:bidi="ar"/>
        </w:rPr>
        <w:t>招标形式</w:t>
      </w:r>
      <w:r>
        <w:tab/>
      </w:r>
      <w:r>
        <w:fldChar w:fldCharType="begin"/>
      </w:r>
      <w:r>
        <w:instrText xml:space="preserve"> PAGEREF _Toc7898 </w:instrText>
      </w:r>
      <w:r>
        <w:fldChar w:fldCharType="separate"/>
      </w:r>
      <w:r>
        <w:t>2</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_Toc25587 </w:instrText>
      </w:r>
      <w:r>
        <w:rPr>
          <w:lang w:val="en-US"/>
        </w:rPr>
        <w:fldChar w:fldCharType="separate"/>
      </w:r>
      <w:r>
        <w:rPr>
          <w:lang w:val="en-US"/>
        </w:rPr>
        <w:t>2.3</w:t>
      </w:r>
      <w:r>
        <w:rPr>
          <w:rFonts w:hint="eastAsia" w:ascii="Times New Roman" w:hAnsi="Times New Roman" w:eastAsia="宋体" w:cs="宋体"/>
          <w:lang w:eastAsia="zh-CN"/>
        </w:rPr>
        <w:t>议程安排</w:t>
      </w:r>
      <w:r>
        <w:tab/>
      </w:r>
      <w:r>
        <w:fldChar w:fldCharType="begin"/>
      </w:r>
      <w:r>
        <w:instrText xml:space="preserve"> PAGEREF _Toc25587 </w:instrText>
      </w:r>
      <w:r>
        <w:fldChar w:fldCharType="separate"/>
      </w:r>
      <w:r>
        <w:t>2</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_Toc7975 </w:instrText>
      </w:r>
      <w:r>
        <w:rPr>
          <w:lang w:val="en-US"/>
        </w:rPr>
        <w:fldChar w:fldCharType="separate"/>
      </w:r>
      <w:r>
        <w:rPr>
          <w:lang w:val="en-US"/>
        </w:rPr>
        <w:t xml:space="preserve">3 </w:t>
      </w:r>
      <w:r>
        <w:rPr>
          <w:rFonts w:hint="eastAsia" w:ascii="Times New Roman" w:hAnsi="Times New Roman" w:eastAsia="宋体" w:cs="宋体"/>
          <w:lang w:eastAsia="zh-CN"/>
        </w:rPr>
        <w:t>有关说明</w:t>
      </w:r>
      <w:r>
        <w:tab/>
      </w:r>
      <w:r>
        <w:fldChar w:fldCharType="begin"/>
      </w:r>
      <w:r>
        <w:instrText xml:space="preserve"> PAGEREF _Toc7975 </w:instrText>
      </w:r>
      <w:r>
        <w:fldChar w:fldCharType="separate"/>
      </w:r>
      <w:r>
        <w:t>3</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_Toc574 </w:instrText>
      </w:r>
      <w:r>
        <w:rPr>
          <w:lang w:val="en-US"/>
        </w:rPr>
        <w:fldChar w:fldCharType="separate"/>
      </w:r>
      <w:r>
        <w:rPr>
          <w:lang w:val="en-US"/>
        </w:rPr>
        <w:t xml:space="preserve">3.1 </w:t>
      </w:r>
      <w:r>
        <w:rPr>
          <w:rFonts w:hint="eastAsia" w:ascii="Times New Roman" w:hAnsi="Times New Roman" w:eastAsia="宋体" w:cs="宋体"/>
          <w:lang w:eastAsia="zh-CN"/>
        </w:rPr>
        <w:t>总则</w:t>
      </w:r>
      <w:r>
        <w:tab/>
      </w:r>
      <w:r>
        <w:fldChar w:fldCharType="begin"/>
      </w:r>
      <w:r>
        <w:instrText xml:space="preserve"> PAGEREF _Toc574 </w:instrText>
      </w:r>
      <w:r>
        <w:fldChar w:fldCharType="separate"/>
      </w:r>
      <w:r>
        <w:t>3</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_Toc15956 </w:instrText>
      </w:r>
      <w:r>
        <w:rPr>
          <w:lang w:val="en-US"/>
        </w:rPr>
        <w:fldChar w:fldCharType="separate"/>
      </w:r>
      <w:r>
        <w:rPr>
          <w:lang w:val="en-US"/>
        </w:rPr>
        <w:t xml:space="preserve">3.2 </w:t>
      </w:r>
      <w:r>
        <w:rPr>
          <w:rFonts w:hint="eastAsia" w:ascii="Times New Roman" w:hAnsi="Times New Roman" w:eastAsia="宋体" w:cs="宋体"/>
          <w:lang w:eastAsia="zh-CN"/>
        </w:rPr>
        <w:t>定义</w:t>
      </w:r>
      <w:r>
        <w:tab/>
      </w:r>
      <w:r>
        <w:fldChar w:fldCharType="begin"/>
      </w:r>
      <w:r>
        <w:instrText xml:space="preserve"> PAGEREF _Toc15956 </w:instrText>
      </w:r>
      <w:r>
        <w:fldChar w:fldCharType="separate"/>
      </w:r>
      <w:r>
        <w:t>3</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_Toc12211 </w:instrText>
      </w:r>
      <w:r>
        <w:rPr>
          <w:lang w:val="en-US"/>
        </w:rPr>
        <w:fldChar w:fldCharType="separate"/>
      </w:r>
      <w:r>
        <w:rPr>
          <w:lang w:val="en-US"/>
        </w:rPr>
        <w:t xml:space="preserve">3.3 </w:t>
      </w:r>
      <w:r>
        <w:rPr>
          <w:rFonts w:hint="eastAsia" w:ascii="Times New Roman" w:hAnsi="Times New Roman" w:eastAsia="宋体" w:cs="宋体"/>
          <w:lang w:eastAsia="zh-CN"/>
        </w:rPr>
        <w:t>投标人须知</w:t>
      </w:r>
      <w:r>
        <w:tab/>
      </w:r>
      <w:r>
        <w:fldChar w:fldCharType="begin"/>
      </w:r>
      <w:r>
        <w:instrText xml:space="preserve"> PAGEREF _Toc12211 </w:instrText>
      </w:r>
      <w:r>
        <w:fldChar w:fldCharType="separate"/>
      </w:r>
      <w:r>
        <w:t>3</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_Toc10654 </w:instrText>
      </w:r>
      <w:r>
        <w:rPr>
          <w:lang w:val="en-US"/>
        </w:rPr>
        <w:fldChar w:fldCharType="separate"/>
      </w:r>
      <w:r>
        <w:rPr>
          <w:rFonts w:cs="宋体"/>
          <w:lang w:val="en-US"/>
        </w:rPr>
        <w:t xml:space="preserve">4 </w:t>
      </w:r>
      <w:r>
        <w:rPr>
          <w:rFonts w:hint="eastAsia" w:ascii="Times New Roman" w:hAnsi="Times New Roman" w:eastAsia="宋体" w:cs="宋体"/>
          <w:lang w:eastAsia="zh-CN"/>
        </w:rPr>
        <w:t>交货及付款</w:t>
      </w:r>
      <w:r>
        <w:tab/>
      </w:r>
      <w:r>
        <w:fldChar w:fldCharType="begin"/>
      </w:r>
      <w:r>
        <w:instrText xml:space="preserve"> PAGEREF _Toc10654 </w:instrText>
      </w:r>
      <w:r>
        <w:fldChar w:fldCharType="separate"/>
      </w:r>
      <w:r>
        <w:t>4</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_Toc21753 </w:instrText>
      </w:r>
      <w:r>
        <w:rPr>
          <w:lang w:val="en-US"/>
        </w:rPr>
        <w:fldChar w:fldCharType="separate"/>
      </w:r>
      <w:r>
        <w:rPr>
          <w:lang w:val="en-US"/>
        </w:rPr>
        <w:t xml:space="preserve">5 </w:t>
      </w:r>
      <w:r>
        <w:rPr>
          <w:rFonts w:hint="eastAsia" w:ascii="Times New Roman" w:hAnsi="Times New Roman" w:eastAsia="宋体" w:cs="宋体"/>
          <w:lang w:eastAsia="zh-CN"/>
        </w:rPr>
        <w:t>投标说明</w:t>
      </w:r>
      <w:r>
        <w:tab/>
      </w:r>
      <w:r>
        <w:fldChar w:fldCharType="begin"/>
      </w:r>
      <w:r>
        <w:instrText xml:space="preserve"> PAGEREF _Toc21753 </w:instrText>
      </w:r>
      <w:r>
        <w:fldChar w:fldCharType="separate"/>
      </w:r>
      <w:r>
        <w:t>5</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_Toc15878 </w:instrText>
      </w:r>
      <w:r>
        <w:rPr>
          <w:lang w:val="en-US"/>
        </w:rPr>
        <w:fldChar w:fldCharType="separate"/>
      </w:r>
      <w:r>
        <w:rPr>
          <w:lang w:val="en-US"/>
        </w:rPr>
        <w:t xml:space="preserve">5.1 </w:t>
      </w:r>
      <w:r>
        <w:rPr>
          <w:rFonts w:hint="eastAsia" w:ascii="Times New Roman" w:hAnsi="Times New Roman" w:eastAsia="宋体" w:cs="宋体"/>
          <w:lang w:eastAsia="zh-CN"/>
        </w:rPr>
        <w:t>招标要求</w:t>
      </w:r>
      <w:r>
        <w:tab/>
      </w:r>
      <w:r>
        <w:fldChar w:fldCharType="begin"/>
      </w:r>
      <w:r>
        <w:instrText xml:space="preserve"> PAGEREF _Toc15878 </w:instrText>
      </w:r>
      <w:r>
        <w:fldChar w:fldCharType="separate"/>
      </w:r>
      <w:r>
        <w:t>5</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_Toc24113 </w:instrText>
      </w:r>
      <w:r>
        <w:rPr>
          <w:lang w:val="en-US"/>
        </w:rPr>
        <w:fldChar w:fldCharType="separate"/>
      </w:r>
      <w:r>
        <w:rPr>
          <w:rFonts w:hint="eastAsia" w:ascii="Arial" w:hAnsi="Arial" w:eastAsia="黑体" w:cs="黑体"/>
          <w:szCs w:val="21"/>
        </w:rPr>
        <w:t>中国重汽集团济南动力有限公司</w:t>
      </w:r>
      <w:r>
        <w:tab/>
      </w:r>
      <w:r>
        <w:fldChar w:fldCharType="begin"/>
      </w:r>
      <w:r>
        <w:instrText xml:space="preserve"> PAGEREF _Toc24113 </w:instrText>
      </w:r>
      <w:r>
        <w:fldChar w:fldCharType="separate"/>
      </w:r>
      <w:r>
        <w:t>5</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_Toc21930 </w:instrText>
      </w:r>
      <w:r>
        <w:rPr>
          <w:lang w:val="en-US"/>
        </w:rPr>
        <w:fldChar w:fldCharType="separate"/>
      </w:r>
      <w:r>
        <w:rPr>
          <w:rFonts w:cs="宋体"/>
          <w:lang w:val="en-US"/>
        </w:rPr>
        <w:t xml:space="preserve">5.2 </w:t>
      </w:r>
      <w:r>
        <w:rPr>
          <w:rFonts w:hint="eastAsia" w:ascii="Times New Roman" w:hAnsi="Times New Roman" w:eastAsia="宋体" w:cs="宋体"/>
          <w:lang w:eastAsia="zh-CN"/>
        </w:rPr>
        <w:t>投标报价</w:t>
      </w:r>
      <w:r>
        <w:tab/>
      </w:r>
      <w:r>
        <w:fldChar w:fldCharType="begin"/>
      </w:r>
      <w:r>
        <w:instrText xml:space="preserve"> PAGEREF _Toc21930 </w:instrText>
      </w:r>
      <w:r>
        <w:fldChar w:fldCharType="separate"/>
      </w:r>
      <w:r>
        <w:t>5</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_Toc27007 </w:instrText>
      </w:r>
      <w:r>
        <w:rPr>
          <w:lang w:val="en-US"/>
        </w:rPr>
        <w:fldChar w:fldCharType="separate"/>
      </w:r>
      <w:r>
        <w:rPr>
          <w:lang w:val="en-US"/>
        </w:rPr>
        <w:t xml:space="preserve">5.3 </w:t>
      </w:r>
      <w:r>
        <w:rPr>
          <w:rFonts w:hint="eastAsia" w:ascii="Times New Roman" w:hAnsi="Times New Roman" w:eastAsia="宋体" w:cs="宋体"/>
          <w:lang w:eastAsia="zh-CN"/>
        </w:rPr>
        <w:t>招标文件的组成</w:t>
      </w:r>
      <w:r>
        <w:tab/>
      </w:r>
      <w:r>
        <w:fldChar w:fldCharType="begin"/>
      </w:r>
      <w:r>
        <w:instrText xml:space="preserve"> PAGEREF _Toc27007 </w:instrText>
      </w:r>
      <w:r>
        <w:fldChar w:fldCharType="separate"/>
      </w:r>
      <w:r>
        <w:t>6</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_Toc30898 </w:instrText>
      </w:r>
      <w:r>
        <w:rPr>
          <w:lang w:val="en-US"/>
        </w:rPr>
        <w:fldChar w:fldCharType="separate"/>
      </w:r>
      <w:r>
        <w:rPr>
          <w:lang w:val="en-US"/>
        </w:rPr>
        <w:t xml:space="preserve">5.4 </w:t>
      </w:r>
      <w:r>
        <w:rPr>
          <w:rFonts w:hint="eastAsia" w:ascii="Times New Roman" w:hAnsi="Times New Roman" w:eastAsia="宋体" w:cs="宋体"/>
          <w:lang w:eastAsia="zh-CN"/>
        </w:rPr>
        <w:t>招标文件的澄清</w:t>
      </w:r>
      <w:r>
        <w:tab/>
      </w:r>
      <w:r>
        <w:fldChar w:fldCharType="begin"/>
      </w:r>
      <w:r>
        <w:instrText xml:space="preserve"> PAGEREF _Toc30898 </w:instrText>
      </w:r>
      <w:r>
        <w:fldChar w:fldCharType="separate"/>
      </w:r>
      <w:r>
        <w:t>6</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_Toc32438 </w:instrText>
      </w:r>
      <w:r>
        <w:rPr>
          <w:lang w:val="en-US"/>
        </w:rPr>
        <w:fldChar w:fldCharType="separate"/>
      </w:r>
      <w:r>
        <w:rPr>
          <w:lang w:val="en-US"/>
        </w:rPr>
        <w:t xml:space="preserve">5.5 </w:t>
      </w:r>
      <w:r>
        <w:rPr>
          <w:rFonts w:hint="eastAsia" w:ascii="Times New Roman" w:hAnsi="Times New Roman" w:eastAsia="宋体" w:cs="宋体"/>
          <w:lang w:eastAsia="zh-CN"/>
        </w:rPr>
        <w:t>招标文件的修改</w:t>
      </w:r>
      <w:r>
        <w:tab/>
      </w:r>
      <w:r>
        <w:fldChar w:fldCharType="begin"/>
      </w:r>
      <w:r>
        <w:instrText xml:space="preserve"> PAGEREF _Toc32438 </w:instrText>
      </w:r>
      <w:r>
        <w:fldChar w:fldCharType="separate"/>
      </w:r>
      <w:r>
        <w:t>6</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_Toc22213 </w:instrText>
      </w:r>
      <w:r>
        <w:rPr>
          <w:lang w:val="en-US"/>
        </w:rPr>
        <w:fldChar w:fldCharType="separate"/>
      </w:r>
      <w:r>
        <w:rPr>
          <w:lang w:val="en-US"/>
        </w:rPr>
        <w:t xml:space="preserve">6 </w:t>
      </w:r>
      <w:r>
        <w:rPr>
          <w:rFonts w:hint="eastAsia" w:ascii="Times New Roman" w:hAnsi="Times New Roman" w:eastAsia="宋体" w:cs="宋体"/>
          <w:lang w:eastAsia="zh-CN"/>
        </w:rPr>
        <w:t>投标文件的内容和要求</w:t>
      </w:r>
      <w:r>
        <w:tab/>
      </w:r>
      <w:r>
        <w:fldChar w:fldCharType="begin"/>
      </w:r>
      <w:r>
        <w:instrText xml:space="preserve"> PAGEREF _Toc22213 </w:instrText>
      </w:r>
      <w:r>
        <w:fldChar w:fldCharType="separate"/>
      </w:r>
      <w:r>
        <w:t>7</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_Toc16760 </w:instrText>
      </w:r>
      <w:r>
        <w:rPr>
          <w:lang w:val="en-US"/>
        </w:rPr>
        <w:fldChar w:fldCharType="separate"/>
      </w:r>
      <w:r>
        <w:rPr>
          <w:lang w:val="en-US"/>
        </w:rPr>
        <w:t xml:space="preserve">6.1 </w:t>
      </w:r>
      <w:r>
        <w:rPr>
          <w:rFonts w:hint="eastAsia" w:ascii="Times New Roman" w:hAnsi="Times New Roman" w:eastAsia="宋体" w:cs="宋体"/>
          <w:lang w:eastAsia="zh-CN"/>
        </w:rPr>
        <w:t>投标文件计量单位</w:t>
      </w:r>
      <w:r>
        <w:tab/>
      </w:r>
      <w:r>
        <w:fldChar w:fldCharType="begin"/>
      </w:r>
      <w:r>
        <w:instrText xml:space="preserve"> PAGEREF _Toc16760 </w:instrText>
      </w:r>
      <w:r>
        <w:fldChar w:fldCharType="separate"/>
      </w:r>
      <w:r>
        <w:t>7</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_Toc21806 </w:instrText>
      </w:r>
      <w:r>
        <w:rPr>
          <w:lang w:val="en-US"/>
        </w:rPr>
        <w:fldChar w:fldCharType="separate"/>
      </w:r>
      <w:r>
        <w:rPr>
          <w:lang w:val="en-US"/>
        </w:rPr>
        <w:t xml:space="preserve">6.2 </w:t>
      </w:r>
      <w:r>
        <w:rPr>
          <w:rFonts w:hint="eastAsia" w:ascii="Times New Roman" w:hAnsi="Times New Roman" w:eastAsia="宋体" w:cs="宋体"/>
          <w:lang w:eastAsia="zh-CN"/>
        </w:rPr>
        <w:t>投标文件组成</w:t>
      </w:r>
      <w:r>
        <w:tab/>
      </w:r>
      <w:r>
        <w:fldChar w:fldCharType="begin"/>
      </w:r>
      <w:r>
        <w:instrText xml:space="preserve"> PAGEREF _Toc21806 </w:instrText>
      </w:r>
      <w:r>
        <w:fldChar w:fldCharType="separate"/>
      </w:r>
      <w:r>
        <w:t>7</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_Toc22863 </w:instrText>
      </w:r>
      <w:r>
        <w:rPr>
          <w:lang w:val="en-US"/>
        </w:rPr>
        <w:fldChar w:fldCharType="separate"/>
      </w:r>
      <w:r>
        <w:rPr>
          <w:lang w:val="en-US"/>
        </w:rPr>
        <w:t xml:space="preserve">6.3 </w:t>
      </w:r>
      <w:r>
        <w:rPr>
          <w:rFonts w:hint="eastAsia" w:ascii="Times New Roman" w:hAnsi="Times New Roman" w:eastAsia="宋体" w:cs="宋体"/>
          <w:lang w:eastAsia="zh-CN"/>
        </w:rPr>
        <w:t>投标文件的有效期</w:t>
      </w:r>
      <w:r>
        <w:tab/>
      </w:r>
      <w:r>
        <w:fldChar w:fldCharType="begin"/>
      </w:r>
      <w:r>
        <w:instrText xml:space="preserve"> PAGEREF _Toc22863 </w:instrText>
      </w:r>
      <w:r>
        <w:fldChar w:fldCharType="separate"/>
      </w:r>
      <w:r>
        <w:t>8</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_Toc7954 </w:instrText>
      </w:r>
      <w:r>
        <w:rPr>
          <w:lang w:val="en-US"/>
        </w:rPr>
        <w:fldChar w:fldCharType="separate"/>
      </w:r>
      <w:r>
        <w:rPr>
          <w:lang w:val="en-US"/>
        </w:rPr>
        <w:t xml:space="preserve">6.4 </w:t>
      </w:r>
      <w:r>
        <w:rPr>
          <w:rFonts w:hint="eastAsia" w:ascii="Times New Roman" w:hAnsi="Times New Roman" w:eastAsia="宋体" w:cs="宋体"/>
          <w:lang w:eastAsia="zh-CN"/>
        </w:rPr>
        <w:t>投标文件格式</w:t>
      </w:r>
      <w:r>
        <w:tab/>
      </w:r>
      <w:r>
        <w:fldChar w:fldCharType="begin"/>
      </w:r>
      <w:r>
        <w:instrText xml:space="preserve"> PAGEREF _Toc7954 </w:instrText>
      </w:r>
      <w:r>
        <w:fldChar w:fldCharType="separate"/>
      </w:r>
      <w:r>
        <w:t>8</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_Toc26500 </w:instrText>
      </w:r>
      <w:r>
        <w:rPr>
          <w:lang w:val="en-US"/>
        </w:rPr>
        <w:fldChar w:fldCharType="separate"/>
      </w:r>
      <w:r>
        <w:rPr>
          <w:lang w:val="en-US"/>
        </w:rPr>
        <w:t xml:space="preserve">6.5 </w:t>
      </w:r>
      <w:r>
        <w:rPr>
          <w:rFonts w:hint="eastAsia" w:ascii="Times New Roman" w:hAnsi="Times New Roman" w:eastAsia="宋体" w:cs="宋体"/>
          <w:lang w:eastAsia="zh-CN"/>
        </w:rPr>
        <w:t>投标文件的装袋、密封和递交</w:t>
      </w:r>
      <w:r>
        <w:tab/>
      </w:r>
      <w:r>
        <w:fldChar w:fldCharType="begin"/>
      </w:r>
      <w:r>
        <w:instrText xml:space="preserve"> PAGEREF _Toc26500 </w:instrText>
      </w:r>
      <w:r>
        <w:fldChar w:fldCharType="separate"/>
      </w:r>
      <w:r>
        <w:t>8</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_Toc20583 </w:instrText>
      </w:r>
      <w:r>
        <w:rPr>
          <w:lang w:val="en-US"/>
        </w:rPr>
        <w:fldChar w:fldCharType="separate"/>
      </w:r>
      <w:r>
        <w:rPr>
          <w:lang w:val="en-US"/>
        </w:rPr>
        <w:t xml:space="preserve">6.6 </w:t>
      </w:r>
      <w:r>
        <w:rPr>
          <w:rFonts w:hint="eastAsia" w:ascii="Times New Roman" w:hAnsi="Times New Roman" w:eastAsia="宋体" w:cs="宋体"/>
          <w:lang w:eastAsia="zh-CN"/>
        </w:rPr>
        <w:t>投标文件的澄清</w:t>
      </w:r>
      <w:r>
        <w:tab/>
      </w:r>
      <w:r>
        <w:fldChar w:fldCharType="begin"/>
      </w:r>
      <w:r>
        <w:instrText xml:space="preserve"> PAGEREF _Toc20583 </w:instrText>
      </w:r>
      <w:r>
        <w:fldChar w:fldCharType="separate"/>
      </w:r>
      <w:r>
        <w:t>9</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_Toc24773 </w:instrText>
      </w:r>
      <w:r>
        <w:rPr>
          <w:lang w:val="en-US"/>
        </w:rPr>
        <w:fldChar w:fldCharType="separate"/>
      </w:r>
      <w:r>
        <w:rPr>
          <w:lang w:val="en-US"/>
        </w:rPr>
        <w:t xml:space="preserve">6.7 </w:t>
      </w:r>
      <w:r>
        <w:rPr>
          <w:rFonts w:hint="eastAsia" w:ascii="Times New Roman" w:hAnsi="Times New Roman" w:eastAsia="宋体" w:cs="宋体"/>
          <w:lang w:eastAsia="zh-CN"/>
        </w:rPr>
        <w:t>开标</w:t>
      </w:r>
      <w:r>
        <w:tab/>
      </w:r>
      <w:r>
        <w:fldChar w:fldCharType="begin"/>
      </w:r>
      <w:r>
        <w:instrText xml:space="preserve"> PAGEREF _Toc24773 </w:instrText>
      </w:r>
      <w:r>
        <w:fldChar w:fldCharType="separate"/>
      </w:r>
      <w:r>
        <w:t>9</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_Toc22921 </w:instrText>
      </w:r>
      <w:r>
        <w:rPr>
          <w:lang w:val="en-US"/>
        </w:rPr>
        <w:fldChar w:fldCharType="separate"/>
      </w:r>
      <w:r>
        <w:rPr>
          <w:rFonts w:cs="宋体"/>
          <w:lang w:val="en-US"/>
        </w:rPr>
        <w:t>7 1</w:t>
      </w:r>
      <w:r>
        <w:rPr>
          <w:rFonts w:hint="eastAsia" w:ascii="Times New Roman" w:hAnsi="Times New Roman" w:eastAsia="宋体" w:cs="宋体"/>
          <w:lang w:eastAsia="zh-CN"/>
        </w:rPr>
        <w:t>、讲标及评标</w:t>
      </w:r>
      <w:r>
        <w:tab/>
      </w:r>
      <w:r>
        <w:fldChar w:fldCharType="begin"/>
      </w:r>
      <w:r>
        <w:instrText xml:space="preserve"> PAGEREF _Toc22921 </w:instrText>
      </w:r>
      <w:r>
        <w:fldChar w:fldCharType="separate"/>
      </w:r>
      <w:r>
        <w:t>10</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_Toc4306 </w:instrText>
      </w:r>
      <w:r>
        <w:rPr>
          <w:lang w:val="en-US"/>
        </w:rPr>
        <w:fldChar w:fldCharType="separate"/>
      </w:r>
      <w:r>
        <w:rPr>
          <w:lang w:val="en-US"/>
        </w:rPr>
        <w:t xml:space="preserve">7.1 </w:t>
      </w:r>
      <w:r>
        <w:rPr>
          <w:rFonts w:hint="eastAsia" w:ascii="Times New Roman" w:hAnsi="Times New Roman" w:eastAsia="宋体" w:cs="宋体"/>
          <w:lang w:eastAsia="zh-CN"/>
        </w:rPr>
        <w:t>评标</w:t>
      </w:r>
      <w:r>
        <w:tab/>
      </w:r>
      <w:r>
        <w:fldChar w:fldCharType="begin"/>
      </w:r>
      <w:r>
        <w:instrText xml:space="preserve"> PAGEREF _Toc4306 </w:instrText>
      </w:r>
      <w:r>
        <w:fldChar w:fldCharType="separate"/>
      </w:r>
      <w:r>
        <w:t>11</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_Toc26790 </w:instrText>
      </w:r>
      <w:r>
        <w:rPr>
          <w:lang w:val="en-US"/>
        </w:rPr>
        <w:fldChar w:fldCharType="separate"/>
      </w:r>
      <w:r>
        <w:rPr>
          <w:lang w:val="en-US"/>
        </w:rPr>
        <w:t xml:space="preserve">7.2 </w:t>
      </w:r>
      <w:r>
        <w:rPr>
          <w:rFonts w:hint="eastAsia" w:ascii="Times New Roman" w:hAnsi="Times New Roman" w:eastAsia="宋体" w:cs="宋体"/>
          <w:lang w:eastAsia="zh-CN"/>
        </w:rPr>
        <w:t>中标及合同签订</w:t>
      </w:r>
      <w:r>
        <w:tab/>
      </w:r>
      <w:r>
        <w:fldChar w:fldCharType="begin"/>
      </w:r>
      <w:r>
        <w:instrText xml:space="preserve"> PAGEREF _Toc26790 </w:instrText>
      </w:r>
      <w:r>
        <w:fldChar w:fldCharType="separate"/>
      </w:r>
      <w:r>
        <w:t>12</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_Toc207 </w:instrText>
      </w:r>
      <w:r>
        <w:rPr>
          <w:lang w:val="en-US"/>
        </w:rPr>
        <w:fldChar w:fldCharType="separate"/>
      </w:r>
      <w:r>
        <w:rPr>
          <w:lang w:val="en-US"/>
        </w:rPr>
        <w:t xml:space="preserve">7.3 </w:t>
      </w:r>
      <w:r>
        <w:rPr>
          <w:rFonts w:hint="eastAsia" w:ascii="Times New Roman" w:hAnsi="Times New Roman" w:eastAsia="宋体" w:cs="宋体"/>
          <w:lang w:eastAsia="zh-CN"/>
        </w:rPr>
        <w:t>废标</w:t>
      </w:r>
      <w:r>
        <w:tab/>
      </w:r>
      <w:r>
        <w:fldChar w:fldCharType="begin"/>
      </w:r>
      <w:r>
        <w:instrText xml:space="preserve"> PAGEREF _Toc207 </w:instrText>
      </w:r>
      <w:r>
        <w:fldChar w:fldCharType="separate"/>
      </w:r>
      <w:r>
        <w:t>12</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_Toc20309 </w:instrText>
      </w:r>
      <w:r>
        <w:rPr>
          <w:lang w:val="en-US"/>
        </w:rPr>
        <w:fldChar w:fldCharType="separate"/>
      </w:r>
      <w:r>
        <w:rPr>
          <w:rFonts w:cs="宋体"/>
          <w:lang w:val="en-US"/>
        </w:rPr>
        <w:t xml:space="preserve">7.4 </w:t>
      </w:r>
      <w:r>
        <w:rPr>
          <w:rFonts w:hint="eastAsia" w:ascii="Times New Roman" w:hAnsi="Times New Roman" w:eastAsia="宋体" w:cs="宋体"/>
          <w:lang w:eastAsia="zh-CN"/>
        </w:rPr>
        <w:t>瑕疵滞后发现的处理</w:t>
      </w:r>
      <w:r>
        <w:tab/>
      </w:r>
      <w:r>
        <w:fldChar w:fldCharType="begin"/>
      </w:r>
      <w:r>
        <w:instrText xml:space="preserve"> PAGEREF _Toc20309 </w:instrText>
      </w:r>
      <w:r>
        <w:fldChar w:fldCharType="separate"/>
      </w:r>
      <w:r>
        <w:t>13</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_Toc31983 </w:instrText>
      </w:r>
      <w:r>
        <w:rPr>
          <w:lang w:val="en-US"/>
        </w:rPr>
        <w:fldChar w:fldCharType="separate"/>
      </w:r>
      <w:r>
        <w:rPr>
          <w:rFonts w:hint="eastAsia" w:ascii="Times New Roman" w:hAnsi="Times New Roman" w:eastAsia="宋体" w:cs="宋体"/>
          <w:lang w:val="en-US" w:eastAsia="zh-CN"/>
        </w:rPr>
        <w:t>7.5 合同以双方最终签署的版本为准。</w:t>
      </w:r>
      <w:r>
        <w:tab/>
      </w:r>
      <w:r>
        <w:fldChar w:fldCharType="begin"/>
      </w:r>
      <w:r>
        <w:instrText xml:space="preserve"> PAGEREF _Toc31983 </w:instrText>
      </w:r>
      <w:r>
        <w:fldChar w:fldCharType="separate"/>
      </w:r>
      <w:r>
        <w:t>13</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_Toc19986 </w:instrText>
      </w:r>
      <w:r>
        <w:rPr>
          <w:lang w:val="en-US"/>
        </w:rPr>
        <w:fldChar w:fldCharType="separate"/>
      </w:r>
      <w:r>
        <w:rPr>
          <w:rFonts w:hint="eastAsia" w:ascii="Times New Roman" w:hAnsi="Times New Roman" w:eastAsia="宋体" w:cs="宋体"/>
          <w:lang w:eastAsia="zh-CN"/>
        </w:rPr>
        <w:t>技术及业务部分</w:t>
      </w:r>
      <w:r>
        <w:tab/>
      </w:r>
      <w:r>
        <w:fldChar w:fldCharType="begin"/>
      </w:r>
      <w:r>
        <w:instrText xml:space="preserve"> PAGEREF _Toc19986 </w:instrText>
      </w:r>
      <w:r>
        <w:fldChar w:fldCharType="separate"/>
      </w:r>
      <w:r>
        <w:t>14</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_Toc7303 </w:instrText>
      </w:r>
      <w:r>
        <w:rPr>
          <w:lang w:val="en-US"/>
        </w:rPr>
        <w:fldChar w:fldCharType="separate"/>
      </w:r>
      <w:r>
        <w:rPr>
          <w:lang w:val="en-US"/>
        </w:rPr>
        <w:t xml:space="preserve">1 </w:t>
      </w:r>
      <w:r>
        <w:rPr>
          <w:rFonts w:hint="eastAsia" w:ascii="Times New Roman" w:hAnsi="Times New Roman" w:eastAsia="宋体" w:cs="宋体"/>
          <w:lang w:eastAsia="zh-CN"/>
        </w:rPr>
        <w:t>项目组织范围</w:t>
      </w:r>
      <w:r>
        <w:tab/>
      </w:r>
      <w:r>
        <w:fldChar w:fldCharType="begin"/>
      </w:r>
      <w:r>
        <w:instrText xml:space="preserve"> PAGEREF _Toc7303 </w:instrText>
      </w:r>
      <w:r>
        <w:fldChar w:fldCharType="separate"/>
      </w:r>
      <w:r>
        <w:t>15</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_Toc15482 </w:instrText>
      </w:r>
      <w:r>
        <w:rPr>
          <w:lang w:val="en-US"/>
        </w:rPr>
        <w:fldChar w:fldCharType="separate"/>
      </w:r>
      <w:r>
        <w:rPr>
          <w:lang w:val="en-US"/>
        </w:rPr>
        <w:t xml:space="preserve">2 </w:t>
      </w:r>
      <w:r>
        <w:rPr>
          <w:rFonts w:hint="eastAsia" w:ascii="Times New Roman" w:hAnsi="Times New Roman" w:eastAsia="宋体" w:cs="宋体"/>
          <w:lang w:eastAsia="zh-CN"/>
        </w:rPr>
        <w:t>项目技术要求</w:t>
      </w:r>
      <w:r>
        <w:tab/>
      </w:r>
      <w:r>
        <w:fldChar w:fldCharType="begin"/>
      </w:r>
      <w:r>
        <w:instrText xml:space="preserve"> PAGEREF _Toc15482 </w:instrText>
      </w:r>
      <w:r>
        <w:fldChar w:fldCharType="separate"/>
      </w:r>
      <w:r>
        <w:t>16</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_Toc2011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2.1 </w:t>
      </w:r>
      <w:r>
        <w:rPr>
          <w:rFonts w:hint="eastAsia" w:ascii="Times New Roman" w:hAnsi="Times New Roman" w:eastAsia="宋体" w:cs="宋体"/>
          <w:vertAlign w:val="baseline"/>
          <w:lang w:eastAsia="zh-CN"/>
        </w:rPr>
        <w:t>咨询要求</w:t>
      </w:r>
      <w:r>
        <w:tab/>
      </w:r>
      <w:r>
        <w:fldChar w:fldCharType="begin"/>
      </w:r>
      <w:r>
        <w:instrText xml:space="preserve"> PAGEREF _Toc2011 </w:instrText>
      </w:r>
      <w:r>
        <w:fldChar w:fldCharType="separate"/>
      </w:r>
      <w:r>
        <w:t>16</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_Toc31863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2.2 </w:t>
      </w:r>
      <w:r>
        <w:rPr>
          <w:rFonts w:hint="eastAsia" w:ascii="Times New Roman" w:hAnsi="Times New Roman" w:eastAsia="宋体" w:cs="宋体"/>
          <w:vertAlign w:val="baseline"/>
          <w:lang w:eastAsia="zh-CN"/>
        </w:rPr>
        <w:t>业务需求及产品功能要求</w:t>
      </w:r>
      <w:r>
        <w:tab/>
      </w:r>
      <w:r>
        <w:fldChar w:fldCharType="begin"/>
      </w:r>
      <w:r>
        <w:instrText xml:space="preserve"> PAGEREF _Toc31863 </w:instrText>
      </w:r>
      <w:r>
        <w:fldChar w:fldCharType="separate"/>
      </w:r>
      <w:r>
        <w:t>19</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_Toc20763 </w:instrText>
      </w:r>
      <w:r>
        <w:rPr>
          <w:lang w:val="en-US"/>
        </w:rPr>
        <w:fldChar w:fldCharType="separate"/>
      </w:r>
      <w:r>
        <w:rPr>
          <w:lang w:val="en-US"/>
        </w:rPr>
        <w:t xml:space="preserve">2.2.1 </w:t>
      </w:r>
      <w:r>
        <w:rPr>
          <w:rFonts w:hint="eastAsia" w:ascii="Times New Roman" w:hAnsi="Times New Roman" w:eastAsia="宋体" w:cs="宋体"/>
          <w:lang w:eastAsia="zh-CN"/>
        </w:rPr>
        <w:t>总体要求</w:t>
      </w:r>
      <w:r>
        <w:tab/>
      </w:r>
      <w:r>
        <w:fldChar w:fldCharType="begin"/>
      </w:r>
      <w:r>
        <w:instrText xml:space="preserve"> PAGEREF _Toc20763 </w:instrText>
      </w:r>
      <w:r>
        <w:fldChar w:fldCharType="separate"/>
      </w:r>
      <w:r>
        <w:t>19</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_Toc22459 </w:instrText>
      </w:r>
      <w:r>
        <w:rPr>
          <w:lang w:val="en-US"/>
        </w:rPr>
        <w:fldChar w:fldCharType="separate"/>
      </w:r>
      <w:r>
        <w:rPr>
          <w:lang w:val="en-US"/>
        </w:rPr>
        <w:t xml:space="preserve">2.2.2 </w:t>
      </w:r>
      <w:r>
        <w:rPr>
          <w:rFonts w:hint="eastAsia" w:ascii="Times New Roman" w:hAnsi="Times New Roman" w:eastAsia="宋体" w:cs="宋体"/>
          <w:lang w:eastAsia="zh-CN"/>
        </w:rPr>
        <w:t>方案设计原则</w:t>
      </w:r>
      <w:r>
        <w:tab/>
      </w:r>
      <w:r>
        <w:fldChar w:fldCharType="begin"/>
      </w:r>
      <w:r>
        <w:instrText xml:space="preserve"> PAGEREF _Toc22459 </w:instrText>
      </w:r>
      <w:r>
        <w:fldChar w:fldCharType="separate"/>
      </w:r>
      <w:r>
        <w:t>19</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_Toc8802 </w:instrText>
      </w:r>
      <w:r>
        <w:rPr>
          <w:lang w:val="en-US"/>
        </w:rPr>
        <w:fldChar w:fldCharType="separate"/>
      </w:r>
      <w:r>
        <w:rPr>
          <w:lang w:val="en-US"/>
        </w:rPr>
        <w:t xml:space="preserve">2.2.3 </w:t>
      </w:r>
      <w:r>
        <w:rPr>
          <w:rFonts w:hint="eastAsia" w:ascii="Times New Roman" w:hAnsi="Times New Roman" w:eastAsia="宋体" w:cs="宋体"/>
          <w:lang w:eastAsia="zh-CN"/>
        </w:rPr>
        <w:t>功能要求</w:t>
      </w:r>
      <w:r>
        <w:tab/>
      </w:r>
      <w:r>
        <w:fldChar w:fldCharType="begin"/>
      </w:r>
      <w:r>
        <w:instrText xml:space="preserve"> PAGEREF _Toc8802 </w:instrText>
      </w:r>
      <w:r>
        <w:fldChar w:fldCharType="separate"/>
      </w:r>
      <w:r>
        <w:t>20</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_Toc8773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2.3 </w:t>
      </w:r>
      <w:r>
        <w:rPr>
          <w:rFonts w:hint="eastAsia" w:ascii="Times New Roman" w:hAnsi="Times New Roman" w:eastAsia="宋体" w:cs="宋体"/>
          <w:vertAlign w:val="baseline"/>
          <w:lang w:eastAsia="zh-CN"/>
        </w:rPr>
        <w:t>非功能性要求</w:t>
      </w:r>
      <w:r>
        <w:tab/>
      </w:r>
      <w:r>
        <w:fldChar w:fldCharType="begin"/>
      </w:r>
      <w:r>
        <w:instrText xml:space="preserve"> PAGEREF _Toc8773 </w:instrText>
      </w:r>
      <w:r>
        <w:fldChar w:fldCharType="separate"/>
      </w:r>
      <w:r>
        <w:t>21</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_Toc20677 </w:instrText>
      </w:r>
      <w:r>
        <w:rPr>
          <w:lang w:val="en-US"/>
        </w:rPr>
        <w:fldChar w:fldCharType="separate"/>
      </w:r>
      <w:r>
        <w:rPr>
          <w:lang w:val="en-US"/>
        </w:rPr>
        <w:t xml:space="preserve">2.3.1 </w:t>
      </w:r>
      <w:r>
        <w:rPr>
          <w:rFonts w:hint="eastAsia" w:ascii="Times New Roman" w:hAnsi="Times New Roman" w:eastAsia="宋体" w:cs="宋体"/>
          <w:lang w:eastAsia="zh-CN"/>
        </w:rPr>
        <w:t>先进性和前瞻性</w:t>
      </w:r>
      <w:r>
        <w:tab/>
      </w:r>
      <w:r>
        <w:fldChar w:fldCharType="begin"/>
      </w:r>
      <w:r>
        <w:instrText xml:space="preserve"> PAGEREF _Toc20677 </w:instrText>
      </w:r>
      <w:r>
        <w:fldChar w:fldCharType="separate"/>
      </w:r>
      <w:r>
        <w:t>21</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_Toc4539 </w:instrText>
      </w:r>
      <w:r>
        <w:rPr>
          <w:lang w:val="en-US"/>
        </w:rPr>
        <w:fldChar w:fldCharType="separate"/>
      </w:r>
      <w:r>
        <w:rPr>
          <w:lang w:val="en-US"/>
        </w:rPr>
        <w:t xml:space="preserve">2.3.2 </w:t>
      </w:r>
      <w:r>
        <w:rPr>
          <w:rFonts w:hint="eastAsia" w:ascii="Times New Roman" w:hAnsi="Times New Roman" w:eastAsia="宋体" w:cs="宋体"/>
          <w:lang w:eastAsia="zh-CN"/>
        </w:rPr>
        <w:t>开放性和标准性</w:t>
      </w:r>
      <w:r>
        <w:tab/>
      </w:r>
      <w:r>
        <w:fldChar w:fldCharType="begin"/>
      </w:r>
      <w:r>
        <w:instrText xml:space="preserve"> PAGEREF _Toc4539 </w:instrText>
      </w:r>
      <w:r>
        <w:fldChar w:fldCharType="separate"/>
      </w:r>
      <w:r>
        <w:t>21</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_Toc9385 </w:instrText>
      </w:r>
      <w:r>
        <w:rPr>
          <w:lang w:val="en-US"/>
        </w:rPr>
        <w:fldChar w:fldCharType="separate"/>
      </w:r>
      <w:r>
        <w:rPr>
          <w:lang w:eastAsia="zh-CN"/>
        </w:rPr>
        <w:t xml:space="preserve">2.3.3 </w:t>
      </w:r>
      <w:r>
        <w:rPr>
          <w:rFonts w:hint="eastAsia" w:ascii="Times New Roman" w:hAnsi="Times New Roman" w:eastAsia="宋体" w:cs="宋体"/>
          <w:lang w:eastAsia="zh-CN"/>
        </w:rPr>
        <w:t>易操作性和可恢复性</w:t>
      </w:r>
      <w:r>
        <w:tab/>
      </w:r>
      <w:r>
        <w:fldChar w:fldCharType="begin"/>
      </w:r>
      <w:r>
        <w:instrText xml:space="preserve"> PAGEREF _Toc9385 </w:instrText>
      </w:r>
      <w:r>
        <w:fldChar w:fldCharType="separate"/>
      </w:r>
      <w:r>
        <w:t>22</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_Toc30940 </w:instrText>
      </w:r>
      <w:r>
        <w:rPr>
          <w:lang w:val="en-US"/>
        </w:rPr>
        <w:fldChar w:fldCharType="separate"/>
      </w:r>
      <w:r>
        <w:rPr>
          <w:lang w:eastAsia="zh-CN"/>
        </w:rPr>
        <w:t xml:space="preserve">2.3.4 </w:t>
      </w:r>
      <w:r>
        <w:rPr>
          <w:rFonts w:hint="eastAsia" w:ascii="Times New Roman" w:hAnsi="Times New Roman" w:eastAsia="宋体" w:cs="宋体"/>
          <w:lang w:eastAsia="zh-CN"/>
        </w:rPr>
        <w:t>可靠性和稳定性</w:t>
      </w:r>
      <w:r>
        <w:tab/>
      </w:r>
      <w:r>
        <w:fldChar w:fldCharType="begin"/>
      </w:r>
      <w:r>
        <w:instrText xml:space="preserve"> PAGEREF _Toc30940 </w:instrText>
      </w:r>
      <w:r>
        <w:fldChar w:fldCharType="separate"/>
      </w:r>
      <w:r>
        <w:t>22</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_Toc27133 </w:instrText>
      </w:r>
      <w:r>
        <w:rPr>
          <w:lang w:val="en-US"/>
        </w:rPr>
        <w:fldChar w:fldCharType="separate"/>
      </w:r>
      <w:r>
        <w:rPr>
          <w:lang w:eastAsia="zh-CN"/>
        </w:rPr>
        <w:t xml:space="preserve">2.3.5 </w:t>
      </w:r>
      <w:r>
        <w:rPr>
          <w:rFonts w:hint="eastAsia" w:ascii="Times New Roman" w:hAnsi="Times New Roman" w:eastAsia="宋体" w:cs="宋体"/>
          <w:lang w:eastAsia="zh-CN"/>
        </w:rPr>
        <w:t>安全性</w:t>
      </w:r>
      <w:r>
        <w:tab/>
      </w:r>
      <w:r>
        <w:fldChar w:fldCharType="begin"/>
      </w:r>
      <w:r>
        <w:instrText xml:space="preserve"> PAGEREF _Toc27133 </w:instrText>
      </w:r>
      <w:r>
        <w:fldChar w:fldCharType="separate"/>
      </w:r>
      <w:r>
        <w:t>22</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_Toc20322 </w:instrText>
      </w:r>
      <w:r>
        <w:rPr>
          <w:lang w:val="en-US"/>
        </w:rPr>
        <w:fldChar w:fldCharType="separate"/>
      </w:r>
      <w:r>
        <w:rPr>
          <w:lang w:val="en-US"/>
        </w:rPr>
        <w:t xml:space="preserve">2.3.6 </w:t>
      </w:r>
      <w:r>
        <w:rPr>
          <w:rFonts w:hint="eastAsia" w:ascii="Times New Roman" w:hAnsi="Times New Roman" w:eastAsia="宋体" w:cs="宋体"/>
          <w:lang w:eastAsia="zh-CN"/>
        </w:rPr>
        <w:t>可扩展性和管理性</w:t>
      </w:r>
      <w:r>
        <w:tab/>
      </w:r>
      <w:r>
        <w:fldChar w:fldCharType="begin"/>
      </w:r>
      <w:r>
        <w:instrText xml:space="preserve"> PAGEREF _Toc20322 </w:instrText>
      </w:r>
      <w:r>
        <w:fldChar w:fldCharType="separate"/>
      </w:r>
      <w:r>
        <w:t>23</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_Toc12040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2.4 </w:t>
      </w:r>
      <w:r>
        <w:rPr>
          <w:rFonts w:hint="eastAsia" w:ascii="Times New Roman" w:hAnsi="Times New Roman" w:eastAsia="宋体" w:cs="宋体"/>
          <w:vertAlign w:val="baseline"/>
          <w:lang w:eastAsia="zh-CN"/>
        </w:rPr>
        <w:t>实施要求</w:t>
      </w:r>
      <w:r>
        <w:tab/>
      </w:r>
      <w:r>
        <w:fldChar w:fldCharType="begin"/>
      </w:r>
      <w:r>
        <w:instrText xml:space="preserve"> PAGEREF _Toc12040 </w:instrText>
      </w:r>
      <w:r>
        <w:fldChar w:fldCharType="separate"/>
      </w:r>
      <w:r>
        <w:t>23</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_Toc29190 </w:instrText>
      </w:r>
      <w:r>
        <w:rPr>
          <w:lang w:val="en-US"/>
        </w:rPr>
        <w:fldChar w:fldCharType="separate"/>
      </w:r>
      <w:r>
        <w:rPr>
          <w:lang w:val="en-US"/>
        </w:rPr>
        <w:t xml:space="preserve">2.4.1 </w:t>
      </w:r>
      <w:r>
        <w:rPr>
          <w:rFonts w:hint="eastAsia" w:ascii="Times New Roman" w:hAnsi="Times New Roman" w:eastAsia="宋体" w:cs="宋体"/>
          <w:lang w:eastAsia="zh-CN"/>
        </w:rPr>
        <w:t>实施体系</w:t>
      </w:r>
      <w:r>
        <w:tab/>
      </w:r>
      <w:r>
        <w:fldChar w:fldCharType="begin"/>
      </w:r>
      <w:r>
        <w:instrText xml:space="preserve"> PAGEREF _Toc29190 </w:instrText>
      </w:r>
      <w:r>
        <w:fldChar w:fldCharType="separate"/>
      </w:r>
      <w:r>
        <w:t>23</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_Toc3821 </w:instrText>
      </w:r>
      <w:r>
        <w:rPr>
          <w:lang w:val="en-US"/>
        </w:rPr>
        <w:fldChar w:fldCharType="separate"/>
      </w:r>
      <w:r>
        <w:rPr>
          <w:lang w:val="en-US"/>
        </w:rPr>
        <w:t xml:space="preserve">2.4.2 </w:t>
      </w:r>
      <w:r>
        <w:rPr>
          <w:rFonts w:hint="eastAsia" w:ascii="Times New Roman" w:hAnsi="Times New Roman" w:eastAsia="宋体" w:cs="宋体"/>
          <w:lang w:eastAsia="zh-CN"/>
        </w:rPr>
        <w:t>安装调试</w:t>
      </w:r>
      <w:r>
        <w:tab/>
      </w:r>
      <w:r>
        <w:fldChar w:fldCharType="begin"/>
      </w:r>
      <w:r>
        <w:instrText xml:space="preserve"> PAGEREF _Toc3821 </w:instrText>
      </w:r>
      <w:r>
        <w:fldChar w:fldCharType="separate"/>
      </w:r>
      <w:r>
        <w:t>25</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_Toc9090 </w:instrText>
      </w:r>
      <w:r>
        <w:rPr>
          <w:lang w:val="en-US"/>
        </w:rPr>
        <w:fldChar w:fldCharType="separate"/>
      </w:r>
      <w:r>
        <w:rPr>
          <w:lang w:val="en-US"/>
        </w:rPr>
        <w:t xml:space="preserve">2.4.3 </w:t>
      </w:r>
      <w:r>
        <w:rPr>
          <w:rFonts w:hint="eastAsia" w:ascii="Times New Roman" w:hAnsi="Times New Roman" w:eastAsia="宋体" w:cs="宋体"/>
          <w:lang w:eastAsia="zh-CN"/>
        </w:rPr>
        <w:t>项目技术方案要求</w:t>
      </w:r>
      <w:r>
        <w:tab/>
      </w:r>
      <w:r>
        <w:fldChar w:fldCharType="begin"/>
      </w:r>
      <w:r>
        <w:instrText xml:space="preserve"> PAGEREF _Toc9090 </w:instrText>
      </w:r>
      <w:r>
        <w:fldChar w:fldCharType="separate"/>
      </w:r>
      <w:r>
        <w:t>25</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_Toc3351 </w:instrText>
      </w:r>
      <w:r>
        <w:rPr>
          <w:lang w:val="en-US"/>
        </w:rPr>
        <w:fldChar w:fldCharType="separate"/>
      </w:r>
      <w:r>
        <w:rPr>
          <w:lang w:val="en-US"/>
        </w:rPr>
        <w:t xml:space="preserve">2.4.4 </w:t>
      </w:r>
      <w:r>
        <w:rPr>
          <w:rFonts w:hint="eastAsia" w:ascii="Times New Roman" w:hAnsi="Times New Roman" w:eastAsia="宋体" w:cs="宋体"/>
          <w:lang w:eastAsia="zh-CN"/>
        </w:rPr>
        <w:t>其他</w:t>
      </w:r>
      <w:r>
        <w:tab/>
      </w:r>
      <w:r>
        <w:fldChar w:fldCharType="begin"/>
      </w:r>
      <w:r>
        <w:instrText xml:space="preserve"> PAGEREF _Toc3351 </w:instrText>
      </w:r>
      <w:r>
        <w:fldChar w:fldCharType="separate"/>
      </w:r>
      <w:r>
        <w:t>26</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_Toc24261 </w:instrText>
      </w:r>
      <w:r>
        <w:rPr>
          <w:lang w:val="en-US"/>
        </w:rPr>
        <w:fldChar w:fldCharType="separate"/>
      </w:r>
      <w:r>
        <w:rPr>
          <w:lang w:val="en-US"/>
        </w:rPr>
        <w:t xml:space="preserve">3 </w:t>
      </w:r>
      <w:r>
        <w:rPr>
          <w:rFonts w:hint="eastAsia" w:ascii="Times New Roman" w:hAnsi="Times New Roman" w:eastAsia="宋体" w:cs="宋体"/>
          <w:lang w:eastAsia="zh-CN"/>
        </w:rPr>
        <w:t>项目商务要求</w:t>
      </w:r>
      <w:r>
        <w:tab/>
      </w:r>
      <w:r>
        <w:fldChar w:fldCharType="begin"/>
      </w:r>
      <w:r>
        <w:instrText xml:space="preserve"> PAGEREF _Toc24261 </w:instrText>
      </w:r>
      <w:r>
        <w:fldChar w:fldCharType="separate"/>
      </w:r>
      <w:r>
        <w:t>27</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_Toc28965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3.1 </w:t>
      </w:r>
      <w:r>
        <w:rPr>
          <w:rFonts w:hint="eastAsia" w:ascii="Times New Roman" w:hAnsi="Times New Roman" w:eastAsia="宋体" w:cs="宋体"/>
          <w:vertAlign w:val="baseline"/>
          <w:lang w:eastAsia="zh-CN"/>
        </w:rPr>
        <w:t>投标人资质要求</w:t>
      </w:r>
      <w:r>
        <w:tab/>
      </w:r>
      <w:r>
        <w:fldChar w:fldCharType="begin"/>
      </w:r>
      <w:r>
        <w:instrText xml:space="preserve"> PAGEREF _Toc28965 </w:instrText>
      </w:r>
      <w:r>
        <w:fldChar w:fldCharType="separate"/>
      </w:r>
      <w:r>
        <w:t>27</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_Toc19387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3.2 </w:t>
      </w:r>
      <w:r>
        <w:rPr>
          <w:rFonts w:hint="eastAsia" w:ascii="Times New Roman" w:hAnsi="Times New Roman" w:eastAsia="宋体" w:cs="宋体"/>
          <w:vertAlign w:val="baseline"/>
          <w:lang w:eastAsia="zh-CN"/>
        </w:rPr>
        <w:t>人力资源要求</w:t>
      </w:r>
      <w:r>
        <w:tab/>
      </w:r>
      <w:r>
        <w:fldChar w:fldCharType="begin"/>
      </w:r>
      <w:r>
        <w:instrText xml:space="preserve"> PAGEREF _Toc19387 </w:instrText>
      </w:r>
      <w:r>
        <w:fldChar w:fldCharType="separate"/>
      </w:r>
      <w:r>
        <w:t>27</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_Toc20236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3.3 </w:t>
      </w:r>
      <w:r>
        <w:rPr>
          <w:rFonts w:hint="eastAsia" w:ascii="Times New Roman" w:hAnsi="Times New Roman" w:eastAsia="宋体" w:cs="宋体"/>
          <w:vertAlign w:val="baseline"/>
          <w:lang w:eastAsia="zh-CN"/>
        </w:rPr>
        <w:t>培训及售后服务要求</w:t>
      </w:r>
      <w:r>
        <w:tab/>
      </w:r>
      <w:r>
        <w:fldChar w:fldCharType="begin"/>
      </w:r>
      <w:r>
        <w:instrText xml:space="preserve"> PAGEREF _Toc20236 </w:instrText>
      </w:r>
      <w:r>
        <w:fldChar w:fldCharType="separate"/>
      </w:r>
      <w:r>
        <w:t>27</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_Toc29520 </w:instrText>
      </w:r>
      <w:r>
        <w:rPr>
          <w:lang w:val="en-US"/>
        </w:rPr>
        <w:fldChar w:fldCharType="separate"/>
      </w:r>
      <w:r>
        <w:rPr>
          <w:lang w:val="en-US"/>
        </w:rPr>
        <w:t xml:space="preserve">3.3.1 </w:t>
      </w:r>
      <w:r>
        <w:rPr>
          <w:rFonts w:hint="eastAsia" w:ascii="Times New Roman" w:hAnsi="Times New Roman" w:eastAsia="宋体" w:cs="宋体"/>
          <w:lang w:eastAsia="zh-CN"/>
        </w:rPr>
        <w:t>培训方案</w:t>
      </w:r>
      <w:r>
        <w:tab/>
      </w:r>
      <w:r>
        <w:fldChar w:fldCharType="begin"/>
      </w:r>
      <w:r>
        <w:instrText xml:space="preserve"> PAGEREF _Toc29520 </w:instrText>
      </w:r>
      <w:r>
        <w:fldChar w:fldCharType="separate"/>
      </w:r>
      <w:r>
        <w:t>27</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_Toc1424 </w:instrText>
      </w:r>
      <w:r>
        <w:rPr>
          <w:lang w:val="en-US"/>
        </w:rPr>
        <w:fldChar w:fldCharType="separate"/>
      </w:r>
      <w:r>
        <w:rPr>
          <w:lang w:val="en-US"/>
        </w:rPr>
        <w:t xml:space="preserve">3.3.2 </w:t>
      </w:r>
      <w:r>
        <w:rPr>
          <w:rFonts w:hint="eastAsia" w:ascii="Times New Roman" w:hAnsi="Times New Roman" w:eastAsia="宋体" w:cs="宋体"/>
          <w:lang w:eastAsia="zh-CN"/>
        </w:rPr>
        <w:t>知识转移</w:t>
      </w:r>
      <w:r>
        <w:tab/>
      </w:r>
      <w:r>
        <w:fldChar w:fldCharType="begin"/>
      </w:r>
      <w:r>
        <w:instrText xml:space="preserve"> PAGEREF _Toc1424 </w:instrText>
      </w:r>
      <w:r>
        <w:fldChar w:fldCharType="separate"/>
      </w:r>
      <w:r>
        <w:t>28</w:t>
      </w:r>
      <w:r>
        <w:fldChar w:fldCharType="end"/>
      </w:r>
      <w:r>
        <w:rPr>
          <w:lang w:val="en-US"/>
        </w:rPr>
        <w:fldChar w:fldCharType="end"/>
      </w:r>
    </w:p>
    <w:p>
      <w:pPr>
        <w:pStyle w:val="13"/>
        <w:tabs>
          <w:tab w:val="right" w:leader="dot" w:pos="8715"/>
        </w:tabs>
      </w:pPr>
      <w:r>
        <w:rPr>
          <w:lang w:val="en-US"/>
        </w:rPr>
        <w:fldChar w:fldCharType="begin"/>
      </w:r>
      <w:r>
        <w:rPr>
          <w:lang w:val="en-US"/>
        </w:rPr>
        <w:instrText xml:space="preserve"> HYPERLINK \l _Toc29852 </w:instrText>
      </w:r>
      <w:r>
        <w:rPr>
          <w:lang w:val="en-US"/>
        </w:rPr>
        <w:fldChar w:fldCharType="separate"/>
      </w:r>
      <w:r>
        <w:rPr>
          <w:lang w:val="en-US"/>
        </w:rPr>
        <w:t xml:space="preserve">3.3.3 </w:t>
      </w:r>
      <w:r>
        <w:rPr>
          <w:rFonts w:hint="eastAsia" w:ascii="Times New Roman" w:hAnsi="Times New Roman" w:eastAsia="宋体" w:cs="宋体"/>
          <w:lang w:eastAsia="zh-CN"/>
        </w:rPr>
        <w:t>售后技术支持</w:t>
      </w:r>
      <w:r>
        <w:tab/>
      </w:r>
      <w:r>
        <w:fldChar w:fldCharType="begin"/>
      </w:r>
      <w:r>
        <w:instrText xml:space="preserve"> PAGEREF _Toc29852 </w:instrText>
      </w:r>
      <w:r>
        <w:fldChar w:fldCharType="separate"/>
      </w:r>
      <w:r>
        <w:t>28</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_Toc3396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3.4 </w:t>
      </w:r>
      <w:r>
        <w:rPr>
          <w:rFonts w:hint="eastAsia" w:ascii="Times New Roman" w:hAnsi="Times New Roman" w:eastAsia="宋体" w:cs="宋体"/>
          <w:vertAlign w:val="baseline"/>
          <w:lang w:eastAsia="zh-CN"/>
        </w:rPr>
        <w:t>项目实施计划表</w:t>
      </w:r>
      <w:r>
        <w:tab/>
      </w:r>
      <w:r>
        <w:fldChar w:fldCharType="begin"/>
      </w:r>
      <w:r>
        <w:instrText xml:space="preserve"> PAGEREF _Toc3396 </w:instrText>
      </w:r>
      <w:r>
        <w:fldChar w:fldCharType="separate"/>
      </w:r>
      <w:r>
        <w:t>28</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_Toc19544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3.5 </w:t>
      </w:r>
      <w:r>
        <w:rPr>
          <w:rFonts w:hint="eastAsia" w:ascii="Times New Roman" w:hAnsi="Times New Roman" w:eastAsia="宋体" w:cs="宋体"/>
          <w:vertAlign w:val="baseline"/>
          <w:lang w:eastAsia="zh-CN"/>
        </w:rPr>
        <w:t>需求偏离</w:t>
      </w:r>
      <w:r>
        <w:tab/>
      </w:r>
      <w:r>
        <w:fldChar w:fldCharType="begin"/>
      </w:r>
      <w:r>
        <w:instrText xml:space="preserve"> PAGEREF _Toc19544 </w:instrText>
      </w:r>
      <w:r>
        <w:fldChar w:fldCharType="separate"/>
      </w:r>
      <w:r>
        <w:t>28</w:t>
      </w:r>
      <w:r>
        <w:fldChar w:fldCharType="end"/>
      </w:r>
      <w:r>
        <w:rPr>
          <w:lang w:val="en-US"/>
        </w:rPr>
        <w:fldChar w:fldCharType="end"/>
      </w:r>
    </w:p>
    <w:p>
      <w:pPr>
        <w:pStyle w:val="20"/>
        <w:tabs>
          <w:tab w:val="right" w:leader="dot" w:pos="8715"/>
        </w:tabs>
      </w:pPr>
      <w:r>
        <w:rPr>
          <w:lang w:val="en-US"/>
        </w:rPr>
        <w:fldChar w:fldCharType="begin"/>
      </w:r>
      <w:r>
        <w:rPr>
          <w:lang w:val="en-US"/>
        </w:rPr>
        <w:instrText xml:space="preserve"> HYPERLINK \l _Toc1190 </w:instrText>
      </w:r>
      <w:r>
        <w:rPr>
          <w:lang w:val="en-US"/>
        </w:rPr>
        <w:fldChar w:fldCharType="separate"/>
      </w:r>
      <w:r>
        <w:rPr>
          <w:rFonts w:ascii="Times New Roman" w:hAnsi="Times New Roman" w:cs="Times New Roman"/>
          <w:bCs w:val="0"/>
          <w:iCs w:val="0"/>
          <w:caps w:val="0"/>
          <w:strike w:val="0"/>
          <w:dstrike w:val="0"/>
          <w:vanish w:val="0"/>
          <w:spacing w:val="0"/>
          <w:position w:val="0"/>
          <w:vertAlign w:val="baseline"/>
          <w:lang w:val="en-US"/>
        </w:rPr>
        <w:t xml:space="preserve">3.6 </w:t>
      </w:r>
      <w:r>
        <w:rPr>
          <w:rFonts w:hint="eastAsia" w:ascii="Times New Roman" w:hAnsi="Times New Roman" w:eastAsia="宋体" w:cs="宋体"/>
          <w:vertAlign w:val="baseline"/>
          <w:lang w:eastAsia="zh-CN"/>
        </w:rPr>
        <w:t>其他</w:t>
      </w:r>
      <w:r>
        <w:tab/>
      </w:r>
      <w:r>
        <w:fldChar w:fldCharType="begin"/>
      </w:r>
      <w:r>
        <w:instrText xml:space="preserve"> PAGEREF _Toc1190 </w:instrText>
      </w:r>
      <w:r>
        <w:fldChar w:fldCharType="separate"/>
      </w:r>
      <w:r>
        <w:t>28</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_Toc2314 </w:instrText>
      </w:r>
      <w:r>
        <w:rPr>
          <w:lang w:val="en-US"/>
        </w:rPr>
        <w:fldChar w:fldCharType="separate"/>
      </w:r>
      <w:r>
        <w:rPr>
          <w:lang w:val="en-US"/>
        </w:rPr>
        <w:t xml:space="preserve">4 </w:t>
      </w:r>
      <w:r>
        <w:rPr>
          <w:rFonts w:hint="eastAsia" w:ascii="Times New Roman" w:hAnsi="Times New Roman" w:eastAsia="宋体" w:cs="宋体"/>
          <w:lang w:eastAsia="zh-CN"/>
        </w:rPr>
        <w:t>评价标准</w:t>
      </w:r>
      <w:r>
        <w:tab/>
      </w:r>
      <w:r>
        <w:fldChar w:fldCharType="begin"/>
      </w:r>
      <w:r>
        <w:instrText xml:space="preserve"> PAGEREF _Toc2314 </w:instrText>
      </w:r>
      <w:r>
        <w:fldChar w:fldCharType="separate"/>
      </w:r>
      <w:r>
        <w:t>30</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_Toc2591 </w:instrText>
      </w:r>
      <w:r>
        <w:rPr>
          <w:lang w:val="en-US"/>
        </w:rPr>
        <w:fldChar w:fldCharType="separate"/>
      </w:r>
      <w:r>
        <w:rPr>
          <w:lang w:val="en-US"/>
        </w:rPr>
        <w:t xml:space="preserve">5 </w:t>
      </w:r>
      <w:r>
        <w:rPr>
          <w:rFonts w:hint="eastAsia" w:ascii="Times New Roman" w:hAnsi="Times New Roman" w:eastAsia="宋体" w:cs="宋体"/>
          <w:lang w:eastAsia="zh-CN"/>
        </w:rPr>
        <w:t>验收</w:t>
      </w:r>
      <w:r>
        <w:tab/>
      </w:r>
      <w:r>
        <w:fldChar w:fldCharType="begin"/>
      </w:r>
      <w:r>
        <w:instrText xml:space="preserve"> PAGEREF _Toc2591 </w:instrText>
      </w:r>
      <w:r>
        <w:fldChar w:fldCharType="separate"/>
      </w:r>
      <w:r>
        <w:t>31</w:t>
      </w:r>
      <w:r>
        <w:fldChar w:fldCharType="end"/>
      </w:r>
      <w:r>
        <w:rPr>
          <w:lang w:val="en-US"/>
        </w:rPr>
        <w:fldChar w:fldCharType="end"/>
      </w:r>
    </w:p>
    <w:p>
      <w:pPr>
        <w:pStyle w:val="18"/>
        <w:tabs>
          <w:tab w:val="right" w:leader="dot" w:pos="8715"/>
        </w:tabs>
      </w:pPr>
      <w:r>
        <w:rPr>
          <w:lang w:val="en-US"/>
        </w:rPr>
        <w:fldChar w:fldCharType="begin"/>
      </w:r>
      <w:r>
        <w:rPr>
          <w:lang w:val="en-US"/>
        </w:rPr>
        <w:instrText xml:space="preserve"> HYPERLINK \l _Toc22927 </w:instrText>
      </w:r>
      <w:r>
        <w:rPr>
          <w:lang w:val="en-US"/>
        </w:rPr>
        <w:fldChar w:fldCharType="separate"/>
      </w:r>
      <w:r>
        <w:rPr>
          <w:rFonts w:hint="eastAsia" w:ascii="宋体" w:hAnsi="宋体" w:eastAsia="宋体" w:cs="宋体"/>
          <w:szCs w:val="30"/>
          <w:lang w:eastAsia="zh-CN"/>
        </w:rPr>
        <w:t>投标文件格式</w:t>
      </w:r>
      <w:r>
        <w:tab/>
      </w:r>
      <w:r>
        <w:fldChar w:fldCharType="begin"/>
      </w:r>
      <w:r>
        <w:instrText xml:space="preserve"> PAGEREF _Toc22927 </w:instrText>
      </w:r>
      <w:r>
        <w:fldChar w:fldCharType="separate"/>
      </w:r>
      <w:r>
        <w:t>32</w:t>
      </w:r>
      <w:r>
        <w:fldChar w:fldCharType="end"/>
      </w:r>
      <w:r>
        <w:rPr>
          <w:lang w:val="en-US"/>
        </w:rPr>
        <w:fldChar w:fldCharType="end"/>
      </w:r>
    </w:p>
    <w:p>
      <w:pPr>
        <w:pStyle w:val="33"/>
        <w:keepNext w:val="0"/>
        <w:keepLines w:val="0"/>
        <w:widowControl/>
        <w:suppressLineNumbers w:val="0"/>
        <w:ind w:left="0" w:firstLine="480"/>
        <w:rPr>
          <w:lang w:val="en-US" w:bidi="ar"/>
        </w:rPr>
      </w:pPr>
      <w:r>
        <w:rPr>
          <w:lang w:val="en-US"/>
        </w:rPr>
        <w:fldChar w:fldCharType="end"/>
      </w:r>
    </w:p>
    <w:p>
      <w:pPr>
        <w:spacing w:line="360" w:lineRule="auto"/>
        <w:rPr>
          <w:rFonts w:hint="default" w:ascii="Times New Roman" w:hAnsi="Times New Roman" w:eastAsia="宋体" w:cs="Times New Roman"/>
          <w:kern w:val="2"/>
          <w:sz w:val="24"/>
          <w:szCs w:val="22"/>
          <w:lang w:val="en-US" w:eastAsia="zh-CN" w:bidi="ar"/>
        </w:rPr>
        <w:sectPr>
          <w:pgSz w:w="12242" w:h="15842"/>
          <w:pgMar w:top="1418" w:right="1752" w:bottom="1135" w:left="1418" w:header="737" w:footer="431" w:gutter="357"/>
          <w:pgNumType w:fmt="upperRoman" w:start="1"/>
          <w:cols w:space="425" w:num="1"/>
          <w:docGrid w:type="lines" w:linePitch="312" w:charSpace="0"/>
        </w:sectPr>
      </w:pPr>
    </w:p>
    <w:p>
      <w:pPr>
        <w:pStyle w:val="32"/>
        <w:keepNext w:val="0"/>
        <w:keepLines/>
        <w:widowControl/>
        <w:numPr>
          <w:ilvl w:val="0"/>
          <w:numId w:val="1"/>
        </w:numPr>
        <w:suppressLineNumbers w:val="0"/>
        <w:ind w:left="0" w:firstLine="0"/>
        <w:rPr>
          <w:lang w:val="en-US"/>
        </w:rPr>
      </w:pPr>
      <w:bookmarkStart w:id="3" w:name="_Toc31420"/>
      <w:r>
        <w:rPr>
          <w:rFonts w:hint="eastAsia" w:ascii="Times New Roman" w:hAnsi="Times New Roman" w:eastAsia="宋体" w:cs="宋体"/>
          <w:lang w:eastAsia="zh-CN"/>
        </w:rPr>
        <w:t>项目名称</w:t>
      </w:r>
      <w:bookmarkEnd w:id="3"/>
    </w:p>
    <w:p>
      <w:pPr>
        <w:pStyle w:val="33"/>
        <w:keepNext w:val="0"/>
        <w:keepLines w:val="0"/>
        <w:widowControl/>
        <w:suppressLineNumbers w:val="0"/>
        <w:ind w:left="0" w:firstLine="480"/>
        <w:rPr>
          <w:rFonts w:cs="宋体"/>
          <w:lang w:val="en-US"/>
        </w:rPr>
      </w:pPr>
      <w:r>
        <w:rPr>
          <w:rFonts w:hint="eastAsia" w:ascii="Times New Roman" w:hAnsi="Times New Roman" w:eastAsia="宋体" w:cs="宋体"/>
          <w:lang w:eastAsia="zh-CN"/>
        </w:rPr>
        <w:t>项目名称：</w:t>
      </w:r>
      <w:r>
        <w:rPr>
          <w:rFonts w:hint="eastAsia" w:ascii="Times New Roman" w:hAnsi="Times New Roman" w:eastAsia="宋体" w:cs="宋体"/>
          <w:b/>
          <w:bCs w:val="0"/>
          <w:lang w:eastAsia="zh-CN"/>
        </w:rPr>
        <w:t>中国重汽集团财务共享服务中心项目</w:t>
      </w:r>
      <w:r>
        <w:rPr>
          <w:rFonts w:hint="eastAsia" w:ascii="Times New Roman" w:hAnsi="Times New Roman" w:eastAsia="宋体" w:cs="宋体"/>
          <w:lang w:eastAsia="zh-CN"/>
        </w:rPr>
        <w:t>。</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中国重汽集团济南动力有限公司（以下简称招标人）财务共享服务中心项目咨询、产品及实施厂商进行招标，特邀请具有项目资质及承担能力的供应商进行投标。</w:t>
      </w:r>
    </w:p>
    <w:p>
      <w:pPr>
        <w:pStyle w:val="33"/>
        <w:keepNext w:val="0"/>
        <w:keepLines w:val="0"/>
        <w:widowControl/>
        <w:suppressLineNumbers w:val="0"/>
        <w:ind w:left="0" w:firstLine="480"/>
        <w:rPr>
          <w:rFonts w:cs="宋体"/>
          <w:lang w:val="en-US"/>
        </w:rPr>
      </w:pPr>
    </w:p>
    <w:p>
      <w:pPr>
        <w:pStyle w:val="32"/>
        <w:keepNext w:val="0"/>
        <w:keepLines/>
        <w:widowControl/>
        <w:numPr>
          <w:ilvl w:val="0"/>
          <w:numId w:val="1"/>
        </w:numPr>
        <w:suppressLineNumbers w:val="0"/>
        <w:pBdr>
          <w:top w:val="single" w:color="auto" w:sz="48" w:space="0"/>
          <w:left w:val="none" w:color="auto" w:sz="0" w:space="0"/>
          <w:bottom w:val="none" w:color="auto" w:sz="0" w:space="0"/>
          <w:right w:val="none" w:color="auto" w:sz="0" w:space="0"/>
        </w:pBdr>
        <w:ind w:left="0" w:firstLine="0"/>
        <w:rPr>
          <w:rFonts w:cs="宋体"/>
          <w:lang w:val="en-US"/>
        </w:rPr>
      </w:pPr>
      <w:bookmarkStart w:id="4" w:name="_Toc28313"/>
      <w:r>
        <w:rPr>
          <w:rFonts w:hint="eastAsia" w:ascii="Times New Roman" w:hAnsi="Times New Roman" w:eastAsia="宋体" w:cs="宋体"/>
          <w:lang w:eastAsia="zh-CN"/>
        </w:rPr>
        <w:t>招标内容及形式</w:t>
      </w:r>
      <w:bookmarkEnd w:id="4"/>
    </w:p>
    <w:p>
      <w:pPr>
        <w:pStyle w:val="33"/>
        <w:keepNext w:val="0"/>
        <w:keepLines w:val="0"/>
        <w:widowControl/>
        <w:suppressLineNumbers w:val="0"/>
        <w:ind w:left="0" w:firstLine="562"/>
        <w:rPr>
          <w:rFonts w:cs="宋体"/>
          <w:lang w:val="en-US"/>
        </w:rPr>
      </w:pPr>
      <w:bookmarkStart w:id="5" w:name="_Toc24904"/>
      <w:r>
        <w:rPr>
          <w:rStyle w:val="63"/>
          <w:rFonts w:hint="default" w:ascii="Calibri" w:hAnsi="Calibri" w:cs="Times New Roman"/>
          <w:bCs/>
          <w:sz w:val="28"/>
          <w:szCs w:val="32"/>
          <w:lang w:val="en-US" w:bidi="ar"/>
        </w:rPr>
        <w:t>2.1</w:t>
      </w:r>
      <w:r>
        <w:rPr>
          <w:rStyle w:val="63"/>
          <w:rFonts w:hint="eastAsia" w:ascii="Calibri" w:hAnsi="Calibri" w:eastAsia="宋体" w:cs="宋体"/>
          <w:bCs/>
          <w:sz w:val="28"/>
          <w:szCs w:val="32"/>
          <w:lang w:eastAsia="zh-CN" w:bidi="ar"/>
        </w:rPr>
        <w:t>招标内容</w:t>
      </w:r>
      <w:bookmarkEnd w:id="5"/>
      <w:r>
        <w:rPr>
          <w:rFonts w:hint="default" w:ascii="Calibri Light" w:hAnsi="Calibri Light" w:eastAsia="Calibri Light" w:cs="Times New Roman"/>
          <w:szCs w:val="24"/>
          <w:lang w:val="en-US" w:bidi="ar"/>
        </w:rPr>
        <w:t>-</w:t>
      </w:r>
      <w:r>
        <w:rPr>
          <w:rFonts w:hint="eastAsia" w:ascii="Times New Roman" w:hAnsi="Times New Roman" w:eastAsia="宋体" w:cs="宋体"/>
          <w:b/>
          <w:bCs w:val="0"/>
          <w:lang w:eastAsia="zh-CN"/>
        </w:rPr>
        <w:t>中国重汽集团财务共享服务中心项目</w:t>
      </w:r>
      <w:r>
        <w:rPr>
          <w:rFonts w:hint="eastAsia" w:ascii="Times New Roman" w:hAnsi="Times New Roman" w:eastAsia="宋体" w:cs="宋体"/>
          <w:lang w:eastAsia="zh-CN"/>
        </w:rPr>
        <w:t>。</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kern w:val="0"/>
          <w:sz w:val="24"/>
          <w:szCs w:val="24"/>
          <w:lang w:val="en-US"/>
        </w:rPr>
      </w:pPr>
      <w:bookmarkStart w:id="6" w:name="_Toc7898"/>
      <w:r>
        <w:rPr>
          <w:rStyle w:val="63"/>
          <w:rFonts w:hint="default" w:ascii="Calibri" w:hAnsi="Calibri" w:cs="Times New Roman"/>
          <w:bCs/>
          <w:sz w:val="28"/>
          <w:szCs w:val="32"/>
          <w:lang w:val="en-US" w:eastAsia="zh-CN" w:bidi="ar"/>
        </w:rPr>
        <w:t>2.2</w:t>
      </w:r>
      <w:r>
        <w:rPr>
          <w:rStyle w:val="63"/>
          <w:rFonts w:hint="eastAsia" w:ascii="Calibri" w:hAnsi="Calibri" w:eastAsia="宋体" w:cs="宋体"/>
          <w:bCs/>
          <w:sz w:val="28"/>
          <w:szCs w:val="32"/>
          <w:lang w:val="en-US" w:eastAsia="zh-CN" w:bidi="ar"/>
        </w:rPr>
        <w:t>招标形式</w:t>
      </w:r>
      <w:bookmarkEnd w:id="6"/>
      <w:r>
        <w:rPr>
          <w:rFonts w:hint="eastAsia" w:ascii="宋体" w:hAnsi="宋体" w:eastAsia="宋体" w:cs="宋体"/>
          <w:kern w:val="0"/>
          <w:sz w:val="24"/>
          <w:szCs w:val="24"/>
          <w:lang w:val="en-US" w:eastAsia="zh-CN" w:bidi="ar"/>
        </w:rPr>
        <w:t>-</w:t>
      </w:r>
      <w:r>
        <w:rPr>
          <w:rFonts w:hint="eastAsia" w:ascii="宋体" w:hAnsi="宋体" w:eastAsia="宋体" w:cs="宋体"/>
          <w:b/>
          <w:bCs w:val="0"/>
          <w:kern w:val="0"/>
          <w:sz w:val="24"/>
          <w:szCs w:val="24"/>
          <w:lang w:val="en-US" w:eastAsia="zh-CN" w:bidi="ar"/>
        </w:rPr>
        <w:t>公开招标</w:t>
      </w:r>
      <w:r>
        <w:rPr>
          <w:rFonts w:hint="eastAsia" w:ascii="宋体" w:hAnsi="宋体" w:eastAsia="宋体" w:cs="宋体"/>
          <w:kern w:val="0"/>
          <w:sz w:val="24"/>
          <w:szCs w:val="24"/>
          <w:lang w:val="en-US" w:eastAsia="zh-CN" w:bidi="ar"/>
        </w:rPr>
        <w:t>。</w:t>
      </w:r>
    </w:p>
    <w:p>
      <w:pPr>
        <w:pStyle w:val="62"/>
        <w:keepNext w:val="0"/>
        <w:keepLines/>
        <w:widowControl/>
        <w:numPr>
          <w:ilvl w:val="1"/>
          <w:numId w:val="0"/>
        </w:numPr>
        <w:suppressLineNumbers w:val="0"/>
        <w:ind w:left="0" w:firstLine="562" w:firstLineChars="200"/>
        <w:rPr>
          <w:lang w:val="en-US"/>
        </w:rPr>
      </w:pPr>
      <w:bookmarkStart w:id="7" w:name="_Toc25587"/>
      <w:r>
        <w:rPr>
          <w:lang w:val="en-US"/>
        </w:rPr>
        <w:t>2.3</w:t>
      </w:r>
      <w:r>
        <w:rPr>
          <w:rFonts w:hint="eastAsia" w:ascii="Times New Roman" w:hAnsi="Times New Roman" w:eastAsia="宋体" w:cs="宋体"/>
          <w:lang w:eastAsia="zh-CN"/>
        </w:rPr>
        <w:t>议程安排</w:t>
      </w:r>
      <w:bookmarkEnd w:id="7"/>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b/>
          <w:bCs w:val="0"/>
          <w:color w:val="000000"/>
          <w:szCs w:val="20"/>
          <w:lang w:val="en-US"/>
        </w:rPr>
      </w:pPr>
      <w:r>
        <w:rPr>
          <w:rFonts w:hint="eastAsia" w:ascii="宋体" w:hAnsi="Courier New" w:eastAsia="宋体" w:cs="宋体"/>
          <w:color w:val="000000"/>
          <w:kern w:val="2"/>
          <w:sz w:val="21"/>
          <w:szCs w:val="20"/>
          <w:lang w:val="en-US" w:eastAsia="zh-CN" w:bidi="ar"/>
        </w:rPr>
        <w:t>1、发标时间：2020年</w:t>
      </w:r>
      <w:r>
        <w:rPr>
          <w:rFonts w:hint="eastAsia" w:ascii="宋体" w:hAnsi="Courier New" w:eastAsia="宋体" w:cs="宋体"/>
          <w:b/>
          <w:bCs w:val="0"/>
          <w:color w:val="000000"/>
          <w:kern w:val="2"/>
          <w:sz w:val="21"/>
          <w:szCs w:val="20"/>
          <w:lang w:val="en-US" w:eastAsia="zh-CN" w:bidi="ar"/>
        </w:rPr>
        <w:t xml:space="preserve">4月6日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color w:val="000000"/>
          <w:szCs w:val="20"/>
          <w:lang w:val="en-US"/>
        </w:rPr>
      </w:pPr>
      <w:r>
        <w:rPr>
          <w:rFonts w:hint="eastAsia" w:ascii="宋体" w:hAnsi="Courier New" w:eastAsia="宋体" w:cs="宋体"/>
          <w:color w:val="000000"/>
          <w:kern w:val="2"/>
          <w:sz w:val="21"/>
          <w:szCs w:val="20"/>
          <w:lang w:val="en-US" w:eastAsia="zh-CN" w:bidi="ar"/>
        </w:rPr>
        <w:t>2、答疑时间：截止至2020年</w:t>
      </w:r>
      <w:r>
        <w:rPr>
          <w:rFonts w:hint="eastAsia" w:ascii="宋体" w:hAnsi="Courier New" w:eastAsia="宋体" w:cs="宋体"/>
          <w:b/>
          <w:bCs w:val="0"/>
          <w:color w:val="000000"/>
          <w:kern w:val="2"/>
          <w:sz w:val="21"/>
          <w:szCs w:val="20"/>
          <w:lang w:val="en-US" w:eastAsia="zh-CN" w:bidi="ar"/>
        </w:rPr>
        <w:t>4月20日</w:t>
      </w:r>
      <w:r>
        <w:rPr>
          <w:rFonts w:hint="eastAsia" w:ascii="宋体" w:hAnsi="Courier New" w:eastAsia="宋体" w:cs="宋体"/>
          <w:color w:val="000000"/>
          <w:kern w:val="2"/>
          <w:sz w:val="21"/>
          <w:szCs w:val="20"/>
          <w:lang w:val="en-US" w:eastAsia="zh-CN" w:bidi="ar"/>
        </w:rPr>
        <w:t>下午5点前，逾期不受理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color w:val="000000"/>
          <w:szCs w:val="20"/>
          <w:lang w:val="en-US" w:bidi="ar"/>
        </w:rPr>
      </w:pPr>
      <w:r>
        <w:rPr>
          <w:rFonts w:hint="eastAsia" w:ascii="宋体" w:hAnsi="Courier New" w:eastAsia="宋体" w:cs="宋体"/>
          <w:color w:val="000000"/>
          <w:kern w:val="2"/>
          <w:sz w:val="21"/>
          <w:szCs w:val="20"/>
          <w:lang w:val="en-US" w:eastAsia="zh-CN" w:bidi="ar"/>
        </w:rPr>
        <w:t>联 系 人：吴天余 17860604638 （技术部分）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color w:val="000000"/>
          <w:szCs w:val="20"/>
          <w:lang w:val="en-US" w:bidi="ar"/>
        </w:rPr>
      </w:pPr>
      <w:r>
        <w:rPr>
          <w:rFonts w:hint="eastAsia" w:ascii="宋体" w:hAnsi="Courier New" w:eastAsia="宋体" w:cs="宋体"/>
          <w:color w:val="000000"/>
          <w:kern w:val="2"/>
          <w:sz w:val="21"/>
          <w:szCs w:val="20"/>
          <w:lang w:val="en-US" w:eastAsia="zh-CN" w:bidi="ar"/>
        </w:rPr>
        <w:t xml:space="preserve">          刘献华 15064156598 （业务部分）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color w:val="000000"/>
          <w:szCs w:val="20"/>
          <w:lang w:val="en-US" w:bidi="ar"/>
        </w:rPr>
      </w:pPr>
      <w:r>
        <w:rPr>
          <w:rFonts w:hint="eastAsia" w:ascii="宋体" w:hAnsi="Courier New" w:eastAsia="宋体" w:cs="宋体"/>
          <w:color w:val="000000"/>
          <w:kern w:val="2"/>
          <w:sz w:val="21"/>
          <w:szCs w:val="20"/>
          <w:lang w:val="en-US" w:eastAsia="zh-CN" w:bidi="ar"/>
        </w:rPr>
        <w:t xml:space="preserve">          林海峰 15562567081 （商务部分）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color w:val="000000"/>
          <w:szCs w:val="20"/>
          <w:lang w:val="en-US"/>
        </w:rPr>
      </w:pPr>
      <w:r>
        <w:rPr>
          <w:rFonts w:hint="eastAsia" w:ascii="宋体" w:hAnsi="Courier New" w:eastAsia="宋体" w:cs="宋体"/>
          <w:color w:val="000000"/>
          <w:kern w:val="2"/>
          <w:sz w:val="21"/>
          <w:szCs w:val="20"/>
          <w:lang w:val="en-US" w:eastAsia="zh-CN" w:bidi="ar"/>
        </w:rPr>
        <w:t>3、投标报名截止时间：2020年</w:t>
      </w:r>
      <w:r>
        <w:rPr>
          <w:rFonts w:hint="eastAsia" w:ascii="宋体" w:hAnsi="Courier New" w:eastAsia="宋体" w:cs="宋体"/>
          <w:b/>
          <w:bCs w:val="0"/>
          <w:color w:val="000000"/>
          <w:kern w:val="2"/>
          <w:sz w:val="21"/>
          <w:szCs w:val="20"/>
          <w:lang w:val="en-US" w:eastAsia="zh-CN" w:bidi="ar"/>
        </w:rPr>
        <w:t>4月20</w:t>
      </w:r>
      <w:r>
        <w:rPr>
          <w:rFonts w:hint="eastAsia" w:ascii="宋体" w:hAnsi="Courier New" w:eastAsia="宋体" w:cs="宋体"/>
          <w:color w:val="000000"/>
          <w:kern w:val="2"/>
          <w:sz w:val="21"/>
          <w:szCs w:val="20"/>
          <w:lang w:val="en-US" w:eastAsia="zh-CN" w:bidi="ar"/>
        </w:rPr>
        <w:t>日下午5点前，逾期不受理</w:t>
      </w:r>
    </w:p>
    <w:p>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Courier New" w:eastAsia="宋体" w:cs="宋体"/>
          <w:color w:val="000000"/>
          <w:szCs w:val="20"/>
          <w:lang w:val="en-US"/>
        </w:rPr>
      </w:pPr>
      <w:r>
        <w:rPr>
          <w:rFonts w:hint="eastAsia" w:ascii="宋体" w:hAnsi="Courier New" w:eastAsia="宋体" w:cs="宋体"/>
          <w:color w:val="000000"/>
          <w:kern w:val="2"/>
          <w:sz w:val="21"/>
          <w:szCs w:val="20"/>
          <w:lang w:val="en-US" w:eastAsia="zh-CN" w:bidi="ar"/>
        </w:rPr>
        <w:t>报名方式：将附表9填写完毕后，加盖公章，扫描成PDF发送至j</w:t>
      </w:r>
      <w:bookmarkStart w:id="8" w:name="_Hlt20314909"/>
      <w:bookmarkStart w:id="9" w:name="_Hlt20314908"/>
      <w:r>
        <w:rPr>
          <w:rFonts w:hint="eastAsia" w:ascii="宋体" w:hAnsi="Courier New" w:eastAsia="宋体" w:cs="宋体"/>
          <w:color w:val="000000"/>
          <w:kern w:val="2"/>
          <w:sz w:val="21"/>
          <w:szCs w:val="20"/>
          <w:lang w:val="en-US" w:eastAsia="zh-CN" w:bidi="ar"/>
        </w:rPr>
        <w:t>t</w:t>
      </w:r>
      <w:bookmarkEnd w:id="8"/>
      <w:bookmarkEnd w:id="9"/>
      <w:r>
        <w:rPr>
          <w:rFonts w:hint="eastAsia" w:ascii="宋体" w:hAnsi="Courier New" w:eastAsia="宋体" w:cs="宋体"/>
          <w:color w:val="000000"/>
          <w:kern w:val="2"/>
          <w:sz w:val="21"/>
          <w:szCs w:val="20"/>
          <w:lang w:val="en-US" w:eastAsia="zh-CN" w:bidi="ar"/>
        </w:rPr>
        <w:t>xxhb@sinotruk.com，并电话确认</w:t>
      </w:r>
      <w:bookmarkStart w:id="135" w:name="_GoBack"/>
      <w:bookmarkEnd w:id="135"/>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color w:val="000000"/>
          <w:szCs w:val="20"/>
          <w:lang w:val="en-US" w:bidi="ar"/>
        </w:rPr>
      </w:pPr>
      <w:r>
        <w:rPr>
          <w:rFonts w:hint="eastAsia" w:ascii="宋体" w:hAnsi="Courier New" w:eastAsia="宋体" w:cs="宋体"/>
          <w:color w:val="000000"/>
          <w:kern w:val="2"/>
          <w:sz w:val="21"/>
          <w:szCs w:val="20"/>
          <w:lang w:val="en-US" w:eastAsia="zh-CN" w:bidi="ar"/>
        </w:rPr>
        <w:t xml:space="preserve">联 系 人： 林海峰 15562567081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宋体"/>
          <w:color w:val="000000"/>
          <w:szCs w:val="20"/>
          <w:lang w:val="en-US"/>
        </w:rPr>
      </w:pPr>
      <w:r>
        <w:rPr>
          <w:rFonts w:hint="eastAsia" w:ascii="宋体" w:hAnsi="Courier New" w:eastAsia="宋体" w:cs="宋体"/>
          <w:color w:val="000000"/>
          <w:kern w:val="2"/>
          <w:sz w:val="21"/>
          <w:szCs w:val="20"/>
          <w:lang w:val="en-US" w:eastAsia="zh-CN" w:bidi="ar"/>
        </w:rPr>
        <w:t>4、开标时间：暂定2020年</w:t>
      </w:r>
      <w:r>
        <w:rPr>
          <w:rFonts w:hint="eastAsia" w:ascii="宋体" w:hAnsi="Courier New" w:eastAsia="宋体" w:cs="宋体"/>
          <w:b/>
          <w:bCs w:val="0"/>
          <w:color w:val="000000"/>
          <w:kern w:val="2"/>
          <w:sz w:val="21"/>
          <w:szCs w:val="20"/>
          <w:lang w:val="en-US" w:eastAsia="zh-CN" w:bidi="ar"/>
        </w:rPr>
        <w:t>4月21日</w:t>
      </w:r>
      <w:r>
        <w:rPr>
          <w:rFonts w:hint="eastAsia" w:ascii="宋体" w:hAnsi="Courier New" w:eastAsia="宋体" w:cs="宋体"/>
          <w:color w:val="000000"/>
          <w:kern w:val="2"/>
          <w:sz w:val="21"/>
          <w:szCs w:val="20"/>
          <w:lang w:val="en-US" w:eastAsia="zh-CN" w:bidi="ar"/>
        </w:rPr>
        <w:t>13时30分，若有变动另行通知。</w:t>
      </w:r>
    </w:p>
    <w:p>
      <w:pPr>
        <w:keepNext w:val="0"/>
        <w:keepLines w:val="0"/>
        <w:widowControl w:val="0"/>
        <w:suppressLineNumbers w:val="0"/>
        <w:spacing w:before="0" w:beforeAutospacing="0" w:after="0" w:afterAutospacing="0"/>
        <w:ind w:left="0" w:right="0"/>
        <w:jc w:val="both"/>
        <w:rPr>
          <w:rFonts w:ascii="Calibri" w:hAnsi="Calibri" w:eastAsia="宋体" w:cs="Times New Roman"/>
          <w:szCs w:val="21"/>
          <w:lang w:val="en-US"/>
        </w:rPr>
      </w:pPr>
      <w:r>
        <w:rPr>
          <w:rFonts w:hint="eastAsia" w:ascii="宋体" w:hAnsi="Courier New" w:eastAsia="宋体" w:cs="宋体"/>
          <w:b/>
          <w:bCs w:val="0"/>
          <w:color w:val="000000"/>
          <w:kern w:val="2"/>
          <w:sz w:val="21"/>
          <w:szCs w:val="20"/>
          <w:lang w:val="en-US" w:eastAsia="zh-CN" w:bidi="ar"/>
        </w:rPr>
        <w:t>投标人应提供</w:t>
      </w:r>
      <w:r>
        <w:rPr>
          <w:rFonts w:hint="eastAsia" w:ascii="宋体" w:hAnsi="宋体" w:eastAsia="宋体" w:cs="宋体"/>
          <w:b/>
          <w:bCs w:val="0"/>
          <w:color w:val="000000"/>
          <w:kern w:val="2"/>
          <w:sz w:val="21"/>
          <w:szCs w:val="24"/>
          <w:lang w:val="en-US" w:eastAsia="zh-CN" w:bidi="ar"/>
        </w:rPr>
        <w:t>营业执照副本原件、</w:t>
      </w:r>
      <w:r>
        <w:rPr>
          <w:rFonts w:hint="eastAsia" w:ascii="宋体" w:hAnsi="Courier New" w:eastAsia="宋体" w:cs="宋体"/>
          <w:b/>
          <w:bCs w:val="0"/>
          <w:color w:val="000000"/>
          <w:kern w:val="2"/>
          <w:sz w:val="21"/>
          <w:szCs w:val="20"/>
          <w:lang w:val="en-US" w:eastAsia="zh-CN" w:bidi="ar"/>
        </w:rPr>
        <w:t>法定代表人资格证明、法人授权委托书原件。</w:t>
      </w:r>
    </w:p>
    <w:p>
      <w:pPr>
        <w:keepNext w:val="0"/>
        <w:keepLines w:val="0"/>
        <w:widowControl w:val="0"/>
        <w:suppressLineNumbers w:val="0"/>
        <w:spacing w:before="0" w:beforeAutospacing="0" w:after="0" w:afterAutospacing="0" w:line="360" w:lineRule="auto"/>
        <w:ind w:left="0" w:right="0" w:firstLine="735"/>
        <w:jc w:val="both"/>
        <w:rPr>
          <w:rFonts w:hint="eastAsia" w:ascii="宋体" w:hAnsi="Courier New" w:eastAsia="宋体" w:cs="宋体"/>
          <w:color w:val="000000"/>
          <w:szCs w:val="20"/>
          <w:lang w:val="en-US"/>
        </w:rPr>
      </w:pPr>
      <w:r>
        <w:rPr>
          <w:rFonts w:hint="eastAsia" w:ascii="宋体" w:hAnsi="Courier New" w:eastAsia="宋体" w:cs="宋体"/>
          <w:color w:val="000000"/>
          <w:kern w:val="2"/>
          <w:sz w:val="21"/>
          <w:szCs w:val="20"/>
          <w:lang w:val="en-US" w:eastAsia="zh-CN" w:bidi="ar"/>
        </w:rPr>
        <w:t xml:space="preserve">投标地点：  </w:t>
      </w:r>
      <w:bookmarkStart w:id="10" w:name="OLE_LINK3"/>
      <w:bookmarkStart w:id="11" w:name="OLE_LINK2"/>
      <w:r>
        <w:rPr>
          <w:rFonts w:hint="eastAsia" w:ascii="宋体" w:hAnsi="宋体" w:eastAsia="宋体" w:cs="宋体"/>
          <w:color w:val="000000"/>
          <w:kern w:val="2"/>
          <w:sz w:val="21"/>
          <w:szCs w:val="20"/>
          <w:lang w:val="en-US" w:eastAsia="zh-CN" w:bidi="ar"/>
        </w:rPr>
        <w:t>重汽科技</w:t>
      </w:r>
      <w:r>
        <w:rPr>
          <w:rFonts w:hint="eastAsia" w:ascii="宋体" w:hAnsi="Courier New" w:eastAsia="宋体" w:cs="宋体"/>
          <w:color w:val="000000"/>
          <w:kern w:val="2"/>
          <w:sz w:val="21"/>
          <w:szCs w:val="20"/>
          <w:lang w:val="en-US" w:eastAsia="zh-CN" w:bidi="ar"/>
        </w:rPr>
        <w:t>大厦30楼3012会议室</w:t>
      </w:r>
      <w:bookmarkEnd w:id="10"/>
      <w:bookmarkEnd w:id="11"/>
      <w:r>
        <w:rPr>
          <w:rFonts w:hint="eastAsia" w:ascii="宋体" w:hAnsi="Courier New" w:eastAsia="宋体" w:cs="宋体"/>
          <w:color w:val="000000"/>
          <w:kern w:val="2"/>
          <w:sz w:val="21"/>
          <w:szCs w:val="20"/>
          <w:lang w:val="en-US" w:eastAsia="zh-CN" w:bidi="ar"/>
        </w:rPr>
        <w:t xml:space="preserve"> </w:t>
      </w:r>
    </w:p>
    <w:p>
      <w:pPr>
        <w:keepNext w:val="0"/>
        <w:keepLines w:val="0"/>
        <w:widowControl w:val="0"/>
        <w:suppressLineNumbers w:val="0"/>
        <w:spacing w:before="0" w:beforeAutospacing="0" w:after="0" w:afterAutospacing="0" w:line="360" w:lineRule="auto"/>
        <w:ind w:left="1890" w:right="0" w:hanging="1890" w:hangingChars="900"/>
        <w:jc w:val="both"/>
        <w:rPr>
          <w:rFonts w:hint="eastAsia" w:ascii="宋体" w:hAnsi="Courier New" w:eastAsia="宋体" w:cs="宋体"/>
          <w:color w:val="000000"/>
          <w:szCs w:val="20"/>
          <w:lang w:val="en-US"/>
        </w:rPr>
      </w:pPr>
      <w:r>
        <w:rPr>
          <w:rFonts w:hint="eastAsia" w:ascii="宋体" w:hAnsi="Courier New" w:eastAsia="宋体" w:cs="宋体"/>
          <w:color w:val="000000"/>
          <w:kern w:val="2"/>
          <w:sz w:val="21"/>
          <w:szCs w:val="20"/>
          <w:lang w:val="en-US" w:eastAsia="zh-CN" w:bidi="ar"/>
        </w:rPr>
        <w:t xml:space="preserve">       地    址： 济南市高新区华奥路777号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p>
    <w:p>
      <w:pPr>
        <w:pStyle w:val="33"/>
        <w:keepNext w:val="0"/>
        <w:keepLines w:val="0"/>
        <w:widowControl/>
        <w:suppressLineNumbers w:val="0"/>
        <w:ind w:left="0" w:firstLine="480"/>
        <w:rPr>
          <w:rFonts w:cs="宋体"/>
          <w:lang w:val="en-US"/>
        </w:rPr>
      </w:pPr>
    </w:p>
    <w:p>
      <w:pPr>
        <w:pStyle w:val="33"/>
        <w:keepNext w:val="0"/>
        <w:keepLines w:val="0"/>
        <w:widowControl/>
        <w:suppressLineNumbers w:val="0"/>
        <w:ind w:left="0" w:firstLine="480"/>
        <w:rPr>
          <w:rFonts w:cs="宋体"/>
          <w:lang w:val="en-US"/>
        </w:rPr>
      </w:pPr>
    </w:p>
    <w:p>
      <w:pPr>
        <w:pStyle w:val="32"/>
        <w:keepNext w:val="0"/>
        <w:keepLines/>
        <w:widowControl/>
        <w:numPr>
          <w:ilvl w:val="0"/>
          <w:numId w:val="1"/>
        </w:numPr>
        <w:suppressLineNumbers w:val="0"/>
        <w:pBdr>
          <w:top w:val="single" w:color="auto" w:sz="48" w:space="0"/>
          <w:left w:val="none" w:color="auto" w:sz="0" w:space="0"/>
          <w:bottom w:val="none" w:color="auto" w:sz="0" w:space="0"/>
          <w:right w:val="none" w:color="auto" w:sz="0" w:space="0"/>
        </w:pBdr>
        <w:ind w:left="0" w:firstLine="0"/>
        <w:rPr>
          <w:lang w:val="en-US"/>
        </w:rPr>
      </w:pPr>
      <w:bookmarkStart w:id="12" w:name="_Toc7975"/>
      <w:r>
        <w:rPr>
          <w:rFonts w:hint="eastAsia" w:ascii="Times New Roman" w:hAnsi="Times New Roman" w:eastAsia="宋体" w:cs="宋体"/>
          <w:lang w:eastAsia="zh-CN"/>
        </w:rPr>
        <w:t>有关说明</w:t>
      </w:r>
      <w:bookmarkEnd w:id="12"/>
    </w:p>
    <w:p>
      <w:pPr>
        <w:pStyle w:val="62"/>
        <w:keepNext w:val="0"/>
        <w:keepLines/>
        <w:widowControl/>
        <w:numPr>
          <w:ilvl w:val="1"/>
          <w:numId w:val="1"/>
        </w:numPr>
        <w:suppressLineNumbers w:val="0"/>
        <w:ind w:left="0" w:firstLine="0"/>
        <w:rPr>
          <w:lang w:val="en-US"/>
        </w:rPr>
      </w:pPr>
      <w:bookmarkStart w:id="13" w:name="_Toc270497415"/>
      <w:bookmarkStart w:id="14" w:name="_Toc574"/>
      <w:r>
        <w:rPr>
          <w:rFonts w:hint="eastAsia" w:ascii="Times New Roman" w:hAnsi="Times New Roman" w:eastAsia="宋体" w:cs="宋体"/>
          <w:lang w:eastAsia="zh-CN"/>
        </w:rPr>
        <w:t>总则</w:t>
      </w:r>
      <w:bookmarkEnd w:id="13"/>
      <w:bookmarkEnd w:id="14"/>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根据中华人民共和国招标投标法，经中国重型汽车集团有限公司批准，现对中国重汽集团财务共享服务中心项目。进行招标。</w:t>
      </w:r>
    </w:p>
    <w:p>
      <w:pPr>
        <w:pStyle w:val="62"/>
        <w:keepNext w:val="0"/>
        <w:keepLines/>
        <w:widowControl/>
        <w:numPr>
          <w:ilvl w:val="1"/>
          <w:numId w:val="1"/>
        </w:numPr>
        <w:suppressLineNumbers w:val="0"/>
        <w:ind w:left="0" w:firstLine="0"/>
        <w:rPr>
          <w:lang w:val="en-US"/>
        </w:rPr>
      </w:pPr>
      <w:bookmarkStart w:id="15" w:name="_Toc15956"/>
      <w:r>
        <w:rPr>
          <w:rFonts w:hint="eastAsia" w:ascii="Times New Roman" w:hAnsi="Times New Roman" w:eastAsia="宋体" w:cs="宋体"/>
          <w:lang w:eastAsia="zh-CN"/>
        </w:rPr>
        <w:t>定义</w:t>
      </w:r>
      <w:bookmarkEnd w:id="15"/>
    </w:p>
    <w:p>
      <w:pPr>
        <w:pStyle w:val="34"/>
        <w:keepNext w:val="0"/>
        <w:keepLines w:val="0"/>
        <w:widowControl/>
        <w:numPr>
          <w:ilvl w:val="0"/>
          <w:numId w:val="4"/>
        </w:numPr>
        <w:suppressLineNumbers w:val="0"/>
        <w:ind w:left="360" w:hanging="360"/>
        <w:rPr>
          <w:lang w:val="en-US"/>
        </w:rPr>
      </w:pPr>
      <w:r>
        <w:rPr>
          <w:rFonts w:hint="eastAsia" w:ascii="Times New Roman" w:hAnsi="Times New Roman" w:eastAsia="宋体" w:cs="宋体"/>
          <w:lang w:eastAsia="zh-CN"/>
        </w:rPr>
        <w:t>招标人：中国重汽集团济南动力有限公司</w:t>
      </w:r>
    </w:p>
    <w:p>
      <w:pPr>
        <w:pStyle w:val="34"/>
        <w:keepNext w:val="0"/>
        <w:keepLines w:val="0"/>
        <w:widowControl/>
        <w:numPr>
          <w:ilvl w:val="0"/>
          <w:numId w:val="4"/>
        </w:numPr>
        <w:suppressLineNumbers w:val="0"/>
        <w:ind w:left="360" w:hanging="360"/>
        <w:rPr>
          <w:lang w:val="en-US"/>
        </w:rPr>
      </w:pPr>
      <w:r>
        <w:rPr>
          <w:rFonts w:hint="eastAsia" w:ascii="Times New Roman" w:hAnsi="Times New Roman" w:eastAsia="宋体" w:cs="宋体"/>
          <w:lang w:eastAsia="zh-CN"/>
        </w:rPr>
        <w:t>投标人：由招标人认可的符合投标资格的参加本项目投标的供应商</w:t>
      </w:r>
    </w:p>
    <w:p>
      <w:pPr>
        <w:pStyle w:val="34"/>
        <w:widowControl/>
        <w:numPr>
          <w:ilvl w:val="0"/>
          <w:numId w:val="4"/>
        </w:numPr>
        <w:ind w:left="360" w:hanging="360"/>
        <w:rPr>
          <w:lang w:val="en-US"/>
        </w:rPr>
      </w:pPr>
      <w:r>
        <w:rPr>
          <w:rFonts w:hint="eastAsia" w:ascii="Times New Roman" w:hAnsi="Times New Roman" w:eastAsia="宋体" w:cs="宋体"/>
          <w:lang w:eastAsia="zh-CN"/>
        </w:rPr>
        <w:t>产品：指投标人为本项目提供的咨询服务及项目交付物</w:t>
      </w:r>
    </w:p>
    <w:p>
      <w:pPr>
        <w:pStyle w:val="34"/>
        <w:keepNext w:val="0"/>
        <w:keepLines w:val="0"/>
        <w:widowControl/>
        <w:numPr>
          <w:ilvl w:val="0"/>
          <w:numId w:val="4"/>
        </w:numPr>
        <w:suppressLineNumbers w:val="0"/>
        <w:ind w:left="360" w:hanging="360"/>
        <w:rPr>
          <w:lang w:val="en-US"/>
        </w:rPr>
      </w:pPr>
      <w:bookmarkStart w:id="16" w:name="_Toc270497418"/>
      <w:r>
        <w:rPr>
          <w:rFonts w:hint="eastAsia" w:ascii="Times New Roman" w:hAnsi="Times New Roman" w:eastAsia="宋体" w:cs="宋体"/>
          <w:lang w:eastAsia="zh-CN"/>
        </w:rPr>
        <w:t>招标方式</w:t>
      </w:r>
      <w:bookmarkEnd w:id="16"/>
      <w:r>
        <w:rPr>
          <w:rFonts w:hint="eastAsia" w:ascii="Times New Roman" w:hAnsi="Times New Roman" w:eastAsia="宋体" w:cs="宋体"/>
          <w:lang w:eastAsia="zh-CN"/>
        </w:rPr>
        <w:t>：本项目采用</w:t>
      </w:r>
      <w:r>
        <w:rPr>
          <w:rFonts w:hint="eastAsia" w:ascii="Times New Roman" w:hAnsi="Times New Roman" w:eastAsia="宋体" w:cs="宋体"/>
          <w:szCs w:val="24"/>
          <w:lang w:eastAsia="zh-CN"/>
        </w:rPr>
        <w:t>公开招标</w:t>
      </w:r>
      <w:r>
        <w:rPr>
          <w:rFonts w:hint="eastAsia" w:ascii="Times New Roman" w:hAnsi="Times New Roman" w:eastAsia="宋体" w:cs="宋体"/>
          <w:lang w:eastAsia="zh-CN"/>
        </w:rPr>
        <w:t>方式</w:t>
      </w:r>
    </w:p>
    <w:p>
      <w:pPr>
        <w:pStyle w:val="62"/>
        <w:keepNext w:val="0"/>
        <w:keepLines/>
        <w:widowControl/>
        <w:numPr>
          <w:ilvl w:val="1"/>
          <w:numId w:val="1"/>
        </w:numPr>
        <w:suppressLineNumbers w:val="0"/>
        <w:ind w:left="0" w:firstLine="0"/>
        <w:rPr>
          <w:lang w:val="en-US"/>
        </w:rPr>
      </w:pPr>
      <w:bookmarkStart w:id="17" w:name="_Toc234922352"/>
      <w:bookmarkStart w:id="18" w:name="_Toc264881857"/>
      <w:bookmarkStart w:id="19" w:name="_Toc265850577"/>
      <w:bookmarkStart w:id="20" w:name="_Toc12211"/>
      <w:r>
        <w:rPr>
          <w:rFonts w:hint="eastAsia" w:ascii="Times New Roman" w:hAnsi="Times New Roman" w:eastAsia="宋体" w:cs="宋体"/>
          <w:lang w:eastAsia="zh-CN"/>
        </w:rPr>
        <w:t>投标人须知</w:t>
      </w:r>
      <w:bookmarkEnd w:id="17"/>
      <w:bookmarkEnd w:id="18"/>
      <w:bookmarkEnd w:id="19"/>
      <w:bookmarkEnd w:id="20"/>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投标人须确保遵守国家规定的各种有关投标的规定、法规、法律文件等。</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投标人须确保具有良好的商业信誉和诚实的职业道德。</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投标人应仔细阅读并理解招标文件的全部内容，并做出实质性响应。</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投标人须确保项目交付物的功能满足招标文件的要求。</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投标人应当按照招标文件规定的内容和要求编制投标文件。</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投标人须确保有能力在规定期限内完成招标文件规定的全部内容。</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投标人在收到招标文件后，如有疑问，应以书面形式向招标人提出，招标人将以书面形式予以答复，但不说明答复的来源。</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在投标截止日期前</w:t>
      </w:r>
      <w:r>
        <w:rPr>
          <w:color w:val="000000"/>
          <w:lang w:val="en-US"/>
        </w:rPr>
        <w:t>5</w:t>
      </w:r>
      <w:r>
        <w:rPr>
          <w:rFonts w:hint="eastAsia" w:ascii="Times New Roman" w:hAnsi="Times New Roman" w:eastAsia="宋体" w:cs="宋体"/>
          <w:lang w:eastAsia="zh-CN"/>
        </w:rPr>
        <w:t>天，招标人都可能会以补充通知的方式修改招标文件。</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无论投标结果如何，投标人应承担编制投标文件、递交投标文件、考察等所涉及的一切费用。招标人对未中标者不作任何解释。</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如投标方代表不是法人代表，须持有盖有法人单位公章的《法人代表授权书》。</w:t>
      </w:r>
    </w:p>
    <w:p>
      <w:pPr>
        <w:pStyle w:val="34"/>
        <w:keepNext w:val="0"/>
        <w:keepLines w:val="0"/>
        <w:widowControl/>
        <w:numPr>
          <w:ilvl w:val="0"/>
          <w:numId w:val="5"/>
        </w:numPr>
        <w:suppressLineNumbers w:val="0"/>
        <w:ind w:hanging="420"/>
        <w:rPr>
          <w:lang w:val="en-US"/>
        </w:rPr>
      </w:pPr>
      <w:r>
        <w:rPr>
          <w:rFonts w:hint="eastAsia" w:ascii="Times New Roman" w:hAnsi="Times New Roman" w:eastAsia="宋体" w:cs="宋体"/>
          <w:lang w:eastAsia="zh-CN"/>
        </w:rPr>
        <w:t>投标人在讲标时，须由拟担任招标项目建设的项目经理讲标，其中</w:t>
      </w:r>
      <w:r>
        <w:rPr>
          <w:lang w:val="en-US"/>
        </w:rPr>
        <w:t>40</w:t>
      </w:r>
      <w:r>
        <w:rPr>
          <w:rFonts w:hint="eastAsia" w:ascii="Times New Roman" w:hAnsi="Times New Roman" w:eastAsia="宋体" w:cs="宋体"/>
          <w:lang w:eastAsia="zh-CN"/>
        </w:rPr>
        <w:t>分钟讲标，</w:t>
      </w:r>
      <w:r>
        <w:rPr>
          <w:lang w:val="en-US"/>
        </w:rPr>
        <w:t>20</w:t>
      </w:r>
      <w:r>
        <w:rPr>
          <w:rFonts w:hint="eastAsia" w:ascii="Times New Roman" w:hAnsi="Times New Roman" w:eastAsia="宋体" w:cs="宋体"/>
          <w:lang w:eastAsia="zh-CN"/>
        </w:rPr>
        <w:t>分钟答疑。若中标，非经招标人同意，项目经理及项目组成员不得在项目建设中途更换。</w:t>
      </w:r>
    </w:p>
    <w:p>
      <w:pPr>
        <w:pStyle w:val="32"/>
        <w:keepNext w:val="0"/>
        <w:keepLines/>
        <w:widowControl/>
        <w:numPr>
          <w:ilvl w:val="0"/>
          <w:numId w:val="1"/>
        </w:numPr>
        <w:suppressLineNumbers w:val="0"/>
        <w:ind w:left="0" w:firstLine="0"/>
        <w:rPr>
          <w:rFonts w:cs="宋体"/>
          <w:lang w:val="en-US"/>
        </w:rPr>
      </w:pPr>
      <w:bookmarkStart w:id="21" w:name="_Toc10654"/>
      <w:r>
        <w:rPr>
          <w:rFonts w:hint="eastAsia" w:ascii="Times New Roman" w:hAnsi="Times New Roman" w:eastAsia="宋体" w:cs="宋体"/>
          <w:lang w:eastAsia="zh-CN"/>
        </w:rPr>
        <w:t>交货及付款</w:t>
      </w:r>
      <w:bookmarkEnd w:id="21"/>
    </w:p>
    <w:p>
      <w:pPr>
        <w:keepNext w:val="0"/>
        <w:keepLines w:val="0"/>
        <w:widowControl w:val="0"/>
        <w:suppressLineNumbers w:val="0"/>
        <w:tabs>
          <w:tab w:val="left" w:pos="0"/>
        </w:tabs>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4.1、项目实施小组进驻时间：收到中标通知后</w:t>
      </w:r>
      <w:r>
        <w:rPr>
          <w:rFonts w:hint="eastAsia" w:ascii="宋体" w:hAnsi="宋体" w:eastAsia="宋体" w:cs="宋体"/>
          <w:color w:val="FF0000"/>
          <w:kern w:val="0"/>
          <w:sz w:val="24"/>
          <w:szCs w:val="24"/>
          <w:lang w:val="en-US" w:eastAsia="zh-CN" w:bidi="ar"/>
        </w:rPr>
        <w:t>5</w:t>
      </w:r>
      <w:r>
        <w:rPr>
          <w:rFonts w:hint="eastAsia" w:ascii="宋体" w:hAnsi="宋体" w:eastAsia="宋体" w:cs="宋体"/>
          <w:kern w:val="0"/>
          <w:sz w:val="24"/>
          <w:szCs w:val="24"/>
          <w:lang w:val="en-US" w:eastAsia="zh-CN" w:bidi="ar"/>
        </w:rPr>
        <w:t>个工作日内。</w:t>
      </w:r>
    </w:p>
    <w:p>
      <w:pPr>
        <w:keepNext w:val="0"/>
        <w:keepLines w:val="0"/>
        <w:widowControl w:val="0"/>
        <w:suppressLineNumbers w:val="0"/>
        <w:tabs>
          <w:tab w:val="left" w:pos="0"/>
        </w:tabs>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4.2、实施地点：招标人指定地点。</w:t>
      </w:r>
    </w:p>
    <w:p>
      <w:pPr>
        <w:keepNext w:val="0"/>
        <w:keepLines w:val="0"/>
        <w:widowControl w:val="0"/>
        <w:suppressLineNumbers w:val="0"/>
        <w:tabs>
          <w:tab w:val="left" w:pos="0"/>
        </w:tabs>
        <w:spacing w:before="0" w:beforeAutospacing="0" w:after="0" w:afterAutospacing="0" w:line="360" w:lineRule="auto"/>
        <w:ind w:left="0" w:right="0" w:firstLine="480" w:firstLineChars="200"/>
        <w:jc w:val="both"/>
        <w:rPr>
          <w:lang w:val="en-US"/>
        </w:rPr>
      </w:pPr>
      <w:r>
        <w:rPr>
          <w:rFonts w:hint="eastAsia" w:ascii="宋体" w:hAnsi="宋体" w:eastAsia="宋体" w:cs="宋体"/>
          <w:kern w:val="0"/>
          <w:sz w:val="24"/>
          <w:szCs w:val="24"/>
          <w:lang w:val="en-US" w:eastAsia="zh-CN" w:bidi="ar"/>
        </w:rPr>
        <w:t>4.3、交货方式：交钥匙</w:t>
      </w:r>
    </w:p>
    <w:p>
      <w:pPr>
        <w:pStyle w:val="34"/>
        <w:keepNext w:val="0"/>
        <w:keepLines w:val="0"/>
        <w:widowControl/>
        <w:numPr>
          <w:ilvl w:val="0"/>
          <w:numId w:val="0"/>
        </w:numPr>
        <w:suppressLineNumbers w:val="0"/>
        <w:ind w:left="0" w:firstLine="480" w:firstLineChars="200"/>
        <w:rPr>
          <w:lang w:val="en-US"/>
        </w:rPr>
      </w:pPr>
      <w:r>
        <w:rPr>
          <w:rFonts w:hint="eastAsia" w:ascii="宋体" w:hAnsi="宋体" w:eastAsia="宋体" w:cs="宋体"/>
          <w:kern w:val="0"/>
          <w:lang w:val="en-US"/>
        </w:rPr>
        <w:t>4.4</w:t>
      </w:r>
      <w:r>
        <w:rPr>
          <w:rFonts w:hint="eastAsia" w:ascii="宋体" w:hAnsi="宋体" w:eastAsia="宋体" w:cs="宋体"/>
          <w:kern w:val="0"/>
          <w:lang w:eastAsia="zh-CN"/>
        </w:rPr>
        <w:t>、付款方式：银行承兑</w:t>
      </w:r>
    </w:p>
    <w:p>
      <w:pPr>
        <w:pStyle w:val="32"/>
        <w:keepNext w:val="0"/>
        <w:keepLines/>
        <w:widowControl/>
        <w:numPr>
          <w:ilvl w:val="0"/>
          <w:numId w:val="1"/>
        </w:numPr>
        <w:suppressLineNumbers w:val="0"/>
        <w:ind w:left="0" w:firstLine="0"/>
        <w:rPr>
          <w:lang w:val="en-US"/>
        </w:rPr>
      </w:pPr>
      <w:bookmarkStart w:id="22" w:name="_Toc21753"/>
      <w:r>
        <w:rPr>
          <w:rFonts w:hint="eastAsia" w:ascii="Times New Roman" w:hAnsi="Times New Roman" w:eastAsia="宋体" w:cs="宋体"/>
          <w:lang w:eastAsia="zh-CN"/>
        </w:rPr>
        <w:t>投标说明</w:t>
      </w:r>
      <w:bookmarkEnd w:id="22"/>
    </w:p>
    <w:p>
      <w:pPr>
        <w:pStyle w:val="62"/>
        <w:keepNext w:val="0"/>
        <w:keepLines/>
        <w:widowControl/>
        <w:numPr>
          <w:ilvl w:val="1"/>
          <w:numId w:val="1"/>
        </w:numPr>
        <w:suppressLineNumbers w:val="0"/>
        <w:ind w:left="0" w:firstLine="0"/>
        <w:rPr>
          <w:lang w:val="en-US"/>
        </w:rPr>
      </w:pPr>
      <w:bookmarkStart w:id="23" w:name="_Toc15878"/>
      <w:r>
        <w:rPr>
          <w:rFonts w:hint="eastAsia" w:ascii="Times New Roman" w:hAnsi="Times New Roman" w:eastAsia="宋体" w:cs="宋体"/>
          <w:lang w:eastAsia="zh-CN"/>
        </w:rPr>
        <w:t>招标要求</w:t>
      </w:r>
      <w:bookmarkEnd w:id="23"/>
    </w:p>
    <w:tbl>
      <w:tblPr>
        <w:tblStyle w:val="24"/>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2105"/>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内容</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4"/>
              <w:keepNext w:val="0"/>
              <w:keepLines w:val="0"/>
              <w:widowControl w:val="0"/>
              <w:suppressLineNumbers w:val="0"/>
              <w:tabs>
                <w:tab w:val="left" w:pos="420"/>
              </w:tabs>
              <w:spacing w:before="0" w:beforeAutospacing="0" w:after="0" w:afterAutospacing="0"/>
              <w:ind w:left="0" w:leftChars="0" w:right="0" w:firstLine="205" w:firstLineChars="98"/>
              <w:jc w:val="both"/>
              <w:rPr>
                <w:rFonts w:hint="eastAsia" w:ascii="宋体" w:hAnsi="宋体" w:eastAsia="宋体" w:cs="宋体"/>
                <w:b w:val="0"/>
                <w:color w:val="000000"/>
                <w:sz w:val="21"/>
                <w:szCs w:val="21"/>
                <w:lang w:val="en-US"/>
              </w:rPr>
            </w:pPr>
            <w:r>
              <w:rPr>
                <w:rFonts w:hint="eastAsia" w:ascii="宋体" w:hAnsi="宋体" w:eastAsia="宋体" w:cs="宋体"/>
                <w:b w:val="0"/>
                <w:color w:val="000000"/>
                <w:sz w:val="21"/>
                <w:szCs w:val="21"/>
              </w:rPr>
              <w:t>邀标人名称</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keepNext w:val="0"/>
              <w:keepLines w:val="0"/>
              <w:widowControl w:val="0"/>
              <w:suppressLineNumbers w:val="0"/>
              <w:spacing w:before="0" w:beforeAutospacing="0" w:after="0" w:afterAutospacing="0" w:line="240" w:lineRule="auto"/>
              <w:ind w:left="820" w:right="0" w:hanging="400"/>
              <w:jc w:val="center"/>
              <w:rPr>
                <w:rFonts w:eastAsia="宋体"/>
                <w:szCs w:val="21"/>
                <w:lang w:val="en-US"/>
              </w:rPr>
            </w:pPr>
            <w:bookmarkStart w:id="24" w:name="_Toc24113"/>
            <w:r>
              <w:rPr>
                <w:rFonts w:hint="eastAsia" w:ascii="Arial" w:hAnsi="Arial" w:eastAsia="黑体" w:cs="黑体"/>
                <w:szCs w:val="21"/>
              </w:rPr>
              <w:t>中国重汽集团济南动力有限公司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2532"/>
              </w:tabs>
              <w:spacing w:before="0" w:beforeAutospacing="0" w:after="0" w:afterAutospacing="0"/>
              <w:ind w:left="0" w:right="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投标人资质要求</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Calibri" w:hAnsi="Calibri" w:eastAsia="宋体" w:cs="Times New Roman"/>
                <w:szCs w:val="21"/>
                <w:lang w:val="en-US"/>
              </w:rPr>
            </w:pPr>
            <w:r>
              <w:rPr>
                <w:rFonts w:hint="eastAsia" w:ascii="宋体" w:hAnsi="宋体" w:eastAsia="宋体" w:cs="宋体"/>
                <w:kern w:val="2"/>
                <w:sz w:val="21"/>
                <w:szCs w:val="21"/>
                <w:lang w:val="en-US" w:eastAsia="zh-CN" w:bidi="ar"/>
              </w:rPr>
              <w:t>（1）</w:t>
            </w:r>
            <w:r>
              <w:rPr>
                <w:rFonts w:hint="eastAsia" w:ascii="宋体" w:hAnsi="宋体" w:eastAsia="宋体" w:cs="宋体"/>
                <w:kern w:val="2"/>
                <w:sz w:val="21"/>
                <w:szCs w:val="24"/>
                <w:lang w:val="en-US" w:eastAsia="zh-CN" w:bidi="ar"/>
              </w:rPr>
              <w:t>投标人成立三年以上，至开标之日计算，</w:t>
            </w:r>
            <w:r>
              <w:rPr>
                <w:rFonts w:hint="eastAsia" w:ascii="宋体" w:hAnsi="宋体" w:eastAsia="宋体" w:cs="宋体"/>
                <w:kern w:val="2"/>
                <w:sz w:val="21"/>
                <w:szCs w:val="21"/>
                <w:lang w:val="en-US" w:eastAsia="zh-CN" w:bidi="ar"/>
              </w:rPr>
              <w:t xml:space="preserve">注册资金不低于1000万元人民币，具有独立法人资格，并具有良好信誉和业绩； </w:t>
            </w:r>
          </w:p>
          <w:p>
            <w:pPr>
              <w:keepNext w:val="0"/>
              <w:keepLines w:val="0"/>
              <w:widowControl w:val="0"/>
              <w:suppressLineNumbers w:val="0"/>
              <w:tabs>
                <w:tab w:val="left" w:pos="2532"/>
              </w:tabs>
              <w:spacing w:before="0" w:beforeAutospacing="0" w:after="0" w:afterAutospacing="0"/>
              <w:ind w:left="0" w:right="0"/>
              <w:jc w:val="left"/>
              <w:rPr>
                <w:rFonts w:hint="eastAsia" w:ascii="宋体" w:hAnsi="宋体" w:eastAsia="宋体" w:cs="宋体"/>
                <w:szCs w:val="21"/>
                <w:lang w:val="en-US" w:bidi="ar"/>
              </w:rPr>
            </w:pPr>
            <w:r>
              <w:rPr>
                <w:rFonts w:hint="eastAsia" w:ascii="宋体" w:hAnsi="宋体" w:eastAsia="宋体" w:cs="宋体"/>
                <w:kern w:val="2"/>
                <w:sz w:val="21"/>
                <w:szCs w:val="21"/>
                <w:lang w:val="en-US" w:eastAsia="zh-CN" w:bidi="ar"/>
              </w:rPr>
              <w:t>（2）投标人应具有相关招标项目的实施及服务能力。</w:t>
            </w:r>
          </w:p>
          <w:p>
            <w:pPr>
              <w:keepNext w:val="0"/>
              <w:keepLines w:val="0"/>
              <w:widowControl w:val="0"/>
              <w:suppressLineNumbers w:val="0"/>
              <w:tabs>
                <w:tab w:val="left" w:pos="2532"/>
              </w:tabs>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（3）投标人遵守执业准则和执业规范，近1年内没有违法、违规或行业自律惩戒记录，提供信用中国网站查询截图。</w:t>
            </w:r>
          </w:p>
          <w:p>
            <w:pPr>
              <w:keepNext w:val="0"/>
              <w:keepLines w:val="0"/>
              <w:widowControl w:val="0"/>
              <w:suppressLineNumbers w:val="0"/>
              <w:tabs>
                <w:tab w:val="left" w:pos="2532"/>
              </w:tabs>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（4）投标人须具有良好财务状况，需提供经会计师事务所出具的近一年的财务审计报告原件。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3</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投标人应提交的</w:t>
            </w:r>
          </w:p>
          <w:p>
            <w:pPr>
              <w:keepNext w:val="0"/>
              <w:keepLines w:val="0"/>
              <w:widowControl w:val="0"/>
              <w:suppressLineNumbers w:val="0"/>
              <w:spacing w:before="0" w:beforeAutospacing="0" w:after="0" w:afterAutospacing="0"/>
              <w:ind w:left="0" w:right="0" w:firstLine="308" w:firstLineChars="147"/>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商务文件</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6"/>
              </w:numPr>
              <w:suppressLineNumbers w:val="0"/>
              <w:tabs>
                <w:tab w:val="left" w:pos="556"/>
              </w:tabs>
              <w:spacing w:before="0" w:beforeAutospacing="0" w:after="0" w:afterAutospacing="0"/>
              <w:ind w:left="554" w:leftChars="-3" w:right="0" w:hanging="560" w:hangingChars="267"/>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法定代表人授权委托书；</w:t>
            </w:r>
          </w:p>
          <w:p>
            <w:pPr>
              <w:keepNext w:val="0"/>
              <w:keepLines w:val="0"/>
              <w:widowControl w:val="0"/>
              <w:numPr>
                <w:ilvl w:val="0"/>
                <w:numId w:val="6"/>
              </w:numPr>
              <w:suppressLineNumbers w:val="0"/>
              <w:tabs>
                <w:tab w:val="left" w:pos="556"/>
              </w:tabs>
              <w:spacing w:before="0" w:beforeAutospacing="0" w:after="0" w:afterAutospacing="0"/>
              <w:ind w:left="554" w:leftChars="-3" w:right="0" w:hanging="560" w:hangingChars="267"/>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营业执照（</w:t>
            </w:r>
            <w:r>
              <w:rPr>
                <w:rFonts w:hint="eastAsia" w:ascii="宋体" w:hAnsi="宋体" w:eastAsia="宋体" w:cs="宋体"/>
                <w:kern w:val="2"/>
                <w:sz w:val="21"/>
                <w:szCs w:val="21"/>
                <w:lang w:val="en-US" w:eastAsia="zh-CN" w:bidi="ar"/>
              </w:rPr>
              <w:t>投标人应提交有效的企业法人营业执照副本复印件，</w:t>
            </w:r>
            <w:r>
              <w:rPr>
                <w:rFonts w:hint="eastAsia" w:ascii="宋体" w:hAnsi="宋体" w:eastAsia="宋体" w:cs="宋体"/>
                <w:color w:val="000000"/>
                <w:kern w:val="2"/>
                <w:sz w:val="21"/>
                <w:szCs w:val="21"/>
                <w:lang w:val="en-US" w:eastAsia="zh-CN" w:bidi="ar"/>
              </w:rPr>
              <w:t>并加盖投标人公章，按规定需要年检的，年检章要清楚）；</w:t>
            </w:r>
          </w:p>
          <w:p>
            <w:pPr>
              <w:keepNext w:val="0"/>
              <w:keepLines w:val="0"/>
              <w:widowControl w:val="0"/>
              <w:suppressLineNumbers w:val="0"/>
              <w:tabs>
                <w:tab w:val="left" w:pos="556"/>
              </w:tabs>
              <w:spacing w:before="0" w:beforeAutospacing="0" w:after="0" w:afterAutospacing="0"/>
              <w:ind w:left="0" w:right="0"/>
              <w:jc w:val="left"/>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详见6.2节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4</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服务说明</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2532"/>
              </w:tabs>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投标人</w:t>
            </w:r>
            <w:r>
              <w:rPr>
                <w:rFonts w:hint="eastAsia" w:ascii="宋体" w:hAnsi="宋体" w:eastAsia="宋体" w:cs="宋体"/>
                <w:kern w:val="0"/>
                <w:sz w:val="21"/>
                <w:szCs w:val="24"/>
                <w:lang w:val="en-US" w:eastAsia="zh-CN" w:bidi="ar"/>
              </w:rPr>
              <w:t>有完善售后服务组织体系，并配有专业的技术队伍，能提供快捷的售后服务响应。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9"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5</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投标人应提交的</w:t>
            </w:r>
          </w:p>
          <w:p>
            <w:pPr>
              <w:keepNext w:val="0"/>
              <w:keepLines w:val="0"/>
              <w:widowControl w:val="0"/>
              <w:suppressLineNumbers w:val="0"/>
              <w:spacing w:before="0" w:beforeAutospacing="0" w:after="0" w:afterAutospacing="0"/>
              <w:ind w:left="0" w:right="0" w:firstLine="205" w:firstLineChars="98"/>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技术文件</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（1）投标人自行编写的技术文件；</w:t>
            </w:r>
          </w:p>
          <w:p>
            <w:pPr>
              <w:keepNext w:val="0"/>
              <w:keepLines w:val="0"/>
              <w:widowControl w:val="0"/>
              <w:suppressLineNumbers w:val="0"/>
              <w:tabs>
                <w:tab w:val="left" w:pos="556"/>
              </w:tabs>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（2）报价明细表；</w:t>
            </w:r>
          </w:p>
          <w:p>
            <w:pPr>
              <w:keepNext w:val="0"/>
              <w:keepLines w:val="0"/>
              <w:widowControl w:val="0"/>
              <w:suppressLineNumbers w:val="0"/>
              <w:tabs>
                <w:tab w:val="left" w:pos="556"/>
              </w:tabs>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（3）服务偏离表及优惠条件；</w:t>
            </w:r>
          </w:p>
          <w:p>
            <w:pPr>
              <w:keepNext w:val="0"/>
              <w:keepLines w:val="0"/>
              <w:widowControl w:val="0"/>
              <w:suppressLineNumbers w:val="0"/>
              <w:tabs>
                <w:tab w:val="left" w:pos="556"/>
              </w:tabs>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（4）投标人认为需要提供的其它说明和资料。详见6.2节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6</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投标人自行编写的</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技术文件应包含内容</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numPr>
                <w:ilvl w:val="0"/>
                <w:numId w:val="7"/>
              </w:numPr>
              <w:suppressLineNumbers w:val="0"/>
              <w:tabs>
                <w:tab w:val="left" w:pos="556"/>
                <w:tab w:val="left" w:pos="612"/>
              </w:tabs>
              <w:spacing w:before="0" w:beforeAutospacing="0" w:after="0" w:afterAutospacing="0"/>
              <w:ind w:left="556" w:right="0" w:hanging="567"/>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项目建设方案</w:t>
            </w:r>
          </w:p>
          <w:p>
            <w:pPr>
              <w:keepNext w:val="0"/>
              <w:keepLines w:val="0"/>
              <w:widowControl w:val="0"/>
              <w:numPr>
                <w:ilvl w:val="0"/>
                <w:numId w:val="7"/>
              </w:numPr>
              <w:suppressLineNumbers w:val="0"/>
              <w:tabs>
                <w:tab w:val="left" w:pos="556"/>
                <w:tab w:val="left" w:pos="612"/>
              </w:tabs>
              <w:spacing w:before="0" w:beforeAutospacing="0" w:after="0" w:afterAutospacing="0"/>
              <w:ind w:left="556" w:right="0" w:hanging="567"/>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货物主要技术指标和运行性能的详细描述</w:t>
            </w:r>
          </w:p>
          <w:p>
            <w:pPr>
              <w:keepNext w:val="0"/>
              <w:keepLines w:val="0"/>
              <w:widowControl w:val="0"/>
              <w:numPr>
                <w:ilvl w:val="0"/>
                <w:numId w:val="7"/>
              </w:numPr>
              <w:suppressLineNumbers w:val="0"/>
              <w:tabs>
                <w:tab w:val="left" w:pos="556"/>
                <w:tab w:val="left" w:pos="612"/>
              </w:tabs>
              <w:spacing w:before="0" w:beforeAutospacing="0" w:after="0" w:afterAutospacing="0"/>
              <w:ind w:left="556" w:right="0" w:hanging="567"/>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实施方案</w:t>
            </w:r>
          </w:p>
          <w:p>
            <w:pPr>
              <w:keepNext w:val="0"/>
              <w:keepLines w:val="0"/>
              <w:widowControl w:val="0"/>
              <w:numPr>
                <w:ilvl w:val="0"/>
                <w:numId w:val="7"/>
              </w:numPr>
              <w:suppressLineNumbers w:val="0"/>
              <w:tabs>
                <w:tab w:val="left" w:pos="556"/>
                <w:tab w:val="left" w:pos="612"/>
              </w:tabs>
              <w:spacing w:before="0" w:beforeAutospacing="0" w:after="0" w:afterAutospacing="0"/>
              <w:ind w:left="556" w:right="0" w:hanging="567"/>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服务方案</w:t>
            </w:r>
          </w:p>
          <w:p>
            <w:pPr>
              <w:keepNext w:val="0"/>
              <w:keepLines w:val="0"/>
              <w:widowControl w:val="0"/>
              <w:numPr>
                <w:ilvl w:val="0"/>
                <w:numId w:val="7"/>
              </w:numPr>
              <w:suppressLineNumbers w:val="0"/>
              <w:tabs>
                <w:tab w:val="left" w:pos="556"/>
                <w:tab w:val="left" w:pos="612"/>
              </w:tabs>
              <w:spacing w:before="0" w:beforeAutospacing="0" w:after="0" w:afterAutospacing="0"/>
              <w:ind w:left="556" w:right="0" w:hanging="567"/>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投标人所提供的服务，应符合本文件提出的要求，如果投标人对技术规格提出合理建议或更改，应在报价服务规格性能偏离表中注明；</w:t>
            </w:r>
          </w:p>
          <w:p>
            <w:pPr>
              <w:keepNext w:val="0"/>
              <w:keepLines w:val="0"/>
              <w:widowControl w:val="0"/>
              <w:numPr>
                <w:ilvl w:val="0"/>
                <w:numId w:val="7"/>
              </w:numPr>
              <w:suppressLineNumbers w:val="0"/>
              <w:tabs>
                <w:tab w:val="left" w:pos="556"/>
                <w:tab w:val="left" w:pos="612"/>
              </w:tabs>
              <w:spacing w:before="0" w:beforeAutospacing="0" w:after="0" w:afterAutospacing="0"/>
              <w:ind w:left="556" w:right="0" w:hanging="567"/>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其他需要说明的问题。详见6.2节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7"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7</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是否允许投标人将项目非主体、非关键性工作交由他人完成</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8</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投标文件份数</w:t>
            </w:r>
          </w:p>
        </w:tc>
        <w:tc>
          <w:tcPr>
            <w:tcW w:w="62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u w:val="single"/>
                <w:lang w:val="en-US"/>
              </w:rPr>
            </w:pPr>
            <w:r>
              <w:rPr>
                <w:rFonts w:hint="eastAsia" w:ascii="宋体" w:hAnsi="宋体" w:eastAsia="宋体" w:cs="宋体"/>
                <w:color w:val="000000"/>
                <w:kern w:val="2"/>
                <w:sz w:val="21"/>
                <w:szCs w:val="21"/>
                <w:lang w:val="en-US" w:eastAsia="zh-CN" w:bidi="ar"/>
              </w:rPr>
              <w:t>文件一式</w:t>
            </w:r>
            <w:r>
              <w:rPr>
                <w:rFonts w:hint="eastAsia" w:ascii="宋体" w:hAnsi="宋体" w:eastAsia="宋体" w:cs="宋体"/>
                <w:color w:val="000000"/>
                <w:kern w:val="2"/>
                <w:sz w:val="21"/>
                <w:szCs w:val="21"/>
                <w:u w:val="single"/>
                <w:lang w:val="en-US" w:eastAsia="zh-CN" w:bidi="ar"/>
              </w:rPr>
              <w:t>6份</w:t>
            </w:r>
            <w:r>
              <w:rPr>
                <w:rFonts w:hint="eastAsia" w:ascii="宋体" w:hAnsi="宋体" w:eastAsia="宋体" w:cs="宋体"/>
                <w:color w:val="000000"/>
                <w:kern w:val="2"/>
                <w:sz w:val="21"/>
                <w:szCs w:val="21"/>
                <w:lang w:val="en-US" w:eastAsia="zh-CN" w:bidi="ar"/>
              </w:rPr>
              <w:t>，其中正本</w:t>
            </w:r>
            <w:r>
              <w:rPr>
                <w:rFonts w:hint="eastAsia" w:ascii="宋体" w:hAnsi="宋体" w:eastAsia="宋体" w:cs="宋体"/>
                <w:color w:val="000000"/>
                <w:kern w:val="2"/>
                <w:sz w:val="21"/>
                <w:szCs w:val="21"/>
                <w:u w:val="single"/>
                <w:lang w:val="en-US" w:eastAsia="zh-CN" w:bidi="ar"/>
              </w:rPr>
              <w:t>1份</w:t>
            </w:r>
            <w:r>
              <w:rPr>
                <w:rFonts w:hint="eastAsia" w:ascii="宋体" w:hAnsi="宋体" w:eastAsia="宋体" w:cs="宋体"/>
                <w:color w:val="000000"/>
                <w:kern w:val="2"/>
                <w:sz w:val="21"/>
                <w:szCs w:val="21"/>
                <w:lang w:val="en-US" w:eastAsia="zh-CN" w:bidi="ar"/>
              </w:rPr>
              <w:t>，副本</w:t>
            </w:r>
            <w:r>
              <w:rPr>
                <w:rFonts w:hint="eastAsia" w:ascii="宋体" w:hAnsi="宋体" w:eastAsia="宋体" w:cs="宋体"/>
                <w:color w:val="000000"/>
                <w:kern w:val="2"/>
                <w:sz w:val="21"/>
                <w:szCs w:val="21"/>
                <w:u w:val="single"/>
                <w:lang w:val="en-US" w:eastAsia="zh-CN" w:bidi="ar"/>
              </w:rPr>
              <w:t>5份。</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Cs w:val="21"/>
                <w:lang w:val="en-US"/>
              </w:rPr>
            </w:pPr>
          </w:p>
        </w:tc>
      </w:tr>
    </w:tbl>
    <w:p>
      <w:pPr>
        <w:pStyle w:val="62"/>
        <w:keepNext w:val="0"/>
        <w:keepLines/>
        <w:widowControl/>
        <w:numPr>
          <w:ilvl w:val="1"/>
          <w:numId w:val="1"/>
        </w:numPr>
        <w:suppressLineNumbers w:val="0"/>
        <w:ind w:left="0" w:firstLine="0"/>
        <w:rPr>
          <w:rFonts w:cs="宋体"/>
          <w:lang w:val="en-US"/>
        </w:rPr>
      </w:pPr>
      <w:bookmarkStart w:id="25" w:name="_Toc21930"/>
      <w:r>
        <w:rPr>
          <w:rFonts w:hint="eastAsia" w:ascii="Times New Roman" w:hAnsi="Times New Roman" w:eastAsia="宋体" w:cs="宋体"/>
          <w:lang w:eastAsia="zh-CN"/>
        </w:rPr>
        <w:t>投标报价</w:t>
      </w:r>
      <w:bookmarkEnd w:id="25"/>
    </w:p>
    <w:p>
      <w:pPr>
        <w:keepNext w:val="0"/>
        <w:keepLines w:val="0"/>
        <w:widowControl w:val="0"/>
        <w:suppressLineNumbers w:val="0"/>
        <w:tabs>
          <w:tab w:val="left" w:pos="0"/>
        </w:tabs>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（1）</w:t>
      </w:r>
      <w:r>
        <w:rPr>
          <w:rFonts w:hint="eastAsia" w:ascii="宋体" w:hAnsi="宋体" w:eastAsia="宋体" w:cs="宋体"/>
          <w:b/>
          <w:bCs w:val="0"/>
          <w:kern w:val="0"/>
          <w:sz w:val="24"/>
          <w:szCs w:val="24"/>
          <w:lang w:val="en-US" w:eastAsia="zh-CN" w:bidi="ar"/>
        </w:rPr>
        <w:t>本次招投标为公开招标，</w:t>
      </w:r>
      <w:r>
        <w:rPr>
          <w:rFonts w:hint="eastAsia" w:ascii="宋体" w:hAnsi="宋体" w:eastAsia="宋体" w:cs="宋体"/>
          <w:kern w:val="0"/>
          <w:sz w:val="24"/>
          <w:szCs w:val="24"/>
          <w:lang w:val="en-US" w:eastAsia="zh-CN" w:bidi="ar"/>
        </w:rPr>
        <w:t>投标总报价应包括项目实施服务、及相关资料、保险、税费、运杂、差旅等全部费用，并对各主要报价构成项列报价清单。</w:t>
      </w:r>
    </w:p>
    <w:p>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bCs/>
          <w:kern w:val="0"/>
          <w:sz w:val="24"/>
          <w:szCs w:val="24"/>
          <w:lang w:val="en-US"/>
        </w:rPr>
      </w:pPr>
      <w:r>
        <w:rPr>
          <w:rFonts w:hint="eastAsia" w:ascii="宋体" w:hAnsi="宋体" w:eastAsia="宋体" w:cs="宋体"/>
          <w:bCs/>
          <w:kern w:val="0"/>
          <w:sz w:val="24"/>
          <w:szCs w:val="24"/>
          <w:lang w:val="en-US" w:eastAsia="zh-CN" w:bidi="ar"/>
        </w:rPr>
        <w:t>（2）所有参加投标的单位必须结合自身的实际情况，对此次招标项目建设周期与实施难度的估量以及所制定的实施组织计划，以实际产生的费用，据实报价。</w:t>
      </w:r>
    </w:p>
    <w:p>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kern w:val="0"/>
          <w:lang w:val="en-US"/>
        </w:rPr>
      </w:pPr>
      <w:r>
        <w:rPr>
          <w:rFonts w:hint="eastAsia" w:ascii="宋体" w:hAnsi="宋体" w:eastAsia="宋体" w:cs="宋体"/>
          <w:kern w:val="0"/>
          <w:sz w:val="24"/>
          <w:szCs w:val="24"/>
          <w:lang w:val="en-US" w:eastAsia="zh-CN" w:bidi="ar"/>
        </w:rPr>
        <w:t>（3）供应商免费提供的项目，应先填写该项目的实际价格，并注明免费。此项不计入总报价。</w:t>
      </w:r>
    </w:p>
    <w:p>
      <w:pPr>
        <w:keepNext w:val="0"/>
        <w:keepLines w:val="0"/>
        <w:widowControl w:val="0"/>
        <w:suppressLineNumbers w:val="0"/>
        <w:tabs>
          <w:tab w:val="left" w:pos="0"/>
        </w:tabs>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（4）项目的报价货币单位为：人民币（含税，产品税率13%，服务费用6%）。</w:t>
      </w:r>
    </w:p>
    <w:p>
      <w:pPr>
        <w:keepNext w:val="0"/>
        <w:keepLines w:val="0"/>
        <w:widowControl w:val="0"/>
        <w:suppressLineNumbers w:val="0"/>
        <w:spacing w:before="0" w:beforeAutospacing="0" w:after="0" w:afterAutospacing="0" w:line="360" w:lineRule="auto"/>
        <w:ind w:left="0" w:right="0"/>
        <w:jc w:val="left"/>
        <w:rPr>
          <w:rFonts w:cs="宋体"/>
          <w:lang w:val="en-US"/>
        </w:rPr>
      </w:pPr>
      <w:r>
        <w:rPr>
          <w:rFonts w:hint="eastAsia" w:ascii="宋体" w:hAnsi="宋体" w:eastAsia="宋体" w:cs="宋体"/>
          <w:kern w:val="0"/>
          <w:sz w:val="24"/>
          <w:szCs w:val="24"/>
          <w:lang w:val="en-US" w:eastAsia="zh-CN" w:bidi="ar"/>
        </w:rPr>
        <w:t xml:space="preserve">    （5）最后磋商报价在合同执行过程中是固定不变的，不得以任何理由予以变更。</w:t>
      </w:r>
    </w:p>
    <w:p>
      <w:pPr>
        <w:pStyle w:val="62"/>
        <w:keepNext w:val="0"/>
        <w:keepLines/>
        <w:widowControl/>
        <w:numPr>
          <w:ilvl w:val="1"/>
          <w:numId w:val="1"/>
        </w:numPr>
        <w:suppressLineNumbers w:val="0"/>
        <w:ind w:left="0" w:firstLine="0"/>
        <w:rPr>
          <w:lang w:val="en-US"/>
        </w:rPr>
      </w:pPr>
      <w:bookmarkStart w:id="26" w:name="_Toc27007"/>
      <w:r>
        <w:rPr>
          <w:rFonts w:hint="eastAsia" w:ascii="Times New Roman" w:hAnsi="Times New Roman" w:eastAsia="宋体" w:cs="宋体"/>
          <w:lang w:eastAsia="zh-CN"/>
        </w:rPr>
        <w:t>招标文件的组成</w:t>
      </w:r>
      <w:bookmarkEnd w:id="26"/>
    </w:p>
    <w:p>
      <w:pPr>
        <w:pStyle w:val="34"/>
        <w:keepNext w:val="0"/>
        <w:keepLines w:val="0"/>
        <w:widowControl/>
        <w:numPr>
          <w:ilvl w:val="0"/>
          <w:numId w:val="8"/>
        </w:numPr>
        <w:suppressLineNumbers w:val="0"/>
        <w:ind w:hanging="420"/>
        <w:rPr>
          <w:lang w:val="en-US"/>
        </w:rPr>
      </w:pPr>
      <w:r>
        <w:rPr>
          <w:rFonts w:hint="eastAsia" w:ascii="Times New Roman" w:hAnsi="Times New Roman" w:eastAsia="宋体" w:cs="宋体"/>
          <w:lang w:eastAsia="zh-CN"/>
        </w:rPr>
        <w:t>招标文件由招标文件总目录所列内容组成。</w:t>
      </w:r>
    </w:p>
    <w:p>
      <w:pPr>
        <w:pStyle w:val="34"/>
        <w:keepNext w:val="0"/>
        <w:keepLines w:val="0"/>
        <w:widowControl/>
        <w:numPr>
          <w:ilvl w:val="0"/>
          <w:numId w:val="8"/>
        </w:numPr>
        <w:suppressLineNumbers w:val="0"/>
        <w:ind w:hanging="420"/>
        <w:rPr>
          <w:lang w:val="en-US"/>
        </w:rPr>
      </w:pPr>
      <w:r>
        <w:rPr>
          <w:rFonts w:hint="eastAsia" w:ascii="Times New Roman" w:hAnsi="Times New Roman" w:eastAsia="宋体" w:cs="宋体"/>
          <w:lang w:eastAsia="zh-CN"/>
        </w:rPr>
        <w:t>投标人详细阅读招标文件的全部内容。不按招标文件的要求提供的投标文件和资料，可能导致投标被拒绝。</w:t>
      </w:r>
    </w:p>
    <w:p>
      <w:pPr>
        <w:pStyle w:val="62"/>
        <w:keepNext w:val="0"/>
        <w:keepLines/>
        <w:widowControl/>
        <w:numPr>
          <w:ilvl w:val="1"/>
          <w:numId w:val="1"/>
        </w:numPr>
        <w:suppressLineNumbers w:val="0"/>
        <w:ind w:left="0" w:firstLine="0"/>
        <w:rPr>
          <w:lang w:val="en-US"/>
        </w:rPr>
      </w:pPr>
      <w:bookmarkStart w:id="27" w:name="_Toc533413548"/>
      <w:bookmarkStart w:id="28" w:name="_Toc536867084"/>
      <w:bookmarkStart w:id="29" w:name="_Toc533413149"/>
      <w:bookmarkStart w:id="30" w:name="_Toc533998779"/>
      <w:bookmarkStart w:id="31" w:name="_Toc534087348"/>
      <w:bookmarkStart w:id="32" w:name="_Toc30898"/>
      <w:r>
        <w:rPr>
          <w:rFonts w:hint="eastAsia" w:ascii="Times New Roman" w:hAnsi="Times New Roman" w:eastAsia="宋体" w:cs="宋体"/>
          <w:lang w:eastAsia="zh-CN"/>
        </w:rPr>
        <w:t>招标文件的澄清</w:t>
      </w:r>
      <w:bookmarkEnd w:id="27"/>
      <w:bookmarkEnd w:id="28"/>
      <w:bookmarkEnd w:id="29"/>
      <w:bookmarkEnd w:id="30"/>
      <w:bookmarkEnd w:id="31"/>
      <w:bookmarkEnd w:id="32"/>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人对招标文件如有疑点要求澄清，或认为有必要与招标人进行技术交流时，可用书面、传真形式通知招标人，招标人将视情况以书面形式予以答复，并将答复内容包括原提出的问题（但不标明问题查询的来源），分发给所有取得同一招标文件的投标人。</w:t>
      </w:r>
    </w:p>
    <w:p>
      <w:pPr>
        <w:pStyle w:val="62"/>
        <w:keepNext w:val="0"/>
        <w:keepLines/>
        <w:widowControl/>
        <w:numPr>
          <w:ilvl w:val="1"/>
          <w:numId w:val="1"/>
        </w:numPr>
        <w:suppressLineNumbers w:val="0"/>
        <w:ind w:left="0" w:firstLine="0"/>
        <w:rPr>
          <w:lang w:val="en-US"/>
        </w:rPr>
      </w:pPr>
      <w:bookmarkStart w:id="33" w:name="_Toc534087349"/>
      <w:bookmarkStart w:id="34" w:name="_Toc533998780"/>
      <w:bookmarkStart w:id="35" w:name="_Toc533413549"/>
      <w:bookmarkStart w:id="36" w:name="_Toc536867085"/>
      <w:bookmarkStart w:id="37" w:name="_Toc533413150"/>
      <w:bookmarkStart w:id="38" w:name="_Toc32438"/>
      <w:r>
        <w:rPr>
          <w:rFonts w:hint="eastAsia" w:ascii="Times New Roman" w:hAnsi="Times New Roman" w:eastAsia="宋体" w:cs="宋体"/>
          <w:lang w:eastAsia="zh-CN"/>
        </w:rPr>
        <w:t>招标文件的修改</w:t>
      </w:r>
      <w:bookmarkEnd w:id="33"/>
      <w:bookmarkEnd w:id="34"/>
      <w:bookmarkEnd w:id="35"/>
      <w:bookmarkEnd w:id="36"/>
      <w:bookmarkEnd w:id="37"/>
      <w:bookmarkEnd w:id="38"/>
    </w:p>
    <w:p>
      <w:pPr>
        <w:pStyle w:val="34"/>
        <w:keepNext w:val="0"/>
        <w:keepLines w:val="0"/>
        <w:widowControl/>
        <w:numPr>
          <w:ilvl w:val="0"/>
          <w:numId w:val="9"/>
        </w:numPr>
        <w:suppressLineNumbers w:val="0"/>
        <w:ind w:hanging="420"/>
        <w:rPr>
          <w:lang w:val="en-US"/>
        </w:rPr>
      </w:pPr>
      <w:r>
        <w:rPr>
          <w:rFonts w:hint="eastAsia" w:ascii="Times New Roman" w:hAnsi="Times New Roman" w:eastAsia="宋体" w:cs="宋体"/>
          <w:lang w:eastAsia="zh-CN"/>
        </w:rPr>
        <w:t>在投标截止时间前</w:t>
      </w:r>
      <w:r>
        <w:rPr>
          <w:lang w:val="en-US"/>
        </w:rPr>
        <w:t>5</w:t>
      </w:r>
      <w:r>
        <w:rPr>
          <w:rFonts w:hint="eastAsia" w:ascii="Times New Roman" w:hAnsi="Times New Roman" w:eastAsia="宋体" w:cs="宋体"/>
          <w:lang w:eastAsia="zh-CN"/>
        </w:rPr>
        <w:t>天，招标人无论出于自己的考虑，还是出于对投标人提问的澄清，均可对招标文件用补充文件的方式进行修改。</w:t>
      </w:r>
    </w:p>
    <w:p>
      <w:pPr>
        <w:pStyle w:val="34"/>
        <w:keepNext w:val="0"/>
        <w:keepLines w:val="0"/>
        <w:widowControl/>
        <w:numPr>
          <w:ilvl w:val="0"/>
          <w:numId w:val="9"/>
        </w:numPr>
        <w:suppressLineNumbers w:val="0"/>
        <w:ind w:hanging="420"/>
        <w:rPr>
          <w:lang w:val="en-US"/>
        </w:rPr>
      </w:pPr>
      <w:r>
        <w:rPr>
          <w:rFonts w:hint="eastAsia" w:ascii="Times New Roman" w:hAnsi="Times New Roman" w:eastAsia="宋体" w:cs="宋体"/>
          <w:lang w:eastAsia="zh-CN"/>
        </w:rPr>
        <w:t>对招标文件的修改，将以书面或传真的形式通知已收到招标文件的每一投标人。补充文件将作为招标文件的组成部分，对所有投标人有约束力。</w:t>
      </w:r>
    </w:p>
    <w:p>
      <w:pPr>
        <w:pStyle w:val="34"/>
        <w:keepNext w:val="0"/>
        <w:keepLines w:val="0"/>
        <w:widowControl/>
        <w:numPr>
          <w:ilvl w:val="0"/>
          <w:numId w:val="9"/>
        </w:numPr>
        <w:suppressLineNumbers w:val="0"/>
        <w:ind w:hanging="420"/>
        <w:rPr>
          <w:lang w:val="en-US"/>
        </w:rPr>
      </w:pPr>
      <w:r>
        <w:rPr>
          <w:rFonts w:hint="eastAsia" w:ascii="Times New Roman" w:hAnsi="Times New Roman" w:eastAsia="宋体" w:cs="宋体"/>
          <w:lang w:eastAsia="zh-CN"/>
        </w:rPr>
        <w:t>为使投标人有足够的时间按招标文件的修改要求考虑修正投标文件，招标人可酌情推迟投标和开标日期，并将这些变更通知上述每一投标人。</w:t>
      </w:r>
    </w:p>
    <w:p>
      <w:pPr>
        <w:pStyle w:val="32"/>
        <w:keepNext w:val="0"/>
        <w:keepLines/>
        <w:widowControl/>
        <w:numPr>
          <w:ilvl w:val="0"/>
          <w:numId w:val="1"/>
        </w:numPr>
        <w:suppressLineNumbers w:val="0"/>
        <w:ind w:left="0" w:firstLine="0"/>
        <w:rPr>
          <w:lang w:val="en-US"/>
        </w:rPr>
      </w:pPr>
      <w:bookmarkStart w:id="39" w:name="_Toc265850578"/>
      <w:bookmarkStart w:id="40" w:name="_Toc264881858"/>
      <w:bookmarkStart w:id="41" w:name="_Toc234922353"/>
      <w:bookmarkStart w:id="42" w:name="_Toc22213"/>
      <w:r>
        <w:rPr>
          <w:rFonts w:hint="eastAsia" w:ascii="Times New Roman" w:hAnsi="Times New Roman" w:eastAsia="宋体" w:cs="宋体"/>
          <w:lang w:eastAsia="zh-CN"/>
        </w:rPr>
        <w:t>投标文件的内容和要求</w:t>
      </w:r>
      <w:bookmarkEnd w:id="39"/>
      <w:bookmarkEnd w:id="40"/>
      <w:bookmarkEnd w:id="41"/>
      <w:bookmarkEnd w:id="42"/>
    </w:p>
    <w:p>
      <w:pPr>
        <w:pStyle w:val="62"/>
        <w:keepNext w:val="0"/>
        <w:keepLines/>
        <w:widowControl/>
        <w:numPr>
          <w:ilvl w:val="1"/>
          <w:numId w:val="1"/>
        </w:numPr>
        <w:suppressLineNumbers w:val="0"/>
        <w:ind w:left="0" w:firstLine="0"/>
        <w:rPr>
          <w:lang w:val="en-US"/>
        </w:rPr>
      </w:pPr>
      <w:bookmarkStart w:id="43" w:name="_Toc16760"/>
      <w:r>
        <w:rPr>
          <w:rFonts w:hint="eastAsia" w:ascii="Times New Roman" w:hAnsi="Times New Roman" w:eastAsia="宋体" w:cs="宋体"/>
          <w:lang w:eastAsia="zh-CN"/>
        </w:rPr>
        <w:t>投标文件计量单位</w:t>
      </w:r>
      <w:bookmarkEnd w:id="43"/>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投标文件中所使用的计量单位，除招标文件中有特殊要求外，应采用国家法定计量单位。</w:t>
      </w:r>
    </w:p>
    <w:p>
      <w:pPr>
        <w:pStyle w:val="62"/>
        <w:keepNext w:val="0"/>
        <w:keepLines/>
        <w:widowControl/>
        <w:numPr>
          <w:ilvl w:val="1"/>
          <w:numId w:val="1"/>
        </w:numPr>
        <w:suppressLineNumbers w:val="0"/>
        <w:ind w:left="0" w:firstLine="0"/>
        <w:rPr>
          <w:lang w:val="en-US"/>
        </w:rPr>
      </w:pPr>
      <w:bookmarkStart w:id="44" w:name="_Toc21806"/>
      <w:r>
        <w:rPr>
          <w:rFonts w:hint="eastAsia" w:ascii="Times New Roman" w:hAnsi="Times New Roman" w:eastAsia="宋体" w:cs="宋体"/>
          <w:lang w:eastAsia="zh-CN"/>
        </w:rPr>
        <w:t>投标文件组成</w:t>
      </w:r>
      <w:bookmarkEnd w:id="44"/>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投标文件由以下部分组成（请按照下述组织投标书各章节内容）：</w:t>
      </w:r>
    </w:p>
    <w:p>
      <w:pPr>
        <w:pStyle w:val="34"/>
        <w:keepNext w:val="0"/>
        <w:keepLines w:val="0"/>
        <w:widowControl/>
        <w:numPr>
          <w:ilvl w:val="0"/>
          <w:numId w:val="10"/>
        </w:numPr>
        <w:suppressLineNumbers w:val="0"/>
        <w:ind w:hanging="414"/>
        <w:rPr>
          <w:lang w:val="en-US"/>
        </w:rPr>
      </w:pPr>
      <w:r>
        <w:rPr>
          <w:rFonts w:hint="eastAsia" w:ascii="Times New Roman" w:hAnsi="Times New Roman" w:eastAsia="宋体" w:cs="宋体"/>
          <w:lang w:eastAsia="zh-CN"/>
        </w:rPr>
        <w:t>投标函（见附件格式</w:t>
      </w:r>
      <w:r>
        <w:rPr>
          <w:lang w:val="en-US"/>
        </w:rPr>
        <w:t>1</w:t>
      </w:r>
      <w:r>
        <w:rPr>
          <w:rFonts w:hint="eastAsia" w:ascii="Times New Roman" w:hAnsi="Times New Roman" w:eastAsia="宋体" w:cs="宋体"/>
          <w:lang w:eastAsia="zh-CN"/>
        </w:rPr>
        <w:t>）。</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开标一览表（见附件</w:t>
      </w:r>
      <w:r>
        <w:rPr>
          <w:lang w:val="en-US"/>
        </w:rPr>
        <w:t>4</w:t>
      </w:r>
      <w:r>
        <w:rPr>
          <w:rFonts w:hint="eastAsia" w:ascii="Times New Roman" w:hAnsi="Times New Roman" w:eastAsia="宋体" w:cs="宋体"/>
          <w:lang w:eastAsia="zh-CN"/>
        </w:rPr>
        <w:t>）。</w:t>
      </w:r>
    </w:p>
    <w:p>
      <w:pPr>
        <w:pStyle w:val="34"/>
        <w:keepNext w:val="0"/>
        <w:keepLines w:val="0"/>
        <w:widowControl/>
        <w:numPr>
          <w:ilvl w:val="0"/>
          <w:numId w:val="0"/>
        </w:numPr>
        <w:suppressLineNumbers w:val="0"/>
        <w:adjustRightInd w:val="0"/>
        <w:snapToGrid w:val="0"/>
        <w:spacing w:line="300" w:lineRule="auto"/>
        <w:ind w:left="-105" w:firstLine="420" w:firstLineChars="175"/>
        <w:rPr>
          <w:szCs w:val="24"/>
          <w:lang w:val="en-US"/>
        </w:rPr>
      </w:pPr>
      <w:r>
        <w:rPr>
          <w:rFonts w:hint="eastAsia" w:ascii="Times New Roman" w:hAnsi="Times New Roman" w:eastAsia="宋体" w:cs="宋体"/>
          <w:szCs w:val="24"/>
          <w:lang w:eastAsia="zh-CN"/>
        </w:rPr>
        <w:t>开标一览表中所有报价均采用人民币报价，其金额应包括：咨询、产品、实施等一切费用。价格构成如下：</w:t>
      </w:r>
    </w:p>
    <w:p>
      <w:pPr>
        <w:pStyle w:val="34"/>
        <w:keepNext w:val="0"/>
        <w:keepLines w:val="0"/>
        <w:widowControl/>
        <w:numPr>
          <w:ilvl w:val="0"/>
          <w:numId w:val="11"/>
        </w:numPr>
        <w:suppressLineNumbers w:val="0"/>
        <w:adjustRightInd w:val="0"/>
        <w:snapToGrid w:val="0"/>
        <w:spacing w:line="300" w:lineRule="auto"/>
        <w:ind w:left="795" w:hanging="420"/>
        <w:rPr>
          <w:color w:val="auto"/>
          <w:lang w:val="en-US"/>
        </w:rPr>
      </w:pPr>
      <w:r>
        <w:rPr>
          <w:rFonts w:hint="eastAsia" w:ascii="Times New Roman" w:hAnsi="Times New Roman" w:eastAsia="宋体" w:cs="宋体"/>
          <w:color w:val="auto"/>
          <w:lang w:eastAsia="zh-CN"/>
        </w:rPr>
        <w:t>咨询费用：应依照拟投入的咨询顾问级别分项报价；</w:t>
      </w:r>
    </w:p>
    <w:p>
      <w:pPr>
        <w:pStyle w:val="34"/>
        <w:keepNext w:val="0"/>
        <w:keepLines w:val="0"/>
        <w:widowControl/>
        <w:numPr>
          <w:ilvl w:val="0"/>
          <w:numId w:val="11"/>
        </w:numPr>
        <w:suppressLineNumbers w:val="0"/>
        <w:adjustRightInd w:val="0"/>
        <w:snapToGrid w:val="0"/>
        <w:spacing w:line="300" w:lineRule="auto"/>
        <w:ind w:left="795" w:hanging="420"/>
        <w:rPr>
          <w:lang w:val="en-US"/>
        </w:rPr>
      </w:pPr>
      <w:r>
        <w:rPr>
          <w:rFonts w:hint="eastAsia" w:ascii="Times New Roman" w:hAnsi="Times New Roman" w:eastAsia="宋体" w:cs="宋体"/>
          <w:lang w:eastAsia="zh-CN"/>
        </w:rPr>
        <w:t>产品费用：应按照</w:t>
      </w:r>
      <w:r>
        <w:rPr>
          <w:rFonts w:hint="eastAsia" w:ascii="宋体" w:hAnsi="宋体" w:eastAsia="宋体" w:cs="宋体"/>
          <w:kern w:val="0"/>
          <w:lang w:eastAsia="zh-CN"/>
        </w:rPr>
        <w:t>满足中国重型汽车集团财务共享服务中心管理软件功能清单和许可证数进行报价</w:t>
      </w:r>
      <w:r>
        <w:rPr>
          <w:rFonts w:hint="eastAsia" w:ascii="Times New Roman" w:hAnsi="Times New Roman" w:eastAsia="宋体" w:cs="宋体"/>
          <w:lang w:eastAsia="zh-CN"/>
        </w:rPr>
        <w:t>；</w:t>
      </w:r>
    </w:p>
    <w:p>
      <w:pPr>
        <w:pStyle w:val="34"/>
        <w:keepNext w:val="0"/>
        <w:keepLines w:val="0"/>
        <w:widowControl/>
        <w:numPr>
          <w:ilvl w:val="0"/>
          <w:numId w:val="11"/>
        </w:numPr>
        <w:suppressLineNumbers w:val="0"/>
        <w:adjustRightInd w:val="0"/>
        <w:snapToGrid w:val="0"/>
        <w:spacing w:line="300" w:lineRule="auto"/>
        <w:ind w:left="795" w:hanging="420"/>
        <w:rPr>
          <w:lang w:val="en-US"/>
        </w:rPr>
      </w:pPr>
      <w:r>
        <w:rPr>
          <w:rFonts w:hint="eastAsia" w:ascii="Times New Roman" w:hAnsi="Times New Roman" w:eastAsia="宋体" w:cs="宋体"/>
          <w:lang w:eastAsia="zh-CN"/>
        </w:rPr>
        <w:t>实施费用：实施此项目的费用</w:t>
      </w:r>
      <w:r>
        <w:rPr>
          <w:rFonts w:hint="eastAsia" w:ascii="宋体" w:hAnsi="宋体" w:eastAsia="宋体" w:cs="宋体"/>
          <w:kern w:val="0"/>
          <w:lang w:eastAsia="zh-CN"/>
        </w:rPr>
        <w:t>，同时列出二期的建设方案和报价作为参考</w:t>
      </w:r>
      <w:r>
        <w:rPr>
          <w:rFonts w:hint="eastAsia" w:ascii="Times New Roman" w:hAnsi="Times New Roman" w:eastAsia="宋体" w:cs="宋体"/>
          <w:lang w:eastAsia="zh-CN"/>
        </w:rPr>
        <w:t>；</w:t>
      </w:r>
    </w:p>
    <w:p>
      <w:pPr>
        <w:pStyle w:val="34"/>
        <w:keepNext w:val="0"/>
        <w:keepLines w:val="0"/>
        <w:widowControl/>
        <w:numPr>
          <w:ilvl w:val="0"/>
          <w:numId w:val="11"/>
        </w:numPr>
        <w:suppressLineNumbers w:val="0"/>
        <w:adjustRightInd w:val="0"/>
        <w:snapToGrid w:val="0"/>
        <w:spacing w:line="300" w:lineRule="auto"/>
        <w:ind w:left="795" w:hanging="420"/>
        <w:rPr>
          <w:lang w:val="en-US"/>
        </w:rPr>
      </w:pPr>
      <w:r>
        <w:rPr>
          <w:rFonts w:hint="eastAsia" w:ascii="宋体" w:hAnsi="宋体" w:eastAsia="宋体" w:cs="宋体"/>
          <w:kern w:val="0"/>
          <w:lang w:eastAsia="zh-CN"/>
        </w:rPr>
        <w:t>供应商免费提供的项目，应先填写该项目的实际价格，并注明免费。此项不计入总报价。</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竞标人资格证明文件（见附件</w:t>
      </w:r>
      <w:r>
        <w:rPr>
          <w:lang w:val="en-US"/>
        </w:rPr>
        <w:t>3</w:t>
      </w:r>
      <w:r>
        <w:rPr>
          <w:rFonts w:hint="eastAsia" w:ascii="Times New Roman" w:hAnsi="Times New Roman" w:eastAsia="宋体" w:cs="宋体"/>
          <w:lang w:eastAsia="zh-CN"/>
        </w:rPr>
        <w:t>），所有资质证明文件均需盖有法人单位公章，包括：</w:t>
      </w:r>
    </w:p>
    <w:p>
      <w:pPr>
        <w:pStyle w:val="34"/>
        <w:keepNext w:val="0"/>
        <w:keepLines w:val="0"/>
        <w:widowControl/>
        <w:numPr>
          <w:ilvl w:val="0"/>
          <w:numId w:val="12"/>
        </w:numPr>
        <w:suppressLineNumbers w:val="0"/>
        <w:adjustRightInd w:val="0"/>
        <w:snapToGrid w:val="0"/>
        <w:spacing w:line="300" w:lineRule="auto"/>
        <w:ind w:left="795" w:hanging="420"/>
        <w:rPr>
          <w:lang w:val="en-US"/>
        </w:rPr>
      </w:pPr>
      <w:r>
        <w:rPr>
          <w:rFonts w:hint="eastAsia" w:ascii="Times New Roman" w:hAnsi="Times New Roman" w:eastAsia="宋体" w:cs="宋体"/>
          <w:lang w:eastAsia="zh-CN"/>
        </w:rPr>
        <w:t>法定代表人授权委托书（见附件</w:t>
      </w:r>
      <w:r>
        <w:rPr>
          <w:lang w:val="en-US"/>
        </w:rPr>
        <w:t>2</w:t>
      </w:r>
      <w:r>
        <w:rPr>
          <w:rFonts w:hint="eastAsia" w:ascii="Times New Roman" w:hAnsi="Times New Roman" w:eastAsia="宋体" w:cs="宋体"/>
          <w:lang w:eastAsia="zh-CN"/>
        </w:rPr>
        <w:t>）（见附录）；</w:t>
      </w:r>
    </w:p>
    <w:p>
      <w:pPr>
        <w:pStyle w:val="34"/>
        <w:keepNext w:val="0"/>
        <w:keepLines w:val="0"/>
        <w:widowControl/>
        <w:numPr>
          <w:ilvl w:val="0"/>
          <w:numId w:val="12"/>
        </w:numPr>
        <w:suppressLineNumbers w:val="0"/>
        <w:adjustRightInd w:val="0"/>
        <w:snapToGrid w:val="0"/>
        <w:spacing w:line="300" w:lineRule="auto"/>
        <w:ind w:left="795" w:hanging="420"/>
        <w:rPr>
          <w:lang w:val="en-US"/>
        </w:rPr>
      </w:pPr>
      <w:r>
        <w:rPr>
          <w:rFonts w:hint="eastAsia" w:ascii="Times New Roman" w:hAnsi="Times New Roman" w:eastAsia="宋体" w:cs="宋体"/>
          <w:lang w:eastAsia="zh-CN"/>
        </w:rPr>
        <w:t>企业营业执照副本原件及复印件（加盖法人单位公章）；</w:t>
      </w:r>
    </w:p>
    <w:p>
      <w:pPr>
        <w:pStyle w:val="34"/>
        <w:keepNext w:val="0"/>
        <w:keepLines w:val="0"/>
        <w:widowControl/>
        <w:numPr>
          <w:ilvl w:val="0"/>
          <w:numId w:val="12"/>
        </w:numPr>
        <w:suppressLineNumbers w:val="0"/>
        <w:adjustRightInd w:val="0"/>
        <w:snapToGrid w:val="0"/>
        <w:spacing w:line="300" w:lineRule="auto"/>
        <w:ind w:left="795" w:hanging="420"/>
        <w:rPr>
          <w:lang w:val="en-US"/>
        </w:rPr>
      </w:pPr>
      <w:r>
        <w:rPr>
          <w:rFonts w:hint="eastAsia" w:ascii="Times New Roman" w:hAnsi="Times New Roman" w:eastAsia="宋体" w:cs="宋体"/>
          <w:lang w:eastAsia="zh-CN"/>
        </w:rPr>
        <w:t>法人代表或授权代表有效身份证（盖有法人单位公章的复印件，包括正反两面）；</w:t>
      </w:r>
    </w:p>
    <w:p>
      <w:pPr>
        <w:pStyle w:val="34"/>
        <w:keepNext w:val="0"/>
        <w:keepLines w:val="0"/>
        <w:widowControl/>
        <w:numPr>
          <w:ilvl w:val="0"/>
          <w:numId w:val="12"/>
        </w:numPr>
        <w:suppressLineNumbers w:val="0"/>
        <w:adjustRightInd w:val="0"/>
        <w:snapToGrid w:val="0"/>
        <w:spacing w:line="300" w:lineRule="auto"/>
        <w:ind w:left="795" w:hanging="420"/>
        <w:rPr>
          <w:lang w:val="en-US"/>
        </w:rPr>
      </w:pPr>
      <w:r>
        <w:rPr>
          <w:rFonts w:hint="eastAsia" w:ascii="Times New Roman" w:hAnsi="Times New Roman" w:eastAsia="宋体" w:cs="宋体"/>
          <w:lang w:eastAsia="zh-CN"/>
        </w:rPr>
        <w:t>投标方经营业绩情况，至少应包括近三年的年度财务报表审计报告、近三年的财务报表；</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商务条款偏离表（见附件</w:t>
      </w:r>
      <w:r>
        <w:rPr>
          <w:lang w:val="en-US"/>
        </w:rPr>
        <w:t>6</w:t>
      </w:r>
      <w:r>
        <w:rPr>
          <w:rFonts w:hint="eastAsia" w:ascii="Times New Roman" w:hAnsi="Times New Roman" w:eastAsia="宋体" w:cs="宋体"/>
          <w:lang w:eastAsia="zh-CN"/>
        </w:rPr>
        <w:t>）、技术规则、参数偏离表（见附件</w:t>
      </w:r>
      <w:r>
        <w:rPr>
          <w:lang w:val="en-US"/>
        </w:rPr>
        <w:t>7</w:t>
      </w:r>
      <w:r>
        <w:rPr>
          <w:rFonts w:hint="eastAsia" w:ascii="Times New Roman" w:hAnsi="Times New Roman" w:eastAsia="宋体" w:cs="宋体"/>
          <w:lang w:eastAsia="zh-CN"/>
        </w:rPr>
        <w:t>）。</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项目实施方案（见附件</w:t>
      </w:r>
      <w:r>
        <w:rPr>
          <w:lang w:val="en-US"/>
        </w:rPr>
        <w:t>8</w:t>
      </w:r>
      <w:r>
        <w:rPr>
          <w:rFonts w:hint="eastAsia" w:ascii="Times New Roman" w:hAnsi="Times New Roman" w:eastAsia="宋体" w:cs="宋体"/>
          <w:lang w:eastAsia="zh-CN"/>
        </w:rPr>
        <w:t>）。针对招标文件项目技术要求，提出相应的解决方案。</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投标价格分解表。针对招标文件的要求，提供产品的详细信息，对于软件应包括模块功能介绍及报价（见附件</w:t>
      </w:r>
      <w:r>
        <w:rPr>
          <w:lang w:val="en-US"/>
        </w:rPr>
        <w:t>5</w:t>
      </w:r>
      <w:r>
        <w:rPr>
          <w:rFonts w:hint="eastAsia" w:ascii="Times New Roman" w:hAnsi="Times New Roman" w:eastAsia="宋体" w:cs="宋体"/>
          <w:lang w:eastAsia="zh-CN"/>
        </w:rPr>
        <w:t>）。</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成功案例。列举与此招标项目类似的成功案例，包括项目实施时间、单位、应用范围、投标人参与的核心成员等。</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项目团队。列示拟参与项目的团队成员及工作简历。</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项目报名表（见附件</w:t>
      </w:r>
      <w:r>
        <w:rPr>
          <w:lang w:val="en-US"/>
        </w:rPr>
        <w:t>9</w:t>
      </w:r>
      <w:r>
        <w:rPr>
          <w:rFonts w:hint="eastAsia" w:ascii="Times New Roman" w:hAnsi="Times New Roman" w:eastAsia="宋体" w:cs="宋体"/>
          <w:lang w:eastAsia="zh-CN"/>
        </w:rPr>
        <w:t>）。</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项目所需的硬件配置总体规划（包括不限于计算资源、存储资源及网络资源等）及预算建议（可根据项目实施进度分期建设）。</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服务承诺及优惠条件。</w:t>
      </w:r>
    </w:p>
    <w:p>
      <w:pPr>
        <w:pStyle w:val="34"/>
        <w:keepNext w:val="0"/>
        <w:keepLines w:val="0"/>
        <w:widowControl/>
        <w:numPr>
          <w:ilvl w:val="0"/>
          <w:numId w:val="2"/>
        </w:numPr>
        <w:suppressLineNumbers w:val="0"/>
        <w:ind w:hanging="414"/>
        <w:rPr>
          <w:lang w:val="en-US"/>
        </w:rPr>
      </w:pPr>
      <w:r>
        <w:rPr>
          <w:rFonts w:hint="eastAsia" w:ascii="Times New Roman" w:hAnsi="Times New Roman" w:eastAsia="宋体" w:cs="宋体"/>
          <w:lang w:eastAsia="zh-CN"/>
        </w:rPr>
        <w:t>其它需要说明的事项。</w:t>
      </w:r>
    </w:p>
    <w:p>
      <w:pPr>
        <w:pStyle w:val="62"/>
        <w:keepNext w:val="0"/>
        <w:keepLines/>
        <w:widowControl/>
        <w:numPr>
          <w:ilvl w:val="1"/>
          <w:numId w:val="1"/>
        </w:numPr>
        <w:suppressLineNumbers w:val="0"/>
        <w:ind w:left="0" w:firstLine="0"/>
        <w:rPr>
          <w:lang w:val="en-US"/>
        </w:rPr>
      </w:pPr>
      <w:bookmarkStart w:id="45" w:name="_Toc22863"/>
      <w:r>
        <w:rPr>
          <w:rFonts w:hint="eastAsia" w:ascii="Times New Roman" w:hAnsi="Times New Roman" w:eastAsia="宋体" w:cs="宋体"/>
          <w:lang w:eastAsia="zh-CN"/>
        </w:rPr>
        <w:t>投标文件的有效期</w:t>
      </w:r>
      <w:bookmarkEnd w:id="45"/>
    </w:p>
    <w:p>
      <w:pPr>
        <w:pStyle w:val="34"/>
        <w:keepNext w:val="0"/>
        <w:keepLines w:val="0"/>
        <w:widowControl/>
        <w:numPr>
          <w:ilvl w:val="0"/>
          <w:numId w:val="13"/>
        </w:numPr>
        <w:suppressLineNumbers w:val="0"/>
        <w:ind w:hanging="420"/>
        <w:rPr>
          <w:lang w:val="en-US"/>
        </w:rPr>
      </w:pPr>
      <w:r>
        <w:rPr>
          <w:rFonts w:hint="eastAsia" w:ascii="Times New Roman" w:hAnsi="Times New Roman" w:eastAsia="宋体" w:cs="宋体"/>
          <w:lang w:eastAsia="zh-CN"/>
        </w:rPr>
        <w:t>自开标日起</w:t>
      </w:r>
      <w:r>
        <w:rPr>
          <w:lang w:val="en-US"/>
        </w:rPr>
        <w:t>30</w:t>
      </w:r>
      <w:r>
        <w:rPr>
          <w:rFonts w:hint="eastAsia" w:ascii="Times New Roman" w:hAnsi="Times New Roman" w:eastAsia="宋体" w:cs="宋体"/>
          <w:lang w:eastAsia="zh-CN"/>
        </w:rPr>
        <w:t>天内，投标书应保持有效。有效期短于这个规定期限的投标将被拒绝。</w:t>
      </w:r>
    </w:p>
    <w:p>
      <w:pPr>
        <w:pStyle w:val="34"/>
        <w:keepNext w:val="0"/>
        <w:keepLines w:val="0"/>
        <w:widowControl/>
        <w:numPr>
          <w:ilvl w:val="0"/>
          <w:numId w:val="13"/>
        </w:numPr>
        <w:suppressLineNumbers w:val="0"/>
        <w:ind w:hanging="420"/>
        <w:rPr>
          <w:lang w:val="en-US"/>
        </w:rPr>
      </w:pPr>
      <w:r>
        <w:rPr>
          <w:rFonts w:hint="eastAsia" w:ascii="Times New Roman" w:hAnsi="Times New Roman" w:eastAsia="宋体" w:cs="宋体"/>
          <w:lang w:eastAsia="zh-CN"/>
        </w:rPr>
        <w:t>在特殊情况下，招标人可与投标人协商延长投标书的有效期。这种要求和答复都应以书面、传真的形式进行。</w:t>
      </w:r>
    </w:p>
    <w:p>
      <w:pPr>
        <w:pStyle w:val="62"/>
        <w:keepNext w:val="0"/>
        <w:keepLines/>
        <w:widowControl/>
        <w:numPr>
          <w:ilvl w:val="1"/>
          <w:numId w:val="1"/>
        </w:numPr>
        <w:suppressLineNumbers w:val="0"/>
        <w:ind w:left="0" w:firstLine="0"/>
        <w:rPr>
          <w:lang w:val="en-US"/>
        </w:rPr>
      </w:pPr>
      <w:bookmarkStart w:id="46" w:name="_Toc7954"/>
      <w:r>
        <w:rPr>
          <w:rFonts w:hint="eastAsia" w:ascii="Times New Roman" w:hAnsi="Times New Roman" w:eastAsia="宋体" w:cs="宋体"/>
          <w:lang w:eastAsia="zh-CN"/>
        </w:rPr>
        <w:t>投标文件格式</w:t>
      </w:r>
      <w:bookmarkEnd w:id="46"/>
    </w:p>
    <w:p>
      <w:pPr>
        <w:pStyle w:val="34"/>
        <w:keepNext w:val="0"/>
        <w:keepLines w:val="0"/>
        <w:widowControl/>
        <w:numPr>
          <w:ilvl w:val="0"/>
          <w:numId w:val="14"/>
        </w:numPr>
        <w:suppressLineNumbers w:val="0"/>
        <w:ind w:hanging="420"/>
        <w:rPr>
          <w:lang w:val="en-US"/>
        </w:rPr>
      </w:pPr>
      <w:r>
        <w:rPr>
          <w:rFonts w:hint="eastAsia" w:ascii="宋体" w:hAnsi="Times New Roman" w:eastAsia="宋体" w:cs="宋体"/>
          <w:lang w:eastAsia="zh-CN"/>
        </w:rPr>
        <w:t>投标文件语言应采用中文。</w:t>
      </w:r>
    </w:p>
    <w:p>
      <w:pPr>
        <w:pStyle w:val="34"/>
        <w:keepNext w:val="0"/>
        <w:keepLines w:val="0"/>
        <w:widowControl/>
        <w:numPr>
          <w:ilvl w:val="0"/>
          <w:numId w:val="14"/>
        </w:numPr>
        <w:suppressLineNumbers w:val="0"/>
        <w:ind w:hanging="420"/>
        <w:rPr>
          <w:lang w:val="en-US"/>
        </w:rPr>
      </w:pPr>
      <w:r>
        <w:rPr>
          <w:rFonts w:hint="eastAsia" w:ascii="Times New Roman" w:hAnsi="Times New Roman" w:eastAsia="宋体" w:cs="宋体"/>
          <w:lang w:eastAsia="zh-CN"/>
        </w:rPr>
        <w:t>投标文件字体书写必须工整清楚，易于辨认，文义明白准确。投标文件不得涂改和增删。如因字迹潦草或表达不清所引起的后果由投标人负责。</w:t>
      </w:r>
    </w:p>
    <w:p>
      <w:pPr>
        <w:pStyle w:val="34"/>
        <w:keepNext w:val="0"/>
        <w:keepLines w:val="0"/>
        <w:widowControl/>
        <w:numPr>
          <w:ilvl w:val="0"/>
          <w:numId w:val="14"/>
        </w:numPr>
        <w:suppressLineNumbers w:val="0"/>
        <w:ind w:hanging="420"/>
        <w:rPr>
          <w:lang w:val="en-US"/>
        </w:rPr>
      </w:pPr>
      <w:r>
        <w:rPr>
          <w:rFonts w:hint="eastAsia" w:ascii="Times New Roman" w:hAnsi="Times New Roman" w:eastAsia="宋体" w:cs="宋体"/>
          <w:lang w:eastAsia="zh-CN"/>
        </w:rPr>
        <w:t>投标文件必须用不褪色的墨水填写或打印。</w:t>
      </w:r>
    </w:p>
    <w:p>
      <w:pPr>
        <w:pStyle w:val="34"/>
        <w:keepNext w:val="0"/>
        <w:keepLines w:val="0"/>
        <w:widowControl/>
        <w:numPr>
          <w:ilvl w:val="0"/>
          <w:numId w:val="14"/>
        </w:numPr>
        <w:suppressLineNumbers w:val="0"/>
        <w:ind w:hanging="420"/>
        <w:rPr>
          <w:lang w:val="en-US"/>
        </w:rPr>
      </w:pPr>
      <w:r>
        <w:rPr>
          <w:rFonts w:hint="eastAsia" w:ascii="Times New Roman" w:hAnsi="Times New Roman" w:eastAsia="宋体" w:cs="宋体"/>
          <w:lang w:eastAsia="zh-CN"/>
        </w:rPr>
        <w:t>投标文件必须由法人代表或授权代表签署，投标人应填写全称，并加盖公章（含骑缝章）。</w:t>
      </w:r>
    </w:p>
    <w:p>
      <w:pPr>
        <w:pStyle w:val="34"/>
        <w:keepNext w:val="0"/>
        <w:keepLines w:val="0"/>
        <w:widowControl/>
        <w:numPr>
          <w:ilvl w:val="0"/>
          <w:numId w:val="14"/>
        </w:numPr>
        <w:suppressLineNumbers w:val="0"/>
        <w:ind w:hanging="420"/>
        <w:rPr>
          <w:rFonts w:hint="eastAsia" w:ascii="宋体" w:hAnsi="Times New Roman" w:eastAsia="宋体" w:cs="宋体"/>
          <w:lang w:val="en-US"/>
        </w:rPr>
      </w:pPr>
      <w:r>
        <w:rPr>
          <w:rFonts w:hint="eastAsia" w:ascii="宋体" w:hAnsi="Times New Roman" w:eastAsia="宋体" w:cs="宋体"/>
          <w:lang w:eastAsia="zh-CN"/>
        </w:rPr>
        <w:t>不按上述规定编写的投标文件将视为主动放弃，不予评标。</w:t>
      </w:r>
    </w:p>
    <w:p>
      <w:pPr>
        <w:pStyle w:val="62"/>
        <w:keepNext w:val="0"/>
        <w:keepLines/>
        <w:widowControl/>
        <w:numPr>
          <w:ilvl w:val="1"/>
          <w:numId w:val="1"/>
        </w:numPr>
        <w:suppressLineNumbers w:val="0"/>
        <w:ind w:left="0" w:firstLine="0"/>
        <w:rPr>
          <w:lang w:val="en-US"/>
        </w:rPr>
      </w:pPr>
      <w:bookmarkStart w:id="47" w:name="_Toc234922354"/>
      <w:bookmarkStart w:id="48" w:name="_Toc265850579"/>
      <w:bookmarkStart w:id="49" w:name="_Toc264881859"/>
      <w:bookmarkStart w:id="50" w:name="_Toc26500"/>
      <w:r>
        <w:rPr>
          <w:rFonts w:hint="eastAsia" w:ascii="Times New Roman" w:hAnsi="Times New Roman" w:eastAsia="宋体" w:cs="宋体"/>
          <w:lang w:eastAsia="zh-CN"/>
        </w:rPr>
        <w:t>投标文件的装袋、密封和递交</w:t>
      </w:r>
      <w:bookmarkEnd w:id="47"/>
      <w:bookmarkEnd w:id="48"/>
      <w:bookmarkEnd w:id="49"/>
      <w:bookmarkEnd w:id="50"/>
    </w:p>
    <w:p>
      <w:pPr>
        <w:pStyle w:val="34"/>
        <w:keepNext w:val="0"/>
        <w:keepLines w:val="0"/>
        <w:widowControl/>
        <w:numPr>
          <w:ilvl w:val="0"/>
          <w:numId w:val="15"/>
        </w:numPr>
        <w:suppressLineNumbers w:val="0"/>
        <w:ind w:hanging="420"/>
        <w:rPr>
          <w:lang w:val="en-US"/>
        </w:rPr>
      </w:pPr>
      <w:r>
        <w:rPr>
          <w:rFonts w:hint="eastAsia" w:ascii="Times New Roman" w:hAnsi="Times New Roman" w:eastAsia="宋体" w:cs="宋体"/>
          <w:lang w:eastAsia="zh-CN"/>
        </w:rPr>
        <w:t>投标文件正本</w:t>
      </w:r>
      <w:r>
        <w:rPr>
          <w:lang w:val="en-US"/>
        </w:rPr>
        <w:t>1</w:t>
      </w:r>
      <w:r>
        <w:rPr>
          <w:rFonts w:hint="eastAsia" w:ascii="Times New Roman" w:hAnsi="Times New Roman" w:eastAsia="宋体" w:cs="宋体"/>
          <w:lang w:eastAsia="zh-CN"/>
        </w:rPr>
        <w:t>份、副本</w:t>
      </w:r>
      <w:r>
        <w:rPr>
          <w:lang w:val="en-US"/>
        </w:rPr>
        <w:t>5</w:t>
      </w:r>
      <w:r>
        <w:rPr>
          <w:rFonts w:hint="eastAsia" w:ascii="Times New Roman" w:hAnsi="Times New Roman" w:eastAsia="宋体" w:cs="宋体"/>
          <w:lang w:eastAsia="zh-CN"/>
        </w:rPr>
        <w:t>份，并在封页正面右上角标明“正本”、“副本”字样，保证正本与副本的内容一致。如果正本与副本内容不一致以正本为准。</w:t>
      </w:r>
    </w:p>
    <w:p>
      <w:pPr>
        <w:pStyle w:val="34"/>
        <w:keepNext w:val="0"/>
        <w:keepLines w:val="0"/>
        <w:widowControl/>
        <w:numPr>
          <w:ilvl w:val="0"/>
          <w:numId w:val="15"/>
        </w:numPr>
        <w:suppressLineNumbers w:val="0"/>
        <w:ind w:hanging="420"/>
        <w:rPr>
          <w:lang w:val="en-US"/>
        </w:rPr>
      </w:pPr>
      <w:r>
        <w:rPr>
          <w:rFonts w:hint="eastAsia" w:ascii="Times New Roman" w:hAnsi="Times New Roman" w:eastAsia="宋体" w:cs="宋体"/>
          <w:lang w:eastAsia="zh-CN"/>
        </w:rPr>
        <w:t>开标一览表单独装袋密封。</w:t>
      </w:r>
    </w:p>
    <w:p>
      <w:pPr>
        <w:pStyle w:val="34"/>
        <w:keepNext w:val="0"/>
        <w:keepLines w:val="0"/>
        <w:widowControl/>
        <w:numPr>
          <w:ilvl w:val="0"/>
          <w:numId w:val="15"/>
        </w:numPr>
        <w:suppressLineNumbers w:val="0"/>
        <w:ind w:hanging="420"/>
        <w:rPr>
          <w:lang w:val="en-US"/>
        </w:rPr>
      </w:pPr>
      <w:r>
        <w:rPr>
          <w:rFonts w:hint="eastAsia" w:ascii="Times New Roman" w:hAnsi="Times New Roman" w:eastAsia="宋体" w:cs="宋体"/>
          <w:lang w:eastAsia="zh-CN"/>
        </w:rPr>
        <w:t>正面封皮应标明投标人单位名称、地址，并在单位名称处加盖公章。</w:t>
      </w:r>
    </w:p>
    <w:p>
      <w:pPr>
        <w:pStyle w:val="34"/>
        <w:keepNext w:val="0"/>
        <w:keepLines w:val="0"/>
        <w:widowControl/>
        <w:numPr>
          <w:ilvl w:val="0"/>
          <w:numId w:val="15"/>
        </w:numPr>
        <w:suppressLineNumbers w:val="0"/>
        <w:ind w:hanging="420"/>
        <w:rPr>
          <w:lang w:val="en-US"/>
        </w:rPr>
      </w:pPr>
      <w:r>
        <w:rPr>
          <w:rFonts w:hint="eastAsia" w:ascii="Times New Roman" w:hAnsi="Times New Roman" w:eastAsia="宋体" w:cs="宋体"/>
          <w:lang w:eastAsia="zh-CN"/>
        </w:rPr>
        <w:t>投标书正本内封和投标书副本内封封口处</w:t>
      </w:r>
      <w:r>
        <w:rPr>
          <w:rFonts w:hint="eastAsia" w:ascii="宋体" w:hAnsi="宋体" w:eastAsia="宋体" w:cs="宋体"/>
          <w:lang w:eastAsia="zh-CN"/>
        </w:rPr>
        <w:t>应有投标全权代表的签字或</w:t>
      </w:r>
      <w:r>
        <w:rPr>
          <w:rFonts w:hint="eastAsia" w:ascii="Times New Roman" w:hAnsi="Times New Roman" w:eastAsia="宋体" w:cs="宋体"/>
          <w:lang w:eastAsia="zh-CN"/>
        </w:rPr>
        <w:t>投标单位公章，</w:t>
      </w:r>
      <w:r>
        <w:rPr>
          <w:rFonts w:hint="eastAsia" w:ascii="宋体" w:hAnsi="宋体" w:eastAsia="宋体" w:cs="宋体"/>
          <w:lang w:eastAsia="zh-CN"/>
        </w:rPr>
        <w:t>并注明“开标时启封”字样。</w:t>
      </w:r>
    </w:p>
    <w:p>
      <w:pPr>
        <w:pStyle w:val="34"/>
        <w:keepNext w:val="0"/>
        <w:keepLines w:val="0"/>
        <w:widowControl/>
        <w:numPr>
          <w:ilvl w:val="0"/>
          <w:numId w:val="15"/>
        </w:numPr>
        <w:suppressLineNumbers w:val="0"/>
        <w:ind w:hanging="420"/>
        <w:rPr>
          <w:lang w:val="en-US"/>
        </w:rPr>
      </w:pPr>
      <w:r>
        <w:rPr>
          <w:rFonts w:hint="eastAsia" w:ascii="Times New Roman" w:hAnsi="Times New Roman" w:eastAsia="宋体" w:cs="宋体"/>
          <w:lang w:eastAsia="zh-CN"/>
        </w:rPr>
        <w:t>开标一览表内封封口处应加盖投标单位公章。</w:t>
      </w:r>
    </w:p>
    <w:p>
      <w:pPr>
        <w:pStyle w:val="34"/>
        <w:keepNext w:val="0"/>
        <w:keepLines w:val="0"/>
        <w:widowControl/>
        <w:numPr>
          <w:ilvl w:val="0"/>
          <w:numId w:val="15"/>
        </w:numPr>
        <w:suppressLineNumbers w:val="0"/>
        <w:ind w:hanging="420"/>
        <w:rPr>
          <w:lang w:val="en-US"/>
        </w:rPr>
      </w:pPr>
      <w:r>
        <w:rPr>
          <w:rFonts w:hint="eastAsia" w:ascii="Times New Roman" w:hAnsi="Times New Roman" w:eastAsia="宋体" w:cs="宋体"/>
          <w:lang w:eastAsia="zh-CN"/>
        </w:rPr>
        <w:t>投标文件由投标人在开标日自行带到开标现场，在开标时当场交与招标负责人。</w:t>
      </w:r>
    </w:p>
    <w:p>
      <w:pPr>
        <w:pStyle w:val="62"/>
        <w:keepNext w:val="0"/>
        <w:keepLines/>
        <w:widowControl/>
        <w:numPr>
          <w:ilvl w:val="1"/>
          <w:numId w:val="1"/>
        </w:numPr>
        <w:suppressLineNumbers w:val="0"/>
        <w:ind w:left="0" w:firstLine="0"/>
        <w:rPr>
          <w:lang w:val="en-US"/>
        </w:rPr>
      </w:pPr>
      <w:bookmarkStart w:id="51" w:name="_Toc20583"/>
      <w:r>
        <w:rPr>
          <w:rFonts w:hint="eastAsia" w:ascii="Times New Roman" w:hAnsi="Times New Roman" w:eastAsia="宋体" w:cs="宋体"/>
          <w:lang w:eastAsia="zh-CN"/>
        </w:rPr>
        <w:t>投标文件的澄清</w:t>
      </w:r>
      <w:bookmarkEnd w:id="51"/>
    </w:p>
    <w:p>
      <w:pPr>
        <w:pStyle w:val="34"/>
        <w:keepNext w:val="0"/>
        <w:keepLines w:val="0"/>
        <w:widowControl/>
        <w:numPr>
          <w:ilvl w:val="0"/>
          <w:numId w:val="16"/>
        </w:numPr>
        <w:suppressLineNumbers w:val="0"/>
        <w:ind w:hanging="420"/>
        <w:rPr>
          <w:lang w:val="en-US"/>
        </w:rPr>
      </w:pPr>
      <w:r>
        <w:rPr>
          <w:rFonts w:hint="eastAsia" w:ascii="Times New Roman" w:hAnsi="Times New Roman" w:eastAsia="宋体" w:cs="宋体"/>
          <w:lang w:eastAsia="zh-CN"/>
        </w:rPr>
        <w:t>为有助于对投标文件进行审查、综合评定，招标人有权向投标人提出质疑，请其澄清投标内容。</w:t>
      </w:r>
    </w:p>
    <w:p>
      <w:pPr>
        <w:pStyle w:val="34"/>
        <w:keepNext w:val="0"/>
        <w:keepLines w:val="0"/>
        <w:widowControl/>
        <w:numPr>
          <w:ilvl w:val="0"/>
          <w:numId w:val="16"/>
        </w:numPr>
        <w:suppressLineNumbers w:val="0"/>
        <w:ind w:hanging="420"/>
        <w:rPr>
          <w:lang w:val="en-US"/>
        </w:rPr>
      </w:pPr>
      <w:r>
        <w:rPr>
          <w:rFonts w:hint="eastAsia" w:ascii="Times New Roman" w:hAnsi="Times New Roman" w:eastAsia="宋体" w:cs="宋体"/>
          <w:lang w:eastAsia="zh-CN"/>
        </w:rPr>
        <w:t>重要的澄清答复应是书面的，并作为投标文件的一部分，但不得对投标内容作实质性修改。</w:t>
      </w:r>
    </w:p>
    <w:p>
      <w:pPr>
        <w:pStyle w:val="62"/>
        <w:keepNext w:val="0"/>
        <w:keepLines/>
        <w:widowControl/>
        <w:numPr>
          <w:ilvl w:val="1"/>
          <w:numId w:val="1"/>
        </w:numPr>
        <w:suppressLineNumbers w:val="0"/>
        <w:ind w:left="0" w:firstLine="0"/>
        <w:rPr>
          <w:lang w:val="en-US"/>
        </w:rPr>
      </w:pPr>
      <w:bookmarkStart w:id="52" w:name="_Toc24773"/>
      <w:r>
        <w:rPr>
          <w:rFonts w:hint="eastAsia" w:ascii="Times New Roman" w:hAnsi="Times New Roman" w:eastAsia="宋体" w:cs="宋体"/>
          <w:lang w:eastAsia="zh-CN"/>
        </w:rPr>
        <w:t>开标</w:t>
      </w:r>
      <w:bookmarkEnd w:id="52"/>
    </w:p>
    <w:p>
      <w:pPr>
        <w:pStyle w:val="34"/>
        <w:keepNext w:val="0"/>
        <w:keepLines w:val="0"/>
        <w:widowControl/>
        <w:numPr>
          <w:ilvl w:val="0"/>
          <w:numId w:val="17"/>
        </w:numPr>
        <w:suppressLineNumbers w:val="0"/>
        <w:ind w:hanging="420"/>
        <w:rPr>
          <w:lang w:val="en-US"/>
        </w:rPr>
      </w:pPr>
      <w:r>
        <w:rPr>
          <w:rFonts w:hint="eastAsia" w:ascii="Times New Roman" w:hAnsi="Times New Roman" w:eastAsia="宋体" w:cs="宋体"/>
          <w:lang w:eastAsia="zh-CN"/>
        </w:rPr>
        <w:t>招标人按招标文件规定的时间、地点主持公开开标。开标仪式由招标人主持。</w:t>
      </w:r>
    </w:p>
    <w:p>
      <w:pPr>
        <w:pStyle w:val="34"/>
        <w:keepNext w:val="0"/>
        <w:keepLines w:val="0"/>
        <w:widowControl/>
        <w:numPr>
          <w:ilvl w:val="0"/>
          <w:numId w:val="17"/>
        </w:numPr>
        <w:suppressLineNumbers w:val="0"/>
        <w:ind w:hanging="420"/>
        <w:rPr>
          <w:lang w:val="en-US"/>
        </w:rPr>
      </w:pPr>
      <w:r>
        <w:rPr>
          <w:rFonts w:hint="eastAsia" w:ascii="Times New Roman" w:hAnsi="Times New Roman" w:eastAsia="宋体" w:cs="宋体"/>
          <w:lang w:eastAsia="zh-CN"/>
        </w:rPr>
        <w:t>投标人派代表参加开标仪式。若需讲标，须由拟担任招标项目建设的项目经理及项目组成员负责讲标。</w:t>
      </w:r>
    </w:p>
    <w:p>
      <w:pPr>
        <w:pStyle w:val="34"/>
        <w:keepNext w:val="0"/>
        <w:keepLines w:val="0"/>
        <w:widowControl/>
        <w:numPr>
          <w:ilvl w:val="0"/>
          <w:numId w:val="17"/>
        </w:numPr>
        <w:suppressLineNumbers w:val="0"/>
        <w:ind w:hanging="420"/>
        <w:rPr>
          <w:lang w:val="en-US"/>
        </w:rPr>
      </w:pPr>
      <w:r>
        <w:rPr>
          <w:rFonts w:hint="eastAsia" w:ascii="Times New Roman" w:hAnsi="Times New Roman" w:eastAsia="宋体" w:cs="宋体"/>
          <w:lang w:eastAsia="zh-CN"/>
        </w:rPr>
        <w:t>开标时查验投标文件密封情况，确认无误后拆封唱标。</w:t>
      </w:r>
    </w:p>
    <w:p>
      <w:pPr>
        <w:pStyle w:val="34"/>
        <w:keepNext w:val="0"/>
        <w:keepLines w:val="0"/>
        <w:widowControl/>
        <w:numPr>
          <w:ilvl w:val="0"/>
          <w:numId w:val="17"/>
        </w:numPr>
        <w:suppressLineNumbers w:val="0"/>
        <w:ind w:hanging="420"/>
        <w:rPr>
          <w:lang w:val="en-US"/>
        </w:rPr>
      </w:pPr>
      <w:r>
        <w:rPr>
          <w:rFonts w:hint="eastAsia" w:ascii="Times New Roman" w:hAnsi="Times New Roman" w:eastAsia="宋体" w:cs="宋体"/>
          <w:lang w:eastAsia="zh-CN"/>
        </w:rPr>
        <w:t>招标人在开标仪式上，将公布投标人的名称、投标产品或服务、投标项目、投标价格及其投标的修改、投标的撤回及其有关声明等，招标人将做唱标记录。</w:t>
      </w: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4"/>
        <w:keepNext w:val="0"/>
        <w:keepLines w:val="0"/>
        <w:widowControl/>
        <w:numPr>
          <w:ilvl w:val="0"/>
          <w:numId w:val="0"/>
        </w:numPr>
        <w:suppressLineNumbers w:val="0"/>
        <w:ind w:left="0"/>
        <w:rPr>
          <w:rFonts w:cs="宋体"/>
          <w:lang w:val="en-US"/>
        </w:rPr>
      </w:pPr>
    </w:p>
    <w:p>
      <w:pPr>
        <w:pStyle w:val="32"/>
        <w:keepNext w:val="0"/>
        <w:keepLines/>
        <w:widowControl/>
        <w:numPr>
          <w:ilvl w:val="0"/>
          <w:numId w:val="1"/>
        </w:numPr>
        <w:suppressLineNumbers w:val="0"/>
        <w:ind w:left="0" w:firstLine="0"/>
        <w:rPr>
          <w:rFonts w:cs="宋体"/>
          <w:lang w:val="en-US"/>
        </w:rPr>
      </w:pPr>
      <w:bookmarkStart w:id="53" w:name="_Toc22921"/>
      <w:bookmarkStart w:id="54" w:name="_Toc533251933"/>
      <w:bookmarkStart w:id="55" w:name="_Toc290401052"/>
      <w:r>
        <w:rPr>
          <w:rFonts w:cs="宋体"/>
          <w:lang w:val="en-US"/>
        </w:rPr>
        <w:t>1</w:t>
      </w:r>
      <w:r>
        <w:rPr>
          <w:rFonts w:hint="eastAsia" w:ascii="Times New Roman" w:hAnsi="Times New Roman" w:eastAsia="宋体" w:cs="宋体"/>
          <w:lang w:eastAsia="zh-CN"/>
        </w:rPr>
        <w:t>、讲标及评标</w:t>
      </w:r>
      <w:bookmarkEnd w:id="53"/>
    </w:p>
    <w:p>
      <w:pPr>
        <w:keepNext w:val="0"/>
        <w:keepLines w:val="0"/>
        <w:widowControl w:val="0"/>
        <w:suppressLineNumbers w:val="0"/>
        <w:tabs>
          <w:tab w:val="left" w:pos="0"/>
        </w:tabs>
        <w:spacing w:before="0" w:beforeAutospacing="0" w:after="0" w:afterAutospacing="0" w:line="360" w:lineRule="auto"/>
        <w:ind w:left="0" w:right="0" w:firstLine="480" w:firstLineChars="200"/>
        <w:jc w:val="both"/>
        <w:rPr>
          <w:rFonts w:hAnsi="宋体" w:cs="宋体"/>
          <w:b/>
          <w:bCs w:val="0"/>
          <w:kern w:val="0"/>
          <w:sz w:val="24"/>
          <w:szCs w:val="24"/>
          <w:lang w:val="en-US"/>
        </w:rPr>
      </w:pPr>
      <w:r>
        <w:rPr>
          <w:rFonts w:hint="eastAsia" w:ascii="宋体" w:hAnsi="宋体" w:eastAsia="宋体" w:cs="宋体"/>
          <w:kern w:val="0"/>
          <w:sz w:val="24"/>
          <w:szCs w:val="24"/>
          <w:lang w:val="en-US" w:eastAsia="zh-CN" w:bidi="ar"/>
        </w:rPr>
        <w:t>为保证项目顺利实施，由招标人组织、按国家法律法规及公司相关规章制度要求，设立评标工作小组，投标人在讲标时，须由拟担任招标项目建设的项目经理及项目组成员讲标，</w:t>
      </w:r>
      <w:r>
        <w:rPr>
          <w:rFonts w:hint="eastAsia" w:ascii="宋体" w:hAnsi="宋体" w:eastAsia="宋体" w:cs="宋体"/>
          <w:b/>
          <w:bCs w:val="0"/>
          <w:kern w:val="0"/>
          <w:sz w:val="24"/>
          <w:szCs w:val="24"/>
          <w:lang w:val="en-US" w:eastAsia="zh-CN" w:bidi="ar"/>
        </w:rPr>
        <w:t>其中讲标和答疑时间不超过1小时。</w:t>
      </w:r>
      <w:r>
        <w:rPr>
          <w:rFonts w:hint="eastAsia" w:ascii="宋体" w:hAnsi="宋体" w:eastAsia="宋体" w:cs="宋体"/>
          <w:color w:val="FF0000"/>
          <w:kern w:val="0"/>
          <w:sz w:val="24"/>
          <w:szCs w:val="24"/>
          <w:lang w:val="en-US" w:eastAsia="zh-CN" w:bidi="ar"/>
        </w:rPr>
        <w:t>（现场抽签确定讲标顺序），</w:t>
      </w:r>
      <w:r>
        <w:rPr>
          <w:rFonts w:hint="eastAsia" w:ascii="宋体" w:hAnsi="宋体" w:eastAsia="宋体" w:cs="宋体"/>
          <w:kern w:val="0"/>
          <w:sz w:val="24"/>
          <w:szCs w:val="24"/>
          <w:lang w:val="en-US" w:eastAsia="zh-CN" w:bidi="ar"/>
        </w:rPr>
        <w:t>采用综合评定法，本着公平、公正、公开的原则，在最大限度地满足招标文件实质性要求的前提下，对招标文件中规定的各项因素进行综合评审，确定中标候选供应商或者中标供应商</w:t>
      </w:r>
      <w:r>
        <w:rPr>
          <w:rFonts w:hint="eastAsia" w:ascii="宋体" w:hAnsi="宋体" w:eastAsia="宋体" w:cs="宋体"/>
          <w:b/>
          <w:bCs w:val="0"/>
          <w:kern w:val="0"/>
          <w:sz w:val="24"/>
          <w:szCs w:val="24"/>
          <w:lang w:val="en-US" w:eastAsia="zh-CN" w:bidi="ar"/>
        </w:rPr>
        <w:t>（不保证最低价格中标）</w:t>
      </w:r>
      <w:r>
        <w:rPr>
          <w:rFonts w:hint="eastAsia" w:ascii="宋体" w:hAnsi="宋体" w:eastAsia="宋体" w:cs="宋体"/>
          <w:kern w:val="0"/>
          <w:sz w:val="24"/>
          <w:szCs w:val="24"/>
          <w:lang w:val="en-US" w:eastAsia="zh-CN" w:bidi="ar"/>
        </w:rPr>
        <w:t>。</w:t>
      </w:r>
      <w:bookmarkStart w:id="56" w:name="OLE_LINK4"/>
      <w:r>
        <w:rPr>
          <w:rFonts w:hint="eastAsia" w:ascii="Calibri" w:hAnsi="宋体" w:eastAsia="宋体" w:cs="宋体"/>
          <w:kern w:val="0"/>
          <w:sz w:val="24"/>
          <w:szCs w:val="24"/>
          <w:lang w:val="en-US" w:eastAsia="zh-CN" w:bidi="ar"/>
        </w:rPr>
        <w:t>评分标准如下：</w:t>
      </w:r>
      <w:bookmarkEnd w:id="54"/>
      <w:bookmarkEnd w:id="55"/>
      <w:bookmarkEnd w:id="56"/>
    </w:p>
    <w:tbl>
      <w:tblPr>
        <w:tblStyle w:val="24"/>
        <w:tblW w:w="9390" w:type="dxa"/>
        <w:tblInd w:w="0" w:type="dxa"/>
        <w:shd w:val="clear" w:color="auto" w:fill="auto"/>
        <w:tblLayout w:type="fixed"/>
        <w:tblCellMar>
          <w:top w:w="0" w:type="dxa"/>
          <w:left w:w="0" w:type="dxa"/>
          <w:bottom w:w="0" w:type="dxa"/>
          <w:right w:w="0" w:type="dxa"/>
        </w:tblCellMar>
      </w:tblPr>
      <w:tblGrid>
        <w:gridCol w:w="1300"/>
        <w:gridCol w:w="1978"/>
        <w:gridCol w:w="6111"/>
      </w:tblGrid>
      <w:tr>
        <w:tblPrEx>
          <w:tblCellMar>
            <w:top w:w="0" w:type="dxa"/>
            <w:left w:w="0" w:type="dxa"/>
            <w:bottom w:w="0" w:type="dxa"/>
            <w:right w:w="0" w:type="dxa"/>
          </w:tblCellMar>
        </w:tblPrEx>
        <w:trPr>
          <w:trHeight w:val="555" w:hRule="atLeast"/>
        </w:trPr>
        <w:tc>
          <w:tcPr>
            <w:tcW w:w="1300" w:type="dxa"/>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24"/>
                <w:szCs w:val="24"/>
                <w:highlight w:val="yellow"/>
                <w:lang w:val="en-US"/>
              </w:rPr>
            </w:pPr>
            <w:r>
              <w:rPr>
                <w:rFonts w:hint="eastAsia" w:ascii="微软雅黑" w:hAnsi="微软雅黑" w:eastAsia="微软雅黑" w:cs="微软雅黑"/>
                <w:b/>
                <w:bCs w:val="0"/>
                <w:color w:val="000000"/>
                <w:kern w:val="0"/>
                <w:sz w:val="24"/>
                <w:szCs w:val="24"/>
                <w:highlight w:val="yellow"/>
                <w:lang w:val="en-US" w:eastAsia="zh-CN" w:bidi="ar"/>
              </w:rPr>
              <w:t>项目</w:t>
            </w:r>
          </w:p>
        </w:tc>
        <w:tc>
          <w:tcPr>
            <w:tcW w:w="1978" w:type="dxa"/>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24"/>
                <w:szCs w:val="24"/>
                <w:highlight w:val="yellow"/>
                <w:lang w:val="en-US"/>
              </w:rPr>
            </w:pPr>
            <w:r>
              <w:rPr>
                <w:rFonts w:hint="eastAsia" w:ascii="微软雅黑" w:hAnsi="微软雅黑" w:eastAsia="微软雅黑" w:cs="微软雅黑"/>
                <w:b/>
                <w:bCs w:val="0"/>
                <w:color w:val="000000"/>
                <w:kern w:val="0"/>
                <w:sz w:val="24"/>
                <w:szCs w:val="24"/>
                <w:highlight w:val="yellow"/>
                <w:lang w:val="en-US" w:eastAsia="zh-CN" w:bidi="ar"/>
              </w:rPr>
              <w:t>评分明细</w:t>
            </w:r>
          </w:p>
        </w:tc>
        <w:tc>
          <w:tcPr>
            <w:tcW w:w="6111" w:type="dxa"/>
            <w:tcBorders>
              <w:top w:val="single" w:color="000000" w:sz="4" w:space="0"/>
              <w:left w:val="single" w:color="000000" w:sz="4" w:space="0"/>
              <w:bottom w:val="single" w:color="000000" w:sz="4" w:space="0"/>
              <w:right w:val="single" w:color="000000" w:sz="4" w:space="0"/>
            </w:tcBorders>
            <w:shd w:val="clear" w:color="auto" w:fill="D6DCE4"/>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val="0"/>
                <w:color w:val="000000"/>
                <w:sz w:val="24"/>
                <w:szCs w:val="24"/>
                <w:highlight w:val="yellow"/>
                <w:lang w:val="en-US"/>
              </w:rPr>
            </w:pPr>
            <w:r>
              <w:rPr>
                <w:rFonts w:hint="eastAsia" w:ascii="微软雅黑" w:hAnsi="微软雅黑" w:eastAsia="微软雅黑" w:cs="微软雅黑"/>
                <w:b/>
                <w:bCs w:val="0"/>
                <w:color w:val="000000"/>
                <w:kern w:val="0"/>
                <w:sz w:val="24"/>
                <w:szCs w:val="24"/>
                <w:highlight w:val="yellow"/>
                <w:lang w:val="en-US" w:eastAsia="zh-CN" w:bidi="ar"/>
              </w:rPr>
              <w:t>评分说明</w:t>
            </w:r>
          </w:p>
        </w:tc>
      </w:tr>
      <w:tr>
        <w:tblPrEx>
          <w:tblCellMar>
            <w:top w:w="0" w:type="dxa"/>
            <w:left w:w="0" w:type="dxa"/>
            <w:bottom w:w="0" w:type="dxa"/>
            <w:right w:w="0" w:type="dxa"/>
          </w:tblCellMar>
        </w:tblPrEx>
        <w:trPr>
          <w:trHeight w:val="690" w:hRule="atLeast"/>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供应商的资质和水平 （6分)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企业资质及行业影响力</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公司规模及财务共享咨询、实施顾问团队规模、注册资本、经营业绩、行业影响力等</w:t>
            </w:r>
          </w:p>
        </w:tc>
      </w:tr>
      <w:tr>
        <w:tblPrEx>
          <w:shd w:val="clear" w:color="auto" w:fill="auto"/>
          <w:tblCellMar>
            <w:top w:w="0" w:type="dxa"/>
            <w:left w:w="0" w:type="dxa"/>
            <w:bottom w:w="0" w:type="dxa"/>
            <w:right w:w="0" w:type="dxa"/>
          </w:tblCellMar>
        </w:tblPrEx>
        <w:trPr>
          <w:trHeight w:val="34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财务共享实施案例</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有大型集团级企业财务共享咨询、实施经验，每提供一个合同得1分，最多得2分</w:t>
            </w:r>
          </w:p>
        </w:tc>
      </w:tr>
      <w:tr>
        <w:tblPrEx>
          <w:shd w:val="clear" w:color="auto" w:fill="auto"/>
          <w:tblCellMar>
            <w:top w:w="0" w:type="dxa"/>
            <w:left w:w="0" w:type="dxa"/>
            <w:bottom w:w="0" w:type="dxa"/>
            <w:right w:w="0" w:type="dxa"/>
          </w:tblCellMar>
        </w:tblPrEx>
        <w:trPr>
          <w:trHeight w:val="34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行业实施案例</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特别是近期整车/重卡行业咨询、成功实施案例，每提供一个合同得1分，最多得2分</w:t>
            </w:r>
          </w:p>
        </w:tc>
      </w:tr>
      <w:tr>
        <w:tblPrEx>
          <w:tblCellMar>
            <w:top w:w="0" w:type="dxa"/>
            <w:left w:w="0" w:type="dxa"/>
            <w:bottom w:w="0" w:type="dxa"/>
            <w:right w:w="0" w:type="dxa"/>
          </w:tblCellMar>
        </w:tblPrEx>
        <w:trPr>
          <w:trHeight w:val="585" w:hRule="atLeast"/>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0"/>
                <w:szCs w:val="20"/>
                <w:highlight w:val="yellow"/>
                <w:lang w:val="en-US"/>
              </w:rPr>
            </w:pPr>
            <w:r>
              <w:rPr>
                <w:rFonts w:hint="eastAsia" w:ascii="宋体" w:hAnsi="宋体" w:eastAsia="宋体" w:cs="宋体"/>
                <w:kern w:val="0"/>
                <w:sz w:val="24"/>
                <w:szCs w:val="24"/>
                <w:highlight w:val="yellow"/>
                <w:lang w:val="en-US" w:eastAsia="zh-CN" w:bidi="ar"/>
              </w:rPr>
              <w:t>咨询团队经验和水平(12分)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项目团队</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项目团队具有集团级、大型制造业、整车行业咨询经验</w:t>
            </w:r>
          </w:p>
        </w:tc>
      </w:tr>
      <w:tr>
        <w:tblPrEx>
          <w:shd w:val="clear" w:color="auto" w:fill="auto"/>
          <w:tblCellMar>
            <w:top w:w="0" w:type="dxa"/>
            <w:left w:w="0" w:type="dxa"/>
            <w:bottom w:w="0" w:type="dxa"/>
            <w:right w:w="0" w:type="dxa"/>
          </w:tblCellMar>
        </w:tblPrEx>
        <w:trPr>
          <w:trHeight w:val="34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项目经理</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项目经理具有3个以上（含3个）集团级、整车行业咨询经验，项目全程参与</w:t>
            </w:r>
          </w:p>
        </w:tc>
      </w:tr>
      <w:tr>
        <w:tblPrEx>
          <w:tblCellMar>
            <w:top w:w="0" w:type="dxa"/>
            <w:left w:w="0" w:type="dxa"/>
            <w:bottom w:w="0" w:type="dxa"/>
            <w:right w:w="0" w:type="dxa"/>
          </w:tblCellMar>
        </w:tblPrEx>
        <w:trPr>
          <w:trHeight w:val="604"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项目关键顾问</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项目关键顾问的经验、能力水平和业务素质</w:t>
            </w:r>
          </w:p>
        </w:tc>
      </w:tr>
      <w:tr>
        <w:tblPrEx>
          <w:shd w:val="clear" w:color="auto" w:fill="auto"/>
          <w:tblCellMar>
            <w:top w:w="0" w:type="dxa"/>
            <w:left w:w="0" w:type="dxa"/>
            <w:bottom w:w="0" w:type="dxa"/>
            <w:right w:w="0" w:type="dxa"/>
          </w:tblCellMar>
        </w:tblPrEx>
        <w:trPr>
          <w:trHeight w:val="604"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人员保障</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对派驻项目各级关键人员稳定性和工作时间的保证，需要保证从项目开始到项目上线全程的参与，确保咨询成果成功实施落地</w:t>
            </w:r>
          </w:p>
        </w:tc>
      </w:tr>
      <w:tr>
        <w:tblPrEx>
          <w:shd w:val="clear" w:color="auto" w:fill="auto"/>
          <w:tblCellMar>
            <w:top w:w="0" w:type="dxa"/>
            <w:left w:w="0" w:type="dxa"/>
            <w:bottom w:w="0" w:type="dxa"/>
            <w:right w:w="0" w:type="dxa"/>
          </w:tblCellMar>
        </w:tblPrEx>
        <w:trPr>
          <w:trHeight w:val="735" w:hRule="atLeast"/>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实施团队经验和水平(12分)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项目团队</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项目团队具有集团级、大型制造业、整车行业实施经验</w:t>
            </w:r>
          </w:p>
        </w:tc>
      </w:tr>
      <w:tr>
        <w:tblPrEx>
          <w:shd w:val="clear" w:color="auto" w:fill="auto"/>
          <w:tblCellMar>
            <w:top w:w="0" w:type="dxa"/>
            <w:left w:w="0" w:type="dxa"/>
            <w:bottom w:w="0" w:type="dxa"/>
            <w:right w:w="0" w:type="dxa"/>
          </w:tblCellMar>
        </w:tblPrEx>
        <w:trPr>
          <w:trHeight w:val="73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项目经理</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项目经理具有3个以上（含3个）集团级、整车行业实施经验，项目全程参与</w:t>
            </w:r>
          </w:p>
        </w:tc>
      </w:tr>
      <w:tr>
        <w:tblPrEx>
          <w:shd w:val="clear" w:color="auto" w:fill="auto"/>
          <w:tblCellMar>
            <w:top w:w="0" w:type="dxa"/>
            <w:left w:w="0" w:type="dxa"/>
            <w:bottom w:w="0" w:type="dxa"/>
            <w:right w:w="0" w:type="dxa"/>
          </w:tblCellMar>
        </w:tblPrEx>
        <w:trPr>
          <w:trHeight w:val="73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项目关键顾问</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项目关键顾问的经验、能力水平和业务素质</w:t>
            </w:r>
          </w:p>
        </w:tc>
      </w:tr>
      <w:tr>
        <w:tblPrEx>
          <w:tblCellMar>
            <w:top w:w="0" w:type="dxa"/>
            <w:left w:w="0" w:type="dxa"/>
            <w:bottom w:w="0" w:type="dxa"/>
            <w:right w:w="0" w:type="dxa"/>
          </w:tblCellMar>
        </w:tblPrEx>
        <w:trPr>
          <w:trHeight w:val="73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人员保障</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对派驻项目各级关键人员稳定性和工作时间的保证，需要保证从项目开始到项目上线全程的参与</w:t>
            </w:r>
          </w:p>
        </w:tc>
      </w:tr>
      <w:tr>
        <w:tblPrEx>
          <w:tblCellMar>
            <w:top w:w="0" w:type="dxa"/>
            <w:left w:w="0" w:type="dxa"/>
            <w:bottom w:w="0" w:type="dxa"/>
            <w:right w:w="0" w:type="dxa"/>
          </w:tblCellMar>
        </w:tblPrEx>
        <w:trPr>
          <w:trHeight w:val="750" w:hRule="atLeast"/>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 xml:space="preserve">方案可行性 </w:t>
            </w:r>
            <w:r>
              <w:rPr>
                <w:rFonts w:hint="eastAsia" w:ascii="宋体" w:hAnsi="宋体" w:eastAsia="宋体" w:cs="宋体"/>
                <w:kern w:val="0"/>
                <w:sz w:val="24"/>
                <w:szCs w:val="24"/>
                <w:highlight w:val="yellow"/>
                <w:lang w:val="en-US" w:eastAsia="zh-CN" w:bidi="ar"/>
              </w:rPr>
              <w:br w:type="textWrapping"/>
            </w:r>
            <w:r>
              <w:rPr>
                <w:rFonts w:hint="eastAsia" w:ascii="宋体" w:hAnsi="宋体" w:eastAsia="宋体" w:cs="宋体"/>
                <w:kern w:val="0"/>
                <w:sz w:val="24"/>
                <w:szCs w:val="24"/>
                <w:highlight w:val="yellow"/>
                <w:lang w:val="en-US" w:eastAsia="zh-CN" w:bidi="ar"/>
              </w:rPr>
              <w:t>(40分)</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整体方案的可行性 10分</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对项目目标及范围理解准确，咨询蓝图、实施路线可行</w:t>
            </w:r>
          </w:p>
        </w:tc>
      </w:tr>
      <w:tr>
        <w:tblPrEx>
          <w:tblCellMar>
            <w:top w:w="0" w:type="dxa"/>
            <w:left w:w="0" w:type="dxa"/>
            <w:bottom w:w="0" w:type="dxa"/>
            <w:right w:w="0" w:type="dxa"/>
          </w:tblCellMar>
        </w:tblPrEx>
        <w:trPr>
          <w:trHeight w:val="66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对系统定位及接口理解准确，需求准确到位</w:t>
            </w:r>
          </w:p>
        </w:tc>
      </w:tr>
      <w:tr>
        <w:tblPrEx>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整体方案合理性、完整性、可行性</w:t>
            </w:r>
          </w:p>
        </w:tc>
      </w:tr>
      <w:tr>
        <w:tblPrEx>
          <w:tblCellMar>
            <w:top w:w="0" w:type="dxa"/>
            <w:left w:w="0" w:type="dxa"/>
            <w:bottom w:w="0" w:type="dxa"/>
            <w:right w:w="0" w:type="dxa"/>
          </w:tblCellMar>
        </w:tblPrEx>
        <w:trPr>
          <w:trHeight w:val="79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整体系统架构设计合理性</w:t>
            </w:r>
          </w:p>
        </w:tc>
      </w:tr>
      <w:tr>
        <w:tblPrEx>
          <w:shd w:val="clear" w:color="auto" w:fill="auto"/>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专项方案可行性 20分</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报账管理</w:t>
            </w:r>
          </w:p>
        </w:tc>
      </w:tr>
      <w:tr>
        <w:tblPrEx>
          <w:shd w:val="clear" w:color="auto" w:fill="auto"/>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影像管理</w:t>
            </w:r>
          </w:p>
        </w:tc>
      </w:tr>
      <w:tr>
        <w:tblPrEx>
          <w:shd w:val="clear" w:color="auto" w:fill="auto"/>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集成开发</w:t>
            </w:r>
          </w:p>
        </w:tc>
      </w:tr>
      <w:tr>
        <w:tblPrEx>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移动应用</w:t>
            </w:r>
          </w:p>
        </w:tc>
      </w:tr>
      <w:tr>
        <w:tblPrEx>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查询及统计分析</w:t>
            </w:r>
          </w:p>
        </w:tc>
      </w:tr>
      <w:tr>
        <w:tblPrEx>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bidi="ar"/>
              </w:rPr>
            </w:pPr>
            <w:r>
              <w:rPr>
                <w:rFonts w:hint="eastAsia" w:ascii="宋体" w:hAnsi="宋体" w:eastAsia="宋体" w:cs="宋体"/>
                <w:kern w:val="0"/>
                <w:sz w:val="24"/>
                <w:szCs w:val="24"/>
                <w:highlight w:val="yellow"/>
                <w:lang w:val="en-US" w:eastAsia="zh-CN" w:bidi="ar"/>
              </w:rPr>
              <w:t>权限及基础数据管理</w:t>
            </w:r>
          </w:p>
        </w:tc>
      </w:tr>
      <w:tr>
        <w:tblPrEx>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系统、硬件、安全支持等方案</w:t>
            </w:r>
          </w:p>
        </w:tc>
      </w:tr>
      <w:tr>
        <w:tblPrEx>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项目计划及管理 10分</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项目阶段和计划期限是否合理</w:t>
            </w:r>
          </w:p>
        </w:tc>
      </w:tr>
      <w:tr>
        <w:tblPrEx>
          <w:shd w:val="clear" w:color="auto" w:fill="auto"/>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各阶段的交付成果是否合理、明确</w:t>
            </w:r>
          </w:p>
        </w:tc>
      </w:tr>
      <w:tr>
        <w:tblPrEx>
          <w:shd w:val="clear" w:color="auto" w:fill="auto"/>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用户知识转移及培训计划的相关措施</w:t>
            </w:r>
          </w:p>
        </w:tc>
      </w:tr>
      <w:tr>
        <w:tblPrEx>
          <w:shd w:val="clear" w:color="auto" w:fill="auto"/>
          <w:tblCellMar>
            <w:top w:w="0" w:type="dxa"/>
            <w:left w:w="0" w:type="dxa"/>
            <w:bottom w:w="0" w:type="dxa"/>
            <w:right w:w="0" w:type="dxa"/>
          </w:tblCellMar>
        </w:tblPrEx>
        <w:trPr>
          <w:trHeight w:val="40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611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项目目标实现承诺及售后服务支持承诺</w:t>
            </w:r>
          </w:p>
        </w:tc>
      </w:tr>
      <w:tr>
        <w:tblPrEx>
          <w:shd w:val="clear" w:color="auto" w:fill="auto"/>
          <w:tblCellMar>
            <w:top w:w="0" w:type="dxa"/>
            <w:left w:w="0" w:type="dxa"/>
            <w:bottom w:w="0" w:type="dxa"/>
            <w:right w:w="0" w:type="dxa"/>
          </w:tblCellMar>
        </w:tblPrEx>
        <w:trPr>
          <w:trHeight w:val="510" w:hRule="atLeast"/>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实施价格及商务条款(30分)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项目报价25分</w:t>
            </w:r>
          </w:p>
        </w:tc>
        <w:tc>
          <w:tcPr>
            <w:tcW w:w="611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tabs>
                <w:tab w:val="left" w:pos="0"/>
              </w:tabs>
              <w:spacing w:before="0" w:beforeAutospacing="0" w:after="0" w:afterAutospacing="0" w:line="360" w:lineRule="auto"/>
              <w:ind w:left="0" w:right="0"/>
              <w:jc w:val="both"/>
              <w:rPr>
                <w:rFonts w:hint="default" w:ascii="Times New Roman" w:hAnsi="Times New Roman" w:eastAsia="宋体" w:cs="宋体"/>
                <w:sz w:val="24"/>
                <w:szCs w:val="22"/>
                <w:highlight w:val="yellow"/>
                <w:lang w:val="en-US" w:bidi="ar"/>
              </w:rPr>
            </w:pPr>
            <w:r>
              <w:rPr>
                <w:rFonts w:hint="eastAsia" w:ascii="Times New Roman" w:hAnsi="Times New Roman" w:eastAsia="宋体" w:cs="宋体"/>
                <w:kern w:val="2"/>
                <w:sz w:val="24"/>
                <w:szCs w:val="22"/>
                <w:highlight w:val="yellow"/>
                <w:lang w:val="en-US" w:eastAsia="zh-CN" w:bidi="ar"/>
              </w:rPr>
              <w:t>去掉一个最高价、去掉一个最低价、剩余求得平均价</w:t>
            </w:r>
            <w:r>
              <w:rPr>
                <w:rFonts w:hint="default" w:ascii="Times New Roman" w:hAnsi="Times New Roman" w:eastAsia="宋体" w:cs="宋体"/>
                <w:kern w:val="2"/>
                <w:sz w:val="24"/>
                <w:szCs w:val="22"/>
                <w:highlight w:val="yellow"/>
                <w:lang w:val="en-US" w:eastAsia="zh-CN" w:bidi="ar"/>
              </w:rPr>
              <w:t>P</w:t>
            </w:r>
            <w:r>
              <w:rPr>
                <w:rFonts w:hint="eastAsia" w:ascii="Times New Roman" w:hAnsi="Times New Roman" w:eastAsia="宋体" w:cs="宋体"/>
                <w:kern w:val="2"/>
                <w:sz w:val="24"/>
                <w:szCs w:val="22"/>
                <w:highlight w:val="yellow"/>
                <w:lang w:val="en-US" w:eastAsia="zh-CN" w:bidi="ar"/>
              </w:rPr>
              <w:t>，</w:t>
            </w:r>
          </w:p>
          <w:p>
            <w:pPr>
              <w:keepNext w:val="0"/>
              <w:keepLines w:val="0"/>
              <w:widowControl w:val="0"/>
              <w:suppressLineNumbers w:val="0"/>
              <w:tabs>
                <w:tab w:val="left" w:pos="0"/>
              </w:tabs>
              <w:spacing w:before="0" w:beforeAutospacing="0" w:after="0" w:afterAutospacing="0" w:line="360" w:lineRule="auto"/>
              <w:ind w:left="0" w:right="0"/>
              <w:jc w:val="both"/>
              <w:rPr>
                <w:rFonts w:hint="default" w:ascii="Times New Roman" w:hAnsi="Times New Roman" w:eastAsia="宋体" w:cs="宋体"/>
                <w:sz w:val="24"/>
                <w:szCs w:val="22"/>
                <w:highlight w:val="yellow"/>
                <w:lang w:val="en-US" w:bidi="ar"/>
              </w:rPr>
            </w:pPr>
            <w:r>
              <w:rPr>
                <w:rFonts w:hint="eastAsia" w:ascii="Times New Roman" w:hAnsi="Times New Roman" w:eastAsia="宋体" w:cs="宋体"/>
                <w:kern w:val="2"/>
                <w:sz w:val="24"/>
                <w:szCs w:val="22"/>
                <w:highlight w:val="yellow"/>
                <w:lang w:val="en-US" w:eastAsia="zh-CN" w:bidi="ar"/>
              </w:rPr>
              <w:t>设定投标人报价为</w:t>
            </w:r>
            <w:r>
              <w:rPr>
                <w:rFonts w:hint="default" w:ascii="Times New Roman" w:hAnsi="Times New Roman" w:eastAsia="宋体" w:cs="宋体"/>
                <w:kern w:val="2"/>
                <w:sz w:val="24"/>
                <w:szCs w:val="22"/>
                <w:highlight w:val="yellow"/>
                <w:lang w:val="en-US" w:eastAsia="zh-CN" w:bidi="ar"/>
              </w:rPr>
              <w:t>J</w:t>
            </w:r>
            <w:r>
              <w:rPr>
                <w:rFonts w:hint="eastAsia" w:ascii="Times New Roman" w:hAnsi="Times New Roman" w:eastAsia="宋体" w:cs="宋体"/>
                <w:kern w:val="2"/>
                <w:sz w:val="24"/>
                <w:szCs w:val="22"/>
                <w:highlight w:val="yellow"/>
                <w:lang w:val="en-US" w:eastAsia="zh-CN" w:bidi="ar"/>
              </w:rPr>
              <w:t>，价差率</w:t>
            </w:r>
            <w:r>
              <w:rPr>
                <w:rFonts w:hint="default" w:ascii="Times New Roman" w:hAnsi="Times New Roman" w:eastAsia="宋体" w:cs="宋体"/>
                <w:kern w:val="2"/>
                <w:sz w:val="24"/>
                <w:szCs w:val="22"/>
                <w:highlight w:val="yellow"/>
                <w:lang w:val="en-US" w:eastAsia="zh-CN" w:bidi="ar"/>
              </w:rPr>
              <w:t>L=</w:t>
            </w:r>
            <w:r>
              <w:rPr>
                <w:rFonts w:hint="eastAsia" w:ascii="Times New Roman" w:hAnsi="Times New Roman" w:eastAsia="宋体" w:cs="宋体"/>
                <w:kern w:val="2"/>
                <w:sz w:val="24"/>
                <w:szCs w:val="22"/>
                <w:highlight w:val="yellow"/>
                <w:lang w:val="en-US" w:eastAsia="zh-CN" w:bidi="ar"/>
              </w:rPr>
              <w:t>（</w:t>
            </w:r>
            <w:r>
              <w:rPr>
                <w:rFonts w:hint="default" w:ascii="Times New Roman" w:hAnsi="Times New Roman" w:eastAsia="宋体" w:cs="宋体"/>
                <w:kern w:val="2"/>
                <w:sz w:val="24"/>
                <w:szCs w:val="22"/>
                <w:highlight w:val="yellow"/>
                <w:lang w:val="en-US" w:eastAsia="zh-CN" w:bidi="ar"/>
              </w:rPr>
              <w:t>J-P</w:t>
            </w:r>
            <w:r>
              <w:rPr>
                <w:rFonts w:hint="eastAsia" w:ascii="Times New Roman" w:hAnsi="Times New Roman" w:eastAsia="宋体" w:cs="宋体"/>
                <w:kern w:val="2"/>
                <w:sz w:val="24"/>
                <w:szCs w:val="22"/>
                <w:highlight w:val="yellow"/>
                <w:lang w:val="en-US" w:eastAsia="zh-CN" w:bidi="ar"/>
              </w:rPr>
              <w:t>）</w:t>
            </w:r>
            <w:r>
              <w:rPr>
                <w:rFonts w:hint="default" w:ascii="Times New Roman" w:hAnsi="Times New Roman" w:eastAsia="宋体" w:cs="宋体"/>
                <w:kern w:val="2"/>
                <w:sz w:val="24"/>
                <w:szCs w:val="22"/>
                <w:highlight w:val="yellow"/>
                <w:lang w:val="en-US" w:eastAsia="zh-CN" w:bidi="ar"/>
              </w:rPr>
              <w:t>/P*100%</w:t>
            </w:r>
            <w:r>
              <w:rPr>
                <w:rFonts w:hint="eastAsia" w:ascii="Times New Roman" w:hAnsi="Times New Roman" w:eastAsia="宋体" w:cs="宋体"/>
                <w:kern w:val="2"/>
                <w:sz w:val="24"/>
                <w:szCs w:val="22"/>
                <w:highlight w:val="yellow"/>
                <w:lang w:val="en-US" w:eastAsia="zh-CN" w:bidi="ar"/>
              </w:rPr>
              <w:t>，</w:t>
            </w:r>
          </w:p>
          <w:p>
            <w:pPr>
              <w:keepNext w:val="0"/>
              <w:keepLines w:val="0"/>
              <w:widowControl w:val="0"/>
              <w:suppressLineNumbers w:val="0"/>
              <w:tabs>
                <w:tab w:val="left" w:pos="0"/>
              </w:tabs>
              <w:spacing w:before="0" w:beforeAutospacing="0" w:after="0" w:afterAutospacing="0" w:line="360" w:lineRule="auto"/>
              <w:ind w:left="0" w:right="0"/>
              <w:jc w:val="both"/>
              <w:rPr>
                <w:rFonts w:hint="default" w:ascii="Times New Roman" w:hAnsi="Times New Roman" w:eastAsia="宋体" w:cs="宋体"/>
                <w:sz w:val="24"/>
                <w:szCs w:val="22"/>
                <w:highlight w:val="yellow"/>
                <w:lang w:val="en-US" w:bidi="ar"/>
              </w:rPr>
            </w:pPr>
            <w:r>
              <w:rPr>
                <w:rFonts w:hint="eastAsia" w:ascii="Times New Roman" w:hAnsi="Times New Roman" w:eastAsia="宋体" w:cs="宋体"/>
                <w:kern w:val="2"/>
                <w:sz w:val="24"/>
                <w:szCs w:val="22"/>
                <w:highlight w:val="yellow"/>
                <w:lang w:val="en-US" w:eastAsia="zh-CN" w:bidi="ar"/>
              </w:rPr>
              <w:t>赋分根据报价与平均价的价差大小给予赋分：</w:t>
            </w:r>
          </w:p>
          <w:p>
            <w:pPr>
              <w:keepNext w:val="0"/>
              <w:keepLines w:val="0"/>
              <w:widowControl w:val="0"/>
              <w:suppressLineNumbers w:val="0"/>
              <w:tabs>
                <w:tab w:val="left" w:pos="0"/>
              </w:tabs>
              <w:spacing w:before="0" w:beforeAutospacing="0" w:after="0" w:afterAutospacing="0" w:line="360" w:lineRule="auto"/>
              <w:ind w:left="0" w:right="0"/>
              <w:jc w:val="both"/>
              <w:rPr>
                <w:rFonts w:hint="default" w:ascii="Times New Roman" w:hAnsi="Times New Roman" w:eastAsia="宋体" w:cs="宋体"/>
                <w:sz w:val="24"/>
                <w:szCs w:val="22"/>
                <w:highlight w:val="yellow"/>
                <w:lang w:val="en-US" w:bidi="ar"/>
              </w:rPr>
            </w:pPr>
            <w:r>
              <w:rPr>
                <w:rFonts w:hint="default" w:ascii="Times New Roman" w:hAnsi="Times New Roman" w:eastAsia="宋体" w:cs="宋体"/>
                <w:kern w:val="2"/>
                <w:sz w:val="24"/>
                <w:szCs w:val="22"/>
                <w:highlight w:val="yellow"/>
                <w:lang w:val="en-US" w:eastAsia="zh-CN" w:bidi="ar"/>
              </w:rPr>
              <w:t>J=P</w:t>
            </w:r>
            <w:r>
              <w:rPr>
                <w:rFonts w:hint="eastAsia" w:ascii="Times New Roman" w:hAnsi="Times New Roman" w:eastAsia="宋体" w:cs="宋体"/>
                <w:kern w:val="2"/>
                <w:sz w:val="24"/>
                <w:szCs w:val="22"/>
                <w:highlight w:val="yellow"/>
                <w:lang w:val="en-US" w:eastAsia="zh-CN" w:bidi="ar"/>
              </w:rPr>
              <w:t>时，赋</w:t>
            </w:r>
            <w:r>
              <w:rPr>
                <w:rFonts w:hint="default" w:ascii="Times New Roman" w:hAnsi="Times New Roman" w:eastAsia="宋体" w:cs="宋体"/>
                <w:kern w:val="2"/>
                <w:sz w:val="24"/>
                <w:szCs w:val="22"/>
                <w:highlight w:val="yellow"/>
                <w:lang w:val="en-US" w:eastAsia="zh-CN" w:bidi="ar"/>
              </w:rPr>
              <w:t>12</w:t>
            </w:r>
            <w:r>
              <w:rPr>
                <w:rFonts w:hint="eastAsia" w:ascii="Times New Roman" w:hAnsi="Times New Roman" w:eastAsia="宋体" w:cs="宋体"/>
                <w:kern w:val="2"/>
                <w:sz w:val="24"/>
                <w:szCs w:val="22"/>
                <w:highlight w:val="yellow"/>
                <w:lang w:val="en-US" w:eastAsia="zh-CN" w:bidi="ar"/>
              </w:rPr>
              <w:t>分；</w:t>
            </w:r>
          </w:p>
          <w:p>
            <w:pPr>
              <w:keepNext w:val="0"/>
              <w:keepLines w:val="0"/>
              <w:widowControl w:val="0"/>
              <w:suppressLineNumbers w:val="0"/>
              <w:tabs>
                <w:tab w:val="left" w:pos="0"/>
              </w:tabs>
              <w:spacing w:before="0" w:beforeAutospacing="0" w:after="0" w:afterAutospacing="0" w:line="360" w:lineRule="auto"/>
              <w:ind w:left="0" w:right="0"/>
              <w:jc w:val="both"/>
              <w:rPr>
                <w:rFonts w:hint="default" w:ascii="Times New Roman" w:hAnsi="Times New Roman" w:eastAsia="宋体" w:cs="宋体"/>
                <w:sz w:val="24"/>
                <w:szCs w:val="22"/>
                <w:highlight w:val="yellow"/>
                <w:lang w:val="en-US" w:bidi="ar"/>
              </w:rPr>
            </w:pPr>
            <w:r>
              <w:rPr>
                <w:rFonts w:hint="eastAsia" w:ascii="Times New Roman" w:hAnsi="Times New Roman" w:eastAsia="宋体" w:cs="宋体"/>
                <w:kern w:val="2"/>
                <w:sz w:val="24"/>
                <w:szCs w:val="22"/>
                <w:highlight w:val="yellow"/>
                <w:lang w:val="en-US" w:eastAsia="zh-CN" w:bidi="ar"/>
              </w:rPr>
              <w:t>价差率</w:t>
            </w:r>
            <w:r>
              <w:rPr>
                <w:rFonts w:hint="default" w:ascii="Times New Roman" w:hAnsi="Times New Roman" w:eastAsia="宋体" w:cs="宋体"/>
                <w:kern w:val="2"/>
                <w:sz w:val="24"/>
                <w:szCs w:val="22"/>
                <w:highlight w:val="yellow"/>
                <w:lang w:val="en-US" w:eastAsia="zh-CN" w:bidi="ar"/>
              </w:rPr>
              <w:t>L</w:t>
            </w:r>
            <w:r>
              <w:rPr>
                <w:rFonts w:hint="eastAsia" w:ascii="Times New Roman" w:hAnsi="Times New Roman" w:eastAsia="宋体" w:cs="宋体"/>
                <w:kern w:val="2"/>
                <w:sz w:val="24"/>
                <w:szCs w:val="22"/>
                <w:highlight w:val="yellow"/>
                <w:lang w:val="en-US" w:eastAsia="zh-CN" w:bidi="ar"/>
              </w:rPr>
              <w:t>每低</w:t>
            </w:r>
            <w:r>
              <w:rPr>
                <w:rFonts w:hint="default" w:ascii="Times New Roman" w:hAnsi="Times New Roman" w:eastAsia="宋体" w:cs="宋体"/>
                <w:kern w:val="2"/>
                <w:sz w:val="24"/>
                <w:szCs w:val="22"/>
                <w:highlight w:val="yellow"/>
                <w:lang w:val="en-US" w:eastAsia="zh-CN" w:bidi="ar"/>
              </w:rPr>
              <w:t>1%</w:t>
            </w:r>
            <w:r>
              <w:rPr>
                <w:rFonts w:hint="eastAsia" w:ascii="Times New Roman" w:hAnsi="Times New Roman" w:eastAsia="宋体" w:cs="宋体"/>
                <w:kern w:val="2"/>
                <w:sz w:val="24"/>
                <w:szCs w:val="22"/>
                <w:highlight w:val="yellow"/>
                <w:lang w:val="en-US" w:eastAsia="zh-CN" w:bidi="ar"/>
              </w:rPr>
              <w:t>加</w:t>
            </w:r>
            <w:r>
              <w:rPr>
                <w:rFonts w:hint="default" w:ascii="Times New Roman" w:hAnsi="Times New Roman" w:eastAsia="宋体" w:cs="宋体"/>
                <w:kern w:val="2"/>
                <w:sz w:val="24"/>
                <w:szCs w:val="22"/>
                <w:highlight w:val="yellow"/>
                <w:lang w:val="en-US" w:eastAsia="zh-CN" w:bidi="ar"/>
              </w:rPr>
              <w:t>1</w:t>
            </w:r>
            <w:r>
              <w:rPr>
                <w:rFonts w:hint="eastAsia" w:ascii="Times New Roman" w:hAnsi="Times New Roman" w:eastAsia="宋体" w:cs="宋体"/>
                <w:kern w:val="2"/>
                <w:sz w:val="24"/>
                <w:szCs w:val="22"/>
                <w:highlight w:val="yellow"/>
                <w:lang w:val="en-US" w:eastAsia="zh-CN" w:bidi="ar"/>
              </w:rPr>
              <w:t>分，得分最高上限为</w:t>
            </w:r>
            <w:r>
              <w:rPr>
                <w:rFonts w:hint="default" w:ascii="Times New Roman" w:hAnsi="Times New Roman" w:eastAsia="宋体" w:cs="宋体"/>
                <w:kern w:val="2"/>
                <w:sz w:val="24"/>
                <w:szCs w:val="22"/>
                <w:highlight w:val="yellow"/>
                <w:lang w:val="en-US" w:eastAsia="zh-CN" w:bidi="ar"/>
              </w:rPr>
              <w:t>25</w:t>
            </w:r>
            <w:r>
              <w:rPr>
                <w:rFonts w:hint="eastAsia" w:ascii="Times New Roman" w:hAnsi="Times New Roman" w:eastAsia="宋体" w:cs="宋体"/>
                <w:kern w:val="2"/>
                <w:sz w:val="24"/>
                <w:szCs w:val="22"/>
                <w:highlight w:val="yellow"/>
                <w:lang w:val="en-US" w:eastAsia="zh-CN" w:bidi="ar"/>
              </w:rPr>
              <w:t>分；</w:t>
            </w: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highlight w:val="yellow"/>
                <w:lang w:val="en-US" w:bidi="ar"/>
              </w:rPr>
            </w:pPr>
            <w:r>
              <w:rPr>
                <w:rFonts w:hint="eastAsia" w:ascii="Times New Roman" w:hAnsi="Times New Roman" w:eastAsia="宋体" w:cs="宋体"/>
                <w:kern w:val="2"/>
                <w:sz w:val="24"/>
                <w:szCs w:val="22"/>
                <w:highlight w:val="yellow"/>
                <w:lang w:val="en-US" w:eastAsia="zh-CN" w:bidi="ar"/>
              </w:rPr>
              <w:t>价差率</w:t>
            </w:r>
            <w:r>
              <w:rPr>
                <w:rFonts w:hint="default" w:ascii="Times New Roman" w:hAnsi="Times New Roman" w:eastAsia="宋体" w:cs="宋体"/>
                <w:kern w:val="2"/>
                <w:sz w:val="24"/>
                <w:szCs w:val="22"/>
                <w:highlight w:val="yellow"/>
                <w:lang w:val="en-US" w:eastAsia="zh-CN" w:bidi="ar"/>
              </w:rPr>
              <w:t>L</w:t>
            </w:r>
            <w:r>
              <w:rPr>
                <w:rFonts w:hint="eastAsia" w:ascii="Times New Roman" w:hAnsi="Times New Roman" w:eastAsia="宋体" w:cs="宋体"/>
                <w:kern w:val="2"/>
                <w:sz w:val="24"/>
                <w:szCs w:val="22"/>
                <w:highlight w:val="yellow"/>
                <w:lang w:val="en-US" w:eastAsia="zh-CN" w:bidi="ar"/>
              </w:rPr>
              <w:t>每高</w:t>
            </w:r>
            <w:r>
              <w:rPr>
                <w:rFonts w:hint="default" w:ascii="Times New Roman" w:hAnsi="Times New Roman" w:eastAsia="宋体" w:cs="宋体"/>
                <w:kern w:val="2"/>
                <w:sz w:val="24"/>
                <w:szCs w:val="22"/>
                <w:highlight w:val="yellow"/>
                <w:lang w:val="en-US" w:eastAsia="zh-CN" w:bidi="ar"/>
              </w:rPr>
              <w:t>1%</w:t>
            </w:r>
            <w:r>
              <w:rPr>
                <w:rFonts w:hint="eastAsia" w:ascii="Times New Roman" w:hAnsi="Times New Roman" w:eastAsia="宋体" w:cs="宋体"/>
                <w:kern w:val="2"/>
                <w:sz w:val="24"/>
                <w:szCs w:val="22"/>
                <w:highlight w:val="yellow"/>
                <w:lang w:val="en-US" w:eastAsia="zh-CN" w:bidi="ar"/>
              </w:rPr>
              <w:t>扣</w:t>
            </w:r>
            <w:r>
              <w:rPr>
                <w:rFonts w:hint="default" w:ascii="Times New Roman" w:hAnsi="Times New Roman" w:eastAsia="宋体" w:cs="宋体"/>
                <w:kern w:val="2"/>
                <w:sz w:val="24"/>
                <w:szCs w:val="22"/>
                <w:highlight w:val="yellow"/>
                <w:lang w:val="en-US" w:eastAsia="zh-CN" w:bidi="ar"/>
              </w:rPr>
              <w:t>1</w:t>
            </w:r>
            <w:r>
              <w:rPr>
                <w:rFonts w:hint="eastAsia" w:ascii="Times New Roman" w:hAnsi="Times New Roman" w:eastAsia="宋体" w:cs="宋体"/>
                <w:kern w:val="2"/>
                <w:sz w:val="24"/>
                <w:szCs w:val="22"/>
                <w:highlight w:val="yellow"/>
                <w:lang w:val="en-US" w:eastAsia="zh-CN" w:bidi="ar"/>
              </w:rPr>
              <w:t>分，得分最低下限为</w:t>
            </w:r>
            <w:r>
              <w:rPr>
                <w:rFonts w:hint="default" w:ascii="Times New Roman" w:hAnsi="Times New Roman" w:eastAsia="宋体" w:cs="宋体"/>
                <w:kern w:val="2"/>
                <w:sz w:val="24"/>
                <w:szCs w:val="22"/>
                <w:highlight w:val="yellow"/>
                <w:lang w:val="en-US" w:eastAsia="zh-CN" w:bidi="ar"/>
              </w:rPr>
              <w:t>0</w:t>
            </w:r>
            <w:r>
              <w:rPr>
                <w:rFonts w:hint="eastAsia" w:ascii="Times New Roman" w:hAnsi="Times New Roman" w:eastAsia="宋体" w:cs="宋体"/>
                <w:kern w:val="2"/>
                <w:sz w:val="24"/>
                <w:szCs w:val="22"/>
                <w:highlight w:val="yellow"/>
                <w:lang w:val="en-US" w:eastAsia="zh-CN" w:bidi="ar"/>
              </w:rPr>
              <w:t>分。</w:t>
            </w:r>
          </w:p>
        </w:tc>
      </w:tr>
      <w:tr>
        <w:tblPrEx>
          <w:shd w:val="clear" w:color="auto" w:fill="auto"/>
          <w:tblCellMar>
            <w:top w:w="0" w:type="dxa"/>
            <w:left w:w="0" w:type="dxa"/>
            <w:bottom w:w="0" w:type="dxa"/>
            <w:right w:w="0" w:type="dxa"/>
          </w:tblCellMar>
        </w:tblPrEx>
        <w:trPr>
          <w:trHeight w:val="510"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售后服务及承诺</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5分</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4"/>
                <w:szCs w:val="24"/>
                <w:highlight w:val="yellow"/>
                <w:lang w:val="en-US"/>
              </w:rPr>
            </w:pPr>
            <w:r>
              <w:rPr>
                <w:rFonts w:hint="eastAsia" w:ascii="宋体" w:hAnsi="宋体" w:eastAsia="宋体" w:cs="宋体"/>
                <w:kern w:val="0"/>
                <w:sz w:val="24"/>
                <w:szCs w:val="24"/>
                <w:highlight w:val="yellow"/>
                <w:lang w:val="en-US" w:eastAsia="zh-CN" w:bidi="ar"/>
              </w:rPr>
              <w:t>售后服务及承诺符合招标人要求</w:t>
            </w:r>
          </w:p>
        </w:tc>
      </w:tr>
    </w:tbl>
    <w:p>
      <w:pPr>
        <w:pStyle w:val="62"/>
        <w:keepNext w:val="0"/>
        <w:keepLines/>
        <w:widowControl/>
        <w:numPr>
          <w:ilvl w:val="1"/>
          <w:numId w:val="1"/>
        </w:numPr>
        <w:suppressLineNumbers w:val="0"/>
        <w:ind w:left="0" w:firstLine="0"/>
        <w:rPr>
          <w:lang w:val="en-US"/>
        </w:rPr>
      </w:pPr>
      <w:bookmarkStart w:id="57" w:name="_Toc4306"/>
      <w:r>
        <w:rPr>
          <w:rFonts w:hint="eastAsia" w:ascii="Times New Roman" w:hAnsi="Times New Roman" w:eastAsia="宋体" w:cs="宋体"/>
          <w:lang w:eastAsia="zh-CN"/>
        </w:rPr>
        <w:t>评标</w:t>
      </w:r>
      <w:bookmarkEnd w:id="57"/>
    </w:p>
    <w:p>
      <w:pPr>
        <w:pStyle w:val="34"/>
        <w:keepNext w:val="0"/>
        <w:keepLines w:val="0"/>
        <w:widowControl/>
        <w:numPr>
          <w:ilvl w:val="0"/>
          <w:numId w:val="18"/>
        </w:numPr>
        <w:suppressLineNumbers w:val="0"/>
        <w:ind w:hanging="420"/>
        <w:rPr>
          <w:lang w:val="en-US"/>
        </w:rPr>
      </w:pPr>
      <w:r>
        <w:rPr>
          <w:rFonts w:hint="eastAsia" w:ascii="Times New Roman" w:hAnsi="Times New Roman" w:eastAsia="宋体" w:cs="宋体"/>
          <w:lang w:eastAsia="zh-CN"/>
        </w:rPr>
        <w:t>招标人根据项目特点组建评标委员会，对具备实质性响应的投标文件进行评估和比较。</w:t>
      </w:r>
    </w:p>
    <w:p>
      <w:pPr>
        <w:pStyle w:val="34"/>
        <w:keepNext w:val="0"/>
        <w:keepLines w:val="0"/>
        <w:widowControl/>
        <w:numPr>
          <w:ilvl w:val="0"/>
          <w:numId w:val="18"/>
        </w:numPr>
        <w:suppressLineNumbers w:val="0"/>
        <w:ind w:hanging="420"/>
        <w:rPr>
          <w:lang w:val="en-US"/>
        </w:rPr>
      </w:pPr>
      <w:r>
        <w:rPr>
          <w:rFonts w:hint="eastAsia" w:ascii="Times New Roman" w:hAnsi="Times New Roman" w:eastAsia="宋体" w:cs="宋体"/>
          <w:lang w:eastAsia="zh-CN"/>
        </w:rPr>
        <w:t>对投标文件进行初审，审查内容为投标文件是否符合招标文件的要求，内容是否完整、价格构成有无计算错误、文件签署是否齐全等。</w:t>
      </w:r>
    </w:p>
    <w:p>
      <w:pPr>
        <w:pStyle w:val="34"/>
        <w:keepNext w:val="0"/>
        <w:keepLines w:val="0"/>
        <w:widowControl/>
        <w:numPr>
          <w:ilvl w:val="0"/>
          <w:numId w:val="18"/>
        </w:numPr>
        <w:suppressLineNumbers w:val="0"/>
        <w:ind w:hanging="420"/>
        <w:rPr>
          <w:lang w:val="en-US"/>
        </w:rPr>
      </w:pPr>
      <w:r>
        <w:rPr>
          <w:rFonts w:hint="eastAsia" w:ascii="Times New Roman" w:hAnsi="Times New Roman" w:eastAsia="宋体" w:cs="宋体"/>
          <w:lang w:eastAsia="zh-CN"/>
        </w:rPr>
        <w:t>评标严格按照招标文件的要求和条件进行。评标考虑以下因素：投标人规模、注册资本、技术支持能力、业务支持能力、服务能力、成功案例、经营业绩、投标报价、实施方案等。</w:t>
      </w:r>
    </w:p>
    <w:p>
      <w:pPr>
        <w:pStyle w:val="34"/>
        <w:keepNext w:val="0"/>
        <w:keepLines w:val="0"/>
        <w:widowControl/>
        <w:numPr>
          <w:ilvl w:val="0"/>
          <w:numId w:val="18"/>
        </w:numPr>
        <w:suppressLineNumbers w:val="0"/>
        <w:ind w:hanging="420"/>
        <w:rPr>
          <w:lang w:val="en-US"/>
        </w:rPr>
      </w:pPr>
      <w:r>
        <w:rPr>
          <w:rFonts w:hint="eastAsia" w:ascii="Times New Roman" w:hAnsi="Times New Roman" w:eastAsia="宋体" w:cs="宋体"/>
          <w:lang w:eastAsia="zh-CN"/>
        </w:rPr>
        <w:t>开标之后，直到授予投标人合同止，凡是属于审查、澄清、评价和比较投标的有关资料以及授标意向等，均不得向投标人或其他无关的人员透露。</w:t>
      </w:r>
    </w:p>
    <w:p>
      <w:pPr>
        <w:pStyle w:val="34"/>
        <w:keepNext w:val="0"/>
        <w:keepLines w:val="0"/>
        <w:widowControl/>
        <w:numPr>
          <w:ilvl w:val="0"/>
          <w:numId w:val="18"/>
        </w:numPr>
        <w:suppressLineNumbers w:val="0"/>
        <w:ind w:hanging="420"/>
        <w:rPr>
          <w:lang w:val="en-US"/>
        </w:rPr>
      </w:pPr>
      <w:r>
        <w:rPr>
          <w:rFonts w:hint="eastAsia" w:ascii="Times New Roman" w:hAnsi="Times New Roman" w:eastAsia="宋体" w:cs="宋体"/>
          <w:lang w:eastAsia="zh-CN"/>
        </w:rPr>
        <w:t>在评标期间，投标人企图影响招标人的任何活动，将导致投标被拒绝，并承担相应的法律责任。</w:t>
      </w:r>
    </w:p>
    <w:p>
      <w:pPr>
        <w:pStyle w:val="34"/>
        <w:keepNext w:val="0"/>
        <w:keepLines w:val="0"/>
        <w:widowControl/>
        <w:numPr>
          <w:ilvl w:val="0"/>
          <w:numId w:val="18"/>
        </w:numPr>
        <w:suppressLineNumbers w:val="0"/>
        <w:ind w:hanging="420"/>
        <w:rPr>
          <w:rFonts w:cs="宋体"/>
          <w:lang w:val="en-US"/>
        </w:rPr>
      </w:pPr>
      <w:r>
        <w:rPr>
          <w:rFonts w:hint="eastAsia" w:ascii="Times New Roman" w:hAnsi="Times New Roman" w:eastAsia="宋体" w:cs="宋体"/>
          <w:lang w:eastAsia="zh-CN"/>
        </w:rPr>
        <w:t>招标人有权根据项目情况，采取多级评标模式，先由专家组综合评审推荐</w:t>
      </w:r>
      <w:r>
        <w:rPr>
          <w:rFonts w:cs="宋体"/>
          <w:lang w:val="en-US"/>
        </w:rPr>
        <w:t>2-3</w:t>
      </w:r>
      <w:r>
        <w:rPr>
          <w:rFonts w:hint="eastAsia" w:ascii="Times New Roman" w:hAnsi="Times New Roman" w:eastAsia="宋体" w:cs="宋体"/>
          <w:lang w:eastAsia="zh-CN"/>
        </w:rPr>
        <w:t>家候选中标人，再由采购人员与专家组共同对候选中标人进行评</w:t>
      </w:r>
      <w:r>
        <w:rPr>
          <w:rFonts w:cs="宋体"/>
          <w:lang w:val="en-US"/>
        </w:rPr>
        <w:t>/</w:t>
      </w:r>
      <w:r>
        <w:rPr>
          <w:rFonts w:hint="eastAsia" w:ascii="Times New Roman" w:hAnsi="Times New Roman" w:eastAsia="宋体" w:cs="宋体"/>
          <w:lang w:eastAsia="zh-CN"/>
        </w:rPr>
        <w:t>议标，最终确定推荐中标人。</w:t>
      </w:r>
    </w:p>
    <w:p>
      <w:pPr>
        <w:pStyle w:val="62"/>
        <w:keepNext w:val="0"/>
        <w:keepLines/>
        <w:widowControl/>
        <w:numPr>
          <w:ilvl w:val="1"/>
          <w:numId w:val="1"/>
        </w:numPr>
        <w:suppressLineNumbers w:val="0"/>
        <w:ind w:left="0" w:firstLine="0"/>
        <w:rPr>
          <w:lang w:val="en-US"/>
        </w:rPr>
      </w:pPr>
      <w:bookmarkStart w:id="58" w:name="_Toc264881861"/>
      <w:bookmarkStart w:id="59" w:name="_Toc265850581"/>
      <w:bookmarkStart w:id="60" w:name="_Toc234922356"/>
      <w:bookmarkStart w:id="61" w:name="_Toc26790"/>
      <w:r>
        <w:rPr>
          <w:rFonts w:hint="eastAsia" w:ascii="Times New Roman" w:hAnsi="Times New Roman" w:eastAsia="宋体" w:cs="宋体"/>
          <w:lang w:eastAsia="zh-CN"/>
        </w:rPr>
        <w:t>中标</w:t>
      </w:r>
      <w:bookmarkEnd w:id="58"/>
      <w:bookmarkEnd w:id="59"/>
      <w:bookmarkEnd w:id="60"/>
      <w:r>
        <w:rPr>
          <w:rFonts w:hint="eastAsia" w:ascii="Times New Roman" w:hAnsi="Times New Roman" w:eastAsia="宋体" w:cs="宋体"/>
          <w:lang w:eastAsia="zh-CN"/>
        </w:rPr>
        <w:t>及合同签订</w:t>
      </w:r>
      <w:bookmarkEnd w:id="61"/>
    </w:p>
    <w:p>
      <w:pPr>
        <w:pStyle w:val="34"/>
        <w:keepNext w:val="0"/>
        <w:keepLines w:val="0"/>
        <w:widowControl/>
        <w:numPr>
          <w:ilvl w:val="0"/>
          <w:numId w:val="19"/>
        </w:numPr>
        <w:suppressLineNumbers w:val="0"/>
        <w:ind w:hanging="420"/>
        <w:rPr>
          <w:lang w:val="en-US"/>
        </w:rPr>
      </w:pPr>
      <w:bookmarkStart w:id="62" w:name="_Toc265850587"/>
      <w:r>
        <w:rPr>
          <w:rFonts w:hint="eastAsia" w:ascii="Times New Roman" w:hAnsi="Times New Roman" w:eastAsia="宋体" w:cs="宋体"/>
          <w:lang w:eastAsia="zh-CN"/>
        </w:rPr>
        <w:t>招标人根据竞争性谈判结果确定中标人，并通知中标人；招标人不承诺将合同授予报价最低的投标人。</w:t>
      </w:r>
    </w:p>
    <w:p>
      <w:pPr>
        <w:pStyle w:val="34"/>
        <w:keepNext w:val="0"/>
        <w:keepLines w:val="0"/>
        <w:widowControl/>
        <w:numPr>
          <w:ilvl w:val="0"/>
          <w:numId w:val="19"/>
        </w:numPr>
        <w:suppressLineNumbers w:val="0"/>
        <w:ind w:hanging="420"/>
        <w:rPr>
          <w:lang w:val="en-US"/>
        </w:rPr>
      </w:pPr>
      <w:r>
        <w:rPr>
          <w:rFonts w:hint="eastAsia" w:ascii="Times New Roman" w:hAnsi="Times New Roman" w:eastAsia="宋体" w:cs="宋体"/>
          <w:lang w:eastAsia="zh-CN"/>
        </w:rPr>
        <w:t>本项目产生一个中标人。</w:t>
      </w:r>
    </w:p>
    <w:p>
      <w:pPr>
        <w:pStyle w:val="34"/>
        <w:keepNext w:val="0"/>
        <w:keepLines w:val="0"/>
        <w:widowControl/>
        <w:numPr>
          <w:ilvl w:val="0"/>
          <w:numId w:val="19"/>
        </w:numPr>
        <w:suppressLineNumbers w:val="0"/>
        <w:ind w:hanging="420"/>
        <w:rPr>
          <w:lang w:val="en-US"/>
        </w:rPr>
      </w:pPr>
      <w:r>
        <w:rPr>
          <w:rFonts w:hint="eastAsia" w:ascii="Times New Roman" w:hAnsi="Times New Roman" w:eastAsia="宋体" w:cs="宋体"/>
          <w:lang w:eastAsia="zh-CN"/>
        </w:rPr>
        <w:t>招标人发送《中标通知书》给中标人，中标人应及时与招标人联系，在规定的时间内与招标单位签订合同。如果中标人接到《中标通知书》后，无不正当理由拒签合同、在签订合同时向招标人提出无理附加条件的，取消该投标人的入围资格，该投标人</w:t>
      </w:r>
      <w:r>
        <w:rPr>
          <w:lang w:val="en-US"/>
        </w:rPr>
        <w:t>2</w:t>
      </w:r>
      <w:r>
        <w:rPr>
          <w:rFonts w:hint="eastAsia" w:ascii="Times New Roman" w:hAnsi="Times New Roman" w:eastAsia="宋体" w:cs="宋体"/>
          <w:lang w:eastAsia="zh-CN"/>
        </w:rPr>
        <w:t>年不得参与中国重汽集团有限公司发布的招投标项目。</w:t>
      </w:r>
    </w:p>
    <w:p>
      <w:pPr>
        <w:pStyle w:val="34"/>
        <w:keepNext w:val="0"/>
        <w:keepLines w:val="0"/>
        <w:widowControl/>
        <w:numPr>
          <w:ilvl w:val="0"/>
          <w:numId w:val="19"/>
        </w:numPr>
        <w:suppressLineNumbers w:val="0"/>
        <w:ind w:hanging="420"/>
        <w:rPr>
          <w:lang w:val="en-US"/>
        </w:rPr>
      </w:pPr>
      <w:r>
        <w:rPr>
          <w:rFonts w:hint="eastAsia" w:ascii="Times New Roman" w:hAnsi="Times New Roman" w:eastAsia="宋体" w:cs="宋体"/>
          <w:lang w:eastAsia="zh-CN"/>
        </w:rPr>
        <w:t>中标人应当按照合同约定的履约责任，在保证质量的前提下完成中标项目，不得将中标项目转包或分包给他人，否则视为违约，招标人有权解除合同。</w:t>
      </w:r>
    </w:p>
    <w:p>
      <w:pPr>
        <w:pStyle w:val="34"/>
        <w:keepNext w:val="0"/>
        <w:keepLines w:val="0"/>
        <w:widowControl/>
        <w:numPr>
          <w:ilvl w:val="0"/>
          <w:numId w:val="19"/>
        </w:numPr>
        <w:suppressLineNumbers w:val="0"/>
        <w:ind w:hanging="420"/>
        <w:rPr>
          <w:lang w:val="en-US"/>
        </w:rPr>
      </w:pPr>
      <w:r>
        <w:rPr>
          <w:rFonts w:hint="eastAsia" w:ascii="Times New Roman" w:hAnsi="Times New Roman" w:eastAsia="宋体" w:cs="宋体"/>
          <w:lang w:eastAsia="zh-CN"/>
        </w:rPr>
        <w:t>中标人由于履行义务的能力或信用有严重缺陷，招标人有权取消其中标资格，招标人将从中标候选单位中依序重新确定中标人，或重新组织招标。</w:t>
      </w:r>
    </w:p>
    <w:p>
      <w:pPr>
        <w:pStyle w:val="62"/>
        <w:keepNext w:val="0"/>
        <w:keepLines/>
        <w:widowControl/>
        <w:numPr>
          <w:ilvl w:val="1"/>
          <w:numId w:val="1"/>
        </w:numPr>
        <w:suppressLineNumbers w:val="0"/>
        <w:ind w:left="0" w:firstLine="0"/>
        <w:rPr>
          <w:lang w:val="en-US"/>
        </w:rPr>
      </w:pPr>
      <w:bookmarkStart w:id="63" w:name="_Toc207"/>
      <w:r>
        <w:rPr>
          <w:rFonts w:hint="eastAsia" w:ascii="Times New Roman" w:hAnsi="Times New Roman" w:eastAsia="宋体" w:cs="宋体"/>
          <w:lang w:eastAsia="zh-CN"/>
        </w:rPr>
        <w:t>废标</w:t>
      </w:r>
      <w:bookmarkEnd w:id="63"/>
    </w:p>
    <w:p>
      <w:pPr>
        <w:keepNext w:val="0"/>
        <w:keepLines w:val="0"/>
        <w:widowControl w:val="0"/>
        <w:suppressLineNumbers w:val="0"/>
        <w:spacing w:before="0" w:beforeAutospacing="0" w:after="0" w:afterAutospacing="0" w:line="520" w:lineRule="exact"/>
        <w:ind w:left="0" w:right="2" w:firstLine="480" w:firstLineChars="200"/>
        <w:jc w:val="both"/>
        <w:rPr>
          <w:rFonts w:hint="default" w:ascii="Times New Roman" w:hAnsi="Times New Roman" w:cs="Times New Roman"/>
          <w:sz w:val="24"/>
          <w:szCs w:val="22"/>
          <w:lang w:val="en-US"/>
        </w:rPr>
      </w:pPr>
      <w:r>
        <w:rPr>
          <w:rFonts w:hint="default" w:ascii="Times New Roman" w:hAnsi="Times New Roman" w:eastAsia="宋体" w:cs="Times New Roman"/>
          <w:kern w:val="2"/>
          <w:sz w:val="24"/>
          <w:szCs w:val="22"/>
          <w:lang w:val="en-US" w:eastAsia="zh-CN" w:bidi="ar"/>
        </w:rPr>
        <w:t>1</w:t>
      </w:r>
      <w:r>
        <w:rPr>
          <w:rFonts w:hint="eastAsia" w:ascii="Times New Roman" w:hAnsi="Times New Roman" w:eastAsia="宋体" w:cs="宋体"/>
          <w:kern w:val="2"/>
          <w:sz w:val="24"/>
          <w:szCs w:val="22"/>
          <w:lang w:val="en-US" w:eastAsia="zh-CN" w:bidi="ar"/>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（1）投标人提供的有关资格、资质证明文件不合格、不真实或提供虚假投标材料；</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（2）投标人在报价有效期内撤回投标；</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（3）在整个评标过程中，投标人有企图影响评标结果公正性的任何活动；</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（4）投标人以任何方式诋毁其他投标人；</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（5）投标人串通投标；</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（6）以他人名义投标或者以其他方式弄虚作假，骗取中标的；</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（7）法律、法规规定的其他情况。</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2、出现下列情形之一，招标人有权否决所有投标人的投标，并终止招标</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（1）出现影响采购公正的违法、违规行为的；</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（2）评标委员会经评审，认为所有投标都不符合招标文件要求的；</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（3）因重大变故，采购任务取消的；</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bidi="ar"/>
        </w:rPr>
      </w:pPr>
      <w:r>
        <w:rPr>
          <w:rFonts w:hint="eastAsia" w:ascii="宋体" w:hAnsi="Courier New" w:eastAsia="宋体" w:cs="宋体"/>
          <w:kern w:val="2"/>
          <w:sz w:val="24"/>
          <w:szCs w:val="22"/>
          <w:lang w:val="en-US" w:eastAsia="zh-CN" w:bidi="ar"/>
        </w:rPr>
        <w:t>（4）符合条件的投标人或者对招标文件做实质响应的投标人不足三家的。</w:t>
      </w:r>
    </w:p>
    <w:p>
      <w:pPr>
        <w:pStyle w:val="62"/>
        <w:keepNext w:val="0"/>
        <w:keepLines/>
        <w:widowControl/>
        <w:numPr>
          <w:ilvl w:val="1"/>
          <w:numId w:val="1"/>
        </w:numPr>
        <w:suppressLineNumbers w:val="0"/>
        <w:ind w:left="0" w:firstLine="0"/>
        <w:rPr>
          <w:rFonts w:cs="宋体"/>
          <w:lang w:val="en-US"/>
        </w:rPr>
      </w:pPr>
      <w:bookmarkStart w:id="64" w:name="_Toc20309"/>
      <w:r>
        <w:rPr>
          <w:rFonts w:hint="eastAsia" w:ascii="Times New Roman" w:hAnsi="Times New Roman" w:eastAsia="宋体" w:cs="宋体"/>
          <w:lang w:eastAsia="zh-CN"/>
        </w:rPr>
        <w:t>瑕疵滞后发现的处理</w:t>
      </w:r>
      <w:bookmarkEnd w:id="64"/>
    </w:p>
    <w:p>
      <w:pPr>
        <w:keepNext w:val="0"/>
        <w:keepLines w:val="0"/>
        <w:widowControl w:val="0"/>
        <w:suppressLineNumbers w:val="0"/>
        <w:spacing w:before="0" w:beforeAutospacing="0" w:after="0" w:afterAutospacing="0" w:line="520" w:lineRule="exact"/>
        <w:ind w:left="0" w:right="2" w:firstLine="480"/>
        <w:jc w:val="both"/>
        <w:rPr>
          <w:rFonts w:hint="eastAsia" w:ascii="宋体" w:hAnsi="Courier New" w:eastAsia="宋体" w:cs="宋体"/>
          <w:kern w:val="2"/>
          <w:sz w:val="24"/>
          <w:szCs w:val="22"/>
          <w:lang w:val="en-US" w:eastAsia="zh-CN" w:bidi="ar"/>
        </w:rPr>
      </w:pPr>
      <w:r>
        <w:rPr>
          <w:rFonts w:hint="eastAsia" w:ascii="宋体" w:hAnsi="Courier New" w:eastAsia="宋体" w:cs="宋体"/>
          <w:kern w:val="2"/>
          <w:sz w:val="24"/>
          <w:szCs w:val="22"/>
          <w:lang w:val="en-US" w:eastAsia="zh-CN" w:bidi="ar"/>
        </w:rPr>
        <w:t>无论因何种原因，本应拒绝却未被及时发现，使投标人进入下一程序，包括已经签约。无论任何时间发现，招标人有权决定取消或拒绝此投标人的资格，并有权决定采取相应的补救措施，可由其他候选人替代，或重新组织招标。一切损失均由该投标人承担。</w:t>
      </w:r>
    </w:p>
    <w:p>
      <w:pPr>
        <w:pStyle w:val="62"/>
        <w:keepNext w:val="0"/>
        <w:keepLines/>
        <w:widowControl/>
        <w:numPr>
          <w:ilvl w:val="1"/>
          <w:numId w:val="1"/>
        </w:numPr>
        <w:suppressLineNumbers w:val="0"/>
        <w:ind w:left="0" w:firstLine="0"/>
        <w:rPr>
          <w:rFonts w:hint="eastAsia" w:ascii="Times New Roman" w:hAnsi="Times New Roman" w:eastAsia="宋体" w:cs="宋体"/>
          <w:lang w:val="en-US" w:eastAsia="zh-CN"/>
        </w:rPr>
      </w:pPr>
      <w:bookmarkStart w:id="65" w:name="_Toc31983"/>
      <w:r>
        <w:rPr>
          <w:rFonts w:hint="eastAsia" w:ascii="Times New Roman" w:hAnsi="Times New Roman" w:eastAsia="宋体" w:cs="宋体"/>
          <w:lang w:val="en-US" w:eastAsia="zh-CN"/>
        </w:rPr>
        <w:t>合同以双方最终签署的版本为准。</w:t>
      </w:r>
      <w:bookmarkEnd w:id="65"/>
    </w:p>
    <w:p>
      <w:pPr>
        <w:keepNext w:val="0"/>
        <w:keepLines w:val="0"/>
        <w:widowControl w:val="0"/>
        <w:numPr>
          <w:ilvl w:val="-1"/>
          <w:numId w:val="0"/>
        </w:numPr>
        <w:suppressLineNumbers w:val="0"/>
        <w:spacing w:before="0" w:beforeAutospacing="0" w:after="0" w:afterAutospacing="0" w:line="520" w:lineRule="exact"/>
        <w:ind w:left="0" w:right="2" w:firstLine="0"/>
        <w:jc w:val="both"/>
        <w:rPr>
          <w:rFonts w:hint="default" w:ascii="宋体" w:hAnsi="Courier New" w:eastAsia="宋体" w:cs="宋体"/>
          <w:kern w:val="2"/>
          <w:sz w:val="24"/>
          <w:szCs w:val="22"/>
          <w:lang w:val="en-US" w:eastAsia="zh-CN" w:bidi="ar"/>
        </w:rPr>
      </w:pPr>
    </w:p>
    <w:p>
      <w:pPr>
        <w:keepNext w:val="0"/>
        <w:keepLines w:val="0"/>
        <w:widowControl w:val="0"/>
        <w:suppressLineNumbers w:val="0"/>
        <w:spacing w:before="0" w:beforeAutospacing="0" w:after="0" w:afterAutospacing="0" w:line="520" w:lineRule="exact"/>
        <w:ind w:left="0" w:right="2" w:firstLine="480"/>
        <w:jc w:val="both"/>
        <w:rPr>
          <w:rFonts w:hint="eastAsia" w:ascii="宋体" w:hAnsi="Courier New" w:eastAsia="宋体" w:cs="宋体"/>
          <w:sz w:val="24"/>
          <w:szCs w:val="22"/>
          <w:lang w:val="en-US" w:bidi="ar"/>
        </w:rPr>
      </w:pP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bidi="ar"/>
        </w:rPr>
      </w:pPr>
    </w:p>
    <w:bookmarkEnd w:id="62"/>
    <w:p>
      <w:pPr>
        <w:pStyle w:val="32"/>
        <w:keepNext w:val="0"/>
        <w:keepLines/>
        <w:widowControl/>
        <w:numPr>
          <w:ilvl w:val="0"/>
          <w:numId w:val="0"/>
        </w:numPr>
        <w:suppressLineNumbers w:val="0"/>
        <w:ind w:left="0" w:firstLine="3654" w:firstLineChars="1300"/>
        <w:rPr>
          <w:lang w:val="en-US"/>
        </w:rPr>
      </w:pPr>
      <w:bookmarkStart w:id="66" w:name="_Toc19986"/>
      <w:bookmarkStart w:id="67" w:name="_Toc36829341"/>
      <w:r>
        <w:rPr>
          <w:rFonts w:hint="eastAsia" w:ascii="Times New Roman" w:hAnsi="Times New Roman" w:eastAsia="宋体" w:cs="宋体"/>
          <w:lang w:eastAsia="zh-CN"/>
        </w:rPr>
        <w:t>技术及业务部分</w:t>
      </w:r>
      <w:bookmarkEnd w:id="66"/>
    </w:p>
    <w:p>
      <w:pPr>
        <w:pStyle w:val="32"/>
        <w:keepNext w:val="0"/>
        <w:keepLines/>
        <w:widowControl/>
        <w:numPr>
          <w:ilvl w:val="0"/>
          <w:numId w:val="3"/>
        </w:numPr>
        <w:suppressLineNumbers w:val="0"/>
        <w:ind w:left="0" w:firstLine="0"/>
        <w:rPr>
          <w:lang w:val="en-US"/>
        </w:rPr>
      </w:pPr>
      <w:bookmarkStart w:id="68" w:name="_Toc7303"/>
      <w:r>
        <w:rPr>
          <w:rFonts w:hint="eastAsia" w:ascii="Times New Roman" w:hAnsi="Times New Roman" w:eastAsia="宋体" w:cs="宋体"/>
          <w:lang w:eastAsia="zh-CN"/>
        </w:rPr>
        <w:t>项目组织范围</w:t>
      </w:r>
      <w:bookmarkEnd w:id="67"/>
      <w:bookmarkEnd w:id="68"/>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（1）、咨询组织范围：集团公司及各权属二级公司。</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（2）、咨询业务范围：费用（对公对私）、薪酬、资金、应收、应付、总账、资产、税务等全模块。</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（3）、一期实施范围：集团部室及济南地区约二十三家二级单位，实现费用（对公对私）、薪酬、资金模块。第一阶段按照咨询建议选取试点单位。第二阶段推广到济南地区其它二级单位。</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（4）、二期实施范围：完成集团部室及济南地区约二十三家二级单位全模块建设。</w:t>
      </w:r>
    </w:p>
    <w:p>
      <w:pPr>
        <w:keepNext w:val="0"/>
        <w:keepLines w:val="0"/>
        <w:widowControl w:val="0"/>
        <w:suppressLineNumbers w:val="0"/>
        <w:spacing w:before="0" w:beforeAutospacing="0" w:after="0" w:afterAutospacing="0" w:line="520" w:lineRule="exact"/>
        <w:ind w:left="0" w:right="2" w:firstLine="480" w:firstLineChars="200"/>
        <w:jc w:val="both"/>
        <w:rPr>
          <w:rFonts w:hint="eastAsia" w:ascii="宋体" w:hAnsi="Courier New" w:eastAsia="宋体" w:cs="宋体"/>
          <w:sz w:val="24"/>
          <w:szCs w:val="22"/>
          <w:lang w:val="en-US"/>
        </w:rPr>
      </w:pPr>
      <w:r>
        <w:rPr>
          <w:rFonts w:hint="eastAsia" w:ascii="宋体" w:hAnsi="Courier New" w:eastAsia="宋体" w:cs="宋体"/>
          <w:kern w:val="2"/>
          <w:sz w:val="24"/>
          <w:szCs w:val="22"/>
          <w:lang w:val="en-US" w:eastAsia="zh-CN" w:bidi="ar"/>
        </w:rPr>
        <w:t>（5）、时间要求：2020年8月31日前完成业务咨询。根据咨询建议开展实施工作，最晚2020年12月31日前完成第一阶段试点单位上线试运行，2021年4月30日前完成第二阶段济南地区其它二级单位建设并上线试运行。</w:t>
      </w:r>
    </w:p>
    <w:p>
      <w:pPr>
        <w:pStyle w:val="32"/>
        <w:keepNext w:val="0"/>
        <w:keepLines/>
        <w:widowControl/>
        <w:numPr>
          <w:ilvl w:val="0"/>
          <w:numId w:val="3"/>
        </w:numPr>
        <w:suppressLineNumbers w:val="0"/>
        <w:ind w:left="0" w:firstLine="0"/>
        <w:rPr>
          <w:lang w:val="en-US"/>
        </w:rPr>
      </w:pPr>
      <w:bookmarkStart w:id="69" w:name="_Toc36829342"/>
      <w:bookmarkStart w:id="70" w:name="_Toc15482"/>
      <w:r>
        <w:rPr>
          <w:rFonts w:hint="eastAsia" w:ascii="Times New Roman" w:hAnsi="Times New Roman" w:eastAsia="宋体" w:cs="宋体"/>
          <w:lang w:eastAsia="zh-CN"/>
        </w:rPr>
        <w:t>项目技术要求</w:t>
      </w:r>
      <w:bookmarkEnd w:id="69"/>
      <w:bookmarkEnd w:id="70"/>
    </w:p>
    <w:p>
      <w:pPr>
        <w:pStyle w:val="62"/>
        <w:keepNext w:val="0"/>
        <w:keepLines/>
        <w:widowControl/>
        <w:numPr>
          <w:ilvl w:val="1"/>
          <w:numId w:val="3"/>
        </w:numPr>
        <w:suppressLineNumbers w:val="0"/>
        <w:ind w:left="0" w:firstLine="0"/>
        <w:textAlignment w:val="baseline"/>
        <w:rPr>
          <w:vertAlign w:val="baseline"/>
          <w:lang w:val="en-US"/>
        </w:rPr>
      </w:pPr>
      <w:bookmarkStart w:id="71" w:name="_Toc36829343"/>
      <w:bookmarkStart w:id="72" w:name="_Toc2011"/>
      <w:r>
        <w:rPr>
          <w:rFonts w:hint="eastAsia" w:ascii="Times New Roman" w:hAnsi="Times New Roman" w:eastAsia="宋体" w:cs="宋体"/>
          <w:vertAlign w:val="baseline"/>
          <w:lang w:eastAsia="zh-CN"/>
        </w:rPr>
        <w:t>咨询要求</w:t>
      </w:r>
      <w:bookmarkEnd w:id="71"/>
      <w:bookmarkEnd w:id="72"/>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咨询方案设计服务：服务内容包括但不限于财务共享服务中心定位、模式、财务组织架构、岗位职能、绩效体系、运营管理、业务流程、流程勾稽关系、业务规范、信息系统方案、财务规划等。</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1</w:t>
      </w:r>
      <w:r>
        <w:rPr>
          <w:rFonts w:hint="eastAsia" w:ascii="Times New Roman" w:hAnsi="Times New Roman" w:eastAsia="宋体" w:cs="宋体"/>
          <w:lang w:eastAsia="zh-CN"/>
        </w:rPr>
        <w:t>）、</w:t>
      </w:r>
      <w:r>
        <w:rPr>
          <w:lang w:eastAsia="zh-CN"/>
        </w:rPr>
        <w:t xml:space="preserve"> </w:t>
      </w:r>
      <w:r>
        <w:rPr>
          <w:rFonts w:hint="eastAsia" w:ascii="Times New Roman" w:hAnsi="Times New Roman" w:eastAsia="宋体" w:cs="宋体"/>
          <w:lang w:eastAsia="zh-CN"/>
        </w:rPr>
        <w:t>需求调研：中标单位派出项目经理</w:t>
      </w:r>
      <w:r>
        <w:rPr>
          <w:lang w:val="en-US"/>
        </w:rPr>
        <w:t>/</w:t>
      </w:r>
      <w:r>
        <w:rPr>
          <w:rFonts w:hint="eastAsia" w:ascii="Times New Roman" w:hAnsi="Times New Roman" w:eastAsia="宋体" w:cs="宋体"/>
          <w:lang w:eastAsia="zh-CN"/>
        </w:rPr>
        <w:t>咨询顾问</w:t>
      </w:r>
      <w:r>
        <w:rPr>
          <w:lang w:val="en-US"/>
        </w:rPr>
        <w:t>/</w:t>
      </w:r>
      <w:r>
        <w:rPr>
          <w:rFonts w:hint="eastAsia" w:ascii="Times New Roman" w:hAnsi="Times New Roman" w:eastAsia="宋体" w:cs="宋体"/>
          <w:lang w:eastAsia="zh-CN"/>
        </w:rPr>
        <w:t>关键技术顾问与招标单位的关键系统用户、各业务部门相关领导、骨干人员进行有效集中的业务需求交流和系统需求沟通。</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2</w:t>
      </w:r>
      <w:r>
        <w:rPr>
          <w:rFonts w:hint="eastAsia" w:ascii="Times New Roman" w:hAnsi="Times New Roman" w:eastAsia="宋体" w:cs="宋体"/>
          <w:lang w:eastAsia="zh-CN"/>
        </w:rPr>
        <w:t>）、</w:t>
      </w:r>
      <w:r>
        <w:rPr>
          <w:lang w:eastAsia="zh-CN"/>
        </w:rPr>
        <w:t xml:space="preserve"> </w:t>
      </w:r>
      <w:r>
        <w:rPr>
          <w:rFonts w:hint="eastAsia" w:ascii="Times New Roman" w:hAnsi="Times New Roman" w:eastAsia="宋体" w:cs="宋体"/>
          <w:lang w:eastAsia="zh-CN"/>
        </w:rPr>
        <w:t>财务共享方案：根据需求调研的结果，结合现状及未来发展规划，针对招标人约</w:t>
      </w:r>
      <w:r>
        <w:rPr>
          <w:lang w:val="en-US"/>
        </w:rPr>
        <w:t>84</w:t>
      </w:r>
      <w:r>
        <w:rPr>
          <w:rFonts w:hint="eastAsia" w:ascii="Times New Roman" w:hAnsi="Times New Roman" w:eastAsia="宋体" w:cs="宋体"/>
          <w:lang w:eastAsia="zh-CN"/>
        </w:rPr>
        <w:t>家核算主体出具路线规划图、推进计划、组织架构、系统搭建、制度规范咨询意见；针对本期范围内单位出具详细可行的组织架构、人员规划、流程设计、系统实施、上线规划、推进计划、制度规范及运营管理等咨询方案，最终形成一个满足需求和发展的方案。</w:t>
      </w:r>
    </w:p>
    <w:p>
      <w:pPr>
        <w:pStyle w:val="33"/>
        <w:keepNext w:val="0"/>
        <w:keepLines w:val="0"/>
        <w:widowControl/>
        <w:suppressLineNumbers w:val="0"/>
        <w:ind w:left="0" w:firstLine="480"/>
        <w:rPr>
          <w:lang w:val="en-US"/>
        </w:rPr>
      </w:pPr>
      <w:r>
        <w:rPr>
          <w:lang w:val="en-US"/>
        </w:rPr>
        <w:t>►1</w:t>
      </w:r>
      <w:r>
        <w:rPr>
          <w:rFonts w:hint="eastAsia" w:ascii="Times New Roman" w:hAnsi="Times New Roman" w:eastAsia="宋体" w:cs="宋体"/>
          <w:lang w:eastAsia="zh-CN"/>
        </w:rPr>
        <w:t>）、</w:t>
      </w:r>
      <w:r>
        <w:rPr>
          <w:lang w:eastAsia="zh-CN"/>
        </w:rPr>
        <w:t xml:space="preserve"> </w:t>
      </w:r>
      <w:r>
        <w:rPr>
          <w:rFonts w:hint="eastAsia" w:ascii="Times New Roman" w:hAnsi="Times New Roman" w:eastAsia="宋体" w:cs="宋体"/>
          <w:lang w:eastAsia="zh-CN"/>
        </w:rPr>
        <w:t>财务共享建设战略定位方案，主要包括建设目标、建设原则、组织形式、建设模式、共享范围和建设路径等。投标人需根据重汽集团目前的财务组织架构与人员等情况设计未来共享服务中心的战略定位、组织定位、职能定位（含战略财务、业务财务与共享财务三者间的职责界面及工作协同），明确财务共享服务中心的管理组织架构、设计财务共享服务中心岗位职责；并结合财务共享服务中心岗位设置依据、人员配备标准，测算各岗位人员配置数量，制定人员抽调计划，明确人员组建、职业发展规划、考核方案；分析岗位能力，配置合适人员，提出人员能力优化的建议。</w:t>
      </w:r>
    </w:p>
    <w:p>
      <w:pPr>
        <w:pStyle w:val="33"/>
        <w:keepNext w:val="0"/>
        <w:keepLines w:val="0"/>
        <w:widowControl/>
        <w:suppressLineNumbers w:val="0"/>
        <w:ind w:left="0" w:firstLine="480"/>
        <w:rPr>
          <w:lang w:val="en-US"/>
        </w:rPr>
      </w:pPr>
      <w:r>
        <w:rPr>
          <w:lang w:val="en-US"/>
        </w:rPr>
        <w:t>►2</w:t>
      </w:r>
      <w:r>
        <w:rPr>
          <w:rFonts w:hint="eastAsia" w:ascii="Times New Roman" w:hAnsi="Times New Roman" w:eastAsia="宋体" w:cs="宋体"/>
          <w:lang w:eastAsia="zh-CN"/>
        </w:rPr>
        <w:t>）、投标人需要设计纳入财务共享服务中心处理的业务范围，在财务基础业务流程现状调研的基础上，梳理财务共享服务中心业务流程，设计适应重汽集团的财务共享服务中心的流程方案。</w:t>
      </w:r>
    </w:p>
    <w:p>
      <w:pPr>
        <w:pStyle w:val="33"/>
        <w:keepNext w:val="0"/>
        <w:keepLines w:val="0"/>
        <w:widowControl/>
        <w:numPr>
          <w:ilvl w:val="0"/>
          <w:numId w:val="20"/>
        </w:numPr>
        <w:suppressLineNumbers w:val="0"/>
        <w:ind w:left="426" w:hanging="420" w:firstLineChars="0"/>
        <w:rPr>
          <w:lang w:val="en-US"/>
        </w:rPr>
      </w:pPr>
      <w:r>
        <w:rPr>
          <w:rFonts w:hint="eastAsia" w:ascii="Times New Roman" w:hAnsi="Times New Roman" w:eastAsia="宋体" w:cs="宋体"/>
          <w:lang w:eastAsia="zh-CN"/>
        </w:rPr>
        <w:t>对目前集团内的实际会计操作进行会计标准化，设计共享中心的标准化流程，梳理的财务共享流程应达到操作（</w:t>
      </w:r>
      <w:r>
        <w:rPr>
          <w:lang w:val="en-US"/>
        </w:rPr>
        <w:t xml:space="preserve">3-4 </w:t>
      </w:r>
      <w:r>
        <w:rPr>
          <w:rFonts w:hint="eastAsia" w:ascii="Times New Roman" w:hAnsi="Times New Roman" w:eastAsia="宋体" w:cs="宋体"/>
          <w:lang w:eastAsia="zh-CN"/>
        </w:rPr>
        <w:t>级）层次，需要细化到表单及岗位操作流程及各级流程之间的勾稽关系，提供所有流程图、流程说明、责任划分、权限划分、各节点及条件说明。</w:t>
      </w:r>
    </w:p>
    <w:p>
      <w:pPr>
        <w:pStyle w:val="33"/>
        <w:keepNext w:val="0"/>
        <w:keepLines w:val="0"/>
        <w:widowControl/>
        <w:numPr>
          <w:ilvl w:val="0"/>
          <w:numId w:val="20"/>
        </w:numPr>
        <w:suppressLineNumbers w:val="0"/>
        <w:ind w:left="426" w:hanging="420" w:firstLineChars="0"/>
        <w:rPr>
          <w:lang w:val="en-US"/>
        </w:rPr>
      </w:pPr>
      <w:r>
        <w:rPr>
          <w:rFonts w:hint="eastAsia" w:ascii="Times New Roman" w:hAnsi="Times New Roman" w:eastAsia="宋体" w:cs="宋体"/>
          <w:lang w:eastAsia="zh-CN"/>
        </w:rPr>
        <w:t>明确共享中心与其他财务组织关系，包括共享中心与集团财务和本地财务的职责、业务切分界限、沟通机制、</w:t>
      </w:r>
      <w:r>
        <w:rPr>
          <w:lang w:val="en-US"/>
        </w:rPr>
        <w:t>SLA</w:t>
      </w:r>
      <w:r>
        <w:rPr>
          <w:rFonts w:hint="eastAsia" w:ascii="Times New Roman" w:hAnsi="Times New Roman" w:eastAsia="宋体" w:cs="宋体"/>
          <w:lang w:eastAsia="zh-CN"/>
        </w:rPr>
        <w:t>（服务等级协议）等。</w:t>
      </w:r>
    </w:p>
    <w:p>
      <w:pPr>
        <w:pStyle w:val="33"/>
        <w:keepNext w:val="0"/>
        <w:keepLines w:val="0"/>
        <w:widowControl/>
        <w:numPr>
          <w:ilvl w:val="0"/>
          <w:numId w:val="20"/>
        </w:numPr>
        <w:suppressLineNumbers w:val="0"/>
        <w:ind w:left="426" w:hanging="420" w:firstLineChars="0"/>
        <w:rPr>
          <w:lang w:val="en-US"/>
        </w:rPr>
      </w:pPr>
      <w:r>
        <w:rPr>
          <w:rFonts w:hint="eastAsia" w:ascii="Times New Roman" w:hAnsi="Times New Roman" w:eastAsia="宋体" w:cs="宋体"/>
          <w:lang w:eastAsia="zh-CN"/>
        </w:rPr>
        <w:t>明确传统财务业务流程与共享中心流程之间的关系，给出哪些原有业务流程可以直接在财务共享服务中心使用，原有流程要适应共享中心业务流程需做哪些更改，给出所有流程图、流程说明、责任划分、权限划分、各节点及条件说明，以及各流程间的勾稽关系。</w:t>
      </w:r>
    </w:p>
    <w:p>
      <w:pPr>
        <w:pStyle w:val="33"/>
        <w:keepNext w:val="0"/>
        <w:keepLines w:val="0"/>
        <w:widowControl/>
        <w:numPr>
          <w:ilvl w:val="0"/>
          <w:numId w:val="20"/>
        </w:numPr>
        <w:suppressLineNumbers w:val="0"/>
        <w:ind w:left="426" w:hanging="420" w:firstLineChars="0"/>
        <w:rPr>
          <w:lang w:val="en-US"/>
        </w:rPr>
      </w:pPr>
      <w:r>
        <w:rPr>
          <w:rFonts w:hint="eastAsia" w:ascii="Times New Roman" w:hAnsi="Times New Roman" w:eastAsia="宋体" w:cs="宋体"/>
          <w:lang w:eastAsia="zh-CN"/>
        </w:rPr>
        <w:t>本次纳入共享的流程主要包括费用、资金、薪酬，需对各线条流程和制度进行梳理、整合、精简、标准化，细化至末级流程，提高流程运行效率和风险控制能力；分析适合纳入财务共享服务中心的细分流程，并绘制流程图、撰写流程说明等，全程参与及指导各模块流程在财务共享服务中心的落地。</w:t>
      </w:r>
    </w:p>
    <w:p>
      <w:pPr>
        <w:pStyle w:val="33"/>
        <w:keepNext w:val="0"/>
        <w:keepLines w:val="0"/>
        <w:widowControl/>
        <w:numPr>
          <w:ilvl w:val="0"/>
          <w:numId w:val="20"/>
        </w:numPr>
        <w:suppressLineNumbers w:val="0"/>
        <w:ind w:left="426" w:hanging="420" w:firstLineChars="0"/>
        <w:rPr>
          <w:lang w:val="en-US"/>
        </w:rPr>
      </w:pPr>
      <w:r>
        <w:rPr>
          <w:rFonts w:hint="eastAsia" w:ascii="Times New Roman" w:hAnsi="Times New Roman" w:eastAsia="宋体" w:cs="宋体"/>
          <w:lang w:eastAsia="zh-CN"/>
        </w:rPr>
        <w:t>给出财务共享服务中心的流程体系与其他非财务业务板块的勾稽关系（包括但不限于业务交互接口，财务共享所需要其他非财务系统提供或财务系统需要提供给其他系统的业务交互数据，给出对其他非财务系统的业务要求）。</w:t>
      </w:r>
    </w:p>
    <w:p>
      <w:pPr>
        <w:pStyle w:val="33"/>
        <w:keepNext w:val="0"/>
        <w:keepLines w:val="0"/>
        <w:widowControl/>
        <w:numPr>
          <w:ilvl w:val="0"/>
          <w:numId w:val="20"/>
        </w:numPr>
        <w:suppressLineNumbers w:val="0"/>
        <w:ind w:left="426" w:hanging="420" w:firstLineChars="0"/>
        <w:rPr>
          <w:lang w:val="en-US"/>
        </w:rPr>
      </w:pPr>
      <w:r>
        <w:rPr>
          <w:rFonts w:hint="eastAsia" w:ascii="Times New Roman" w:hAnsi="Times New Roman" w:eastAsia="宋体" w:cs="宋体"/>
          <w:lang w:eastAsia="zh-CN"/>
        </w:rPr>
        <w:t>为了提高财务共享服务中心运行效率，对输入共享中心的业务数据质量（包括准确性、标准化、及时性等）进行梳理，并制定提升业务数据质量的方案；在梳理和优化影响数据质量的业务流程时，不能仅限于财务内部流程，而要延伸到业务前端，实现业务与财务端到端的打通，实现横向和纵向流程一体化贯通。</w:t>
      </w:r>
    </w:p>
    <w:p>
      <w:pPr>
        <w:pStyle w:val="33"/>
        <w:keepNext w:val="0"/>
        <w:keepLines w:val="0"/>
        <w:widowControl/>
        <w:suppressLineNumbers w:val="0"/>
        <w:ind w:left="0" w:firstLine="480"/>
        <w:rPr>
          <w:lang w:val="en-US"/>
        </w:rPr>
      </w:pPr>
      <w:r>
        <w:rPr>
          <w:lang w:val="en-US"/>
        </w:rPr>
        <w:t>►3</w:t>
      </w:r>
      <w:r>
        <w:rPr>
          <w:rFonts w:hint="eastAsia" w:ascii="Times New Roman" w:hAnsi="Times New Roman" w:eastAsia="宋体" w:cs="宋体"/>
          <w:lang w:eastAsia="zh-CN"/>
        </w:rPr>
        <w:t>）、结合目前重汽集团的财务管理标准化、规范化现状和问题，设计重汽集团财务标准规范化方案。</w:t>
      </w:r>
    </w:p>
    <w:p>
      <w:pPr>
        <w:pStyle w:val="33"/>
        <w:keepNext w:val="0"/>
        <w:keepLines w:val="0"/>
        <w:widowControl/>
        <w:suppressLineNumbers w:val="0"/>
        <w:ind w:left="0" w:firstLine="480"/>
        <w:rPr>
          <w:lang w:val="en-US"/>
        </w:rPr>
      </w:pPr>
      <w:r>
        <w:rPr>
          <w:lang w:val="en-US"/>
        </w:rPr>
        <w:t>►4</w:t>
      </w:r>
      <w:r>
        <w:rPr>
          <w:rFonts w:hint="eastAsia" w:ascii="Times New Roman" w:hAnsi="Times New Roman" w:eastAsia="宋体" w:cs="宋体"/>
          <w:lang w:eastAsia="zh-CN"/>
        </w:rPr>
        <w:t>）、投标人需要考虑重汽的业务特点，设计出适应重汽集团的财务共享服务中心的运营管理方案和具体的管理制度办法。</w:t>
      </w:r>
    </w:p>
    <w:p>
      <w:pPr>
        <w:pStyle w:val="33"/>
        <w:keepNext w:val="0"/>
        <w:keepLines w:val="0"/>
        <w:widowControl/>
        <w:suppressLineNumbers w:val="0"/>
        <w:ind w:left="0" w:firstLine="480"/>
        <w:rPr>
          <w:lang w:val="en-US"/>
        </w:rPr>
      </w:pPr>
      <w:r>
        <w:rPr>
          <w:lang w:val="en-US"/>
        </w:rPr>
        <w:t>►5</w:t>
      </w:r>
      <w:r>
        <w:rPr>
          <w:rFonts w:hint="eastAsia" w:ascii="Times New Roman" w:hAnsi="Times New Roman" w:eastAsia="宋体" w:cs="宋体"/>
          <w:lang w:eastAsia="zh-CN"/>
        </w:rPr>
        <w:t>）、完善财务共享服务中心内部运营管理、风险控制体系、流程。</w:t>
      </w:r>
    </w:p>
    <w:p>
      <w:pPr>
        <w:pStyle w:val="33"/>
        <w:keepNext w:val="0"/>
        <w:keepLines w:val="0"/>
        <w:widowControl/>
        <w:suppressLineNumbers w:val="0"/>
        <w:ind w:left="0" w:firstLine="480"/>
        <w:rPr>
          <w:lang w:val="en-US"/>
        </w:rPr>
      </w:pPr>
      <w:r>
        <w:rPr>
          <w:lang w:val="en-US"/>
        </w:rPr>
        <w:t>►6</w:t>
      </w:r>
      <w:r>
        <w:rPr>
          <w:rFonts w:hint="eastAsia" w:ascii="Times New Roman" w:hAnsi="Times New Roman" w:eastAsia="宋体" w:cs="宋体"/>
          <w:lang w:eastAsia="zh-CN"/>
        </w:rPr>
        <w:t>）、完善财务共享服务中心内部不同职能中心、不同层级的绩效考核体系、</w:t>
      </w:r>
      <w:r>
        <w:rPr>
          <w:lang w:val="en-US"/>
        </w:rPr>
        <w:t>KPI</w:t>
      </w:r>
      <w:r>
        <w:rPr>
          <w:rFonts w:hint="eastAsia" w:ascii="Times New Roman" w:hAnsi="Times New Roman" w:eastAsia="宋体" w:cs="宋体"/>
          <w:lang w:eastAsia="zh-CN"/>
        </w:rPr>
        <w:t>等；制定共享中心各岗位工作量计量方案，作为考核依据。提供同行业或相似行业先进共享中心运营指标，作为对标工具。</w:t>
      </w:r>
    </w:p>
    <w:p>
      <w:pPr>
        <w:pStyle w:val="33"/>
        <w:keepNext w:val="0"/>
        <w:keepLines w:val="0"/>
        <w:widowControl/>
        <w:suppressLineNumbers w:val="0"/>
        <w:ind w:left="0" w:firstLine="480"/>
        <w:rPr>
          <w:lang w:val="en-US"/>
        </w:rPr>
      </w:pPr>
      <w:r>
        <w:rPr>
          <w:lang w:val="en-US"/>
        </w:rPr>
        <w:t>►7</w:t>
      </w:r>
      <w:r>
        <w:rPr>
          <w:rFonts w:hint="eastAsia" w:ascii="Times New Roman" w:hAnsi="Times New Roman" w:eastAsia="宋体" w:cs="宋体"/>
          <w:lang w:eastAsia="zh-CN"/>
        </w:rPr>
        <w:t>）、制定财务共享服务中心对外服务清单、服务协议、服务标准、服务质量提升方案等；</w:t>
      </w:r>
      <w:r>
        <w:rPr>
          <w:lang w:eastAsia="zh-CN"/>
        </w:rPr>
        <w:t xml:space="preserve"> </w:t>
      </w:r>
      <w:r>
        <w:rPr>
          <w:rFonts w:hint="eastAsia" w:ascii="Times New Roman" w:hAnsi="Times New Roman" w:eastAsia="宋体" w:cs="宋体"/>
          <w:lang w:eastAsia="zh-CN"/>
        </w:rPr>
        <w:t>建立服务管理的流程制度，提高客户满意度。</w:t>
      </w:r>
    </w:p>
    <w:p>
      <w:pPr>
        <w:pStyle w:val="33"/>
        <w:keepNext w:val="0"/>
        <w:keepLines w:val="0"/>
        <w:widowControl/>
        <w:suppressLineNumbers w:val="0"/>
        <w:ind w:left="0" w:firstLine="480"/>
        <w:rPr>
          <w:lang w:val="en-US"/>
        </w:rPr>
      </w:pPr>
      <w:r>
        <w:rPr>
          <w:lang w:val="en-US"/>
        </w:rPr>
        <w:t>►8</w:t>
      </w:r>
      <w:r>
        <w:rPr>
          <w:rFonts w:hint="eastAsia" w:ascii="Times New Roman" w:hAnsi="Times New Roman" w:eastAsia="宋体" w:cs="宋体"/>
          <w:lang w:eastAsia="zh-CN"/>
        </w:rPr>
        <w:t>）、需要在财务共享服务中心模式的前提下，对现有系统进行诊断和对标分析，并搭建财务信息系统整体框架，提出信息系统优化改进建议，设计财务共享信息系统规划蓝图。进行财务共享信息系统业务需求梳理，并确保方案实施落地。同时明确咨询结果在信息系统中的实现，针对各系统厂家的现有系统功能对现已实现程度给出综合评分。</w:t>
      </w:r>
    </w:p>
    <w:p>
      <w:pPr>
        <w:pStyle w:val="33"/>
        <w:keepNext w:val="0"/>
        <w:keepLines w:val="0"/>
        <w:widowControl/>
        <w:suppressLineNumbers w:val="0"/>
        <w:ind w:left="0" w:firstLine="480"/>
        <w:rPr>
          <w:lang w:val="en-US"/>
        </w:rPr>
      </w:pPr>
      <w:r>
        <w:rPr>
          <w:lang w:val="en-US"/>
        </w:rPr>
        <w:t>►9</w:t>
      </w:r>
      <w:r>
        <w:rPr>
          <w:rFonts w:hint="eastAsia" w:ascii="Times New Roman" w:hAnsi="Times New Roman" w:eastAsia="宋体" w:cs="宋体"/>
          <w:lang w:eastAsia="zh-CN"/>
        </w:rPr>
        <w:t>）、协同相应信息化系统实施计划，保证设计方案在系统上成功落地实施。</w:t>
      </w:r>
    </w:p>
    <w:p>
      <w:pPr>
        <w:pStyle w:val="33"/>
        <w:keepNext w:val="0"/>
        <w:keepLines w:val="0"/>
        <w:widowControl/>
        <w:suppressLineNumbers w:val="0"/>
        <w:ind w:left="0" w:firstLine="480"/>
        <w:rPr>
          <w:lang w:val="en-US"/>
        </w:rPr>
      </w:pPr>
      <w:r>
        <w:rPr>
          <w:lang w:val="en-US"/>
        </w:rPr>
        <w:t>►10</w:t>
      </w:r>
      <w:r>
        <w:rPr>
          <w:rFonts w:hint="eastAsia" w:ascii="Times New Roman" w:hAnsi="Times New Roman" w:eastAsia="宋体" w:cs="宋体"/>
          <w:lang w:eastAsia="zh-CN"/>
        </w:rPr>
        <w:t>）、开展充分的员工培训，有效保证各岗位熟悉业务流程及操作规范。</w:t>
      </w:r>
    </w:p>
    <w:p>
      <w:pPr>
        <w:pStyle w:val="33"/>
        <w:keepNext w:val="0"/>
        <w:keepLines w:val="0"/>
        <w:widowControl/>
        <w:suppressLineNumbers w:val="0"/>
        <w:ind w:left="0" w:firstLine="480"/>
        <w:rPr>
          <w:color w:val="FF0000"/>
          <w:lang w:val="en-US"/>
        </w:rPr>
      </w:pPr>
      <w:r>
        <w:rPr>
          <w:lang w:val="en-US"/>
        </w:rPr>
        <w:t>►11</w:t>
      </w:r>
      <w:r>
        <w:rPr>
          <w:rFonts w:hint="eastAsia" w:ascii="Times New Roman" w:hAnsi="Times New Roman" w:eastAsia="宋体" w:cs="宋体"/>
          <w:lang w:eastAsia="zh-CN"/>
        </w:rPr>
        <w:t>）、关于财务共享服务中心为集团与上市公司同时提供服务事宜，制定方案以满足上市公司监管要求。</w:t>
      </w:r>
    </w:p>
    <w:p>
      <w:pPr>
        <w:pStyle w:val="33"/>
        <w:keepNext w:val="0"/>
        <w:keepLines w:val="0"/>
        <w:widowControl/>
        <w:suppressLineNumbers w:val="0"/>
        <w:ind w:left="0" w:firstLine="480"/>
        <w:rPr>
          <w:lang w:val="en-US"/>
        </w:rPr>
      </w:pPr>
      <w:r>
        <w:rPr>
          <w:lang w:val="en-US"/>
        </w:rPr>
        <w:t>►12</w:t>
      </w:r>
      <w:r>
        <w:rPr>
          <w:rFonts w:hint="eastAsia" w:ascii="Times New Roman" w:hAnsi="Times New Roman" w:eastAsia="宋体" w:cs="宋体"/>
          <w:lang w:eastAsia="zh-CN"/>
        </w:rPr>
        <w:t>）、制定与相关利益者的沟通方案</w:t>
      </w:r>
      <w:r>
        <w:rPr>
          <w:lang w:val="en-US"/>
        </w:rPr>
        <w:t>/</w:t>
      </w:r>
      <w:r>
        <w:rPr>
          <w:rFonts w:hint="eastAsia" w:ascii="Times New Roman" w:hAnsi="Times New Roman" w:eastAsia="宋体" w:cs="宋体"/>
          <w:lang w:eastAsia="zh-CN"/>
        </w:rPr>
        <w:t>计划，以便平稳过渡。</w:t>
      </w:r>
    </w:p>
    <w:p>
      <w:pPr>
        <w:pStyle w:val="33"/>
        <w:keepNext w:val="0"/>
        <w:keepLines w:val="0"/>
        <w:widowControl/>
        <w:suppressLineNumbers w:val="0"/>
        <w:ind w:left="0" w:firstLine="480"/>
        <w:rPr>
          <w:lang w:val="en-US"/>
        </w:rPr>
      </w:pPr>
      <w:r>
        <w:rPr>
          <w:lang w:val="en-US"/>
        </w:rPr>
        <w:t>►13</w:t>
      </w:r>
      <w:r>
        <w:rPr>
          <w:rFonts w:hint="eastAsia" w:ascii="Times New Roman" w:hAnsi="Times New Roman" w:eastAsia="宋体" w:cs="宋体"/>
          <w:lang w:eastAsia="zh-CN"/>
        </w:rPr>
        <w:t>）、需要根据重汽集团的实际情况，设计共享中心试点上线的实施路径及计划，并设计共享中心未来</w:t>
      </w:r>
      <w:r>
        <w:rPr>
          <w:lang w:val="en-US"/>
        </w:rPr>
        <w:t>3-5</w:t>
      </w:r>
      <w:r>
        <w:rPr>
          <w:rFonts w:hint="eastAsia" w:ascii="Times New Roman" w:hAnsi="Times New Roman" w:eastAsia="宋体" w:cs="宋体"/>
          <w:lang w:eastAsia="zh-CN"/>
        </w:rPr>
        <w:t>年发展规划方案。</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3</w:t>
      </w:r>
      <w:r>
        <w:rPr>
          <w:rFonts w:hint="eastAsia" w:ascii="Times New Roman" w:hAnsi="Times New Roman" w:eastAsia="宋体" w:cs="宋体"/>
          <w:lang w:eastAsia="zh-CN"/>
        </w:rPr>
        <w:t>）、交付物文档包括但不限于：</w:t>
      </w:r>
    </w:p>
    <w:tbl>
      <w:tblPr>
        <w:tblStyle w:val="24"/>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98"/>
        <w:gridCol w:w="1905"/>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8" w:hRule="atLeast"/>
          <w:jc w:val="center"/>
        </w:trPr>
        <w:tc>
          <w:tcPr>
            <w:tcW w:w="8444" w:type="dxa"/>
            <w:gridSpan w:val="3"/>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top"/>
          </w:tcPr>
          <w:p>
            <w:pPr>
              <w:keepNext w:val="0"/>
              <w:keepLines w:val="0"/>
              <w:widowControl w:val="0"/>
              <w:suppressLineNumbers w:val="0"/>
              <w:spacing w:before="0" w:beforeAutospacing="0" w:after="0" w:afterAutospacing="0" w:line="360" w:lineRule="auto"/>
              <w:ind w:left="0" w:right="0" w:firstLine="562"/>
              <w:jc w:val="center"/>
              <w:rPr>
                <w:rFonts w:hint="eastAsia" w:ascii="宋体" w:hAnsi="宋体" w:eastAsia="宋体" w:cs="宋体"/>
                <w:sz w:val="24"/>
                <w:szCs w:val="22"/>
                <w:lang w:val="en-US"/>
              </w:rPr>
            </w:pPr>
            <w:r>
              <w:rPr>
                <w:rFonts w:hint="eastAsia" w:ascii="宋体" w:hAnsi="宋体" w:eastAsia="宋体" w:cs="宋体"/>
                <w:sz w:val="24"/>
                <w:szCs w:val="22"/>
                <w:lang w:bidi="ar"/>
              </w:rPr>
              <w:t>财务共享项目咨询交付的成果清单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FFFFFF"/>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color w:val="auto"/>
                <w:sz w:val="24"/>
                <w:szCs w:val="22"/>
                <w:lang w:bidi="ar"/>
              </w:rPr>
              <w:t>序号</w:t>
            </w:r>
          </w:p>
        </w:tc>
        <w:tc>
          <w:tcPr>
            <w:tcW w:w="1905" w:type="dxa"/>
            <w:tcBorders>
              <w:top w:val="single" w:color="auto" w:sz="4" w:space="0"/>
              <w:left w:val="single" w:color="auto" w:sz="4" w:space="0"/>
              <w:bottom w:val="single" w:color="auto" w:sz="4" w:space="0"/>
              <w:right w:val="single" w:color="auto" w:sz="4" w:space="0"/>
            </w:tcBorders>
            <w:shd w:val="clear" w:color="auto" w:fill="FFFFFF"/>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color w:val="auto"/>
                <w:sz w:val="24"/>
                <w:szCs w:val="22"/>
                <w:lang w:bidi="ar"/>
              </w:rPr>
              <w:t>成果分类</w:t>
            </w:r>
          </w:p>
        </w:tc>
        <w:tc>
          <w:tcPr>
            <w:tcW w:w="5841" w:type="dxa"/>
            <w:tcBorders>
              <w:top w:val="single" w:color="auto" w:sz="4" w:space="0"/>
              <w:left w:val="single" w:color="auto" w:sz="4" w:space="0"/>
              <w:bottom w:val="single" w:color="auto" w:sz="4" w:space="0"/>
              <w:right w:val="single" w:color="auto" w:sz="4" w:space="0"/>
            </w:tcBorders>
            <w:shd w:val="clear" w:color="auto" w:fill="FFFFFF"/>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color w:val="auto"/>
                <w:sz w:val="24"/>
                <w:szCs w:val="22"/>
                <w:lang w:bidi="ar"/>
              </w:rPr>
              <w:t>成果清单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sz w:val="24"/>
                <w:szCs w:val="22"/>
                <w:lang w:val="en-US" w:bidi="ar"/>
              </w:rPr>
              <w:t>01</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项目调研及需求分析报告</w:t>
            </w:r>
          </w:p>
        </w:tc>
        <w:tc>
          <w:tcPr>
            <w:tcW w:w="5841"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项目调研及需求分析包括，主要包括战略定位、组织及人力、制度、流程和</w:t>
            </w:r>
            <w:r>
              <w:rPr>
                <w:rFonts w:hint="eastAsia" w:ascii="宋体" w:hAnsi="宋体" w:eastAsia="宋体" w:cs="宋体"/>
                <w:sz w:val="24"/>
                <w:szCs w:val="22"/>
                <w:lang w:val="en-US" w:bidi="ar"/>
              </w:rPr>
              <w:t>IT</w:t>
            </w:r>
            <w:r>
              <w:rPr>
                <w:rFonts w:hint="eastAsia" w:ascii="宋体" w:hAnsi="宋体" w:eastAsia="宋体" w:cs="宋体"/>
                <w:sz w:val="24"/>
                <w:szCs w:val="22"/>
                <w:lang w:bidi="ar"/>
              </w:rPr>
              <w:t>应用现状及需求分析。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9"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sz w:val="24"/>
                <w:szCs w:val="22"/>
                <w:lang w:val="en-US" w:bidi="ar"/>
              </w:rPr>
              <w:t>02</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财务共享建设战略定位方案</w:t>
            </w:r>
          </w:p>
        </w:tc>
        <w:tc>
          <w:tcPr>
            <w:tcW w:w="5841"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财务共享建设战略定位方案，主要包括建设目标、建设原则、组织定位、建设模式、共享服务范围和建设路径。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sz w:val="24"/>
                <w:szCs w:val="22"/>
                <w:lang w:val="en-US" w:bidi="ar"/>
              </w:rPr>
              <w:t>03</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财务共享服务中心建设规划方案</w:t>
            </w:r>
          </w:p>
        </w:tc>
        <w:tc>
          <w:tcPr>
            <w:tcW w:w="5841"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组织架构及职责界定方案；共享中心岗位及职责划分方案；共享中心人员需求测算方案；流程设计方案；信息系统整体架构及实施计划；共享中心选址、设计财务共享服务中心所需要的表单模板、自定义报表模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sz w:val="24"/>
                <w:szCs w:val="22"/>
                <w:lang w:val="en-US" w:bidi="ar"/>
              </w:rPr>
              <w:t>04</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财务共享服务中心信息化系统建设方案</w:t>
            </w:r>
          </w:p>
        </w:tc>
        <w:tc>
          <w:tcPr>
            <w:tcW w:w="5841"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财务共享信息系统建设方案：主要包括系统设计原则、系统应用规划、数据架构设计、技术架构设计、系统集成设计等。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98" w:type="dxa"/>
            <w:vMerge w:val="restart"/>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宋体"/>
                <w:sz w:val="24"/>
                <w:szCs w:val="22"/>
                <w:lang w:val="en-US" w:bidi="ar"/>
              </w:rPr>
              <w:t>05</w:t>
            </w:r>
          </w:p>
        </w:tc>
        <w:tc>
          <w:tcPr>
            <w:tcW w:w="1905" w:type="dxa"/>
            <w:vMerge w:val="restart"/>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财务共享服务中心运营体系设计方案</w:t>
            </w:r>
          </w:p>
        </w:tc>
        <w:tc>
          <w:tcPr>
            <w:tcW w:w="5841"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财务共享服务中心配套管理制度框架设计方案：标准化管理制度体系；共享中心内部管理制度体系。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698" w:type="dxa"/>
            <w:vMerge w:val="continue"/>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1905" w:type="dxa"/>
            <w:vMerge w:val="continue"/>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suppressLineNumbers w:val="0"/>
              <w:spacing w:before="0" w:beforeAutospacing="0" w:after="0" w:afterAutospacing="0"/>
              <w:ind w:left="0" w:right="0"/>
              <w:rPr>
                <w:rFonts w:hint="eastAsia" w:ascii="等线" w:hAnsi="等线" w:eastAsia="等线" w:cs="等线"/>
                <w:sz w:val="20"/>
                <w:szCs w:val="20"/>
              </w:rPr>
            </w:pPr>
          </w:p>
        </w:tc>
        <w:tc>
          <w:tcPr>
            <w:tcW w:w="5841"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right w:w="11"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sz w:val="24"/>
                <w:szCs w:val="22"/>
                <w:lang w:bidi="ar"/>
              </w:rPr>
              <w:t>财务共享服务中心当期配套管理制度文档，主要包括作业管理、标准化管理、质量管理、绩效管理、影像系统管理、岗位工作职责、岗位作业指导书、网上报销审核规定、单据传递规定、培训管理制度等。</w:t>
            </w:r>
          </w:p>
        </w:tc>
      </w:tr>
    </w:tbl>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4</w:t>
      </w:r>
      <w:r>
        <w:rPr>
          <w:rFonts w:hint="eastAsia" w:ascii="Times New Roman" w:hAnsi="Times New Roman" w:eastAsia="宋体" w:cs="宋体"/>
          <w:lang w:eastAsia="zh-CN"/>
        </w:rPr>
        <w:t>）咨询方应与实施方密切配合，咨询成果能够有效落地。</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5</w:t>
      </w:r>
      <w:r>
        <w:rPr>
          <w:rFonts w:hint="eastAsia" w:ascii="Times New Roman" w:hAnsi="Times New Roman" w:eastAsia="宋体" w:cs="宋体"/>
          <w:lang w:eastAsia="zh-CN"/>
        </w:rPr>
        <w:t>）按照时间节点要求，完成项目咨询工作。</w:t>
      </w:r>
    </w:p>
    <w:p>
      <w:pPr>
        <w:pStyle w:val="62"/>
        <w:keepNext w:val="0"/>
        <w:keepLines/>
        <w:widowControl/>
        <w:numPr>
          <w:ilvl w:val="1"/>
          <w:numId w:val="3"/>
        </w:numPr>
        <w:suppressLineNumbers w:val="0"/>
        <w:ind w:left="0" w:firstLine="0"/>
        <w:textAlignment w:val="baseline"/>
        <w:rPr>
          <w:vertAlign w:val="baseline"/>
          <w:lang w:val="en-US"/>
        </w:rPr>
      </w:pPr>
      <w:bookmarkStart w:id="73" w:name="_Toc36829344"/>
      <w:bookmarkStart w:id="74" w:name="_Toc31863"/>
      <w:r>
        <w:rPr>
          <w:rFonts w:hint="eastAsia" w:ascii="Times New Roman" w:hAnsi="Times New Roman" w:eastAsia="宋体" w:cs="宋体"/>
          <w:vertAlign w:val="baseline"/>
          <w:lang w:eastAsia="zh-CN"/>
        </w:rPr>
        <w:t>业务需求及产品功能要求</w:t>
      </w:r>
      <w:bookmarkEnd w:id="73"/>
      <w:bookmarkEnd w:id="74"/>
    </w:p>
    <w:p>
      <w:pPr>
        <w:pStyle w:val="53"/>
        <w:keepNext w:val="0"/>
        <w:keepLines/>
        <w:widowControl/>
        <w:numPr>
          <w:ilvl w:val="2"/>
          <w:numId w:val="3"/>
        </w:numPr>
        <w:suppressLineNumbers w:val="0"/>
        <w:ind w:left="0" w:firstLine="0"/>
        <w:rPr>
          <w:lang w:val="en-US"/>
        </w:rPr>
      </w:pPr>
      <w:bookmarkStart w:id="75" w:name="_Toc36829345"/>
      <w:bookmarkStart w:id="76" w:name="_Toc20763"/>
      <w:r>
        <w:rPr>
          <w:rFonts w:hint="eastAsia" w:ascii="Times New Roman" w:hAnsi="Times New Roman" w:eastAsia="宋体" w:cs="宋体"/>
          <w:lang w:eastAsia="zh-CN"/>
        </w:rPr>
        <w:t>总体要求</w:t>
      </w:r>
      <w:bookmarkEnd w:id="75"/>
      <w:bookmarkEnd w:id="76"/>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本项目建设的技术方案应具有国内领先水平，系统设计应具有一定程度的超前性，在可持续性方面应具有较大的发展空间，在技术路线、系统架构、系统性能等方面应充分考虑今后应用扩展的需要，最大程度地保护当前投资。</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项目建设应遵循业内颁布的标准规范，采用先进和成熟的技术，在体系架构、基础平台、通信协议等方面应充分考虑开放性和可扩展性，同时还应考虑安全性和可管理性。投标人应对在本项目中所采用的技术及其适用的标准规范进行逐一描述，说明其对上述基本原则的符合性。</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人应对本项目的技术要求充分理解并提出科学、合理、符合本项目意图的项目建设方案，包括清晰的设计思路、详细的技术方案、具体的实施演进路线和有价值的建议，以及该方案所需的前提条件和实施风险分析。投标人所提供的方案必须是完整的、具有规范性、可操作性、先进性、环境保护等原则要求。</w:t>
      </w:r>
    </w:p>
    <w:p>
      <w:pPr>
        <w:pStyle w:val="53"/>
        <w:keepNext w:val="0"/>
        <w:keepLines/>
        <w:widowControl/>
        <w:numPr>
          <w:ilvl w:val="2"/>
          <w:numId w:val="3"/>
        </w:numPr>
        <w:suppressLineNumbers w:val="0"/>
        <w:ind w:left="0" w:firstLine="0"/>
        <w:rPr>
          <w:lang w:val="en-US"/>
        </w:rPr>
      </w:pPr>
      <w:bookmarkStart w:id="77" w:name="_Toc36829346"/>
      <w:bookmarkStart w:id="78" w:name="_Toc22459"/>
      <w:r>
        <w:rPr>
          <w:rFonts w:hint="eastAsia" w:ascii="Times New Roman" w:hAnsi="Times New Roman" w:eastAsia="宋体" w:cs="宋体"/>
          <w:lang w:eastAsia="zh-CN"/>
        </w:rPr>
        <w:t>方案设计原则</w:t>
      </w:r>
      <w:bookmarkEnd w:id="77"/>
      <w:bookmarkEnd w:id="78"/>
    </w:p>
    <w:p>
      <w:pPr>
        <w:pStyle w:val="33"/>
        <w:keepNext w:val="0"/>
        <w:keepLines w:val="0"/>
        <w:widowControl/>
        <w:suppressLineNumbers w:val="0"/>
        <w:ind w:left="0" w:firstLine="480"/>
        <w:rPr>
          <w:lang w:val="en-US"/>
        </w:rPr>
      </w:pPr>
      <w:r>
        <w:rPr>
          <w:lang w:val="en-US"/>
        </w:rPr>
        <w:t>1</w:t>
      </w:r>
      <w:r>
        <w:rPr>
          <w:rFonts w:hint="eastAsia" w:ascii="Times New Roman" w:hAnsi="Times New Roman" w:eastAsia="宋体" w:cs="宋体"/>
          <w:lang w:eastAsia="zh-CN"/>
        </w:rPr>
        <w:t>）前瞻性和实用性相结合：在整体设计时，需要考虑满足招标人未来几年不同发展阶段的业务及技术需求，充分采用先进的架构体系和互联网技术，同时也要考虑不脱离招标人其他信息系统，并与其他系统相适应、做必要性集成。</w:t>
      </w:r>
    </w:p>
    <w:p>
      <w:pPr>
        <w:pStyle w:val="33"/>
        <w:keepNext w:val="0"/>
        <w:keepLines w:val="0"/>
        <w:widowControl/>
        <w:suppressLineNumbers w:val="0"/>
        <w:ind w:left="0" w:firstLine="480"/>
        <w:rPr>
          <w:lang w:val="en-US"/>
        </w:rPr>
      </w:pPr>
      <w:r>
        <w:rPr>
          <w:lang w:val="en-US"/>
        </w:rPr>
        <w:t>2</w:t>
      </w:r>
      <w:r>
        <w:rPr>
          <w:rFonts w:hint="eastAsia" w:ascii="Times New Roman" w:hAnsi="Times New Roman" w:eastAsia="宋体" w:cs="宋体"/>
          <w:lang w:eastAsia="zh-CN"/>
        </w:rPr>
        <w:t>）开放性和灵活性兼顾原则：应具有良好的开放性，支持共享中心各业务模块之间的集成及与核心应用系统的有效集成；同时系统的建设也具备高灵活性，系统架构要适应经营战略调整、组织架构变化、以及信息化规划变化的灵活性要求。</w:t>
      </w:r>
    </w:p>
    <w:p>
      <w:pPr>
        <w:pStyle w:val="33"/>
        <w:keepNext w:val="0"/>
        <w:keepLines w:val="0"/>
        <w:widowControl/>
        <w:suppressLineNumbers w:val="0"/>
        <w:ind w:left="0" w:firstLine="480"/>
        <w:rPr>
          <w:lang w:val="en-US"/>
        </w:rPr>
      </w:pPr>
      <w:r>
        <w:rPr>
          <w:lang w:val="en-US"/>
        </w:rPr>
        <w:t>3</w:t>
      </w:r>
      <w:r>
        <w:rPr>
          <w:rFonts w:hint="eastAsia" w:ascii="Times New Roman" w:hAnsi="Times New Roman" w:eastAsia="宋体" w:cs="宋体"/>
          <w:lang w:eastAsia="zh-CN"/>
        </w:rPr>
        <w:t>）安全性：共享服务中心的业务数据都是重汽集团的关键经营数据，因此系统建设需要从网络、数据库、操作系统、用户、数据等多个方面实现数据的安全保密。</w:t>
      </w:r>
    </w:p>
    <w:p>
      <w:pPr>
        <w:pStyle w:val="53"/>
        <w:keepNext w:val="0"/>
        <w:keepLines/>
        <w:widowControl/>
        <w:numPr>
          <w:ilvl w:val="2"/>
          <w:numId w:val="3"/>
        </w:numPr>
        <w:suppressLineNumbers w:val="0"/>
        <w:ind w:left="0" w:firstLine="0"/>
        <w:rPr>
          <w:lang w:val="en-US"/>
        </w:rPr>
      </w:pPr>
      <w:bookmarkStart w:id="79" w:name="_Toc36829347"/>
      <w:bookmarkStart w:id="80" w:name="_Toc8802"/>
      <w:r>
        <w:rPr>
          <w:rFonts w:hint="eastAsia" w:ascii="Times New Roman" w:hAnsi="Times New Roman" w:eastAsia="宋体" w:cs="宋体"/>
          <w:lang w:eastAsia="zh-CN"/>
        </w:rPr>
        <w:t>功能要求</w:t>
      </w:r>
      <w:bookmarkEnd w:id="79"/>
      <w:bookmarkEnd w:id="80"/>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除</w:t>
      </w:r>
      <w:r>
        <w:rPr>
          <w:lang w:val="en-US"/>
        </w:rPr>
        <w:t>SAP (S/4 HANA)-SSF</w:t>
      </w:r>
      <w:r>
        <w:rPr>
          <w:rFonts w:hint="eastAsia" w:ascii="Times New Roman" w:hAnsi="Times New Roman" w:eastAsia="宋体" w:cs="宋体"/>
          <w:lang w:eastAsia="zh-CN"/>
        </w:rPr>
        <w:t>模块外的功能，包含但不限于报账管理、辅助管理等功能模块。</w:t>
      </w:r>
    </w:p>
    <w:p>
      <w:pPr>
        <w:pStyle w:val="64"/>
        <w:keepNext w:val="0"/>
        <w:keepLines/>
        <w:widowControl/>
        <w:numPr>
          <w:ilvl w:val="3"/>
          <w:numId w:val="3"/>
        </w:numPr>
        <w:suppressLineNumbers w:val="0"/>
        <w:ind w:left="0" w:firstLine="0"/>
        <w:rPr>
          <w:lang w:val="en-US"/>
        </w:rPr>
      </w:pPr>
      <w:r>
        <w:rPr>
          <w:rFonts w:hint="eastAsia" w:ascii="Times New Roman" w:hAnsi="Times New Roman" w:eastAsia="宋体" w:cs="宋体"/>
          <w:lang w:eastAsia="zh-CN"/>
        </w:rPr>
        <w:t>报账管理</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业务报账主要处理各类对私报账、对公报账业务的填报、提交，是财务共享服务中心处理业务的发起端，既能通过报账端进行填报，也可以通过报账端接入业务系统推送来的业务。</w:t>
      </w:r>
    </w:p>
    <w:p>
      <w:pPr>
        <w:pStyle w:val="64"/>
        <w:keepNext w:val="0"/>
        <w:keepLines/>
        <w:widowControl/>
        <w:numPr>
          <w:ilvl w:val="3"/>
          <w:numId w:val="3"/>
        </w:numPr>
        <w:suppressLineNumbers w:val="0"/>
        <w:ind w:left="0" w:firstLine="0"/>
        <w:rPr>
          <w:lang w:val="en-US"/>
        </w:rPr>
      </w:pPr>
      <w:r>
        <w:rPr>
          <w:rFonts w:hint="eastAsia" w:ascii="Times New Roman" w:hAnsi="Times New Roman" w:eastAsia="宋体" w:cs="宋体"/>
          <w:lang w:eastAsia="zh-CN"/>
        </w:rPr>
        <w:t>影像管理</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通过对原始凭证影像等非结构化数据进行高效的采集、存储、检索、分析，具备影像采集、影像预览、影像处理等功能，并能存储在服务器中建立电子凭证仓库，供有权限人员对原始单据的查询。</w:t>
      </w:r>
    </w:p>
    <w:p>
      <w:pPr>
        <w:pStyle w:val="64"/>
        <w:keepNext w:val="0"/>
        <w:keepLines/>
        <w:widowControl/>
        <w:numPr>
          <w:ilvl w:val="3"/>
          <w:numId w:val="3"/>
        </w:numPr>
        <w:suppressLineNumbers w:val="0"/>
        <w:ind w:left="0" w:firstLine="0"/>
        <w:rPr>
          <w:lang w:val="en-US"/>
        </w:rPr>
      </w:pPr>
      <w:r>
        <w:rPr>
          <w:rFonts w:hint="eastAsia" w:ascii="Times New Roman" w:hAnsi="Times New Roman" w:eastAsia="宋体" w:cs="宋体"/>
          <w:lang w:eastAsia="zh-CN"/>
        </w:rPr>
        <w:t>移动应用</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移动应用主要通过智能移动终端，为员工报账、领导审批、影像采集、报账查询等提供便捷化移动应用服务。移动应用需支持</w:t>
      </w:r>
      <w:r>
        <w:rPr>
          <w:lang w:val="en-US"/>
        </w:rPr>
        <w:t>IOS</w:t>
      </w:r>
      <w:r>
        <w:rPr>
          <w:rFonts w:hint="eastAsia" w:ascii="Times New Roman" w:hAnsi="Times New Roman" w:eastAsia="宋体" w:cs="宋体"/>
          <w:lang w:eastAsia="zh-CN"/>
        </w:rPr>
        <w:t>、</w:t>
      </w:r>
      <w:r>
        <w:rPr>
          <w:lang w:val="en-US"/>
        </w:rPr>
        <w:t>andriod</w:t>
      </w:r>
      <w:r>
        <w:rPr>
          <w:rFonts w:hint="eastAsia" w:ascii="Times New Roman" w:hAnsi="Times New Roman" w:eastAsia="宋体" w:cs="宋体"/>
          <w:lang w:eastAsia="zh-CN"/>
        </w:rPr>
        <w:t>操作系统。</w:t>
      </w:r>
    </w:p>
    <w:p>
      <w:pPr>
        <w:pStyle w:val="64"/>
        <w:keepNext w:val="0"/>
        <w:keepLines/>
        <w:widowControl/>
        <w:numPr>
          <w:ilvl w:val="3"/>
          <w:numId w:val="3"/>
        </w:numPr>
        <w:suppressLineNumbers w:val="0"/>
        <w:ind w:left="0" w:firstLine="0"/>
        <w:rPr>
          <w:lang w:val="en-US"/>
        </w:rPr>
      </w:pPr>
      <w:r>
        <w:rPr>
          <w:rFonts w:hint="eastAsia" w:ascii="Times New Roman" w:hAnsi="Times New Roman" w:eastAsia="宋体" w:cs="宋体"/>
          <w:lang w:eastAsia="zh-CN"/>
        </w:rPr>
        <w:t>查询及统计分析</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搭建信息查询平台，实现便捷高效的报表查询使用，需要具备以下功能：业务发起人可以实时查看目前的进度。按照权限跨单位等多维度灵活查询。自定义参数查询，组合查询。可通过查询结果的链接，查看其他关联数据信息。</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实现统计仪表盘功能，支持自定义查询报表；实现共享人员关绩效指标的数据统计，包括但不限于工作量、差错率等信息；实现对前端业务系统提供的数据质量分析，包括但不限于退单率等。实现对共享服务效率、质量的统计分析。</w:t>
      </w:r>
    </w:p>
    <w:p>
      <w:pPr>
        <w:pStyle w:val="64"/>
        <w:keepNext w:val="0"/>
        <w:keepLines/>
        <w:widowControl/>
        <w:numPr>
          <w:ilvl w:val="3"/>
          <w:numId w:val="3"/>
        </w:numPr>
        <w:suppressLineNumbers w:val="0"/>
        <w:ind w:left="0" w:firstLine="0"/>
        <w:rPr>
          <w:lang w:val="en-US"/>
        </w:rPr>
      </w:pPr>
      <w:r>
        <w:rPr>
          <w:rFonts w:hint="eastAsia" w:ascii="Times New Roman" w:hAnsi="Times New Roman" w:eastAsia="宋体" w:cs="宋体"/>
          <w:lang w:eastAsia="zh-CN"/>
        </w:rPr>
        <w:t>集成要求</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系统接口：包括但不限于财务软件（</w:t>
      </w:r>
      <w:r>
        <w:rPr>
          <w:lang w:val="en-US"/>
        </w:rPr>
        <w:t>NC</w:t>
      </w:r>
      <w:r>
        <w:rPr>
          <w:rFonts w:hint="eastAsia" w:ascii="Times New Roman" w:hAnsi="Times New Roman" w:eastAsia="宋体" w:cs="宋体"/>
          <w:lang w:eastAsia="zh-CN"/>
        </w:rPr>
        <w:t>）、</w:t>
      </w:r>
      <w:r>
        <w:rPr>
          <w:lang w:val="en-US"/>
        </w:rPr>
        <w:t>ERP</w:t>
      </w:r>
      <w:r>
        <w:rPr>
          <w:rFonts w:hint="eastAsia" w:ascii="Times New Roman" w:hAnsi="Times New Roman" w:eastAsia="宋体" w:cs="宋体"/>
          <w:lang w:eastAsia="zh-CN"/>
        </w:rPr>
        <w:t>（</w:t>
      </w:r>
      <w:r>
        <w:rPr>
          <w:lang w:val="en-US"/>
        </w:rPr>
        <w:t>SAP</w:t>
      </w:r>
      <w:r>
        <w:rPr>
          <w:rFonts w:hint="eastAsia" w:ascii="Times New Roman" w:hAnsi="Times New Roman" w:eastAsia="宋体" w:cs="宋体"/>
          <w:lang w:eastAsia="zh-CN"/>
        </w:rPr>
        <w:t>、</w:t>
      </w:r>
      <w:r>
        <w:rPr>
          <w:lang w:val="en-US"/>
        </w:rPr>
        <w:t>SAP-SSF</w:t>
      </w:r>
      <w:r>
        <w:rPr>
          <w:rFonts w:hint="eastAsia" w:ascii="Times New Roman" w:hAnsi="Times New Roman" w:eastAsia="宋体" w:cs="宋体"/>
          <w:lang w:eastAsia="zh-CN"/>
        </w:rPr>
        <w:t>）、资金结算平台、</w:t>
      </w:r>
      <w:r>
        <w:rPr>
          <w:lang w:val="en-US"/>
        </w:rPr>
        <w:t>HR</w:t>
      </w:r>
      <w:r>
        <w:rPr>
          <w:rFonts w:hint="eastAsia" w:ascii="Times New Roman" w:hAnsi="Times New Roman" w:eastAsia="宋体" w:cs="宋体"/>
          <w:lang w:eastAsia="zh-CN"/>
        </w:rPr>
        <w:t>（自研）、</w:t>
      </w:r>
      <w:r>
        <w:rPr>
          <w:lang w:val="en-US"/>
        </w:rPr>
        <w:t>OA</w:t>
      </w:r>
      <w:r>
        <w:rPr>
          <w:rFonts w:hint="eastAsia" w:ascii="Times New Roman" w:hAnsi="Times New Roman" w:eastAsia="宋体" w:cs="宋体"/>
          <w:lang w:eastAsia="zh-CN"/>
        </w:rPr>
        <w:t>（泛微）、商旅系统（差旅壹号）等与财务共享相关的系统进行对接，自动获取相关系统数据信息，实现凭证的自动生成、薪酬的自动入账、预算费用的事前控制、审批集成、集中支付等功能，以提高财务共享的运行效率。各业务流程在对应业务系统中运行，之后传到共享平台系统完成后续财务流程。可快速自动生成会计凭证保证数据传输的及时性、安全性与准确性。</w:t>
      </w:r>
    </w:p>
    <w:p>
      <w:pPr>
        <w:pStyle w:val="64"/>
        <w:keepNext w:val="0"/>
        <w:keepLines/>
        <w:widowControl/>
        <w:numPr>
          <w:ilvl w:val="3"/>
          <w:numId w:val="3"/>
        </w:numPr>
        <w:suppressLineNumbers w:val="0"/>
        <w:ind w:left="0" w:firstLine="0"/>
        <w:rPr>
          <w:lang w:val="en-US"/>
        </w:rPr>
      </w:pPr>
      <w:r>
        <w:rPr>
          <w:rFonts w:hint="eastAsia" w:ascii="Times New Roman" w:hAnsi="Times New Roman" w:eastAsia="宋体" w:cs="宋体"/>
          <w:lang w:eastAsia="zh-CN"/>
        </w:rPr>
        <w:t>权限及基础数据管理</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实现基础信息定义管理，包括但不限于单据定义，流程定义，预算、费用标准控制策略定义，记账规则定义等。权限管理：实现系统用户角色、权限的管理，同时可进行临时权限的可基于具体业务流程制定授权的开始和终止时间。</w:t>
      </w:r>
    </w:p>
    <w:p>
      <w:pPr>
        <w:pStyle w:val="62"/>
        <w:keepNext w:val="0"/>
        <w:keepLines/>
        <w:widowControl/>
        <w:numPr>
          <w:ilvl w:val="1"/>
          <w:numId w:val="3"/>
        </w:numPr>
        <w:suppressLineNumbers w:val="0"/>
        <w:ind w:left="0" w:firstLine="0"/>
        <w:textAlignment w:val="baseline"/>
        <w:rPr>
          <w:vertAlign w:val="baseline"/>
          <w:lang w:val="en-US"/>
        </w:rPr>
      </w:pPr>
      <w:bookmarkStart w:id="81" w:name="_Toc36829348"/>
      <w:bookmarkStart w:id="82" w:name="_Toc8773"/>
      <w:r>
        <w:rPr>
          <w:rFonts w:hint="eastAsia" w:ascii="Times New Roman" w:hAnsi="Times New Roman" w:eastAsia="宋体" w:cs="宋体"/>
          <w:vertAlign w:val="baseline"/>
          <w:lang w:eastAsia="zh-CN"/>
        </w:rPr>
        <w:t>非功能性要求</w:t>
      </w:r>
      <w:bookmarkEnd w:id="81"/>
      <w:bookmarkEnd w:id="82"/>
    </w:p>
    <w:p>
      <w:pPr>
        <w:pStyle w:val="53"/>
        <w:keepNext w:val="0"/>
        <w:keepLines/>
        <w:widowControl/>
        <w:numPr>
          <w:ilvl w:val="2"/>
          <w:numId w:val="3"/>
        </w:numPr>
        <w:suppressLineNumbers w:val="0"/>
        <w:ind w:left="0" w:firstLine="0"/>
        <w:rPr>
          <w:lang w:val="en-US"/>
        </w:rPr>
      </w:pPr>
      <w:bookmarkStart w:id="83" w:name="_Toc36829349"/>
      <w:bookmarkStart w:id="84" w:name="_Toc20677"/>
      <w:r>
        <w:rPr>
          <w:rFonts w:hint="eastAsia" w:ascii="Times New Roman" w:hAnsi="Times New Roman" w:eastAsia="宋体" w:cs="宋体"/>
          <w:lang w:eastAsia="zh-CN"/>
        </w:rPr>
        <w:t>先进性和前瞻性</w:t>
      </w:r>
      <w:bookmarkEnd w:id="83"/>
      <w:bookmarkEnd w:id="84"/>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系统的技术架构具有先进及前瞻性；可以跨平台应用或配置；确保充分考虑系统今后的延伸；能够适应</w:t>
      </w:r>
      <w:r>
        <w:rPr>
          <w:lang w:val="en-US"/>
        </w:rPr>
        <w:t>Linux</w:t>
      </w:r>
      <w:r>
        <w:rPr>
          <w:rFonts w:hint="eastAsia" w:ascii="Times New Roman" w:hAnsi="Times New Roman" w:eastAsia="宋体" w:cs="宋体"/>
          <w:lang w:eastAsia="zh-CN"/>
        </w:rPr>
        <w:t>、</w:t>
      </w:r>
      <w:r>
        <w:rPr>
          <w:lang w:val="en-US"/>
        </w:rPr>
        <w:t xml:space="preserve">Windows </w:t>
      </w:r>
      <w:r>
        <w:rPr>
          <w:rFonts w:hint="eastAsia" w:ascii="Times New Roman" w:hAnsi="Times New Roman" w:eastAsia="宋体" w:cs="宋体"/>
          <w:lang w:eastAsia="zh-CN"/>
        </w:rPr>
        <w:t>等多种不同的操作系统和</w:t>
      </w:r>
      <w:r>
        <w:rPr>
          <w:lang w:val="en-US"/>
        </w:rPr>
        <w:t xml:space="preserve"> Oracle</w:t>
      </w:r>
      <w:r>
        <w:rPr>
          <w:rFonts w:hint="eastAsia" w:ascii="Times New Roman" w:hAnsi="Times New Roman" w:eastAsia="宋体" w:cs="宋体"/>
          <w:lang w:eastAsia="zh-CN"/>
        </w:rPr>
        <w:t>、</w:t>
      </w:r>
      <w:r>
        <w:rPr>
          <w:lang w:val="en-US"/>
        </w:rPr>
        <w:t xml:space="preserve">SQL Server </w:t>
      </w:r>
      <w:r>
        <w:rPr>
          <w:rFonts w:hint="eastAsia" w:ascii="Times New Roman" w:hAnsi="Times New Roman" w:eastAsia="宋体" w:cs="宋体"/>
          <w:lang w:eastAsia="zh-CN"/>
        </w:rPr>
        <w:t>等多种数据库平台。在系统建成的</w:t>
      </w:r>
      <w:r>
        <w:rPr>
          <w:lang w:val="en-US"/>
        </w:rPr>
        <w:t xml:space="preserve"> 5 </w:t>
      </w:r>
      <w:r>
        <w:rPr>
          <w:rFonts w:hint="eastAsia" w:ascii="Times New Roman" w:hAnsi="Times New Roman" w:eastAsia="宋体" w:cs="宋体"/>
          <w:lang w:eastAsia="zh-CN"/>
        </w:rPr>
        <w:t>年内，业务量的增加不会导致对系统的重大调整。</w:t>
      </w:r>
    </w:p>
    <w:p>
      <w:pPr>
        <w:pStyle w:val="53"/>
        <w:keepNext w:val="0"/>
        <w:keepLines/>
        <w:widowControl/>
        <w:numPr>
          <w:ilvl w:val="2"/>
          <w:numId w:val="3"/>
        </w:numPr>
        <w:suppressLineNumbers w:val="0"/>
        <w:ind w:left="0" w:firstLine="0"/>
        <w:rPr>
          <w:lang w:val="en-US"/>
        </w:rPr>
      </w:pPr>
      <w:bookmarkStart w:id="85" w:name="_Toc36829350"/>
      <w:bookmarkStart w:id="86" w:name="_Toc4539"/>
      <w:r>
        <w:rPr>
          <w:rFonts w:hint="eastAsia" w:ascii="Times New Roman" w:hAnsi="Times New Roman" w:eastAsia="宋体" w:cs="宋体"/>
          <w:lang w:eastAsia="zh-CN"/>
        </w:rPr>
        <w:t>开放性和标准性</w:t>
      </w:r>
      <w:bookmarkEnd w:id="85"/>
      <w:bookmarkEnd w:id="86"/>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在设备选择及网络方案上坚持开放性原则，使系统对各种硬件设备的互连互通；在软件上支持跨平台和开放数据接口，便于与其它系统软件互相集成，满足安全要求的条件下，数据能够在系统和其他系统之间传输。系统符合国际标准</w:t>
      </w:r>
      <w:r>
        <w:rPr>
          <w:lang w:val="en-US"/>
        </w:rPr>
        <w:t xml:space="preserve"> ISO9001</w:t>
      </w:r>
      <w:r>
        <w:rPr>
          <w:rFonts w:hint="eastAsia" w:ascii="Times New Roman" w:hAnsi="Times New Roman" w:eastAsia="宋体" w:cs="宋体"/>
          <w:lang w:eastAsia="zh-CN"/>
        </w:rPr>
        <w:t>，</w:t>
      </w:r>
      <w:r>
        <w:rPr>
          <w:lang w:val="en-US"/>
        </w:rPr>
        <w:t xml:space="preserve">TCP/IP </w:t>
      </w:r>
      <w:r>
        <w:rPr>
          <w:rFonts w:hint="eastAsia" w:ascii="Times New Roman" w:hAnsi="Times New Roman" w:eastAsia="宋体" w:cs="宋体"/>
          <w:lang w:eastAsia="zh-CN"/>
        </w:rPr>
        <w:t>协议。提供系统总体及详细设计方案，涵盖但不限于技术架构等；提供系统数据字典及数据库表说明；</w:t>
      </w:r>
      <w:r>
        <w:rPr>
          <w:lang w:val="en-US"/>
        </w:rPr>
        <w:t xml:space="preserve">  </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信息化系统要具有开放性，可通过标准接口实现与</w:t>
      </w:r>
      <w:r>
        <w:rPr>
          <w:lang w:val="en-US"/>
        </w:rPr>
        <w:t>ERP</w:t>
      </w:r>
      <w:r>
        <w:rPr>
          <w:rFonts w:hint="eastAsia" w:ascii="Times New Roman" w:hAnsi="Times New Roman" w:eastAsia="宋体" w:cs="宋体"/>
          <w:lang w:eastAsia="zh-CN"/>
        </w:rPr>
        <w:t>、</w:t>
      </w:r>
      <w:r>
        <w:rPr>
          <w:lang w:val="en-US"/>
        </w:rPr>
        <w:t>OA</w:t>
      </w:r>
      <w:r>
        <w:rPr>
          <w:rFonts w:hint="eastAsia" w:ascii="Times New Roman" w:hAnsi="Times New Roman" w:eastAsia="宋体" w:cs="宋体"/>
          <w:lang w:eastAsia="zh-CN"/>
        </w:rPr>
        <w:t>等其他信息系统的集成使用，保证财务共享服务中心流程的正常运转。提供与现有系统的数据交互功能，可以为其他系统提供所需的本系统数据，也可以接收和处理其他系统发送的信息。</w:t>
      </w:r>
    </w:p>
    <w:p>
      <w:pPr>
        <w:pStyle w:val="53"/>
        <w:keepNext w:val="0"/>
        <w:keepLines/>
        <w:widowControl/>
        <w:numPr>
          <w:ilvl w:val="2"/>
          <w:numId w:val="3"/>
        </w:numPr>
        <w:suppressLineNumbers w:val="0"/>
        <w:ind w:left="0" w:firstLine="0"/>
        <w:rPr>
          <w:lang w:val="en-US"/>
        </w:rPr>
      </w:pPr>
      <w:bookmarkStart w:id="87" w:name="_Toc36829351"/>
      <w:bookmarkStart w:id="88" w:name="_Toc9385"/>
      <w:r>
        <w:rPr>
          <w:rFonts w:hint="eastAsia" w:ascii="Times New Roman" w:hAnsi="Times New Roman" w:eastAsia="宋体" w:cs="宋体"/>
          <w:lang w:eastAsia="zh-CN"/>
        </w:rPr>
        <w:t>易操作性和可恢复性</w:t>
      </w:r>
      <w:bookmarkEnd w:id="87"/>
      <w:bookmarkEnd w:id="88"/>
      <w:r>
        <w:rPr>
          <w:lang w:eastAsia="zh-CN"/>
        </w:rPr>
        <w:t xml:space="preserve"> </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用户界面简洁、美观、友好，易于用户掌握、操作和使用；利用系统提供的工具，无须编写代码，方便用户自行进行客户化功能改造，方便用户自行定制界面数据项的显示；同时在网络或系统出现问题时能及时、快速地恢复系统的正常运行，保证系统的可恢复性。</w:t>
      </w:r>
    </w:p>
    <w:p>
      <w:pPr>
        <w:pStyle w:val="53"/>
        <w:keepNext w:val="0"/>
        <w:keepLines/>
        <w:widowControl/>
        <w:numPr>
          <w:ilvl w:val="2"/>
          <w:numId w:val="3"/>
        </w:numPr>
        <w:suppressLineNumbers w:val="0"/>
        <w:ind w:left="0" w:firstLine="0"/>
        <w:rPr>
          <w:lang w:val="en-US"/>
        </w:rPr>
      </w:pPr>
      <w:bookmarkStart w:id="89" w:name="_Toc36829352"/>
      <w:bookmarkStart w:id="90" w:name="_Toc30940"/>
      <w:r>
        <w:rPr>
          <w:rFonts w:hint="eastAsia" w:ascii="Times New Roman" w:hAnsi="Times New Roman" w:eastAsia="宋体" w:cs="宋体"/>
          <w:lang w:eastAsia="zh-CN"/>
        </w:rPr>
        <w:t>可靠性和稳定性</w:t>
      </w:r>
      <w:bookmarkEnd w:id="89"/>
      <w:bookmarkEnd w:id="90"/>
      <w:r>
        <w:rPr>
          <w:lang w:eastAsia="zh-CN"/>
        </w:rPr>
        <w:t xml:space="preserve"> </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系统具有高可靠性与稳定性，一般的人为和外部的异常事件不会引起系统的崩溃；同时系统有较高的可用性，当系统出现问题后能在较短的时间内恢复。</w:t>
      </w:r>
    </w:p>
    <w:p>
      <w:pPr>
        <w:pStyle w:val="53"/>
        <w:keepNext w:val="0"/>
        <w:keepLines/>
        <w:widowControl/>
        <w:numPr>
          <w:ilvl w:val="2"/>
          <w:numId w:val="3"/>
        </w:numPr>
        <w:suppressLineNumbers w:val="0"/>
        <w:ind w:left="0" w:firstLine="0"/>
        <w:rPr>
          <w:lang w:val="en-US"/>
        </w:rPr>
      </w:pPr>
      <w:bookmarkStart w:id="91" w:name="_Toc36829353"/>
      <w:bookmarkStart w:id="92" w:name="_Toc27133"/>
      <w:r>
        <w:rPr>
          <w:rFonts w:hint="eastAsia" w:ascii="Times New Roman" w:hAnsi="Times New Roman" w:eastAsia="宋体" w:cs="宋体"/>
          <w:lang w:eastAsia="zh-CN"/>
        </w:rPr>
        <w:t>安全性</w:t>
      </w:r>
      <w:bookmarkEnd w:id="91"/>
      <w:bookmarkEnd w:id="92"/>
      <w:r>
        <w:rPr>
          <w:lang w:eastAsia="zh-CN"/>
        </w:rPr>
        <w:t xml:space="preserve"> </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系统既考虑信息资源的充分共享，更要注意信息的保护和隔离，因此系统应分别针对不同的应用和不同的网络通信环境，采取不同的措施，以确保系统数据的安全性及防止非法盗用数据与帐号；系统采用的硬件、软件和网络是经过实践考验证明其是安全、实用的；同时系统应该充分利用防火墙、安全证书等数据加密技术保证网络数据安全，通过限制用户访问主机资源、记录对系统的各项敏感操作等措施确保系统与应用系统的安全。产品本身具备完善、高度的安全、加密机制，权限设置灵活，符合重汽集团财务信息系统管理和业务要求；</w:t>
      </w:r>
      <w:r>
        <w:rPr>
          <w:lang w:eastAsia="zh-CN"/>
        </w:rPr>
        <w:t xml:space="preserve"> </w:t>
      </w:r>
      <w:r>
        <w:rPr>
          <w:rFonts w:hint="eastAsia" w:ascii="Times New Roman" w:hAnsi="Times New Roman" w:eastAsia="宋体" w:cs="宋体"/>
          <w:lang w:eastAsia="zh-CN"/>
        </w:rPr>
        <w:t>产品具有高度数据安全机制（存储，数据库安全保护，备份，避灾，恢复，数据导出、导入，</w:t>
      </w:r>
      <w:r>
        <w:rPr>
          <w:lang w:eastAsia="zh-CN"/>
        </w:rPr>
        <w:t xml:space="preserve"> </w:t>
      </w:r>
      <w:r>
        <w:rPr>
          <w:rFonts w:hint="eastAsia" w:ascii="Times New Roman" w:hAnsi="Times New Roman" w:eastAsia="宋体" w:cs="宋体"/>
          <w:lang w:eastAsia="zh-CN"/>
        </w:rPr>
        <w:t>操作痕迹和修改痕迹追踪）；产品具有完善的系统内部功能应用权限（系统权限体系，</w:t>
      </w:r>
      <w:r>
        <w:rPr>
          <w:lang w:val="en-US"/>
        </w:rPr>
        <w:t xml:space="preserve">IP </w:t>
      </w:r>
      <w:r>
        <w:rPr>
          <w:rFonts w:hint="eastAsia" w:ascii="Times New Roman" w:hAnsi="Times New Roman" w:eastAsia="宋体" w:cs="宋体"/>
          <w:lang w:eastAsia="zh-CN"/>
        </w:rPr>
        <w:t>限制，系统日志，出错管理）；财务人员权限及安全保障。</w:t>
      </w:r>
    </w:p>
    <w:p>
      <w:pPr>
        <w:pStyle w:val="53"/>
        <w:keepNext w:val="0"/>
        <w:keepLines/>
        <w:widowControl/>
        <w:numPr>
          <w:ilvl w:val="2"/>
          <w:numId w:val="3"/>
        </w:numPr>
        <w:suppressLineNumbers w:val="0"/>
        <w:ind w:left="0" w:firstLine="0"/>
        <w:rPr>
          <w:lang w:val="en-US"/>
        </w:rPr>
      </w:pPr>
      <w:bookmarkStart w:id="93" w:name="_Toc36829354"/>
      <w:bookmarkStart w:id="94" w:name="_Toc20322"/>
      <w:r>
        <w:rPr>
          <w:rFonts w:hint="eastAsia" w:ascii="Times New Roman" w:hAnsi="Times New Roman" w:eastAsia="宋体" w:cs="宋体"/>
          <w:lang w:eastAsia="zh-CN"/>
        </w:rPr>
        <w:t>可扩展性和管理性</w:t>
      </w:r>
      <w:bookmarkEnd w:id="93"/>
      <w:bookmarkEnd w:id="94"/>
      <w:r>
        <w:rPr>
          <w:lang w:val="en-US"/>
        </w:rPr>
        <w:t xml:space="preserve">  </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未来业务的扩展只须在现有机制的基础上，增加新的应用与服务模块。一方面，当系统应用量增加以及用户数增加时系统可以平滑增加服务器的方式来支撑新的压力要求；另一方面，当新的技术或产品出现进行升级时，系统能够平滑过渡而不影响用户的使用。系统管理的使用及管理采用基于</w:t>
      </w:r>
      <w:r>
        <w:rPr>
          <w:lang w:val="en-US"/>
        </w:rPr>
        <w:t xml:space="preserve"> Web </w:t>
      </w:r>
      <w:r>
        <w:rPr>
          <w:rFonts w:hint="eastAsia" w:ascii="Times New Roman" w:hAnsi="Times New Roman" w:eastAsia="宋体" w:cs="宋体"/>
          <w:lang w:eastAsia="zh-CN"/>
        </w:rPr>
        <w:t>方式的管理系统，提高系统的可管理性；系统的软件应是模块化的，以便于系统配置组态时灵活增加和删除。</w:t>
      </w:r>
    </w:p>
    <w:p>
      <w:pPr>
        <w:pStyle w:val="62"/>
        <w:keepNext w:val="0"/>
        <w:keepLines/>
        <w:widowControl/>
        <w:numPr>
          <w:ilvl w:val="1"/>
          <w:numId w:val="3"/>
        </w:numPr>
        <w:suppressLineNumbers w:val="0"/>
        <w:ind w:left="0" w:firstLine="0"/>
        <w:textAlignment w:val="baseline"/>
        <w:rPr>
          <w:vertAlign w:val="baseline"/>
          <w:lang w:val="en-US"/>
        </w:rPr>
      </w:pPr>
      <w:bookmarkStart w:id="95" w:name="_Toc36829355"/>
      <w:bookmarkStart w:id="96" w:name="_Toc12040"/>
      <w:r>
        <w:rPr>
          <w:rFonts w:hint="eastAsia" w:ascii="Times New Roman" w:hAnsi="Times New Roman" w:eastAsia="宋体" w:cs="宋体"/>
          <w:vertAlign w:val="baseline"/>
          <w:lang w:eastAsia="zh-CN"/>
        </w:rPr>
        <w:t>实施要求</w:t>
      </w:r>
      <w:bookmarkEnd w:id="95"/>
      <w:bookmarkEnd w:id="96"/>
    </w:p>
    <w:p>
      <w:pPr>
        <w:pStyle w:val="53"/>
        <w:keepNext w:val="0"/>
        <w:keepLines/>
        <w:widowControl/>
        <w:numPr>
          <w:ilvl w:val="2"/>
          <w:numId w:val="3"/>
        </w:numPr>
        <w:suppressLineNumbers w:val="0"/>
        <w:ind w:left="0" w:firstLine="0"/>
        <w:rPr>
          <w:lang w:val="en-US"/>
        </w:rPr>
      </w:pPr>
      <w:bookmarkStart w:id="97" w:name="_Toc36829356"/>
      <w:bookmarkStart w:id="98" w:name="_Toc29190"/>
      <w:r>
        <w:rPr>
          <w:rFonts w:hint="eastAsia" w:ascii="Times New Roman" w:hAnsi="Times New Roman" w:eastAsia="宋体" w:cs="宋体"/>
          <w:lang w:eastAsia="zh-CN"/>
        </w:rPr>
        <w:t>实施体系</w:t>
      </w:r>
      <w:bookmarkEnd w:id="97"/>
      <w:bookmarkEnd w:id="98"/>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实施工作遵从系统、科学、完整、可行、先进、成熟、可靠的项目实施方法论体系及经验。</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参照行业最佳业务实践，向招标人提供管理改进建议。但同时也必须具有在公司管理现状基础上进行快速实施导入的方法。</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根据咨询方案成果，进行业务需求的沟通及确认，提供测试用例及测试手册的评审工作，实施项目组进行系统测试，保证咨询方案与系统实施方案的一致性，确保咨询方案在信息系统中得以实现，实现咨询方案规划确定的目标。</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1</w:t>
      </w:r>
      <w:r>
        <w:rPr>
          <w:rFonts w:hint="eastAsia" w:ascii="Times New Roman" w:hAnsi="Times New Roman" w:eastAsia="宋体" w:cs="宋体"/>
          <w:lang w:eastAsia="zh-CN"/>
        </w:rPr>
        <w:t>）实施计划</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参照招标人的分期规划，制定切实可行的详细的项目实施方案与计划、流程梳理方案、各阶段工作内容、时间安排及资源调度、明细步骤等。</w:t>
      </w:r>
    </w:p>
    <w:p>
      <w:pPr>
        <w:pStyle w:val="33"/>
        <w:keepNext w:val="0"/>
        <w:keepLines w:val="0"/>
        <w:widowControl/>
        <w:suppressLineNumbers w:val="0"/>
        <w:ind w:left="0" w:firstLine="480"/>
        <w:rPr>
          <w:lang w:val="en-US"/>
        </w:rPr>
      </w:pPr>
      <w:r>
        <w:rPr>
          <w:rFonts w:hint="eastAsia" w:ascii="宋体" w:hAnsi="宋体" w:eastAsia="宋体" w:cs="宋体"/>
          <w:kern w:val="0"/>
          <w:lang w:eastAsia="zh-CN"/>
        </w:rPr>
        <w:t>系统集成和二次开发由投标人明确计划，确保不影响项目进度。</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以相近案例企业说明实施计划的可行性与前提保障。</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2</w:t>
      </w:r>
      <w:r>
        <w:rPr>
          <w:rFonts w:hint="eastAsia" w:ascii="Times New Roman" w:hAnsi="Times New Roman" w:eastAsia="宋体" w:cs="宋体"/>
          <w:lang w:eastAsia="zh-CN"/>
        </w:rPr>
        <w:t>）实施方案</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确保所提供的方案能够满足项目需求，并对项目成功实施负完全责任，若由于方案设计缺陷导致项目功能缺失，方案提供者需自行承担相关费用。</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在实施过程中，根据实际需求，提供个性化支持和服务，且具有灵活的反馈和修改功能，能根据用户的动态需求进行适当调整，提升用户满意度。</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3</w:t>
      </w:r>
      <w:r>
        <w:rPr>
          <w:rFonts w:hint="eastAsia" w:ascii="Times New Roman" w:hAnsi="Times New Roman" w:eastAsia="宋体" w:cs="宋体"/>
          <w:lang w:eastAsia="zh-CN"/>
        </w:rPr>
        <w:t>）实施组织</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提出参与实施各方的项目实施组织架构建议，确保实施分工科学合理、项目各方紧密协调合作，共同完成项目的实施工作。</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明确项目总监、项目经理以及顾问在本项目中的工作范围。</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明确实施组织内各方、各级人员的工作职责。</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明确项目实施过程中的管理与协调机制。</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4</w:t>
      </w:r>
      <w:r>
        <w:rPr>
          <w:rFonts w:hint="eastAsia" w:ascii="Times New Roman" w:hAnsi="Times New Roman" w:eastAsia="宋体" w:cs="宋体"/>
          <w:lang w:eastAsia="zh-CN"/>
        </w:rPr>
        <w:t>）实施人员</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需提供项目团队构成说明：项目组织架构、项目经理的经验和背景、各成员资质、责任分工、项目实施工作人天。</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项目经理要求具备</w:t>
      </w:r>
      <w:r>
        <w:rPr>
          <w:lang w:val="en-US"/>
        </w:rPr>
        <w:t>8</w:t>
      </w:r>
      <w:r>
        <w:rPr>
          <w:rFonts w:hint="eastAsia" w:ascii="Times New Roman" w:hAnsi="Times New Roman" w:eastAsia="宋体" w:cs="宋体"/>
          <w:lang w:eastAsia="zh-CN"/>
        </w:rPr>
        <w:t>年财务共享相关经验，咨询实施过</w:t>
      </w:r>
      <w:r>
        <w:rPr>
          <w:lang w:val="en-US"/>
        </w:rPr>
        <w:t>3</w:t>
      </w:r>
      <w:r>
        <w:rPr>
          <w:rFonts w:hint="eastAsia" w:ascii="Times New Roman" w:hAnsi="Times New Roman" w:eastAsia="宋体" w:cs="宋体"/>
          <w:lang w:eastAsia="zh-CN"/>
        </w:rPr>
        <w:t>个及以上大型集团化企业财务共享服务中心项目，能够迅速深入地理解公司的业务现状，并具有良好的和公司的高层、中层管理人员之间沟通、协调能力；项目组关键成员要求具备</w:t>
      </w:r>
      <w:r>
        <w:rPr>
          <w:lang w:val="en-US"/>
        </w:rPr>
        <w:t>3</w:t>
      </w:r>
      <w:r>
        <w:rPr>
          <w:rFonts w:hint="eastAsia" w:ascii="Times New Roman" w:hAnsi="Times New Roman" w:eastAsia="宋体" w:cs="宋体"/>
          <w:lang w:eastAsia="zh-CN"/>
        </w:rPr>
        <w:t>年以上咨询实施经验，且具备</w:t>
      </w:r>
      <w:r>
        <w:rPr>
          <w:lang w:val="en-US"/>
        </w:rPr>
        <w:t>2</w:t>
      </w:r>
      <w:r>
        <w:rPr>
          <w:rFonts w:hint="eastAsia" w:ascii="Times New Roman" w:hAnsi="Times New Roman" w:eastAsia="宋体" w:cs="宋体"/>
          <w:lang w:eastAsia="zh-CN"/>
        </w:rPr>
        <w:t>家大型集团化企业客户咨询实施经验；项目组其他成员要求具备</w:t>
      </w:r>
      <w:r>
        <w:rPr>
          <w:lang w:val="en-US"/>
        </w:rPr>
        <w:t>3</w:t>
      </w:r>
      <w:r>
        <w:rPr>
          <w:rFonts w:hint="eastAsia" w:ascii="Times New Roman" w:hAnsi="Times New Roman" w:eastAsia="宋体" w:cs="宋体"/>
          <w:lang w:eastAsia="zh-CN"/>
        </w:rPr>
        <w:t>年以上咨询实施经验，具备至少</w:t>
      </w:r>
      <w:r>
        <w:rPr>
          <w:lang w:val="en-US"/>
        </w:rPr>
        <w:t>1</w:t>
      </w:r>
      <w:r>
        <w:rPr>
          <w:rFonts w:hint="eastAsia" w:ascii="Times New Roman" w:hAnsi="Times New Roman" w:eastAsia="宋体" w:cs="宋体"/>
          <w:lang w:eastAsia="zh-CN"/>
        </w:rPr>
        <w:t>家大型集团化企业客户咨询实施经验。</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现场实施顾问需要具有丰富财务共享项目实施经验，并必须具有良好的与公司的中层管理人员和普通业务人员之间沟通、协调能力。</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项目启动后需保证现场项目经理（包括咨询与软件实施）与关键项目成员全程现场参与项目建设。</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项目小组成员，特别是关键项目成员不得单方面更换。</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5</w:t>
      </w:r>
      <w:r>
        <w:rPr>
          <w:rFonts w:hint="eastAsia" w:ascii="Times New Roman" w:hAnsi="Times New Roman" w:eastAsia="宋体" w:cs="宋体"/>
          <w:lang w:eastAsia="zh-CN"/>
        </w:rPr>
        <w:t>）技术支持要求</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要求投标人提供全套的技术支持，包括售前技术支持和售后技术支持。</w:t>
      </w:r>
      <w:r>
        <w:rPr>
          <w:rFonts w:hint="eastAsia" w:ascii="宋体" w:hAnsi="宋体" w:eastAsia="宋体" w:cs="宋体"/>
          <w:kern w:val="0"/>
          <w:lang w:eastAsia="zh-CN"/>
        </w:rPr>
        <w:t>系统集成和二次开发由投标人明确计划，确保不影响项目进度；</w:t>
      </w:r>
      <w:r>
        <w:rPr>
          <w:rFonts w:hint="eastAsia" w:ascii="Times New Roman" w:hAnsi="Times New Roman" w:eastAsia="宋体" w:cs="宋体"/>
          <w:lang w:eastAsia="zh-CN"/>
        </w:rPr>
        <w:t>梳理岗位操作文档框架，确定文档提纲，协助并指导招标人相关人员编写财务共享服务中心的岗位业务操作文档；及时指导招标人项目成员梳理试运行过程中的各类业务问题并提出建议；协助并指导招标人进行试点上线前的宣贯及培训，包括说明书、岗位职责等资料的制作。</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合同到期前（售前技术支持），在项目实施时由招标人确定需求，投标人技术人员负责系统整体的建设和实施，具体包括流程、规则配置、集成、二次开发等。项目实施后，因实施过程中考虑不周到、系统错误或配置不当导致修订时，由投标人技术人员根据要求直接修订；因组织人员调整、业务需求变更及其他原因导致修订时，由招标人确定需求后，投标人再进行调整和修订；项目实施过程中，因业务需求产生的二次开发和集成设置，由投标人技术人员进行开发和配置。</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合同到期后，由投标人技术人员培训招标人运维人员，并提供售后服务的技术支持，</w:t>
      </w:r>
      <w:r>
        <w:rPr>
          <w:lang w:val="en-US"/>
        </w:rPr>
        <w:t>2</w:t>
      </w:r>
      <w:r>
        <w:rPr>
          <w:rFonts w:hint="eastAsia" w:ascii="Times New Roman" w:hAnsi="Times New Roman" w:eastAsia="宋体" w:cs="宋体"/>
          <w:lang w:eastAsia="zh-CN"/>
        </w:rPr>
        <w:t>小时内回执。若系统错误或者系统重大问题发生时，应立即响应驻场</w:t>
      </w:r>
      <w:r>
        <w:rPr>
          <w:lang w:val="en-US"/>
        </w:rPr>
        <w:t>8</w:t>
      </w:r>
      <w:r>
        <w:rPr>
          <w:rFonts w:hint="eastAsia" w:ascii="Times New Roman" w:hAnsi="Times New Roman" w:eastAsia="宋体" w:cs="宋体"/>
          <w:lang w:eastAsia="zh-CN"/>
        </w:rPr>
        <w:t>小时内解决。</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6</w:t>
      </w:r>
      <w:r>
        <w:rPr>
          <w:rFonts w:hint="eastAsia" w:ascii="Times New Roman" w:hAnsi="Times New Roman" w:eastAsia="宋体" w:cs="宋体"/>
          <w:lang w:eastAsia="zh-CN"/>
        </w:rPr>
        <w:t>）项目规划</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招标人应提供最近</w:t>
      </w:r>
      <w:r>
        <w:rPr>
          <w:lang w:val="en-US"/>
        </w:rPr>
        <w:t>3-5</w:t>
      </w:r>
      <w:r>
        <w:rPr>
          <w:rFonts w:hint="eastAsia" w:ascii="Times New Roman" w:hAnsi="Times New Roman" w:eastAsia="宋体" w:cs="宋体"/>
          <w:lang w:eastAsia="zh-CN"/>
        </w:rPr>
        <w:t>年财务共享平台项目案例说明（包括销售业和制造业）和未来</w:t>
      </w:r>
      <w:r>
        <w:rPr>
          <w:lang w:val="en-US"/>
        </w:rPr>
        <w:t>5</w:t>
      </w:r>
      <w:r>
        <w:rPr>
          <w:rFonts w:hint="eastAsia" w:ascii="Times New Roman" w:hAnsi="Times New Roman" w:eastAsia="宋体" w:cs="宋体"/>
          <w:lang w:eastAsia="zh-CN"/>
        </w:rPr>
        <w:t>年的具体规划方案，同时结合公司的现状和目前信息化水平，提供财务共享平台针对性的规划方案和各功能的推广计划，并根据对集团管理信息化，特别是财务共享平台建设有深入的理解和自身实践，提供企业成长各阶段财务管理信息化建设的经验分享。</w:t>
      </w:r>
    </w:p>
    <w:p>
      <w:pPr>
        <w:pStyle w:val="53"/>
        <w:keepNext w:val="0"/>
        <w:keepLines/>
        <w:widowControl/>
        <w:numPr>
          <w:ilvl w:val="2"/>
          <w:numId w:val="3"/>
        </w:numPr>
        <w:suppressLineNumbers w:val="0"/>
        <w:ind w:left="0" w:firstLine="0"/>
        <w:rPr>
          <w:lang w:val="en-US"/>
        </w:rPr>
      </w:pPr>
      <w:bookmarkStart w:id="99" w:name="_Toc36829357"/>
      <w:bookmarkStart w:id="100" w:name="_Toc3821"/>
      <w:r>
        <w:rPr>
          <w:rFonts w:hint="eastAsia" w:ascii="Times New Roman" w:hAnsi="Times New Roman" w:eastAsia="宋体" w:cs="宋体"/>
          <w:lang w:eastAsia="zh-CN"/>
        </w:rPr>
        <w:t>安装调试</w:t>
      </w:r>
      <w:bookmarkEnd w:id="99"/>
      <w:bookmarkEnd w:id="100"/>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1</w:t>
      </w:r>
      <w:r>
        <w:rPr>
          <w:rFonts w:hint="eastAsia" w:ascii="Times New Roman" w:hAnsi="Times New Roman" w:eastAsia="宋体" w:cs="宋体"/>
          <w:lang w:eastAsia="zh-CN"/>
        </w:rPr>
        <w:t>）投标人负责软件的安装和调试，保证招标人的应用软件正常运行。</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2</w:t>
      </w:r>
      <w:r>
        <w:rPr>
          <w:rFonts w:hint="eastAsia" w:ascii="Times New Roman" w:hAnsi="Times New Roman" w:eastAsia="宋体" w:cs="宋体"/>
          <w:lang w:eastAsia="zh-CN"/>
        </w:rPr>
        <w:t>）投标人应在设备软件调试中对用户进行使用、维护等方面的现场培训，以及相关的技术培训和指导；</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3</w:t>
      </w:r>
      <w:r>
        <w:rPr>
          <w:rFonts w:hint="eastAsia" w:ascii="Times New Roman" w:hAnsi="Times New Roman" w:eastAsia="宋体" w:cs="宋体"/>
          <w:lang w:eastAsia="zh-CN"/>
        </w:rPr>
        <w:t>）培训应能使关键用户熟练使用，信息化部门能排除和解决一般软件故障。</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4</w:t>
      </w:r>
      <w:r>
        <w:rPr>
          <w:rFonts w:hint="eastAsia" w:ascii="Times New Roman" w:hAnsi="Times New Roman" w:eastAsia="宋体" w:cs="宋体"/>
          <w:lang w:eastAsia="zh-CN"/>
        </w:rPr>
        <w:t>）投标人提供一年免费的软件版本升级服务，并保证现有软件版本数据能够平滑升级到新版软件系统中，并保证数据的一致性、完整性和可用性。如果出现问题，供方应免费更换软件版本并提供免费的现场升级及服务，直至问题解决。</w:t>
      </w:r>
    </w:p>
    <w:p>
      <w:pPr>
        <w:pStyle w:val="53"/>
        <w:keepNext w:val="0"/>
        <w:keepLines/>
        <w:widowControl/>
        <w:numPr>
          <w:ilvl w:val="2"/>
          <w:numId w:val="3"/>
        </w:numPr>
        <w:suppressLineNumbers w:val="0"/>
        <w:ind w:left="0" w:firstLine="0"/>
        <w:rPr>
          <w:lang w:val="en-US"/>
        </w:rPr>
      </w:pPr>
      <w:bookmarkStart w:id="101" w:name="_Toc36829358"/>
      <w:bookmarkStart w:id="102" w:name="_Toc9090"/>
      <w:r>
        <w:rPr>
          <w:rFonts w:hint="eastAsia" w:ascii="Times New Roman" w:hAnsi="Times New Roman" w:eastAsia="宋体" w:cs="宋体"/>
          <w:lang w:eastAsia="zh-CN"/>
        </w:rPr>
        <w:t>项目技术方案要求</w:t>
      </w:r>
      <w:bookmarkEnd w:id="101"/>
      <w:bookmarkEnd w:id="102"/>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投标人需要参照上述技术需求说明，撰写完善详细的技术方案，并对以下内容作出重点说明：</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1</w:t>
      </w:r>
      <w:r>
        <w:rPr>
          <w:rFonts w:hint="eastAsia" w:ascii="Times New Roman" w:hAnsi="Times New Roman" w:eastAsia="宋体" w:cs="宋体"/>
          <w:lang w:eastAsia="zh-CN"/>
        </w:rPr>
        <w:t>）项目需求分析。</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2</w:t>
      </w:r>
      <w:r>
        <w:rPr>
          <w:rFonts w:hint="eastAsia" w:ascii="Times New Roman" w:hAnsi="Times New Roman" w:eastAsia="宋体" w:cs="宋体"/>
          <w:lang w:eastAsia="zh-CN"/>
        </w:rPr>
        <w:t>）项目总体规划方案（建设目标、总体架构、建设原则、分期规划）。</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3</w:t>
      </w:r>
      <w:r>
        <w:rPr>
          <w:rFonts w:hint="eastAsia" w:ascii="Times New Roman" w:hAnsi="Times New Roman" w:eastAsia="宋体" w:cs="宋体"/>
          <w:lang w:eastAsia="zh-CN"/>
        </w:rPr>
        <w:t>）项目技术需求详细实现方案（结合系统功能需求描述软件详细功能）。</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4</w:t>
      </w:r>
      <w:r>
        <w:rPr>
          <w:rFonts w:hint="eastAsia" w:ascii="Times New Roman" w:hAnsi="Times New Roman" w:eastAsia="宋体" w:cs="宋体"/>
          <w:lang w:eastAsia="zh-CN"/>
        </w:rPr>
        <w:t>）系统部署方案及推荐配置。</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5</w:t>
      </w:r>
      <w:r>
        <w:rPr>
          <w:rFonts w:hint="eastAsia" w:ascii="Times New Roman" w:hAnsi="Times New Roman" w:eastAsia="宋体" w:cs="宋体"/>
          <w:lang w:eastAsia="zh-CN"/>
        </w:rPr>
        <w:t>）项目实施方案与质量保证（提供项目实施主体计划）。</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6</w:t>
      </w:r>
      <w:r>
        <w:rPr>
          <w:rFonts w:hint="eastAsia" w:ascii="Times New Roman" w:hAnsi="Times New Roman" w:eastAsia="宋体" w:cs="宋体"/>
          <w:lang w:eastAsia="zh-CN"/>
        </w:rPr>
        <w:t>）项目实施风险控制说明。</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7</w:t>
      </w:r>
      <w:r>
        <w:rPr>
          <w:rFonts w:hint="eastAsia" w:ascii="Times New Roman" w:hAnsi="Times New Roman" w:eastAsia="宋体" w:cs="宋体"/>
          <w:lang w:eastAsia="zh-CN"/>
        </w:rPr>
        <w:t>）项目组织和人员安排及团队人员信息。</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8</w:t>
      </w:r>
      <w:r>
        <w:rPr>
          <w:rFonts w:hint="eastAsia" w:ascii="Times New Roman" w:hAnsi="Times New Roman" w:eastAsia="宋体" w:cs="宋体"/>
          <w:lang w:eastAsia="zh-CN"/>
        </w:rPr>
        <w:t>）</w:t>
      </w:r>
      <w:r>
        <w:rPr>
          <w:lang w:eastAsia="zh-CN"/>
        </w:rPr>
        <w:t xml:space="preserve"> </w:t>
      </w:r>
      <w:r>
        <w:rPr>
          <w:rFonts w:hint="eastAsia" w:ascii="Times New Roman" w:hAnsi="Times New Roman" w:eastAsia="宋体" w:cs="宋体"/>
          <w:lang w:eastAsia="zh-CN"/>
        </w:rPr>
        <w:t>投入招标人财务共享服务系统项目现场人力资源表、项目实施计划表。</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w:t>
      </w:r>
      <w:r>
        <w:rPr>
          <w:lang w:val="en-US"/>
        </w:rPr>
        <w:t>9</w:t>
      </w:r>
      <w:r>
        <w:rPr>
          <w:rFonts w:hint="eastAsia" w:ascii="Times New Roman" w:hAnsi="Times New Roman" w:eastAsia="宋体" w:cs="宋体"/>
          <w:lang w:eastAsia="zh-CN"/>
        </w:rPr>
        <w:t>）项目服务承诺和运维方案。</w:t>
      </w:r>
    </w:p>
    <w:p>
      <w:pPr>
        <w:pStyle w:val="53"/>
        <w:keepNext w:val="0"/>
        <w:keepLines/>
        <w:widowControl/>
        <w:numPr>
          <w:ilvl w:val="2"/>
          <w:numId w:val="3"/>
        </w:numPr>
        <w:suppressLineNumbers w:val="0"/>
        <w:ind w:left="0" w:firstLine="0"/>
        <w:rPr>
          <w:lang w:val="en-US"/>
        </w:rPr>
      </w:pPr>
      <w:bookmarkStart w:id="103" w:name="_Toc36829359"/>
      <w:bookmarkStart w:id="104" w:name="_Toc3351"/>
      <w:r>
        <w:rPr>
          <w:rFonts w:hint="eastAsia" w:ascii="Times New Roman" w:hAnsi="Times New Roman" w:eastAsia="宋体" w:cs="宋体"/>
          <w:lang w:eastAsia="zh-CN"/>
        </w:rPr>
        <w:t>其他</w:t>
      </w:r>
      <w:bookmarkEnd w:id="103"/>
      <w:bookmarkEnd w:id="104"/>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按照时间节点要求，完成实施工作。</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项目免费质保服务期一年，质保起始日期自项目验收合格之日起计算。</w:t>
      </w:r>
    </w:p>
    <w:p>
      <w:pPr>
        <w:pStyle w:val="32"/>
        <w:keepNext w:val="0"/>
        <w:keepLines/>
        <w:widowControl/>
        <w:numPr>
          <w:ilvl w:val="0"/>
          <w:numId w:val="3"/>
        </w:numPr>
        <w:suppressLineNumbers w:val="0"/>
        <w:ind w:left="0" w:firstLine="0"/>
        <w:rPr>
          <w:lang w:val="en-US"/>
        </w:rPr>
      </w:pPr>
      <w:bookmarkStart w:id="105" w:name="_Toc36829360"/>
      <w:bookmarkStart w:id="106" w:name="_Toc24261"/>
      <w:r>
        <w:rPr>
          <w:rFonts w:hint="eastAsia" w:ascii="Times New Roman" w:hAnsi="Times New Roman" w:eastAsia="宋体" w:cs="宋体"/>
          <w:lang w:eastAsia="zh-CN"/>
        </w:rPr>
        <w:t>项目商务要求</w:t>
      </w:r>
      <w:bookmarkEnd w:id="105"/>
      <w:bookmarkEnd w:id="106"/>
    </w:p>
    <w:p>
      <w:pPr>
        <w:pStyle w:val="62"/>
        <w:keepNext w:val="0"/>
        <w:keepLines/>
        <w:widowControl/>
        <w:numPr>
          <w:ilvl w:val="1"/>
          <w:numId w:val="3"/>
        </w:numPr>
        <w:suppressLineNumbers w:val="0"/>
        <w:ind w:left="0" w:firstLine="0"/>
        <w:textAlignment w:val="baseline"/>
        <w:rPr>
          <w:vertAlign w:val="baseline"/>
          <w:lang w:val="en-US"/>
        </w:rPr>
      </w:pPr>
      <w:bookmarkStart w:id="107" w:name="_Toc36829361"/>
      <w:bookmarkStart w:id="108" w:name="_Toc28965"/>
      <w:r>
        <w:rPr>
          <w:rFonts w:hint="eastAsia" w:ascii="Times New Roman" w:hAnsi="Times New Roman" w:eastAsia="宋体" w:cs="宋体"/>
          <w:vertAlign w:val="baseline"/>
          <w:lang w:eastAsia="zh-CN"/>
        </w:rPr>
        <w:t>投标人资质要求</w:t>
      </w:r>
      <w:bookmarkEnd w:id="107"/>
      <w:bookmarkEnd w:id="108"/>
    </w:p>
    <w:p>
      <w:pPr>
        <w:pStyle w:val="21"/>
        <w:widowControl/>
        <w:numPr>
          <w:ilvl w:val="0"/>
          <w:numId w:val="21"/>
        </w:numPr>
        <w:spacing w:line="360" w:lineRule="auto"/>
        <w:ind w:left="426" w:hanging="420"/>
        <w:contextualSpacing/>
        <w:rPr>
          <w:rFonts w:hint="eastAsia" w:ascii="宋体" w:hAnsi="宋体" w:eastAsia="宋体" w:cs="宋体"/>
          <w:sz w:val="24"/>
          <w:szCs w:val="28"/>
          <w:lang w:val="en-US"/>
        </w:rPr>
      </w:pPr>
      <w:r>
        <w:rPr>
          <w:rFonts w:hint="eastAsia" w:ascii="宋体" w:hAnsi="宋体" w:eastAsia="宋体" w:cs="宋体"/>
          <w:sz w:val="24"/>
          <w:szCs w:val="28"/>
          <w:lang w:eastAsia="zh-CN"/>
        </w:rPr>
        <w:t>投标人具有独立法人资格，具有良好信誉和业绩，拥有成熟健壮的软件产品，技术实力雄厚且具有丰富的财务共享服务中心咨询实施经验，拥有专业的信息化咨询项目团队，以保证为中国重汽提供相应的咨询、建设意见；</w:t>
      </w:r>
    </w:p>
    <w:p>
      <w:pPr>
        <w:pStyle w:val="21"/>
        <w:widowControl/>
        <w:numPr>
          <w:ilvl w:val="0"/>
          <w:numId w:val="21"/>
        </w:numPr>
        <w:spacing w:line="360" w:lineRule="auto"/>
        <w:ind w:left="426" w:hanging="420"/>
        <w:contextualSpacing/>
        <w:rPr>
          <w:rFonts w:hint="eastAsia" w:ascii="宋体" w:hAnsi="宋体" w:eastAsia="宋体" w:cs="宋体"/>
          <w:sz w:val="24"/>
          <w:szCs w:val="28"/>
          <w:lang w:val="en-US"/>
        </w:rPr>
      </w:pPr>
      <w:r>
        <w:rPr>
          <w:rFonts w:hint="eastAsia" w:ascii="宋体" w:hAnsi="宋体" w:eastAsia="宋体" w:cs="宋体"/>
          <w:sz w:val="24"/>
          <w:szCs w:val="28"/>
          <w:lang w:eastAsia="zh-CN"/>
        </w:rPr>
        <w:t>公司成立三年以上（以营业执照成立日期到开标当日满三年为准）；</w:t>
      </w:r>
    </w:p>
    <w:p>
      <w:pPr>
        <w:pStyle w:val="21"/>
        <w:widowControl/>
        <w:numPr>
          <w:ilvl w:val="0"/>
          <w:numId w:val="21"/>
        </w:numPr>
        <w:spacing w:line="360" w:lineRule="auto"/>
        <w:ind w:left="426" w:hanging="420"/>
        <w:contextualSpacing/>
        <w:rPr>
          <w:rFonts w:hint="eastAsia" w:ascii="宋体" w:hAnsi="宋体" w:eastAsia="宋体" w:cs="宋体"/>
          <w:sz w:val="24"/>
          <w:szCs w:val="28"/>
          <w:lang w:val="en-US"/>
        </w:rPr>
      </w:pPr>
      <w:r>
        <w:rPr>
          <w:rFonts w:hint="eastAsia" w:ascii="宋体" w:hAnsi="宋体" w:eastAsia="宋体" w:cs="宋体"/>
          <w:sz w:val="24"/>
          <w:szCs w:val="28"/>
          <w:lang w:eastAsia="zh-CN"/>
        </w:rPr>
        <w:t>应具备大型集团型制造业企业的财务共享服务中心系统咨询能力和经验；须详细列出近</w:t>
      </w:r>
      <w:r>
        <w:rPr>
          <w:rFonts w:hint="eastAsia" w:ascii="宋体" w:hAnsi="宋体" w:eastAsia="宋体" w:cs="宋体"/>
          <w:sz w:val="24"/>
          <w:szCs w:val="28"/>
          <w:lang w:val="en-US"/>
        </w:rPr>
        <w:t>3</w:t>
      </w:r>
      <w:r>
        <w:rPr>
          <w:rFonts w:hint="eastAsia" w:ascii="宋体" w:hAnsi="宋体" w:eastAsia="宋体" w:cs="宋体"/>
          <w:sz w:val="24"/>
          <w:szCs w:val="28"/>
          <w:lang w:eastAsia="zh-CN"/>
        </w:rPr>
        <w:t>年来在该方面服务于大型集团型企业的项目案例；</w:t>
      </w:r>
    </w:p>
    <w:p>
      <w:pPr>
        <w:pStyle w:val="21"/>
        <w:widowControl/>
        <w:numPr>
          <w:ilvl w:val="0"/>
          <w:numId w:val="21"/>
        </w:numPr>
        <w:spacing w:line="360" w:lineRule="auto"/>
        <w:ind w:left="426" w:hanging="420"/>
        <w:contextualSpacing/>
        <w:rPr>
          <w:rFonts w:hint="eastAsia" w:ascii="宋体" w:hAnsi="宋体" w:eastAsia="宋体" w:cs="宋体"/>
          <w:sz w:val="24"/>
          <w:szCs w:val="28"/>
          <w:lang w:val="en-US"/>
        </w:rPr>
      </w:pPr>
      <w:r>
        <w:rPr>
          <w:rFonts w:hint="eastAsia" w:ascii="宋体" w:hAnsi="宋体" w:eastAsia="宋体" w:cs="宋体"/>
          <w:sz w:val="24"/>
          <w:szCs w:val="28"/>
          <w:lang w:eastAsia="zh-CN"/>
        </w:rPr>
        <w:t>应具有业务咨询、系统设计、开发和实施方面的能力；</w:t>
      </w:r>
    </w:p>
    <w:p>
      <w:pPr>
        <w:pStyle w:val="21"/>
        <w:widowControl/>
        <w:numPr>
          <w:ilvl w:val="0"/>
          <w:numId w:val="21"/>
        </w:numPr>
        <w:spacing w:line="360" w:lineRule="auto"/>
        <w:ind w:left="426" w:hanging="420"/>
        <w:contextualSpacing/>
        <w:rPr>
          <w:rFonts w:hint="eastAsia" w:ascii="宋体" w:hAnsi="宋体" w:eastAsia="宋体" w:cs="宋体"/>
          <w:sz w:val="24"/>
          <w:szCs w:val="28"/>
          <w:lang w:val="en-US"/>
        </w:rPr>
      </w:pPr>
      <w:r>
        <w:rPr>
          <w:rFonts w:hint="eastAsia" w:ascii="宋体" w:hAnsi="宋体" w:eastAsia="宋体" w:cs="宋体"/>
          <w:sz w:val="24"/>
          <w:szCs w:val="28"/>
          <w:lang w:eastAsia="zh-CN"/>
        </w:rPr>
        <w:t>项目组核心成员应具备财务共享服务中心实施的相关经验；</w:t>
      </w:r>
    </w:p>
    <w:p>
      <w:pPr>
        <w:pStyle w:val="21"/>
        <w:widowControl/>
        <w:numPr>
          <w:ilvl w:val="0"/>
          <w:numId w:val="21"/>
        </w:numPr>
        <w:spacing w:line="360" w:lineRule="auto"/>
        <w:ind w:left="426" w:hanging="420"/>
        <w:contextualSpacing/>
        <w:rPr>
          <w:rFonts w:hint="eastAsia" w:ascii="宋体" w:hAnsi="宋体" w:eastAsia="宋体" w:cs="宋体"/>
          <w:sz w:val="24"/>
          <w:szCs w:val="28"/>
          <w:lang w:val="en-US"/>
        </w:rPr>
      </w:pPr>
      <w:r>
        <w:rPr>
          <w:rFonts w:hint="eastAsia" w:ascii="宋体" w:hAnsi="宋体" w:eastAsia="宋体" w:cs="宋体"/>
          <w:sz w:val="24"/>
          <w:szCs w:val="28"/>
          <w:lang w:eastAsia="zh-CN"/>
        </w:rPr>
        <w:t>投标人遵守执业准则和执业规范，近</w:t>
      </w:r>
      <w:r>
        <w:rPr>
          <w:rFonts w:hint="eastAsia" w:ascii="宋体" w:hAnsi="宋体" w:eastAsia="宋体" w:cs="宋体"/>
          <w:sz w:val="24"/>
          <w:szCs w:val="28"/>
          <w:lang w:val="en-US"/>
        </w:rPr>
        <w:t>3</w:t>
      </w:r>
      <w:r>
        <w:rPr>
          <w:rFonts w:hint="eastAsia" w:ascii="宋体" w:hAnsi="宋体" w:eastAsia="宋体" w:cs="宋体"/>
          <w:sz w:val="24"/>
          <w:szCs w:val="28"/>
          <w:lang w:eastAsia="zh-CN"/>
        </w:rPr>
        <w:t>年内没有违法、违规或行业自律惩戒记录。</w:t>
      </w:r>
    </w:p>
    <w:p>
      <w:pPr>
        <w:pStyle w:val="62"/>
        <w:keepNext w:val="0"/>
        <w:keepLines/>
        <w:widowControl/>
        <w:numPr>
          <w:ilvl w:val="1"/>
          <w:numId w:val="3"/>
        </w:numPr>
        <w:suppressLineNumbers w:val="0"/>
        <w:ind w:left="0" w:firstLine="0"/>
        <w:textAlignment w:val="baseline"/>
        <w:rPr>
          <w:vertAlign w:val="baseline"/>
          <w:lang w:val="en-US"/>
        </w:rPr>
      </w:pPr>
      <w:bookmarkStart w:id="109" w:name="_Toc36829362"/>
      <w:bookmarkStart w:id="110" w:name="_Toc19387"/>
      <w:r>
        <w:rPr>
          <w:rFonts w:hint="eastAsia" w:ascii="Times New Roman" w:hAnsi="Times New Roman" w:eastAsia="宋体" w:cs="宋体"/>
          <w:vertAlign w:val="baseline"/>
          <w:lang w:eastAsia="zh-CN"/>
        </w:rPr>
        <w:t>人力资源要求</w:t>
      </w:r>
      <w:bookmarkEnd w:id="109"/>
      <w:bookmarkEnd w:id="110"/>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投标人要建立实施该项目的组织架构，要求保持项目组人员的稳定，此项目中项目经理及项目组成员原则上不得更换并保证全时投入，如有必要，乙方要求项目成员更换需经甲方审批且替换比例不得超过</w:t>
      </w:r>
      <w:r>
        <w:rPr>
          <w:lang w:val="en-US"/>
        </w:rPr>
        <w:t>10%</w:t>
      </w:r>
      <w:r>
        <w:rPr>
          <w:rFonts w:hint="eastAsia" w:ascii="Times New Roman" w:hAnsi="Times New Roman" w:eastAsia="宋体" w:cs="宋体"/>
          <w:lang w:eastAsia="zh-CN"/>
        </w:rPr>
        <w:t>，投标人须提供项目总监、项目经理及项目组成员简历。</w:t>
      </w:r>
    </w:p>
    <w:p>
      <w:pPr>
        <w:pStyle w:val="62"/>
        <w:keepNext w:val="0"/>
        <w:keepLines/>
        <w:widowControl/>
        <w:numPr>
          <w:ilvl w:val="1"/>
          <w:numId w:val="3"/>
        </w:numPr>
        <w:suppressLineNumbers w:val="0"/>
        <w:ind w:left="0" w:firstLine="0"/>
        <w:textAlignment w:val="baseline"/>
        <w:rPr>
          <w:vertAlign w:val="baseline"/>
          <w:lang w:val="en-US"/>
        </w:rPr>
      </w:pPr>
      <w:bookmarkStart w:id="111" w:name="_Toc36829363"/>
      <w:bookmarkStart w:id="112" w:name="_Toc20236"/>
      <w:r>
        <w:rPr>
          <w:rFonts w:hint="eastAsia" w:ascii="Times New Roman" w:hAnsi="Times New Roman" w:eastAsia="宋体" w:cs="宋体"/>
          <w:vertAlign w:val="baseline"/>
          <w:lang w:eastAsia="zh-CN"/>
        </w:rPr>
        <w:t>培训及售后服务要求</w:t>
      </w:r>
      <w:bookmarkEnd w:id="111"/>
      <w:bookmarkEnd w:id="112"/>
    </w:p>
    <w:p>
      <w:pPr>
        <w:pStyle w:val="53"/>
        <w:keepNext w:val="0"/>
        <w:keepLines/>
        <w:widowControl/>
        <w:numPr>
          <w:ilvl w:val="2"/>
          <w:numId w:val="3"/>
        </w:numPr>
        <w:suppressLineNumbers w:val="0"/>
        <w:ind w:left="0" w:firstLine="0"/>
        <w:rPr>
          <w:lang w:val="en-US"/>
        </w:rPr>
      </w:pPr>
      <w:bookmarkStart w:id="113" w:name="_Toc36829364"/>
      <w:bookmarkStart w:id="114" w:name="_Toc29520"/>
      <w:r>
        <w:rPr>
          <w:rFonts w:hint="eastAsia" w:ascii="Times New Roman" w:hAnsi="Times New Roman" w:eastAsia="宋体" w:cs="宋体"/>
          <w:lang w:eastAsia="zh-CN"/>
        </w:rPr>
        <w:t>培训方案</w:t>
      </w:r>
      <w:bookmarkEnd w:id="113"/>
      <w:bookmarkEnd w:id="114"/>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为了使招标人能很好地使用投标人的产品，投标人应向招标人提供整套培训方案，培训方案至少应涵盖本文件中规定的内容。</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培训课件需结合用户实际需求进行准备，培训次数根据用户实际需求进行组织安排，供应商不能限定培训次数。</w:t>
      </w:r>
    </w:p>
    <w:p>
      <w:pPr>
        <w:pStyle w:val="33"/>
        <w:keepNext w:val="0"/>
        <w:keepLines w:val="0"/>
        <w:widowControl/>
        <w:numPr>
          <w:ilvl w:val="0"/>
          <w:numId w:val="22"/>
        </w:numPr>
        <w:suppressLineNumbers w:val="0"/>
        <w:ind w:left="900" w:hanging="420" w:firstLineChars="0"/>
        <w:rPr>
          <w:lang w:val="en-US"/>
        </w:rPr>
      </w:pPr>
      <w:r>
        <w:rPr>
          <w:rFonts w:hint="eastAsia" w:ascii="Times New Roman" w:hAnsi="Times New Roman" w:eastAsia="宋体" w:cs="宋体"/>
          <w:lang w:eastAsia="zh-CN"/>
        </w:rPr>
        <w:t>基础培训</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培训内容：中国重汽财务共享服务中心培训；</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培训目的：使参加培训的人员基本掌握产品的理论背景、使用和具体操作；</w:t>
      </w:r>
    </w:p>
    <w:p>
      <w:pPr>
        <w:pStyle w:val="33"/>
        <w:keepNext w:val="0"/>
        <w:keepLines w:val="0"/>
        <w:widowControl/>
        <w:numPr>
          <w:ilvl w:val="0"/>
          <w:numId w:val="22"/>
        </w:numPr>
        <w:suppressLineNumbers w:val="0"/>
        <w:ind w:left="900" w:hanging="420" w:firstLineChars="0"/>
        <w:rPr>
          <w:lang w:val="en-US"/>
        </w:rPr>
      </w:pPr>
      <w:r>
        <w:rPr>
          <w:rFonts w:hint="eastAsia" w:ascii="Times New Roman" w:hAnsi="Times New Roman" w:eastAsia="宋体" w:cs="宋体"/>
          <w:lang w:eastAsia="zh-CN"/>
        </w:rPr>
        <w:t>应用培训</w:t>
      </w:r>
    </w:p>
    <w:p>
      <w:pPr>
        <w:pStyle w:val="33"/>
        <w:keepNext w:val="0"/>
        <w:keepLines w:val="0"/>
        <w:widowControl/>
        <w:suppressLineNumbers w:val="0"/>
        <w:ind w:left="480" w:firstLine="0" w:firstLineChars="0"/>
        <w:rPr>
          <w:lang w:val="en-US"/>
        </w:rPr>
      </w:pPr>
      <w:r>
        <w:rPr>
          <w:rFonts w:hint="eastAsia" w:ascii="Times New Roman" w:hAnsi="Times New Roman" w:eastAsia="宋体" w:cs="宋体"/>
          <w:lang w:eastAsia="zh-CN"/>
        </w:rPr>
        <w:t>培训内容：针对产品功能的培训，从流程和功能上进行讲解；</w:t>
      </w:r>
    </w:p>
    <w:p>
      <w:pPr>
        <w:pStyle w:val="33"/>
        <w:keepNext w:val="0"/>
        <w:keepLines w:val="0"/>
        <w:widowControl/>
        <w:suppressLineNumbers w:val="0"/>
        <w:ind w:left="480" w:firstLine="0" w:firstLineChars="0"/>
        <w:rPr>
          <w:lang w:val="en-US"/>
        </w:rPr>
      </w:pPr>
      <w:r>
        <w:rPr>
          <w:rFonts w:hint="eastAsia" w:ascii="Times New Roman" w:hAnsi="Times New Roman" w:eastAsia="宋体" w:cs="宋体"/>
          <w:lang w:eastAsia="zh-CN"/>
        </w:rPr>
        <w:t>培训目的：使招标人相关人员初步掌握产品的应用方法；</w:t>
      </w:r>
    </w:p>
    <w:p>
      <w:pPr>
        <w:pStyle w:val="33"/>
        <w:keepNext w:val="0"/>
        <w:keepLines w:val="0"/>
        <w:widowControl/>
        <w:numPr>
          <w:ilvl w:val="0"/>
          <w:numId w:val="22"/>
        </w:numPr>
        <w:suppressLineNumbers w:val="0"/>
        <w:ind w:left="900" w:hanging="420" w:firstLineChars="0"/>
        <w:rPr>
          <w:lang w:val="en-US"/>
        </w:rPr>
      </w:pPr>
      <w:r>
        <w:rPr>
          <w:rFonts w:hint="eastAsia" w:ascii="Times New Roman" w:hAnsi="Times New Roman" w:eastAsia="宋体" w:cs="宋体"/>
          <w:lang w:eastAsia="zh-CN"/>
        </w:rPr>
        <w:t>技术培训</w:t>
      </w:r>
    </w:p>
    <w:p>
      <w:pPr>
        <w:pStyle w:val="33"/>
        <w:keepNext w:val="0"/>
        <w:keepLines w:val="0"/>
        <w:widowControl/>
        <w:suppressLineNumbers w:val="0"/>
        <w:ind w:left="480" w:firstLine="0" w:firstLineChars="0"/>
        <w:rPr>
          <w:lang w:val="en-US"/>
        </w:rPr>
      </w:pPr>
      <w:r>
        <w:rPr>
          <w:rFonts w:hint="eastAsia" w:ascii="Times New Roman" w:hAnsi="Times New Roman" w:eastAsia="宋体" w:cs="宋体"/>
          <w:lang w:eastAsia="zh-CN"/>
        </w:rPr>
        <w:t>培训内容：针对产品客制开发的培训，从架构、设计和开发上进行讲解；</w:t>
      </w:r>
    </w:p>
    <w:p>
      <w:pPr>
        <w:pStyle w:val="33"/>
        <w:keepNext w:val="0"/>
        <w:keepLines w:val="0"/>
        <w:widowControl/>
        <w:suppressLineNumbers w:val="0"/>
        <w:ind w:left="480" w:firstLine="0" w:firstLineChars="0"/>
        <w:rPr>
          <w:lang w:val="en-US"/>
        </w:rPr>
      </w:pPr>
      <w:r>
        <w:rPr>
          <w:rFonts w:hint="eastAsia" w:ascii="Times New Roman" w:hAnsi="Times New Roman" w:eastAsia="宋体" w:cs="宋体"/>
          <w:lang w:eastAsia="zh-CN"/>
        </w:rPr>
        <w:t>培训目的：使招标人相关人员初步掌握产品的客制开发；</w:t>
      </w:r>
    </w:p>
    <w:p>
      <w:pPr>
        <w:pStyle w:val="53"/>
        <w:keepNext w:val="0"/>
        <w:keepLines/>
        <w:widowControl/>
        <w:numPr>
          <w:ilvl w:val="2"/>
          <w:numId w:val="3"/>
        </w:numPr>
        <w:suppressLineNumbers w:val="0"/>
        <w:ind w:left="0" w:firstLine="0"/>
        <w:rPr>
          <w:lang w:val="en-US"/>
        </w:rPr>
      </w:pPr>
      <w:bookmarkStart w:id="115" w:name="_Toc36829365"/>
      <w:bookmarkStart w:id="116" w:name="_Toc1424"/>
      <w:r>
        <w:rPr>
          <w:rFonts w:hint="eastAsia" w:ascii="Times New Roman" w:hAnsi="Times New Roman" w:eastAsia="宋体" w:cs="宋体"/>
          <w:lang w:eastAsia="zh-CN"/>
        </w:rPr>
        <w:t>知识转移</w:t>
      </w:r>
      <w:bookmarkEnd w:id="115"/>
      <w:bookmarkEnd w:id="116"/>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投标人需按照项目阶段，制定完善的与招标人关键用户和</w:t>
      </w:r>
      <w:r>
        <w:rPr>
          <w:lang w:val="en-US"/>
        </w:rPr>
        <w:t>IT</w:t>
      </w:r>
      <w:r>
        <w:rPr>
          <w:rFonts w:hint="eastAsia" w:ascii="Times New Roman" w:hAnsi="Times New Roman" w:eastAsia="宋体" w:cs="宋体"/>
          <w:lang w:eastAsia="zh-CN"/>
        </w:rPr>
        <w:t>人员进行知识转移、系统承接的方案，包括但不限于：系统平台安装配置说明文档、方案与系统配置文档、用户培训文档、用户手册、开发文档、项目问题及变更清单等项目过程文档。如提供平台源代码或提供平台三年以上免费升级服务，作为加分项。</w:t>
      </w:r>
    </w:p>
    <w:p>
      <w:pPr>
        <w:pStyle w:val="53"/>
        <w:keepNext w:val="0"/>
        <w:keepLines/>
        <w:widowControl/>
        <w:numPr>
          <w:ilvl w:val="2"/>
          <w:numId w:val="3"/>
        </w:numPr>
        <w:suppressLineNumbers w:val="0"/>
        <w:ind w:left="0" w:firstLine="0"/>
        <w:rPr>
          <w:lang w:val="en-US"/>
        </w:rPr>
      </w:pPr>
      <w:bookmarkStart w:id="117" w:name="_Toc36829366"/>
      <w:bookmarkStart w:id="118" w:name="_Toc29852"/>
      <w:r>
        <w:rPr>
          <w:rFonts w:hint="eastAsia" w:ascii="Times New Roman" w:hAnsi="Times New Roman" w:eastAsia="宋体" w:cs="宋体"/>
          <w:lang w:eastAsia="zh-CN"/>
        </w:rPr>
        <w:t>售后技术支持</w:t>
      </w:r>
      <w:bookmarkEnd w:id="117"/>
      <w:bookmarkEnd w:id="118"/>
    </w:p>
    <w:p>
      <w:pPr>
        <w:pStyle w:val="33"/>
        <w:keepNext w:val="0"/>
        <w:keepLines w:val="0"/>
        <w:widowControl/>
        <w:numPr>
          <w:ilvl w:val="0"/>
          <w:numId w:val="22"/>
        </w:numPr>
        <w:suppressLineNumbers w:val="0"/>
        <w:ind w:left="900" w:hanging="420" w:firstLineChars="0"/>
        <w:rPr>
          <w:lang w:val="en-US"/>
        </w:rPr>
      </w:pPr>
      <w:r>
        <w:rPr>
          <w:rFonts w:hint="eastAsia" w:ascii="Times New Roman" w:hAnsi="Times New Roman" w:eastAsia="宋体" w:cs="宋体"/>
          <w:lang w:eastAsia="zh-CN"/>
        </w:rPr>
        <w:t>售后响应时间</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投标人应具有较强的技术支持能力，按照不同问题等级，投标人均需要在接到招标人提报后尽快给予答复并解决：</w:t>
      </w:r>
      <w:r>
        <w:rPr>
          <w:lang w:val="en-US"/>
        </w:rPr>
        <w:t>1</w:t>
      </w:r>
      <w:r>
        <w:rPr>
          <w:rFonts w:hint="eastAsia" w:ascii="Times New Roman" w:hAnsi="Times New Roman" w:eastAsia="宋体" w:cs="宋体"/>
          <w:lang w:eastAsia="zh-CN"/>
        </w:rPr>
        <w:t>）严重问题（系统崩溃、数据丢失或损坏、关键功能不可用等）</w:t>
      </w:r>
      <w:r>
        <w:rPr>
          <w:lang w:val="en-US"/>
        </w:rPr>
        <w:t>2</w:t>
      </w:r>
      <w:r>
        <w:rPr>
          <w:rFonts w:hint="eastAsia" w:ascii="Times New Roman" w:hAnsi="Times New Roman" w:eastAsia="宋体" w:cs="宋体"/>
          <w:lang w:eastAsia="zh-CN"/>
        </w:rPr>
        <w:t>小时内响应并解决；</w:t>
      </w:r>
      <w:r>
        <w:rPr>
          <w:lang w:val="en-US"/>
        </w:rPr>
        <w:t>2</w:t>
      </w:r>
      <w:r>
        <w:rPr>
          <w:rFonts w:hint="eastAsia" w:ascii="Times New Roman" w:hAnsi="Times New Roman" w:eastAsia="宋体" w:cs="宋体"/>
          <w:lang w:eastAsia="zh-CN"/>
        </w:rPr>
        <w:t>）紧急问题（产品错误或故障、性能降低、功能非正常方式受限使用等）</w:t>
      </w:r>
      <w:r>
        <w:rPr>
          <w:lang w:val="en-US"/>
        </w:rPr>
        <w:t>24</w:t>
      </w:r>
      <w:r>
        <w:rPr>
          <w:rFonts w:hint="eastAsia" w:ascii="Times New Roman" w:hAnsi="Times New Roman" w:eastAsia="宋体" w:cs="宋体"/>
          <w:lang w:eastAsia="zh-CN"/>
        </w:rPr>
        <w:t>小时内响应，</w:t>
      </w:r>
      <w:r>
        <w:rPr>
          <w:lang w:val="en-US"/>
        </w:rPr>
        <w:t>48</w:t>
      </w:r>
      <w:r>
        <w:rPr>
          <w:rFonts w:hint="eastAsia" w:ascii="Times New Roman" w:hAnsi="Times New Roman" w:eastAsia="宋体" w:cs="宋体"/>
          <w:lang w:eastAsia="zh-CN"/>
        </w:rPr>
        <w:t>小时内解决；</w:t>
      </w:r>
      <w:r>
        <w:rPr>
          <w:lang w:val="en-US"/>
        </w:rPr>
        <w:t>3</w:t>
      </w:r>
      <w:r>
        <w:rPr>
          <w:rFonts w:hint="eastAsia" w:ascii="Times New Roman" w:hAnsi="Times New Roman" w:eastAsia="宋体" w:cs="宋体"/>
          <w:lang w:eastAsia="zh-CN"/>
        </w:rPr>
        <w:t>）其他一般问题（轻微的性能或者功能故障，对企业运营不会产生影响等）</w:t>
      </w:r>
      <w:r>
        <w:rPr>
          <w:lang w:val="en-US"/>
        </w:rPr>
        <w:t>24</w:t>
      </w:r>
      <w:r>
        <w:rPr>
          <w:rFonts w:hint="eastAsia" w:ascii="Times New Roman" w:hAnsi="Times New Roman" w:eastAsia="宋体" w:cs="宋体"/>
          <w:lang w:eastAsia="zh-CN"/>
        </w:rPr>
        <w:t>小时内响应，</w:t>
      </w:r>
      <w:r>
        <w:rPr>
          <w:lang w:val="en-US"/>
        </w:rPr>
        <w:t>72</w:t>
      </w:r>
      <w:r>
        <w:rPr>
          <w:rFonts w:hint="eastAsia" w:ascii="Times New Roman" w:hAnsi="Times New Roman" w:eastAsia="宋体" w:cs="宋体"/>
          <w:lang w:eastAsia="zh-CN"/>
        </w:rPr>
        <w:t>小时内并解决。</w:t>
      </w:r>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自项目上线之日起投标人应向招标人提供至少</w:t>
      </w:r>
      <w:r>
        <w:rPr>
          <w:lang w:val="en-US"/>
        </w:rPr>
        <w:t>3</w:t>
      </w:r>
      <w:r>
        <w:rPr>
          <w:rFonts w:hint="eastAsia" w:ascii="Times New Roman" w:hAnsi="Times New Roman" w:eastAsia="宋体" w:cs="宋体"/>
          <w:lang w:eastAsia="zh-CN"/>
        </w:rPr>
        <w:t>个月的现场支持服务和一年的免费技术支持服务。</w:t>
      </w:r>
    </w:p>
    <w:p>
      <w:pPr>
        <w:pStyle w:val="62"/>
        <w:keepNext w:val="0"/>
        <w:keepLines/>
        <w:widowControl/>
        <w:numPr>
          <w:ilvl w:val="1"/>
          <w:numId w:val="3"/>
        </w:numPr>
        <w:suppressLineNumbers w:val="0"/>
        <w:ind w:left="0" w:firstLine="0"/>
        <w:textAlignment w:val="baseline"/>
        <w:rPr>
          <w:vertAlign w:val="baseline"/>
          <w:lang w:val="en-US"/>
        </w:rPr>
      </w:pPr>
      <w:bookmarkStart w:id="119" w:name="_Toc36829367"/>
      <w:bookmarkStart w:id="120" w:name="_Toc3396"/>
      <w:r>
        <w:rPr>
          <w:rFonts w:hint="eastAsia" w:ascii="Times New Roman" w:hAnsi="Times New Roman" w:eastAsia="宋体" w:cs="宋体"/>
          <w:vertAlign w:val="baseline"/>
          <w:lang w:eastAsia="zh-CN"/>
        </w:rPr>
        <w:t>项目实施计划表</w:t>
      </w:r>
      <w:bookmarkEnd w:id="119"/>
      <w:bookmarkEnd w:id="120"/>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本项目计划实施周期</w:t>
      </w:r>
      <w:r>
        <w:rPr>
          <w:lang w:val="en-US"/>
        </w:rPr>
        <w:t>8</w:t>
      </w:r>
      <w:r>
        <w:rPr>
          <w:rFonts w:hint="eastAsia" w:ascii="Times New Roman" w:hAnsi="Times New Roman" w:eastAsia="宋体" w:cs="宋体"/>
          <w:lang w:eastAsia="zh-CN"/>
        </w:rPr>
        <w:t>个月，要求系统</w:t>
      </w:r>
      <w:r>
        <w:rPr>
          <w:lang w:val="en-US"/>
        </w:rPr>
        <w:t>12</w:t>
      </w:r>
      <w:r>
        <w:rPr>
          <w:rFonts w:hint="eastAsia" w:ascii="Times New Roman" w:hAnsi="Times New Roman" w:eastAsia="宋体" w:cs="宋体"/>
          <w:lang w:eastAsia="zh-CN"/>
        </w:rPr>
        <w:t>月第一阶段上线，明年</w:t>
      </w:r>
      <w:r>
        <w:rPr>
          <w:lang w:val="en-US"/>
        </w:rPr>
        <w:t>4</w:t>
      </w:r>
      <w:r>
        <w:rPr>
          <w:rFonts w:hint="eastAsia" w:ascii="Times New Roman" w:hAnsi="Times New Roman" w:eastAsia="宋体" w:cs="宋体"/>
          <w:lang w:eastAsia="zh-CN"/>
        </w:rPr>
        <w:t>月第二阶段上线，投标人按照招标人要求，制定相应的项目实施计划、项目收益及关键节点交付物。</w:t>
      </w:r>
    </w:p>
    <w:p>
      <w:pPr>
        <w:pStyle w:val="62"/>
        <w:keepNext w:val="0"/>
        <w:keepLines/>
        <w:widowControl/>
        <w:numPr>
          <w:ilvl w:val="1"/>
          <w:numId w:val="3"/>
        </w:numPr>
        <w:suppressLineNumbers w:val="0"/>
        <w:ind w:left="0" w:firstLine="0"/>
        <w:textAlignment w:val="baseline"/>
        <w:rPr>
          <w:vertAlign w:val="baseline"/>
          <w:lang w:val="en-US"/>
        </w:rPr>
      </w:pPr>
      <w:bookmarkStart w:id="121" w:name="_Toc36829368"/>
      <w:bookmarkStart w:id="122" w:name="_Toc19544"/>
      <w:r>
        <w:rPr>
          <w:rFonts w:hint="eastAsia" w:ascii="Times New Roman" w:hAnsi="Times New Roman" w:eastAsia="宋体" w:cs="宋体"/>
          <w:vertAlign w:val="baseline"/>
          <w:lang w:eastAsia="zh-CN"/>
        </w:rPr>
        <w:t>需求偏离</w:t>
      </w:r>
      <w:bookmarkEnd w:id="121"/>
      <w:bookmarkEnd w:id="122"/>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见附录商务条款偏离表、技术规格、参数偏离表。</w:t>
      </w:r>
    </w:p>
    <w:p>
      <w:pPr>
        <w:pStyle w:val="62"/>
        <w:keepNext w:val="0"/>
        <w:keepLines/>
        <w:widowControl/>
        <w:numPr>
          <w:ilvl w:val="1"/>
          <w:numId w:val="3"/>
        </w:numPr>
        <w:suppressLineNumbers w:val="0"/>
        <w:ind w:left="0" w:firstLine="0"/>
        <w:textAlignment w:val="baseline"/>
        <w:rPr>
          <w:vertAlign w:val="baseline"/>
          <w:lang w:val="en-US"/>
        </w:rPr>
      </w:pPr>
      <w:bookmarkStart w:id="123" w:name="_Toc36829369"/>
      <w:bookmarkStart w:id="124" w:name="_Toc1190"/>
      <w:r>
        <w:rPr>
          <w:rFonts w:hint="eastAsia" w:ascii="Times New Roman" w:hAnsi="Times New Roman" w:eastAsia="宋体" w:cs="宋体"/>
          <w:vertAlign w:val="baseline"/>
          <w:lang w:eastAsia="zh-CN"/>
        </w:rPr>
        <w:t>其他</w:t>
      </w:r>
      <w:bookmarkEnd w:id="123"/>
      <w:bookmarkEnd w:id="124"/>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招标人对该文件具有最终解释权。</w:t>
      </w:r>
    </w:p>
    <w:p>
      <w:pPr>
        <w:pStyle w:val="33"/>
        <w:keepNext w:val="0"/>
        <w:keepLines w:val="0"/>
        <w:widowControl/>
        <w:suppressLineNumbers w:val="0"/>
        <w:ind w:left="0" w:firstLine="480"/>
        <w:rPr>
          <w:lang w:val="en-US"/>
        </w:rPr>
      </w:pPr>
    </w:p>
    <w:p>
      <w:pPr>
        <w:pStyle w:val="32"/>
        <w:keepNext w:val="0"/>
        <w:keepLines/>
        <w:widowControl/>
        <w:numPr>
          <w:ilvl w:val="0"/>
          <w:numId w:val="3"/>
        </w:numPr>
        <w:suppressLineNumbers w:val="0"/>
        <w:ind w:left="0" w:firstLine="0"/>
        <w:rPr>
          <w:lang w:val="en-US"/>
        </w:rPr>
      </w:pPr>
      <w:bookmarkStart w:id="125" w:name="_Toc36829370"/>
      <w:bookmarkStart w:id="126" w:name="_Toc2314"/>
      <w:r>
        <w:rPr>
          <w:rFonts w:hint="eastAsia" w:ascii="Times New Roman" w:hAnsi="Times New Roman" w:eastAsia="宋体" w:cs="宋体"/>
          <w:lang w:eastAsia="zh-CN"/>
        </w:rPr>
        <w:t>评价标准</w:t>
      </w:r>
      <w:bookmarkEnd w:id="125"/>
      <w:bookmarkEnd w:id="126"/>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招标人项目评标委员会成员会按照本招标文件所阐述的项目技术要求、项目商务要求等内容及现场方案讲解情况对投标人进行综合评价。详见</w:t>
      </w:r>
      <w:r>
        <w:rPr>
          <w:rFonts w:cs="宋体"/>
          <w:lang w:val="en-US"/>
        </w:rPr>
        <w:t>7.1.</w:t>
      </w:r>
    </w:p>
    <w:p>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2"/>
          <w:lang w:val="en-US"/>
        </w:rPr>
      </w:pPr>
      <w:r>
        <w:rPr>
          <w:rFonts w:hint="default" w:ascii="Calibri" w:hAnsi="Calibri" w:eastAsia="宋体" w:cs="Times New Roman"/>
          <w:kern w:val="2"/>
          <w:sz w:val="21"/>
          <w:szCs w:val="22"/>
          <w:lang w:val="en-US" w:eastAsia="zh-CN" w:bidi="ar"/>
        </w:rPr>
        <w:br w:type="page"/>
      </w:r>
    </w:p>
    <w:p>
      <w:pPr>
        <w:pStyle w:val="32"/>
        <w:keepNext w:val="0"/>
        <w:keepLines/>
        <w:widowControl/>
        <w:numPr>
          <w:ilvl w:val="0"/>
          <w:numId w:val="3"/>
        </w:numPr>
        <w:suppressLineNumbers w:val="0"/>
        <w:ind w:left="0" w:firstLine="0"/>
        <w:rPr>
          <w:lang w:val="en-US"/>
        </w:rPr>
      </w:pPr>
      <w:bookmarkStart w:id="127" w:name="_Toc36829371"/>
      <w:bookmarkStart w:id="128" w:name="_Toc2591"/>
      <w:r>
        <w:rPr>
          <w:rFonts w:hint="eastAsia" w:ascii="Times New Roman" w:hAnsi="Times New Roman" w:eastAsia="宋体" w:cs="宋体"/>
          <w:lang w:eastAsia="zh-CN"/>
        </w:rPr>
        <w:t>验收</w:t>
      </w:r>
      <w:bookmarkEnd w:id="127"/>
      <w:bookmarkEnd w:id="128"/>
    </w:p>
    <w:p>
      <w:pPr>
        <w:pStyle w:val="33"/>
        <w:keepNext w:val="0"/>
        <w:keepLines w:val="0"/>
        <w:widowControl/>
        <w:suppressLineNumbers w:val="0"/>
        <w:ind w:left="0" w:firstLine="480"/>
        <w:rPr>
          <w:lang w:val="en-US"/>
        </w:rPr>
      </w:pPr>
      <w:r>
        <w:rPr>
          <w:rFonts w:hint="eastAsia" w:ascii="Times New Roman" w:hAnsi="Times New Roman" w:eastAsia="宋体" w:cs="宋体"/>
          <w:lang w:eastAsia="zh-CN"/>
        </w:rPr>
        <w:t>按照招标人相关规定、要求进行验收；</w:t>
      </w:r>
    </w:p>
    <w:p>
      <w:pPr>
        <w:pStyle w:val="33"/>
        <w:keepNext w:val="0"/>
        <w:keepLines w:val="0"/>
        <w:widowControl/>
        <w:suppressLineNumbers w:val="0"/>
        <w:ind w:left="0" w:firstLine="480"/>
        <w:rPr>
          <w:lang w:val="en-US"/>
        </w:rPr>
      </w:pPr>
      <w:r>
        <w:rPr>
          <w:lang w:val="en-US"/>
        </w:rPr>
        <w:t>1</w:t>
      </w:r>
      <w:r>
        <w:rPr>
          <w:rFonts w:hint="eastAsia" w:ascii="Times New Roman" w:hAnsi="Times New Roman" w:eastAsia="宋体" w:cs="宋体"/>
          <w:lang w:eastAsia="zh-CN"/>
        </w:rPr>
        <w:t>、按照招标人相关规定、要求进行验收。</w:t>
      </w:r>
    </w:p>
    <w:p>
      <w:pPr>
        <w:pStyle w:val="33"/>
        <w:keepNext w:val="0"/>
        <w:keepLines w:val="0"/>
        <w:widowControl/>
        <w:suppressLineNumbers w:val="0"/>
        <w:ind w:left="0" w:firstLine="480"/>
        <w:rPr>
          <w:lang w:val="en-US"/>
        </w:rPr>
      </w:pPr>
      <w:r>
        <w:rPr>
          <w:lang w:val="en-US"/>
        </w:rPr>
        <w:t>2</w:t>
      </w:r>
      <w:r>
        <w:rPr>
          <w:rFonts w:hint="eastAsia" w:ascii="Times New Roman" w:hAnsi="Times New Roman" w:eastAsia="宋体" w:cs="宋体"/>
          <w:lang w:eastAsia="zh-CN"/>
        </w:rPr>
        <w:t>、咨询方案成功落地，软件和系统参数符合招标及合同要求，经安装、调试并对操作人员进行培训后，现场操作人员实际应用，系统运行正常、稳定，达到招标人的使用目的，经招标人组织及双方现场确认无误后方可开始项目和产品的验收工作。</w:t>
      </w:r>
    </w:p>
    <w:p>
      <w:pPr>
        <w:pStyle w:val="33"/>
        <w:keepNext w:val="0"/>
        <w:keepLines w:val="0"/>
        <w:widowControl/>
        <w:suppressLineNumbers w:val="0"/>
        <w:ind w:left="0" w:firstLine="480"/>
        <w:rPr>
          <w:rFonts w:hint="eastAsia" w:ascii="宋体" w:hAnsi="宋体" w:eastAsia="宋体" w:cs="宋体"/>
          <w:color w:val="000000"/>
          <w:sz w:val="30"/>
          <w:szCs w:val="30"/>
          <w:lang w:val="en-US"/>
        </w:rPr>
      </w:pPr>
      <w:r>
        <w:rPr>
          <w:lang w:val="en-US"/>
        </w:rPr>
        <w:t>3</w:t>
      </w:r>
      <w:r>
        <w:rPr>
          <w:rFonts w:hint="eastAsia" w:ascii="Times New Roman" w:hAnsi="Times New Roman" w:eastAsia="宋体" w:cs="宋体"/>
          <w:lang w:eastAsia="zh-CN"/>
        </w:rPr>
        <w:t>、在质量保证期内，如果软件因质量问题造成停止运行，投标人应在</w:t>
      </w:r>
      <w:r>
        <w:rPr>
          <w:lang w:val="en-US"/>
        </w:rPr>
        <w:t>1</w:t>
      </w:r>
      <w:r>
        <w:rPr>
          <w:rFonts w:hint="eastAsia" w:ascii="Times New Roman" w:hAnsi="Times New Roman" w:eastAsia="宋体" w:cs="宋体"/>
          <w:lang w:eastAsia="zh-CN"/>
        </w:rPr>
        <w:t>天之内使其恢复，所有费用由投标人承担，并应承担由此造成的损失的部分或全部的补偿。如不能按期恢复，则相应推迟的时间按延迟交货同等处理。</w:t>
      </w:r>
    </w:p>
    <w:p>
      <w:pPr>
        <w:pStyle w:val="32"/>
        <w:keepNext w:val="0"/>
        <w:keepLines/>
        <w:widowControl/>
        <w:numPr>
          <w:ilvl w:val="0"/>
          <w:numId w:val="0"/>
        </w:numPr>
        <w:suppressLineNumbers w:val="0"/>
        <w:rPr>
          <w:rFonts w:hint="eastAsia" w:ascii="宋体" w:hAnsi="宋体" w:eastAsia="宋体" w:cs="宋体"/>
          <w:color w:val="000000"/>
          <w:sz w:val="30"/>
          <w:szCs w:val="30"/>
          <w:lang w:val="en-US"/>
        </w:rPr>
      </w:pPr>
      <w:bookmarkStart w:id="129" w:name="_Toc22927"/>
      <w:r>
        <w:rPr>
          <w:rFonts w:hint="eastAsia" w:ascii="宋体" w:hAnsi="宋体" w:eastAsia="宋体" w:cs="宋体"/>
          <w:color w:val="000000"/>
          <w:sz w:val="30"/>
          <w:szCs w:val="30"/>
          <w:lang w:eastAsia="zh-CN"/>
        </w:rPr>
        <w:t>投标文件格式</w:t>
      </w:r>
      <w:bookmarkEnd w:id="129"/>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1</w:t>
      </w:r>
    </w:p>
    <w:p>
      <w:pPr>
        <w:keepNext w:val="0"/>
        <w:keepLines w:val="0"/>
        <w:widowControl w:val="0"/>
        <w:suppressLineNumbers w:val="0"/>
        <w:spacing w:before="0" w:beforeAutospacing="0" w:after="0" w:afterAutospacing="0"/>
        <w:ind w:left="0" w:right="0"/>
        <w:jc w:val="center"/>
        <w:rPr>
          <w:rFonts w:eastAsia="黑体"/>
          <w:b/>
          <w:bCs w:val="0"/>
          <w:sz w:val="28"/>
          <w:szCs w:val="22"/>
          <w:lang w:val="en-US"/>
        </w:rPr>
      </w:pPr>
      <w:bookmarkStart w:id="130" w:name="_Toc283368335"/>
      <w:bookmarkStart w:id="131" w:name="_Toc533251966"/>
      <w:bookmarkStart w:id="132" w:name="_Toc290401063"/>
      <w:bookmarkStart w:id="133" w:name="_Toc278876641"/>
      <w:r>
        <w:rPr>
          <w:rFonts w:hint="eastAsia" w:ascii="Calibri" w:hAnsi="Calibri" w:eastAsia="黑体" w:cs="黑体"/>
          <w:b/>
          <w:bCs w:val="0"/>
          <w:kern w:val="2"/>
          <w:sz w:val="28"/>
          <w:szCs w:val="22"/>
          <w:lang w:val="en-US" w:eastAsia="zh-CN" w:bidi="ar"/>
        </w:rPr>
        <w:t>投标函</w:t>
      </w:r>
      <w:bookmarkEnd w:id="130"/>
      <w:bookmarkEnd w:id="131"/>
      <w:bookmarkEnd w:id="132"/>
      <w:bookmarkEnd w:id="133"/>
    </w:p>
    <w:p>
      <w:pPr>
        <w:keepNext w:val="0"/>
        <w:keepLines w:val="0"/>
        <w:widowControl w:val="0"/>
        <w:suppressLineNumbers w:val="0"/>
        <w:tabs>
          <w:tab w:val="left" w:pos="720"/>
        </w:tabs>
        <w:spacing w:before="0" w:beforeAutospacing="0" w:after="0" w:afterAutospacing="0" w:line="360" w:lineRule="auto"/>
        <w:ind w:left="0" w:right="3"/>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致：中国重汽集团济南动力有限公司              </w:t>
      </w:r>
    </w:p>
    <w:p>
      <w:pPr>
        <w:keepNext w:val="0"/>
        <w:keepLines w:val="0"/>
        <w:widowControl w:val="0"/>
        <w:suppressLineNumbers w:val="0"/>
        <w:spacing w:before="156" w:beforeLines="5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根据贵司的招标函，本人代表投标人_____________（投标人名称）提交下述投标文件正本一份和副本五份。</w:t>
      </w:r>
    </w:p>
    <w:p>
      <w:pPr>
        <w:keepNext w:val="0"/>
        <w:keepLines w:val="0"/>
        <w:widowControl w:val="0"/>
        <w:suppressLineNumbers w:val="0"/>
        <w:spacing w:before="156" w:beforeLines="5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本人宣布同意如下：</w:t>
      </w:r>
    </w:p>
    <w:p>
      <w:pPr>
        <w:keepNext w:val="0"/>
        <w:keepLines w:val="0"/>
        <w:widowControl w:val="0"/>
        <w:suppressLineNumbers w:val="0"/>
        <w:spacing w:before="156" w:beforeLines="5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1、所附《开标一览表》规定的</w:t>
      </w:r>
      <w:r>
        <w:rPr>
          <w:rFonts w:hint="eastAsia" w:ascii="宋体" w:hAnsi="宋体" w:eastAsia="宋体" w:cs="宋体"/>
          <w:kern w:val="2"/>
          <w:sz w:val="24"/>
          <w:szCs w:val="22"/>
          <w:u w:val="single"/>
          <w:lang w:val="en-US" w:eastAsia="zh-CN" w:bidi="ar"/>
        </w:rPr>
        <w:t xml:space="preserve">            项目</w:t>
      </w:r>
      <w:r>
        <w:rPr>
          <w:rFonts w:hint="eastAsia" w:ascii="宋体" w:hAnsi="宋体" w:eastAsia="宋体" w:cs="宋体"/>
          <w:kern w:val="2"/>
          <w:sz w:val="24"/>
          <w:szCs w:val="22"/>
          <w:lang w:val="en-US" w:eastAsia="zh-CN" w:bidi="ar"/>
        </w:rPr>
        <w:t>投标总价为：________________（人民币），____________________（大写）。</w:t>
      </w:r>
    </w:p>
    <w:p>
      <w:pPr>
        <w:keepNext w:val="0"/>
        <w:keepLines w:val="0"/>
        <w:widowControl w:val="0"/>
        <w:suppressLineNumbers w:val="0"/>
        <w:spacing w:before="156" w:beforeLines="5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我方郑重承诺：投标人将全部满足招标文件中的各项实质性要求，如果发现投标文件中另有与招标文件中不一致的响应或没有响应，投标人同意招标人有权要求投标人按照招标文件的要求提供服务。投标人并同意按照招标文件的规定履行合同责任和义务。</w:t>
      </w:r>
    </w:p>
    <w:p>
      <w:pPr>
        <w:keepNext w:val="0"/>
        <w:keepLines w:val="0"/>
        <w:widowControl w:val="0"/>
        <w:suppressLineNumbers w:val="0"/>
        <w:spacing w:before="156" w:beforeLines="5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3、我方已详细审查全部招标文件，包括修改文件（如有的话）以及全部参考资料和有关附件。我们完全理解并同意放弃对这方面有不明及误解的权利。</w:t>
      </w:r>
    </w:p>
    <w:p>
      <w:pPr>
        <w:keepNext w:val="0"/>
        <w:keepLines w:val="0"/>
        <w:widowControl w:val="0"/>
        <w:suppressLineNumbers w:val="0"/>
        <w:spacing w:before="156" w:beforeLines="5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4、我方的投标自投标截止之日起有效期为30天。</w:t>
      </w:r>
    </w:p>
    <w:p>
      <w:pPr>
        <w:keepNext w:val="0"/>
        <w:keepLines w:val="0"/>
        <w:widowControl w:val="0"/>
        <w:suppressLineNumbers w:val="0"/>
        <w:spacing w:before="156" w:beforeLines="5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5、我方同意提供按照贵方可能要求的与我方投标有关的一切数据或资料，理解贵方不一定要接受最低价的投标或收到的任何投标。</w:t>
      </w:r>
    </w:p>
    <w:p>
      <w:pPr>
        <w:keepNext w:val="0"/>
        <w:keepLines w:val="0"/>
        <w:widowControl w:val="0"/>
        <w:suppressLineNumbers w:val="0"/>
        <w:spacing w:before="156" w:beforeLines="5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6、与本投标有关的一切正式往来通讯请寄：</w:t>
      </w:r>
    </w:p>
    <w:p>
      <w:pPr>
        <w:keepNext w:val="0"/>
        <w:keepLines w:val="0"/>
        <w:widowControl w:val="0"/>
        <w:suppressLineNumbers w:val="0"/>
        <w:tabs>
          <w:tab w:val="left" w:pos="720"/>
        </w:tabs>
        <w:spacing w:before="0" w:beforeAutospacing="0" w:after="0" w:afterAutospacing="0" w:line="360" w:lineRule="auto"/>
        <w:ind w:left="0" w:right="3" w:firstLine="2640" w:firstLineChars="11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投    标    人：          （公章）       </w:t>
      </w:r>
    </w:p>
    <w:p>
      <w:pPr>
        <w:keepNext w:val="0"/>
        <w:keepLines w:val="0"/>
        <w:widowControl w:val="0"/>
        <w:suppressLineNumbers w:val="0"/>
        <w:spacing w:before="0" w:beforeAutospacing="0" w:after="0" w:afterAutospacing="0" w:line="360" w:lineRule="auto"/>
        <w:ind w:left="0" w:right="-687" w:rightChars="-327" w:firstLine="2760" w:firstLineChars="115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法定代表人或授权委托人： （签字或盖章） </w:t>
      </w:r>
    </w:p>
    <w:p>
      <w:pPr>
        <w:keepNext w:val="0"/>
        <w:keepLines w:val="0"/>
        <w:widowControl w:val="0"/>
        <w:suppressLineNumbers w:val="0"/>
        <w:spacing w:before="0" w:beforeAutospacing="0" w:after="0" w:afterAutospacing="0" w:line="360" w:lineRule="auto"/>
        <w:ind w:left="0" w:right="-687" w:rightChars="-327" w:firstLine="2760" w:firstLineChars="115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日       期：         年      月      日</w:t>
      </w:r>
    </w:p>
    <w:p>
      <w:pPr>
        <w:keepNext w:val="0"/>
        <w:keepLines w:val="0"/>
        <w:widowControl w:val="0"/>
        <w:suppressLineNumbers w:val="0"/>
        <w:spacing w:before="0" w:beforeAutospacing="0" w:after="0" w:afterAutospacing="0"/>
        <w:ind w:left="0" w:right="0"/>
        <w:jc w:val="both"/>
        <w:rPr>
          <w:rFonts w:eastAsia="黑体"/>
          <w:lang w:val="en-US"/>
        </w:rPr>
      </w:pPr>
      <w:r>
        <w:rPr>
          <w:rFonts w:hint="default" w:ascii="Calibri" w:hAnsi="Calibri" w:eastAsia="宋体" w:cs="Times New Roman"/>
          <w:kern w:val="2"/>
          <w:sz w:val="21"/>
          <w:szCs w:val="22"/>
          <w:lang w:val="en-US" w:eastAsia="zh-CN" w:bidi="ar"/>
        </w:rPr>
        <w:br w:type="page"/>
      </w: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2</w:t>
      </w:r>
    </w:p>
    <w:p>
      <w:pPr>
        <w:keepNext w:val="0"/>
        <w:keepLines w:val="0"/>
        <w:widowControl w:val="0"/>
        <w:suppressLineNumbers w:val="0"/>
        <w:spacing w:before="0" w:beforeAutospacing="0" w:after="0" w:afterAutospacing="0"/>
        <w:ind w:left="0" w:right="0"/>
        <w:jc w:val="center"/>
        <w:rPr>
          <w:rFonts w:hint="eastAsia" w:ascii="黑体" w:hAnsi="宋体" w:eastAsia="黑体" w:cs="黑体"/>
          <w:b/>
          <w:bCs w:val="0"/>
          <w:sz w:val="28"/>
          <w:szCs w:val="28"/>
          <w:lang w:val="en-US"/>
        </w:rPr>
      </w:pPr>
      <w:r>
        <w:rPr>
          <w:rFonts w:hint="eastAsia" w:ascii="黑体" w:hAnsi="宋体" w:eastAsia="黑体" w:cs="黑体"/>
          <w:b/>
          <w:bCs w:val="0"/>
          <w:kern w:val="2"/>
          <w:sz w:val="28"/>
          <w:szCs w:val="28"/>
          <w:lang w:val="en-US" w:eastAsia="zh-CN" w:bidi="ar"/>
        </w:rPr>
        <w:t>法定代表人授权委托书</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中国重汽集团济南动力有限公司：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u w:val="single"/>
          <w:lang w:val="en-US"/>
        </w:rPr>
      </w:pPr>
      <w:r>
        <w:rPr>
          <w:rFonts w:hint="eastAsia" w:ascii="宋体" w:hAnsi="宋体" w:eastAsia="宋体" w:cs="宋体"/>
          <w:kern w:val="2"/>
          <w:sz w:val="24"/>
          <w:szCs w:val="22"/>
          <w:lang w:val="en-US" w:eastAsia="zh-CN" w:bidi="ar"/>
        </w:rPr>
        <w:t>我公司法定代表人授权委托为其代理人，参加贵公司于</w:t>
      </w:r>
    </w:p>
    <w:p>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年    月     日组织的项目采购活动，并全权代表我公司处理活动中的一切事宜。</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本授权书自年月日签字生效，特此声明。</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竞标人名称（加盖公章）： 日    期：</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法定代表人（签字或印章）： 身份证号：</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sz w:val="24"/>
          <w:szCs w:val="22"/>
          <w:lang w:val="en-US"/>
        </w:rPr>
      </w:pPr>
      <w:r>
        <w:rPr>
          <w:rFonts w:hint="eastAsia" w:ascii="宋体" w:hAnsi="宋体" w:eastAsia="宋体" w:cs="宋体"/>
          <w:b/>
          <w:bCs w:val="0"/>
          <w:kern w:val="2"/>
          <w:sz w:val="24"/>
          <w:szCs w:val="22"/>
          <w:lang w:val="en-US" w:eastAsia="zh-CN" w:bidi="ar"/>
        </w:rPr>
        <w:t>附</w:t>
      </w:r>
      <w:r>
        <w:rPr>
          <w:rFonts w:hint="eastAsia" w:ascii="宋体" w:hAnsi="宋体" w:eastAsia="宋体" w:cs="宋体"/>
          <w:kern w:val="2"/>
          <w:sz w:val="24"/>
          <w:szCs w:val="22"/>
          <w:lang w:val="en-US" w:eastAsia="zh-CN" w:bidi="ar"/>
        </w:rPr>
        <w:t xml:space="preserve">  授权代理人情况（附加盖竞标人公章的代理人身份证复印件）：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姓名：    性别：</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年龄：    职务：</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    联系电话：    手机：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2"/>
          <w:u w:val="single"/>
          <w:lang w:val="en-US"/>
        </w:rPr>
      </w:pPr>
      <w:r>
        <w:rPr>
          <w:rFonts w:hint="eastAsia" w:ascii="宋体" w:hAnsi="宋体" w:eastAsia="宋体" w:cs="宋体"/>
          <w:kern w:val="2"/>
          <w:sz w:val="24"/>
          <w:szCs w:val="22"/>
          <w:lang w:val="en-US" w:eastAsia="zh-CN" w:bidi="ar"/>
        </w:rPr>
        <w:t xml:space="preserve">    详细通信地址：</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说明：</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1、如法定代表人参加竞标的，竞标文件中不需提供法定代表人授权委托书，但必须提供法定代表人身份证复印件。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2、如委托代理人参加竞标的，竞标文件中必须提供法定代表人授权委托书和委托代理人的身份证复印件。</w:t>
      </w: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r>
        <w:rPr>
          <w:rFonts w:hint="default" w:ascii="Calibri" w:hAnsi="Calibri" w:eastAsia="宋体" w:cs="Times New Roman"/>
          <w:kern w:val="2"/>
          <w:sz w:val="21"/>
          <w:szCs w:val="22"/>
          <w:lang w:val="en-US" w:eastAsia="zh-CN" w:bidi="ar"/>
        </w:rPr>
        <w:br w:type="page"/>
      </w:r>
      <w:bookmarkStart w:id="134" w:name="_Toc386297882"/>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3</w:t>
      </w:r>
    </w:p>
    <w:p>
      <w:pPr>
        <w:keepNext w:val="0"/>
        <w:keepLines w:val="0"/>
        <w:widowControl w:val="0"/>
        <w:suppressLineNumbers w:val="0"/>
        <w:spacing w:before="0" w:beforeAutospacing="0" w:after="0" w:afterAutospacing="0"/>
        <w:ind w:left="0" w:right="0"/>
        <w:jc w:val="center"/>
        <w:rPr>
          <w:sz w:val="32"/>
          <w:szCs w:val="22"/>
          <w:lang w:val="en-US"/>
        </w:rPr>
      </w:pPr>
      <w:r>
        <w:rPr>
          <w:rFonts w:hint="eastAsia" w:ascii="Calibri" w:hAnsi="Calibri" w:eastAsia="黑体" w:cs="黑体"/>
          <w:b/>
          <w:bCs w:val="0"/>
          <w:kern w:val="2"/>
          <w:sz w:val="28"/>
          <w:szCs w:val="22"/>
          <w:lang w:val="en-US" w:eastAsia="zh-CN" w:bidi="ar"/>
        </w:rPr>
        <w:t>竞标人资格证明文件</w:t>
      </w:r>
      <w:bookmarkEnd w:id="134"/>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中国重汽集团济南动力有限公司：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贵公司组织的 项目谈判采购活动，我公司愿意参加，并证明提交的下列文件、证明和陈述均是准确的、真实的。若与真实情况不符，我公司愿意承担由此而产生的一切后果。</w:t>
      </w:r>
    </w:p>
    <w:p>
      <w:pPr>
        <w:keepNext w:val="0"/>
        <w:keepLines w:val="0"/>
        <w:widowControl w:val="0"/>
        <w:numPr>
          <w:ilvl w:val="0"/>
          <w:numId w:val="23"/>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工商营业执照副本复印件（加盖公章）。</w:t>
      </w:r>
    </w:p>
    <w:p>
      <w:pPr>
        <w:keepNext w:val="0"/>
        <w:keepLines w:val="0"/>
        <w:widowControl w:val="0"/>
        <w:numPr>
          <w:ilvl w:val="0"/>
          <w:numId w:val="23"/>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竞标人认为有必要提供的其他证明文件（加盖公章）。</w:t>
      </w:r>
    </w:p>
    <w:p>
      <w:pPr>
        <w:keepNext w:val="0"/>
        <w:keepLines w:val="0"/>
        <w:widowControl w:val="0"/>
        <w:suppressLineNumbers w:val="0"/>
        <w:spacing w:before="0" w:beforeAutospacing="0" w:after="0" w:afterAutospacing="0" w:line="360" w:lineRule="auto"/>
        <w:ind w:left="0" w:right="0"/>
        <w:jc w:val="both"/>
        <w:rPr>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jc w:val="both"/>
        <w:rPr>
          <w:sz w:val="24"/>
          <w:szCs w:val="22"/>
          <w:lang w:val="en-US"/>
        </w:rPr>
      </w:pPr>
    </w:p>
    <w:p>
      <w:pPr>
        <w:keepNext w:val="0"/>
        <w:keepLines w:val="0"/>
        <w:widowControl w:val="0"/>
        <w:suppressLineNumbers w:val="0"/>
        <w:spacing w:before="0" w:beforeAutospacing="0" w:after="0" w:afterAutospacing="0" w:line="360" w:lineRule="auto"/>
        <w:ind w:left="0" w:right="0"/>
        <w:jc w:val="both"/>
        <w:rPr>
          <w:sz w:val="24"/>
          <w:szCs w:val="22"/>
          <w:lang w:val="en-US"/>
        </w:rPr>
      </w:pPr>
    </w:p>
    <w:p>
      <w:pPr>
        <w:keepNext w:val="0"/>
        <w:keepLines w:val="0"/>
        <w:widowControl w:val="0"/>
        <w:suppressLineNumbers w:val="0"/>
        <w:spacing w:before="0" w:beforeAutospacing="0" w:after="0" w:afterAutospacing="0" w:line="360" w:lineRule="auto"/>
        <w:ind w:left="0" w:right="0"/>
        <w:jc w:val="both"/>
        <w:rPr>
          <w:sz w:val="24"/>
          <w:szCs w:val="24"/>
          <w:lang w:val="en-US"/>
        </w:rPr>
      </w:pPr>
      <w:r>
        <w:rPr>
          <w:rFonts w:hint="default" w:ascii="Calibri" w:hAnsi="Calibri" w:eastAsia="宋体" w:cs="Times New Roman"/>
          <w:kern w:val="2"/>
          <w:sz w:val="24"/>
          <w:szCs w:val="22"/>
          <w:lang w:val="en-US" w:eastAsia="zh-CN" w:bidi="ar"/>
        </w:rPr>
        <w:br w:type="textWrapping"/>
      </w:r>
      <w:r>
        <w:rPr>
          <w:rFonts w:hint="eastAsia" w:ascii="Calibri" w:hAnsi="Calibri" w:eastAsia="宋体" w:cs="宋体"/>
          <w:kern w:val="2"/>
          <w:sz w:val="24"/>
          <w:szCs w:val="24"/>
          <w:lang w:val="en-US" w:eastAsia="zh-CN" w:bidi="ar"/>
        </w:rPr>
        <w:t>竞标人名称：（加盖公章）</w:t>
      </w:r>
    </w:p>
    <w:p>
      <w:pPr>
        <w:keepNext w:val="0"/>
        <w:keepLines w:val="0"/>
        <w:widowControl w:val="0"/>
        <w:suppressLineNumbers w:val="0"/>
        <w:spacing w:before="0" w:beforeAutospacing="0" w:after="0" w:afterAutospacing="0" w:line="360" w:lineRule="auto"/>
        <w:ind w:left="0" w:right="0"/>
        <w:jc w:val="both"/>
        <w:rPr>
          <w:sz w:val="24"/>
          <w:szCs w:val="24"/>
          <w:lang w:val="en-US"/>
        </w:rPr>
      </w:pP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法定代表人或其代理人：</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（签</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字）</w:t>
      </w: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黑体" w:hAnsi="Calibri" w:eastAsia="黑体" w:cs="黑体"/>
          <w:sz w:val="30"/>
          <w:szCs w:val="22"/>
          <w:lang w:val="en-US"/>
        </w:rPr>
      </w:pPr>
    </w:p>
    <w:p>
      <w:pPr>
        <w:keepNext w:val="0"/>
        <w:keepLines w:val="0"/>
        <w:widowControl/>
        <w:suppressLineNumbers w:val="0"/>
        <w:spacing w:before="0" w:beforeAutospacing="0" w:after="0" w:afterAutospacing="0"/>
        <w:ind w:left="0" w:right="0"/>
        <w:jc w:val="left"/>
        <w:rPr>
          <w:rFonts w:eastAsia="黑体"/>
          <w:b/>
          <w:bCs w:val="0"/>
          <w:sz w:val="28"/>
          <w:szCs w:val="22"/>
          <w:lang w:val="en-US"/>
        </w:rPr>
      </w:pPr>
      <w:r>
        <w:rPr>
          <w:rFonts w:hint="eastAsia" w:ascii="宋体" w:hAnsi="宋体" w:eastAsia="宋体" w:cs="Times New Roman"/>
          <w:kern w:val="2"/>
          <w:sz w:val="24"/>
          <w:szCs w:val="22"/>
          <w:lang w:val="en-US" w:eastAsia="zh-CN" w:bidi="ar"/>
        </w:rPr>
        <w:br w:type="page"/>
      </w: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4</w:t>
      </w:r>
    </w:p>
    <w:p>
      <w:pPr>
        <w:keepNext w:val="0"/>
        <w:keepLines w:val="0"/>
        <w:widowControl/>
        <w:suppressLineNumbers w:val="0"/>
        <w:spacing w:before="0" w:beforeAutospacing="0" w:after="0" w:afterAutospacing="0"/>
        <w:ind w:left="0" w:right="0"/>
        <w:jc w:val="center"/>
        <w:rPr>
          <w:rFonts w:eastAsia="黑体"/>
          <w:b/>
          <w:bCs w:val="0"/>
          <w:sz w:val="28"/>
          <w:szCs w:val="22"/>
          <w:lang w:val="en-US"/>
        </w:rPr>
      </w:pPr>
      <w:r>
        <w:rPr>
          <w:rFonts w:hint="eastAsia" w:ascii="Calibri" w:hAnsi="Calibri" w:eastAsia="黑体" w:cs="黑体"/>
          <w:b/>
          <w:bCs w:val="0"/>
          <w:kern w:val="2"/>
          <w:sz w:val="28"/>
          <w:szCs w:val="22"/>
          <w:lang w:val="en-US" w:eastAsia="zh-CN" w:bidi="ar"/>
        </w:rPr>
        <w:t>开标一览表</w:t>
      </w:r>
    </w:p>
    <w:p>
      <w:pPr>
        <w:keepNext w:val="0"/>
        <w:keepLines w:val="0"/>
        <w:widowControl w:val="0"/>
        <w:suppressLineNumbers w:val="0"/>
        <w:spacing w:before="6" w:beforeAutospacing="0" w:after="0" w:afterAutospacing="0"/>
        <w:ind w:left="0" w:right="88"/>
        <w:jc w:val="left"/>
        <w:rPr>
          <w:rFonts w:hint="eastAsia" w:ascii="宋体" w:hAnsi="宋体" w:eastAsia="宋体" w:cs="宋体"/>
          <w:color w:val="000000"/>
          <w:sz w:val="24"/>
          <w:szCs w:val="24"/>
          <w:u w:val="single"/>
          <w:lang w:val="en-US"/>
        </w:rPr>
      </w:pPr>
      <w:r>
        <w:rPr>
          <w:rFonts w:hint="eastAsia" w:ascii="宋体" w:hAnsi="宋体" w:eastAsia="宋体" w:cs="宋体"/>
          <w:color w:val="000000"/>
          <w:kern w:val="2"/>
          <w:sz w:val="24"/>
          <w:szCs w:val="24"/>
          <w:lang w:val="en-US" w:eastAsia="zh-CN" w:bidi="ar"/>
        </w:rPr>
        <w:t>项目名称：</w:t>
      </w:r>
    </w:p>
    <w:p>
      <w:pPr>
        <w:keepNext w:val="0"/>
        <w:keepLines w:val="0"/>
        <w:widowControl w:val="0"/>
        <w:suppressLineNumbers w:val="0"/>
        <w:spacing w:before="6" w:beforeAutospacing="0" w:after="0" w:afterAutospacing="0"/>
        <w:ind w:left="0" w:right="88"/>
        <w:jc w:val="left"/>
        <w:rPr>
          <w:rFonts w:hint="eastAsia" w:ascii="宋体" w:hAnsi="宋体" w:eastAsia="宋体" w:cs="宋体"/>
          <w:color w:val="000000"/>
          <w:sz w:val="24"/>
          <w:szCs w:val="24"/>
          <w:u w:val="single"/>
          <w:lang w:val="en-US"/>
        </w:rPr>
      </w:pPr>
      <w:r>
        <w:rPr>
          <w:rFonts w:hint="eastAsia" w:ascii="宋体" w:hAnsi="宋体" w:eastAsia="宋体" w:cs="宋体"/>
          <w:color w:val="000000"/>
          <w:kern w:val="2"/>
          <w:sz w:val="24"/>
          <w:szCs w:val="24"/>
          <w:lang w:val="en-US" w:eastAsia="zh-CN" w:bidi="ar"/>
        </w:rPr>
        <w:t>投标人名称（公章）：</w:t>
      </w:r>
    </w:p>
    <w:p>
      <w:pPr>
        <w:keepNext w:val="0"/>
        <w:keepLines w:val="0"/>
        <w:widowControl w:val="0"/>
        <w:suppressLineNumbers w:val="0"/>
        <w:spacing w:before="6" w:beforeAutospacing="0" w:after="0" w:afterAutospacing="0"/>
        <w:ind w:left="0" w:right="88"/>
        <w:jc w:val="left"/>
        <w:rPr>
          <w:rFonts w:hint="eastAsia" w:ascii="宋体" w:hAnsi="宋体" w:eastAsia="宋体" w:cs="宋体"/>
          <w:color w:val="000000"/>
          <w:sz w:val="24"/>
          <w:szCs w:val="24"/>
          <w:u w:val="single"/>
          <w:lang w:val="en-US"/>
        </w:rPr>
      </w:pPr>
      <w:r>
        <w:rPr>
          <w:rFonts w:hint="eastAsia" w:ascii="Calibri" w:hAnsi="Calibri" w:eastAsia="宋体" w:cs="宋体"/>
          <w:kern w:val="2"/>
          <w:sz w:val="24"/>
          <w:szCs w:val="24"/>
          <w:lang w:val="en-US" w:eastAsia="zh-CN" w:bidi="ar"/>
        </w:rPr>
        <w:t>投标人代表签字：</w:t>
      </w:r>
    </w:p>
    <w:p>
      <w:pPr>
        <w:keepNext w:val="0"/>
        <w:keepLines w:val="0"/>
        <w:widowControl w:val="0"/>
        <w:suppressLineNumbers w:val="0"/>
        <w:spacing w:before="62" w:beforeAutospacing="0" w:after="0" w:afterAutospacing="0"/>
        <w:ind w:left="0" w:right="88"/>
        <w:jc w:val="righ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价格单位：元</w:t>
      </w:r>
    </w:p>
    <w:tbl>
      <w:tblPr>
        <w:tblStyle w:val="24"/>
        <w:tblW w:w="8520" w:type="dxa"/>
        <w:tblInd w:w="123" w:type="dxa"/>
        <w:shd w:val="clear" w:color="auto" w:fill="auto"/>
        <w:tblLayout w:type="fixed"/>
        <w:tblCellMar>
          <w:top w:w="0" w:type="dxa"/>
          <w:left w:w="108" w:type="dxa"/>
          <w:bottom w:w="0" w:type="dxa"/>
          <w:right w:w="108" w:type="dxa"/>
        </w:tblCellMar>
      </w:tblPr>
      <w:tblGrid>
        <w:gridCol w:w="1422"/>
        <w:gridCol w:w="4586"/>
        <w:gridCol w:w="2511"/>
      </w:tblGrid>
      <w:tr>
        <w:tblPrEx>
          <w:shd w:val="clear" w:color="auto" w:fill="auto"/>
          <w:tblCellMar>
            <w:top w:w="0" w:type="dxa"/>
            <w:left w:w="108" w:type="dxa"/>
            <w:bottom w:w="0" w:type="dxa"/>
            <w:right w:w="108" w:type="dxa"/>
          </w:tblCellMar>
        </w:tblPrEx>
        <w:trPr>
          <w:trHeight w:val="748" w:hRule="atLeast"/>
        </w:trPr>
        <w:tc>
          <w:tcPr>
            <w:tcW w:w="1422" w:type="dxa"/>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序号</w:t>
            </w:r>
          </w:p>
        </w:tc>
        <w:tc>
          <w:tcPr>
            <w:tcW w:w="4586" w:type="dxa"/>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名称</w:t>
            </w:r>
          </w:p>
        </w:tc>
        <w:tc>
          <w:tcPr>
            <w:tcW w:w="2511" w:type="dxa"/>
            <w:tcBorders>
              <w:top w:val="single" w:color="000000" w:sz="12" w:space="0"/>
              <w:left w:val="nil"/>
              <w:bottom w:val="single" w:color="000000" w:sz="8"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投标报价</w:t>
            </w:r>
          </w:p>
        </w:tc>
      </w:tr>
      <w:tr>
        <w:tblPrEx>
          <w:shd w:val="clear" w:color="auto" w:fill="auto"/>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w:t>
            </w:r>
          </w:p>
        </w:tc>
        <w:tc>
          <w:tcPr>
            <w:tcW w:w="45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2511" w:type="dxa"/>
            <w:tcBorders>
              <w:top w:val="nil"/>
              <w:left w:val="nil"/>
              <w:bottom w:val="single" w:color="000000" w:sz="8"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shd w:val="clear" w:color="auto" w:fill="auto"/>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w:t>
            </w:r>
          </w:p>
        </w:tc>
        <w:tc>
          <w:tcPr>
            <w:tcW w:w="45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2511" w:type="dxa"/>
            <w:tcBorders>
              <w:top w:val="nil"/>
              <w:left w:val="nil"/>
              <w:bottom w:val="single" w:color="000000" w:sz="8"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w:t>
            </w:r>
          </w:p>
        </w:tc>
        <w:tc>
          <w:tcPr>
            <w:tcW w:w="45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2511" w:type="dxa"/>
            <w:tcBorders>
              <w:top w:val="nil"/>
              <w:left w:val="nil"/>
              <w:bottom w:val="single" w:color="000000" w:sz="8"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shd w:val="clear" w:color="auto" w:fill="auto"/>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w:t>
            </w:r>
          </w:p>
        </w:tc>
        <w:tc>
          <w:tcPr>
            <w:tcW w:w="4586" w:type="dxa"/>
            <w:tcBorders>
              <w:top w:val="nil"/>
              <w:left w:val="nil"/>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2511" w:type="dxa"/>
            <w:tcBorders>
              <w:top w:val="nil"/>
              <w:left w:val="nil"/>
              <w:bottom w:val="single" w:color="000000" w:sz="8"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shd w:val="clear" w:color="auto" w:fill="auto"/>
          <w:tblCellMar>
            <w:top w:w="0" w:type="dxa"/>
            <w:left w:w="108" w:type="dxa"/>
            <w:bottom w:w="0" w:type="dxa"/>
            <w:right w:w="108" w:type="dxa"/>
          </w:tblCellMar>
        </w:tblPrEx>
        <w:trPr>
          <w:trHeight w:val="748" w:hRule="atLeast"/>
        </w:trPr>
        <w:tc>
          <w:tcPr>
            <w:tcW w:w="8519" w:type="dxa"/>
            <w:gridSpan w:val="3"/>
            <w:tcBorders>
              <w:top w:val="single" w:color="000000" w:sz="8" w:space="0"/>
              <w:left w:val="single" w:color="000000" w:sz="12" w:space="0"/>
              <w:bottom w:val="single" w:color="000000" w:sz="8" w:space="0"/>
              <w:right w:val="single" w:color="000000" w:sz="12"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人民币（大写）：</w:t>
            </w:r>
          </w:p>
        </w:tc>
      </w:tr>
    </w:tbl>
    <w:p>
      <w:pPr>
        <w:pStyle w:val="12"/>
        <w:widowControl/>
        <w:spacing w:before="48" w:beforeAutospacing="0" w:after="120" w:afterAutospacing="0"/>
        <w:ind w:left="400" w:right="0" w:hanging="400"/>
        <w:rPr>
          <w:color w:val="000000"/>
          <w:sz w:val="24"/>
          <w:szCs w:val="24"/>
          <w:lang w:val="en-US"/>
        </w:rPr>
      </w:pPr>
    </w:p>
    <w:p>
      <w:pPr>
        <w:pStyle w:val="12"/>
        <w:widowControl/>
        <w:spacing w:before="48" w:beforeAutospacing="0" w:after="120" w:afterAutospacing="0"/>
        <w:ind w:left="400" w:right="0" w:hanging="400"/>
        <w:rPr>
          <w:rFonts w:hint="eastAsia" w:ascii="宋体" w:hAnsi="宋体" w:eastAsia="宋体" w:cs="宋体"/>
          <w:color w:val="000000"/>
          <w:spacing w:val="-1"/>
          <w:sz w:val="24"/>
          <w:szCs w:val="24"/>
          <w:lang w:val="en-US"/>
        </w:rPr>
      </w:pPr>
      <w:r>
        <w:rPr>
          <w:rFonts w:hint="eastAsia" w:ascii="宋体" w:hAnsi="宋体" w:eastAsia="宋体" w:cs="宋体"/>
          <w:color w:val="000000"/>
          <w:sz w:val="24"/>
          <w:szCs w:val="24"/>
          <w:lang w:eastAsia="zh-CN"/>
        </w:rPr>
        <w:t>说明：</w:t>
      </w:r>
    </w:p>
    <w:p>
      <w:pPr>
        <w:pStyle w:val="12"/>
        <w:widowControl/>
        <w:spacing w:before="48" w:beforeAutospacing="0" w:after="120" w:afterAutospacing="0"/>
        <w:ind w:left="400" w:right="0" w:hanging="40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lang w:eastAsia="zh-CN"/>
        </w:rPr>
        <w:t xml:space="preserve">、开标一览表中“投标总价”是指提供服务的全部费用的报价。 </w:t>
      </w:r>
    </w:p>
    <w:p>
      <w:pPr>
        <w:pStyle w:val="12"/>
        <w:widowControl/>
        <w:spacing w:before="48" w:beforeAutospacing="0" w:after="120" w:afterAutospacing="0"/>
        <w:ind w:left="400" w:right="0" w:hanging="400"/>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w:t>
      </w:r>
      <w:r>
        <w:rPr>
          <w:rFonts w:hint="eastAsia" w:ascii="宋体" w:hAnsi="宋体" w:eastAsia="宋体" w:cs="宋体"/>
          <w:color w:val="000000"/>
          <w:sz w:val="24"/>
          <w:szCs w:val="24"/>
          <w:lang w:eastAsia="zh-CN"/>
        </w:rPr>
        <w:t>、投标人严格按照规定的格式填写。</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p>
      <w:pPr>
        <w:keepNext w:val="0"/>
        <w:keepLines w:val="0"/>
        <w:widowControl w:val="0"/>
        <w:suppressLineNumbers w:val="0"/>
        <w:spacing w:before="2" w:beforeAutospacing="0" w:after="0" w:afterAutospacing="0"/>
        <w:ind w:left="0" w:right="0"/>
        <w:jc w:val="both"/>
        <w:rPr>
          <w:rFonts w:hint="eastAsia" w:ascii="宋体" w:hAnsi="宋体" w:eastAsia="宋体" w:cs="宋体"/>
          <w:color w:val="000000"/>
          <w:lang w:val="en-US"/>
        </w:rPr>
      </w:pPr>
    </w:p>
    <w:p>
      <w:pPr>
        <w:pStyle w:val="12"/>
        <w:widowControl/>
        <w:spacing w:before="48" w:beforeAutospacing="0" w:after="120" w:afterAutospacing="0"/>
        <w:ind w:left="400" w:right="0" w:hanging="400"/>
        <w:jc w:val="right"/>
        <w:rPr>
          <w:rFonts w:hint="eastAsia" w:ascii="宋体" w:hAnsi="宋体" w:eastAsia="宋体" w:cs="宋体"/>
          <w:color w:val="000000"/>
          <w:sz w:val="24"/>
          <w:szCs w:val="24"/>
          <w:lang w:val="en-US"/>
        </w:rPr>
      </w:pPr>
      <w:r>
        <w:rPr>
          <w:rFonts w:hint="eastAsia" w:ascii="宋体" w:hAnsi="宋体" w:eastAsia="宋体" w:cs="宋体"/>
          <w:color w:val="000000"/>
          <w:sz w:val="24"/>
          <w:szCs w:val="24"/>
          <w:lang w:eastAsia="zh-CN"/>
        </w:rPr>
        <w:t>日期：</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lang w:eastAsia="zh-CN"/>
        </w:rPr>
        <w:t>年 月</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lang w:eastAsia="zh-CN"/>
        </w:rPr>
        <w:t>日</w:t>
      </w: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firstLine="48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5</w:t>
      </w:r>
    </w:p>
    <w:p>
      <w:pPr>
        <w:keepNext w:val="0"/>
        <w:keepLines w:val="0"/>
        <w:widowControl w:val="0"/>
        <w:suppressLineNumbers w:val="0"/>
        <w:spacing w:before="0" w:beforeAutospacing="0" w:after="0" w:afterAutospacing="0"/>
        <w:ind w:left="0" w:right="0"/>
        <w:jc w:val="center"/>
        <w:rPr>
          <w:rFonts w:eastAsia="黑体"/>
          <w:b/>
          <w:bCs w:val="0"/>
          <w:sz w:val="28"/>
          <w:szCs w:val="22"/>
          <w:lang w:val="en-US"/>
        </w:rPr>
      </w:pPr>
      <w:r>
        <w:rPr>
          <w:rFonts w:hint="eastAsia" w:ascii="Calibri" w:hAnsi="Calibri" w:eastAsia="黑体" w:cs="黑体"/>
          <w:b/>
          <w:bCs w:val="0"/>
          <w:kern w:val="2"/>
          <w:sz w:val="28"/>
          <w:szCs w:val="22"/>
          <w:lang w:val="en-US" w:eastAsia="zh-CN" w:bidi="ar"/>
        </w:rPr>
        <w:t>投标价格分解表</w:t>
      </w:r>
    </w:p>
    <w:p>
      <w:pPr>
        <w:keepNext w:val="0"/>
        <w:keepLines w:val="0"/>
        <w:widowControl w:val="0"/>
        <w:suppressLineNumbers w:val="0"/>
        <w:spacing w:before="6" w:beforeAutospacing="0" w:after="0" w:afterAutospacing="0"/>
        <w:ind w:left="0" w:right="88"/>
        <w:jc w:val="left"/>
        <w:rPr>
          <w:rFonts w:hint="eastAsia" w:ascii="宋体" w:hAnsi="宋体" w:eastAsia="宋体" w:cs="宋体"/>
          <w:color w:val="000000"/>
          <w:sz w:val="24"/>
          <w:szCs w:val="24"/>
          <w:u w:val="single"/>
          <w:lang w:val="en-US"/>
        </w:rPr>
      </w:pPr>
      <w:r>
        <w:rPr>
          <w:rFonts w:hint="eastAsia" w:ascii="宋体" w:hAnsi="宋体" w:eastAsia="宋体" w:cs="宋体"/>
          <w:color w:val="000000"/>
          <w:kern w:val="2"/>
          <w:sz w:val="24"/>
          <w:szCs w:val="24"/>
          <w:lang w:val="en-US" w:eastAsia="zh-CN" w:bidi="ar"/>
        </w:rPr>
        <w:t>项目名称：</w:t>
      </w:r>
    </w:p>
    <w:p>
      <w:pPr>
        <w:keepNext w:val="0"/>
        <w:keepLines w:val="0"/>
        <w:widowControl w:val="0"/>
        <w:suppressLineNumbers w:val="0"/>
        <w:spacing w:before="6" w:beforeAutospacing="0" w:after="0" w:afterAutospacing="0"/>
        <w:ind w:left="0" w:right="88"/>
        <w:jc w:val="left"/>
        <w:rPr>
          <w:rFonts w:hint="eastAsia" w:ascii="宋体" w:hAnsi="宋体" w:eastAsia="宋体" w:cs="宋体"/>
          <w:color w:val="000000"/>
          <w:sz w:val="24"/>
          <w:szCs w:val="24"/>
          <w:u w:val="single"/>
          <w:lang w:val="en-US"/>
        </w:rPr>
      </w:pPr>
      <w:r>
        <w:rPr>
          <w:rFonts w:hint="eastAsia" w:ascii="宋体" w:hAnsi="宋体" w:eastAsia="宋体" w:cs="宋体"/>
          <w:color w:val="000000"/>
          <w:kern w:val="2"/>
          <w:sz w:val="24"/>
          <w:szCs w:val="24"/>
          <w:lang w:val="en-US" w:eastAsia="zh-CN" w:bidi="ar"/>
        </w:rPr>
        <w:t>投标人名称（公章）：</w:t>
      </w:r>
    </w:p>
    <w:p>
      <w:pPr>
        <w:keepNext w:val="0"/>
        <w:keepLines w:val="0"/>
        <w:widowControl w:val="0"/>
        <w:suppressLineNumbers w:val="0"/>
        <w:spacing w:before="6" w:beforeAutospacing="0" w:after="0" w:afterAutospacing="0"/>
        <w:ind w:left="0" w:right="88"/>
        <w:jc w:val="left"/>
        <w:rPr>
          <w:rFonts w:hint="eastAsia" w:ascii="宋体" w:hAnsi="宋体" w:eastAsia="宋体" w:cs="宋体"/>
          <w:color w:val="000000"/>
          <w:sz w:val="24"/>
          <w:szCs w:val="24"/>
          <w:u w:val="single"/>
          <w:lang w:val="en-US"/>
        </w:rPr>
      </w:pPr>
      <w:r>
        <w:rPr>
          <w:rFonts w:hint="eastAsia" w:ascii="Calibri" w:hAnsi="Calibri" w:eastAsia="宋体" w:cs="宋体"/>
          <w:kern w:val="2"/>
          <w:sz w:val="24"/>
          <w:szCs w:val="24"/>
          <w:lang w:val="en-US" w:eastAsia="zh-CN" w:bidi="ar"/>
        </w:rPr>
        <w:t>投标人代表签字：</w:t>
      </w:r>
    </w:p>
    <w:p>
      <w:pPr>
        <w:keepNext w:val="0"/>
        <w:keepLines w:val="0"/>
        <w:widowControl w:val="0"/>
        <w:suppressLineNumbers w:val="0"/>
        <w:spacing w:before="62" w:beforeAutospacing="0" w:after="0" w:afterAutospacing="0"/>
        <w:ind w:left="0" w:right="88"/>
        <w:jc w:val="right"/>
        <w:rPr>
          <w:rFonts w:hint="eastAsia" w:ascii="宋体" w:hAnsi="宋体" w:eastAsia="宋体" w:cs="宋体"/>
          <w:sz w:val="24"/>
          <w:szCs w:val="22"/>
          <w:lang w:val="en-US"/>
        </w:rPr>
      </w:pPr>
      <w:r>
        <w:rPr>
          <w:rFonts w:hint="eastAsia" w:ascii="宋体" w:hAnsi="宋体" w:eastAsia="宋体" w:cs="宋体"/>
          <w:color w:val="000000"/>
          <w:kern w:val="2"/>
          <w:sz w:val="24"/>
          <w:szCs w:val="24"/>
          <w:lang w:val="en-US" w:eastAsia="zh-CN" w:bidi="ar"/>
        </w:rPr>
        <w:t>价格单位：   元</w:t>
      </w:r>
    </w:p>
    <w:tbl>
      <w:tblPr>
        <w:tblStyle w:val="24"/>
        <w:tblW w:w="11070" w:type="dxa"/>
        <w:tblInd w:w="-1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4"/>
        <w:gridCol w:w="1784"/>
        <w:gridCol w:w="1476"/>
        <w:gridCol w:w="1382"/>
        <w:gridCol w:w="1706"/>
        <w:gridCol w:w="1493"/>
        <w:gridCol w:w="126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9"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序号</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项目</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人天单价（元）</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数量（人天）</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总价</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折扣价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最终价</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5" w:hRule="atLeast"/>
        </w:trPr>
        <w:tc>
          <w:tcPr>
            <w:tcW w:w="26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总价：</w:t>
            </w:r>
          </w:p>
        </w:tc>
        <w:tc>
          <w:tcPr>
            <w:tcW w:w="84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840" w:firstLineChars="4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小写：                      大写：</w:t>
            </w:r>
          </w:p>
        </w:tc>
      </w:tr>
    </w:tbl>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6</w:t>
      </w:r>
    </w:p>
    <w:p>
      <w:pPr>
        <w:keepNext w:val="0"/>
        <w:keepLines w:val="0"/>
        <w:widowControl w:val="0"/>
        <w:suppressLineNumbers w:val="0"/>
        <w:spacing w:before="0" w:beforeAutospacing="0" w:after="0" w:afterAutospacing="0"/>
        <w:ind w:left="0" w:right="0"/>
        <w:jc w:val="center"/>
        <w:rPr>
          <w:rFonts w:eastAsia="黑体"/>
          <w:b/>
          <w:bCs w:val="0"/>
          <w:sz w:val="28"/>
          <w:szCs w:val="22"/>
          <w:lang w:val="en-US"/>
        </w:rPr>
      </w:pPr>
      <w:r>
        <w:rPr>
          <w:rFonts w:hint="eastAsia" w:ascii="Calibri" w:hAnsi="Calibri" w:eastAsia="黑体" w:cs="黑体"/>
          <w:b/>
          <w:bCs w:val="0"/>
          <w:kern w:val="2"/>
          <w:sz w:val="28"/>
          <w:szCs w:val="22"/>
          <w:lang w:val="en-US" w:eastAsia="zh-CN" w:bidi="ar"/>
        </w:rPr>
        <w:t>商务条款偏离表</w:t>
      </w:r>
    </w:p>
    <w:p>
      <w:pPr>
        <w:keepNext w:val="0"/>
        <w:keepLines w:val="0"/>
        <w:widowControl w:val="0"/>
        <w:suppressLineNumbers w:val="0"/>
        <w:spacing w:before="0" w:beforeAutospacing="0" w:after="0" w:afterAutospacing="0"/>
        <w:ind w:left="0" w:right="0"/>
        <w:jc w:val="both"/>
        <w:rPr>
          <w:rFonts w:eastAsia="黑体"/>
          <w:b/>
          <w:bCs w:val="0"/>
          <w:sz w:val="22"/>
          <w:szCs w:val="22"/>
          <w:lang w:val="en-US"/>
        </w:rPr>
      </w:pPr>
    </w:p>
    <w:tbl>
      <w:tblPr>
        <w:tblStyle w:val="2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7"/>
        <w:gridCol w:w="1079"/>
        <w:gridCol w:w="3060"/>
        <w:gridCol w:w="107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序号</w:t>
            </w:r>
          </w:p>
        </w:tc>
        <w:tc>
          <w:tcPr>
            <w:tcW w:w="4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招标文件条款</w:t>
            </w:r>
          </w:p>
        </w:tc>
        <w:tc>
          <w:tcPr>
            <w:tcW w:w="3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条款号</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条款内容</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条款号</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投标人名称：                   投标人代表签字：            日期：</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注：为避免歧义，无偏离也应要提报该表，并注明“无”字。如无该表则即使在其它部分已反映，将也被视为“无偏离”。</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7</w:t>
      </w:r>
    </w:p>
    <w:p>
      <w:pPr>
        <w:keepNext w:val="0"/>
        <w:keepLines w:val="0"/>
        <w:widowControl w:val="0"/>
        <w:suppressLineNumbers w:val="0"/>
        <w:spacing w:before="0" w:beforeAutospacing="0" w:after="0" w:afterAutospacing="0"/>
        <w:ind w:left="0" w:right="0"/>
        <w:jc w:val="center"/>
        <w:rPr>
          <w:rFonts w:eastAsia="黑体"/>
          <w:b/>
          <w:bCs w:val="0"/>
          <w:sz w:val="28"/>
          <w:szCs w:val="22"/>
          <w:lang w:val="en-US"/>
        </w:rPr>
      </w:pPr>
      <w:r>
        <w:rPr>
          <w:rFonts w:hint="eastAsia" w:ascii="Calibri" w:hAnsi="Calibri" w:eastAsia="黑体" w:cs="黑体"/>
          <w:b/>
          <w:bCs w:val="0"/>
          <w:kern w:val="2"/>
          <w:sz w:val="28"/>
          <w:szCs w:val="22"/>
          <w:lang w:val="en-US" w:eastAsia="zh-CN" w:bidi="ar"/>
        </w:rPr>
        <w:t>技术规格、参数偏离表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bl>
      <w:tblPr>
        <w:tblStyle w:val="2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7"/>
        <w:gridCol w:w="1079"/>
        <w:gridCol w:w="2893"/>
        <w:gridCol w:w="1109"/>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序号</w:t>
            </w:r>
          </w:p>
        </w:tc>
        <w:tc>
          <w:tcPr>
            <w:tcW w:w="3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招标文件条款</w:t>
            </w:r>
          </w:p>
        </w:tc>
        <w:tc>
          <w:tcPr>
            <w:tcW w:w="3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条款号</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条款内容</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条款号</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tc>
      </w:tr>
    </w:tbl>
    <w:p>
      <w:pPr>
        <w:keepNext w:val="0"/>
        <w:keepLines w:val="0"/>
        <w:widowControl w:val="0"/>
        <w:suppressLineNumbers w:val="0"/>
        <w:spacing w:before="0" w:beforeAutospacing="0" w:after="0" w:afterAutospacing="0"/>
        <w:ind w:left="0" w:right="0"/>
        <w:jc w:val="both"/>
        <w:rPr>
          <w:sz w:val="24"/>
          <w:szCs w:val="24"/>
          <w:lang w:val="en-US"/>
        </w:rPr>
      </w:pPr>
      <w:r>
        <w:rPr>
          <w:rFonts w:hint="eastAsia" w:ascii="Calibri" w:hAnsi="Calibri" w:eastAsia="宋体" w:cs="宋体"/>
          <w:kern w:val="2"/>
          <w:sz w:val="24"/>
          <w:szCs w:val="24"/>
          <w:lang w:val="en-US" w:eastAsia="zh-CN" w:bidi="ar"/>
        </w:rPr>
        <w:t>投标人名称：</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投标人代表签字：</w:t>
      </w:r>
      <w:r>
        <w:rPr>
          <w:rFonts w:hint="default" w:ascii="Calibri" w:hAnsi="Calibri" w:eastAsia="宋体" w:cs="Times New Roman"/>
          <w:kern w:val="2"/>
          <w:sz w:val="24"/>
          <w:szCs w:val="24"/>
          <w:lang w:val="en-US" w:eastAsia="zh-CN" w:bidi="ar"/>
        </w:rPr>
        <w:t xml:space="preserve">            </w:t>
      </w:r>
      <w:r>
        <w:rPr>
          <w:rFonts w:hint="eastAsia" w:ascii="Calibri" w:hAnsi="Calibri" w:eastAsia="宋体" w:cs="宋体"/>
          <w:kern w:val="2"/>
          <w:sz w:val="24"/>
          <w:szCs w:val="24"/>
          <w:lang w:val="en-US" w:eastAsia="zh-CN" w:bidi="ar"/>
        </w:rPr>
        <w:t>日期：</w:t>
      </w:r>
    </w:p>
    <w:p>
      <w:pPr>
        <w:keepNext w:val="0"/>
        <w:keepLines w:val="0"/>
        <w:widowControl w:val="0"/>
        <w:suppressLineNumbers w:val="0"/>
        <w:spacing w:before="0" w:beforeAutospacing="0" w:after="0" w:afterAutospacing="0"/>
        <w:ind w:left="0" w:right="0"/>
        <w:jc w:val="both"/>
        <w:rPr>
          <w:sz w:val="24"/>
          <w:szCs w:val="24"/>
          <w:lang w:val="en-US"/>
        </w:rPr>
      </w:pPr>
      <w:r>
        <w:rPr>
          <w:rFonts w:hint="eastAsia" w:ascii="Calibri" w:hAnsi="Calibri" w:eastAsia="宋体" w:cs="宋体"/>
          <w:kern w:val="2"/>
          <w:sz w:val="24"/>
          <w:szCs w:val="24"/>
          <w:lang w:val="en-US" w:eastAsia="zh-CN" w:bidi="ar"/>
        </w:rPr>
        <w:t>注：为避免歧义，无偏离也应要提报该表，并注明“无”字。如无该表则即使在其它部分已反映，将也被视为“无偏离”。</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2"/>
          <w:lang w:val="en-US"/>
        </w:rPr>
      </w:pPr>
    </w:p>
    <w:p>
      <w:pPr>
        <w:pStyle w:val="14"/>
        <w:keepNext w:val="0"/>
        <w:keepLines w:val="0"/>
        <w:widowControl/>
        <w:suppressLineNumbers w:val="0"/>
        <w:spacing w:line="360" w:lineRule="auto"/>
        <w:ind w:left="820" w:hanging="400"/>
        <w:jc w:val="center"/>
        <w:rPr>
          <w:lang w:val="en-US"/>
        </w:rPr>
      </w:pPr>
    </w:p>
    <w:p>
      <w:pPr>
        <w:pStyle w:val="14"/>
        <w:keepNext w:val="0"/>
        <w:keepLines w:val="0"/>
        <w:widowControl/>
        <w:suppressLineNumbers w:val="0"/>
        <w:spacing w:line="360" w:lineRule="auto"/>
        <w:ind w:left="820" w:hanging="400"/>
        <w:jc w:val="center"/>
        <w:rPr>
          <w:lang w:val="en-US"/>
        </w:rPr>
      </w:pPr>
    </w:p>
    <w:p>
      <w:pPr>
        <w:pStyle w:val="14"/>
        <w:keepNext w:val="0"/>
        <w:keepLines w:val="0"/>
        <w:widowControl/>
        <w:suppressLineNumbers w:val="0"/>
        <w:spacing w:line="360" w:lineRule="auto"/>
        <w:ind w:left="820" w:hanging="400"/>
        <w:jc w:val="center"/>
        <w:rPr>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8</w:t>
      </w:r>
    </w:p>
    <w:p>
      <w:pPr>
        <w:keepNext w:val="0"/>
        <w:keepLines w:val="0"/>
        <w:widowControl w:val="0"/>
        <w:suppressLineNumbers w:val="0"/>
        <w:spacing w:before="0" w:beforeAutospacing="0" w:after="0" w:afterAutospacing="0"/>
        <w:ind w:left="0" w:right="0"/>
        <w:jc w:val="center"/>
        <w:rPr>
          <w:rFonts w:eastAsia="黑体"/>
          <w:b/>
          <w:bCs w:val="0"/>
          <w:sz w:val="28"/>
          <w:szCs w:val="22"/>
          <w:lang w:val="en-US"/>
        </w:rPr>
      </w:pPr>
      <w:r>
        <w:rPr>
          <w:rFonts w:hint="eastAsia" w:ascii="Calibri" w:hAnsi="Calibri" w:eastAsia="黑体" w:cs="黑体"/>
          <w:b/>
          <w:bCs w:val="0"/>
          <w:kern w:val="2"/>
          <w:sz w:val="28"/>
          <w:szCs w:val="22"/>
          <w:lang w:val="en-US" w:eastAsia="zh-CN" w:bidi="ar"/>
        </w:rPr>
        <w:t>项目实施方案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2"/>
          <w:lang w:val="zh-CN" w:eastAsia="zh-CN"/>
        </w:rPr>
      </w:pPr>
      <w:r>
        <w:rPr>
          <w:rFonts w:hint="eastAsia" w:ascii="宋体" w:hAnsi="宋体" w:eastAsia="宋体" w:cs="宋体"/>
          <w:color w:val="000000"/>
          <w:kern w:val="0"/>
          <w:sz w:val="24"/>
          <w:szCs w:val="22"/>
          <w:lang w:val="zh-CN" w:eastAsia="zh-CN" w:bidi="ar"/>
        </w:rPr>
        <w:t>1、招标文件技术规范书要求完整实施方案，包括维保项目规划蓝图及本期实施内容、本期实施计划、项目实施效果、项目成员组成、维保服务、项目实施保障等。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2"/>
          <w:lang w:val="en-US"/>
        </w:rPr>
      </w:pPr>
      <w:r>
        <w:rPr>
          <w:rFonts w:hint="eastAsia" w:ascii="宋体" w:hAnsi="宋体" w:eastAsia="宋体" w:cs="宋体"/>
          <w:color w:val="000000"/>
          <w:kern w:val="0"/>
          <w:sz w:val="24"/>
          <w:szCs w:val="22"/>
          <w:lang w:val="en-US" w:eastAsia="zh-CN" w:bidi="ar"/>
        </w:rPr>
        <w:t>2、</w:t>
      </w:r>
      <w:r>
        <w:rPr>
          <w:rFonts w:hint="eastAsia" w:ascii="宋体" w:hAnsi="宋体" w:eastAsia="宋体" w:cs="宋体"/>
          <w:color w:val="000000"/>
          <w:kern w:val="0"/>
          <w:sz w:val="24"/>
          <w:szCs w:val="22"/>
          <w:lang w:val="zh-CN" w:eastAsia="zh-CN" w:bidi="ar"/>
        </w:rPr>
        <w:t>实施方案不提供，按无效投标处理。</w:t>
      </w:r>
    </w:p>
    <w:p>
      <w:pPr>
        <w:keepNext w:val="0"/>
        <w:keepLines w:val="0"/>
        <w:widowControl w:val="0"/>
        <w:suppressLineNumbers w:val="0"/>
        <w:spacing w:before="0" w:beforeAutospacing="0" w:after="0" w:afterAutospacing="0"/>
        <w:ind w:left="57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57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57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57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57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570" w:right="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注：投标人应根据上述内容、要求自行编制</w:t>
      </w:r>
    </w:p>
    <w:p>
      <w:pPr>
        <w:keepNext w:val="0"/>
        <w:keepLines w:val="0"/>
        <w:widowControl w:val="0"/>
        <w:suppressLineNumbers w:val="0"/>
        <w:spacing w:before="0" w:beforeAutospacing="0" w:after="0" w:afterAutospacing="0"/>
        <w:ind w:left="90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ind w:left="900" w:right="0"/>
        <w:jc w:val="both"/>
        <w:rPr>
          <w:rFonts w:hint="eastAsia" w:ascii="宋体" w:hAnsi="宋体"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line="520" w:lineRule="exact"/>
        <w:ind w:left="0" w:right="2"/>
        <w:jc w:val="both"/>
        <w:rPr>
          <w:rFonts w:hint="eastAsia" w:ascii="宋体" w:hAnsi="Courier New" w:eastAsia="宋体" w:cs="宋体"/>
          <w:sz w:val="24"/>
          <w:szCs w:val="22"/>
          <w:lang w:val="en-US"/>
        </w:rPr>
      </w:pPr>
    </w:p>
    <w:p>
      <w:pPr>
        <w:keepNext w:val="0"/>
        <w:keepLines w:val="0"/>
        <w:widowControl w:val="0"/>
        <w:suppressLineNumbers w:val="0"/>
        <w:spacing w:before="0" w:beforeAutospacing="0" w:after="0" w:afterAutospacing="0"/>
        <w:ind w:left="0" w:right="0"/>
        <w:jc w:val="both"/>
        <w:rPr>
          <w:rFonts w:eastAsia="黑体"/>
          <w:b/>
          <w:bCs w:val="0"/>
          <w:sz w:val="28"/>
          <w:szCs w:val="22"/>
          <w:lang w:val="en-US"/>
        </w:rPr>
      </w:pPr>
      <w:r>
        <w:rPr>
          <w:rFonts w:hint="eastAsia" w:ascii="Calibri" w:hAnsi="Calibri" w:eastAsia="黑体" w:cs="黑体"/>
          <w:b/>
          <w:bCs w:val="0"/>
          <w:kern w:val="2"/>
          <w:sz w:val="28"/>
          <w:szCs w:val="22"/>
          <w:lang w:val="en-US" w:eastAsia="zh-CN" w:bidi="ar"/>
        </w:rPr>
        <w:t>附件</w:t>
      </w:r>
      <w:r>
        <w:rPr>
          <w:rFonts w:hint="default" w:ascii="Calibri" w:hAnsi="Calibri" w:eastAsia="黑体" w:cs="Times New Roman"/>
          <w:b/>
          <w:bCs w:val="0"/>
          <w:kern w:val="2"/>
          <w:sz w:val="28"/>
          <w:szCs w:val="22"/>
          <w:lang w:val="en-US" w:eastAsia="zh-CN" w:bidi="ar"/>
        </w:rPr>
        <w:t>9</w:t>
      </w:r>
    </w:p>
    <w:p>
      <w:pPr>
        <w:keepNext w:val="0"/>
        <w:keepLines w:val="0"/>
        <w:widowControl w:val="0"/>
        <w:suppressLineNumbers w:val="0"/>
        <w:spacing w:before="0" w:beforeAutospacing="0" w:after="0" w:afterAutospacing="0"/>
        <w:ind w:left="0" w:right="0"/>
        <w:jc w:val="center"/>
        <w:rPr>
          <w:rFonts w:eastAsia="黑体"/>
          <w:b/>
          <w:bCs w:val="0"/>
          <w:sz w:val="28"/>
          <w:szCs w:val="22"/>
          <w:lang w:val="en-US"/>
        </w:rPr>
      </w:pPr>
      <w:r>
        <w:rPr>
          <w:rFonts w:hint="default" w:ascii="Calibri" w:hAnsi="Calibri" w:eastAsia="黑体" w:cs="Times New Roman"/>
          <w:b/>
          <w:bCs w:val="0"/>
          <w:kern w:val="2"/>
          <w:sz w:val="28"/>
          <w:szCs w:val="22"/>
          <w:lang w:val="en-US" w:eastAsia="zh-CN" w:bidi="ar"/>
        </w:rPr>
        <w:t xml:space="preserve">  </w:t>
      </w:r>
      <w:r>
        <w:rPr>
          <w:rFonts w:hint="eastAsia" w:ascii="Calibri" w:hAnsi="Calibri" w:eastAsia="黑体" w:cs="黑体"/>
          <w:b/>
          <w:bCs w:val="0"/>
          <w:kern w:val="2"/>
          <w:sz w:val="28"/>
          <w:szCs w:val="22"/>
          <w:lang w:val="en-US" w:eastAsia="zh-CN" w:bidi="ar"/>
        </w:rPr>
        <w:t>投标报名表</w:t>
      </w:r>
    </w:p>
    <w:p>
      <w:pPr>
        <w:keepNext w:val="0"/>
        <w:keepLines w:val="0"/>
        <w:widowControl w:val="0"/>
        <w:suppressLineNumbers w:val="0"/>
        <w:spacing w:before="0" w:beforeAutospacing="0" w:after="0" w:afterAutospacing="0"/>
        <w:ind w:left="0" w:right="0" w:firstLine="120" w:firstLineChars="50"/>
        <w:jc w:val="both"/>
        <w:rPr>
          <w:sz w:val="24"/>
          <w:szCs w:val="22"/>
          <w:lang w:val="en-US"/>
        </w:rPr>
      </w:pPr>
      <w:r>
        <w:rPr>
          <w:rFonts w:hint="eastAsia" w:ascii="Calibri" w:hAnsi="Calibri" w:eastAsia="宋体" w:cs="宋体"/>
          <w:kern w:val="2"/>
          <w:sz w:val="24"/>
          <w:szCs w:val="22"/>
          <w:lang w:val="en-US" w:eastAsia="zh-CN" w:bidi="ar"/>
        </w:rPr>
        <w:t>公章：</w:t>
      </w:r>
    </w:p>
    <w:tbl>
      <w:tblPr>
        <w:tblStyle w:val="24"/>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9"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项目名称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eastAsia" w:ascii="宋体" w:hAnsi="Courier New"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8"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投标单位</w:t>
            </w:r>
          </w:p>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（全称）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投标内容</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6"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项目负责人</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联系电话</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5"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公司电话</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p>
          <w:p>
            <w:pPr>
              <w:keepNext w:val="0"/>
              <w:keepLines w:val="0"/>
              <w:widowControl w:val="0"/>
              <w:suppressLineNumbers w:val="0"/>
              <w:spacing w:before="0" w:beforeAutospacing="0" w:after="0" w:afterAutospacing="0"/>
              <w:ind w:left="0" w:right="0"/>
              <w:jc w:val="center"/>
              <w:rPr>
                <w:rFonts w:hint="eastAsia"/>
                <w:sz w:val="24"/>
                <w:szCs w:val="22"/>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传真</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8"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default" w:ascii="Calibri" w:hAnsi="Calibri" w:eastAsia="宋体" w:cs="Times New Roman"/>
                <w:kern w:val="2"/>
                <w:sz w:val="24"/>
                <w:szCs w:val="22"/>
                <w:lang w:val="en-US" w:eastAsia="zh-CN" w:bidi="ar"/>
              </w:rPr>
              <w:t>E-mail</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1" w:hRule="atLeast"/>
          <w:jc w:val="center"/>
        </w:trPr>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报名时间</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sz w:val="24"/>
                <w:szCs w:val="22"/>
                <w:lang w:val="en-US"/>
              </w:rPr>
            </w:pPr>
            <w:r>
              <w:rPr>
                <w:rFonts w:hint="eastAsia" w:ascii="Calibri" w:hAnsi="Calibri" w:eastAsia="宋体" w:cs="宋体"/>
                <w:kern w:val="2"/>
                <w:sz w:val="24"/>
                <w:szCs w:val="22"/>
                <w:lang w:val="en-US" w:eastAsia="zh-CN" w:bidi="ar"/>
              </w:rPr>
              <w:t>年</w:t>
            </w:r>
            <w:r>
              <w:rPr>
                <w:rFonts w:hint="default" w:ascii="Calibri" w:hAnsi="Calibri" w:eastAsia="宋体" w:cs="Times New Roman"/>
                <w:kern w:val="2"/>
                <w:sz w:val="24"/>
                <w:szCs w:val="22"/>
                <w:lang w:val="en-US" w:eastAsia="zh-CN" w:bidi="ar"/>
              </w:rPr>
              <w:t xml:space="preserve">    </w:t>
            </w:r>
            <w:r>
              <w:rPr>
                <w:rFonts w:hint="eastAsia" w:ascii="Calibri" w:hAnsi="Calibri" w:eastAsia="宋体" w:cs="宋体"/>
                <w:kern w:val="2"/>
                <w:sz w:val="24"/>
                <w:szCs w:val="22"/>
                <w:lang w:val="en-US" w:eastAsia="zh-CN" w:bidi="ar"/>
              </w:rPr>
              <w:t>月</w:t>
            </w:r>
            <w:r>
              <w:rPr>
                <w:rFonts w:hint="default" w:ascii="Calibri" w:hAnsi="Calibri" w:eastAsia="宋体" w:cs="Times New Roman"/>
                <w:kern w:val="2"/>
                <w:sz w:val="24"/>
                <w:szCs w:val="22"/>
                <w:lang w:val="en-US" w:eastAsia="zh-CN" w:bidi="ar"/>
              </w:rPr>
              <w:t xml:space="preserve">    </w:t>
            </w:r>
            <w:r>
              <w:rPr>
                <w:rFonts w:hint="eastAsia" w:ascii="Calibri" w:hAnsi="Calibri" w:eastAsia="宋体" w:cs="宋体"/>
                <w:kern w:val="2"/>
                <w:sz w:val="24"/>
                <w:szCs w:val="22"/>
                <w:lang w:val="en-US" w:eastAsia="zh-CN" w:bidi="ar"/>
              </w:rPr>
              <w:t>日</w:t>
            </w:r>
          </w:p>
        </w:tc>
      </w:tr>
    </w:tbl>
    <w:p>
      <w:pPr>
        <w:keepNext w:val="0"/>
        <w:keepLines w:val="0"/>
        <w:widowControl w:val="0"/>
        <w:suppressLineNumbers w:val="0"/>
        <w:spacing w:before="0" w:beforeAutospacing="0" w:after="0" w:afterAutospacing="0"/>
        <w:ind w:left="470" w:right="69" w:rightChars="33" w:hanging="470" w:hangingChars="196"/>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注：请投标单位认真填写并加盖公章，并于规定时间前回传邮箱并打电话确认</w:t>
      </w:r>
    </w:p>
    <w:p>
      <w:pPr>
        <w:keepNext w:val="0"/>
        <w:keepLines w:val="0"/>
        <w:widowControl w:val="0"/>
        <w:suppressLineNumbers w:val="0"/>
        <w:spacing w:before="0" w:beforeAutospacing="0" w:after="0" w:afterAutospacing="0"/>
        <w:ind w:left="470" w:right="69" w:rightChars="33" w:hanging="470" w:hangingChars="196"/>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0531-58066684 林海峰 。</w:t>
      </w:r>
    </w:p>
    <w:p>
      <w:pPr>
        <w:pStyle w:val="33"/>
        <w:keepNext w:val="0"/>
        <w:keepLines w:val="0"/>
        <w:widowControl/>
        <w:suppressLineNumbers w:val="0"/>
        <w:ind w:left="0" w:firstLine="0" w:firstLineChars="0"/>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sectPr>
      <w:pgSz w:w="12242" w:h="15842"/>
      <w:pgMar w:top="1418" w:right="1752" w:bottom="1135" w:left="1418" w:header="737" w:footer="431" w:gutter="357"/>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auto"/>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345D5"/>
    <w:multiLevelType w:val="multilevel"/>
    <w:tmpl w:val="8A8345D5"/>
    <w:lvl w:ilvl="0" w:tentative="0">
      <w:start w:val="1"/>
      <w:numFmt w:val="bullet"/>
      <w:lvlText w:val=""/>
      <w:lvlJc w:val="left"/>
      <w:pPr>
        <w:ind w:left="900" w:hanging="420"/>
      </w:pPr>
      <w:rPr>
        <w:rFonts w:hint="default" w:ascii="Wingdings" w:hAnsi="Wingdings" w:cs="Wingdings"/>
      </w:rPr>
    </w:lvl>
    <w:lvl w:ilvl="1" w:tentative="0">
      <w:start w:val="1"/>
      <w:numFmt w:val="bullet"/>
      <w:lvlText w:val=""/>
      <w:lvlJc w:val="left"/>
      <w:pPr>
        <w:ind w:left="1320" w:hanging="420"/>
      </w:pPr>
      <w:rPr>
        <w:rFonts w:hint="default" w:ascii="Wingdings" w:hAnsi="Wingdings" w:cs="Wingdings"/>
      </w:rPr>
    </w:lvl>
    <w:lvl w:ilvl="2" w:tentative="0">
      <w:start w:val="1"/>
      <w:numFmt w:val="bullet"/>
      <w:lvlText w:val=""/>
      <w:lvlJc w:val="left"/>
      <w:pPr>
        <w:ind w:left="1740" w:hanging="420"/>
      </w:pPr>
      <w:rPr>
        <w:rFonts w:hint="default" w:ascii="Wingdings" w:hAnsi="Wingdings" w:cs="Wingdings"/>
      </w:rPr>
    </w:lvl>
    <w:lvl w:ilvl="3" w:tentative="0">
      <w:start w:val="1"/>
      <w:numFmt w:val="bullet"/>
      <w:lvlText w:val=""/>
      <w:lvlJc w:val="left"/>
      <w:pPr>
        <w:ind w:left="2160" w:hanging="420"/>
      </w:pPr>
      <w:rPr>
        <w:rFonts w:hint="default" w:ascii="Wingdings" w:hAnsi="Wingdings" w:cs="Wingdings"/>
      </w:rPr>
    </w:lvl>
    <w:lvl w:ilvl="4" w:tentative="0">
      <w:start w:val="1"/>
      <w:numFmt w:val="bullet"/>
      <w:lvlText w:val=""/>
      <w:lvlJc w:val="left"/>
      <w:pPr>
        <w:ind w:left="2580" w:hanging="420"/>
      </w:pPr>
      <w:rPr>
        <w:rFonts w:hint="default" w:ascii="Wingdings" w:hAnsi="Wingdings" w:cs="Wingdings"/>
      </w:rPr>
    </w:lvl>
    <w:lvl w:ilvl="5" w:tentative="0">
      <w:start w:val="1"/>
      <w:numFmt w:val="bullet"/>
      <w:lvlText w:val=""/>
      <w:lvlJc w:val="left"/>
      <w:pPr>
        <w:ind w:left="3000" w:hanging="420"/>
      </w:pPr>
      <w:rPr>
        <w:rFonts w:hint="default" w:ascii="Wingdings" w:hAnsi="Wingdings" w:cs="Wingdings"/>
      </w:rPr>
    </w:lvl>
    <w:lvl w:ilvl="6" w:tentative="0">
      <w:start w:val="1"/>
      <w:numFmt w:val="bullet"/>
      <w:lvlText w:val=""/>
      <w:lvlJc w:val="left"/>
      <w:pPr>
        <w:ind w:left="3420" w:hanging="420"/>
      </w:pPr>
      <w:rPr>
        <w:rFonts w:hint="default" w:ascii="Wingdings" w:hAnsi="Wingdings" w:cs="Wingdings"/>
      </w:rPr>
    </w:lvl>
    <w:lvl w:ilvl="7" w:tentative="0">
      <w:start w:val="1"/>
      <w:numFmt w:val="bullet"/>
      <w:lvlText w:val=""/>
      <w:lvlJc w:val="left"/>
      <w:pPr>
        <w:ind w:left="3840" w:hanging="420"/>
      </w:pPr>
      <w:rPr>
        <w:rFonts w:hint="default" w:ascii="Wingdings" w:hAnsi="Wingdings" w:cs="Wingdings"/>
      </w:rPr>
    </w:lvl>
    <w:lvl w:ilvl="8" w:tentative="0">
      <w:start w:val="1"/>
      <w:numFmt w:val="bullet"/>
      <w:lvlText w:val=""/>
      <w:lvlJc w:val="left"/>
      <w:pPr>
        <w:ind w:left="4260" w:hanging="420"/>
      </w:pPr>
      <w:rPr>
        <w:rFonts w:hint="default" w:ascii="Wingdings" w:hAnsi="Wingdings" w:cs="Wingdings"/>
      </w:rPr>
    </w:lvl>
  </w:abstractNum>
  <w:abstractNum w:abstractNumId="1">
    <w:nsid w:val="8AC49A9E"/>
    <w:multiLevelType w:val="multilevel"/>
    <w:tmpl w:val="8AC49A9E"/>
    <w:lvl w:ilvl="0" w:tentative="0">
      <w:start w:val="1"/>
      <w:numFmt w:val="decimal"/>
      <w:pStyle w:val="32"/>
      <w:isLgl/>
      <w:suff w:val="space"/>
      <w:lvlText w:val="%1"/>
      <w:lvlJc w:val="left"/>
      <w:pPr>
        <w:ind w:left="0" w:firstLine="0"/>
      </w:pPr>
    </w:lvl>
    <w:lvl w:ilvl="1" w:tentative="0">
      <w:start w:val="1"/>
      <w:numFmt w:val="decimal"/>
      <w:pStyle w:val="62"/>
      <w:isLgl/>
      <w:suff w:val="space"/>
      <w:lvlText w:val="%1.%2"/>
      <w:lvlJc w:val="left"/>
      <w:pPr>
        <w:ind w:left="0" w:firstLine="0"/>
      </w:pPr>
    </w:lvl>
    <w:lvl w:ilvl="2" w:tentative="0">
      <w:start w:val="1"/>
      <w:numFmt w:val="decimal"/>
      <w:pStyle w:val="53"/>
      <w:isLgl/>
      <w:suff w:val="space"/>
      <w:lvlText w:val="%1.%2.%3"/>
      <w:lvlJc w:val="left"/>
      <w:pPr>
        <w:ind w:left="0" w:firstLine="0"/>
      </w:p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图%1"/>
      <w:lvlJc w:val="center"/>
      <w:pPr>
        <w:ind w:left="0" w:firstLine="0"/>
      </w:pPr>
    </w:lvl>
    <w:lvl w:ilvl="8" w:tentative="0">
      <w:start w:val="1"/>
      <w:numFmt w:val="decimal"/>
      <w:isLgl/>
      <w:suff w:val="space"/>
      <w:lvlText w:val="表%1"/>
      <w:lvlJc w:val="center"/>
      <w:pPr>
        <w:ind w:left="0" w:firstLine="0"/>
      </w:pPr>
    </w:lvl>
  </w:abstractNum>
  <w:abstractNum w:abstractNumId="2">
    <w:nsid w:val="8DB83107"/>
    <w:multiLevelType w:val="multilevel"/>
    <w:tmpl w:val="8DB8310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8EB189E5"/>
    <w:multiLevelType w:val="multilevel"/>
    <w:tmpl w:val="8EB189E5"/>
    <w:lvl w:ilvl="0" w:tentative="0">
      <w:start w:val="1"/>
      <w:numFmt w:val="bullet"/>
      <w:lvlText w:val=""/>
      <w:lvlJc w:val="left"/>
      <w:pPr>
        <w:ind w:left="795" w:hanging="420"/>
      </w:pPr>
      <w:rPr>
        <w:rFonts w:hint="default" w:ascii="Wingdings" w:hAnsi="Wingdings" w:cs="Wingdings"/>
      </w:rPr>
    </w:lvl>
    <w:lvl w:ilvl="1" w:tentative="0">
      <w:start w:val="1"/>
      <w:numFmt w:val="bullet"/>
      <w:lvlText w:val=""/>
      <w:lvlJc w:val="left"/>
      <w:pPr>
        <w:ind w:left="1215" w:hanging="420"/>
      </w:pPr>
      <w:rPr>
        <w:rFonts w:hint="default" w:ascii="Wingdings" w:hAnsi="Wingdings" w:cs="Wingdings"/>
      </w:rPr>
    </w:lvl>
    <w:lvl w:ilvl="2" w:tentative="0">
      <w:start w:val="1"/>
      <w:numFmt w:val="bullet"/>
      <w:lvlText w:val=""/>
      <w:lvlJc w:val="left"/>
      <w:pPr>
        <w:ind w:left="1635" w:hanging="420"/>
      </w:pPr>
      <w:rPr>
        <w:rFonts w:hint="default" w:ascii="Wingdings" w:hAnsi="Wingdings" w:cs="Wingdings"/>
      </w:rPr>
    </w:lvl>
    <w:lvl w:ilvl="3" w:tentative="0">
      <w:start w:val="1"/>
      <w:numFmt w:val="bullet"/>
      <w:lvlText w:val=""/>
      <w:lvlJc w:val="left"/>
      <w:pPr>
        <w:ind w:left="2055" w:hanging="420"/>
      </w:pPr>
      <w:rPr>
        <w:rFonts w:hint="default" w:ascii="Wingdings" w:hAnsi="Wingdings" w:cs="Wingdings"/>
      </w:rPr>
    </w:lvl>
    <w:lvl w:ilvl="4" w:tentative="0">
      <w:start w:val="1"/>
      <w:numFmt w:val="bullet"/>
      <w:lvlText w:val=""/>
      <w:lvlJc w:val="left"/>
      <w:pPr>
        <w:ind w:left="2475" w:hanging="420"/>
      </w:pPr>
      <w:rPr>
        <w:rFonts w:hint="default" w:ascii="Wingdings" w:hAnsi="Wingdings" w:cs="Wingdings"/>
      </w:rPr>
    </w:lvl>
    <w:lvl w:ilvl="5" w:tentative="0">
      <w:start w:val="1"/>
      <w:numFmt w:val="bullet"/>
      <w:lvlText w:val=""/>
      <w:lvlJc w:val="left"/>
      <w:pPr>
        <w:ind w:left="2895" w:hanging="420"/>
      </w:pPr>
      <w:rPr>
        <w:rFonts w:hint="default" w:ascii="Wingdings" w:hAnsi="Wingdings" w:cs="Wingdings"/>
      </w:rPr>
    </w:lvl>
    <w:lvl w:ilvl="6" w:tentative="0">
      <w:start w:val="1"/>
      <w:numFmt w:val="bullet"/>
      <w:lvlText w:val=""/>
      <w:lvlJc w:val="left"/>
      <w:pPr>
        <w:ind w:left="3315" w:hanging="420"/>
      </w:pPr>
      <w:rPr>
        <w:rFonts w:hint="default" w:ascii="Wingdings" w:hAnsi="Wingdings" w:cs="Wingdings"/>
      </w:rPr>
    </w:lvl>
    <w:lvl w:ilvl="7" w:tentative="0">
      <w:start w:val="1"/>
      <w:numFmt w:val="bullet"/>
      <w:lvlText w:val=""/>
      <w:lvlJc w:val="left"/>
      <w:pPr>
        <w:ind w:left="3735" w:hanging="420"/>
      </w:pPr>
      <w:rPr>
        <w:rFonts w:hint="default" w:ascii="Wingdings" w:hAnsi="Wingdings" w:cs="Wingdings"/>
      </w:rPr>
    </w:lvl>
    <w:lvl w:ilvl="8" w:tentative="0">
      <w:start w:val="1"/>
      <w:numFmt w:val="bullet"/>
      <w:lvlText w:val=""/>
      <w:lvlJc w:val="left"/>
      <w:pPr>
        <w:ind w:left="4155" w:hanging="420"/>
      </w:pPr>
      <w:rPr>
        <w:rFonts w:hint="default" w:ascii="Wingdings" w:hAnsi="Wingdings" w:cs="Wingdings"/>
      </w:rPr>
    </w:lvl>
  </w:abstractNum>
  <w:abstractNum w:abstractNumId="4">
    <w:nsid w:val="9E0A6A31"/>
    <w:multiLevelType w:val="multilevel"/>
    <w:tmpl w:val="9E0A6A31"/>
    <w:lvl w:ilvl="0" w:tentative="0">
      <w:start w:val="1"/>
      <w:numFmt w:val="decimal"/>
      <w:pStyle w:val="34"/>
      <w:lvlText w:val="%1）"/>
      <w:lvlJc w:val="left"/>
      <w:pPr>
        <w:ind w:left="840" w:hanging="420"/>
      </w:pPr>
      <w:rPr>
        <w:rFonts w:hint="eastAsia" w:ascii="Times New Roman" w:hAnsi="Times New Roman" w:eastAsia="宋体" w:cs="Times New Roman"/>
        <w:b/>
      </w:rPr>
    </w:lvl>
    <w:lvl w:ilvl="1" w:tentative="0">
      <w:start w:val="1"/>
      <w:numFmt w:val="decimal"/>
      <w:lvlText w:val="%2)"/>
      <w:lvlJc w:val="left"/>
      <w:pPr>
        <w:tabs>
          <w:tab w:val="left" w:pos="1113"/>
        </w:tabs>
        <w:ind w:left="1113" w:hanging="420"/>
      </w:p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abstractNum w:abstractNumId="5">
    <w:nsid w:val="A494FB61"/>
    <w:multiLevelType w:val="multilevel"/>
    <w:tmpl w:val="A494FB61"/>
    <w:lvl w:ilvl="0" w:tentative="0">
      <w:start w:val="1"/>
      <w:numFmt w:val="decimal"/>
      <w:isLgl/>
      <w:suff w:val="space"/>
      <w:lvlText w:val="%1"/>
      <w:lvlJc w:val="left"/>
      <w:pPr>
        <w:ind w:left="0" w:firstLine="0"/>
      </w:pPr>
    </w:lvl>
    <w:lvl w:ilvl="1" w:tentative="0">
      <w:start w:val="1"/>
      <w:numFmt w:val="decimal"/>
      <w:isLgl/>
      <w:suff w:val="space"/>
      <w:lvlText w:val="%1.%2"/>
      <w:lvlJc w:val="left"/>
      <w:pPr>
        <w:ind w:left="0" w:firstLine="0"/>
        <w:textAlignment w:val="baseline"/>
      </w:pPr>
      <w:rPr>
        <w:rFonts w:ascii="Times New Roman" w:hAnsi="Times New Roman" w:cs="Times New Roman"/>
        <w:b w:val="0"/>
        <w:bCs w:val="0"/>
        <w:iCs w:val="0"/>
        <w:caps w:val="0"/>
        <w:strike w:val="0"/>
        <w:dstrike w:val="0"/>
        <w:vanish w:val="0"/>
        <w:spacing w:val="0"/>
        <w:position w:val="0"/>
        <w:u w:val="none"/>
      </w:rPr>
    </w:lvl>
    <w:lvl w:ilvl="2" w:tentative="0">
      <w:start w:val="1"/>
      <w:numFmt w:val="decimal"/>
      <w:isLgl/>
      <w:suff w:val="space"/>
      <w:lvlText w:val="%1.%2.%3"/>
      <w:lvlJc w:val="left"/>
      <w:pPr>
        <w:ind w:left="0" w:firstLine="0"/>
      </w:pPr>
    </w:lvl>
    <w:lvl w:ilvl="3" w:tentative="0">
      <w:start w:val="1"/>
      <w:numFmt w:val="decimal"/>
      <w:pStyle w:val="64"/>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图%1"/>
      <w:lvlJc w:val="center"/>
      <w:pPr>
        <w:ind w:left="0" w:firstLine="0"/>
      </w:pPr>
    </w:lvl>
    <w:lvl w:ilvl="8" w:tentative="0">
      <w:start w:val="1"/>
      <w:numFmt w:val="decimal"/>
      <w:isLgl/>
      <w:suff w:val="space"/>
      <w:lvlText w:val="表%1"/>
      <w:lvlJc w:val="center"/>
      <w:pPr>
        <w:ind w:left="0" w:firstLine="0"/>
      </w:pPr>
    </w:lvl>
  </w:abstractNum>
  <w:abstractNum w:abstractNumId="6">
    <w:nsid w:val="A7EDF0AC"/>
    <w:multiLevelType w:val="multilevel"/>
    <w:tmpl w:val="A7EDF0AC"/>
    <w:lvl w:ilvl="0" w:tentative="0">
      <w:start w:val="1"/>
      <w:numFmt w:val="decimal"/>
      <w:lvlText w:val="（%1）"/>
      <w:lvlJc w:val="left"/>
      <w:pPr>
        <w:tabs>
          <w:tab w:val="left" w:pos="1080"/>
        </w:tabs>
        <w:ind w:left="1080" w:hanging="720"/>
      </w:pPr>
      <w:rPr>
        <w:lang w:val="en-US"/>
      </w:rPr>
    </w:lvl>
    <w:lvl w:ilvl="1" w:tentative="0">
      <w:start w:val="1"/>
      <w:numFmt w:val="lowerLetter"/>
      <w:lvlText w:val="%2)"/>
      <w:lvlJc w:val="left"/>
      <w:pPr>
        <w:tabs>
          <w:tab w:val="left" w:pos="1260"/>
        </w:tabs>
        <w:ind w:left="1260" w:hanging="420"/>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BC2E566A"/>
    <w:multiLevelType w:val="multilevel"/>
    <w:tmpl w:val="BC2E566A"/>
    <w:lvl w:ilvl="0" w:tentative="0">
      <w:start w:val="1"/>
      <w:numFmt w:val="bullet"/>
      <w:lvlText w:val=""/>
      <w:lvlJc w:val="left"/>
      <w:pPr>
        <w:ind w:left="900" w:hanging="420"/>
      </w:pPr>
      <w:rPr>
        <w:rFonts w:hint="default" w:ascii="Wingdings" w:hAnsi="Wingdings" w:cs="Wingdings"/>
      </w:rPr>
    </w:lvl>
    <w:lvl w:ilvl="1" w:tentative="0">
      <w:start w:val="1"/>
      <w:numFmt w:val="bullet"/>
      <w:lvlText w:val=""/>
      <w:lvlJc w:val="left"/>
      <w:pPr>
        <w:ind w:left="1320" w:hanging="420"/>
      </w:pPr>
      <w:rPr>
        <w:rFonts w:hint="default" w:ascii="Wingdings" w:hAnsi="Wingdings" w:cs="Wingdings"/>
      </w:rPr>
    </w:lvl>
    <w:lvl w:ilvl="2" w:tentative="0">
      <w:start w:val="1"/>
      <w:numFmt w:val="bullet"/>
      <w:lvlText w:val=""/>
      <w:lvlJc w:val="left"/>
      <w:pPr>
        <w:ind w:left="1740" w:hanging="420"/>
      </w:pPr>
      <w:rPr>
        <w:rFonts w:hint="default" w:ascii="Wingdings" w:hAnsi="Wingdings" w:cs="Wingdings"/>
      </w:rPr>
    </w:lvl>
    <w:lvl w:ilvl="3" w:tentative="0">
      <w:start w:val="1"/>
      <w:numFmt w:val="bullet"/>
      <w:lvlText w:val=""/>
      <w:lvlJc w:val="left"/>
      <w:pPr>
        <w:ind w:left="2160" w:hanging="420"/>
      </w:pPr>
      <w:rPr>
        <w:rFonts w:hint="default" w:ascii="Wingdings" w:hAnsi="Wingdings" w:cs="Wingdings"/>
      </w:rPr>
    </w:lvl>
    <w:lvl w:ilvl="4" w:tentative="0">
      <w:start w:val="1"/>
      <w:numFmt w:val="bullet"/>
      <w:lvlText w:val=""/>
      <w:lvlJc w:val="left"/>
      <w:pPr>
        <w:ind w:left="2580" w:hanging="420"/>
      </w:pPr>
      <w:rPr>
        <w:rFonts w:hint="default" w:ascii="Wingdings" w:hAnsi="Wingdings" w:cs="Wingdings"/>
      </w:rPr>
    </w:lvl>
    <w:lvl w:ilvl="5" w:tentative="0">
      <w:start w:val="1"/>
      <w:numFmt w:val="bullet"/>
      <w:lvlText w:val=""/>
      <w:lvlJc w:val="left"/>
      <w:pPr>
        <w:ind w:left="3000" w:hanging="420"/>
      </w:pPr>
      <w:rPr>
        <w:rFonts w:hint="default" w:ascii="Wingdings" w:hAnsi="Wingdings" w:cs="Wingdings"/>
      </w:rPr>
    </w:lvl>
    <w:lvl w:ilvl="6" w:tentative="0">
      <w:start w:val="1"/>
      <w:numFmt w:val="bullet"/>
      <w:lvlText w:val=""/>
      <w:lvlJc w:val="left"/>
      <w:pPr>
        <w:ind w:left="3420" w:hanging="420"/>
      </w:pPr>
      <w:rPr>
        <w:rFonts w:hint="default" w:ascii="Wingdings" w:hAnsi="Wingdings" w:cs="Wingdings"/>
      </w:rPr>
    </w:lvl>
    <w:lvl w:ilvl="7" w:tentative="0">
      <w:start w:val="1"/>
      <w:numFmt w:val="bullet"/>
      <w:lvlText w:val=""/>
      <w:lvlJc w:val="left"/>
      <w:pPr>
        <w:ind w:left="3840" w:hanging="420"/>
      </w:pPr>
      <w:rPr>
        <w:rFonts w:hint="default" w:ascii="Wingdings" w:hAnsi="Wingdings" w:cs="Wingdings"/>
      </w:rPr>
    </w:lvl>
    <w:lvl w:ilvl="8" w:tentative="0">
      <w:start w:val="1"/>
      <w:numFmt w:val="bullet"/>
      <w:lvlText w:val=""/>
      <w:lvlJc w:val="left"/>
      <w:pPr>
        <w:ind w:left="4260" w:hanging="420"/>
      </w:pPr>
      <w:rPr>
        <w:rFonts w:hint="default" w:ascii="Wingdings" w:hAnsi="Wingdings" w:cs="Wingdings"/>
      </w:rPr>
    </w:lvl>
  </w:abstractNum>
  <w:abstractNum w:abstractNumId="8">
    <w:nsid w:val="F3FCBE1F"/>
    <w:multiLevelType w:val="multilevel"/>
    <w:tmpl w:val="F3FCBE1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04A63F"/>
    <w:multiLevelType w:val="multilevel"/>
    <w:tmpl w:val="1904A63F"/>
    <w:lvl w:ilvl="0" w:tentative="0">
      <w:start w:val="1"/>
      <w:numFmt w:val="decimal"/>
      <w:lvlText w:val="（%1）"/>
      <w:lvlJc w:val="left"/>
      <w:pPr>
        <w:tabs>
          <w:tab w:val="left" w:pos="692"/>
        </w:tabs>
        <w:ind w:left="692" w:hanging="720"/>
      </w:pPr>
    </w:lvl>
    <w:lvl w:ilvl="1" w:tentative="0">
      <w:start w:val="1"/>
      <w:numFmt w:val="lowerLetter"/>
      <w:lvlText w:val="%2)"/>
      <w:lvlJc w:val="left"/>
      <w:pPr>
        <w:tabs>
          <w:tab w:val="left" w:pos="812"/>
        </w:tabs>
        <w:ind w:left="812" w:hanging="420"/>
      </w:pPr>
    </w:lvl>
    <w:lvl w:ilvl="2" w:tentative="0">
      <w:start w:val="1"/>
      <w:numFmt w:val="lowerRoman"/>
      <w:lvlText w:val="%3."/>
      <w:lvlJc w:val="right"/>
      <w:pPr>
        <w:tabs>
          <w:tab w:val="left" w:pos="1232"/>
        </w:tabs>
        <w:ind w:left="1232" w:hanging="420"/>
      </w:pPr>
    </w:lvl>
    <w:lvl w:ilvl="3" w:tentative="0">
      <w:start w:val="1"/>
      <w:numFmt w:val="decimal"/>
      <w:lvlText w:val="%4."/>
      <w:lvlJc w:val="left"/>
      <w:pPr>
        <w:tabs>
          <w:tab w:val="left" w:pos="1652"/>
        </w:tabs>
        <w:ind w:left="1652" w:hanging="420"/>
      </w:pPr>
    </w:lvl>
    <w:lvl w:ilvl="4" w:tentative="0">
      <w:start w:val="1"/>
      <w:numFmt w:val="lowerLetter"/>
      <w:lvlText w:val="%5)"/>
      <w:lvlJc w:val="left"/>
      <w:pPr>
        <w:tabs>
          <w:tab w:val="left" w:pos="2072"/>
        </w:tabs>
        <w:ind w:left="2072" w:hanging="420"/>
      </w:pPr>
    </w:lvl>
    <w:lvl w:ilvl="5" w:tentative="0">
      <w:start w:val="1"/>
      <w:numFmt w:val="lowerRoman"/>
      <w:lvlText w:val="%6."/>
      <w:lvlJc w:val="right"/>
      <w:pPr>
        <w:tabs>
          <w:tab w:val="left" w:pos="2492"/>
        </w:tabs>
        <w:ind w:left="2492" w:hanging="420"/>
      </w:pPr>
    </w:lvl>
    <w:lvl w:ilvl="6" w:tentative="0">
      <w:start w:val="1"/>
      <w:numFmt w:val="decimal"/>
      <w:lvlText w:val="%7."/>
      <w:lvlJc w:val="left"/>
      <w:pPr>
        <w:tabs>
          <w:tab w:val="left" w:pos="2912"/>
        </w:tabs>
        <w:ind w:left="2912" w:hanging="420"/>
      </w:pPr>
    </w:lvl>
    <w:lvl w:ilvl="7" w:tentative="0">
      <w:start w:val="1"/>
      <w:numFmt w:val="lowerLetter"/>
      <w:lvlText w:val="%8)"/>
      <w:lvlJc w:val="left"/>
      <w:pPr>
        <w:tabs>
          <w:tab w:val="left" w:pos="3332"/>
        </w:tabs>
        <w:ind w:left="3332" w:hanging="420"/>
      </w:pPr>
    </w:lvl>
    <w:lvl w:ilvl="8" w:tentative="0">
      <w:start w:val="1"/>
      <w:numFmt w:val="lowerRoman"/>
      <w:lvlText w:val="%9."/>
      <w:lvlJc w:val="right"/>
      <w:pPr>
        <w:tabs>
          <w:tab w:val="left" w:pos="3752"/>
        </w:tabs>
        <w:ind w:left="3752" w:hanging="420"/>
      </w:pPr>
    </w:lvl>
  </w:abstractNum>
  <w:abstractNum w:abstractNumId="10">
    <w:nsid w:val="495F8923"/>
    <w:multiLevelType w:val="multilevel"/>
    <w:tmpl w:val="495F8923"/>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11">
    <w:nsid w:val="5F18EC0B"/>
    <w:multiLevelType w:val="multilevel"/>
    <w:tmpl w:val="5F18EC0B"/>
    <w:lvl w:ilvl="0" w:tentative="0">
      <w:start w:val="1"/>
      <w:numFmt w:val="bullet"/>
      <w:lvlText w:val=""/>
      <w:lvlJc w:val="left"/>
      <w:pPr>
        <w:ind w:left="795" w:hanging="420"/>
      </w:pPr>
      <w:rPr>
        <w:rFonts w:hint="default" w:ascii="Wingdings" w:hAnsi="Wingdings" w:cs="Wingdings"/>
      </w:rPr>
    </w:lvl>
    <w:lvl w:ilvl="1" w:tentative="0">
      <w:start w:val="1"/>
      <w:numFmt w:val="bullet"/>
      <w:lvlText w:val=""/>
      <w:lvlJc w:val="left"/>
      <w:pPr>
        <w:ind w:left="1215" w:hanging="420"/>
      </w:pPr>
      <w:rPr>
        <w:rFonts w:hint="default" w:ascii="Wingdings" w:hAnsi="Wingdings" w:cs="Wingdings"/>
      </w:rPr>
    </w:lvl>
    <w:lvl w:ilvl="2" w:tentative="0">
      <w:start w:val="1"/>
      <w:numFmt w:val="bullet"/>
      <w:lvlText w:val=""/>
      <w:lvlJc w:val="left"/>
      <w:pPr>
        <w:ind w:left="1635" w:hanging="420"/>
      </w:pPr>
      <w:rPr>
        <w:rFonts w:hint="default" w:ascii="Wingdings" w:hAnsi="Wingdings" w:cs="Wingdings"/>
      </w:rPr>
    </w:lvl>
    <w:lvl w:ilvl="3" w:tentative="0">
      <w:start w:val="1"/>
      <w:numFmt w:val="bullet"/>
      <w:lvlText w:val=""/>
      <w:lvlJc w:val="left"/>
      <w:pPr>
        <w:ind w:left="2055" w:hanging="420"/>
      </w:pPr>
      <w:rPr>
        <w:rFonts w:hint="default" w:ascii="Wingdings" w:hAnsi="Wingdings" w:cs="Wingdings"/>
      </w:rPr>
    </w:lvl>
    <w:lvl w:ilvl="4" w:tentative="0">
      <w:start w:val="1"/>
      <w:numFmt w:val="bullet"/>
      <w:lvlText w:val=""/>
      <w:lvlJc w:val="left"/>
      <w:pPr>
        <w:ind w:left="2475" w:hanging="420"/>
      </w:pPr>
      <w:rPr>
        <w:rFonts w:hint="default" w:ascii="Wingdings" w:hAnsi="Wingdings" w:cs="Wingdings"/>
      </w:rPr>
    </w:lvl>
    <w:lvl w:ilvl="5" w:tentative="0">
      <w:start w:val="1"/>
      <w:numFmt w:val="bullet"/>
      <w:lvlText w:val=""/>
      <w:lvlJc w:val="left"/>
      <w:pPr>
        <w:ind w:left="2895" w:hanging="420"/>
      </w:pPr>
      <w:rPr>
        <w:rFonts w:hint="default" w:ascii="Wingdings" w:hAnsi="Wingdings" w:cs="Wingdings"/>
      </w:rPr>
    </w:lvl>
    <w:lvl w:ilvl="6" w:tentative="0">
      <w:start w:val="1"/>
      <w:numFmt w:val="bullet"/>
      <w:lvlText w:val=""/>
      <w:lvlJc w:val="left"/>
      <w:pPr>
        <w:ind w:left="3315" w:hanging="420"/>
      </w:pPr>
      <w:rPr>
        <w:rFonts w:hint="default" w:ascii="Wingdings" w:hAnsi="Wingdings" w:cs="Wingdings"/>
      </w:rPr>
    </w:lvl>
    <w:lvl w:ilvl="7" w:tentative="0">
      <w:start w:val="1"/>
      <w:numFmt w:val="bullet"/>
      <w:lvlText w:val=""/>
      <w:lvlJc w:val="left"/>
      <w:pPr>
        <w:ind w:left="3735" w:hanging="420"/>
      </w:pPr>
      <w:rPr>
        <w:rFonts w:hint="default" w:ascii="Wingdings" w:hAnsi="Wingdings" w:cs="Wingdings"/>
      </w:rPr>
    </w:lvl>
    <w:lvl w:ilvl="8" w:tentative="0">
      <w:start w:val="1"/>
      <w:numFmt w:val="bullet"/>
      <w:lvlText w:val=""/>
      <w:lvlJc w:val="left"/>
      <w:pPr>
        <w:ind w:left="4155" w:hanging="420"/>
      </w:pPr>
      <w:rPr>
        <w:rFonts w:hint="default" w:ascii="Wingdings" w:hAnsi="Wingdings" w:cs="Wingdings"/>
      </w:rPr>
    </w:lvl>
  </w:abstractNum>
  <w:num w:numId="1">
    <w:abstractNumId w:val="1"/>
  </w:num>
  <w:num w:numId="2">
    <w:abstractNumId w:val="4"/>
  </w:num>
  <w:num w:numId="3">
    <w:abstractNumId w:val="5"/>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D1C4A"/>
    <w:rsid w:val="072911E5"/>
    <w:rsid w:val="3CA950B9"/>
    <w:rsid w:val="578D1C4A"/>
    <w:rsid w:val="5AF222AB"/>
    <w:rsid w:val="69DA2294"/>
    <w:rsid w:val="6C55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9"/>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6"/>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4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4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47"/>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49"/>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10">
    <w:name w:val="Document Map"/>
    <w:basedOn w:val="1"/>
    <w:link w:val="40"/>
    <w:qFormat/>
    <w:uiPriority w:val="0"/>
    <w:pPr>
      <w:shd w:val="clear" w:color="auto" w:fill="000080"/>
    </w:pPr>
  </w:style>
  <w:style w:type="paragraph" w:styleId="11">
    <w:name w:val="annotation text"/>
    <w:basedOn w:val="1"/>
    <w:link w:val="50"/>
    <w:qFormat/>
    <w:uiPriority w:val="0"/>
    <w:pPr>
      <w:jc w:val="left"/>
    </w:pPr>
  </w:style>
  <w:style w:type="paragraph" w:styleId="12">
    <w:name w:val="Body Text"/>
    <w:basedOn w:val="1"/>
    <w:link w:val="51"/>
    <w:qFormat/>
    <w:uiPriority w:val="0"/>
    <w:pPr>
      <w:keepNext w:val="0"/>
      <w:keepLines w:val="0"/>
      <w:widowControl/>
      <w:suppressLineNumbers w:val="0"/>
      <w:overflowPunct w:val="0"/>
      <w:autoSpaceDE w:val="0"/>
      <w:autoSpaceDN w:val="0"/>
      <w:adjustRightInd w:val="0"/>
      <w:spacing w:before="120" w:beforeAutospacing="0" w:after="120" w:afterAutospacing="0"/>
      <w:ind w:left="2520" w:right="0"/>
      <w:jc w:val="left"/>
    </w:pPr>
    <w:rPr>
      <w:rFonts w:hint="default" w:ascii="Book Antiqua" w:hAnsi="Book Antiqua" w:eastAsia="宋体" w:cs="Times New Roman"/>
      <w:kern w:val="0"/>
      <w:sz w:val="20"/>
      <w:szCs w:val="20"/>
      <w:lang w:val="en-US" w:eastAsia="zh-CN" w:bidi="ar"/>
    </w:rPr>
  </w:style>
  <w:style w:type="paragraph" w:styleId="13">
    <w:name w:val="toc 3"/>
    <w:basedOn w:val="1"/>
    <w:next w:val="1"/>
    <w:qFormat/>
    <w:uiPriority w:val="0"/>
    <w:pPr>
      <w:keepNext w:val="0"/>
      <w:keepLines w:val="0"/>
      <w:widowControl w:val="0"/>
      <w:suppressLineNumbers w:val="0"/>
      <w:spacing w:before="0" w:beforeAutospacing="0" w:after="0" w:afterAutospacing="0"/>
      <w:ind w:left="420" w:right="0"/>
      <w:jc w:val="left"/>
    </w:pPr>
    <w:rPr>
      <w:rFonts w:hint="default" w:ascii="Calibri" w:hAnsi="Calibri" w:eastAsia="宋体" w:cs="Times New Roman"/>
      <w:i/>
      <w:kern w:val="2"/>
      <w:sz w:val="20"/>
      <w:szCs w:val="20"/>
      <w:lang w:val="en-US" w:eastAsia="zh-CN" w:bidi="ar"/>
    </w:rPr>
  </w:style>
  <w:style w:type="paragraph" w:styleId="14">
    <w:name w:val="Plain Text"/>
    <w:basedOn w:val="1"/>
    <w:link w:val="52"/>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15">
    <w:name w:val="Balloon Text"/>
    <w:basedOn w:val="1"/>
    <w:link w:val="35"/>
    <w:qFormat/>
    <w:uiPriority w:val="0"/>
    <w:rPr>
      <w:sz w:val="18"/>
    </w:rPr>
  </w:style>
  <w:style w:type="paragraph" w:styleId="16">
    <w:name w:val="footer"/>
    <w:basedOn w:val="1"/>
    <w:link w:val="37"/>
    <w:uiPriority w:val="0"/>
    <w:pPr>
      <w:tabs>
        <w:tab w:val="center" w:pos="4153"/>
        <w:tab w:val="right" w:pos="8306"/>
      </w:tabs>
      <w:snapToGrid w:val="0"/>
      <w:jc w:val="left"/>
    </w:pPr>
    <w:rPr>
      <w:sz w:val="18"/>
    </w:rPr>
  </w:style>
  <w:style w:type="paragraph" w:styleId="17">
    <w:name w:val="header"/>
    <w:basedOn w:val="1"/>
    <w:link w:val="5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caps/>
      <w:kern w:val="2"/>
      <w:sz w:val="20"/>
      <w:szCs w:val="20"/>
      <w:lang w:val="en-US" w:eastAsia="zh-CN" w:bidi="ar"/>
    </w:rPr>
  </w:style>
  <w:style w:type="paragraph" w:styleId="19">
    <w:name w:val="footnote text"/>
    <w:basedOn w:val="1"/>
    <w:link w:val="55"/>
    <w:uiPriority w:val="0"/>
    <w:pPr>
      <w:snapToGrid w:val="0"/>
      <w:jc w:val="left"/>
    </w:pPr>
    <w:rPr>
      <w:sz w:val="18"/>
    </w:rPr>
  </w:style>
  <w:style w:type="paragraph" w:styleId="20">
    <w:name w:val="toc 2"/>
    <w:basedOn w:val="1"/>
    <w:next w:val="1"/>
    <w:uiPriority w:val="0"/>
    <w:pPr>
      <w:keepNext w:val="0"/>
      <w:keepLines w:val="0"/>
      <w:widowControl w:val="0"/>
      <w:suppressLineNumbers w:val="0"/>
      <w:spacing w:before="0" w:beforeAutospacing="0" w:after="0" w:afterAutospacing="0"/>
      <w:ind w:left="210" w:right="0"/>
      <w:jc w:val="left"/>
    </w:pPr>
    <w:rPr>
      <w:rFonts w:hint="default" w:ascii="Calibri" w:hAnsi="Calibri" w:eastAsia="宋体" w:cs="Times New Roman"/>
      <w:smallCaps/>
      <w:kern w:val="2"/>
      <w:sz w:val="20"/>
      <w:szCs w:val="20"/>
      <w:lang w:val="en-US" w:eastAsia="zh-CN" w:bidi="ar"/>
    </w:rPr>
  </w:style>
  <w:style w:type="paragraph" w:styleId="21">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2"/>
      <w:lang w:val="en-US" w:eastAsia="zh-CN" w:bidi="ar"/>
    </w:rPr>
  </w:style>
  <w:style w:type="paragraph" w:styleId="22">
    <w:name w:val="Title"/>
    <w:basedOn w:val="1"/>
    <w:link w:val="38"/>
    <w:qFormat/>
    <w:uiPriority w:val="0"/>
    <w:pPr>
      <w:spacing w:before="240" w:beforeLines="0" w:beforeAutospacing="0" w:after="60" w:afterLines="0" w:afterAutospacing="0"/>
      <w:jc w:val="center"/>
      <w:outlineLvl w:val="0"/>
    </w:pPr>
    <w:rPr>
      <w:rFonts w:ascii="Arial" w:hAnsi="Arial"/>
      <w:b/>
      <w:sz w:val="32"/>
    </w:rPr>
  </w:style>
  <w:style w:type="paragraph" w:styleId="23">
    <w:name w:val="annotation subject"/>
    <w:basedOn w:val="11"/>
    <w:next w:val="11"/>
    <w:link w:val="56"/>
    <w:qFormat/>
    <w:uiPriority w:val="0"/>
    <w:rPr>
      <w:b/>
    </w:rPr>
  </w:style>
  <w:style w:type="table" w:styleId="25">
    <w:name w:val="Table Grid"/>
    <w:basedOn w:val="2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FollowedHyperlink"/>
    <w:basedOn w:val="26"/>
    <w:uiPriority w:val="0"/>
    <w:rPr>
      <w:color w:val="800080"/>
      <w:u w:val="single"/>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styleId="30">
    <w:name w:val="footnote reference"/>
    <w:basedOn w:val="26"/>
    <w:qFormat/>
    <w:uiPriority w:val="0"/>
    <w:rPr>
      <w:vertAlign w:val="superscript"/>
    </w:rPr>
  </w:style>
  <w:style w:type="character" w:customStyle="1" w:styleId="31">
    <w:name w:val="无间隔 字符"/>
    <w:basedOn w:val="26"/>
    <w:uiPriority w:val="0"/>
    <w:rPr>
      <w:sz w:val="22"/>
      <w:szCs w:val="22"/>
    </w:rPr>
  </w:style>
  <w:style w:type="paragraph" w:customStyle="1" w:styleId="32">
    <w:name w:val="文档标题1"/>
    <w:basedOn w:val="2"/>
    <w:next w:val="33"/>
    <w:uiPriority w:val="0"/>
    <w:pPr>
      <w:keepNext/>
      <w:keepLines/>
      <w:pageBreakBefore/>
      <w:widowControl w:val="0"/>
      <w:numPr>
        <w:ilvl w:val="0"/>
        <w:numId w:val="1"/>
      </w:numPr>
      <w:suppressLineNumbers w:val="0"/>
      <w:pBdr>
        <w:top w:val="single" w:color="auto" w:sz="48" w:space="1"/>
        <w:left w:val="none" w:color="auto" w:sz="0" w:space="0"/>
        <w:bottom w:val="none" w:color="auto" w:sz="0" w:space="0"/>
        <w:right w:val="none" w:color="auto" w:sz="0" w:space="0"/>
      </w:pBdr>
      <w:spacing w:before="0" w:beforeAutospacing="0" w:after="0" w:afterAutospacing="0" w:line="360" w:lineRule="auto"/>
      <w:ind w:left="0" w:right="0" w:firstLine="0"/>
      <w:jc w:val="both"/>
      <w:outlineLvl w:val="0"/>
    </w:pPr>
    <w:rPr>
      <w:rFonts w:hint="default" w:ascii="Times New Roman" w:hAnsi="Times New Roman" w:eastAsia="宋体" w:cs="Times New Roman"/>
      <w:kern w:val="44"/>
      <w:sz w:val="28"/>
      <w:szCs w:val="44"/>
      <w:lang w:val="en-US" w:eastAsia="zh-CN" w:bidi="ar"/>
    </w:rPr>
  </w:style>
  <w:style w:type="paragraph" w:customStyle="1" w:styleId="33">
    <w:name w:val="文档正文-1"/>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34">
    <w:name w:val="文档正文一级标题"/>
    <w:basedOn w:val="33"/>
    <w:uiPriority w:val="0"/>
    <w:pPr>
      <w:keepNext w:val="0"/>
      <w:keepLines w:val="0"/>
      <w:widowControl w:val="0"/>
      <w:numPr>
        <w:ilvl w:val="0"/>
        <w:numId w:val="2"/>
      </w:numPr>
      <w:suppressLineNumbers w:val="0"/>
      <w:spacing w:before="0" w:beforeAutospacing="0" w:after="0" w:afterAutospacing="0" w:line="360" w:lineRule="auto"/>
      <w:ind w:left="840" w:right="0" w:firstLine="0" w:firstLineChars="0"/>
      <w:jc w:val="both"/>
    </w:pPr>
    <w:rPr>
      <w:rFonts w:hint="default" w:ascii="Times New Roman" w:hAnsi="Times New Roman" w:eastAsia="宋体" w:cs="Times New Roman"/>
      <w:kern w:val="2"/>
      <w:sz w:val="24"/>
      <w:szCs w:val="22"/>
      <w:lang w:val="en-US" w:eastAsia="zh-CN" w:bidi="ar"/>
    </w:rPr>
  </w:style>
  <w:style w:type="character" w:customStyle="1" w:styleId="35">
    <w:name w:val="批注框文本 字符"/>
    <w:basedOn w:val="26"/>
    <w:link w:val="15"/>
    <w:uiPriority w:val="0"/>
    <w:rPr>
      <w:rFonts w:hint="default" w:ascii="Calibri" w:hAnsi="Calibri" w:eastAsia="宋体" w:cs="Times New Roman"/>
      <w:kern w:val="2"/>
      <w:sz w:val="18"/>
      <w:szCs w:val="24"/>
    </w:rPr>
  </w:style>
  <w:style w:type="character" w:customStyle="1" w:styleId="36">
    <w:name w:val="标题 4 字符"/>
    <w:basedOn w:val="26"/>
    <w:link w:val="5"/>
    <w:uiPriority w:val="0"/>
    <w:rPr>
      <w:rFonts w:ascii="Arial" w:hAnsi="Arial" w:eastAsia="黑体" w:cs="Times New Roman"/>
      <w:b/>
      <w:kern w:val="2"/>
      <w:sz w:val="28"/>
      <w:szCs w:val="24"/>
    </w:rPr>
  </w:style>
  <w:style w:type="character" w:customStyle="1" w:styleId="37">
    <w:name w:val="页脚 字符"/>
    <w:basedOn w:val="26"/>
    <w:link w:val="16"/>
    <w:uiPriority w:val="0"/>
    <w:rPr>
      <w:rFonts w:hint="default" w:ascii="Calibri" w:hAnsi="Calibri" w:eastAsia="宋体" w:cs="Times New Roman"/>
      <w:kern w:val="2"/>
      <w:sz w:val="18"/>
      <w:szCs w:val="24"/>
    </w:rPr>
  </w:style>
  <w:style w:type="character" w:customStyle="1" w:styleId="38">
    <w:name w:val="标题 字符"/>
    <w:basedOn w:val="26"/>
    <w:link w:val="22"/>
    <w:uiPriority w:val="0"/>
    <w:rPr>
      <w:rFonts w:hint="default" w:ascii="Arial" w:hAnsi="Arial" w:eastAsia="宋体" w:cs="Times New Roman"/>
      <w:b/>
      <w:kern w:val="2"/>
      <w:sz w:val="32"/>
      <w:szCs w:val="24"/>
    </w:rPr>
  </w:style>
  <w:style w:type="character" w:customStyle="1" w:styleId="39">
    <w:name w:val="标题 3 字符"/>
    <w:basedOn w:val="26"/>
    <w:link w:val="4"/>
    <w:uiPriority w:val="0"/>
    <w:rPr>
      <w:rFonts w:hint="default" w:ascii="Calibri" w:hAnsi="Calibri" w:eastAsia="宋体" w:cs="Times New Roman"/>
      <w:b/>
      <w:kern w:val="2"/>
      <w:sz w:val="32"/>
      <w:szCs w:val="24"/>
    </w:rPr>
  </w:style>
  <w:style w:type="character" w:customStyle="1" w:styleId="40">
    <w:name w:val="文档结构图 字符"/>
    <w:basedOn w:val="26"/>
    <w:link w:val="10"/>
    <w:uiPriority w:val="0"/>
    <w:rPr>
      <w:rFonts w:hint="default" w:ascii="Calibri" w:hAnsi="Calibri" w:eastAsia="宋体" w:cs="Times New Roman"/>
      <w:kern w:val="2"/>
      <w:sz w:val="21"/>
      <w:szCs w:val="24"/>
      <w:shd w:val="clear" w:fill="000080"/>
    </w:rPr>
  </w:style>
  <w:style w:type="character" w:customStyle="1" w:styleId="41">
    <w:name w:val="标题 6 字符"/>
    <w:basedOn w:val="26"/>
    <w:link w:val="7"/>
    <w:uiPriority w:val="0"/>
    <w:rPr>
      <w:rFonts w:hint="default" w:ascii="Arial" w:hAnsi="Arial" w:eastAsia="黑体" w:cs="Times New Roman"/>
      <w:b/>
      <w:kern w:val="2"/>
      <w:sz w:val="24"/>
      <w:szCs w:val="24"/>
    </w:rPr>
  </w:style>
  <w:style w:type="character" w:customStyle="1" w:styleId="42">
    <w:name w:val="apple-converted-space"/>
    <w:basedOn w:val="26"/>
    <w:uiPriority w:val="0"/>
  </w:style>
  <w:style w:type="character" w:customStyle="1" w:styleId="43">
    <w:name w:val="apple-style-span"/>
    <w:basedOn w:val="26"/>
    <w:uiPriority w:val="0"/>
  </w:style>
  <w:style w:type="paragraph" w:customStyle="1" w:styleId="44">
    <w:name w:val="样式 标题 4 + 段前: 5 磅 段后: 5 磅 行距: 单倍行距"/>
    <w:basedOn w:val="5"/>
    <w:qFormat/>
    <w:uiPriority w:val="0"/>
    <w:pPr>
      <w:keepNext/>
      <w:keepLines/>
      <w:widowControl w:val="0"/>
      <w:suppressLineNumbers w:val="0"/>
      <w:tabs>
        <w:tab w:val="left" w:pos="780"/>
        <w:tab w:val="left" w:pos="1680"/>
      </w:tabs>
      <w:adjustRightInd w:val="0"/>
      <w:spacing w:before="100" w:beforeAutospacing="0" w:after="100" w:afterAutospacing="0" w:line="372" w:lineRule="auto"/>
      <w:ind w:left="780" w:leftChars="200" w:right="0" w:hanging="360" w:hangingChars="200"/>
      <w:jc w:val="left"/>
      <w:outlineLvl w:val="3"/>
    </w:pPr>
    <w:rPr>
      <w:rFonts w:hint="default" w:ascii="Arial" w:hAnsi="Arial" w:eastAsia="黑体" w:cs="Times New Roman"/>
      <w:kern w:val="0"/>
      <w:sz w:val="28"/>
      <w:szCs w:val="20"/>
      <w:lang w:val="en-US" w:eastAsia="zh-CN" w:bidi="ar"/>
    </w:rPr>
  </w:style>
  <w:style w:type="character" w:customStyle="1" w:styleId="45">
    <w:name w:val="标题 2 字符"/>
    <w:basedOn w:val="26"/>
    <w:link w:val="3"/>
    <w:uiPriority w:val="0"/>
    <w:rPr>
      <w:rFonts w:hint="default" w:ascii="Arial" w:hAnsi="Arial" w:eastAsia="黑体" w:cs="Times New Roman"/>
      <w:b/>
      <w:kern w:val="2"/>
      <w:sz w:val="32"/>
      <w:szCs w:val="24"/>
    </w:rPr>
  </w:style>
  <w:style w:type="character" w:customStyle="1" w:styleId="46">
    <w:name w:val="标题 1 字符"/>
    <w:basedOn w:val="26"/>
    <w:link w:val="2"/>
    <w:uiPriority w:val="0"/>
    <w:rPr>
      <w:rFonts w:hint="default" w:ascii="Calibri" w:hAnsi="Calibri" w:eastAsia="宋体" w:cs="Times New Roman"/>
      <w:b/>
      <w:kern w:val="44"/>
      <w:sz w:val="44"/>
      <w:szCs w:val="24"/>
    </w:rPr>
  </w:style>
  <w:style w:type="character" w:customStyle="1" w:styleId="47">
    <w:name w:val="标题 7 字符"/>
    <w:basedOn w:val="26"/>
    <w:link w:val="8"/>
    <w:uiPriority w:val="0"/>
    <w:rPr>
      <w:rFonts w:hint="default" w:ascii="Calibri" w:hAnsi="Calibri" w:eastAsia="宋体" w:cs="Times New Roman"/>
      <w:b/>
      <w:kern w:val="2"/>
      <w:sz w:val="24"/>
      <w:szCs w:val="24"/>
    </w:rPr>
  </w:style>
  <w:style w:type="character" w:customStyle="1" w:styleId="48">
    <w:name w:val="标题 5 字符"/>
    <w:basedOn w:val="26"/>
    <w:link w:val="6"/>
    <w:qFormat/>
    <w:uiPriority w:val="0"/>
    <w:rPr>
      <w:rFonts w:hint="default" w:ascii="Calibri" w:hAnsi="Calibri" w:eastAsia="宋体" w:cs="Times New Roman"/>
      <w:b/>
      <w:kern w:val="2"/>
      <w:sz w:val="28"/>
      <w:szCs w:val="24"/>
    </w:rPr>
  </w:style>
  <w:style w:type="character" w:customStyle="1" w:styleId="49">
    <w:name w:val="标题 8 字符"/>
    <w:basedOn w:val="26"/>
    <w:link w:val="9"/>
    <w:qFormat/>
    <w:uiPriority w:val="0"/>
    <w:rPr>
      <w:rFonts w:hint="default" w:ascii="Arial" w:hAnsi="Arial" w:eastAsia="黑体" w:cs="Times New Roman"/>
      <w:kern w:val="2"/>
      <w:sz w:val="24"/>
      <w:szCs w:val="24"/>
    </w:rPr>
  </w:style>
  <w:style w:type="character" w:customStyle="1" w:styleId="50">
    <w:name w:val="批注文字 字符"/>
    <w:basedOn w:val="26"/>
    <w:link w:val="11"/>
    <w:uiPriority w:val="0"/>
    <w:rPr>
      <w:rFonts w:hint="default" w:ascii="Calibri" w:hAnsi="Calibri" w:eastAsia="宋体" w:cs="Times New Roman"/>
      <w:kern w:val="2"/>
      <w:sz w:val="21"/>
      <w:szCs w:val="24"/>
    </w:rPr>
  </w:style>
  <w:style w:type="character" w:customStyle="1" w:styleId="51">
    <w:name w:val="正文文本 字符"/>
    <w:basedOn w:val="26"/>
    <w:link w:val="12"/>
    <w:qFormat/>
    <w:uiPriority w:val="0"/>
    <w:rPr>
      <w:rFonts w:hint="default" w:ascii="Book Antiqua" w:hAnsi="Book Antiqua" w:eastAsia="宋体" w:cs="Book Antiqua"/>
    </w:rPr>
  </w:style>
  <w:style w:type="character" w:customStyle="1" w:styleId="52">
    <w:name w:val="纯文本 字符"/>
    <w:basedOn w:val="26"/>
    <w:link w:val="14"/>
    <w:qFormat/>
    <w:uiPriority w:val="0"/>
    <w:rPr>
      <w:rFonts w:hint="eastAsia" w:ascii="宋体" w:hAnsi="Courier New" w:eastAsia="宋体" w:cs="宋体"/>
      <w:kern w:val="2"/>
      <w:sz w:val="21"/>
      <w:szCs w:val="21"/>
    </w:rPr>
  </w:style>
  <w:style w:type="paragraph" w:customStyle="1" w:styleId="53">
    <w:name w:val="文档标题3"/>
    <w:basedOn w:val="4"/>
    <w:next w:val="33"/>
    <w:qFormat/>
    <w:uiPriority w:val="0"/>
    <w:pPr>
      <w:keepNext/>
      <w:keepLines/>
      <w:widowControl w:val="0"/>
      <w:numPr>
        <w:ilvl w:val="2"/>
        <w:numId w:val="1"/>
      </w:numPr>
      <w:suppressLineNumbers w:val="0"/>
      <w:overflowPunct w:val="0"/>
      <w:autoSpaceDE w:val="0"/>
      <w:autoSpaceDN w:val="0"/>
      <w:adjustRightInd w:val="0"/>
      <w:spacing w:before="0" w:beforeAutospacing="0" w:after="0" w:afterAutospacing="0" w:line="360" w:lineRule="auto"/>
      <w:ind w:left="0" w:right="0" w:firstLine="0"/>
      <w:jc w:val="both"/>
      <w:outlineLvl w:val="2"/>
    </w:pPr>
    <w:rPr>
      <w:rFonts w:hint="default" w:ascii="Times New Roman" w:hAnsi="Times New Roman" w:eastAsia="宋体" w:cs="Times New Roman"/>
      <w:kern w:val="2"/>
      <w:sz w:val="28"/>
      <w:szCs w:val="32"/>
      <w:lang w:val="en-US" w:eastAsia="zh-CN" w:bidi="ar"/>
    </w:rPr>
  </w:style>
  <w:style w:type="character" w:customStyle="1" w:styleId="54">
    <w:name w:val="页眉 字符"/>
    <w:basedOn w:val="26"/>
    <w:link w:val="17"/>
    <w:qFormat/>
    <w:uiPriority w:val="0"/>
    <w:rPr>
      <w:rFonts w:hint="default" w:ascii="Calibri" w:hAnsi="Calibri" w:eastAsia="宋体" w:cs="Times New Roman"/>
      <w:kern w:val="2"/>
      <w:sz w:val="18"/>
      <w:szCs w:val="24"/>
    </w:rPr>
  </w:style>
  <w:style w:type="character" w:customStyle="1" w:styleId="55">
    <w:name w:val="脚注文本 字符"/>
    <w:basedOn w:val="26"/>
    <w:link w:val="19"/>
    <w:qFormat/>
    <w:uiPriority w:val="0"/>
    <w:rPr>
      <w:rFonts w:hint="default" w:ascii="Calibri" w:hAnsi="Calibri" w:eastAsia="宋体" w:cs="Times New Roman"/>
      <w:kern w:val="2"/>
      <w:sz w:val="18"/>
      <w:szCs w:val="24"/>
    </w:rPr>
  </w:style>
  <w:style w:type="character" w:customStyle="1" w:styleId="56">
    <w:name w:val="批注主题 字符"/>
    <w:basedOn w:val="50"/>
    <w:link w:val="23"/>
    <w:qFormat/>
    <w:uiPriority w:val="0"/>
    <w:rPr>
      <w:rFonts w:hint="default" w:ascii="Calibri" w:hAnsi="Calibri" w:eastAsia="宋体" w:cs="Times New Roman"/>
      <w:b/>
      <w:kern w:val="2"/>
      <w:sz w:val="21"/>
      <w:szCs w:val="24"/>
    </w:rPr>
  </w:style>
  <w:style w:type="character" w:customStyle="1" w:styleId="57">
    <w:name w:val="tlid-translation"/>
    <w:basedOn w:val="26"/>
    <w:uiPriority w:val="0"/>
  </w:style>
  <w:style w:type="paragraph" w:customStyle="1" w:styleId="58">
    <w:name w:val="样式 标题 2 + 宋体 五号 非加粗 黑色"/>
    <w:basedOn w:val="3"/>
    <w:qFormat/>
    <w:uiPriority w:val="0"/>
    <w:pPr>
      <w:keepNext/>
      <w:keepLines/>
      <w:widowControl w:val="0"/>
      <w:suppressLineNumbers w:val="0"/>
      <w:spacing w:before="260" w:beforeAutospacing="0" w:after="260" w:afterAutospacing="0" w:line="416" w:lineRule="atLeast"/>
      <w:ind w:left="0" w:right="0"/>
      <w:jc w:val="left"/>
      <w:outlineLvl w:val="1"/>
    </w:pPr>
    <w:rPr>
      <w:rFonts w:hint="default" w:ascii="Arial" w:hAnsi="Arial" w:eastAsia="黑体" w:cs="Times New Roman"/>
      <w:color w:val="000000"/>
      <w:kern w:val="0"/>
      <w:sz w:val="21"/>
      <w:szCs w:val="32"/>
      <w:lang w:val="en-US" w:eastAsia="zh-CN" w:bidi="ar"/>
    </w:rPr>
  </w:style>
  <w:style w:type="character" w:customStyle="1" w:styleId="59">
    <w:name w:val="style61"/>
    <w:basedOn w:val="26"/>
    <w:qFormat/>
    <w:uiPriority w:val="0"/>
  </w:style>
  <w:style w:type="character" w:customStyle="1" w:styleId="60">
    <w:name w:val="COFCO_1.1 Char"/>
    <w:basedOn w:val="26"/>
    <w:uiPriority w:val="0"/>
    <w:rPr>
      <w:rFonts w:hint="eastAsia" w:ascii="华文细黑" w:hAnsi="华文细黑" w:eastAsia="华文细黑" w:cs="宋体"/>
      <w:b/>
      <w:color w:val="000000"/>
      <w:sz w:val="24"/>
      <w:szCs w:val="22"/>
    </w:rPr>
  </w:style>
  <w:style w:type="character" w:customStyle="1" w:styleId="61">
    <w:name w:val="正文文本 Char"/>
    <w:basedOn w:val="26"/>
    <w:uiPriority w:val="0"/>
    <w:rPr>
      <w:kern w:val="2"/>
      <w:sz w:val="21"/>
      <w:szCs w:val="22"/>
    </w:rPr>
  </w:style>
  <w:style w:type="paragraph" w:customStyle="1" w:styleId="62">
    <w:name w:val="文档标题2"/>
    <w:basedOn w:val="3"/>
    <w:next w:val="33"/>
    <w:link w:val="63"/>
    <w:uiPriority w:val="0"/>
    <w:pPr>
      <w:keepNext/>
      <w:keepLines/>
      <w:widowControl w:val="0"/>
      <w:numPr>
        <w:ilvl w:val="1"/>
        <w:numId w:val="1"/>
      </w:numPr>
      <w:suppressLineNumbers w:val="0"/>
      <w:spacing w:before="0" w:beforeAutospacing="0" w:after="0" w:afterAutospacing="0" w:line="360" w:lineRule="auto"/>
      <w:ind w:left="0" w:right="0" w:firstLine="0"/>
      <w:jc w:val="left"/>
      <w:outlineLvl w:val="1"/>
    </w:pPr>
    <w:rPr>
      <w:rFonts w:hint="default" w:ascii="Times New Roman" w:hAnsi="Times New Roman" w:eastAsia="宋体" w:cs="Times New Roman"/>
      <w:kern w:val="2"/>
      <w:sz w:val="28"/>
      <w:szCs w:val="32"/>
      <w:lang w:val="en-US" w:eastAsia="zh-CN" w:bidi="ar"/>
    </w:rPr>
  </w:style>
  <w:style w:type="character" w:customStyle="1" w:styleId="63">
    <w:name w:val="文档标题2 Char"/>
    <w:basedOn w:val="26"/>
    <w:link w:val="62"/>
    <w:qFormat/>
    <w:uiPriority w:val="0"/>
    <w:rPr>
      <w:rFonts w:hint="default" w:ascii="Times New Roman" w:hAnsi="Times New Roman" w:eastAsia="宋体" w:cs="Times New Roman"/>
      <w:b/>
      <w:kern w:val="2"/>
      <w:sz w:val="28"/>
      <w:szCs w:val="32"/>
    </w:rPr>
  </w:style>
  <w:style w:type="paragraph" w:customStyle="1" w:styleId="64">
    <w:name w:val="文档标题4"/>
    <w:basedOn w:val="5"/>
    <w:next w:val="33"/>
    <w:uiPriority w:val="0"/>
    <w:pPr>
      <w:keepNext/>
      <w:keepLines/>
      <w:widowControl w:val="0"/>
      <w:numPr>
        <w:ilvl w:val="3"/>
        <w:numId w:val="3"/>
      </w:numPr>
      <w:suppressLineNumbers w:val="0"/>
      <w:pBdr>
        <w:top w:val="none" w:color="auto" w:sz="0" w:space="0"/>
        <w:left w:val="none" w:color="auto" w:sz="0" w:space="0"/>
        <w:bottom w:val="single" w:color="auto" w:sz="2" w:space="1"/>
        <w:right w:val="none" w:color="auto" w:sz="0" w:space="0"/>
      </w:pBdr>
      <w:spacing w:before="280" w:beforeAutospacing="0" w:after="290" w:afterAutospacing="0" w:line="372" w:lineRule="auto"/>
      <w:ind w:left="0" w:right="0" w:firstLine="0"/>
      <w:jc w:val="both"/>
      <w:outlineLvl w:val="3"/>
    </w:pPr>
    <w:rPr>
      <w:rFonts w:hint="default" w:ascii="Times New Roman" w:hAnsi="Times New Roman" w:eastAsia="宋体"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2020-04-03T14:23:00Z</dcterms:created>
  <dc:creator>陈茂圣</dc:creator>
  <cp:lastModifiedBy>陈茂圣</cp:lastModifiedBy>
  <dcterms:modified xsi:type="dcterms:W3CDTF">2020-04-06T10:06:41Z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